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AC" w:rsidRPr="00C63F0C" w:rsidRDefault="00120B30" w:rsidP="00DF3C09">
      <w:pPr>
        <w:pStyle w:val="BodyText"/>
        <w:spacing w:after="0"/>
        <w:ind w:left="-142" w:firstLine="720"/>
        <w:jc w:val="center"/>
        <w:rPr>
          <w:b/>
          <w:sz w:val="28"/>
          <w:szCs w:val="28"/>
          <w:lang w:val="lv-LV"/>
        </w:rPr>
      </w:pPr>
      <w:r w:rsidRPr="00C63F0C">
        <w:rPr>
          <w:b/>
          <w:sz w:val="28"/>
          <w:szCs w:val="28"/>
          <w:lang w:val="lv-LV"/>
        </w:rPr>
        <w:t>Informatīvais ziņojums par „</w:t>
      </w:r>
      <w:r w:rsidR="00C63F0C" w:rsidRPr="00C63F0C">
        <w:rPr>
          <w:b/>
          <w:sz w:val="28"/>
          <w:szCs w:val="28"/>
          <w:lang w:val="lv-LV"/>
        </w:rPr>
        <w:t>Likumprojekta</w:t>
      </w:r>
    </w:p>
    <w:p w:rsidR="00204B6A" w:rsidRPr="00C63F0C" w:rsidRDefault="00903CAC" w:rsidP="00DF3C09">
      <w:pPr>
        <w:ind w:firstLine="720"/>
        <w:jc w:val="center"/>
        <w:rPr>
          <w:b/>
          <w:sz w:val="28"/>
          <w:szCs w:val="28"/>
        </w:rPr>
      </w:pPr>
      <w:r w:rsidRPr="00C63F0C">
        <w:rPr>
          <w:b/>
          <w:color w:val="000000"/>
          <w:spacing w:val="15"/>
          <w:sz w:val="28"/>
          <w:szCs w:val="28"/>
        </w:rPr>
        <w:t>„</w:t>
      </w:r>
      <w:r w:rsidRPr="00C63F0C">
        <w:rPr>
          <w:b/>
          <w:color w:val="000000"/>
          <w:sz w:val="28"/>
          <w:szCs w:val="28"/>
        </w:rPr>
        <w:t xml:space="preserve">Par </w:t>
      </w:r>
      <w:r w:rsidRPr="00C63F0C">
        <w:rPr>
          <w:b/>
          <w:sz w:val="28"/>
          <w:szCs w:val="28"/>
        </w:rPr>
        <w:t>Latvijas Republikas valdības un Eiropas Kosmosa aģentūras Eiropas sadarbības valsts līgumu”</w:t>
      </w:r>
      <w:r w:rsidR="00C63F0C" w:rsidRPr="00C63F0C">
        <w:rPr>
          <w:b/>
          <w:sz w:val="28"/>
          <w:szCs w:val="28"/>
        </w:rPr>
        <w:t xml:space="preserve"> izpildi”</w:t>
      </w:r>
    </w:p>
    <w:p w:rsidR="00903CAC" w:rsidRPr="00C63F0C" w:rsidRDefault="00903CAC" w:rsidP="00DF3C09">
      <w:pPr>
        <w:ind w:firstLine="720"/>
        <w:jc w:val="center"/>
        <w:rPr>
          <w:b/>
          <w:sz w:val="28"/>
          <w:szCs w:val="28"/>
        </w:rPr>
      </w:pPr>
    </w:p>
    <w:p w:rsidR="00120B30" w:rsidRPr="00C63F0C" w:rsidRDefault="00120B30" w:rsidP="00DF3C09">
      <w:pPr>
        <w:ind w:firstLine="720"/>
        <w:rPr>
          <w:b/>
          <w:sz w:val="28"/>
          <w:szCs w:val="28"/>
        </w:rPr>
      </w:pPr>
    </w:p>
    <w:p w:rsidR="00120B30" w:rsidRPr="00C63F0C" w:rsidRDefault="00120B30" w:rsidP="00DF3C09">
      <w:pPr>
        <w:pStyle w:val="BodyText"/>
        <w:spacing w:after="0"/>
        <w:ind w:firstLine="720"/>
        <w:jc w:val="both"/>
        <w:outlineLvl w:val="0"/>
        <w:rPr>
          <w:sz w:val="28"/>
          <w:szCs w:val="28"/>
          <w:lang w:val="lv-LV"/>
        </w:rPr>
      </w:pPr>
      <w:r w:rsidRPr="00C63F0C">
        <w:rPr>
          <w:sz w:val="28"/>
          <w:szCs w:val="28"/>
          <w:lang w:val="lv-LV"/>
        </w:rPr>
        <w:t xml:space="preserve">Saskaņā ar Ministru kabineta </w:t>
      </w:r>
      <w:r w:rsidR="00C63F0C" w:rsidRPr="00C63F0C">
        <w:rPr>
          <w:sz w:val="28"/>
          <w:szCs w:val="28"/>
          <w:lang w:val="lv-LV"/>
        </w:rPr>
        <w:t xml:space="preserve">2012.gada 11.decembra </w:t>
      </w:r>
      <w:r w:rsidRPr="00C63F0C">
        <w:rPr>
          <w:sz w:val="28"/>
          <w:szCs w:val="28"/>
          <w:lang w:val="lv-LV"/>
        </w:rPr>
        <w:t xml:space="preserve">sēdes </w:t>
      </w:r>
      <w:proofErr w:type="spellStart"/>
      <w:r w:rsidRPr="00C63F0C">
        <w:rPr>
          <w:sz w:val="28"/>
          <w:szCs w:val="28"/>
          <w:lang w:val="lv-LV"/>
        </w:rPr>
        <w:t>protokollēmuma</w:t>
      </w:r>
      <w:proofErr w:type="spellEnd"/>
      <w:r w:rsidRPr="00C63F0C">
        <w:rPr>
          <w:sz w:val="28"/>
          <w:szCs w:val="28"/>
          <w:lang w:val="lv-LV"/>
        </w:rPr>
        <w:t xml:space="preserve"> (prot. Nr.</w:t>
      </w:r>
      <w:r w:rsidR="00C63F0C" w:rsidRPr="00C63F0C">
        <w:rPr>
          <w:sz w:val="28"/>
          <w:szCs w:val="28"/>
          <w:lang w:val="lv-LV"/>
        </w:rPr>
        <w:t>70</w:t>
      </w:r>
      <w:r w:rsidRPr="00C63F0C">
        <w:rPr>
          <w:sz w:val="28"/>
          <w:szCs w:val="28"/>
          <w:lang w:val="lv-LV"/>
        </w:rPr>
        <w:t xml:space="preserve">, </w:t>
      </w:r>
      <w:r w:rsidR="00C63F0C" w:rsidRPr="00C63F0C">
        <w:rPr>
          <w:sz w:val="28"/>
          <w:szCs w:val="28"/>
          <w:lang w:val="lv-LV"/>
        </w:rPr>
        <w:t>14.</w:t>
      </w:r>
      <w:r w:rsidRPr="00C63F0C">
        <w:rPr>
          <w:sz w:val="28"/>
          <w:szCs w:val="28"/>
          <w:lang w:val="lv-LV"/>
        </w:rPr>
        <w:t>§) „</w:t>
      </w:r>
      <w:r w:rsidR="00C63F0C" w:rsidRPr="00C63F0C">
        <w:rPr>
          <w:sz w:val="28"/>
          <w:szCs w:val="28"/>
          <w:lang w:val="lv-LV"/>
        </w:rPr>
        <w:t>Likumprojekts "Par Eiropas Sadarbības valsts līgumu starp Eiropas Kosmosa aģentūru un Latvijas Republikas valdību" 4</w:t>
      </w:r>
      <w:r w:rsidRPr="00C63F0C">
        <w:rPr>
          <w:sz w:val="28"/>
          <w:szCs w:val="28"/>
          <w:lang w:val="lv-LV"/>
        </w:rPr>
        <w:t>.punktu Izglītības un zinātnes ministrija ir sagatavojusi informatīvo ziņojumu ar priekšlikumiem par</w:t>
      </w:r>
      <w:r w:rsidR="00C63F0C" w:rsidRPr="00C63F0C">
        <w:rPr>
          <w:sz w:val="28"/>
          <w:szCs w:val="28"/>
          <w:lang w:val="lv-LV"/>
        </w:rPr>
        <w:t xml:space="preserve"> Likumprojekta izpildes finansēšanu</w:t>
      </w:r>
      <w:r w:rsidRPr="00C63F0C">
        <w:rPr>
          <w:sz w:val="28"/>
          <w:szCs w:val="28"/>
          <w:lang w:val="lv-LV"/>
        </w:rPr>
        <w:t>.</w:t>
      </w:r>
    </w:p>
    <w:p w:rsidR="00903CAC" w:rsidRPr="00C63F0C" w:rsidRDefault="00903CAC" w:rsidP="00DF3C09">
      <w:pPr>
        <w:ind w:firstLine="720"/>
        <w:rPr>
          <w:b/>
          <w:sz w:val="28"/>
          <w:szCs w:val="28"/>
        </w:rPr>
      </w:pPr>
    </w:p>
    <w:p w:rsidR="00903CAC" w:rsidRDefault="00120B30" w:rsidP="00DF3C09">
      <w:pPr>
        <w:ind w:firstLine="720"/>
        <w:rPr>
          <w:b/>
          <w:sz w:val="28"/>
          <w:szCs w:val="28"/>
        </w:rPr>
      </w:pPr>
      <w:r w:rsidRPr="00C63F0C">
        <w:rPr>
          <w:b/>
          <w:sz w:val="28"/>
          <w:szCs w:val="28"/>
        </w:rPr>
        <w:t xml:space="preserve">1.Ievads </w:t>
      </w:r>
    </w:p>
    <w:p w:rsidR="000233DA" w:rsidRPr="00C63F0C" w:rsidRDefault="000233DA" w:rsidP="00DF3C09">
      <w:pPr>
        <w:ind w:firstLine="720"/>
        <w:rPr>
          <w:b/>
          <w:sz w:val="28"/>
          <w:szCs w:val="28"/>
        </w:rPr>
      </w:pPr>
    </w:p>
    <w:p w:rsidR="00DF3C09" w:rsidRPr="00C63F0C" w:rsidRDefault="00DF3C09" w:rsidP="00DF3C09">
      <w:pPr>
        <w:ind w:firstLine="720"/>
        <w:jc w:val="both"/>
        <w:rPr>
          <w:b/>
          <w:sz w:val="28"/>
          <w:szCs w:val="28"/>
        </w:rPr>
      </w:pPr>
      <w:r w:rsidRPr="00C63F0C">
        <w:rPr>
          <w:b/>
          <w:sz w:val="28"/>
          <w:szCs w:val="28"/>
        </w:rPr>
        <w:t xml:space="preserve">Par Eiropas Kosmosa aģentūru </w:t>
      </w:r>
    </w:p>
    <w:p w:rsidR="00DF3C09" w:rsidRPr="00C63F0C" w:rsidRDefault="00417E65" w:rsidP="00DF3C09">
      <w:pPr>
        <w:ind w:firstLine="720"/>
        <w:jc w:val="both"/>
        <w:rPr>
          <w:sz w:val="28"/>
          <w:szCs w:val="28"/>
        </w:rPr>
      </w:pPr>
      <w:r w:rsidRPr="00417E65">
        <w:rPr>
          <w:sz w:val="28"/>
          <w:szCs w:val="28"/>
        </w:rPr>
        <w:t>Eiropas Kosmosa aģentūra</w:t>
      </w:r>
      <w:r>
        <w:rPr>
          <w:sz w:val="28"/>
          <w:szCs w:val="28"/>
        </w:rPr>
        <w:t xml:space="preserve"> (turpmāk – </w:t>
      </w:r>
      <w:r w:rsidR="00DF3C09" w:rsidRPr="00417E65">
        <w:rPr>
          <w:spacing w:val="-1"/>
          <w:sz w:val="28"/>
          <w:szCs w:val="28"/>
        </w:rPr>
        <w:t>EKA</w:t>
      </w:r>
      <w:r>
        <w:rPr>
          <w:spacing w:val="-1"/>
          <w:sz w:val="28"/>
          <w:szCs w:val="28"/>
        </w:rPr>
        <w:t>)</w:t>
      </w:r>
      <w:r w:rsidR="00DF3C09" w:rsidRPr="00417E65">
        <w:rPr>
          <w:spacing w:val="-1"/>
          <w:sz w:val="28"/>
          <w:szCs w:val="28"/>
        </w:rPr>
        <w:t xml:space="preserve"> </w:t>
      </w:r>
      <w:r w:rsidR="00DF3C09" w:rsidRPr="00C63F0C">
        <w:rPr>
          <w:rStyle w:val="apple-style-span"/>
          <w:sz w:val="28"/>
          <w:szCs w:val="28"/>
        </w:rPr>
        <w:t xml:space="preserve">ir neatkarīga starptautiska organizācija, kas </w:t>
      </w:r>
      <w:r w:rsidR="00DF3C09" w:rsidRPr="00C63F0C">
        <w:rPr>
          <w:sz w:val="28"/>
          <w:szCs w:val="28"/>
        </w:rPr>
        <w:t xml:space="preserve">dibināta ar mērķi nodrošināt un veicināt sadarbību starp Eiropas valstīm kosmosa izpētē un tehnoloģiju attīstībā, kā arī ar tām saistītajos kosmosa pielietojumos. EKA </w:t>
      </w:r>
      <w:r w:rsidR="00DF3C09" w:rsidRPr="00C63F0C">
        <w:rPr>
          <w:rStyle w:val="apple-style-span"/>
          <w:sz w:val="28"/>
          <w:szCs w:val="28"/>
        </w:rPr>
        <w:t xml:space="preserve">sastāvā ir 20 dalībvalstis, pavisam nesen par EKA dalībvalstīm kļuva Polija un Rumānija. Savukārt Igaunija, Slovēnija, un Ungārija noformējušas EKA Sadarbības valsts statusu. EKA koordinē tās sastāvā ietilpstošo dalībvalstu finanšu un intelektuālos resursus kosmosa jomā, lai īstenotu Eiropas kosmosa programmas un pasākumus daudz plašākā mērā kā to spētu jebkura atsevišķa valsts Eiropā. EKA uzdevums ir sagatavot un īstenot Eiropas kosmosa programmu, lai pētītu Zemi, saules sistēmu un Visumu, kā arī veicinātu </w:t>
      </w:r>
      <w:proofErr w:type="spellStart"/>
      <w:r w:rsidR="00DF3C09" w:rsidRPr="00C63F0C">
        <w:rPr>
          <w:rStyle w:val="apple-style-span"/>
          <w:sz w:val="28"/>
          <w:szCs w:val="28"/>
        </w:rPr>
        <w:t>satelīttehnoloģiju</w:t>
      </w:r>
      <w:proofErr w:type="spellEnd"/>
      <w:r w:rsidR="00DF3C09" w:rsidRPr="00C63F0C">
        <w:rPr>
          <w:rStyle w:val="apple-style-span"/>
          <w:sz w:val="28"/>
          <w:szCs w:val="28"/>
        </w:rPr>
        <w:t> produktu, pielietojumu un pakalpojumu attīstību Eiropā.</w:t>
      </w:r>
    </w:p>
    <w:p w:rsidR="00DF3C09" w:rsidRPr="00C63F0C" w:rsidRDefault="00DF3C09" w:rsidP="00DF3C09">
      <w:pPr>
        <w:ind w:firstLine="720"/>
        <w:jc w:val="both"/>
        <w:rPr>
          <w:b/>
          <w:sz w:val="28"/>
          <w:szCs w:val="28"/>
        </w:rPr>
      </w:pPr>
    </w:p>
    <w:p w:rsidR="00DF3C09" w:rsidRPr="00C63F0C" w:rsidRDefault="00DF3C09" w:rsidP="00DF3C09">
      <w:pPr>
        <w:ind w:firstLine="720"/>
        <w:jc w:val="both"/>
        <w:rPr>
          <w:b/>
          <w:sz w:val="28"/>
          <w:szCs w:val="28"/>
        </w:rPr>
      </w:pPr>
      <w:r w:rsidRPr="00C63F0C">
        <w:rPr>
          <w:b/>
          <w:sz w:val="28"/>
          <w:szCs w:val="28"/>
        </w:rPr>
        <w:t xml:space="preserve">Likumprojekta būtība </w:t>
      </w:r>
    </w:p>
    <w:p w:rsidR="00DF3C09" w:rsidRPr="00C63F0C" w:rsidRDefault="00DF3C09" w:rsidP="00DF3C09">
      <w:pPr>
        <w:ind w:firstLine="720"/>
        <w:jc w:val="both"/>
        <w:rPr>
          <w:sz w:val="28"/>
          <w:szCs w:val="28"/>
        </w:rPr>
      </w:pPr>
      <w:r w:rsidRPr="00C63F0C">
        <w:rPr>
          <w:sz w:val="28"/>
          <w:szCs w:val="28"/>
        </w:rPr>
        <w:t>Likumprojekta mērķis ir veicināt un attīstīt ar kosmosa jomu saistītu tehnoloģiju, pielietojumu, zinātnes un komercdarbību attīstību, lai pēc pieciem gadiem varētu pievienoties EKA konvencijai kā pilnvērtīga EKA dalībvalsts. Likumprojekta uzdevums ir izstrādāt piecu gadu pētniecības un attīstības programmu ar mērķi uzlabot valsts kosmosa industrijas kapacitāti un, praktiski, nozīmē dažādu zinātnisku un rūpniecisko projektu veikšanu kosmosa jomā.</w:t>
      </w:r>
    </w:p>
    <w:p w:rsidR="00DF3C09" w:rsidRPr="00C63F0C" w:rsidRDefault="00DF3C09" w:rsidP="00DF3C09">
      <w:pPr>
        <w:pStyle w:val="NoSpacing"/>
        <w:ind w:firstLine="720"/>
        <w:jc w:val="both"/>
        <w:rPr>
          <w:sz w:val="28"/>
        </w:rPr>
      </w:pPr>
      <w:r w:rsidRPr="00C63F0C">
        <w:rPr>
          <w:sz w:val="28"/>
        </w:rPr>
        <w:t xml:space="preserve">Finansējums tiek atvēlēts </w:t>
      </w:r>
      <w:proofErr w:type="spellStart"/>
      <w:r w:rsidRPr="00C63F0C">
        <w:rPr>
          <w:i/>
          <w:sz w:val="28"/>
        </w:rPr>
        <w:t>Plan</w:t>
      </w:r>
      <w:proofErr w:type="spellEnd"/>
      <w:r w:rsidRPr="00C63F0C">
        <w:rPr>
          <w:i/>
          <w:sz w:val="28"/>
        </w:rPr>
        <w:t xml:space="preserve"> </w:t>
      </w:r>
      <w:proofErr w:type="spellStart"/>
      <w:r w:rsidRPr="00C63F0C">
        <w:rPr>
          <w:i/>
          <w:sz w:val="28"/>
        </w:rPr>
        <w:t>of</w:t>
      </w:r>
      <w:proofErr w:type="spellEnd"/>
      <w:r w:rsidRPr="00C63F0C">
        <w:rPr>
          <w:i/>
          <w:sz w:val="28"/>
        </w:rPr>
        <w:t xml:space="preserve"> </w:t>
      </w:r>
      <w:proofErr w:type="spellStart"/>
      <w:r w:rsidRPr="00C63F0C">
        <w:rPr>
          <w:i/>
          <w:sz w:val="28"/>
        </w:rPr>
        <w:t>European</w:t>
      </w:r>
      <w:proofErr w:type="spellEnd"/>
      <w:r w:rsidRPr="00C63F0C">
        <w:rPr>
          <w:i/>
          <w:sz w:val="28"/>
        </w:rPr>
        <w:t xml:space="preserve"> </w:t>
      </w:r>
      <w:proofErr w:type="spellStart"/>
      <w:r w:rsidRPr="00C63F0C">
        <w:rPr>
          <w:i/>
          <w:sz w:val="28"/>
        </w:rPr>
        <w:t>Cooperating</w:t>
      </w:r>
      <w:proofErr w:type="spellEnd"/>
      <w:r w:rsidRPr="00C63F0C">
        <w:rPr>
          <w:i/>
          <w:sz w:val="28"/>
        </w:rPr>
        <w:t xml:space="preserve"> </w:t>
      </w:r>
      <w:proofErr w:type="spellStart"/>
      <w:r w:rsidRPr="00C63F0C">
        <w:rPr>
          <w:i/>
          <w:sz w:val="28"/>
        </w:rPr>
        <w:t>state</w:t>
      </w:r>
      <w:proofErr w:type="spellEnd"/>
      <w:r w:rsidRPr="00C63F0C">
        <w:rPr>
          <w:sz w:val="28"/>
        </w:rPr>
        <w:t xml:space="preserve"> (turpmāk – PECS) projektu īstenošanai EKA programmu ietvaros:  </w:t>
      </w:r>
    </w:p>
    <w:p w:rsidR="00DF3C09" w:rsidRPr="00C63F0C" w:rsidRDefault="00DF3C09" w:rsidP="00417E65">
      <w:pPr>
        <w:pStyle w:val="NoSpacing"/>
        <w:ind w:firstLine="709"/>
        <w:jc w:val="both"/>
        <w:rPr>
          <w:sz w:val="28"/>
        </w:rPr>
      </w:pPr>
      <w:r w:rsidRPr="00C63F0C">
        <w:rPr>
          <w:sz w:val="28"/>
        </w:rPr>
        <w:t xml:space="preserve">- </w:t>
      </w:r>
      <w:r w:rsidR="00417E65">
        <w:rPr>
          <w:sz w:val="28"/>
        </w:rPr>
        <w:t>l</w:t>
      </w:r>
      <w:r w:rsidRPr="00C63F0C">
        <w:rPr>
          <w:sz w:val="28"/>
        </w:rPr>
        <w:t>idojumu aparatūras/izstrādājumu (</w:t>
      </w:r>
      <w:proofErr w:type="spellStart"/>
      <w:r w:rsidRPr="00C63F0C">
        <w:rPr>
          <w:i/>
          <w:sz w:val="28"/>
        </w:rPr>
        <w:t>flight</w:t>
      </w:r>
      <w:proofErr w:type="spellEnd"/>
      <w:r w:rsidRPr="00C63F0C">
        <w:rPr>
          <w:i/>
          <w:sz w:val="28"/>
        </w:rPr>
        <w:t xml:space="preserve"> </w:t>
      </w:r>
      <w:proofErr w:type="spellStart"/>
      <w:r w:rsidRPr="00C63F0C">
        <w:rPr>
          <w:i/>
          <w:sz w:val="28"/>
        </w:rPr>
        <w:t>hardware</w:t>
      </w:r>
      <w:proofErr w:type="spellEnd"/>
      <w:r w:rsidRPr="00C63F0C">
        <w:rPr>
          <w:sz w:val="28"/>
        </w:rPr>
        <w:t xml:space="preserve">)  aktivitātes, kas saistītas ar EKA misijām; </w:t>
      </w:r>
    </w:p>
    <w:p w:rsidR="00DF3C09" w:rsidRPr="00C63F0C" w:rsidRDefault="00DF3C09" w:rsidP="00417E65">
      <w:pPr>
        <w:pStyle w:val="NoSpacing"/>
        <w:ind w:firstLine="709"/>
        <w:jc w:val="both"/>
        <w:rPr>
          <w:sz w:val="28"/>
        </w:rPr>
      </w:pPr>
      <w:r w:rsidRPr="00C63F0C">
        <w:rPr>
          <w:sz w:val="28"/>
        </w:rPr>
        <w:tab/>
        <w:t xml:space="preserve">- </w:t>
      </w:r>
      <w:r w:rsidR="00417E65">
        <w:rPr>
          <w:sz w:val="28"/>
        </w:rPr>
        <w:t>p</w:t>
      </w:r>
      <w:r w:rsidRPr="00C63F0C">
        <w:rPr>
          <w:sz w:val="28"/>
        </w:rPr>
        <w:t xml:space="preserve">ētniecības un attīstības aktivitātes, kas saistītas ar produktu vai tehnoloģiju (aparatūra vai programmatūra) izstrādi; </w:t>
      </w:r>
    </w:p>
    <w:p w:rsidR="00DF3C09" w:rsidRPr="00C63F0C" w:rsidRDefault="00DF3C09" w:rsidP="00417E65">
      <w:pPr>
        <w:pStyle w:val="NoSpacing"/>
        <w:ind w:firstLine="709"/>
        <w:jc w:val="both"/>
        <w:rPr>
          <w:sz w:val="28"/>
        </w:rPr>
      </w:pPr>
      <w:r w:rsidRPr="00C63F0C">
        <w:rPr>
          <w:sz w:val="28"/>
        </w:rPr>
        <w:tab/>
        <w:t>-  </w:t>
      </w:r>
      <w:r w:rsidR="00417E65">
        <w:rPr>
          <w:sz w:val="28"/>
        </w:rPr>
        <w:t>a</w:t>
      </w:r>
      <w:r w:rsidRPr="00C63F0C">
        <w:rPr>
          <w:sz w:val="28"/>
        </w:rPr>
        <w:t>r misijām saistīto pakalpojumu, kosmosa b</w:t>
      </w:r>
      <w:r w:rsidR="000233DA">
        <w:rPr>
          <w:sz w:val="28"/>
        </w:rPr>
        <w:t>āzēto aplikāciju un pakalpojumu</w:t>
      </w:r>
      <w:r w:rsidRPr="00C63F0C">
        <w:rPr>
          <w:sz w:val="28"/>
        </w:rPr>
        <w:t xml:space="preserve"> vai tehnoloģiju demonstrācijas;  </w:t>
      </w:r>
    </w:p>
    <w:p w:rsidR="00DF3C09" w:rsidRPr="00C63F0C" w:rsidRDefault="00DF3C09" w:rsidP="00417E65">
      <w:pPr>
        <w:pStyle w:val="NoSpacing"/>
        <w:ind w:firstLine="709"/>
        <w:jc w:val="both"/>
        <w:rPr>
          <w:sz w:val="28"/>
        </w:rPr>
      </w:pPr>
      <w:r w:rsidRPr="00C63F0C">
        <w:rPr>
          <w:sz w:val="28"/>
        </w:rPr>
        <w:t xml:space="preserve">- </w:t>
      </w:r>
      <w:r w:rsidR="00417E65">
        <w:rPr>
          <w:sz w:val="28"/>
        </w:rPr>
        <w:t>s</w:t>
      </w:r>
      <w:r w:rsidRPr="00C63F0C">
        <w:rPr>
          <w:sz w:val="28"/>
        </w:rPr>
        <w:t xml:space="preserve">agatavošanās aktivitātes, lai atbalstītu nacionālo konkurētspēju </w:t>
      </w:r>
      <w:proofErr w:type="spellStart"/>
      <w:r w:rsidRPr="00C63F0C">
        <w:rPr>
          <w:i/>
          <w:sz w:val="28"/>
        </w:rPr>
        <w:t>Copernicus</w:t>
      </w:r>
      <w:proofErr w:type="spellEnd"/>
      <w:r w:rsidRPr="00C63F0C">
        <w:rPr>
          <w:sz w:val="28"/>
        </w:rPr>
        <w:t xml:space="preserve"> un </w:t>
      </w:r>
      <w:proofErr w:type="spellStart"/>
      <w:r w:rsidRPr="00C63F0C">
        <w:rPr>
          <w:i/>
          <w:sz w:val="28"/>
        </w:rPr>
        <w:t>Galielo</w:t>
      </w:r>
      <w:proofErr w:type="spellEnd"/>
      <w:r w:rsidRPr="00C63F0C">
        <w:rPr>
          <w:sz w:val="28"/>
        </w:rPr>
        <w:t xml:space="preserve"> pakalpojumus, kā arī EKA programmās;  </w:t>
      </w:r>
    </w:p>
    <w:p w:rsidR="00DF3C09" w:rsidRPr="00C63F0C" w:rsidRDefault="00417E65" w:rsidP="00417E65">
      <w:pPr>
        <w:tabs>
          <w:tab w:val="left" w:pos="709"/>
        </w:tabs>
        <w:ind w:firstLine="709"/>
        <w:jc w:val="both"/>
        <w:rPr>
          <w:sz w:val="28"/>
          <w:szCs w:val="28"/>
        </w:rPr>
      </w:pPr>
      <w:r>
        <w:rPr>
          <w:sz w:val="28"/>
          <w:szCs w:val="28"/>
        </w:rPr>
        <w:lastRenderedPageBreak/>
        <w:t xml:space="preserve"> </w:t>
      </w:r>
      <w:r w:rsidR="00DF3C09" w:rsidRPr="00C63F0C">
        <w:rPr>
          <w:sz w:val="28"/>
          <w:szCs w:val="28"/>
        </w:rPr>
        <w:t xml:space="preserve">- EKA izglītības </w:t>
      </w:r>
      <w:r w:rsidR="000233DA">
        <w:rPr>
          <w:sz w:val="28"/>
          <w:szCs w:val="28"/>
        </w:rPr>
        <w:t>aktivitātes, kas paredz lidojumu</w:t>
      </w:r>
      <w:r w:rsidR="00DF3C09" w:rsidRPr="00C63F0C">
        <w:rPr>
          <w:sz w:val="28"/>
          <w:szCs w:val="28"/>
        </w:rPr>
        <w:t xml:space="preserve"> aparatūras (</w:t>
      </w:r>
      <w:proofErr w:type="spellStart"/>
      <w:r w:rsidR="00DF3C09" w:rsidRPr="00DF3C09">
        <w:rPr>
          <w:i/>
          <w:sz w:val="28"/>
          <w:szCs w:val="28"/>
        </w:rPr>
        <w:t>flight</w:t>
      </w:r>
      <w:proofErr w:type="spellEnd"/>
      <w:r w:rsidR="00DF3C09" w:rsidRPr="00DF3C09">
        <w:rPr>
          <w:i/>
          <w:sz w:val="28"/>
          <w:szCs w:val="28"/>
        </w:rPr>
        <w:t xml:space="preserve"> </w:t>
      </w:r>
      <w:proofErr w:type="spellStart"/>
      <w:r w:rsidR="00DF3C09" w:rsidRPr="00DF3C09">
        <w:rPr>
          <w:i/>
          <w:sz w:val="28"/>
          <w:szCs w:val="28"/>
        </w:rPr>
        <w:t>hardware</w:t>
      </w:r>
      <w:proofErr w:type="spellEnd"/>
      <w:r w:rsidR="00DF3C09" w:rsidRPr="00C63F0C">
        <w:rPr>
          <w:sz w:val="28"/>
          <w:szCs w:val="28"/>
        </w:rPr>
        <w:t>) izstrādi un ražošanu;</w:t>
      </w:r>
    </w:p>
    <w:p w:rsidR="00DF3C09" w:rsidRPr="00C63F0C" w:rsidRDefault="00DF3C09" w:rsidP="00417E65">
      <w:pPr>
        <w:ind w:firstLine="709"/>
        <w:jc w:val="both"/>
        <w:rPr>
          <w:sz w:val="28"/>
          <w:szCs w:val="28"/>
          <w:highlight w:val="yellow"/>
        </w:rPr>
      </w:pPr>
      <w:r w:rsidRPr="00C63F0C">
        <w:rPr>
          <w:sz w:val="28"/>
          <w:szCs w:val="28"/>
        </w:rPr>
        <w:t xml:space="preserve">- </w:t>
      </w:r>
      <w:r w:rsidR="00417E65">
        <w:rPr>
          <w:sz w:val="28"/>
          <w:szCs w:val="28"/>
        </w:rPr>
        <w:t>i</w:t>
      </w:r>
      <w:r w:rsidRPr="00C63F0C">
        <w:rPr>
          <w:sz w:val="28"/>
          <w:szCs w:val="28"/>
        </w:rPr>
        <w:t xml:space="preserve">nformatīvās un izglītības aktivitātes. </w:t>
      </w:r>
    </w:p>
    <w:p w:rsidR="00120B30" w:rsidRPr="00C63F0C" w:rsidRDefault="00120B30" w:rsidP="00DF3C09">
      <w:pPr>
        <w:ind w:firstLine="720"/>
        <w:rPr>
          <w:b/>
          <w:sz w:val="28"/>
          <w:szCs w:val="28"/>
        </w:rPr>
      </w:pPr>
    </w:p>
    <w:p w:rsidR="000233DA" w:rsidRDefault="00120B30" w:rsidP="00DF3C09">
      <w:pPr>
        <w:ind w:firstLine="720"/>
        <w:rPr>
          <w:b/>
          <w:sz w:val="28"/>
          <w:szCs w:val="28"/>
        </w:rPr>
      </w:pPr>
      <w:r w:rsidRPr="00C63F0C">
        <w:rPr>
          <w:b/>
          <w:sz w:val="28"/>
          <w:szCs w:val="28"/>
        </w:rPr>
        <w:t>2. Likumprojekta pamatojums</w:t>
      </w:r>
    </w:p>
    <w:p w:rsidR="00120B30" w:rsidRPr="00C63F0C" w:rsidRDefault="00120B30" w:rsidP="00DF3C09">
      <w:pPr>
        <w:ind w:firstLine="720"/>
        <w:rPr>
          <w:b/>
          <w:sz w:val="28"/>
          <w:szCs w:val="28"/>
        </w:rPr>
      </w:pPr>
      <w:r w:rsidRPr="00C63F0C">
        <w:rPr>
          <w:b/>
          <w:sz w:val="28"/>
          <w:szCs w:val="28"/>
        </w:rPr>
        <w:t xml:space="preserve"> </w:t>
      </w:r>
    </w:p>
    <w:p w:rsidR="00903CAC" w:rsidRPr="00C63F0C" w:rsidRDefault="00903CAC" w:rsidP="00DF3C09">
      <w:pPr>
        <w:pStyle w:val="BodyText"/>
        <w:spacing w:after="0"/>
        <w:ind w:firstLine="720"/>
        <w:jc w:val="both"/>
        <w:rPr>
          <w:b/>
          <w:bCs/>
          <w:sz w:val="28"/>
          <w:szCs w:val="28"/>
          <w:lang w:val="lv-LV"/>
        </w:rPr>
      </w:pPr>
      <w:r w:rsidRPr="00C63F0C">
        <w:rPr>
          <w:sz w:val="28"/>
          <w:szCs w:val="28"/>
          <w:lang w:val="lv-LV"/>
        </w:rPr>
        <w:t xml:space="preserve">2009.gada 23.jūlijā Izglītības un zinātnes ministre Tatjana </w:t>
      </w:r>
      <w:proofErr w:type="spellStart"/>
      <w:r w:rsidRPr="00C63F0C">
        <w:rPr>
          <w:sz w:val="28"/>
          <w:szCs w:val="28"/>
          <w:lang w:val="lv-LV"/>
        </w:rPr>
        <w:t>Koķe</w:t>
      </w:r>
      <w:proofErr w:type="spellEnd"/>
      <w:r w:rsidRPr="00C63F0C">
        <w:rPr>
          <w:sz w:val="28"/>
          <w:szCs w:val="28"/>
          <w:lang w:val="lv-LV"/>
        </w:rPr>
        <w:t xml:space="preserve"> Latvijas Republikas valdības vārdā parakstīja „Latvijas Republikas valdības un Eiropas Kosmosa aģentūras līgumu par sadarbību kosmosa jomā miermīlīgiem mērķiem”. Tas bija pirmais solis sadarbības uzsākšanā ar EKA.</w:t>
      </w:r>
      <w:r w:rsidRPr="00C63F0C">
        <w:rPr>
          <w:b/>
          <w:bCs/>
          <w:sz w:val="28"/>
          <w:szCs w:val="28"/>
          <w:lang w:val="lv-LV"/>
        </w:rPr>
        <w:t xml:space="preserve"> </w:t>
      </w:r>
    </w:p>
    <w:p w:rsidR="00903CAC" w:rsidRPr="00C63F0C" w:rsidRDefault="00903CAC" w:rsidP="00DF3C09">
      <w:pPr>
        <w:pStyle w:val="BodyText"/>
        <w:spacing w:after="0"/>
        <w:ind w:firstLine="720"/>
        <w:jc w:val="both"/>
        <w:rPr>
          <w:sz w:val="28"/>
          <w:szCs w:val="28"/>
          <w:lang w:val="lv-LV"/>
        </w:rPr>
      </w:pPr>
      <w:r w:rsidRPr="00C63F0C">
        <w:rPr>
          <w:bCs/>
          <w:sz w:val="28"/>
          <w:szCs w:val="28"/>
          <w:lang w:val="lv-LV"/>
        </w:rPr>
        <w:t xml:space="preserve">2013.gada 15.martā Izglītības un zinātnes ministrs Roberts Ķīlis </w:t>
      </w:r>
      <w:r w:rsidRPr="00C63F0C">
        <w:rPr>
          <w:sz w:val="28"/>
          <w:szCs w:val="28"/>
          <w:lang w:val="lv-LV"/>
        </w:rPr>
        <w:t xml:space="preserve">Latvijas Republikas </w:t>
      </w:r>
      <w:r w:rsidRPr="00C63F0C">
        <w:rPr>
          <w:bCs/>
          <w:sz w:val="28"/>
          <w:szCs w:val="28"/>
          <w:lang w:val="lv-LV"/>
        </w:rPr>
        <w:t xml:space="preserve">valdības vārdā parakstīja Eiropas Sadarbības valsts līgumu starp EKA un Latvijas Republikas valdību, kas </w:t>
      </w:r>
      <w:r w:rsidR="000233DA">
        <w:rPr>
          <w:bCs/>
          <w:sz w:val="28"/>
          <w:szCs w:val="28"/>
          <w:lang w:val="lv-LV"/>
        </w:rPr>
        <w:t xml:space="preserve">ir otrais sadarbības etaps. </w:t>
      </w:r>
      <w:r w:rsidRPr="00C63F0C">
        <w:rPr>
          <w:sz w:val="28"/>
          <w:szCs w:val="28"/>
          <w:lang w:val="lv-LV"/>
        </w:rPr>
        <w:t xml:space="preserve"> </w:t>
      </w:r>
    </w:p>
    <w:p w:rsidR="00903CAC" w:rsidRPr="00C63F0C" w:rsidRDefault="00903CAC" w:rsidP="00DF3C09">
      <w:pPr>
        <w:ind w:firstLine="720"/>
        <w:jc w:val="both"/>
        <w:rPr>
          <w:sz w:val="28"/>
          <w:szCs w:val="28"/>
        </w:rPr>
      </w:pPr>
      <w:r w:rsidRPr="00C63F0C">
        <w:rPr>
          <w:sz w:val="28"/>
          <w:szCs w:val="28"/>
        </w:rPr>
        <w:t>Likumprojekts</w:t>
      </w:r>
      <w:r w:rsidRPr="00C63F0C">
        <w:rPr>
          <w:color w:val="000000"/>
          <w:spacing w:val="15"/>
          <w:sz w:val="28"/>
          <w:szCs w:val="28"/>
        </w:rPr>
        <w:t xml:space="preserve"> „</w:t>
      </w:r>
      <w:r w:rsidRPr="00C63F0C">
        <w:rPr>
          <w:color w:val="000000"/>
          <w:sz w:val="28"/>
          <w:szCs w:val="28"/>
        </w:rPr>
        <w:t xml:space="preserve">Par Latvijas Republikas valdības un Eiropas Kosmosa aģentūras </w:t>
      </w:r>
      <w:r w:rsidRPr="00C63F0C">
        <w:rPr>
          <w:bCs/>
          <w:sz w:val="28"/>
          <w:szCs w:val="28"/>
        </w:rPr>
        <w:t xml:space="preserve">Eiropas sadarbības valsts līgumu” </w:t>
      </w:r>
      <w:r w:rsidRPr="00C63F0C">
        <w:rPr>
          <w:sz w:val="28"/>
          <w:szCs w:val="28"/>
        </w:rPr>
        <w:t>(turpmāk</w:t>
      </w:r>
      <w:r w:rsidRPr="00C63F0C">
        <w:rPr>
          <w:b/>
          <w:sz w:val="28"/>
          <w:szCs w:val="28"/>
        </w:rPr>
        <w:t xml:space="preserve"> - </w:t>
      </w:r>
      <w:r w:rsidRPr="00C63F0C">
        <w:rPr>
          <w:sz w:val="28"/>
          <w:szCs w:val="28"/>
        </w:rPr>
        <w:t xml:space="preserve">likumprojekts) izstrādāts  saskaņā ar </w:t>
      </w:r>
      <w:r w:rsidRPr="00C63F0C">
        <w:rPr>
          <w:color w:val="000000"/>
          <w:sz w:val="28"/>
          <w:szCs w:val="28"/>
        </w:rPr>
        <w:t xml:space="preserve">„Valdības rīcības plānā Deklarācijas par Valda </w:t>
      </w:r>
      <w:proofErr w:type="spellStart"/>
      <w:r w:rsidRPr="00C63F0C">
        <w:rPr>
          <w:color w:val="000000"/>
          <w:sz w:val="28"/>
          <w:szCs w:val="28"/>
        </w:rPr>
        <w:t>Dombrovska</w:t>
      </w:r>
      <w:proofErr w:type="spellEnd"/>
      <w:r w:rsidRPr="00C63F0C">
        <w:rPr>
          <w:color w:val="000000"/>
          <w:sz w:val="28"/>
          <w:szCs w:val="28"/>
        </w:rPr>
        <w:t xml:space="preserve"> vadītā Ministru kabineta iecerēto darbību īstenošanai” (16.02.2012. MK rīkojums Nr.84,) </w:t>
      </w:r>
      <w:r w:rsidRPr="00C63F0C">
        <w:rPr>
          <w:rStyle w:val="apple-style-span"/>
          <w:color w:val="000000"/>
          <w:sz w:val="28"/>
          <w:szCs w:val="28"/>
        </w:rPr>
        <w:t xml:space="preserve">paredzēto – </w:t>
      </w:r>
      <w:r w:rsidRPr="00C63F0C">
        <w:rPr>
          <w:sz w:val="28"/>
          <w:szCs w:val="28"/>
        </w:rPr>
        <w:t xml:space="preserve">noslēgt Eiropas sadarbības valsts (ECS) līgumu ar </w:t>
      </w:r>
      <w:r w:rsidR="00417E65">
        <w:rPr>
          <w:sz w:val="28"/>
          <w:szCs w:val="28"/>
        </w:rPr>
        <w:t>EKA</w:t>
      </w:r>
      <w:r w:rsidRPr="00C63F0C">
        <w:rPr>
          <w:sz w:val="28"/>
          <w:szCs w:val="28"/>
        </w:rPr>
        <w:t xml:space="preserve">, lai īstenotu Rīcības plāna </w:t>
      </w:r>
      <w:r w:rsidRPr="00C63F0C">
        <w:rPr>
          <w:rStyle w:val="apple-style-span"/>
          <w:color w:val="000000"/>
          <w:sz w:val="28"/>
          <w:szCs w:val="28"/>
        </w:rPr>
        <w:t xml:space="preserve">110.2 punkta pasākumu „Dalība Eiropas </w:t>
      </w:r>
      <w:r w:rsidR="00417E65">
        <w:rPr>
          <w:rStyle w:val="apple-style-span"/>
          <w:color w:val="000000"/>
          <w:sz w:val="28"/>
          <w:szCs w:val="28"/>
        </w:rPr>
        <w:t>K</w:t>
      </w:r>
      <w:r w:rsidRPr="00C63F0C">
        <w:rPr>
          <w:rStyle w:val="apple-style-span"/>
          <w:color w:val="000000"/>
          <w:sz w:val="28"/>
          <w:szCs w:val="28"/>
        </w:rPr>
        <w:t>osmosa aģentūras projektos kosmosa tehnoloģijās”</w:t>
      </w:r>
      <w:r w:rsidRPr="00C63F0C">
        <w:rPr>
          <w:sz w:val="28"/>
          <w:szCs w:val="28"/>
        </w:rPr>
        <w:t>. Par atbildīgo institūciju Rīcības plānā noteikta Izglītības un zinātnes ministrija.</w:t>
      </w:r>
    </w:p>
    <w:p w:rsidR="00903CAC" w:rsidRDefault="00903CAC" w:rsidP="00DF3C09">
      <w:pPr>
        <w:ind w:firstLine="720"/>
        <w:jc w:val="both"/>
        <w:rPr>
          <w:sz w:val="28"/>
          <w:szCs w:val="28"/>
        </w:rPr>
      </w:pPr>
    </w:p>
    <w:p w:rsidR="00417E65" w:rsidRPr="00C63F0C" w:rsidRDefault="00417E65" w:rsidP="00DF3C09">
      <w:pPr>
        <w:ind w:firstLine="720"/>
        <w:jc w:val="both"/>
        <w:rPr>
          <w:sz w:val="28"/>
          <w:szCs w:val="28"/>
        </w:rPr>
      </w:pPr>
    </w:p>
    <w:p w:rsidR="00903CAC" w:rsidRPr="00C63F0C" w:rsidRDefault="00DF3C09" w:rsidP="00DF3C09">
      <w:pPr>
        <w:ind w:firstLine="720"/>
        <w:jc w:val="both"/>
        <w:rPr>
          <w:b/>
          <w:sz w:val="28"/>
          <w:szCs w:val="28"/>
        </w:rPr>
      </w:pPr>
      <w:r>
        <w:rPr>
          <w:b/>
          <w:sz w:val="28"/>
          <w:szCs w:val="28"/>
        </w:rPr>
        <w:t>3</w:t>
      </w:r>
      <w:r w:rsidR="00120B30" w:rsidRPr="00C63F0C">
        <w:rPr>
          <w:b/>
          <w:sz w:val="28"/>
          <w:szCs w:val="28"/>
        </w:rPr>
        <w:t xml:space="preserve">. </w:t>
      </w:r>
      <w:r w:rsidR="00903CAC" w:rsidRPr="00C63F0C">
        <w:rPr>
          <w:b/>
          <w:sz w:val="28"/>
          <w:szCs w:val="28"/>
        </w:rPr>
        <w:t xml:space="preserve">Dalības argumentācija </w:t>
      </w:r>
    </w:p>
    <w:p w:rsidR="00120B30" w:rsidRPr="00C63F0C" w:rsidRDefault="00120B30" w:rsidP="00DF3C09">
      <w:pPr>
        <w:ind w:firstLine="720"/>
        <w:jc w:val="both"/>
        <w:rPr>
          <w:sz w:val="28"/>
          <w:szCs w:val="28"/>
        </w:rPr>
      </w:pPr>
    </w:p>
    <w:p w:rsidR="00120B30" w:rsidRPr="00C63F0C" w:rsidRDefault="000233DA" w:rsidP="00DF3C09">
      <w:pPr>
        <w:ind w:firstLine="720"/>
        <w:jc w:val="both"/>
        <w:rPr>
          <w:sz w:val="28"/>
          <w:szCs w:val="28"/>
        </w:rPr>
      </w:pPr>
      <w:r>
        <w:rPr>
          <w:sz w:val="28"/>
          <w:szCs w:val="28"/>
        </w:rPr>
        <w:t>2010.gadā no 23.-25.martam</w:t>
      </w:r>
      <w:r w:rsidR="00120B30" w:rsidRPr="00C63F0C">
        <w:rPr>
          <w:sz w:val="28"/>
          <w:szCs w:val="28"/>
        </w:rPr>
        <w:t xml:space="preserve"> </w:t>
      </w:r>
      <w:r>
        <w:rPr>
          <w:sz w:val="28"/>
          <w:szCs w:val="28"/>
        </w:rPr>
        <w:t xml:space="preserve">tika organizēts </w:t>
      </w:r>
      <w:r w:rsidR="00120B30" w:rsidRPr="00C63F0C">
        <w:rPr>
          <w:sz w:val="28"/>
          <w:szCs w:val="28"/>
        </w:rPr>
        <w:t xml:space="preserve">EKA ekspertu audits Latvijā, kura mērķis bija </w:t>
      </w:r>
      <w:r w:rsidR="00903CAC" w:rsidRPr="00C63F0C">
        <w:rPr>
          <w:sz w:val="28"/>
          <w:szCs w:val="28"/>
        </w:rPr>
        <w:t>novērtēt Latvijas gatavību EKA sadarbības valsts statusam</w:t>
      </w:r>
      <w:r>
        <w:rPr>
          <w:sz w:val="28"/>
          <w:szCs w:val="28"/>
        </w:rPr>
        <w:t>.</w:t>
      </w:r>
    </w:p>
    <w:p w:rsidR="00903CAC" w:rsidRPr="00C63F0C" w:rsidRDefault="00903CAC" w:rsidP="00DF3C09">
      <w:pPr>
        <w:ind w:firstLine="720"/>
        <w:jc w:val="both"/>
        <w:rPr>
          <w:sz w:val="28"/>
          <w:szCs w:val="28"/>
        </w:rPr>
      </w:pPr>
      <w:r w:rsidRPr="00C63F0C">
        <w:rPr>
          <w:sz w:val="28"/>
          <w:szCs w:val="28"/>
        </w:rPr>
        <w:t xml:space="preserve">Audita laikā EKA eksperti apmeklēja 11 zinātniskos institūtus, 13 komercsabiedrības  un 1 tehnoloģisko parku. EKA eksperti novērtēja Latvijas pētniecisko, rūpniecisko un intelektuālo infrastruktūru un tehniskās iespējas kā potenciāli atbilstošas, lai startētu EKA kosmosa programmās. Vienlaikus, audita ziņojums sniedza apkopojumu par Latvijas vājajām vietām, kā arī rekomendācijas turpmākai rīcībai. </w:t>
      </w:r>
    </w:p>
    <w:p w:rsidR="00C63F0C" w:rsidRPr="00C63F0C" w:rsidRDefault="00443897" w:rsidP="00DF3C09">
      <w:pPr>
        <w:ind w:firstLine="720"/>
        <w:jc w:val="both"/>
        <w:rPr>
          <w:sz w:val="28"/>
          <w:szCs w:val="28"/>
        </w:rPr>
      </w:pPr>
      <w:r>
        <w:rPr>
          <w:sz w:val="28"/>
          <w:szCs w:val="28"/>
        </w:rPr>
        <w:t xml:space="preserve">2011.gada 4.ceturksnī </w:t>
      </w:r>
      <w:r w:rsidR="00CE3A6D" w:rsidRPr="00C63F0C">
        <w:rPr>
          <w:sz w:val="28"/>
          <w:szCs w:val="28"/>
        </w:rPr>
        <w:t xml:space="preserve">Izglītības un zinātnes ministrija </w:t>
      </w:r>
      <w:r w:rsidR="00417E65">
        <w:rPr>
          <w:sz w:val="28"/>
          <w:szCs w:val="28"/>
        </w:rPr>
        <w:t>veica pasūtījumu</w:t>
      </w:r>
      <w:r w:rsidR="00CE3A6D" w:rsidRPr="00C63F0C">
        <w:rPr>
          <w:sz w:val="28"/>
          <w:szCs w:val="28"/>
        </w:rPr>
        <w:t xml:space="preserve"> ekonomiski tehnisk</w:t>
      </w:r>
      <w:r w:rsidR="00417E65">
        <w:rPr>
          <w:sz w:val="28"/>
          <w:szCs w:val="28"/>
        </w:rPr>
        <w:t>a</w:t>
      </w:r>
      <w:r w:rsidR="00CE3A6D" w:rsidRPr="00C63F0C">
        <w:rPr>
          <w:sz w:val="28"/>
          <w:szCs w:val="28"/>
        </w:rPr>
        <w:t xml:space="preserve"> pamatojum</w:t>
      </w:r>
      <w:r w:rsidR="00417E65">
        <w:rPr>
          <w:sz w:val="28"/>
          <w:szCs w:val="28"/>
        </w:rPr>
        <w:t>a izstrādei par</w:t>
      </w:r>
      <w:r w:rsidR="00CE3A6D" w:rsidRPr="00C63F0C">
        <w:rPr>
          <w:sz w:val="28"/>
          <w:szCs w:val="28"/>
        </w:rPr>
        <w:t xml:space="preserve"> Latvijas dalīb</w:t>
      </w:r>
      <w:r w:rsidR="00417E65">
        <w:rPr>
          <w:sz w:val="28"/>
          <w:szCs w:val="28"/>
        </w:rPr>
        <w:t>u</w:t>
      </w:r>
      <w:r w:rsidR="00CE3A6D" w:rsidRPr="00C63F0C">
        <w:rPr>
          <w:sz w:val="28"/>
          <w:szCs w:val="28"/>
        </w:rPr>
        <w:t xml:space="preserve"> EKA Sadarbības valsts statusā,</w:t>
      </w:r>
      <w:r w:rsidR="00C63F0C" w:rsidRPr="00C63F0C">
        <w:rPr>
          <w:sz w:val="28"/>
          <w:szCs w:val="28"/>
        </w:rPr>
        <w:t xml:space="preserve"> </w:t>
      </w:r>
      <w:r w:rsidR="00C63F0C">
        <w:rPr>
          <w:sz w:val="28"/>
          <w:szCs w:val="28"/>
        </w:rPr>
        <w:t>l</w:t>
      </w:r>
      <w:r w:rsidR="00C63F0C" w:rsidRPr="00C63F0C">
        <w:rPr>
          <w:sz w:val="28"/>
          <w:szCs w:val="28"/>
        </w:rPr>
        <w:t>ai iespējami pilnvērtīgi un ilgtermiņā izvērtētu visas potenciālās Latvijas izmaksas un ieguvumus no Latvijas iesaistīšanās EKA sadarbības valsts statusā no 2014.gada</w:t>
      </w:r>
      <w:r w:rsidR="00C63F0C">
        <w:rPr>
          <w:sz w:val="28"/>
          <w:szCs w:val="28"/>
        </w:rPr>
        <w:t>.</w:t>
      </w:r>
      <w:r w:rsidR="00CE3A6D" w:rsidRPr="00C63F0C">
        <w:rPr>
          <w:sz w:val="28"/>
          <w:szCs w:val="28"/>
        </w:rPr>
        <w:t xml:space="preserve"> </w:t>
      </w:r>
      <w:r w:rsidR="00C63F0C">
        <w:rPr>
          <w:sz w:val="28"/>
          <w:szCs w:val="28"/>
        </w:rPr>
        <w:t xml:space="preserve">Tajā </w:t>
      </w:r>
      <w:r w:rsidR="00CE3A6D" w:rsidRPr="00C63F0C">
        <w:rPr>
          <w:sz w:val="28"/>
          <w:szCs w:val="28"/>
        </w:rPr>
        <w:t>tika analizēti divi iespējamie rīcības varianti</w:t>
      </w:r>
      <w:r w:rsidR="00120B30" w:rsidRPr="00C63F0C">
        <w:rPr>
          <w:sz w:val="28"/>
          <w:szCs w:val="28"/>
        </w:rPr>
        <w:t>:</w:t>
      </w:r>
    </w:p>
    <w:p w:rsidR="00CE3A6D" w:rsidRPr="00C63F0C" w:rsidRDefault="00CE3A6D" w:rsidP="00DF3C09">
      <w:pPr>
        <w:pStyle w:val="Numeretslists"/>
        <w:numPr>
          <w:ilvl w:val="0"/>
          <w:numId w:val="0"/>
        </w:numPr>
        <w:spacing w:after="0" w:line="240" w:lineRule="auto"/>
        <w:ind w:firstLine="720"/>
        <w:rPr>
          <w:sz w:val="28"/>
          <w:szCs w:val="28"/>
        </w:rPr>
      </w:pPr>
      <w:r w:rsidRPr="00C63F0C">
        <w:rPr>
          <w:b/>
          <w:sz w:val="28"/>
          <w:szCs w:val="28"/>
        </w:rPr>
        <w:t>A variants –</w:t>
      </w:r>
      <w:r w:rsidRPr="00C63F0C">
        <w:rPr>
          <w:sz w:val="28"/>
          <w:szCs w:val="28"/>
        </w:rPr>
        <w:t xml:space="preserve"> Latvijas turpina sadarbību ar EKA „Līguma par sadarbību kosmosa jomā miermīlīgiem mērķiem” ietvaros (Bāzes alternatīva).</w:t>
      </w:r>
    </w:p>
    <w:p w:rsidR="00CE3A6D" w:rsidRPr="00C63F0C" w:rsidRDefault="00CE3A6D" w:rsidP="00443897">
      <w:pPr>
        <w:ind w:firstLine="720"/>
        <w:jc w:val="both"/>
        <w:rPr>
          <w:sz w:val="28"/>
          <w:szCs w:val="28"/>
        </w:rPr>
      </w:pPr>
      <w:r w:rsidRPr="00C63F0C">
        <w:rPr>
          <w:b/>
          <w:sz w:val="28"/>
          <w:szCs w:val="28"/>
        </w:rPr>
        <w:t xml:space="preserve">B variants </w:t>
      </w:r>
      <w:r w:rsidRPr="00C63F0C">
        <w:rPr>
          <w:sz w:val="28"/>
          <w:szCs w:val="28"/>
        </w:rPr>
        <w:t>–</w:t>
      </w:r>
      <w:r w:rsidR="00443897">
        <w:rPr>
          <w:sz w:val="28"/>
          <w:szCs w:val="28"/>
        </w:rPr>
        <w:t xml:space="preserve"> </w:t>
      </w:r>
      <w:r w:rsidRPr="00C63F0C">
        <w:rPr>
          <w:sz w:val="28"/>
          <w:szCs w:val="28"/>
        </w:rPr>
        <w:t xml:space="preserve">Latvijas uzsāk dalību EKA Eiropas sadarbības valsts statusā no 2014.gada (Sadarbības alternatīva), kā arī trīs </w:t>
      </w:r>
      <w:proofErr w:type="spellStart"/>
      <w:r w:rsidRPr="00C63F0C">
        <w:rPr>
          <w:sz w:val="28"/>
          <w:szCs w:val="28"/>
        </w:rPr>
        <w:t>apakšscenāriji</w:t>
      </w:r>
      <w:proofErr w:type="spellEnd"/>
      <w:r w:rsidRPr="00C63F0C">
        <w:rPr>
          <w:sz w:val="28"/>
          <w:szCs w:val="28"/>
        </w:rPr>
        <w:t xml:space="preserve"> sadarbības alternatīvai – pēc 5 gadiem EKA sadarbības valsts statusā, Latvija 2018.gadā:</w:t>
      </w:r>
    </w:p>
    <w:p w:rsidR="00CE3A6D" w:rsidRPr="00C63F0C" w:rsidRDefault="006C45CE" w:rsidP="00417E65">
      <w:pPr>
        <w:pStyle w:val="Numeretslists"/>
        <w:numPr>
          <w:ilvl w:val="0"/>
          <w:numId w:val="6"/>
        </w:numPr>
        <w:spacing w:after="0" w:line="240" w:lineRule="auto"/>
        <w:rPr>
          <w:sz w:val="28"/>
          <w:szCs w:val="28"/>
        </w:rPr>
      </w:pPr>
      <w:r>
        <w:rPr>
          <w:sz w:val="28"/>
          <w:szCs w:val="28"/>
        </w:rPr>
        <w:lastRenderedPageBreak/>
        <w:t xml:space="preserve">Scenārija Nr.1 (S1) – </w:t>
      </w:r>
      <w:r w:rsidR="00CE3A6D" w:rsidRPr="00C63F0C">
        <w:rPr>
          <w:sz w:val="28"/>
          <w:szCs w:val="28"/>
        </w:rPr>
        <w:t>turpina būt par EKA Eiropas sadarbības valsti uz nākošo 5 gadu periodu,</w:t>
      </w:r>
    </w:p>
    <w:p w:rsidR="00CE3A6D" w:rsidRPr="00C63F0C" w:rsidRDefault="006C45CE" w:rsidP="00417E65">
      <w:pPr>
        <w:pStyle w:val="Numeretslists"/>
        <w:numPr>
          <w:ilvl w:val="0"/>
          <w:numId w:val="6"/>
        </w:numPr>
        <w:spacing w:after="0" w:line="240" w:lineRule="auto"/>
        <w:rPr>
          <w:sz w:val="28"/>
          <w:szCs w:val="28"/>
        </w:rPr>
      </w:pPr>
      <w:r>
        <w:rPr>
          <w:sz w:val="28"/>
          <w:szCs w:val="28"/>
        </w:rPr>
        <w:t xml:space="preserve">Scenārija Nr.2 (S2) – </w:t>
      </w:r>
      <w:r w:rsidR="00CE3A6D" w:rsidRPr="00C63F0C">
        <w:rPr>
          <w:sz w:val="28"/>
          <w:szCs w:val="28"/>
        </w:rPr>
        <w:t>kļūst par pilntiesīgu EKA dalībvalsti,</w:t>
      </w:r>
    </w:p>
    <w:p w:rsidR="00CE3A6D" w:rsidRPr="00C63F0C" w:rsidRDefault="006C45CE" w:rsidP="00417E65">
      <w:pPr>
        <w:pStyle w:val="Numeretslists"/>
        <w:numPr>
          <w:ilvl w:val="0"/>
          <w:numId w:val="6"/>
        </w:numPr>
        <w:spacing w:after="0" w:line="240" w:lineRule="auto"/>
        <w:rPr>
          <w:sz w:val="28"/>
          <w:szCs w:val="28"/>
        </w:rPr>
      </w:pPr>
      <w:r>
        <w:rPr>
          <w:sz w:val="28"/>
          <w:szCs w:val="28"/>
        </w:rPr>
        <w:t xml:space="preserve">Scenārija Nr.3 (S3) – </w:t>
      </w:r>
      <w:r w:rsidR="00CE3A6D" w:rsidRPr="00C63F0C">
        <w:rPr>
          <w:sz w:val="28"/>
          <w:szCs w:val="28"/>
        </w:rPr>
        <w:t>pārtrauc sadarbību ar EKA.</w:t>
      </w:r>
    </w:p>
    <w:p w:rsidR="00417E65" w:rsidRDefault="00417E65" w:rsidP="00DF3C09">
      <w:pPr>
        <w:ind w:firstLine="720"/>
        <w:jc w:val="both"/>
        <w:rPr>
          <w:sz w:val="28"/>
          <w:szCs w:val="28"/>
        </w:rPr>
      </w:pPr>
    </w:p>
    <w:p w:rsidR="00CE3A6D" w:rsidRPr="00C63F0C" w:rsidRDefault="00417E65" w:rsidP="00417E65">
      <w:pPr>
        <w:ind w:firstLine="720"/>
        <w:jc w:val="both"/>
        <w:rPr>
          <w:sz w:val="28"/>
          <w:szCs w:val="28"/>
        </w:rPr>
      </w:pPr>
      <w:r>
        <w:rPr>
          <w:sz w:val="28"/>
          <w:szCs w:val="28"/>
        </w:rPr>
        <w:t xml:space="preserve">Rūpīga </w:t>
      </w:r>
      <w:proofErr w:type="spellStart"/>
      <w:r>
        <w:rPr>
          <w:sz w:val="28"/>
          <w:szCs w:val="28"/>
        </w:rPr>
        <w:t>a</w:t>
      </w:r>
      <w:r w:rsidR="00CE3A6D" w:rsidRPr="00C63F0C">
        <w:rPr>
          <w:sz w:val="28"/>
          <w:szCs w:val="28"/>
        </w:rPr>
        <w:t>pakšscenāriju</w:t>
      </w:r>
      <w:proofErr w:type="spellEnd"/>
      <w:r w:rsidR="00CE3A6D" w:rsidRPr="00C63F0C">
        <w:rPr>
          <w:sz w:val="28"/>
          <w:szCs w:val="28"/>
        </w:rPr>
        <w:t xml:space="preserve"> analīze ir būtiska, lemjot par līdzekļu piešķiršanu pirmajam 5 gadu periodam, jo EKA sadarbības valsts statuss pats par sevi vēl negarantē noteiktus kosmosa nozares vai kosmosa tehnoloģiju sniegtos uzlabojumus Latvijas tautsaimniecībā. Tādēļ pēc </w:t>
      </w:r>
      <w:proofErr w:type="spellStart"/>
      <w:r w:rsidR="00CE3A6D" w:rsidRPr="00C63F0C">
        <w:rPr>
          <w:i/>
          <w:sz w:val="28"/>
          <w:szCs w:val="28"/>
        </w:rPr>
        <w:t>ex-post</w:t>
      </w:r>
      <w:proofErr w:type="spellEnd"/>
      <w:r w:rsidR="00CE3A6D" w:rsidRPr="00C63F0C">
        <w:rPr>
          <w:sz w:val="28"/>
          <w:szCs w:val="28"/>
        </w:rPr>
        <w:t xml:space="preserve"> izmaksu/ieguvu</w:t>
      </w:r>
      <w:r>
        <w:rPr>
          <w:sz w:val="28"/>
          <w:szCs w:val="28"/>
        </w:rPr>
        <w:t>ma izvērtējuma 2018.gada beigās</w:t>
      </w:r>
      <w:r w:rsidR="00CE3A6D" w:rsidRPr="00C63F0C">
        <w:rPr>
          <w:sz w:val="28"/>
          <w:szCs w:val="28"/>
        </w:rPr>
        <w:t xml:space="preserve"> pastāv noteikta varbūtība jebkuram no augstāk minētajiem </w:t>
      </w:r>
      <w:proofErr w:type="spellStart"/>
      <w:r w:rsidR="00CE3A6D" w:rsidRPr="00C63F0C">
        <w:rPr>
          <w:sz w:val="28"/>
          <w:szCs w:val="28"/>
        </w:rPr>
        <w:t>apakšscenārijiem</w:t>
      </w:r>
      <w:proofErr w:type="spellEnd"/>
      <w:r w:rsidR="00CE3A6D" w:rsidRPr="00C63F0C">
        <w:rPr>
          <w:sz w:val="28"/>
          <w:szCs w:val="28"/>
        </w:rPr>
        <w:t>.</w:t>
      </w:r>
    </w:p>
    <w:p w:rsidR="00CE3A6D" w:rsidRPr="00C63F0C" w:rsidRDefault="00CE3A6D" w:rsidP="00DF3C09">
      <w:pPr>
        <w:ind w:firstLine="720"/>
        <w:jc w:val="both"/>
        <w:rPr>
          <w:sz w:val="28"/>
          <w:szCs w:val="28"/>
        </w:rPr>
      </w:pPr>
      <w:proofErr w:type="spellStart"/>
      <w:r w:rsidRPr="00C63F0C">
        <w:rPr>
          <w:i/>
          <w:sz w:val="28"/>
          <w:szCs w:val="28"/>
        </w:rPr>
        <w:t>Ex-ante</w:t>
      </w:r>
      <w:proofErr w:type="spellEnd"/>
      <w:r w:rsidRPr="00C63F0C">
        <w:rPr>
          <w:sz w:val="28"/>
          <w:szCs w:val="28"/>
        </w:rPr>
        <w:t xml:space="preserve"> kvantitatīvās ieguvumu/ieņēmumu un izdevumu analīzes veikšanai ir izveidots finanšu un ekonomiskās analīzes modelis</w:t>
      </w:r>
      <w:r w:rsidR="00417E65">
        <w:rPr>
          <w:sz w:val="28"/>
          <w:szCs w:val="28"/>
        </w:rPr>
        <w:t xml:space="preserve"> un e</w:t>
      </w:r>
      <w:r w:rsidRPr="00C63F0C">
        <w:rPr>
          <w:sz w:val="28"/>
          <w:szCs w:val="28"/>
        </w:rPr>
        <w:t>konomiskās analīzes rezultāti parāda, ka Bāzes alternatīvā, ja Latvijas izlemj neuzsākt sadarbību ar EKA</w:t>
      </w:r>
      <w:r w:rsidR="00417E65">
        <w:rPr>
          <w:sz w:val="28"/>
          <w:szCs w:val="28"/>
        </w:rPr>
        <w:t xml:space="preserve">, </w:t>
      </w:r>
      <w:r w:rsidRPr="00C63F0C">
        <w:rPr>
          <w:sz w:val="28"/>
          <w:szCs w:val="28"/>
        </w:rPr>
        <w:t>Latvijas kosmosa nozare</w:t>
      </w:r>
      <w:r w:rsidRPr="00C63F0C">
        <w:rPr>
          <w:rStyle w:val="FootnoteReference"/>
          <w:sz w:val="28"/>
          <w:szCs w:val="28"/>
        </w:rPr>
        <w:footnoteReference w:id="1"/>
      </w:r>
      <w:r w:rsidRPr="00C63F0C">
        <w:rPr>
          <w:sz w:val="28"/>
          <w:szCs w:val="28"/>
        </w:rPr>
        <w:t xml:space="preserve"> 15 gadu laikā aptuveni dubultos savu apgrozījumu no nepilniem 2 milj. latu 2013.g. uz nepilniem 4 milj. latu 2027.g (izteiktu 2011.g. salīdzināmās cenās), vidēji gadā nodarbinot ap 107 pilna laika darbiniekiem. Ikgadējais pienesums IKP lēšams starp 1 milj. latu 2013.g. un 2 milj. latu 2027.g.</w:t>
      </w:r>
    </w:p>
    <w:p w:rsidR="00CE3A6D" w:rsidRPr="00C63F0C" w:rsidRDefault="00CE3A6D" w:rsidP="00DF3C09">
      <w:pPr>
        <w:ind w:firstLine="720"/>
        <w:jc w:val="both"/>
        <w:rPr>
          <w:sz w:val="28"/>
          <w:szCs w:val="28"/>
        </w:rPr>
      </w:pPr>
      <w:r w:rsidRPr="00C63F0C">
        <w:rPr>
          <w:sz w:val="28"/>
          <w:szCs w:val="28"/>
        </w:rPr>
        <w:t xml:space="preserve">Ja Latvija uzsāk sadarbību ar EKA, tad atkarībā no 2018.gadā valsts izvēlētā </w:t>
      </w:r>
      <w:proofErr w:type="spellStart"/>
      <w:r w:rsidRPr="00C63F0C">
        <w:rPr>
          <w:sz w:val="28"/>
          <w:szCs w:val="28"/>
        </w:rPr>
        <w:t>apakšscenārija</w:t>
      </w:r>
      <w:proofErr w:type="spellEnd"/>
      <w:r w:rsidRPr="00C63F0C">
        <w:rPr>
          <w:sz w:val="28"/>
          <w:szCs w:val="28"/>
        </w:rPr>
        <w:t xml:space="preserve">, sadarbības perioda laikā </w:t>
      </w:r>
      <w:r w:rsidRPr="00C63F0C">
        <w:rPr>
          <w:b/>
          <w:sz w:val="28"/>
          <w:szCs w:val="28"/>
        </w:rPr>
        <w:t>papildus bāzes alternatīvā prognozētajam</w:t>
      </w:r>
      <w:r w:rsidRPr="00C63F0C">
        <w:rPr>
          <w:sz w:val="28"/>
          <w:szCs w:val="28"/>
        </w:rPr>
        <w:t xml:space="preserve"> Latvijas </w:t>
      </w:r>
      <w:proofErr w:type="spellStart"/>
      <w:r w:rsidRPr="00C63F0C">
        <w:rPr>
          <w:i/>
          <w:sz w:val="28"/>
          <w:szCs w:val="28"/>
        </w:rPr>
        <w:t>upstream</w:t>
      </w:r>
      <w:proofErr w:type="spellEnd"/>
      <w:r w:rsidR="009D1ED3" w:rsidRPr="00C63F0C">
        <w:rPr>
          <w:rStyle w:val="FootnoteReference"/>
          <w:i/>
          <w:sz w:val="28"/>
          <w:szCs w:val="28"/>
        </w:rPr>
        <w:footnoteReference w:id="2"/>
      </w:r>
      <w:r w:rsidRPr="00C63F0C">
        <w:rPr>
          <w:sz w:val="28"/>
          <w:szCs w:val="28"/>
        </w:rPr>
        <w:t xml:space="preserve"> kosmosa nozares </w:t>
      </w:r>
      <w:r w:rsidRPr="00C63F0C">
        <w:rPr>
          <w:b/>
          <w:sz w:val="28"/>
          <w:szCs w:val="28"/>
        </w:rPr>
        <w:t xml:space="preserve">apgrozījums vidēji gadā  pieaug </w:t>
      </w:r>
      <w:r w:rsidR="00417E65">
        <w:rPr>
          <w:b/>
          <w:sz w:val="28"/>
          <w:szCs w:val="28"/>
        </w:rPr>
        <w:t>no</w:t>
      </w:r>
      <w:r w:rsidRPr="00C63F0C">
        <w:rPr>
          <w:b/>
          <w:sz w:val="28"/>
          <w:szCs w:val="28"/>
        </w:rPr>
        <w:t xml:space="preserve"> 2 milj. līdz pat 7.5 milj. latu, nodarbinātība aptuveni par 70 līdz 270 pilna laika darba vietām, savukārt papildus radītā iekšzemes kopprodukta vērtība no 1 līdz 4 miljoniem latu</w:t>
      </w:r>
      <w:r w:rsidRPr="00C63F0C">
        <w:rPr>
          <w:sz w:val="28"/>
          <w:szCs w:val="28"/>
        </w:rPr>
        <w:t xml:space="preserve"> vidēji gadā.</w:t>
      </w:r>
    </w:p>
    <w:p w:rsidR="00DF3C09" w:rsidRDefault="00CE3A6D" w:rsidP="00443897">
      <w:pPr>
        <w:ind w:firstLine="720"/>
        <w:jc w:val="both"/>
        <w:rPr>
          <w:sz w:val="28"/>
          <w:szCs w:val="28"/>
        </w:rPr>
      </w:pPr>
      <w:r w:rsidRPr="00C63F0C">
        <w:rPr>
          <w:sz w:val="28"/>
          <w:szCs w:val="28"/>
        </w:rPr>
        <w:t xml:space="preserve">Neskatoties uz konservatīvo pieņēmumu bāzi un ievaddatu vērtībām, visi trīs Sadarbības alternatīvas </w:t>
      </w:r>
      <w:proofErr w:type="spellStart"/>
      <w:r w:rsidRPr="00C63F0C">
        <w:rPr>
          <w:sz w:val="28"/>
          <w:szCs w:val="28"/>
        </w:rPr>
        <w:t>apakšscenāriji</w:t>
      </w:r>
      <w:proofErr w:type="spellEnd"/>
      <w:r w:rsidRPr="00C63F0C">
        <w:rPr>
          <w:sz w:val="28"/>
          <w:szCs w:val="28"/>
        </w:rPr>
        <w:t xml:space="preserve"> uzrāda pozitīvus investīciju atdeves rādītājus, kur katrs </w:t>
      </w:r>
      <w:r w:rsidR="00417E65">
        <w:rPr>
          <w:sz w:val="28"/>
          <w:szCs w:val="28"/>
        </w:rPr>
        <w:t>i</w:t>
      </w:r>
      <w:r w:rsidRPr="00C63F0C">
        <w:rPr>
          <w:sz w:val="28"/>
          <w:szCs w:val="28"/>
        </w:rPr>
        <w:t xml:space="preserve">eguldītais lats sniedz atdevi vairāk kā 1 lata apmērā, </w:t>
      </w:r>
      <w:r w:rsidR="00417E65">
        <w:rPr>
          <w:sz w:val="28"/>
          <w:szCs w:val="28"/>
        </w:rPr>
        <w:t xml:space="preserve">t.i. </w:t>
      </w:r>
      <w:r w:rsidRPr="00C63F0C">
        <w:rPr>
          <w:sz w:val="28"/>
          <w:szCs w:val="28"/>
        </w:rPr>
        <w:t xml:space="preserve">atdeve </w:t>
      </w:r>
      <w:r w:rsidR="00417E65">
        <w:rPr>
          <w:sz w:val="28"/>
          <w:szCs w:val="28"/>
        </w:rPr>
        <w:t xml:space="preserve">tiek plānota </w:t>
      </w:r>
      <w:r w:rsidRPr="00C63F0C">
        <w:rPr>
          <w:sz w:val="28"/>
          <w:szCs w:val="28"/>
        </w:rPr>
        <w:t>robežās starp 1.12 un 1.46 latiem uz katru ieguldīto latu.</w:t>
      </w:r>
    </w:p>
    <w:p w:rsidR="00443897" w:rsidRDefault="00443897" w:rsidP="00443897">
      <w:pPr>
        <w:ind w:firstLine="720"/>
        <w:jc w:val="both"/>
        <w:rPr>
          <w:sz w:val="28"/>
          <w:szCs w:val="28"/>
        </w:rPr>
      </w:pPr>
    </w:p>
    <w:p w:rsidR="00417E65" w:rsidRDefault="00417E65" w:rsidP="00443897">
      <w:pPr>
        <w:ind w:firstLine="720"/>
        <w:jc w:val="both"/>
        <w:rPr>
          <w:sz w:val="28"/>
          <w:szCs w:val="28"/>
        </w:rPr>
      </w:pPr>
    </w:p>
    <w:p w:rsidR="00417E65" w:rsidRDefault="00417E65" w:rsidP="00443897">
      <w:pPr>
        <w:ind w:firstLine="720"/>
        <w:jc w:val="both"/>
        <w:rPr>
          <w:sz w:val="28"/>
          <w:szCs w:val="28"/>
        </w:rPr>
      </w:pPr>
    </w:p>
    <w:p w:rsidR="00417E65" w:rsidRDefault="00417E65" w:rsidP="00443897">
      <w:pPr>
        <w:ind w:firstLine="720"/>
        <w:jc w:val="both"/>
        <w:rPr>
          <w:sz w:val="28"/>
          <w:szCs w:val="28"/>
        </w:rPr>
      </w:pPr>
    </w:p>
    <w:p w:rsidR="00417E65" w:rsidRDefault="00417E65" w:rsidP="00443897">
      <w:pPr>
        <w:ind w:firstLine="720"/>
        <w:jc w:val="both"/>
        <w:rPr>
          <w:sz w:val="28"/>
          <w:szCs w:val="28"/>
        </w:rPr>
      </w:pPr>
    </w:p>
    <w:p w:rsidR="00417E65" w:rsidRDefault="00417E65" w:rsidP="00443897">
      <w:pPr>
        <w:ind w:firstLine="720"/>
        <w:jc w:val="both"/>
        <w:rPr>
          <w:sz w:val="28"/>
          <w:szCs w:val="28"/>
        </w:rPr>
      </w:pPr>
    </w:p>
    <w:p w:rsidR="00417E65" w:rsidRDefault="00417E65" w:rsidP="00443897">
      <w:pPr>
        <w:ind w:firstLine="720"/>
        <w:jc w:val="both"/>
        <w:rPr>
          <w:sz w:val="28"/>
          <w:szCs w:val="28"/>
        </w:rPr>
      </w:pPr>
    </w:p>
    <w:p w:rsidR="00417E65" w:rsidRDefault="00417E65" w:rsidP="00443897">
      <w:pPr>
        <w:ind w:firstLine="720"/>
        <w:jc w:val="both"/>
        <w:rPr>
          <w:sz w:val="28"/>
          <w:szCs w:val="28"/>
        </w:rPr>
      </w:pPr>
    </w:p>
    <w:p w:rsidR="00417E65" w:rsidRDefault="00417E65" w:rsidP="00443897">
      <w:pPr>
        <w:ind w:firstLine="720"/>
        <w:jc w:val="both"/>
        <w:rPr>
          <w:sz w:val="28"/>
          <w:szCs w:val="28"/>
        </w:rPr>
      </w:pPr>
    </w:p>
    <w:p w:rsidR="00417E65" w:rsidRDefault="00417E65" w:rsidP="00443897">
      <w:pPr>
        <w:ind w:firstLine="720"/>
        <w:jc w:val="both"/>
        <w:rPr>
          <w:sz w:val="28"/>
          <w:szCs w:val="28"/>
        </w:rPr>
      </w:pPr>
    </w:p>
    <w:p w:rsidR="00417E65" w:rsidRDefault="00417E65" w:rsidP="00443897">
      <w:pPr>
        <w:ind w:firstLine="720"/>
        <w:jc w:val="both"/>
        <w:rPr>
          <w:sz w:val="28"/>
          <w:szCs w:val="28"/>
        </w:rPr>
      </w:pPr>
    </w:p>
    <w:p w:rsidR="00CE3A6D" w:rsidRPr="00443897" w:rsidRDefault="00CE3A6D" w:rsidP="00DF3C09">
      <w:pPr>
        <w:pStyle w:val="Caption"/>
        <w:spacing w:after="0"/>
        <w:ind w:firstLine="720"/>
        <w:jc w:val="both"/>
      </w:pPr>
      <w:r w:rsidRPr="00443897">
        <w:t>Tabula</w:t>
      </w:r>
      <w:r w:rsidR="00DF3C09" w:rsidRPr="00443897">
        <w:t xml:space="preserve"> Nr.1</w:t>
      </w:r>
      <w:r w:rsidRPr="00443897">
        <w:t>, Valsts budžeta izdevumu un ekonomiskās analīzes investīciju atdeves rādītāju salīdzinājums starp scenārijiem, diskonta likme r=5.5%.</w:t>
      </w:r>
    </w:p>
    <w:p w:rsidR="00DF3C09" w:rsidRPr="00DF3C09" w:rsidRDefault="00DF3C09" w:rsidP="00DF3C09"/>
    <w:tbl>
      <w:tblPr>
        <w:tblW w:w="4938" w:type="pct"/>
        <w:tblInd w:w="-34" w:type="dxa"/>
        <w:tblLayout w:type="fixed"/>
        <w:tblLook w:val="04A0"/>
      </w:tblPr>
      <w:tblGrid>
        <w:gridCol w:w="4724"/>
        <w:gridCol w:w="1233"/>
        <w:gridCol w:w="848"/>
        <w:gridCol w:w="850"/>
        <w:gridCol w:w="994"/>
        <w:gridCol w:w="707"/>
      </w:tblGrid>
      <w:tr w:rsidR="00CE3A6D" w:rsidRPr="00C63F0C" w:rsidTr="00417E65">
        <w:trPr>
          <w:trHeight w:val="600"/>
        </w:trPr>
        <w:tc>
          <w:tcPr>
            <w:tcW w:w="2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A6D" w:rsidRPr="00C63F0C" w:rsidRDefault="00CE3A6D" w:rsidP="006C45CE">
            <w:pPr>
              <w:jc w:val="center"/>
              <w:rPr>
                <w:b/>
                <w:sz w:val="28"/>
                <w:szCs w:val="28"/>
              </w:rPr>
            </w:pPr>
          </w:p>
        </w:tc>
        <w:tc>
          <w:tcPr>
            <w:tcW w:w="659" w:type="pct"/>
            <w:tcBorders>
              <w:top w:val="single" w:sz="4" w:space="0" w:color="auto"/>
              <w:left w:val="nil"/>
              <w:bottom w:val="single" w:sz="4" w:space="0" w:color="auto"/>
              <w:right w:val="single" w:sz="4" w:space="0" w:color="auto"/>
            </w:tcBorders>
            <w:shd w:val="clear" w:color="auto" w:fill="auto"/>
            <w:noWrap/>
            <w:vAlign w:val="center"/>
            <w:hideMark/>
          </w:tcPr>
          <w:p w:rsidR="00CE3A6D" w:rsidRPr="00C63F0C" w:rsidRDefault="00CE3A6D" w:rsidP="006C45CE">
            <w:pPr>
              <w:jc w:val="center"/>
              <w:rPr>
                <w:b/>
                <w:sz w:val="28"/>
                <w:szCs w:val="28"/>
              </w:rPr>
            </w:pP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CE3A6D" w:rsidRPr="00C63F0C" w:rsidRDefault="00CE3A6D" w:rsidP="006C45CE">
            <w:pPr>
              <w:jc w:val="center"/>
            </w:pPr>
            <w:r w:rsidRPr="00C63F0C">
              <w:t>S0 Bāze</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CE3A6D" w:rsidRPr="00C63F0C" w:rsidRDefault="00CE3A6D" w:rsidP="006C45CE">
            <w:pPr>
              <w:jc w:val="center"/>
            </w:pPr>
            <w:r w:rsidRPr="00C63F0C">
              <w:t>S1</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CE3A6D" w:rsidRPr="00C63F0C" w:rsidRDefault="00CE3A6D" w:rsidP="006C45CE">
            <w:pPr>
              <w:jc w:val="center"/>
            </w:pPr>
            <w:r w:rsidRPr="00C63F0C">
              <w:t>S2</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CE3A6D" w:rsidRPr="00C63F0C" w:rsidRDefault="00CE3A6D" w:rsidP="006C45CE">
            <w:pPr>
              <w:jc w:val="center"/>
            </w:pPr>
            <w:r w:rsidRPr="00C63F0C">
              <w:t>S3</w:t>
            </w:r>
          </w:p>
        </w:tc>
      </w:tr>
      <w:tr w:rsidR="00CE3A6D" w:rsidRPr="00C63F0C" w:rsidTr="00417E65">
        <w:trPr>
          <w:trHeight w:val="315"/>
        </w:trPr>
        <w:tc>
          <w:tcPr>
            <w:tcW w:w="3184" w:type="pct"/>
            <w:gridSpan w:val="2"/>
            <w:tcBorders>
              <w:top w:val="single" w:sz="4" w:space="0" w:color="auto"/>
              <w:left w:val="single" w:sz="4" w:space="0" w:color="auto"/>
              <w:bottom w:val="single" w:sz="4" w:space="0" w:color="auto"/>
              <w:right w:val="nil"/>
            </w:tcBorders>
            <w:shd w:val="clear" w:color="000000" w:fill="D8D8D8"/>
            <w:noWrap/>
            <w:vAlign w:val="center"/>
            <w:hideMark/>
          </w:tcPr>
          <w:p w:rsidR="00CE3A6D" w:rsidRPr="00C63F0C" w:rsidRDefault="00CE3A6D" w:rsidP="00DF3C09">
            <w:pPr>
              <w:jc w:val="both"/>
            </w:pPr>
            <w:r w:rsidRPr="00C63F0C">
              <w:t>VALSTS BUDŽETA IZDEVUMI (kopsumma 15 gados)</w:t>
            </w:r>
          </w:p>
        </w:tc>
        <w:tc>
          <w:tcPr>
            <w:tcW w:w="453" w:type="pct"/>
            <w:tcBorders>
              <w:top w:val="nil"/>
              <w:left w:val="nil"/>
              <w:bottom w:val="single" w:sz="4" w:space="0" w:color="auto"/>
              <w:right w:val="nil"/>
            </w:tcBorders>
            <w:shd w:val="clear" w:color="000000" w:fill="D8D8D8"/>
            <w:noWrap/>
            <w:vAlign w:val="center"/>
            <w:hideMark/>
          </w:tcPr>
          <w:p w:rsidR="00CE3A6D" w:rsidRPr="00C63F0C" w:rsidRDefault="00CE3A6D" w:rsidP="00DF3C09">
            <w:pPr>
              <w:jc w:val="both"/>
              <w:rPr>
                <w:b/>
                <w:sz w:val="28"/>
                <w:szCs w:val="28"/>
              </w:rPr>
            </w:pPr>
          </w:p>
        </w:tc>
        <w:tc>
          <w:tcPr>
            <w:tcW w:w="454" w:type="pct"/>
            <w:tcBorders>
              <w:top w:val="nil"/>
              <w:left w:val="nil"/>
              <w:bottom w:val="single" w:sz="4" w:space="0" w:color="auto"/>
              <w:right w:val="nil"/>
            </w:tcBorders>
            <w:shd w:val="clear" w:color="000000" w:fill="D8D8D8"/>
            <w:noWrap/>
            <w:vAlign w:val="center"/>
            <w:hideMark/>
          </w:tcPr>
          <w:p w:rsidR="00CE3A6D" w:rsidRPr="00C63F0C" w:rsidRDefault="00CE3A6D" w:rsidP="00DF3C09">
            <w:pPr>
              <w:jc w:val="both"/>
              <w:rPr>
                <w:b/>
                <w:sz w:val="28"/>
                <w:szCs w:val="28"/>
              </w:rPr>
            </w:pPr>
          </w:p>
        </w:tc>
        <w:tc>
          <w:tcPr>
            <w:tcW w:w="531" w:type="pct"/>
            <w:tcBorders>
              <w:top w:val="nil"/>
              <w:left w:val="nil"/>
              <w:bottom w:val="single" w:sz="4" w:space="0" w:color="auto"/>
              <w:right w:val="nil"/>
            </w:tcBorders>
            <w:shd w:val="clear" w:color="000000" w:fill="D8D8D8"/>
            <w:noWrap/>
            <w:vAlign w:val="center"/>
            <w:hideMark/>
          </w:tcPr>
          <w:p w:rsidR="00CE3A6D" w:rsidRPr="00C63F0C" w:rsidRDefault="00CE3A6D" w:rsidP="00DF3C09">
            <w:pPr>
              <w:jc w:val="both"/>
              <w:rPr>
                <w:b/>
                <w:sz w:val="28"/>
                <w:szCs w:val="28"/>
              </w:rPr>
            </w:pPr>
          </w:p>
        </w:tc>
        <w:tc>
          <w:tcPr>
            <w:tcW w:w="378" w:type="pct"/>
            <w:tcBorders>
              <w:top w:val="nil"/>
              <w:left w:val="nil"/>
              <w:bottom w:val="single" w:sz="4" w:space="0" w:color="auto"/>
              <w:right w:val="single" w:sz="4" w:space="0" w:color="auto"/>
            </w:tcBorders>
            <w:shd w:val="clear" w:color="000000" w:fill="D8D8D8"/>
            <w:noWrap/>
            <w:vAlign w:val="center"/>
            <w:hideMark/>
          </w:tcPr>
          <w:p w:rsidR="00CE3A6D" w:rsidRPr="00C63F0C" w:rsidRDefault="00CE3A6D" w:rsidP="00DF3C09">
            <w:pPr>
              <w:jc w:val="both"/>
              <w:rPr>
                <w:b/>
                <w:sz w:val="28"/>
                <w:szCs w:val="28"/>
              </w:rPr>
            </w:pPr>
          </w:p>
        </w:tc>
      </w:tr>
      <w:tr w:rsidR="00CE3A6D" w:rsidRPr="00C63F0C" w:rsidTr="00417E65">
        <w:trPr>
          <w:trHeight w:val="300"/>
        </w:trPr>
        <w:tc>
          <w:tcPr>
            <w:tcW w:w="2525" w:type="pct"/>
            <w:tcBorders>
              <w:top w:val="nil"/>
              <w:left w:val="single" w:sz="4" w:space="0" w:color="auto"/>
              <w:bottom w:val="single" w:sz="4" w:space="0" w:color="auto"/>
              <w:right w:val="single" w:sz="4" w:space="0" w:color="auto"/>
            </w:tcBorders>
            <w:shd w:val="clear" w:color="auto" w:fill="auto"/>
            <w:noWrap/>
            <w:vAlign w:val="center"/>
            <w:hideMark/>
          </w:tcPr>
          <w:p w:rsidR="00CE3A6D" w:rsidRPr="00C63F0C" w:rsidRDefault="00CE3A6D" w:rsidP="00DF3C09">
            <w:pPr>
              <w:jc w:val="both"/>
              <w:rPr>
                <w:i/>
              </w:rPr>
            </w:pPr>
            <w:r w:rsidRPr="00C63F0C">
              <w:rPr>
                <w:i/>
              </w:rPr>
              <w:t>Tagadnes vērtība (2011.g. cenās)</w:t>
            </w:r>
          </w:p>
          <w:p w:rsidR="00CE3A6D" w:rsidRPr="00C63F0C" w:rsidRDefault="00CE3A6D" w:rsidP="00DF3C09">
            <w:pPr>
              <w:jc w:val="both"/>
              <w:rPr>
                <w:i/>
              </w:rPr>
            </w:pPr>
          </w:p>
        </w:tc>
        <w:tc>
          <w:tcPr>
            <w:tcW w:w="659"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pPr>
            <w:r w:rsidRPr="00C63F0C">
              <w:t>milj. LVL</w:t>
            </w:r>
          </w:p>
        </w:tc>
        <w:tc>
          <w:tcPr>
            <w:tcW w:w="453"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rPr>
                <w:sz w:val="28"/>
                <w:szCs w:val="28"/>
              </w:rPr>
            </w:pPr>
            <w:r w:rsidRPr="00C63F0C">
              <w:rPr>
                <w:sz w:val="28"/>
                <w:szCs w:val="28"/>
              </w:rPr>
              <w:t>0</w:t>
            </w:r>
          </w:p>
        </w:tc>
        <w:tc>
          <w:tcPr>
            <w:tcW w:w="454"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rPr>
                <w:sz w:val="28"/>
                <w:szCs w:val="28"/>
              </w:rPr>
            </w:pPr>
            <w:r w:rsidRPr="00C63F0C">
              <w:rPr>
                <w:sz w:val="28"/>
                <w:szCs w:val="28"/>
              </w:rPr>
              <w:t>6.65</w:t>
            </w:r>
          </w:p>
        </w:tc>
        <w:tc>
          <w:tcPr>
            <w:tcW w:w="531"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rPr>
                <w:sz w:val="28"/>
                <w:szCs w:val="28"/>
              </w:rPr>
            </w:pPr>
            <w:r w:rsidRPr="00C63F0C">
              <w:rPr>
                <w:sz w:val="28"/>
                <w:szCs w:val="28"/>
              </w:rPr>
              <w:t>21.97</w:t>
            </w:r>
          </w:p>
        </w:tc>
        <w:tc>
          <w:tcPr>
            <w:tcW w:w="378"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rPr>
                <w:sz w:val="28"/>
                <w:szCs w:val="28"/>
              </w:rPr>
            </w:pPr>
            <w:r w:rsidRPr="00C63F0C">
              <w:rPr>
                <w:sz w:val="28"/>
                <w:szCs w:val="28"/>
              </w:rPr>
              <w:t>3.77</w:t>
            </w:r>
          </w:p>
        </w:tc>
      </w:tr>
      <w:tr w:rsidR="00CE3A6D" w:rsidRPr="00C63F0C" w:rsidTr="00417E65">
        <w:trPr>
          <w:trHeight w:val="315"/>
        </w:trPr>
        <w:tc>
          <w:tcPr>
            <w:tcW w:w="3184" w:type="pct"/>
            <w:gridSpan w:val="2"/>
            <w:tcBorders>
              <w:top w:val="single" w:sz="4" w:space="0" w:color="auto"/>
              <w:left w:val="single" w:sz="4" w:space="0" w:color="auto"/>
              <w:bottom w:val="single" w:sz="4" w:space="0" w:color="auto"/>
              <w:right w:val="nil"/>
            </w:tcBorders>
            <w:shd w:val="clear" w:color="000000" w:fill="D8D8D8"/>
            <w:noWrap/>
            <w:vAlign w:val="center"/>
            <w:hideMark/>
          </w:tcPr>
          <w:p w:rsidR="00CE3A6D" w:rsidRPr="00C63F0C" w:rsidRDefault="00CE3A6D" w:rsidP="00DF3C09">
            <w:pPr>
              <w:jc w:val="both"/>
            </w:pPr>
            <w:r w:rsidRPr="00C63F0C">
              <w:t>INVESTĪCIJU ATDEVE</w:t>
            </w:r>
          </w:p>
        </w:tc>
        <w:tc>
          <w:tcPr>
            <w:tcW w:w="453" w:type="pct"/>
            <w:tcBorders>
              <w:top w:val="nil"/>
              <w:left w:val="nil"/>
              <w:bottom w:val="single" w:sz="4" w:space="0" w:color="auto"/>
              <w:right w:val="nil"/>
            </w:tcBorders>
            <w:shd w:val="clear" w:color="000000" w:fill="D8D8D8"/>
            <w:noWrap/>
            <w:vAlign w:val="center"/>
            <w:hideMark/>
          </w:tcPr>
          <w:p w:rsidR="00CE3A6D" w:rsidRPr="00C63F0C" w:rsidRDefault="00CE3A6D" w:rsidP="00DF3C09">
            <w:pPr>
              <w:jc w:val="both"/>
              <w:rPr>
                <w:sz w:val="28"/>
                <w:szCs w:val="28"/>
              </w:rPr>
            </w:pPr>
          </w:p>
        </w:tc>
        <w:tc>
          <w:tcPr>
            <w:tcW w:w="454" w:type="pct"/>
            <w:tcBorders>
              <w:top w:val="nil"/>
              <w:left w:val="nil"/>
              <w:bottom w:val="single" w:sz="4" w:space="0" w:color="auto"/>
              <w:right w:val="nil"/>
            </w:tcBorders>
            <w:shd w:val="clear" w:color="000000" w:fill="D8D8D8"/>
            <w:noWrap/>
            <w:vAlign w:val="center"/>
            <w:hideMark/>
          </w:tcPr>
          <w:p w:rsidR="00CE3A6D" w:rsidRPr="00C63F0C" w:rsidRDefault="00CE3A6D" w:rsidP="00DF3C09">
            <w:pPr>
              <w:jc w:val="both"/>
              <w:rPr>
                <w:sz w:val="28"/>
                <w:szCs w:val="28"/>
              </w:rPr>
            </w:pPr>
          </w:p>
        </w:tc>
        <w:tc>
          <w:tcPr>
            <w:tcW w:w="531" w:type="pct"/>
            <w:tcBorders>
              <w:top w:val="nil"/>
              <w:left w:val="nil"/>
              <w:bottom w:val="single" w:sz="4" w:space="0" w:color="auto"/>
              <w:right w:val="nil"/>
            </w:tcBorders>
            <w:shd w:val="clear" w:color="000000" w:fill="D8D8D8"/>
            <w:noWrap/>
            <w:vAlign w:val="center"/>
            <w:hideMark/>
          </w:tcPr>
          <w:p w:rsidR="00CE3A6D" w:rsidRPr="00C63F0C" w:rsidRDefault="00CE3A6D" w:rsidP="00DF3C09">
            <w:pPr>
              <w:jc w:val="both"/>
              <w:rPr>
                <w:sz w:val="28"/>
                <w:szCs w:val="28"/>
              </w:rPr>
            </w:pPr>
          </w:p>
        </w:tc>
        <w:tc>
          <w:tcPr>
            <w:tcW w:w="378" w:type="pct"/>
            <w:tcBorders>
              <w:top w:val="nil"/>
              <w:left w:val="nil"/>
              <w:bottom w:val="single" w:sz="4" w:space="0" w:color="auto"/>
              <w:right w:val="single" w:sz="4" w:space="0" w:color="auto"/>
            </w:tcBorders>
            <w:shd w:val="clear" w:color="000000" w:fill="D8D8D8"/>
            <w:noWrap/>
            <w:vAlign w:val="center"/>
            <w:hideMark/>
          </w:tcPr>
          <w:p w:rsidR="00CE3A6D" w:rsidRPr="00C63F0C" w:rsidRDefault="00CE3A6D" w:rsidP="00DF3C09">
            <w:pPr>
              <w:jc w:val="both"/>
              <w:rPr>
                <w:sz w:val="28"/>
                <w:szCs w:val="28"/>
              </w:rPr>
            </w:pPr>
          </w:p>
        </w:tc>
      </w:tr>
      <w:tr w:rsidR="00CE3A6D" w:rsidRPr="00C63F0C" w:rsidTr="00417E65">
        <w:trPr>
          <w:trHeight w:val="300"/>
        </w:trPr>
        <w:tc>
          <w:tcPr>
            <w:tcW w:w="2525" w:type="pct"/>
            <w:tcBorders>
              <w:top w:val="nil"/>
              <w:left w:val="single" w:sz="4" w:space="0" w:color="auto"/>
              <w:bottom w:val="single" w:sz="4" w:space="0" w:color="auto"/>
              <w:right w:val="single" w:sz="4" w:space="0" w:color="auto"/>
            </w:tcBorders>
            <w:shd w:val="clear" w:color="auto" w:fill="auto"/>
            <w:noWrap/>
            <w:vAlign w:val="center"/>
            <w:hideMark/>
          </w:tcPr>
          <w:p w:rsidR="00CE3A6D" w:rsidRPr="00C63F0C" w:rsidRDefault="00CE3A6D" w:rsidP="00DF3C09">
            <w:pPr>
              <w:jc w:val="both"/>
              <w:rPr>
                <w:i/>
              </w:rPr>
            </w:pPr>
            <w:r w:rsidRPr="00C63F0C">
              <w:rPr>
                <w:i/>
              </w:rPr>
              <w:t>ENPV (2011.g. cenās)</w:t>
            </w:r>
          </w:p>
          <w:p w:rsidR="00CE3A6D" w:rsidRPr="00C63F0C" w:rsidRDefault="00CE3A6D" w:rsidP="00DF3C09">
            <w:pPr>
              <w:jc w:val="both"/>
              <w:rPr>
                <w:i/>
              </w:rPr>
            </w:pPr>
            <w:r w:rsidRPr="00C63F0C">
              <w:rPr>
                <w:i/>
              </w:rPr>
              <w:t>(Tīrā tagadnes vērtība)</w:t>
            </w:r>
          </w:p>
        </w:tc>
        <w:tc>
          <w:tcPr>
            <w:tcW w:w="659"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pPr>
            <w:r w:rsidRPr="00C63F0C">
              <w:t>milj. LVL</w:t>
            </w:r>
          </w:p>
        </w:tc>
        <w:tc>
          <w:tcPr>
            <w:tcW w:w="453"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rPr>
                <w:sz w:val="28"/>
                <w:szCs w:val="28"/>
              </w:rPr>
            </w:pPr>
            <w:r w:rsidRPr="00C63F0C">
              <w:rPr>
                <w:sz w:val="28"/>
                <w:szCs w:val="28"/>
              </w:rPr>
              <w:t>0</w:t>
            </w:r>
          </w:p>
        </w:tc>
        <w:tc>
          <w:tcPr>
            <w:tcW w:w="454"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rPr>
                <w:sz w:val="28"/>
                <w:szCs w:val="28"/>
              </w:rPr>
            </w:pPr>
            <w:r w:rsidRPr="00C63F0C">
              <w:rPr>
                <w:sz w:val="28"/>
                <w:szCs w:val="28"/>
              </w:rPr>
              <w:t>1.59</w:t>
            </w:r>
          </w:p>
        </w:tc>
        <w:tc>
          <w:tcPr>
            <w:tcW w:w="531"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rPr>
                <w:sz w:val="28"/>
                <w:szCs w:val="28"/>
              </w:rPr>
            </w:pPr>
            <w:r w:rsidRPr="00C63F0C">
              <w:rPr>
                <w:sz w:val="28"/>
                <w:szCs w:val="28"/>
              </w:rPr>
              <w:t>10.10</w:t>
            </w:r>
          </w:p>
        </w:tc>
        <w:tc>
          <w:tcPr>
            <w:tcW w:w="378"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rPr>
                <w:sz w:val="28"/>
                <w:szCs w:val="28"/>
              </w:rPr>
            </w:pPr>
            <w:r w:rsidRPr="00C63F0C">
              <w:rPr>
                <w:sz w:val="28"/>
                <w:szCs w:val="28"/>
              </w:rPr>
              <w:t>0.44</w:t>
            </w:r>
          </w:p>
        </w:tc>
      </w:tr>
      <w:tr w:rsidR="00CE3A6D" w:rsidRPr="00C63F0C" w:rsidTr="00417E65">
        <w:trPr>
          <w:trHeight w:val="300"/>
        </w:trPr>
        <w:tc>
          <w:tcPr>
            <w:tcW w:w="2525" w:type="pct"/>
            <w:tcBorders>
              <w:top w:val="nil"/>
              <w:left w:val="single" w:sz="4" w:space="0" w:color="auto"/>
              <w:bottom w:val="single" w:sz="4" w:space="0" w:color="auto"/>
              <w:right w:val="single" w:sz="4" w:space="0" w:color="auto"/>
            </w:tcBorders>
            <w:shd w:val="clear" w:color="auto" w:fill="auto"/>
            <w:noWrap/>
            <w:vAlign w:val="center"/>
            <w:hideMark/>
          </w:tcPr>
          <w:p w:rsidR="00CE3A6D" w:rsidRPr="00C63F0C" w:rsidRDefault="00CE3A6D" w:rsidP="00DF3C09">
            <w:pPr>
              <w:jc w:val="both"/>
              <w:rPr>
                <w:i/>
              </w:rPr>
            </w:pPr>
            <w:r w:rsidRPr="00C63F0C">
              <w:rPr>
                <w:i/>
              </w:rPr>
              <w:t>EIRR</w:t>
            </w:r>
          </w:p>
          <w:p w:rsidR="00CE3A6D" w:rsidRPr="00C63F0C" w:rsidRDefault="00CE3A6D" w:rsidP="00DF3C09">
            <w:pPr>
              <w:jc w:val="both"/>
              <w:rPr>
                <w:i/>
              </w:rPr>
            </w:pPr>
            <w:r w:rsidRPr="00C63F0C">
              <w:rPr>
                <w:i/>
              </w:rPr>
              <w:t>(Iekšējā atdeves likme)</w:t>
            </w:r>
          </w:p>
        </w:tc>
        <w:tc>
          <w:tcPr>
            <w:tcW w:w="659"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pPr>
            <w:r w:rsidRPr="00C63F0C">
              <w:t>%</w:t>
            </w:r>
          </w:p>
        </w:tc>
        <w:tc>
          <w:tcPr>
            <w:tcW w:w="453"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rPr>
                <w:sz w:val="28"/>
                <w:szCs w:val="28"/>
              </w:rPr>
            </w:pPr>
            <w:r w:rsidRPr="00C63F0C">
              <w:rPr>
                <w:sz w:val="28"/>
                <w:szCs w:val="28"/>
              </w:rPr>
              <w:t>n/a</w:t>
            </w:r>
          </w:p>
        </w:tc>
        <w:tc>
          <w:tcPr>
            <w:tcW w:w="454"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rPr>
                <w:sz w:val="28"/>
                <w:szCs w:val="28"/>
              </w:rPr>
            </w:pPr>
            <w:r w:rsidRPr="00C63F0C">
              <w:rPr>
                <w:sz w:val="28"/>
                <w:szCs w:val="28"/>
              </w:rPr>
              <w:t>39%</w:t>
            </w:r>
          </w:p>
        </w:tc>
        <w:tc>
          <w:tcPr>
            <w:tcW w:w="531"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rPr>
                <w:sz w:val="28"/>
                <w:szCs w:val="28"/>
              </w:rPr>
            </w:pPr>
            <w:r w:rsidRPr="00C63F0C">
              <w:rPr>
                <w:sz w:val="28"/>
                <w:szCs w:val="28"/>
              </w:rPr>
              <w:t>55%</w:t>
            </w:r>
          </w:p>
        </w:tc>
        <w:tc>
          <w:tcPr>
            <w:tcW w:w="378"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rPr>
                <w:sz w:val="28"/>
                <w:szCs w:val="28"/>
              </w:rPr>
            </w:pPr>
            <w:r w:rsidRPr="00C63F0C">
              <w:rPr>
                <w:sz w:val="28"/>
                <w:szCs w:val="28"/>
              </w:rPr>
              <w:t>33%</w:t>
            </w:r>
          </w:p>
        </w:tc>
      </w:tr>
      <w:tr w:rsidR="00CE3A6D" w:rsidRPr="00C63F0C" w:rsidTr="00417E65">
        <w:trPr>
          <w:trHeight w:val="300"/>
        </w:trPr>
        <w:tc>
          <w:tcPr>
            <w:tcW w:w="2525" w:type="pct"/>
            <w:tcBorders>
              <w:top w:val="nil"/>
              <w:left w:val="single" w:sz="4" w:space="0" w:color="auto"/>
              <w:bottom w:val="single" w:sz="4" w:space="0" w:color="auto"/>
              <w:right w:val="single" w:sz="4" w:space="0" w:color="auto"/>
            </w:tcBorders>
            <w:shd w:val="clear" w:color="auto" w:fill="auto"/>
            <w:noWrap/>
            <w:vAlign w:val="center"/>
            <w:hideMark/>
          </w:tcPr>
          <w:p w:rsidR="00CE3A6D" w:rsidRPr="00C63F0C" w:rsidRDefault="00CE3A6D" w:rsidP="00DF3C09">
            <w:pPr>
              <w:jc w:val="both"/>
              <w:rPr>
                <w:i/>
              </w:rPr>
            </w:pPr>
            <w:r w:rsidRPr="00C63F0C">
              <w:rPr>
                <w:i/>
              </w:rPr>
              <w:t>B/C koeficients</w:t>
            </w:r>
          </w:p>
          <w:p w:rsidR="00CE3A6D" w:rsidRPr="00C63F0C" w:rsidRDefault="00CE3A6D" w:rsidP="00DF3C09">
            <w:pPr>
              <w:jc w:val="both"/>
              <w:rPr>
                <w:i/>
              </w:rPr>
            </w:pPr>
            <w:r w:rsidRPr="00C63F0C">
              <w:rPr>
                <w:i/>
              </w:rPr>
              <w:t>(Ieguvumu izdevumu attiecība)</w:t>
            </w:r>
          </w:p>
        </w:tc>
        <w:tc>
          <w:tcPr>
            <w:tcW w:w="659"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pPr>
            <w:r w:rsidRPr="00C63F0C">
              <w:t>reizes</w:t>
            </w:r>
          </w:p>
        </w:tc>
        <w:tc>
          <w:tcPr>
            <w:tcW w:w="453"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rPr>
                <w:sz w:val="28"/>
                <w:szCs w:val="28"/>
              </w:rPr>
            </w:pPr>
            <w:r w:rsidRPr="00C63F0C">
              <w:rPr>
                <w:sz w:val="28"/>
                <w:szCs w:val="28"/>
              </w:rPr>
              <w:t>n/a</w:t>
            </w:r>
          </w:p>
        </w:tc>
        <w:tc>
          <w:tcPr>
            <w:tcW w:w="454"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rPr>
                <w:sz w:val="28"/>
                <w:szCs w:val="28"/>
              </w:rPr>
            </w:pPr>
            <w:r w:rsidRPr="00C63F0C">
              <w:rPr>
                <w:sz w:val="28"/>
                <w:szCs w:val="28"/>
              </w:rPr>
              <w:t>1.24</w:t>
            </w:r>
          </w:p>
        </w:tc>
        <w:tc>
          <w:tcPr>
            <w:tcW w:w="531"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rPr>
                <w:sz w:val="28"/>
                <w:szCs w:val="28"/>
              </w:rPr>
            </w:pPr>
            <w:r w:rsidRPr="00C63F0C">
              <w:rPr>
                <w:sz w:val="28"/>
                <w:szCs w:val="28"/>
              </w:rPr>
              <w:t>1.46</w:t>
            </w:r>
          </w:p>
        </w:tc>
        <w:tc>
          <w:tcPr>
            <w:tcW w:w="378" w:type="pct"/>
            <w:tcBorders>
              <w:top w:val="nil"/>
              <w:left w:val="nil"/>
              <w:bottom w:val="single" w:sz="4" w:space="0" w:color="auto"/>
              <w:right w:val="single" w:sz="4" w:space="0" w:color="auto"/>
            </w:tcBorders>
            <w:shd w:val="clear" w:color="auto" w:fill="auto"/>
            <w:noWrap/>
            <w:vAlign w:val="center"/>
            <w:hideMark/>
          </w:tcPr>
          <w:p w:rsidR="00CE3A6D" w:rsidRPr="00C63F0C" w:rsidRDefault="00CE3A6D" w:rsidP="00DF3C09">
            <w:pPr>
              <w:jc w:val="both"/>
              <w:rPr>
                <w:sz w:val="28"/>
                <w:szCs w:val="28"/>
              </w:rPr>
            </w:pPr>
            <w:r w:rsidRPr="00C63F0C">
              <w:rPr>
                <w:sz w:val="28"/>
                <w:szCs w:val="28"/>
              </w:rPr>
              <w:t>1.12</w:t>
            </w:r>
          </w:p>
        </w:tc>
      </w:tr>
    </w:tbl>
    <w:p w:rsidR="00CE3A6D" w:rsidRPr="00C63F0C" w:rsidRDefault="00CE3A6D" w:rsidP="00DF3C09">
      <w:pPr>
        <w:ind w:firstLine="720"/>
        <w:jc w:val="both"/>
        <w:rPr>
          <w:sz w:val="28"/>
          <w:szCs w:val="28"/>
        </w:rPr>
      </w:pPr>
    </w:p>
    <w:p w:rsidR="00CE3A6D" w:rsidRPr="00C63F0C" w:rsidRDefault="00CE3A6D" w:rsidP="00DF3C09">
      <w:pPr>
        <w:ind w:firstLine="720"/>
        <w:jc w:val="both"/>
        <w:rPr>
          <w:sz w:val="28"/>
          <w:szCs w:val="28"/>
        </w:rPr>
      </w:pPr>
      <w:r w:rsidRPr="00C63F0C">
        <w:rPr>
          <w:sz w:val="28"/>
          <w:szCs w:val="28"/>
        </w:rPr>
        <w:t xml:space="preserve">Balstoties uz veikto jūtīguma un risku analīzi, būtiskākie faktori, kas varētu apdraudēt ieguvumu prognožu piepildīšanos, ir Latvijas kosmosa nozares spēja pilnā apmērā apgūt Latvijai pieejamo naudu, kā arī spēja ārpus EKA kontraktiem </w:t>
      </w:r>
      <w:proofErr w:type="spellStart"/>
      <w:r w:rsidRPr="00C63F0C">
        <w:rPr>
          <w:sz w:val="28"/>
          <w:szCs w:val="28"/>
        </w:rPr>
        <w:t>komercializēt</w:t>
      </w:r>
      <w:proofErr w:type="spellEnd"/>
      <w:r w:rsidRPr="00C63F0C">
        <w:rPr>
          <w:sz w:val="28"/>
          <w:szCs w:val="28"/>
        </w:rPr>
        <w:t xml:space="preserve"> iegūtās zināšanas, </w:t>
      </w:r>
      <w:proofErr w:type="spellStart"/>
      <w:r w:rsidRPr="00C63F0C">
        <w:rPr>
          <w:i/>
          <w:sz w:val="28"/>
          <w:szCs w:val="28"/>
        </w:rPr>
        <w:t>know-how</w:t>
      </w:r>
      <w:r w:rsidRPr="00C63F0C">
        <w:rPr>
          <w:sz w:val="28"/>
          <w:szCs w:val="28"/>
        </w:rPr>
        <w:t>,</w:t>
      </w:r>
      <w:proofErr w:type="spellEnd"/>
      <w:r w:rsidRPr="00C63F0C">
        <w:rPr>
          <w:sz w:val="28"/>
          <w:szCs w:val="28"/>
        </w:rPr>
        <w:t xml:space="preserve"> pieredzi un kontaktus.</w:t>
      </w:r>
    </w:p>
    <w:p w:rsidR="00CE3A6D" w:rsidRPr="00C63F0C" w:rsidRDefault="00CE3A6D" w:rsidP="00DF3C09">
      <w:pPr>
        <w:pStyle w:val="Heading3"/>
        <w:spacing w:after="0"/>
        <w:ind w:firstLine="720"/>
        <w:rPr>
          <w:szCs w:val="28"/>
        </w:rPr>
      </w:pPr>
    </w:p>
    <w:p w:rsidR="00CE3A6D" w:rsidRDefault="00DF3C09" w:rsidP="006C45CE">
      <w:pPr>
        <w:pStyle w:val="Heading3"/>
        <w:spacing w:after="0"/>
        <w:ind w:firstLine="709"/>
        <w:rPr>
          <w:szCs w:val="28"/>
        </w:rPr>
      </w:pPr>
      <w:r>
        <w:rPr>
          <w:szCs w:val="28"/>
        </w:rPr>
        <w:t>4.</w:t>
      </w:r>
      <w:r w:rsidR="00CE3A6D" w:rsidRPr="00C63F0C">
        <w:rPr>
          <w:szCs w:val="28"/>
        </w:rPr>
        <w:t>Rezultātu kopsavilkums</w:t>
      </w:r>
    </w:p>
    <w:p w:rsidR="006C45CE" w:rsidRPr="006C45CE" w:rsidRDefault="006C45CE" w:rsidP="006C45CE"/>
    <w:p w:rsidR="00CE3A6D" w:rsidRPr="00C63F0C" w:rsidRDefault="00CE3A6D" w:rsidP="00DF3C09">
      <w:pPr>
        <w:pStyle w:val="Numeretslists"/>
        <w:numPr>
          <w:ilvl w:val="0"/>
          <w:numId w:val="3"/>
        </w:numPr>
        <w:tabs>
          <w:tab w:val="left" w:pos="1134"/>
        </w:tabs>
        <w:spacing w:after="0" w:line="240" w:lineRule="auto"/>
        <w:ind w:left="0" w:firstLine="709"/>
        <w:rPr>
          <w:sz w:val="28"/>
          <w:szCs w:val="28"/>
        </w:rPr>
      </w:pPr>
      <w:r w:rsidRPr="00C63F0C">
        <w:rPr>
          <w:sz w:val="28"/>
          <w:szCs w:val="28"/>
        </w:rPr>
        <w:t>Bāzes alternatīvā, ja Latvi</w:t>
      </w:r>
      <w:r w:rsidR="00DF3C09">
        <w:rPr>
          <w:sz w:val="28"/>
          <w:szCs w:val="28"/>
        </w:rPr>
        <w:t xml:space="preserve">ja izlemj neuzsākt sadarbību ar </w:t>
      </w:r>
      <w:r w:rsidRPr="00C63F0C">
        <w:rPr>
          <w:sz w:val="28"/>
          <w:szCs w:val="28"/>
        </w:rPr>
        <w:t xml:space="preserve">EKA, Latvijas kosmosa nozare 15 gadu laikā varētu aptuveni dubultot savu atgrozījumu no nepilniem 2 milj. latu 2013.g. uz nepilniem 4 milj. latu 2027.g (izteiktu 2011.g. salīdzināmās cenās), vidēji gadā nodarbinot ap 107 pilna laika darbiniekiem. Ikgadējais pienesums tautsaimniecībai, t.i. IKP lēšams ap 1 milj. latu 2013.g. un ap 2 milj. latu 2027.gadā. </w:t>
      </w:r>
    </w:p>
    <w:p w:rsidR="00CE3A6D" w:rsidRPr="00C63F0C" w:rsidRDefault="00CE3A6D" w:rsidP="00DF3C09">
      <w:pPr>
        <w:pStyle w:val="Numeretslists"/>
        <w:numPr>
          <w:ilvl w:val="0"/>
          <w:numId w:val="3"/>
        </w:numPr>
        <w:tabs>
          <w:tab w:val="left" w:pos="1134"/>
        </w:tabs>
        <w:spacing w:after="0" w:line="240" w:lineRule="auto"/>
        <w:ind w:left="0" w:firstLine="709"/>
        <w:rPr>
          <w:sz w:val="28"/>
          <w:szCs w:val="28"/>
        </w:rPr>
      </w:pPr>
      <w:r w:rsidRPr="00C63F0C">
        <w:rPr>
          <w:sz w:val="28"/>
          <w:szCs w:val="28"/>
        </w:rPr>
        <w:t>Ja Latvija uzsāk sadarbību ar EKA, tad atkarībā no izvēlēta scenārija, sadarbības perioda laikā vidēji gadā papildus apgrozījums kosmosa nozarē varētu sasniegt nepilnus 2 milj. līdz pat 7.5 miljoniem latu, papildus nodrošinātā nodarbinātība aptuveni no 70 līdz 270 pilna laika darba vietām, savukārt papildus radītā iekšzemes kopprodukta vērtība no 1 līdz 4 miljoniem latu vidēji gadā.</w:t>
      </w:r>
    </w:p>
    <w:p w:rsidR="00CE3A6D" w:rsidRPr="00C63F0C" w:rsidRDefault="00CE3A6D" w:rsidP="00DF3C09">
      <w:pPr>
        <w:pStyle w:val="Numeretslists"/>
        <w:numPr>
          <w:ilvl w:val="0"/>
          <w:numId w:val="3"/>
        </w:numPr>
        <w:tabs>
          <w:tab w:val="left" w:pos="1134"/>
        </w:tabs>
        <w:spacing w:after="0" w:line="240" w:lineRule="auto"/>
        <w:ind w:left="0" w:firstLine="709"/>
        <w:rPr>
          <w:sz w:val="28"/>
          <w:szCs w:val="28"/>
        </w:rPr>
      </w:pPr>
      <w:r w:rsidRPr="00C63F0C">
        <w:rPr>
          <w:sz w:val="28"/>
          <w:szCs w:val="28"/>
        </w:rPr>
        <w:t xml:space="preserve">Neskatoties uz konservatīvo pieņēmumu bāzi un ievaddatu vērtībām, visi trīs Sadarbības alternatīvas scenāriji uzrāda pozitīvus investīcijas atdeves rādītājus, kur katrs ieguldītais lats sniedz ieguvumus vairāk kā viena lata apmērā (B/C koeficients &gt; 1). Sarindojot trīs sadarbības rezultātus secībā pēc investīciju ekonomiskās atdeves rezultātiem, redzams, ka visaugstāko prognozēto atdevi sniedz Scenārijs 2, kur Latvija pēc pirmās piecgades Eiropas sadarbības valsts statusā kļūst par pilntiesīgu dalībvalsti otrajā piecgadē, šajā scenārijā, katrs EKA ieguldītais lats varētu sniegt ieguvums aptuveni pusotra lata apmērā. Kā otrs </w:t>
      </w:r>
      <w:r w:rsidRPr="00C63F0C">
        <w:rPr>
          <w:sz w:val="28"/>
          <w:szCs w:val="28"/>
        </w:rPr>
        <w:lastRenderedPageBreak/>
        <w:t xml:space="preserve">labākais vērtējams Scenārijs </w:t>
      </w:r>
      <w:r w:rsidR="006C45CE">
        <w:rPr>
          <w:sz w:val="28"/>
          <w:szCs w:val="28"/>
        </w:rPr>
        <w:t>Nr.</w:t>
      </w:r>
      <w:r w:rsidRPr="00C63F0C">
        <w:rPr>
          <w:sz w:val="28"/>
          <w:szCs w:val="28"/>
        </w:rPr>
        <w:t xml:space="preserve">1, kur Latvija darbojas sadarbības valsts statusā divas secīgas piecgades, šajā scenārijā atgūstot ap 1.2 latiem no katra ieguldītā. Savukārt, kā trešais ierindojams Scenārijs </w:t>
      </w:r>
      <w:r w:rsidR="006C45CE">
        <w:rPr>
          <w:sz w:val="28"/>
          <w:szCs w:val="28"/>
        </w:rPr>
        <w:t>Nr.</w:t>
      </w:r>
      <w:r w:rsidRPr="00C63F0C">
        <w:rPr>
          <w:sz w:val="28"/>
          <w:szCs w:val="28"/>
        </w:rPr>
        <w:t>3, kur Latvija sadarbojas ar EKA tikai pirmo piecgadi, šajā gadījumā katrs ieguldītais lats sniedz atdevi ap 1.1 lata apmērā.</w:t>
      </w:r>
    </w:p>
    <w:p w:rsidR="006C45CE" w:rsidRDefault="006C45CE" w:rsidP="00DF3C09">
      <w:pPr>
        <w:pStyle w:val="Heading3"/>
        <w:tabs>
          <w:tab w:val="left" w:pos="1134"/>
        </w:tabs>
        <w:spacing w:after="0"/>
        <w:ind w:firstLine="709"/>
        <w:rPr>
          <w:szCs w:val="28"/>
        </w:rPr>
      </w:pPr>
    </w:p>
    <w:p w:rsidR="00CE3A6D" w:rsidRPr="00C63F0C" w:rsidRDefault="00CE3A6D" w:rsidP="00DF3C09">
      <w:pPr>
        <w:pStyle w:val="Heading3"/>
        <w:tabs>
          <w:tab w:val="left" w:pos="1134"/>
        </w:tabs>
        <w:spacing w:after="0"/>
        <w:ind w:firstLine="709"/>
        <w:rPr>
          <w:szCs w:val="28"/>
        </w:rPr>
      </w:pPr>
      <w:r w:rsidRPr="00C63F0C">
        <w:rPr>
          <w:szCs w:val="28"/>
        </w:rPr>
        <w:t>Secinājumi</w:t>
      </w:r>
    </w:p>
    <w:p w:rsidR="00CE3A6D" w:rsidRPr="00C63F0C" w:rsidRDefault="00CE3A6D" w:rsidP="00DF3C09">
      <w:pPr>
        <w:pStyle w:val="Numeretslists"/>
        <w:numPr>
          <w:ilvl w:val="0"/>
          <w:numId w:val="4"/>
        </w:numPr>
        <w:tabs>
          <w:tab w:val="left" w:pos="1134"/>
        </w:tabs>
        <w:spacing w:after="0" w:line="240" w:lineRule="auto"/>
        <w:ind w:left="0" w:firstLine="709"/>
        <w:rPr>
          <w:sz w:val="28"/>
          <w:szCs w:val="28"/>
        </w:rPr>
      </w:pPr>
      <w:r w:rsidRPr="00C63F0C">
        <w:rPr>
          <w:sz w:val="28"/>
          <w:szCs w:val="28"/>
        </w:rPr>
        <w:t>Ņemot vērā prognozētos papildus ieguvumus visos Sadarbības alternatīvas scenārijos, Latvijai ir izdevīgi uzsākt sadarbību ar EKA</w:t>
      </w:r>
    </w:p>
    <w:p w:rsidR="00CE3A6D" w:rsidRPr="00C63F0C" w:rsidRDefault="00CE3A6D" w:rsidP="00DF3C09">
      <w:pPr>
        <w:pStyle w:val="Numeretslists"/>
        <w:numPr>
          <w:ilvl w:val="0"/>
          <w:numId w:val="4"/>
        </w:numPr>
        <w:tabs>
          <w:tab w:val="left" w:pos="1134"/>
        </w:tabs>
        <w:spacing w:after="0" w:line="240" w:lineRule="auto"/>
        <w:ind w:left="0" w:firstLine="709"/>
        <w:rPr>
          <w:sz w:val="28"/>
          <w:szCs w:val="28"/>
        </w:rPr>
      </w:pPr>
      <w:r w:rsidRPr="00C63F0C">
        <w:rPr>
          <w:sz w:val="28"/>
          <w:szCs w:val="28"/>
        </w:rPr>
        <w:t xml:space="preserve">Balstoties uz veikto jūtīguma un risku analīzi, būtiskākie faktori, kas varētu apdraudēt ieguvumu prognožu pieplīšanos, ir Latvijas kosmosa nozares spēja pilnā apmērā apgūt Latvijai pieejamo naudu, kā arī spēja tālāk ārpus EKA kontraktiem </w:t>
      </w:r>
      <w:proofErr w:type="spellStart"/>
      <w:r w:rsidRPr="00C63F0C">
        <w:rPr>
          <w:sz w:val="28"/>
          <w:szCs w:val="28"/>
        </w:rPr>
        <w:t>komercializēt</w:t>
      </w:r>
      <w:proofErr w:type="spellEnd"/>
      <w:r w:rsidRPr="00C63F0C">
        <w:rPr>
          <w:sz w:val="28"/>
          <w:szCs w:val="28"/>
        </w:rPr>
        <w:t xml:space="preserve"> iegūtās zināšanas, </w:t>
      </w:r>
      <w:proofErr w:type="spellStart"/>
      <w:r w:rsidRPr="00C63F0C">
        <w:rPr>
          <w:i/>
          <w:sz w:val="28"/>
          <w:szCs w:val="28"/>
        </w:rPr>
        <w:t>know-how</w:t>
      </w:r>
      <w:r w:rsidRPr="00C63F0C">
        <w:rPr>
          <w:sz w:val="28"/>
          <w:szCs w:val="28"/>
        </w:rPr>
        <w:t>,</w:t>
      </w:r>
      <w:proofErr w:type="spellEnd"/>
      <w:r w:rsidRPr="00C63F0C">
        <w:rPr>
          <w:sz w:val="28"/>
          <w:szCs w:val="28"/>
        </w:rPr>
        <w:t xml:space="preserve"> pieredzi un kontaktus (EKA apgrozījuma multiplikatora patiesais apmērs).</w:t>
      </w:r>
    </w:p>
    <w:p w:rsidR="00903CAC" w:rsidRPr="00C63F0C" w:rsidRDefault="00903CAC" w:rsidP="00DF3C09">
      <w:pPr>
        <w:ind w:firstLine="720"/>
        <w:jc w:val="both"/>
        <w:rPr>
          <w:b/>
          <w:sz w:val="28"/>
          <w:szCs w:val="28"/>
        </w:rPr>
      </w:pPr>
    </w:p>
    <w:p w:rsidR="00903CAC" w:rsidRDefault="00DF3C09" w:rsidP="00DF3C09">
      <w:pPr>
        <w:ind w:firstLine="720"/>
        <w:rPr>
          <w:b/>
          <w:sz w:val="28"/>
          <w:szCs w:val="28"/>
        </w:rPr>
      </w:pPr>
      <w:r>
        <w:rPr>
          <w:b/>
          <w:sz w:val="28"/>
          <w:szCs w:val="28"/>
        </w:rPr>
        <w:t>5.</w:t>
      </w:r>
      <w:r w:rsidR="00903CAC" w:rsidRPr="00C63F0C">
        <w:rPr>
          <w:b/>
          <w:sz w:val="28"/>
          <w:szCs w:val="28"/>
        </w:rPr>
        <w:t xml:space="preserve">Nepieciešamais papildus finansējums </w:t>
      </w:r>
    </w:p>
    <w:p w:rsidR="00DF3C09" w:rsidRPr="00C63F0C" w:rsidRDefault="00DF3C09" w:rsidP="00DF3C09">
      <w:pPr>
        <w:ind w:firstLine="720"/>
        <w:rPr>
          <w:b/>
          <w:sz w:val="28"/>
          <w:szCs w:val="28"/>
        </w:rPr>
      </w:pPr>
    </w:p>
    <w:p w:rsidR="00903CAC" w:rsidRDefault="00903CAC" w:rsidP="00DF3C09">
      <w:pPr>
        <w:autoSpaceDE w:val="0"/>
        <w:autoSpaceDN w:val="0"/>
        <w:adjustRightInd w:val="0"/>
        <w:ind w:firstLine="720"/>
        <w:jc w:val="both"/>
        <w:rPr>
          <w:sz w:val="28"/>
          <w:szCs w:val="28"/>
        </w:rPr>
      </w:pPr>
      <w:r w:rsidRPr="00C63F0C">
        <w:rPr>
          <w:sz w:val="28"/>
          <w:szCs w:val="28"/>
        </w:rPr>
        <w:t xml:space="preserve">Saskaņā ar 2013.gada 15.martā  parakstīto </w:t>
      </w:r>
      <w:r w:rsidRPr="00C63F0C">
        <w:rPr>
          <w:bCs/>
          <w:sz w:val="28"/>
          <w:szCs w:val="28"/>
        </w:rPr>
        <w:t>Eiropas Sadarbības valsts līgumu starp Eiropas Kosmosa aģentūru un Latvijas Republikas valdību</w:t>
      </w:r>
      <w:r w:rsidRPr="00C63F0C">
        <w:rPr>
          <w:color w:val="000000"/>
          <w:sz w:val="28"/>
          <w:szCs w:val="28"/>
        </w:rPr>
        <w:t xml:space="preserve"> </w:t>
      </w:r>
      <w:r w:rsidRPr="00C63F0C">
        <w:rPr>
          <w:sz w:val="28"/>
          <w:szCs w:val="28"/>
        </w:rPr>
        <w:t xml:space="preserve">II.4.2. punktā minēto „Minimālais finanšu iemaksas apmērs, kas nepieciešams jebkuras Eiropas Sadarbības Valsts dalībai Eiropas Sadarbības Valsts Plānā uz pieciem gadiem, ir EUR 5 miljoni (pieci miljoni eiro) 2001. gada ekonomiskajos apstākļos”. Ņemot to vērā nav iespējams noteikt precīzu summu līguma darbības gados no 2014 līdz 2018.gadam. Tomēr saskaņā ar </w:t>
      </w:r>
      <w:r w:rsidRPr="00C63F0C">
        <w:rPr>
          <w:bCs/>
          <w:sz w:val="28"/>
          <w:szCs w:val="28"/>
        </w:rPr>
        <w:t xml:space="preserve">Eiropas Kosmosa aģentūras eksperta prognozēto </w:t>
      </w:r>
      <w:r w:rsidRPr="00C63F0C">
        <w:rPr>
          <w:sz w:val="28"/>
          <w:szCs w:val="28"/>
        </w:rPr>
        <w:t xml:space="preserve">2014.gada ekonomiskajos apstākļos šī summa varētu sastādīt EUR 1.350 miljoni, jeb </w:t>
      </w:r>
      <w:r w:rsidRPr="00C63F0C">
        <w:rPr>
          <w:b/>
          <w:sz w:val="28"/>
          <w:szCs w:val="28"/>
        </w:rPr>
        <w:t>LVL 948 785</w:t>
      </w:r>
      <w:r w:rsidRPr="00C63F0C">
        <w:rPr>
          <w:rStyle w:val="FootnoteReference"/>
          <w:b/>
          <w:sz w:val="28"/>
          <w:szCs w:val="28"/>
        </w:rPr>
        <w:footnoteReference w:id="3"/>
      </w:r>
      <w:r w:rsidRPr="00C63F0C">
        <w:rPr>
          <w:sz w:val="28"/>
          <w:szCs w:val="28"/>
        </w:rPr>
        <w:t>. (</w:t>
      </w:r>
      <w:r w:rsidRPr="00C63F0C">
        <w:rPr>
          <w:rFonts w:eastAsia="Calibri"/>
          <w:color w:val="000000"/>
          <w:sz w:val="28"/>
          <w:szCs w:val="28"/>
        </w:rPr>
        <w:t xml:space="preserve">1 350 000*0,702804= </w:t>
      </w:r>
      <w:r w:rsidRPr="00C63F0C">
        <w:rPr>
          <w:sz w:val="28"/>
          <w:szCs w:val="28"/>
        </w:rPr>
        <w:t>948 785</w:t>
      </w:r>
      <w:r w:rsidRPr="00C63F0C">
        <w:rPr>
          <w:b/>
          <w:sz w:val="28"/>
          <w:szCs w:val="28"/>
        </w:rPr>
        <w:t xml:space="preserve"> </w:t>
      </w:r>
      <w:r w:rsidRPr="00C63F0C">
        <w:rPr>
          <w:rFonts w:eastAsia="Calibri"/>
          <w:color w:val="000000"/>
          <w:sz w:val="28"/>
          <w:szCs w:val="28"/>
        </w:rPr>
        <w:t xml:space="preserve">LVL). Savukārt par katru nākamo gadu ņemot vērā ekonomiskos apstākļus gada maksājuma summa pieaug pa aptuveni EUR </w:t>
      </w:r>
      <w:r w:rsidR="00443897">
        <w:rPr>
          <w:rFonts w:eastAsia="Calibri"/>
          <w:color w:val="000000"/>
          <w:sz w:val="28"/>
          <w:szCs w:val="28"/>
        </w:rPr>
        <w:t>50 tūkst. jeb LVL 35.140 tūkst.</w:t>
      </w:r>
      <w:r w:rsidRPr="00C63F0C">
        <w:rPr>
          <w:rFonts w:eastAsia="Calibri"/>
          <w:color w:val="000000"/>
          <w:sz w:val="28"/>
          <w:szCs w:val="28"/>
        </w:rPr>
        <w:t xml:space="preserve"> </w:t>
      </w:r>
      <w:r w:rsidRPr="00C63F0C">
        <w:rPr>
          <w:sz w:val="28"/>
          <w:szCs w:val="28"/>
        </w:rPr>
        <w:t xml:space="preserve">LVL 948 785 </w:t>
      </w:r>
      <w:r w:rsidRPr="00C63F0C">
        <w:rPr>
          <w:rFonts w:eastAsia="Calibri"/>
          <w:color w:val="000000"/>
          <w:sz w:val="28"/>
          <w:szCs w:val="28"/>
        </w:rPr>
        <w:t xml:space="preserve">ir jāpārskaita reizi gadā sākot no 13 mēneša pēc </w:t>
      </w:r>
      <w:r w:rsidRPr="00C63F0C">
        <w:rPr>
          <w:bCs/>
          <w:sz w:val="28"/>
          <w:szCs w:val="28"/>
        </w:rPr>
        <w:t xml:space="preserve">Eiropas Sadarbības valsts līguma parakstīšanas. Ņemot vērā, ka Eiropas Sadarbības valsts līgumu starp Eiropas Kosmosa aģentūru un Latvijas Republikas valdību tika parakstīts 2013.gada 15.martā, pirmais maksājums ap </w:t>
      </w:r>
      <w:r w:rsidRPr="00C63F0C">
        <w:rPr>
          <w:sz w:val="28"/>
          <w:szCs w:val="28"/>
        </w:rPr>
        <w:t>948 785 LVL apmērā ir jāpārskaita 2014.gada 31.martā. Savukārt nākamajos gados maksājumi jāveic trīs reizes gadā februārī, jūnijā un oktobrī summu sadalot trīs daļās.</w:t>
      </w:r>
    </w:p>
    <w:p w:rsidR="00DF3C09" w:rsidRDefault="00DF3C09" w:rsidP="00DF3C09">
      <w:pPr>
        <w:autoSpaceDE w:val="0"/>
        <w:autoSpaceDN w:val="0"/>
        <w:adjustRightInd w:val="0"/>
        <w:ind w:firstLine="720"/>
        <w:jc w:val="both"/>
        <w:rPr>
          <w:sz w:val="28"/>
          <w:szCs w:val="28"/>
        </w:rPr>
      </w:pPr>
    </w:p>
    <w:p w:rsidR="006C45CE" w:rsidRDefault="006C45CE" w:rsidP="00DF3C09">
      <w:pPr>
        <w:autoSpaceDE w:val="0"/>
        <w:autoSpaceDN w:val="0"/>
        <w:adjustRightInd w:val="0"/>
        <w:ind w:firstLine="720"/>
        <w:jc w:val="both"/>
        <w:rPr>
          <w:sz w:val="28"/>
          <w:szCs w:val="28"/>
        </w:rPr>
      </w:pPr>
    </w:p>
    <w:p w:rsidR="00F64A0C" w:rsidRPr="00F94942" w:rsidRDefault="00DF3C09" w:rsidP="00F94942">
      <w:pPr>
        <w:ind w:firstLine="720"/>
        <w:jc w:val="both"/>
        <w:rPr>
          <w:b/>
        </w:rPr>
      </w:pPr>
      <w:r w:rsidRPr="00F94942">
        <w:lastRenderedPageBreak/>
        <w:t xml:space="preserve">Tabula Nr.2. </w:t>
      </w:r>
      <w:r w:rsidR="00F94942" w:rsidRPr="00F94942">
        <w:t>Paredzamais aptuvenais nepieciešamais finansējums likumprojekta izpildei no 2014.-2018.gadam.</w:t>
      </w:r>
    </w:p>
    <w:tbl>
      <w:tblPr>
        <w:tblStyle w:val="TableGrid"/>
        <w:tblW w:w="0" w:type="auto"/>
        <w:jc w:val="center"/>
        <w:tblLook w:val="04A0"/>
      </w:tblPr>
      <w:tblGrid>
        <w:gridCol w:w="1809"/>
        <w:gridCol w:w="1219"/>
        <w:gridCol w:w="1373"/>
        <w:gridCol w:w="1373"/>
        <w:gridCol w:w="1374"/>
        <w:gridCol w:w="1374"/>
      </w:tblGrid>
      <w:tr w:rsidR="00DF3C09" w:rsidRPr="00C63F0C" w:rsidTr="00DF3C09">
        <w:trPr>
          <w:jc w:val="center"/>
        </w:trPr>
        <w:tc>
          <w:tcPr>
            <w:tcW w:w="1809" w:type="dxa"/>
          </w:tcPr>
          <w:p w:rsidR="00DF3C09" w:rsidRPr="00F64A0C" w:rsidRDefault="00DF3C09" w:rsidP="00DF3C09">
            <w:pPr>
              <w:jc w:val="both"/>
            </w:pPr>
          </w:p>
        </w:tc>
        <w:tc>
          <w:tcPr>
            <w:tcW w:w="1219" w:type="dxa"/>
          </w:tcPr>
          <w:p w:rsidR="00DF3C09" w:rsidRPr="00F64A0C" w:rsidRDefault="00DF3C09" w:rsidP="00DF3C09">
            <w:pPr>
              <w:jc w:val="both"/>
            </w:pPr>
            <w:r w:rsidRPr="00F64A0C">
              <w:t>2014.gads</w:t>
            </w:r>
          </w:p>
        </w:tc>
        <w:tc>
          <w:tcPr>
            <w:tcW w:w="1373" w:type="dxa"/>
          </w:tcPr>
          <w:p w:rsidR="00DF3C09" w:rsidRPr="00F64A0C" w:rsidRDefault="00DF3C09" w:rsidP="00DF3C09">
            <w:pPr>
              <w:jc w:val="both"/>
            </w:pPr>
            <w:r w:rsidRPr="00F64A0C">
              <w:t>2015.gads</w:t>
            </w:r>
          </w:p>
        </w:tc>
        <w:tc>
          <w:tcPr>
            <w:tcW w:w="1373" w:type="dxa"/>
          </w:tcPr>
          <w:p w:rsidR="00DF3C09" w:rsidRPr="00F64A0C" w:rsidRDefault="00DF3C09" w:rsidP="00DF3C09">
            <w:pPr>
              <w:jc w:val="both"/>
            </w:pPr>
            <w:r w:rsidRPr="00F64A0C">
              <w:t>2016.gads</w:t>
            </w:r>
          </w:p>
        </w:tc>
        <w:tc>
          <w:tcPr>
            <w:tcW w:w="1374" w:type="dxa"/>
          </w:tcPr>
          <w:p w:rsidR="00DF3C09" w:rsidRPr="00F64A0C" w:rsidRDefault="00DF3C09" w:rsidP="00DF3C09">
            <w:pPr>
              <w:jc w:val="both"/>
            </w:pPr>
            <w:r w:rsidRPr="00F64A0C">
              <w:t>2017.gads</w:t>
            </w:r>
          </w:p>
        </w:tc>
        <w:tc>
          <w:tcPr>
            <w:tcW w:w="1374" w:type="dxa"/>
          </w:tcPr>
          <w:p w:rsidR="00DF3C09" w:rsidRPr="00F64A0C" w:rsidRDefault="00DF3C09" w:rsidP="00DF3C09">
            <w:pPr>
              <w:jc w:val="both"/>
            </w:pPr>
            <w:r w:rsidRPr="00F64A0C">
              <w:t>2018.gads</w:t>
            </w:r>
          </w:p>
        </w:tc>
      </w:tr>
      <w:tr w:rsidR="00DF3C09" w:rsidRPr="00C63F0C" w:rsidTr="00DF3C09">
        <w:trPr>
          <w:jc w:val="center"/>
        </w:trPr>
        <w:tc>
          <w:tcPr>
            <w:tcW w:w="1809" w:type="dxa"/>
          </w:tcPr>
          <w:p w:rsidR="00DF3C09" w:rsidRPr="00F64A0C" w:rsidRDefault="00DF3C09" w:rsidP="00DF3C09">
            <w:pPr>
              <w:jc w:val="both"/>
            </w:pPr>
            <w:r w:rsidRPr="00F64A0C">
              <w:t>(tūkst</w:t>
            </w:r>
            <w:smartTag w:uri="schemas-tilde-lv/tildestengine" w:element="currency2">
              <w:smartTagPr>
                <w:attr w:name="currency_text" w:val="latu"/>
                <w:attr w:name="currency_value" w:val="."/>
                <w:attr w:name="currency_key" w:val="LVL"/>
                <w:attr w:name="currency_id" w:val="48"/>
              </w:smartTagPr>
              <w:r w:rsidRPr="00F64A0C">
                <w:t>. latu</w:t>
              </w:r>
            </w:smartTag>
            <w:r w:rsidRPr="00F64A0C">
              <w:t>)</w:t>
            </w:r>
          </w:p>
          <w:p w:rsidR="00DF3C09" w:rsidRPr="00F64A0C" w:rsidRDefault="00DF3C09" w:rsidP="00DF3C09">
            <w:pPr>
              <w:jc w:val="both"/>
            </w:pPr>
            <w:r w:rsidRPr="00F64A0C">
              <w:t>2001.gada ekonomiskajos apstākļos</w:t>
            </w:r>
          </w:p>
        </w:tc>
        <w:tc>
          <w:tcPr>
            <w:tcW w:w="1219" w:type="dxa"/>
          </w:tcPr>
          <w:p w:rsidR="00DF3C09" w:rsidRPr="00F64A0C" w:rsidRDefault="00DF3C09" w:rsidP="00DF3C09">
            <w:pPr>
              <w:jc w:val="center"/>
            </w:pPr>
          </w:p>
          <w:p w:rsidR="00DF3C09" w:rsidRPr="00F64A0C" w:rsidRDefault="00DF3C09" w:rsidP="00DF3C09">
            <w:pPr>
              <w:jc w:val="center"/>
            </w:pPr>
            <w:r w:rsidRPr="00F64A0C">
              <w:t>702.4</w:t>
            </w:r>
          </w:p>
        </w:tc>
        <w:tc>
          <w:tcPr>
            <w:tcW w:w="1373" w:type="dxa"/>
          </w:tcPr>
          <w:p w:rsidR="00DF3C09" w:rsidRPr="00F64A0C" w:rsidRDefault="00DF3C09" w:rsidP="00DF3C09">
            <w:pPr>
              <w:jc w:val="center"/>
            </w:pPr>
          </w:p>
          <w:p w:rsidR="00DF3C09" w:rsidRPr="00F64A0C" w:rsidRDefault="00DF3C09" w:rsidP="00DF3C09">
            <w:pPr>
              <w:jc w:val="center"/>
            </w:pPr>
            <w:r w:rsidRPr="00F64A0C">
              <w:t>702.4</w:t>
            </w:r>
          </w:p>
        </w:tc>
        <w:tc>
          <w:tcPr>
            <w:tcW w:w="1373" w:type="dxa"/>
          </w:tcPr>
          <w:p w:rsidR="00DF3C09" w:rsidRPr="00F64A0C" w:rsidRDefault="00DF3C09" w:rsidP="00DF3C09">
            <w:pPr>
              <w:jc w:val="center"/>
            </w:pPr>
          </w:p>
          <w:p w:rsidR="00DF3C09" w:rsidRPr="00F64A0C" w:rsidRDefault="00DF3C09" w:rsidP="00DF3C09">
            <w:pPr>
              <w:jc w:val="center"/>
            </w:pPr>
            <w:r w:rsidRPr="00F64A0C">
              <w:t>702.4</w:t>
            </w:r>
          </w:p>
        </w:tc>
        <w:tc>
          <w:tcPr>
            <w:tcW w:w="1374" w:type="dxa"/>
          </w:tcPr>
          <w:p w:rsidR="00DF3C09" w:rsidRPr="00F64A0C" w:rsidRDefault="00DF3C09" w:rsidP="00DF3C09">
            <w:pPr>
              <w:jc w:val="center"/>
            </w:pPr>
          </w:p>
          <w:p w:rsidR="00DF3C09" w:rsidRPr="00F64A0C" w:rsidRDefault="00DF3C09" w:rsidP="00DF3C09">
            <w:pPr>
              <w:jc w:val="center"/>
            </w:pPr>
            <w:r w:rsidRPr="00F64A0C">
              <w:t>702.4</w:t>
            </w:r>
          </w:p>
        </w:tc>
        <w:tc>
          <w:tcPr>
            <w:tcW w:w="1374" w:type="dxa"/>
          </w:tcPr>
          <w:p w:rsidR="00DF3C09" w:rsidRPr="00F64A0C" w:rsidRDefault="00DF3C09" w:rsidP="00DF3C09">
            <w:pPr>
              <w:jc w:val="center"/>
            </w:pPr>
          </w:p>
          <w:p w:rsidR="00DF3C09" w:rsidRPr="00F64A0C" w:rsidRDefault="00DF3C09" w:rsidP="00DF3C09">
            <w:pPr>
              <w:jc w:val="center"/>
            </w:pPr>
            <w:r w:rsidRPr="00F64A0C">
              <w:t>702.4</w:t>
            </w:r>
          </w:p>
        </w:tc>
      </w:tr>
      <w:tr w:rsidR="00DF3C09" w:rsidRPr="00C63F0C" w:rsidTr="00DF3C09">
        <w:trPr>
          <w:jc w:val="center"/>
        </w:trPr>
        <w:tc>
          <w:tcPr>
            <w:tcW w:w="1809" w:type="dxa"/>
          </w:tcPr>
          <w:p w:rsidR="00DF3C09" w:rsidRPr="00F64A0C" w:rsidRDefault="00DF3C09" w:rsidP="00DF3C09">
            <w:pPr>
              <w:jc w:val="both"/>
            </w:pPr>
            <w:r w:rsidRPr="00F64A0C">
              <w:t>(tūkst</w:t>
            </w:r>
            <w:smartTag w:uri="schemas-tilde-lv/tildestengine" w:element="currency2">
              <w:smartTagPr>
                <w:attr w:name="currency_text" w:val="latu"/>
                <w:attr w:name="currency_value" w:val="."/>
                <w:attr w:name="currency_key" w:val="LVL"/>
                <w:attr w:name="currency_id" w:val="48"/>
              </w:smartTagPr>
              <w:r w:rsidRPr="00F64A0C">
                <w:t>. latu</w:t>
              </w:r>
            </w:smartTag>
            <w:r w:rsidRPr="00F64A0C">
              <w:t>)</w:t>
            </w:r>
          </w:p>
          <w:p w:rsidR="00DF3C09" w:rsidRPr="00F64A0C" w:rsidRDefault="00DF3C09" w:rsidP="00DF3C09">
            <w:pPr>
              <w:jc w:val="both"/>
            </w:pPr>
            <w:r w:rsidRPr="00F64A0C">
              <w:t>attiecīgā gada ekonomiskajos apstākļos + 2 jaunu štatu vietu uzturēšana</w:t>
            </w:r>
          </w:p>
        </w:tc>
        <w:tc>
          <w:tcPr>
            <w:tcW w:w="1219" w:type="dxa"/>
          </w:tcPr>
          <w:p w:rsidR="00DF3C09" w:rsidRPr="00F64A0C" w:rsidRDefault="00DF3C09" w:rsidP="00DF3C09">
            <w:pPr>
              <w:pStyle w:val="naisf"/>
              <w:spacing w:before="0" w:after="0"/>
              <w:ind w:firstLine="0"/>
              <w:jc w:val="center"/>
            </w:pPr>
          </w:p>
          <w:p w:rsidR="00DF3C09" w:rsidRPr="00F64A0C" w:rsidRDefault="00DF3C09" w:rsidP="00DF3C09">
            <w:pPr>
              <w:pStyle w:val="naisf"/>
              <w:spacing w:before="0" w:after="0"/>
              <w:ind w:firstLine="0"/>
              <w:jc w:val="center"/>
            </w:pPr>
            <w:r w:rsidRPr="00F64A0C">
              <w:t>965.2</w:t>
            </w:r>
          </w:p>
        </w:tc>
        <w:tc>
          <w:tcPr>
            <w:tcW w:w="1373" w:type="dxa"/>
          </w:tcPr>
          <w:p w:rsidR="00DF3C09" w:rsidRPr="00F64A0C" w:rsidRDefault="00DF3C09" w:rsidP="00DF3C09">
            <w:pPr>
              <w:pStyle w:val="naisf"/>
              <w:spacing w:before="0" w:after="0"/>
              <w:ind w:firstLine="0"/>
              <w:jc w:val="center"/>
            </w:pPr>
          </w:p>
          <w:p w:rsidR="00DF3C09" w:rsidRPr="00F64A0C" w:rsidRDefault="00DF3C09" w:rsidP="00DF3C09">
            <w:pPr>
              <w:pStyle w:val="naisf"/>
              <w:spacing w:before="0" w:after="0"/>
              <w:ind w:firstLine="0"/>
              <w:jc w:val="center"/>
            </w:pPr>
            <w:r w:rsidRPr="00F64A0C">
              <w:t>983.9</w:t>
            </w:r>
          </w:p>
        </w:tc>
        <w:tc>
          <w:tcPr>
            <w:tcW w:w="1373" w:type="dxa"/>
          </w:tcPr>
          <w:p w:rsidR="00DF3C09" w:rsidRPr="00F64A0C" w:rsidRDefault="00DF3C09" w:rsidP="00DF3C09">
            <w:pPr>
              <w:pStyle w:val="naisf"/>
              <w:spacing w:before="0" w:after="0"/>
              <w:ind w:firstLine="0"/>
              <w:jc w:val="center"/>
            </w:pPr>
          </w:p>
          <w:p w:rsidR="00DF3C09" w:rsidRPr="00F64A0C" w:rsidRDefault="00DF3C09" w:rsidP="00DF3C09">
            <w:pPr>
              <w:pStyle w:val="naisf"/>
              <w:spacing w:before="0" w:after="0"/>
              <w:ind w:firstLine="0"/>
              <w:jc w:val="center"/>
            </w:pPr>
            <w:r w:rsidRPr="00F64A0C">
              <w:t>1 019.0</w:t>
            </w:r>
          </w:p>
        </w:tc>
        <w:tc>
          <w:tcPr>
            <w:tcW w:w="1374" w:type="dxa"/>
          </w:tcPr>
          <w:p w:rsidR="00DF3C09" w:rsidRPr="00F64A0C" w:rsidRDefault="00DF3C09" w:rsidP="00DF3C09">
            <w:pPr>
              <w:jc w:val="center"/>
            </w:pPr>
          </w:p>
          <w:p w:rsidR="00DF3C09" w:rsidRPr="00F64A0C" w:rsidRDefault="00DF3C09" w:rsidP="00DF3C09">
            <w:pPr>
              <w:jc w:val="center"/>
            </w:pPr>
            <w:r w:rsidRPr="00F64A0C">
              <w:t>1 070.6</w:t>
            </w:r>
          </w:p>
        </w:tc>
        <w:tc>
          <w:tcPr>
            <w:tcW w:w="1374" w:type="dxa"/>
          </w:tcPr>
          <w:p w:rsidR="00DF3C09" w:rsidRPr="00F64A0C" w:rsidRDefault="00DF3C09" w:rsidP="00DF3C09">
            <w:pPr>
              <w:jc w:val="center"/>
            </w:pPr>
          </w:p>
          <w:p w:rsidR="00DF3C09" w:rsidRPr="00F64A0C" w:rsidRDefault="00DF3C09" w:rsidP="00DF3C09">
            <w:pPr>
              <w:jc w:val="center"/>
            </w:pPr>
            <w:r w:rsidRPr="00F64A0C">
              <w:t>1 105.7</w:t>
            </w:r>
          </w:p>
        </w:tc>
      </w:tr>
    </w:tbl>
    <w:p w:rsidR="00DF3C09" w:rsidRPr="00C63F0C" w:rsidRDefault="00DF3C09" w:rsidP="00DF3C09">
      <w:pPr>
        <w:autoSpaceDE w:val="0"/>
        <w:autoSpaceDN w:val="0"/>
        <w:adjustRightInd w:val="0"/>
        <w:ind w:firstLine="720"/>
        <w:jc w:val="both"/>
        <w:rPr>
          <w:sz w:val="28"/>
          <w:szCs w:val="28"/>
        </w:rPr>
      </w:pPr>
    </w:p>
    <w:p w:rsidR="00903CAC" w:rsidRPr="00C63F0C" w:rsidRDefault="00903CAC" w:rsidP="00DF3C09">
      <w:pPr>
        <w:ind w:firstLine="720"/>
        <w:jc w:val="both"/>
        <w:rPr>
          <w:sz w:val="28"/>
          <w:szCs w:val="28"/>
        </w:rPr>
      </w:pPr>
      <w:r w:rsidRPr="00C63F0C">
        <w:rPr>
          <w:sz w:val="28"/>
          <w:szCs w:val="28"/>
        </w:rPr>
        <w:t>Lai nodrošinātu Izglītības un zinātnes ministrijas papildu funkcij</w:t>
      </w:r>
      <w:r w:rsidR="006C45CE">
        <w:rPr>
          <w:sz w:val="28"/>
          <w:szCs w:val="28"/>
        </w:rPr>
        <w:t>u</w:t>
      </w:r>
      <w:r w:rsidRPr="00C63F0C">
        <w:rPr>
          <w:sz w:val="28"/>
          <w:szCs w:val="28"/>
        </w:rPr>
        <w:t xml:space="preserve"> izpildi, kas saistīts ar kosmosa politikas īstenošanu un uzsāktās sadarbības nodrošināšanu ar EKA uz laiku ir nepieciešams izveidot 2 jaunas darbinieku štata vietas. To paredzamās izmaksas: 2014.gadā 1373.16 (alga divām štata vietām mēnesī, 4.kvalifikācijas pakāpe, 9.algu grupa) X12 (mēnešu skaits) = </w:t>
      </w:r>
      <w:r w:rsidRPr="00C63F0C">
        <w:rPr>
          <w:b/>
          <w:sz w:val="28"/>
          <w:szCs w:val="28"/>
        </w:rPr>
        <w:t>16 478</w:t>
      </w:r>
      <w:r w:rsidRPr="00C63F0C">
        <w:rPr>
          <w:sz w:val="28"/>
          <w:szCs w:val="28"/>
        </w:rPr>
        <w:t xml:space="preserve"> LVL. Divu darbinieka vietu tehniskais nodrošinājums sastāda: 916 LVL (darba telpas iekārtošana un datortehnikas nodrošināšana) X2=</w:t>
      </w:r>
      <w:r w:rsidRPr="00C63F0C">
        <w:rPr>
          <w:b/>
          <w:sz w:val="28"/>
          <w:szCs w:val="28"/>
        </w:rPr>
        <w:t>1832</w:t>
      </w:r>
      <w:r w:rsidRPr="00C63F0C">
        <w:rPr>
          <w:sz w:val="28"/>
          <w:szCs w:val="28"/>
        </w:rPr>
        <w:t xml:space="preserve"> LVL. Sākot no 2014.gada divu darbinieku algošanai paredzēts </w:t>
      </w:r>
      <w:r w:rsidRPr="00C63F0C">
        <w:rPr>
          <w:b/>
          <w:sz w:val="28"/>
          <w:szCs w:val="28"/>
        </w:rPr>
        <w:t>16 478</w:t>
      </w:r>
      <w:r w:rsidRPr="00C63F0C">
        <w:rPr>
          <w:sz w:val="28"/>
          <w:szCs w:val="28"/>
        </w:rPr>
        <w:t xml:space="preserve"> LVL gadā. </w:t>
      </w:r>
    </w:p>
    <w:p w:rsidR="00903CAC" w:rsidRPr="00C63F0C" w:rsidRDefault="00CE3A6D" w:rsidP="00DF3C09">
      <w:pPr>
        <w:ind w:firstLine="720"/>
        <w:jc w:val="both"/>
        <w:rPr>
          <w:sz w:val="28"/>
          <w:szCs w:val="28"/>
        </w:rPr>
      </w:pPr>
      <w:r w:rsidRPr="00C63F0C">
        <w:rPr>
          <w:sz w:val="28"/>
          <w:szCs w:val="28"/>
        </w:rPr>
        <w:t xml:space="preserve">Līdz ar to kopējais paredzamais finansējuma apmērs likumprojekta izpildei ir </w:t>
      </w:r>
      <w:r w:rsidRPr="00C63F0C">
        <w:rPr>
          <w:b/>
          <w:sz w:val="28"/>
          <w:szCs w:val="28"/>
        </w:rPr>
        <w:t>5 144.4</w:t>
      </w:r>
      <w:r w:rsidRPr="00C63F0C">
        <w:rPr>
          <w:sz w:val="28"/>
          <w:szCs w:val="28"/>
        </w:rPr>
        <w:t xml:space="preserve"> tūkst. latu</w:t>
      </w:r>
      <w:r w:rsidR="006C45CE">
        <w:rPr>
          <w:sz w:val="28"/>
          <w:szCs w:val="28"/>
        </w:rPr>
        <w:t xml:space="preserve"> laika periodā 2014. – 2018.g</w:t>
      </w:r>
      <w:r w:rsidRPr="00C63F0C">
        <w:rPr>
          <w:sz w:val="28"/>
          <w:szCs w:val="28"/>
        </w:rPr>
        <w:t xml:space="preserve">. </w:t>
      </w:r>
    </w:p>
    <w:p w:rsidR="00363D9C" w:rsidRDefault="00363D9C" w:rsidP="00DF3C09">
      <w:pPr>
        <w:ind w:firstLine="720"/>
        <w:jc w:val="both"/>
        <w:rPr>
          <w:sz w:val="28"/>
          <w:szCs w:val="28"/>
        </w:rPr>
      </w:pPr>
    </w:p>
    <w:p w:rsidR="006C45CE" w:rsidRPr="00C63F0C" w:rsidRDefault="006C45CE" w:rsidP="00DF3C09">
      <w:pPr>
        <w:ind w:firstLine="720"/>
        <w:jc w:val="both"/>
        <w:rPr>
          <w:sz w:val="28"/>
          <w:szCs w:val="28"/>
        </w:rPr>
      </w:pPr>
    </w:p>
    <w:p w:rsidR="00F94942" w:rsidRPr="00505DAC" w:rsidRDefault="00F94942" w:rsidP="00F94942">
      <w:pPr>
        <w:tabs>
          <w:tab w:val="num" w:pos="0"/>
          <w:tab w:val="left" w:pos="1080"/>
        </w:tabs>
        <w:ind w:firstLine="720"/>
        <w:jc w:val="both"/>
        <w:rPr>
          <w:sz w:val="28"/>
          <w:szCs w:val="28"/>
        </w:rPr>
      </w:pPr>
      <w:r>
        <w:rPr>
          <w:sz w:val="28"/>
          <w:szCs w:val="28"/>
        </w:rPr>
        <w:t>Izglītības un zinātnes ministrs</w:t>
      </w:r>
      <w:r w:rsidRPr="00505DAC">
        <w:rPr>
          <w:sz w:val="28"/>
          <w:szCs w:val="28"/>
        </w:rPr>
        <w:tab/>
      </w:r>
      <w:r w:rsidRPr="00505DAC">
        <w:rPr>
          <w:sz w:val="28"/>
          <w:szCs w:val="28"/>
        </w:rPr>
        <w:tab/>
      </w:r>
      <w:r w:rsidRPr="00505DAC">
        <w:rPr>
          <w:sz w:val="28"/>
          <w:szCs w:val="28"/>
        </w:rPr>
        <w:tab/>
      </w:r>
      <w:r w:rsidRPr="00505DAC">
        <w:rPr>
          <w:sz w:val="28"/>
          <w:szCs w:val="28"/>
        </w:rPr>
        <w:tab/>
      </w:r>
      <w:r w:rsidRPr="00505DAC">
        <w:rPr>
          <w:sz w:val="28"/>
          <w:szCs w:val="28"/>
        </w:rPr>
        <w:tab/>
      </w:r>
      <w:proofErr w:type="spellStart"/>
      <w:r>
        <w:rPr>
          <w:sz w:val="28"/>
          <w:szCs w:val="28"/>
        </w:rPr>
        <w:t>V.Dombrovskis</w:t>
      </w:r>
      <w:proofErr w:type="spellEnd"/>
    </w:p>
    <w:p w:rsidR="00F94942" w:rsidRDefault="00F94942" w:rsidP="00F94942">
      <w:pPr>
        <w:rPr>
          <w:bCs/>
          <w:sz w:val="28"/>
          <w:szCs w:val="28"/>
        </w:rPr>
      </w:pPr>
    </w:p>
    <w:p w:rsidR="00F94942" w:rsidRPr="00505DAC" w:rsidRDefault="00F94942" w:rsidP="00F94942">
      <w:pPr>
        <w:rPr>
          <w:bCs/>
          <w:sz w:val="28"/>
          <w:szCs w:val="28"/>
        </w:rPr>
      </w:pPr>
    </w:p>
    <w:p w:rsidR="00F94942" w:rsidRPr="00D92326" w:rsidRDefault="00F94942" w:rsidP="00F94942">
      <w:pPr>
        <w:ind w:left="720"/>
        <w:rPr>
          <w:bCs/>
          <w:sz w:val="28"/>
          <w:szCs w:val="28"/>
        </w:rPr>
      </w:pPr>
      <w:r w:rsidRPr="00505DAC">
        <w:rPr>
          <w:bCs/>
          <w:sz w:val="28"/>
          <w:szCs w:val="28"/>
        </w:rPr>
        <w:t>Vizē</w:t>
      </w:r>
      <w:r>
        <w:rPr>
          <w:bCs/>
          <w:sz w:val="28"/>
          <w:szCs w:val="28"/>
        </w:rPr>
        <w:t>: Valsts sekretāre</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S.Liepiņa</w:t>
      </w:r>
    </w:p>
    <w:p w:rsidR="00F94942" w:rsidRPr="00505DAC" w:rsidRDefault="00F94942" w:rsidP="00F94942">
      <w:pPr>
        <w:ind w:firstLine="709"/>
        <w:rPr>
          <w:sz w:val="20"/>
          <w:szCs w:val="20"/>
        </w:rPr>
      </w:pPr>
    </w:p>
    <w:p w:rsidR="00F94942" w:rsidRDefault="00F94942" w:rsidP="00F94942">
      <w:pPr>
        <w:ind w:firstLine="709"/>
        <w:rPr>
          <w:sz w:val="20"/>
          <w:szCs w:val="20"/>
        </w:rPr>
      </w:pPr>
    </w:p>
    <w:p w:rsidR="00123FFD" w:rsidRDefault="00123FFD" w:rsidP="00F94942">
      <w:pPr>
        <w:ind w:firstLine="709"/>
        <w:rPr>
          <w:sz w:val="20"/>
          <w:szCs w:val="20"/>
        </w:rPr>
      </w:pPr>
    </w:p>
    <w:p w:rsidR="00123FFD" w:rsidRDefault="00123FFD" w:rsidP="00F94942">
      <w:pPr>
        <w:ind w:firstLine="709"/>
        <w:rPr>
          <w:sz w:val="20"/>
          <w:szCs w:val="20"/>
        </w:rPr>
      </w:pPr>
    </w:p>
    <w:p w:rsidR="00123FFD" w:rsidRDefault="00123FFD" w:rsidP="00F94942">
      <w:pPr>
        <w:ind w:firstLine="709"/>
        <w:rPr>
          <w:sz w:val="20"/>
          <w:szCs w:val="20"/>
        </w:rPr>
      </w:pPr>
    </w:p>
    <w:p w:rsidR="00F94942" w:rsidRPr="00BA041C" w:rsidRDefault="00F94942" w:rsidP="00F94942">
      <w:r>
        <w:t>14.05.2013</w:t>
      </w:r>
      <w:r w:rsidRPr="00BA041C">
        <w:t xml:space="preserve"> </w:t>
      </w:r>
      <w:r w:rsidR="006C45CE">
        <w:t>16:07</w:t>
      </w:r>
    </w:p>
    <w:p w:rsidR="00F94942" w:rsidRPr="00BA041C" w:rsidRDefault="006C45CE" w:rsidP="00F94942">
      <w:pPr>
        <w:ind w:left="709" w:hanging="709"/>
        <w:jc w:val="both"/>
      </w:pPr>
      <w:r>
        <w:t>1765</w:t>
      </w:r>
    </w:p>
    <w:p w:rsidR="00F94942" w:rsidRPr="00BA041C" w:rsidRDefault="00F94942" w:rsidP="00F94942">
      <w:pPr>
        <w:ind w:hanging="709"/>
        <w:jc w:val="both"/>
      </w:pPr>
      <w:r>
        <w:tab/>
      </w:r>
      <w:bookmarkStart w:id="0" w:name="OLE_LINK3"/>
      <w:bookmarkStart w:id="1" w:name="OLE_LINK4"/>
      <w:proofErr w:type="spellStart"/>
      <w:r>
        <w:t>Karolis</w:t>
      </w:r>
      <w:proofErr w:type="spellEnd"/>
      <w:r>
        <w:t>, 67047996</w:t>
      </w:r>
    </w:p>
    <w:p w:rsidR="00F94942" w:rsidRPr="00BA041C" w:rsidRDefault="00F94942" w:rsidP="00F94942">
      <w:pPr>
        <w:ind w:hanging="709"/>
        <w:jc w:val="both"/>
      </w:pPr>
      <w:r w:rsidRPr="00BA041C">
        <w:tab/>
        <w:t>kaspars.</w:t>
      </w:r>
      <w:r>
        <w:t>karolis</w:t>
      </w:r>
      <w:r w:rsidRPr="00BA041C">
        <w:t>@izm.gov.lv</w:t>
      </w:r>
      <w:bookmarkEnd w:id="0"/>
      <w:bookmarkEnd w:id="1"/>
    </w:p>
    <w:p w:rsidR="00363D9C" w:rsidRPr="00C63F0C" w:rsidRDefault="00363D9C" w:rsidP="00DF3C09">
      <w:pPr>
        <w:ind w:firstLine="720"/>
        <w:jc w:val="both"/>
        <w:rPr>
          <w:sz w:val="28"/>
          <w:szCs w:val="28"/>
        </w:rPr>
      </w:pPr>
    </w:p>
    <w:sectPr w:rsidR="00363D9C" w:rsidRPr="00C63F0C" w:rsidSect="009D1ED3">
      <w:headerReference w:type="default" r:id="rId8"/>
      <w:footerReference w:type="default" r:id="rId9"/>
      <w:footerReference w:type="first" r:id="rId10"/>
      <w:pgSz w:w="11906" w:h="16838"/>
      <w:pgMar w:top="1440" w:right="849"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E93" w:rsidRDefault="009F1E93" w:rsidP="00903CAC">
      <w:r>
        <w:separator/>
      </w:r>
    </w:p>
  </w:endnote>
  <w:endnote w:type="continuationSeparator" w:id="0">
    <w:p w:rsidR="009F1E93" w:rsidRDefault="009F1E93" w:rsidP="0090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09" w:rsidRPr="00DF3C09" w:rsidRDefault="00DF3C09" w:rsidP="00DF3C09">
    <w:pPr>
      <w:pStyle w:val="BodyText"/>
      <w:spacing w:after="0"/>
      <w:ind w:left="-142"/>
      <w:jc w:val="both"/>
      <w:rPr>
        <w:sz w:val="20"/>
        <w:szCs w:val="20"/>
        <w:lang w:val="lv-LV"/>
      </w:rPr>
    </w:pPr>
    <w:r w:rsidRPr="00DF3C09">
      <w:rPr>
        <w:sz w:val="20"/>
        <w:szCs w:val="20"/>
        <w:lang w:val="de-DE"/>
      </w:rPr>
      <w:t>IZMZin_140513_kosmoss;</w:t>
    </w:r>
    <w:r w:rsidRPr="00DF3C09">
      <w:rPr>
        <w:sz w:val="20"/>
        <w:szCs w:val="20"/>
        <w:lang w:val="lv-LV"/>
      </w:rPr>
      <w:t xml:space="preserve"> Informatīvais ziņojums par „Likumprojekta </w:t>
    </w:r>
    <w:r w:rsidRPr="00DF3C09">
      <w:rPr>
        <w:color w:val="000000"/>
        <w:spacing w:val="15"/>
        <w:sz w:val="20"/>
        <w:szCs w:val="20"/>
      </w:rPr>
      <w:t>„</w:t>
    </w:r>
    <w:r w:rsidRPr="00DF3C09">
      <w:rPr>
        <w:color w:val="000000"/>
        <w:sz w:val="20"/>
        <w:szCs w:val="20"/>
      </w:rPr>
      <w:t xml:space="preserve">Par </w:t>
    </w:r>
    <w:proofErr w:type="spellStart"/>
    <w:r w:rsidRPr="00DF3C09">
      <w:rPr>
        <w:sz w:val="20"/>
        <w:szCs w:val="20"/>
      </w:rPr>
      <w:t>Latvijas</w:t>
    </w:r>
    <w:proofErr w:type="spellEnd"/>
    <w:r w:rsidRPr="00DF3C09">
      <w:rPr>
        <w:sz w:val="20"/>
        <w:szCs w:val="20"/>
      </w:rPr>
      <w:t xml:space="preserve"> </w:t>
    </w:r>
    <w:proofErr w:type="spellStart"/>
    <w:r w:rsidRPr="00DF3C09">
      <w:rPr>
        <w:sz w:val="20"/>
        <w:szCs w:val="20"/>
      </w:rPr>
      <w:t>Republikas</w:t>
    </w:r>
    <w:proofErr w:type="spellEnd"/>
    <w:r w:rsidRPr="00DF3C09">
      <w:rPr>
        <w:sz w:val="20"/>
        <w:szCs w:val="20"/>
      </w:rPr>
      <w:t xml:space="preserve"> </w:t>
    </w:r>
    <w:proofErr w:type="spellStart"/>
    <w:r w:rsidRPr="00DF3C09">
      <w:rPr>
        <w:sz w:val="20"/>
        <w:szCs w:val="20"/>
      </w:rPr>
      <w:t>valdības</w:t>
    </w:r>
    <w:proofErr w:type="spellEnd"/>
    <w:r w:rsidRPr="00DF3C09">
      <w:rPr>
        <w:sz w:val="20"/>
        <w:szCs w:val="20"/>
      </w:rPr>
      <w:t xml:space="preserve"> un </w:t>
    </w:r>
    <w:proofErr w:type="spellStart"/>
    <w:r w:rsidRPr="00DF3C09">
      <w:rPr>
        <w:sz w:val="20"/>
        <w:szCs w:val="20"/>
      </w:rPr>
      <w:t>Eiropas</w:t>
    </w:r>
    <w:proofErr w:type="spellEnd"/>
    <w:r w:rsidRPr="00DF3C09">
      <w:rPr>
        <w:sz w:val="20"/>
        <w:szCs w:val="20"/>
      </w:rPr>
      <w:t xml:space="preserve"> </w:t>
    </w:r>
    <w:proofErr w:type="spellStart"/>
    <w:r w:rsidRPr="00DF3C09">
      <w:rPr>
        <w:sz w:val="20"/>
        <w:szCs w:val="20"/>
      </w:rPr>
      <w:t>Kosmosa</w:t>
    </w:r>
    <w:proofErr w:type="spellEnd"/>
    <w:r w:rsidRPr="00DF3C09">
      <w:rPr>
        <w:sz w:val="20"/>
        <w:szCs w:val="20"/>
      </w:rPr>
      <w:t xml:space="preserve"> </w:t>
    </w:r>
    <w:proofErr w:type="spellStart"/>
    <w:r w:rsidRPr="00DF3C09">
      <w:rPr>
        <w:sz w:val="20"/>
        <w:szCs w:val="20"/>
      </w:rPr>
      <w:t>aģentūras</w:t>
    </w:r>
    <w:proofErr w:type="spellEnd"/>
    <w:r w:rsidRPr="00DF3C09">
      <w:rPr>
        <w:sz w:val="20"/>
        <w:szCs w:val="20"/>
      </w:rPr>
      <w:t xml:space="preserve"> </w:t>
    </w:r>
    <w:proofErr w:type="spellStart"/>
    <w:r w:rsidRPr="00DF3C09">
      <w:rPr>
        <w:sz w:val="20"/>
        <w:szCs w:val="20"/>
      </w:rPr>
      <w:t>Eiropas</w:t>
    </w:r>
    <w:proofErr w:type="spellEnd"/>
    <w:r w:rsidRPr="00DF3C09">
      <w:rPr>
        <w:sz w:val="20"/>
        <w:szCs w:val="20"/>
      </w:rPr>
      <w:t xml:space="preserve"> </w:t>
    </w:r>
    <w:proofErr w:type="spellStart"/>
    <w:r w:rsidRPr="00DF3C09">
      <w:rPr>
        <w:sz w:val="20"/>
        <w:szCs w:val="20"/>
      </w:rPr>
      <w:t>sadarbības</w:t>
    </w:r>
    <w:proofErr w:type="spellEnd"/>
    <w:r w:rsidRPr="00DF3C09">
      <w:rPr>
        <w:sz w:val="20"/>
        <w:szCs w:val="20"/>
      </w:rPr>
      <w:t xml:space="preserve"> </w:t>
    </w:r>
    <w:proofErr w:type="spellStart"/>
    <w:r w:rsidRPr="00DF3C09">
      <w:rPr>
        <w:sz w:val="20"/>
        <w:szCs w:val="20"/>
      </w:rPr>
      <w:t>valsts</w:t>
    </w:r>
    <w:proofErr w:type="spellEnd"/>
    <w:r w:rsidRPr="00DF3C09">
      <w:rPr>
        <w:sz w:val="20"/>
        <w:szCs w:val="20"/>
      </w:rPr>
      <w:t xml:space="preserve"> </w:t>
    </w:r>
    <w:proofErr w:type="spellStart"/>
    <w:r w:rsidRPr="00DF3C09">
      <w:rPr>
        <w:sz w:val="20"/>
        <w:szCs w:val="20"/>
      </w:rPr>
      <w:t>līgumu</w:t>
    </w:r>
    <w:proofErr w:type="spellEnd"/>
    <w:r w:rsidRPr="00DF3C09">
      <w:rPr>
        <w:sz w:val="20"/>
        <w:szCs w:val="20"/>
      </w:rPr>
      <w:t xml:space="preserve">” </w:t>
    </w:r>
    <w:proofErr w:type="spellStart"/>
    <w:r w:rsidRPr="00DF3C09">
      <w:rPr>
        <w:sz w:val="20"/>
        <w:szCs w:val="20"/>
      </w:rPr>
      <w:t>izpildi</w:t>
    </w:r>
    <w:proofErr w:type="spellEnd"/>
    <w:r w:rsidRPr="00DF3C09">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09" w:rsidRPr="00DF3C09" w:rsidRDefault="00DF3C09" w:rsidP="00DF3C09">
    <w:pPr>
      <w:pStyle w:val="BodyText"/>
      <w:spacing w:after="0"/>
      <w:ind w:left="-142"/>
      <w:jc w:val="both"/>
      <w:rPr>
        <w:sz w:val="20"/>
        <w:szCs w:val="20"/>
        <w:lang w:val="lv-LV"/>
      </w:rPr>
    </w:pPr>
    <w:r w:rsidRPr="00DF3C09">
      <w:rPr>
        <w:sz w:val="20"/>
        <w:szCs w:val="20"/>
        <w:lang w:val="de-DE"/>
      </w:rPr>
      <w:t>IZMZin_140513_kosmoss;</w:t>
    </w:r>
    <w:r w:rsidRPr="00DF3C09">
      <w:rPr>
        <w:sz w:val="20"/>
        <w:szCs w:val="20"/>
        <w:lang w:val="lv-LV"/>
      </w:rPr>
      <w:t xml:space="preserve"> Informatīvais ziņojums par „Likumprojekta </w:t>
    </w:r>
    <w:r w:rsidRPr="00DF3C09">
      <w:rPr>
        <w:color w:val="000000"/>
        <w:spacing w:val="15"/>
        <w:sz w:val="20"/>
        <w:szCs w:val="20"/>
      </w:rPr>
      <w:t>„</w:t>
    </w:r>
    <w:r w:rsidRPr="00DF3C09">
      <w:rPr>
        <w:color w:val="000000"/>
        <w:sz w:val="20"/>
        <w:szCs w:val="20"/>
      </w:rPr>
      <w:t xml:space="preserve">Par </w:t>
    </w:r>
    <w:proofErr w:type="spellStart"/>
    <w:r w:rsidRPr="00DF3C09">
      <w:rPr>
        <w:sz w:val="20"/>
        <w:szCs w:val="20"/>
      </w:rPr>
      <w:t>Latvijas</w:t>
    </w:r>
    <w:proofErr w:type="spellEnd"/>
    <w:r w:rsidRPr="00DF3C09">
      <w:rPr>
        <w:sz w:val="20"/>
        <w:szCs w:val="20"/>
      </w:rPr>
      <w:t xml:space="preserve"> </w:t>
    </w:r>
    <w:proofErr w:type="spellStart"/>
    <w:r w:rsidRPr="00DF3C09">
      <w:rPr>
        <w:sz w:val="20"/>
        <w:szCs w:val="20"/>
      </w:rPr>
      <w:t>Republikas</w:t>
    </w:r>
    <w:proofErr w:type="spellEnd"/>
    <w:r w:rsidRPr="00DF3C09">
      <w:rPr>
        <w:sz w:val="20"/>
        <w:szCs w:val="20"/>
      </w:rPr>
      <w:t xml:space="preserve"> </w:t>
    </w:r>
    <w:proofErr w:type="spellStart"/>
    <w:r w:rsidRPr="00DF3C09">
      <w:rPr>
        <w:sz w:val="20"/>
        <w:szCs w:val="20"/>
      </w:rPr>
      <w:t>valdības</w:t>
    </w:r>
    <w:proofErr w:type="spellEnd"/>
    <w:r w:rsidRPr="00DF3C09">
      <w:rPr>
        <w:sz w:val="20"/>
        <w:szCs w:val="20"/>
      </w:rPr>
      <w:t xml:space="preserve"> un </w:t>
    </w:r>
    <w:proofErr w:type="spellStart"/>
    <w:r w:rsidRPr="00DF3C09">
      <w:rPr>
        <w:sz w:val="20"/>
        <w:szCs w:val="20"/>
      </w:rPr>
      <w:t>Eiropas</w:t>
    </w:r>
    <w:proofErr w:type="spellEnd"/>
    <w:r w:rsidRPr="00DF3C09">
      <w:rPr>
        <w:sz w:val="20"/>
        <w:szCs w:val="20"/>
      </w:rPr>
      <w:t xml:space="preserve"> </w:t>
    </w:r>
    <w:proofErr w:type="spellStart"/>
    <w:r w:rsidRPr="00DF3C09">
      <w:rPr>
        <w:sz w:val="20"/>
        <w:szCs w:val="20"/>
      </w:rPr>
      <w:t>Kosmosa</w:t>
    </w:r>
    <w:proofErr w:type="spellEnd"/>
    <w:r w:rsidRPr="00DF3C09">
      <w:rPr>
        <w:sz w:val="20"/>
        <w:szCs w:val="20"/>
      </w:rPr>
      <w:t xml:space="preserve"> </w:t>
    </w:r>
    <w:proofErr w:type="spellStart"/>
    <w:r w:rsidRPr="00DF3C09">
      <w:rPr>
        <w:sz w:val="20"/>
        <w:szCs w:val="20"/>
      </w:rPr>
      <w:t>aģentūras</w:t>
    </w:r>
    <w:proofErr w:type="spellEnd"/>
    <w:r w:rsidRPr="00DF3C09">
      <w:rPr>
        <w:sz w:val="20"/>
        <w:szCs w:val="20"/>
      </w:rPr>
      <w:t xml:space="preserve"> </w:t>
    </w:r>
    <w:proofErr w:type="spellStart"/>
    <w:r w:rsidRPr="00DF3C09">
      <w:rPr>
        <w:sz w:val="20"/>
        <w:szCs w:val="20"/>
      </w:rPr>
      <w:t>Eiropas</w:t>
    </w:r>
    <w:proofErr w:type="spellEnd"/>
    <w:r w:rsidRPr="00DF3C09">
      <w:rPr>
        <w:sz w:val="20"/>
        <w:szCs w:val="20"/>
      </w:rPr>
      <w:t xml:space="preserve"> </w:t>
    </w:r>
    <w:proofErr w:type="spellStart"/>
    <w:r w:rsidRPr="00DF3C09">
      <w:rPr>
        <w:sz w:val="20"/>
        <w:szCs w:val="20"/>
      </w:rPr>
      <w:t>sadarbības</w:t>
    </w:r>
    <w:proofErr w:type="spellEnd"/>
    <w:r w:rsidRPr="00DF3C09">
      <w:rPr>
        <w:sz w:val="20"/>
        <w:szCs w:val="20"/>
      </w:rPr>
      <w:t xml:space="preserve"> </w:t>
    </w:r>
    <w:proofErr w:type="spellStart"/>
    <w:r w:rsidRPr="00DF3C09">
      <w:rPr>
        <w:sz w:val="20"/>
        <w:szCs w:val="20"/>
      </w:rPr>
      <w:t>valsts</w:t>
    </w:r>
    <w:proofErr w:type="spellEnd"/>
    <w:r w:rsidRPr="00DF3C09">
      <w:rPr>
        <w:sz w:val="20"/>
        <w:szCs w:val="20"/>
      </w:rPr>
      <w:t xml:space="preserve"> </w:t>
    </w:r>
    <w:proofErr w:type="spellStart"/>
    <w:r w:rsidRPr="00DF3C09">
      <w:rPr>
        <w:sz w:val="20"/>
        <w:szCs w:val="20"/>
      </w:rPr>
      <w:t>līgumu</w:t>
    </w:r>
    <w:proofErr w:type="spellEnd"/>
    <w:r w:rsidRPr="00DF3C09">
      <w:rPr>
        <w:sz w:val="20"/>
        <w:szCs w:val="20"/>
      </w:rPr>
      <w:t xml:space="preserve">” </w:t>
    </w:r>
    <w:proofErr w:type="spellStart"/>
    <w:r w:rsidRPr="00DF3C09">
      <w:rPr>
        <w:sz w:val="20"/>
        <w:szCs w:val="20"/>
      </w:rPr>
      <w:t>izpildi</w:t>
    </w:r>
    <w:proofErr w:type="spellEnd"/>
    <w:r w:rsidRPr="00DF3C09">
      <w:rPr>
        <w:sz w:val="20"/>
        <w:szCs w:val="20"/>
      </w:rPr>
      <w:t>”</w:t>
    </w:r>
  </w:p>
  <w:p w:rsidR="00DF3C09" w:rsidRDefault="00DF3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E93" w:rsidRDefault="009F1E93" w:rsidP="00903CAC">
      <w:r>
        <w:separator/>
      </w:r>
    </w:p>
  </w:footnote>
  <w:footnote w:type="continuationSeparator" w:id="0">
    <w:p w:rsidR="009F1E93" w:rsidRDefault="009F1E93" w:rsidP="00903CAC">
      <w:r>
        <w:continuationSeparator/>
      </w:r>
    </w:p>
  </w:footnote>
  <w:footnote w:id="1">
    <w:p w:rsidR="00CE3A6D" w:rsidRDefault="00CE3A6D" w:rsidP="00CE3A6D">
      <w:pPr>
        <w:pStyle w:val="FootnoteText"/>
      </w:pPr>
      <w:r>
        <w:rPr>
          <w:rStyle w:val="FootnoteReference"/>
        </w:rPr>
        <w:footnoteRef/>
      </w:r>
      <w:r>
        <w:t xml:space="preserve"> Analīzē galvenokārt analizēta Latvijas </w:t>
      </w:r>
      <w:proofErr w:type="spellStart"/>
      <w:r w:rsidRPr="00FF729F">
        <w:rPr>
          <w:i/>
        </w:rPr>
        <w:t>upstream</w:t>
      </w:r>
      <w:proofErr w:type="spellEnd"/>
      <w:r>
        <w:t xml:space="preserve"> nozares kapacitāte un apjoms. Analīzē neietver </w:t>
      </w:r>
      <w:proofErr w:type="spellStart"/>
      <w:r w:rsidRPr="00FF729F">
        <w:rPr>
          <w:i/>
        </w:rPr>
        <w:t>downstream</w:t>
      </w:r>
      <w:proofErr w:type="spellEnd"/>
      <w:r>
        <w:t xml:space="preserve"> nozares segmentus – piemēram, satelīttelevīziju, satelītu komunikāciju, </w:t>
      </w:r>
      <w:proofErr w:type="spellStart"/>
      <w:r>
        <w:t>satelītnavigācijas</w:t>
      </w:r>
      <w:proofErr w:type="spellEnd"/>
      <w:r>
        <w:t xml:space="preserve"> iekārtas un pakalpojumus, u.c.</w:t>
      </w:r>
    </w:p>
  </w:footnote>
  <w:footnote w:id="2">
    <w:p w:rsidR="009D1ED3" w:rsidRDefault="009D1ED3" w:rsidP="009D1ED3">
      <w:pPr>
        <w:pStyle w:val="FootnoteText"/>
        <w:jc w:val="both"/>
      </w:pPr>
      <w:r>
        <w:rPr>
          <w:rStyle w:val="FootnoteReference"/>
        </w:rPr>
        <w:footnoteRef/>
      </w:r>
      <w:r>
        <w:t xml:space="preserve"> </w:t>
      </w:r>
      <w:proofErr w:type="spellStart"/>
      <w:r w:rsidRPr="007B2EFB">
        <w:rPr>
          <w:i/>
        </w:rPr>
        <w:t>upstream</w:t>
      </w:r>
      <w:proofErr w:type="spellEnd"/>
      <w:r w:rsidRPr="007B2EFB">
        <w:rPr>
          <w:i/>
        </w:rPr>
        <w:t xml:space="preserve"> </w:t>
      </w:r>
      <w:proofErr w:type="spellStart"/>
      <w:r w:rsidRPr="007B2EFB">
        <w:rPr>
          <w:i/>
        </w:rPr>
        <w:t>market</w:t>
      </w:r>
      <w:proofErr w:type="spellEnd"/>
      <w:r w:rsidRPr="007B2EFB">
        <w:t xml:space="preserve"> jeb augšupējais tirgus, kas iekļauj tehnoloģijas, kas pašas izmantojamas kosmosā vai iekārtu nogādei kosmosā, tai skaitā datu iegūšana un primārā apstrāde izmantojot šīs iekārtas</w:t>
      </w:r>
    </w:p>
  </w:footnote>
  <w:footnote w:id="3">
    <w:p w:rsidR="00903CAC" w:rsidRPr="002215D6" w:rsidRDefault="00903CAC" w:rsidP="00903CAC">
      <w:pPr>
        <w:autoSpaceDE w:val="0"/>
        <w:autoSpaceDN w:val="0"/>
        <w:adjustRightInd w:val="0"/>
        <w:jc w:val="both"/>
        <w:rPr>
          <w:rFonts w:eastAsia="Calibri"/>
          <w:color w:val="000000"/>
        </w:rPr>
      </w:pPr>
      <w:r>
        <w:rPr>
          <w:rStyle w:val="FootnoteReference"/>
        </w:rPr>
        <w:footnoteRef/>
      </w:r>
      <w:r w:rsidRPr="00903CAC">
        <w:rPr>
          <w:sz w:val="20"/>
          <w:szCs w:val="20"/>
        </w:rPr>
        <w:t xml:space="preserve">Ņemot vērā, ka Likumprojekts </w:t>
      </w:r>
      <w:r w:rsidRPr="00903CAC">
        <w:rPr>
          <w:color w:val="000000"/>
          <w:spacing w:val="15"/>
          <w:sz w:val="20"/>
          <w:szCs w:val="20"/>
        </w:rPr>
        <w:t>„</w:t>
      </w:r>
      <w:r w:rsidRPr="00903CAC">
        <w:rPr>
          <w:color w:val="000000"/>
          <w:sz w:val="20"/>
          <w:szCs w:val="20"/>
        </w:rPr>
        <w:t xml:space="preserve">Par </w:t>
      </w:r>
      <w:r w:rsidRPr="00903CAC">
        <w:rPr>
          <w:sz w:val="20"/>
          <w:szCs w:val="20"/>
        </w:rPr>
        <w:t xml:space="preserve">Latvijas Republikas valdības un Eiropas Kosmosa aģentūras Eiropas sadarbības valsts līgumu” un Ministru kabineta </w:t>
      </w:r>
      <w:proofErr w:type="spellStart"/>
      <w:r w:rsidRPr="00903CAC">
        <w:rPr>
          <w:sz w:val="20"/>
          <w:szCs w:val="20"/>
        </w:rPr>
        <w:t>protokollēmuma</w:t>
      </w:r>
      <w:proofErr w:type="spellEnd"/>
      <w:r w:rsidRPr="00903CAC">
        <w:rPr>
          <w:sz w:val="20"/>
          <w:szCs w:val="20"/>
        </w:rPr>
        <w:t xml:space="preserve"> projekts tika izstrādāts jau 2011.gadā, bet apstiprināts tikai 2012.gada 11.decembra Ministru kabineta sēdē (sēdes prot.Nr.70 14.$ 4.punkts), par ikgadējo dalības summu tika izmantota EUR 1,237 miljoni gadā, kas tika norādīta EKA ekspertu vīzītē Latvijā 2011.gada 22.jūnijā, savukārt šobrīd saskaņā ar EKA ekspertu norādīto informāciju 2013.gada 15.marta vizītē, t</w:t>
      </w:r>
      <w:r w:rsidR="00443897">
        <w:rPr>
          <w:sz w:val="20"/>
          <w:szCs w:val="20"/>
        </w:rPr>
        <w:t>iek prognozēta iepriekš norādītā</w:t>
      </w:r>
      <w:r w:rsidRPr="00903CAC">
        <w:rPr>
          <w:sz w:val="20"/>
          <w:szCs w:val="20"/>
        </w:rPr>
        <w:t xml:space="preserve"> summa </w:t>
      </w:r>
      <w:r w:rsidRPr="00903CAC">
        <w:rPr>
          <w:b/>
          <w:sz w:val="20"/>
          <w:szCs w:val="20"/>
        </w:rPr>
        <w:t xml:space="preserve">LVL 948 785 </w:t>
      </w:r>
      <w:r w:rsidRPr="00903CAC">
        <w:rPr>
          <w:sz w:val="20"/>
          <w:szCs w:val="20"/>
        </w:rPr>
        <w:t>uz 2014.gadu</w:t>
      </w:r>
      <w:r>
        <w:t xml:space="preserve">. </w:t>
      </w:r>
    </w:p>
    <w:p w:rsidR="00903CAC" w:rsidRDefault="00903CAC" w:rsidP="00903CA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7719"/>
      <w:docPartObj>
        <w:docPartGallery w:val="Page Numbers (Top of Page)"/>
        <w:docPartUnique/>
      </w:docPartObj>
    </w:sdtPr>
    <w:sdtContent>
      <w:p w:rsidR="009D1ED3" w:rsidRDefault="005C0499">
        <w:pPr>
          <w:pStyle w:val="Header"/>
          <w:jc w:val="center"/>
        </w:pPr>
        <w:fldSimple w:instr=" PAGE   \* MERGEFORMAT ">
          <w:r w:rsidR="00384E90">
            <w:rPr>
              <w:noProof/>
            </w:rPr>
            <w:t>6</w:t>
          </w:r>
        </w:fldSimple>
      </w:p>
    </w:sdtContent>
  </w:sdt>
  <w:p w:rsidR="009D1ED3" w:rsidRDefault="009D1E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194"/>
    <w:multiLevelType w:val="hybridMultilevel"/>
    <w:tmpl w:val="B1DCBA86"/>
    <w:lvl w:ilvl="0" w:tplc="3E1AFA6C">
      <w:start w:val="1"/>
      <w:numFmt w:val="decimal"/>
      <w:pStyle w:val="Numeretslists"/>
      <w:lvlText w:val="%1)"/>
      <w:lvlJc w:val="left"/>
      <w:pPr>
        <w:ind w:left="785"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A8E2800"/>
    <w:multiLevelType w:val="hybridMultilevel"/>
    <w:tmpl w:val="35F0B148"/>
    <w:lvl w:ilvl="0" w:tplc="46AE0CCC">
      <w:start w:val="1"/>
      <w:numFmt w:val="decimal"/>
      <w:lvlText w:val="%1."/>
      <w:lvlJc w:val="left"/>
      <w:pPr>
        <w:ind w:left="2150" w:hanging="360"/>
      </w:pPr>
      <w:rPr>
        <w:rFonts w:hint="default"/>
      </w:rPr>
    </w:lvl>
    <w:lvl w:ilvl="1" w:tplc="04260019" w:tentative="1">
      <w:start w:val="1"/>
      <w:numFmt w:val="lowerLetter"/>
      <w:lvlText w:val="%2."/>
      <w:lvlJc w:val="left"/>
      <w:pPr>
        <w:ind w:left="2870" w:hanging="360"/>
      </w:pPr>
    </w:lvl>
    <w:lvl w:ilvl="2" w:tplc="0426001B" w:tentative="1">
      <w:start w:val="1"/>
      <w:numFmt w:val="lowerRoman"/>
      <w:lvlText w:val="%3."/>
      <w:lvlJc w:val="right"/>
      <w:pPr>
        <w:ind w:left="3590" w:hanging="180"/>
      </w:pPr>
    </w:lvl>
    <w:lvl w:ilvl="3" w:tplc="0426000F" w:tentative="1">
      <w:start w:val="1"/>
      <w:numFmt w:val="decimal"/>
      <w:lvlText w:val="%4."/>
      <w:lvlJc w:val="left"/>
      <w:pPr>
        <w:ind w:left="4310" w:hanging="360"/>
      </w:pPr>
    </w:lvl>
    <w:lvl w:ilvl="4" w:tplc="04260019" w:tentative="1">
      <w:start w:val="1"/>
      <w:numFmt w:val="lowerLetter"/>
      <w:lvlText w:val="%5."/>
      <w:lvlJc w:val="left"/>
      <w:pPr>
        <w:ind w:left="5030" w:hanging="360"/>
      </w:pPr>
    </w:lvl>
    <w:lvl w:ilvl="5" w:tplc="0426001B" w:tentative="1">
      <w:start w:val="1"/>
      <w:numFmt w:val="lowerRoman"/>
      <w:lvlText w:val="%6."/>
      <w:lvlJc w:val="right"/>
      <w:pPr>
        <w:ind w:left="5750" w:hanging="180"/>
      </w:pPr>
    </w:lvl>
    <w:lvl w:ilvl="6" w:tplc="0426000F" w:tentative="1">
      <w:start w:val="1"/>
      <w:numFmt w:val="decimal"/>
      <w:lvlText w:val="%7."/>
      <w:lvlJc w:val="left"/>
      <w:pPr>
        <w:ind w:left="6470" w:hanging="360"/>
      </w:pPr>
    </w:lvl>
    <w:lvl w:ilvl="7" w:tplc="04260019" w:tentative="1">
      <w:start w:val="1"/>
      <w:numFmt w:val="lowerLetter"/>
      <w:lvlText w:val="%8."/>
      <w:lvlJc w:val="left"/>
      <w:pPr>
        <w:ind w:left="7190" w:hanging="360"/>
      </w:pPr>
    </w:lvl>
    <w:lvl w:ilvl="8" w:tplc="0426001B" w:tentative="1">
      <w:start w:val="1"/>
      <w:numFmt w:val="lowerRoman"/>
      <w:lvlText w:val="%9."/>
      <w:lvlJc w:val="right"/>
      <w:pPr>
        <w:ind w:left="7910" w:hanging="180"/>
      </w:pPr>
    </w:lvl>
  </w:abstractNum>
  <w:abstractNum w:abstractNumId="2">
    <w:nsid w:val="4AF84685"/>
    <w:multiLevelType w:val="hybridMultilevel"/>
    <w:tmpl w:val="F4E0FFB0"/>
    <w:lvl w:ilvl="0" w:tplc="94142C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5BC85F02"/>
    <w:multiLevelType w:val="hybridMultilevel"/>
    <w:tmpl w:val="1302AFAC"/>
    <w:lvl w:ilvl="0" w:tplc="6EBCB53C">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
    <w:nsid w:val="70577857"/>
    <w:multiLevelType w:val="hybridMultilevel"/>
    <w:tmpl w:val="E578EB8A"/>
    <w:lvl w:ilvl="0" w:tplc="BD7E1144">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nsid w:val="72D230CB"/>
    <w:multiLevelType w:val="hybridMultilevel"/>
    <w:tmpl w:val="3C62007C"/>
    <w:lvl w:ilvl="0" w:tplc="28AE262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0"/>
    <w:lvlOverride w:ilvl="0">
      <w:startOverride w:val="1"/>
    </w:lvlOverride>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03CAC"/>
    <w:rsid w:val="00014AF5"/>
    <w:rsid w:val="00022FA1"/>
    <w:rsid w:val="000233DA"/>
    <w:rsid w:val="000844DE"/>
    <w:rsid w:val="00094585"/>
    <w:rsid w:val="00120B30"/>
    <w:rsid w:val="00123FFD"/>
    <w:rsid w:val="00125AFA"/>
    <w:rsid w:val="00154DAA"/>
    <w:rsid w:val="001C2C45"/>
    <w:rsid w:val="00204B6A"/>
    <w:rsid w:val="002666B3"/>
    <w:rsid w:val="00280B1A"/>
    <w:rsid w:val="002F5E3A"/>
    <w:rsid w:val="00363D9C"/>
    <w:rsid w:val="00384E90"/>
    <w:rsid w:val="003E042F"/>
    <w:rsid w:val="00417E65"/>
    <w:rsid w:val="00443897"/>
    <w:rsid w:val="0047189A"/>
    <w:rsid w:val="00480B2E"/>
    <w:rsid w:val="004B7B13"/>
    <w:rsid w:val="004E6B22"/>
    <w:rsid w:val="005C0499"/>
    <w:rsid w:val="0065443C"/>
    <w:rsid w:val="00654627"/>
    <w:rsid w:val="006B4947"/>
    <w:rsid w:val="006C45CE"/>
    <w:rsid w:val="006E5AB0"/>
    <w:rsid w:val="0071675B"/>
    <w:rsid w:val="00764EE3"/>
    <w:rsid w:val="007A61CC"/>
    <w:rsid w:val="00803F8D"/>
    <w:rsid w:val="00841C0A"/>
    <w:rsid w:val="008420C6"/>
    <w:rsid w:val="008603D5"/>
    <w:rsid w:val="00903CAC"/>
    <w:rsid w:val="00962362"/>
    <w:rsid w:val="009D1ED3"/>
    <w:rsid w:val="009F1E93"/>
    <w:rsid w:val="00A43443"/>
    <w:rsid w:val="00B2516E"/>
    <w:rsid w:val="00B754C1"/>
    <w:rsid w:val="00BE68AE"/>
    <w:rsid w:val="00C63F0C"/>
    <w:rsid w:val="00CA3DD5"/>
    <w:rsid w:val="00CD025A"/>
    <w:rsid w:val="00CE3A6D"/>
    <w:rsid w:val="00D111AB"/>
    <w:rsid w:val="00DF3C09"/>
    <w:rsid w:val="00E01EC3"/>
    <w:rsid w:val="00E801D6"/>
    <w:rsid w:val="00F64A0C"/>
    <w:rsid w:val="00F94942"/>
    <w:rsid w:val="00F97802"/>
    <w:rsid w:val="00FA4432"/>
    <w:rsid w:val="00FF01D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AC"/>
    <w:rPr>
      <w:rFonts w:ascii="Times New Roman" w:eastAsia="Times New Roman" w:hAnsi="Times New Roman"/>
      <w:sz w:val="24"/>
      <w:szCs w:val="24"/>
    </w:rPr>
  </w:style>
  <w:style w:type="paragraph" w:styleId="Heading1">
    <w:name w:val="heading 1"/>
    <w:basedOn w:val="Normal"/>
    <w:next w:val="Normal"/>
    <w:link w:val="Heading1Char"/>
    <w:uiPriority w:val="9"/>
    <w:qFormat/>
    <w:rsid w:val="0071675B"/>
    <w:pPr>
      <w:pageBreakBefore/>
      <w:spacing w:after="240"/>
      <w:jc w:val="center"/>
      <w:outlineLvl w:val="0"/>
    </w:pPr>
    <w:rPr>
      <w:rFonts w:ascii="Calibri" w:hAnsi="Calibri"/>
      <w:b/>
      <w:bCs/>
      <w:sz w:val="36"/>
    </w:rPr>
  </w:style>
  <w:style w:type="paragraph" w:styleId="Heading2">
    <w:name w:val="heading 2"/>
    <w:basedOn w:val="Normal"/>
    <w:next w:val="Normal"/>
    <w:link w:val="Heading2Char"/>
    <w:uiPriority w:val="9"/>
    <w:qFormat/>
    <w:rsid w:val="0071675B"/>
    <w:pPr>
      <w:keepNext/>
      <w:keepLines/>
      <w:spacing w:before="120" w:after="120"/>
      <w:outlineLvl w:val="1"/>
    </w:pPr>
    <w:rPr>
      <w:b/>
      <w:bCs/>
      <w:sz w:val="32"/>
      <w:szCs w:val="26"/>
    </w:rPr>
  </w:style>
  <w:style w:type="paragraph" w:styleId="Heading3">
    <w:name w:val="heading 3"/>
    <w:basedOn w:val="Normal"/>
    <w:next w:val="Normal"/>
    <w:link w:val="Heading3Char"/>
    <w:uiPriority w:val="9"/>
    <w:qFormat/>
    <w:rsid w:val="0071675B"/>
    <w:pPr>
      <w:keepNext/>
      <w:keepLines/>
      <w:spacing w:after="120"/>
      <w:outlineLvl w:val="2"/>
    </w:pPr>
    <w:rPr>
      <w:b/>
      <w:bCs/>
      <w:sz w:val="28"/>
    </w:rPr>
  </w:style>
  <w:style w:type="paragraph" w:styleId="Heading4">
    <w:name w:val="heading 4"/>
    <w:basedOn w:val="Normal"/>
    <w:next w:val="Normal"/>
    <w:link w:val="Heading4Char"/>
    <w:uiPriority w:val="9"/>
    <w:qFormat/>
    <w:rsid w:val="0071675B"/>
    <w:pPr>
      <w:keepNext/>
      <w:keepLines/>
      <w:outlineLvl w:val="3"/>
    </w:pPr>
    <w:rPr>
      <w:b/>
      <w:bCs/>
      <w:i/>
      <w:iCs/>
      <w:szCs w:val="20"/>
    </w:rPr>
  </w:style>
  <w:style w:type="paragraph" w:styleId="Heading5">
    <w:name w:val="heading 5"/>
    <w:basedOn w:val="Normal"/>
    <w:next w:val="Normal"/>
    <w:link w:val="Heading5Char"/>
    <w:qFormat/>
    <w:rsid w:val="0071675B"/>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71675B"/>
    <w:pPr>
      <w:spacing w:before="240" w:after="60"/>
      <w:outlineLvl w:val="5"/>
    </w:pPr>
    <w:rPr>
      <w:b/>
      <w:bCs/>
      <w:sz w:val="22"/>
      <w:szCs w:val="20"/>
    </w:rPr>
  </w:style>
  <w:style w:type="paragraph" w:styleId="Heading7">
    <w:name w:val="heading 7"/>
    <w:basedOn w:val="Normal"/>
    <w:next w:val="Normal"/>
    <w:link w:val="Heading7Char"/>
    <w:qFormat/>
    <w:rsid w:val="0071675B"/>
    <w:pPr>
      <w:tabs>
        <w:tab w:val="num" w:pos="1296"/>
      </w:tabs>
      <w:spacing w:before="240" w:after="60"/>
      <w:ind w:left="1296" w:hanging="1296"/>
      <w:outlineLvl w:val="6"/>
    </w:pPr>
  </w:style>
  <w:style w:type="paragraph" w:styleId="Heading8">
    <w:name w:val="heading 8"/>
    <w:basedOn w:val="Normal"/>
    <w:next w:val="Normal"/>
    <w:link w:val="Heading8Char"/>
    <w:qFormat/>
    <w:rsid w:val="0071675B"/>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
    <w:qFormat/>
    <w:rsid w:val="0071675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75B"/>
    <w:rPr>
      <w:b/>
      <w:bCs/>
      <w:sz w:val="36"/>
      <w:szCs w:val="28"/>
      <w:lang w:val="lv-LV" w:eastAsia="en-US" w:bidi="ar-SA"/>
    </w:rPr>
  </w:style>
  <w:style w:type="character" w:customStyle="1" w:styleId="Heading2Char">
    <w:name w:val="Heading 2 Char"/>
    <w:basedOn w:val="DefaultParagraphFont"/>
    <w:link w:val="Heading2"/>
    <w:uiPriority w:val="9"/>
    <w:rsid w:val="0071675B"/>
    <w:rPr>
      <w:rFonts w:ascii="Times New Roman" w:eastAsia="Times New Roman" w:hAnsi="Times New Roman"/>
      <w:b/>
      <w:bCs/>
      <w:sz w:val="32"/>
      <w:szCs w:val="26"/>
      <w:lang w:eastAsia="en-US"/>
    </w:rPr>
  </w:style>
  <w:style w:type="character" w:customStyle="1" w:styleId="Heading3Char">
    <w:name w:val="Heading 3 Char"/>
    <w:basedOn w:val="DefaultParagraphFont"/>
    <w:link w:val="Heading3"/>
    <w:uiPriority w:val="9"/>
    <w:rsid w:val="0071675B"/>
    <w:rPr>
      <w:rFonts w:ascii="Times New Roman" w:eastAsia="Times New Roman" w:hAnsi="Times New Roman"/>
      <w:b/>
      <w:bCs/>
      <w:sz w:val="28"/>
      <w:szCs w:val="28"/>
      <w:lang w:eastAsia="en-US"/>
    </w:rPr>
  </w:style>
  <w:style w:type="character" w:customStyle="1" w:styleId="Heading4Char">
    <w:name w:val="Heading 4 Char"/>
    <w:basedOn w:val="DefaultParagraphFont"/>
    <w:link w:val="Heading4"/>
    <w:uiPriority w:val="9"/>
    <w:rsid w:val="0071675B"/>
    <w:rPr>
      <w:rFonts w:ascii="Times New Roman" w:eastAsia="Times New Roman" w:hAnsi="Times New Roman" w:cs="Times New Roman"/>
      <w:b/>
      <w:bCs/>
      <w:i/>
      <w:iCs/>
      <w:sz w:val="24"/>
    </w:rPr>
  </w:style>
  <w:style w:type="character" w:customStyle="1" w:styleId="Heading5Char">
    <w:name w:val="Heading 5 Char"/>
    <w:basedOn w:val="DefaultParagraphFont"/>
    <w:link w:val="Heading5"/>
    <w:rsid w:val="0071675B"/>
    <w:rPr>
      <w:rFonts w:ascii="Times New Roman" w:hAnsi="Times New Roman"/>
      <w:b/>
      <w:bCs/>
      <w:i/>
      <w:iCs/>
      <w:sz w:val="26"/>
      <w:szCs w:val="26"/>
    </w:rPr>
  </w:style>
  <w:style w:type="character" w:customStyle="1" w:styleId="Heading6Char">
    <w:name w:val="Heading 6 Char"/>
    <w:basedOn w:val="DefaultParagraphFont"/>
    <w:link w:val="Heading6"/>
    <w:rsid w:val="0071675B"/>
    <w:rPr>
      <w:rFonts w:ascii="Times New Roman" w:eastAsia="Times New Roman" w:hAnsi="Times New Roman" w:cs="Times New Roman"/>
      <w:b/>
      <w:bCs/>
      <w:sz w:val="22"/>
      <w:lang w:eastAsia="lv-LV"/>
    </w:rPr>
  </w:style>
  <w:style w:type="character" w:customStyle="1" w:styleId="Heading7Char">
    <w:name w:val="Heading 7 Char"/>
    <w:basedOn w:val="DefaultParagraphFont"/>
    <w:link w:val="Heading7"/>
    <w:rsid w:val="0071675B"/>
    <w:rPr>
      <w:rFonts w:ascii="Times New Roman" w:hAnsi="Times New Roman"/>
      <w:sz w:val="24"/>
      <w:szCs w:val="24"/>
    </w:rPr>
  </w:style>
  <w:style w:type="character" w:customStyle="1" w:styleId="Heading8Char">
    <w:name w:val="Heading 8 Char"/>
    <w:basedOn w:val="DefaultParagraphFont"/>
    <w:link w:val="Heading8"/>
    <w:rsid w:val="0071675B"/>
    <w:rPr>
      <w:rFonts w:ascii="Times New Roman" w:hAnsi="Times New Roman"/>
      <w:i/>
      <w:iCs/>
      <w:sz w:val="24"/>
      <w:szCs w:val="24"/>
    </w:rPr>
  </w:style>
  <w:style w:type="character" w:customStyle="1" w:styleId="Heading9Char">
    <w:name w:val="Heading 9 Char"/>
    <w:basedOn w:val="DefaultParagraphFont"/>
    <w:link w:val="Heading9"/>
    <w:uiPriority w:val="9"/>
    <w:rsid w:val="0071675B"/>
    <w:rPr>
      <w:rFonts w:ascii="Cambria" w:eastAsia="Times New Roman" w:hAnsi="Cambria" w:cs="Times New Roman"/>
      <w:i/>
      <w:iCs/>
      <w:color w:val="404040"/>
      <w:sz w:val="20"/>
      <w:szCs w:val="20"/>
    </w:rPr>
  </w:style>
  <w:style w:type="paragraph" w:styleId="TOC1">
    <w:name w:val="toc 1"/>
    <w:basedOn w:val="Normal"/>
    <w:next w:val="Normal"/>
    <w:autoRedefine/>
    <w:uiPriority w:val="39"/>
    <w:unhideWhenUsed/>
    <w:qFormat/>
    <w:rsid w:val="0071675B"/>
    <w:pPr>
      <w:tabs>
        <w:tab w:val="right" w:leader="dot" w:pos="9061"/>
      </w:tabs>
      <w:spacing w:before="120" w:after="120"/>
    </w:pPr>
    <w:rPr>
      <w:b/>
      <w:bCs/>
      <w:caps/>
      <w:noProof/>
    </w:rPr>
  </w:style>
  <w:style w:type="paragraph" w:styleId="TOC2">
    <w:name w:val="toc 2"/>
    <w:basedOn w:val="Normal"/>
    <w:next w:val="Normal"/>
    <w:autoRedefine/>
    <w:uiPriority w:val="39"/>
    <w:unhideWhenUsed/>
    <w:qFormat/>
    <w:rsid w:val="0071675B"/>
    <w:pPr>
      <w:ind w:left="240"/>
    </w:pPr>
    <w:rPr>
      <w:smallCaps/>
      <w:sz w:val="20"/>
      <w:szCs w:val="20"/>
    </w:rPr>
  </w:style>
  <w:style w:type="paragraph" w:styleId="TOC3">
    <w:name w:val="toc 3"/>
    <w:basedOn w:val="Normal"/>
    <w:next w:val="Normal"/>
    <w:autoRedefine/>
    <w:uiPriority w:val="39"/>
    <w:unhideWhenUsed/>
    <w:qFormat/>
    <w:rsid w:val="0071675B"/>
    <w:pPr>
      <w:ind w:left="480"/>
    </w:pPr>
    <w:rPr>
      <w:i/>
      <w:iCs/>
      <w:sz w:val="20"/>
      <w:szCs w:val="20"/>
    </w:rPr>
  </w:style>
  <w:style w:type="paragraph" w:styleId="Caption">
    <w:name w:val="caption"/>
    <w:basedOn w:val="Normal"/>
    <w:next w:val="Normal"/>
    <w:link w:val="CaptionChar"/>
    <w:uiPriority w:val="35"/>
    <w:qFormat/>
    <w:rsid w:val="0071675B"/>
    <w:pPr>
      <w:spacing w:after="200"/>
    </w:pPr>
    <w:rPr>
      <w:bCs/>
    </w:rPr>
  </w:style>
  <w:style w:type="character" w:customStyle="1" w:styleId="CaptionChar">
    <w:name w:val="Caption Char"/>
    <w:basedOn w:val="DefaultParagraphFont"/>
    <w:link w:val="Caption"/>
    <w:uiPriority w:val="35"/>
    <w:rsid w:val="0071675B"/>
    <w:rPr>
      <w:rFonts w:ascii="Times New Roman" w:hAnsi="Times New Roman"/>
      <w:bCs/>
      <w:sz w:val="24"/>
      <w:szCs w:val="24"/>
      <w:lang w:eastAsia="en-US"/>
    </w:rPr>
  </w:style>
  <w:style w:type="paragraph" w:styleId="TableofFigures">
    <w:name w:val="table of figures"/>
    <w:basedOn w:val="Normal"/>
    <w:next w:val="Normal"/>
    <w:autoRedefine/>
    <w:uiPriority w:val="99"/>
    <w:semiHidden/>
    <w:unhideWhenUsed/>
    <w:qFormat/>
    <w:rsid w:val="0071675B"/>
    <w:pPr>
      <w:spacing w:before="40" w:after="40"/>
    </w:pPr>
  </w:style>
  <w:style w:type="paragraph" w:styleId="Subtitle">
    <w:name w:val="Subtitle"/>
    <w:basedOn w:val="Normal"/>
    <w:next w:val="Normal"/>
    <w:link w:val="SubtitleChar"/>
    <w:qFormat/>
    <w:rsid w:val="0071675B"/>
    <w:pPr>
      <w:keepNext/>
      <w:keepLines/>
      <w:widowControl w:val="0"/>
      <w:suppressAutoHyphens/>
      <w:spacing w:before="600" w:after="600"/>
      <w:ind w:right="4820"/>
    </w:pPr>
    <w:rPr>
      <w:b/>
      <w:sz w:val="26"/>
      <w:szCs w:val="20"/>
      <w:lang w:val="en-AU"/>
    </w:rPr>
  </w:style>
  <w:style w:type="character" w:customStyle="1" w:styleId="SubtitleChar">
    <w:name w:val="Subtitle Char"/>
    <w:basedOn w:val="DefaultParagraphFont"/>
    <w:link w:val="Subtitle"/>
    <w:rsid w:val="0071675B"/>
    <w:rPr>
      <w:rFonts w:ascii="Times New Roman" w:eastAsia="Times New Roman" w:hAnsi="Times New Roman" w:cs="Times New Roman"/>
      <w:b/>
      <w:sz w:val="26"/>
      <w:szCs w:val="20"/>
      <w:lang w:val="en-AU"/>
    </w:rPr>
  </w:style>
  <w:style w:type="character" w:styleId="Strong">
    <w:name w:val="Strong"/>
    <w:basedOn w:val="DefaultParagraphFont"/>
    <w:uiPriority w:val="22"/>
    <w:qFormat/>
    <w:rsid w:val="0071675B"/>
    <w:rPr>
      <w:b/>
      <w:bCs/>
    </w:rPr>
  </w:style>
  <w:style w:type="character" w:styleId="Emphasis">
    <w:name w:val="Emphasis"/>
    <w:basedOn w:val="DefaultParagraphFont"/>
    <w:uiPriority w:val="20"/>
    <w:qFormat/>
    <w:rsid w:val="0071675B"/>
    <w:rPr>
      <w:i/>
      <w:iCs/>
    </w:rPr>
  </w:style>
  <w:style w:type="paragraph" w:styleId="NoSpacing">
    <w:name w:val="No Spacing"/>
    <w:uiPriority w:val="1"/>
    <w:qFormat/>
    <w:rsid w:val="0071675B"/>
    <w:rPr>
      <w:rFonts w:ascii="Times New Roman" w:hAnsi="Times New Roman"/>
      <w:sz w:val="24"/>
      <w:szCs w:val="28"/>
      <w:lang w:eastAsia="en-US"/>
    </w:rPr>
  </w:style>
  <w:style w:type="paragraph" w:styleId="ListParagraph">
    <w:name w:val="List Paragraph"/>
    <w:basedOn w:val="Normal"/>
    <w:uiPriority w:val="34"/>
    <w:qFormat/>
    <w:rsid w:val="0071675B"/>
    <w:pPr>
      <w:ind w:left="720"/>
      <w:contextualSpacing/>
    </w:pPr>
  </w:style>
  <w:style w:type="paragraph" w:styleId="TOCHeading">
    <w:name w:val="TOC Heading"/>
    <w:basedOn w:val="Heading1"/>
    <w:next w:val="Normal"/>
    <w:uiPriority w:val="39"/>
    <w:qFormat/>
    <w:rsid w:val="0071675B"/>
    <w:pPr>
      <w:spacing w:line="276" w:lineRule="auto"/>
      <w:outlineLvl w:val="9"/>
    </w:pPr>
    <w:rPr>
      <w:rFonts w:ascii="Times New Roman" w:hAnsi="Times New Roman"/>
      <w:lang w:val="en-US"/>
    </w:rPr>
  </w:style>
  <w:style w:type="paragraph" w:customStyle="1" w:styleId="ColorfulList-Accent11">
    <w:name w:val="Colorful List - Accent 11"/>
    <w:basedOn w:val="Normal"/>
    <w:uiPriority w:val="34"/>
    <w:qFormat/>
    <w:rsid w:val="0071675B"/>
    <w:pPr>
      <w:ind w:left="720"/>
      <w:contextualSpacing/>
    </w:pPr>
  </w:style>
  <w:style w:type="paragraph" w:styleId="BodyText">
    <w:name w:val="Body Text"/>
    <w:basedOn w:val="Normal"/>
    <w:link w:val="BodyTextChar"/>
    <w:rsid w:val="00903CAC"/>
    <w:pPr>
      <w:spacing w:after="120"/>
    </w:pPr>
    <w:rPr>
      <w:lang w:val="en-GB" w:eastAsia="en-US"/>
    </w:rPr>
  </w:style>
  <w:style w:type="character" w:customStyle="1" w:styleId="BodyTextChar">
    <w:name w:val="Body Text Char"/>
    <w:basedOn w:val="DefaultParagraphFont"/>
    <w:link w:val="BodyText"/>
    <w:rsid w:val="00903CAC"/>
    <w:rPr>
      <w:rFonts w:ascii="Times New Roman" w:eastAsia="Times New Roman" w:hAnsi="Times New Roman"/>
      <w:sz w:val="24"/>
      <w:szCs w:val="24"/>
      <w:lang w:val="en-GB" w:eastAsia="en-US"/>
    </w:rPr>
  </w:style>
  <w:style w:type="character" w:customStyle="1" w:styleId="apple-style-span">
    <w:name w:val="apple-style-span"/>
    <w:basedOn w:val="DefaultParagraphFont"/>
    <w:rsid w:val="00903CAC"/>
  </w:style>
  <w:style w:type="paragraph" w:customStyle="1" w:styleId="naislab">
    <w:name w:val="naislab"/>
    <w:basedOn w:val="Normal"/>
    <w:rsid w:val="00903CAC"/>
    <w:pPr>
      <w:spacing w:before="75" w:after="75"/>
      <w:jc w:val="right"/>
    </w:pPr>
  </w:style>
  <w:style w:type="paragraph" w:styleId="FootnoteText">
    <w:name w:val="footnote text"/>
    <w:basedOn w:val="Normal"/>
    <w:link w:val="FootnoteTextChar"/>
    <w:uiPriority w:val="99"/>
    <w:unhideWhenUsed/>
    <w:rsid w:val="00903CAC"/>
    <w:rPr>
      <w:sz w:val="20"/>
      <w:szCs w:val="20"/>
    </w:rPr>
  </w:style>
  <w:style w:type="character" w:customStyle="1" w:styleId="FootnoteTextChar">
    <w:name w:val="Footnote Text Char"/>
    <w:basedOn w:val="DefaultParagraphFont"/>
    <w:link w:val="FootnoteText"/>
    <w:uiPriority w:val="99"/>
    <w:rsid w:val="00903CAC"/>
    <w:rPr>
      <w:rFonts w:ascii="Times New Roman" w:eastAsia="Times New Roman" w:hAnsi="Times New Roman"/>
    </w:rPr>
  </w:style>
  <w:style w:type="character" w:styleId="FootnoteReference">
    <w:name w:val="footnote reference"/>
    <w:basedOn w:val="DefaultParagraphFont"/>
    <w:uiPriority w:val="99"/>
    <w:unhideWhenUsed/>
    <w:rsid w:val="00903CAC"/>
    <w:rPr>
      <w:vertAlign w:val="superscript"/>
    </w:rPr>
  </w:style>
  <w:style w:type="table" w:styleId="TableGrid">
    <w:name w:val="Table Grid"/>
    <w:basedOn w:val="TableNormal"/>
    <w:uiPriority w:val="59"/>
    <w:rsid w:val="00363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363D9C"/>
    <w:pPr>
      <w:spacing w:before="75" w:after="75"/>
      <w:ind w:firstLine="375"/>
      <w:jc w:val="both"/>
    </w:pPr>
  </w:style>
  <w:style w:type="paragraph" w:customStyle="1" w:styleId="Numeretslists">
    <w:name w:val="Numerets_lists"/>
    <w:basedOn w:val="ListParagraph"/>
    <w:qFormat/>
    <w:rsid w:val="00CE3A6D"/>
    <w:pPr>
      <w:numPr>
        <w:numId w:val="1"/>
      </w:numPr>
      <w:spacing w:after="120" w:line="276" w:lineRule="auto"/>
      <w:ind w:left="714" w:hanging="357"/>
      <w:contextualSpacing w:val="0"/>
      <w:jc w:val="both"/>
    </w:pPr>
    <w:rPr>
      <w:rFonts w:eastAsia="Calibri"/>
      <w:lang w:eastAsia="en-US"/>
    </w:rPr>
  </w:style>
  <w:style w:type="paragraph" w:styleId="Header">
    <w:name w:val="header"/>
    <w:basedOn w:val="Normal"/>
    <w:link w:val="HeaderChar"/>
    <w:uiPriority w:val="99"/>
    <w:unhideWhenUsed/>
    <w:rsid w:val="009D1ED3"/>
    <w:pPr>
      <w:tabs>
        <w:tab w:val="center" w:pos="4153"/>
        <w:tab w:val="right" w:pos="8306"/>
      </w:tabs>
    </w:pPr>
  </w:style>
  <w:style w:type="character" w:customStyle="1" w:styleId="HeaderChar">
    <w:name w:val="Header Char"/>
    <w:basedOn w:val="DefaultParagraphFont"/>
    <w:link w:val="Header"/>
    <w:uiPriority w:val="99"/>
    <w:rsid w:val="009D1ED3"/>
    <w:rPr>
      <w:rFonts w:ascii="Times New Roman" w:eastAsia="Times New Roman" w:hAnsi="Times New Roman"/>
      <w:sz w:val="24"/>
      <w:szCs w:val="24"/>
    </w:rPr>
  </w:style>
  <w:style w:type="paragraph" w:styleId="Footer">
    <w:name w:val="footer"/>
    <w:basedOn w:val="Normal"/>
    <w:link w:val="FooterChar"/>
    <w:uiPriority w:val="99"/>
    <w:semiHidden/>
    <w:unhideWhenUsed/>
    <w:rsid w:val="009D1ED3"/>
    <w:pPr>
      <w:tabs>
        <w:tab w:val="center" w:pos="4153"/>
        <w:tab w:val="right" w:pos="8306"/>
      </w:tabs>
    </w:pPr>
  </w:style>
  <w:style w:type="character" w:customStyle="1" w:styleId="FooterChar">
    <w:name w:val="Footer Char"/>
    <w:basedOn w:val="DefaultParagraphFont"/>
    <w:link w:val="Footer"/>
    <w:uiPriority w:val="99"/>
    <w:semiHidden/>
    <w:rsid w:val="009D1ED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0485B-F1F2-4D07-BE39-340206AF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8007</Words>
  <Characters>4565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KKarolis</dc:creator>
  <cp:keywords/>
  <dc:description/>
  <cp:lastModifiedBy>KKarolis</cp:lastModifiedBy>
  <cp:revision>2</cp:revision>
  <dcterms:created xsi:type="dcterms:W3CDTF">2013-05-14T13:29:00Z</dcterms:created>
  <dcterms:modified xsi:type="dcterms:W3CDTF">2013-05-14T13:29:00Z</dcterms:modified>
</cp:coreProperties>
</file>