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25" w:rsidRPr="00342738" w:rsidRDefault="00F442C1" w:rsidP="008649FC">
      <w:pPr>
        <w:pStyle w:val="ListParagraph"/>
        <w:ind w:left="927"/>
        <w:jc w:val="right"/>
        <w:outlineLvl w:val="0"/>
        <w:rPr>
          <w:rFonts w:ascii="Times New Roman" w:hAnsi="Times New Roman"/>
          <w:lang w:val="lv-LV"/>
        </w:rPr>
      </w:pPr>
      <w:r>
        <w:rPr>
          <w:rFonts w:ascii="Times New Roman" w:hAnsi="Times New Roman"/>
          <w:lang w:val="lv-LV"/>
        </w:rPr>
        <w:t>1</w:t>
      </w:r>
      <w:r w:rsidR="008649FC">
        <w:rPr>
          <w:rFonts w:ascii="Times New Roman" w:hAnsi="Times New Roman"/>
          <w:lang w:val="lv-LV"/>
        </w:rPr>
        <w:t>.</w:t>
      </w:r>
      <w:r w:rsidR="009129D4">
        <w:rPr>
          <w:rFonts w:ascii="Times New Roman" w:hAnsi="Times New Roman"/>
          <w:lang w:val="lv-LV"/>
        </w:rPr>
        <w:t>p</w:t>
      </w:r>
      <w:r w:rsidR="004D2025" w:rsidRPr="00342738">
        <w:rPr>
          <w:rFonts w:ascii="Times New Roman" w:hAnsi="Times New Roman"/>
          <w:lang w:val="lv-LV"/>
        </w:rPr>
        <w:t>ielikums informatīvajam ziņojumam</w:t>
      </w:r>
    </w:p>
    <w:p w:rsidR="009E4A22" w:rsidRPr="00342749" w:rsidRDefault="001D6A38">
      <w:pPr>
        <w:jc w:val="right"/>
        <w:rPr>
          <w:rFonts w:ascii="Times New Roman" w:hAnsi="Times New Roman"/>
          <w:lang w:val="lv-LV"/>
        </w:rPr>
      </w:pPr>
      <w:r w:rsidRPr="00342749">
        <w:rPr>
          <w:rFonts w:ascii="Times New Roman" w:hAnsi="Times New Roman"/>
          <w:lang w:val="lv-LV"/>
        </w:rPr>
        <w:t xml:space="preserve">„Par Izglītības un zinātnes ministrijas turpmāko rīcību augstākās izglītības </w:t>
      </w:r>
    </w:p>
    <w:p w:rsidR="009E4A22" w:rsidRPr="00342749" w:rsidRDefault="001D6A38">
      <w:pPr>
        <w:jc w:val="right"/>
        <w:rPr>
          <w:rFonts w:ascii="Times New Roman" w:hAnsi="Times New Roman"/>
          <w:lang w:val="lv-LV"/>
        </w:rPr>
      </w:pPr>
      <w:r w:rsidRPr="00342749">
        <w:rPr>
          <w:rFonts w:ascii="Times New Roman" w:hAnsi="Times New Roman"/>
          <w:lang w:val="lv-LV"/>
        </w:rPr>
        <w:t xml:space="preserve">studiju virzienu akreditācijas nodrošināšanai un iespējām izmantot Eiropas </w:t>
      </w:r>
    </w:p>
    <w:p w:rsidR="009E4A22" w:rsidRPr="00342749" w:rsidRDefault="001D6A38">
      <w:pPr>
        <w:jc w:val="right"/>
        <w:rPr>
          <w:rFonts w:ascii="Times New Roman" w:hAnsi="Times New Roman"/>
          <w:lang w:val="lv-LV"/>
        </w:rPr>
      </w:pPr>
      <w:r w:rsidRPr="00342749">
        <w:rPr>
          <w:rFonts w:ascii="Times New Roman" w:hAnsi="Times New Roman"/>
          <w:lang w:val="lv-LV"/>
        </w:rPr>
        <w:t xml:space="preserve">Sociālā fonda projekta "Augstākās izglītības studiju programmu izvērtēšana </w:t>
      </w:r>
    </w:p>
    <w:p w:rsidR="004D2025" w:rsidRPr="00E62448" w:rsidRDefault="001D6A38" w:rsidP="00342749">
      <w:pPr>
        <w:jc w:val="right"/>
        <w:rPr>
          <w:rFonts w:ascii="Times New Roman" w:hAnsi="Times New Roman"/>
          <w:b/>
          <w:lang w:val="lv-LV"/>
        </w:rPr>
      </w:pPr>
      <w:r w:rsidRPr="00342749">
        <w:rPr>
          <w:rFonts w:ascii="Times New Roman" w:hAnsi="Times New Roman"/>
          <w:lang w:val="lv-LV"/>
        </w:rPr>
        <w:t>un priekšlikumi kvalitātes paaugstināšanai" rezultātus</w:t>
      </w:r>
      <w:r w:rsidR="004D2025" w:rsidRPr="00E62448">
        <w:rPr>
          <w:rFonts w:ascii="Times New Roman" w:hAnsi="Times New Roman"/>
          <w:b/>
          <w:lang w:val="lv-LV"/>
        </w:rPr>
        <w:t>”</w:t>
      </w:r>
    </w:p>
    <w:p w:rsidR="00142164" w:rsidRPr="00E56319" w:rsidRDefault="00142164" w:rsidP="00E56319">
      <w:pPr>
        <w:rPr>
          <w:rFonts w:ascii="Times New Roman" w:hAnsi="Times New Roman"/>
          <w:b/>
          <w:lang w:val="lv-LV"/>
        </w:rPr>
      </w:pPr>
    </w:p>
    <w:p w:rsidR="00306068" w:rsidRPr="003B03B8" w:rsidRDefault="00306068" w:rsidP="00306068">
      <w:pPr>
        <w:jc w:val="center"/>
        <w:rPr>
          <w:rFonts w:ascii="Times New Roman" w:hAnsi="Times New Roman"/>
          <w:b/>
          <w:lang w:val="lv-LV"/>
        </w:rPr>
      </w:pPr>
      <w:r w:rsidRPr="003B03B8">
        <w:rPr>
          <w:rFonts w:ascii="Times New Roman" w:hAnsi="Times New Roman"/>
          <w:b/>
          <w:lang w:val="lv-LV"/>
        </w:rPr>
        <w:t>SIA „</w:t>
      </w:r>
      <w:proofErr w:type="spellStart"/>
      <w:r w:rsidRPr="003B03B8">
        <w:rPr>
          <w:rFonts w:ascii="Times New Roman" w:hAnsi="Times New Roman"/>
          <w:b/>
          <w:lang w:val="lv-LV"/>
        </w:rPr>
        <w:t>Deloitte</w:t>
      </w:r>
      <w:proofErr w:type="spellEnd"/>
      <w:r w:rsidRPr="003B03B8">
        <w:rPr>
          <w:rFonts w:ascii="Times New Roman" w:hAnsi="Times New Roman"/>
          <w:b/>
          <w:lang w:val="lv-LV"/>
        </w:rPr>
        <w:t xml:space="preserve"> </w:t>
      </w:r>
      <w:proofErr w:type="spellStart"/>
      <w:r w:rsidRPr="003B03B8">
        <w:rPr>
          <w:rFonts w:ascii="Times New Roman" w:hAnsi="Times New Roman"/>
          <w:b/>
          <w:lang w:val="lv-LV"/>
        </w:rPr>
        <w:t>Latvia</w:t>
      </w:r>
      <w:proofErr w:type="spellEnd"/>
      <w:r w:rsidRPr="003B03B8">
        <w:rPr>
          <w:rFonts w:ascii="Times New Roman" w:hAnsi="Times New Roman"/>
          <w:b/>
          <w:lang w:val="lv-LV"/>
        </w:rPr>
        <w:t xml:space="preserve">” ziņojuma analīze par projekta norises atbilstību normatīvo aktu prasībām un  </w:t>
      </w:r>
    </w:p>
    <w:p w:rsidR="00306068" w:rsidRPr="003B03B8" w:rsidRDefault="00306068" w:rsidP="00306068">
      <w:pPr>
        <w:jc w:val="center"/>
        <w:rPr>
          <w:rFonts w:ascii="Times New Roman" w:hAnsi="Times New Roman"/>
          <w:b/>
          <w:iCs/>
          <w:lang w:val="lv-LV"/>
        </w:rPr>
      </w:pPr>
      <w:r>
        <w:rPr>
          <w:rFonts w:ascii="Times New Roman" w:hAnsi="Times New Roman"/>
          <w:b/>
          <w:iCs/>
          <w:lang w:val="lv-LV"/>
        </w:rPr>
        <w:t>i</w:t>
      </w:r>
      <w:r w:rsidRPr="003B03B8">
        <w:rPr>
          <w:rFonts w:ascii="Times New Roman" w:hAnsi="Times New Roman"/>
          <w:b/>
          <w:iCs/>
          <w:lang w:val="lv-LV"/>
        </w:rPr>
        <w:t xml:space="preserve">espējamie risinājumi un riski studiju virzienu akreditācijas procesa turpināšanā </w:t>
      </w:r>
    </w:p>
    <w:p w:rsidR="00306068" w:rsidRPr="003B03B8" w:rsidRDefault="00306068" w:rsidP="00306068">
      <w:pPr>
        <w:pStyle w:val="Default"/>
        <w:ind w:firstLine="720"/>
        <w:jc w:val="both"/>
        <w:rPr>
          <w:rFonts w:ascii="Times New Roman" w:hAnsi="Times New Roman" w:cs="Times New Roman"/>
        </w:rPr>
      </w:pPr>
    </w:p>
    <w:p w:rsidR="004D2025" w:rsidRPr="00E56319" w:rsidRDefault="004D2025" w:rsidP="00E56319">
      <w:pPr>
        <w:jc w:val="center"/>
        <w:rPr>
          <w:rFonts w:ascii="Times New Roman" w:hAnsi="Times New Roman"/>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3510"/>
        <w:gridCol w:w="3828"/>
        <w:gridCol w:w="3827"/>
      </w:tblGrid>
      <w:tr w:rsidR="00496975" w:rsidRPr="00083298" w:rsidTr="00342749">
        <w:tc>
          <w:tcPr>
            <w:tcW w:w="2835" w:type="dxa"/>
            <w:vAlign w:val="center"/>
          </w:tcPr>
          <w:p w:rsidR="00496975" w:rsidRPr="00E56319" w:rsidRDefault="00496975" w:rsidP="00342749">
            <w:pPr>
              <w:jc w:val="center"/>
              <w:rPr>
                <w:rFonts w:ascii="Times New Roman" w:hAnsi="Times New Roman"/>
                <w:lang w:val="lv-LV"/>
              </w:rPr>
            </w:pPr>
          </w:p>
          <w:p w:rsidR="00496975" w:rsidRPr="00E56319" w:rsidRDefault="00496975" w:rsidP="00342749">
            <w:pPr>
              <w:jc w:val="center"/>
              <w:rPr>
                <w:rFonts w:ascii="Times New Roman" w:hAnsi="Times New Roman"/>
                <w:lang w:val="lv-LV"/>
              </w:rPr>
            </w:pPr>
          </w:p>
          <w:p w:rsidR="00496975" w:rsidRPr="00E56319" w:rsidRDefault="00496975" w:rsidP="00342749">
            <w:pPr>
              <w:jc w:val="center"/>
              <w:rPr>
                <w:rFonts w:ascii="Times New Roman" w:hAnsi="Times New Roman"/>
                <w:lang w:val="lv-LV"/>
              </w:rPr>
            </w:pPr>
            <w:r w:rsidRPr="00E56319">
              <w:rPr>
                <w:rFonts w:ascii="Times New Roman" w:hAnsi="Times New Roman"/>
                <w:lang w:val="lv-LV"/>
              </w:rPr>
              <w:t>Risinājuma veids/riski</w:t>
            </w:r>
          </w:p>
        </w:tc>
        <w:tc>
          <w:tcPr>
            <w:tcW w:w="3510" w:type="dxa"/>
            <w:vAlign w:val="center"/>
          </w:tcPr>
          <w:p w:rsidR="00A81ADD" w:rsidRPr="00E56319" w:rsidRDefault="00496975" w:rsidP="00342738">
            <w:pPr>
              <w:jc w:val="center"/>
              <w:rPr>
                <w:rFonts w:ascii="Times New Roman" w:hAnsi="Times New Roman"/>
                <w:lang w:val="lv-LV"/>
              </w:rPr>
            </w:pPr>
            <w:r w:rsidRPr="00E56319">
              <w:rPr>
                <w:rFonts w:ascii="Times New Roman" w:hAnsi="Times New Roman"/>
                <w:lang w:val="lv-LV"/>
              </w:rPr>
              <w:t xml:space="preserve">Akreditācijas procesa turpināšana, </w:t>
            </w:r>
            <w:r w:rsidRPr="00E56319">
              <w:rPr>
                <w:rFonts w:ascii="Times New Roman" w:hAnsi="Times New Roman"/>
                <w:b/>
                <w:lang w:val="lv-LV"/>
              </w:rPr>
              <w:t>izmantojot Projekta rezultātus</w:t>
            </w:r>
            <w:r w:rsidR="00BB4C16" w:rsidRPr="00E56319">
              <w:rPr>
                <w:rFonts w:ascii="Times New Roman" w:hAnsi="Times New Roman"/>
                <w:lang w:val="lv-LV"/>
              </w:rPr>
              <w:t xml:space="preserve"> </w:t>
            </w:r>
            <w:r w:rsidR="00342738" w:rsidRPr="00342738">
              <w:rPr>
                <w:rFonts w:ascii="Times New Roman" w:hAnsi="Times New Roman"/>
                <w:b/>
                <w:lang w:val="lv-LV"/>
              </w:rPr>
              <w:t>bez papildu pārbaudes</w:t>
            </w:r>
          </w:p>
        </w:tc>
        <w:tc>
          <w:tcPr>
            <w:tcW w:w="3828" w:type="dxa"/>
            <w:vAlign w:val="center"/>
          </w:tcPr>
          <w:p w:rsidR="00496975" w:rsidRDefault="00496975" w:rsidP="002E1433">
            <w:pPr>
              <w:jc w:val="center"/>
              <w:rPr>
                <w:rFonts w:ascii="Times New Roman" w:hAnsi="Times New Roman"/>
                <w:b/>
                <w:lang w:val="lv-LV"/>
              </w:rPr>
            </w:pPr>
            <w:r w:rsidRPr="00E56319">
              <w:rPr>
                <w:rFonts w:ascii="Times New Roman" w:hAnsi="Times New Roman"/>
                <w:lang w:val="lv-LV"/>
              </w:rPr>
              <w:t>Akreditācijas procesa turpināšana</w:t>
            </w:r>
            <w:r w:rsidR="00425F77" w:rsidRPr="00E56319">
              <w:rPr>
                <w:rFonts w:ascii="Times New Roman" w:hAnsi="Times New Roman"/>
                <w:lang w:val="lv-LV"/>
              </w:rPr>
              <w:t>,</w:t>
            </w:r>
            <w:r w:rsidRPr="00E56319">
              <w:rPr>
                <w:rFonts w:ascii="Times New Roman" w:hAnsi="Times New Roman"/>
                <w:lang w:val="lv-LV"/>
              </w:rPr>
              <w:t xml:space="preserve"> </w:t>
            </w:r>
            <w:r w:rsidR="00342738" w:rsidRPr="00342738">
              <w:rPr>
                <w:rFonts w:ascii="Times New Roman" w:hAnsi="Times New Roman"/>
                <w:b/>
                <w:lang w:val="lv-LV"/>
              </w:rPr>
              <w:t xml:space="preserve"> </w:t>
            </w:r>
            <w:r w:rsidRPr="00E56319">
              <w:rPr>
                <w:rFonts w:ascii="Times New Roman" w:hAnsi="Times New Roman"/>
                <w:b/>
                <w:lang w:val="lv-LV"/>
              </w:rPr>
              <w:t>Projekta rezultātus</w:t>
            </w:r>
            <w:r w:rsidR="002E1433">
              <w:rPr>
                <w:rFonts w:ascii="Times New Roman" w:hAnsi="Times New Roman"/>
                <w:b/>
                <w:lang w:val="lv-LV"/>
              </w:rPr>
              <w:t xml:space="preserve"> papildus izvērtējot un papildinot ar informāciju, kas nepieciešama akreditācijas lēmumu pieņemšanai</w:t>
            </w:r>
          </w:p>
          <w:p w:rsidR="002E1433" w:rsidRPr="00E56319" w:rsidRDefault="002E1433" w:rsidP="002E1433">
            <w:pPr>
              <w:jc w:val="center"/>
              <w:rPr>
                <w:rFonts w:ascii="Times New Roman" w:hAnsi="Times New Roman"/>
                <w:lang w:val="lv-LV"/>
              </w:rPr>
            </w:pPr>
          </w:p>
        </w:tc>
        <w:tc>
          <w:tcPr>
            <w:tcW w:w="3827" w:type="dxa"/>
            <w:vAlign w:val="center"/>
          </w:tcPr>
          <w:p w:rsidR="00496975" w:rsidRPr="00E56319" w:rsidRDefault="00496975" w:rsidP="00342749">
            <w:pPr>
              <w:jc w:val="center"/>
              <w:rPr>
                <w:rFonts w:ascii="Times New Roman" w:hAnsi="Times New Roman"/>
                <w:lang w:val="lv-LV"/>
              </w:rPr>
            </w:pPr>
            <w:r w:rsidRPr="00E56319">
              <w:rPr>
                <w:rFonts w:ascii="Times New Roman" w:hAnsi="Times New Roman"/>
                <w:lang w:val="lv-LV"/>
              </w:rPr>
              <w:t xml:space="preserve">Akreditācijas procesa </w:t>
            </w:r>
            <w:r w:rsidR="006124E5" w:rsidRPr="00E56319">
              <w:rPr>
                <w:rFonts w:ascii="Times New Roman" w:hAnsi="Times New Roman"/>
                <w:lang w:val="lv-LV"/>
              </w:rPr>
              <w:t>turpināšana</w:t>
            </w:r>
            <w:r w:rsidR="00425F77" w:rsidRPr="00E56319">
              <w:rPr>
                <w:rFonts w:ascii="Times New Roman" w:hAnsi="Times New Roman"/>
                <w:lang w:val="lv-LV"/>
              </w:rPr>
              <w:t>,</w:t>
            </w:r>
            <w:r w:rsidRPr="00E56319">
              <w:rPr>
                <w:rFonts w:ascii="Times New Roman" w:hAnsi="Times New Roman"/>
                <w:lang w:val="lv-LV"/>
              </w:rPr>
              <w:t xml:space="preserve"> </w:t>
            </w:r>
            <w:r w:rsidRPr="00E56319">
              <w:rPr>
                <w:rFonts w:ascii="Times New Roman" w:hAnsi="Times New Roman"/>
                <w:b/>
                <w:lang w:val="lv-LV"/>
              </w:rPr>
              <w:t>neizmantojot</w:t>
            </w:r>
            <w:r w:rsidRPr="00E56319">
              <w:rPr>
                <w:rFonts w:ascii="Times New Roman" w:hAnsi="Times New Roman"/>
                <w:lang w:val="lv-LV"/>
              </w:rPr>
              <w:t xml:space="preserve"> </w:t>
            </w:r>
            <w:r w:rsidRPr="00E56319">
              <w:rPr>
                <w:rFonts w:ascii="Times New Roman" w:hAnsi="Times New Roman"/>
                <w:b/>
                <w:lang w:val="lv-LV"/>
              </w:rPr>
              <w:t>Projekta rezultātus</w:t>
            </w:r>
          </w:p>
        </w:tc>
      </w:tr>
      <w:tr w:rsidR="00496975" w:rsidRPr="00083298" w:rsidTr="00083298">
        <w:tc>
          <w:tcPr>
            <w:tcW w:w="2835" w:type="dxa"/>
          </w:tcPr>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r w:rsidRPr="00E56319">
              <w:rPr>
                <w:rFonts w:ascii="Times New Roman" w:hAnsi="Times New Roman"/>
                <w:lang w:val="lv-LV"/>
              </w:rPr>
              <w:t xml:space="preserve">Termiņa risks </w:t>
            </w:r>
          </w:p>
        </w:tc>
        <w:tc>
          <w:tcPr>
            <w:tcW w:w="3510" w:type="dxa"/>
          </w:tcPr>
          <w:p w:rsidR="00496975" w:rsidRPr="00B14B35" w:rsidRDefault="00B14B35" w:rsidP="00342749">
            <w:pPr>
              <w:jc w:val="both"/>
              <w:rPr>
                <w:rFonts w:ascii="Times New Roman" w:hAnsi="Times New Roman"/>
                <w:lang w:val="lv-LV"/>
              </w:rPr>
            </w:pPr>
            <w:r>
              <w:rPr>
                <w:rFonts w:ascii="Times New Roman" w:hAnsi="Times New Roman"/>
                <w:b/>
                <w:lang w:val="lv-LV"/>
              </w:rPr>
              <w:t xml:space="preserve">Zems </w:t>
            </w:r>
            <w:r w:rsidR="001D6A38" w:rsidRPr="001D6A38">
              <w:rPr>
                <w:rFonts w:ascii="Times New Roman" w:hAnsi="Times New Roman"/>
                <w:lang w:val="lv-LV"/>
              </w:rPr>
              <w:t>(attiecas</w:t>
            </w:r>
            <w:r>
              <w:rPr>
                <w:rFonts w:ascii="Times New Roman" w:hAnsi="Times New Roman"/>
                <w:lang w:val="lv-LV"/>
              </w:rPr>
              <w:t xml:space="preserve"> uz līdz 10% gadījumu)</w:t>
            </w:r>
          </w:p>
          <w:p w:rsidR="00B14B35" w:rsidRPr="00E56319" w:rsidRDefault="00B14B35" w:rsidP="00342749">
            <w:pPr>
              <w:jc w:val="both"/>
              <w:rPr>
                <w:rFonts w:ascii="Times New Roman" w:hAnsi="Times New Roman"/>
                <w:lang w:val="lv-LV"/>
              </w:rPr>
            </w:pPr>
          </w:p>
          <w:p w:rsidR="00496975" w:rsidRPr="00E56319" w:rsidRDefault="00496975" w:rsidP="00342749">
            <w:pPr>
              <w:pStyle w:val="ListParagraph"/>
              <w:ind w:left="0"/>
              <w:jc w:val="both"/>
              <w:rPr>
                <w:rFonts w:ascii="Times New Roman" w:hAnsi="Times New Roman"/>
                <w:lang w:val="lv-LV"/>
              </w:rPr>
            </w:pPr>
            <w:r w:rsidRPr="00E56319">
              <w:rPr>
                <w:rFonts w:ascii="Times New Roman" w:hAnsi="Times New Roman"/>
                <w:lang w:val="lv-LV"/>
              </w:rPr>
              <w:t xml:space="preserve">- Kopējais akreditācijas procesam nepieciešamais </w:t>
            </w:r>
            <w:r w:rsidRPr="00E56319">
              <w:rPr>
                <w:rFonts w:ascii="Times New Roman" w:hAnsi="Times New Roman"/>
                <w:b/>
                <w:lang w:val="lv-LV"/>
              </w:rPr>
              <w:t xml:space="preserve">laiks </w:t>
            </w:r>
            <w:r w:rsidR="00425F77" w:rsidRPr="00E56319">
              <w:rPr>
                <w:rFonts w:ascii="Times New Roman" w:hAnsi="Times New Roman"/>
                <w:b/>
                <w:lang w:val="lv-LV"/>
              </w:rPr>
              <w:t>pieaug</w:t>
            </w:r>
            <w:r w:rsidR="00425F77" w:rsidRPr="00E56319">
              <w:rPr>
                <w:rFonts w:ascii="Times New Roman" w:hAnsi="Times New Roman"/>
                <w:lang w:val="lv-LV"/>
              </w:rPr>
              <w:t>,</w:t>
            </w:r>
            <w:r w:rsidRPr="00E56319">
              <w:rPr>
                <w:rFonts w:ascii="Times New Roman" w:hAnsi="Times New Roman"/>
                <w:lang w:val="lv-LV"/>
              </w:rPr>
              <w:t xml:space="preserve"> ja lēmums par studiju virziena akreditāciju netiek pieņemts, kā rezultātā </w:t>
            </w:r>
            <w:r w:rsidR="00B76A32" w:rsidRPr="00E56319">
              <w:rPr>
                <w:rFonts w:ascii="Times New Roman" w:hAnsi="Times New Roman"/>
                <w:lang w:val="lv-LV"/>
              </w:rPr>
              <w:t xml:space="preserve">izvērtējuma </w:t>
            </w:r>
            <w:r w:rsidRPr="00E56319">
              <w:rPr>
                <w:rFonts w:ascii="Times New Roman" w:hAnsi="Times New Roman"/>
                <w:lang w:val="lv-LV"/>
              </w:rPr>
              <w:t>process ir jāatkārto;</w:t>
            </w:r>
          </w:p>
        </w:tc>
        <w:tc>
          <w:tcPr>
            <w:tcW w:w="3828" w:type="dxa"/>
          </w:tcPr>
          <w:p w:rsidR="001002BF" w:rsidRPr="00B14B35" w:rsidRDefault="001D6A38" w:rsidP="00342749">
            <w:pPr>
              <w:jc w:val="both"/>
              <w:rPr>
                <w:rFonts w:ascii="Times New Roman" w:hAnsi="Times New Roman"/>
                <w:lang w:val="lv-LV"/>
              </w:rPr>
            </w:pPr>
            <w:r w:rsidRPr="001D6A38">
              <w:rPr>
                <w:rFonts w:ascii="Times New Roman" w:hAnsi="Times New Roman"/>
                <w:b/>
                <w:lang w:val="lv-LV"/>
              </w:rPr>
              <w:t xml:space="preserve">Vidēji augsts </w:t>
            </w:r>
            <w:r w:rsidR="00B14B35">
              <w:rPr>
                <w:rFonts w:ascii="Times New Roman" w:hAnsi="Times New Roman"/>
                <w:lang w:val="lv-LV"/>
              </w:rPr>
              <w:t>(attiecas uz 10-50% gadījumu)</w:t>
            </w:r>
          </w:p>
          <w:p w:rsidR="00B14B35" w:rsidRPr="00E56319" w:rsidRDefault="00B14B35" w:rsidP="00342749">
            <w:pPr>
              <w:jc w:val="both"/>
              <w:rPr>
                <w:rFonts w:ascii="Times New Roman" w:hAnsi="Times New Roman"/>
                <w:lang w:val="lv-LV"/>
              </w:rPr>
            </w:pPr>
          </w:p>
          <w:p w:rsidR="00083298" w:rsidRPr="00342749" w:rsidRDefault="00083298" w:rsidP="00342749">
            <w:pPr>
              <w:pStyle w:val="ListParagraph"/>
              <w:numPr>
                <w:ilvl w:val="0"/>
                <w:numId w:val="25"/>
              </w:numPr>
              <w:jc w:val="both"/>
              <w:rPr>
                <w:rFonts w:ascii="Times New Roman" w:hAnsi="Times New Roman"/>
                <w:lang w:val="lv-LV"/>
              </w:rPr>
            </w:pPr>
            <w:r w:rsidRPr="00342749">
              <w:rPr>
                <w:rFonts w:ascii="Times New Roman" w:hAnsi="Times New Roman"/>
                <w:lang w:val="lv-LV"/>
              </w:rPr>
              <w:t xml:space="preserve">Kopējais akreditācijas procesam nepieciešamais </w:t>
            </w:r>
            <w:r w:rsidRPr="00342749">
              <w:rPr>
                <w:rFonts w:ascii="Times New Roman" w:hAnsi="Times New Roman"/>
                <w:b/>
                <w:lang w:val="lv-LV"/>
              </w:rPr>
              <w:t>laiks pieaug</w:t>
            </w:r>
            <w:r w:rsidRPr="00342749">
              <w:rPr>
                <w:rFonts w:ascii="Times New Roman" w:hAnsi="Times New Roman"/>
                <w:lang w:val="lv-LV"/>
              </w:rPr>
              <w:t>, tāpēc, ka nepieciešams veikt kritisku Projekta rezultātu izvērtēšanu, kā rezultātā,  iespējams, daļā no studiju virzieniem tiek veikti papildu izvērtējumi;</w:t>
            </w:r>
          </w:p>
          <w:p w:rsidR="00083298" w:rsidRPr="00CC6CFE" w:rsidRDefault="00083298" w:rsidP="00342749">
            <w:pPr>
              <w:jc w:val="both"/>
              <w:rPr>
                <w:rFonts w:ascii="Times New Roman" w:hAnsi="Times New Roman"/>
                <w:lang w:val="lv-LV"/>
              </w:rPr>
            </w:pPr>
          </w:p>
          <w:p w:rsidR="00083298" w:rsidRDefault="00083298" w:rsidP="00342749">
            <w:pPr>
              <w:jc w:val="both"/>
              <w:rPr>
                <w:rFonts w:ascii="Times New Roman" w:hAnsi="Times New Roman"/>
                <w:lang w:val="lv-LV"/>
              </w:rPr>
            </w:pPr>
            <w:r w:rsidRPr="00CC6CFE">
              <w:rPr>
                <w:rFonts w:ascii="Times New Roman" w:hAnsi="Times New Roman"/>
                <w:lang w:val="lv-LV"/>
              </w:rPr>
              <w:t>Piemēram, pieņem</w:t>
            </w:r>
            <w:r w:rsidR="00E9104D">
              <w:rPr>
                <w:rFonts w:ascii="Times New Roman" w:hAnsi="Times New Roman"/>
                <w:lang w:val="lv-LV"/>
              </w:rPr>
              <w:t>ot</w:t>
            </w:r>
            <w:r w:rsidRPr="00CC6CFE">
              <w:rPr>
                <w:rFonts w:ascii="Times New Roman" w:hAnsi="Times New Roman"/>
                <w:lang w:val="lv-LV"/>
              </w:rPr>
              <w:t xml:space="preserve">, ka akreditācijas </w:t>
            </w:r>
            <w:r w:rsidRPr="00CC6CFE">
              <w:rPr>
                <w:rFonts w:ascii="Times New Roman" w:hAnsi="Times New Roman"/>
                <w:lang w:val="lv-LV"/>
              </w:rPr>
              <w:lastRenderedPageBreak/>
              <w:t xml:space="preserve">komisijai ir jāpieņem lēmumi par aptuveni 300 </w:t>
            </w:r>
            <w:r>
              <w:rPr>
                <w:rFonts w:ascii="Times New Roman" w:hAnsi="Times New Roman"/>
                <w:lang w:val="lv-LV"/>
              </w:rPr>
              <w:t xml:space="preserve">augstskolu </w:t>
            </w:r>
            <w:r w:rsidRPr="00CC6CFE">
              <w:rPr>
                <w:rFonts w:ascii="Times New Roman" w:hAnsi="Times New Roman"/>
                <w:lang w:val="lv-LV"/>
              </w:rPr>
              <w:t>pieteikumiem (</w:t>
            </w:r>
            <w:r w:rsidR="00514FAA" w:rsidRPr="00CC6CFE">
              <w:rPr>
                <w:rFonts w:ascii="Times New Roman" w:hAnsi="Times New Roman"/>
                <w:lang w:val="lv-LV"/>
              </w:rPr>
              <w:t>25</w:t>
            </w:r>
            <w:r w:rsidR="00514FAA">
              <w:rPr>
                <w:rFonts w:ascii="Times New Roman" w:hAnsi="Times New Roman"/>
                <w:lang w:val="lv-LV"/>
              </w:rPr>
              <w:t>3</w:t>
            </w:r>
            <w:r w:rsidR="00514FAA" w:rsidRPr="00CC6CFE">
              <w:rPr>
                <w:rFonts w:ascii="Times New Roman" w:hAnsi="Times New Roman"/>
                <w:lang w:val="lv-LV"/>
              </w:rPr>
              <w:t xml:space="preserve"> </w:t>
            </w:r>
            <w:r w:rsidRPr="00CC6CFE">
              <w:rPr>
                <w:rFonts w:ascii="Times New Roman" w:hAnsi="Times New Roman"/>
                <w:lang w:val="lv-LV"/>
              </w:rPr>
              <w:t xml:space="preserve">daļēji balstīti uz </w:t>
            </w:r>
            <w:r>
              <w:rPr>
                <w:rFonts w:ascii="Times New Roman" w:hAnsi="Times New Roman"/>
                <w:lang w:val="lv-LV"/>
              </w:rPr>
              <w:t>P</w:t>
            </w:r>
            <w:r w:rsidRPr="00CC6CFE">
              <w:rPr>
                <w:rFonts w:ascii="Times New Roman" w:hAnsi="Times New Roman"/>
                <w:lang w:val="lv-LV"/>
              </w:rPr>
              <w:t>rojektu, 50 – jauni lēmumi par studiju virzieniem, kas netika vērtēti Projektā); vien</w:t>
            </w:r>
            <w:r>
              <w:rPr>
                <w:rFonts w:ascii="Times New Roman" w:hAnsi="Times New Roman"/>
                <w:lang w:val="lv-LV"/>
              </w:rPr>
              <w:t>a pieteikuma izvērtēšanai</w:t>
            </w:r>
            <w:r w:rsidRPr="00CC6CFE">
              <w:rPr>
                <w:rFonts w:ascii="Times New Roman" w:hAnsi="Times New Roman"/>
                <w:lang w:val="lv-LV"/>
              </w:rPr>
              <w:t xml:space="preserve"> veltot 60 min</w:t>
            </w:r>
            <w:r>
              <w:rPr>
                <w:rFonts w:ascii="Times New Roman" w:hAnsi="Times New Roman"/>
                <w:lang w:val="lv-LV"/>
              </w:rPr>
              <w:t>ūtes</w:t>
            </w:r>
            <w:r w:rsidRPr="00CC6CFE">
              <w:rPr>
                <w:rFonts w:ascii="Times New Roman" w:hAnsi="Times New Roman"/>
                <w:lang w:val="lv-LV"/>
              </w:rPr>
              <w:t xml:space="preserve">, tad </w:t>
            </w:r>
            <w:r>
              <w:rPr>
                <w:rFonts w:ascii="Times New Roman" w:hAnsi="Times New Roman"/>
                <w:lang w:val="lv-LV"/>
              </w:rPr>
              <w:t xml:space="preserve">akreditācijas komisijas </w:t>
            </w:r>
            <w:r w:rsidRPr="00CC6CFE">
              <w:rPr>
                <w:rFonts w:ascii="Times New Roman" w:hAnsi="Times New Roman"/>
                <w:lang w:val="lv-LV"/>
              </w:rPr>
              <w:t>darba apjoms ir 300 stundas; vienā s</w:t>
            </w:r>
            <w:r>
              <w:rPr>
                <w:rFonts w:ascii="Times New Roman" w:hAnsi="Times New Roman"/>
                <w:lang w:val="lv-LV"/>
              </w:rPr>
              <w:t>ēdē</w:t>
            </w:r>
            <w:r w:rsidRPr="00CC6CFE">
              <w:rPr>
                <w:rFonts w:ascii="Times New Roman" w:hAnsi="Times New Roman"/>
                <w:lang w:val="lv-LV"/>
              </w:rPr>
              <w:t xml:space="preserve"> var izskatīt 6 pieteikumus; līdz ar to nepieciešamas 50 darba dienas; ar pieņēmumu, ka</w:t>
            </w:r>
            <w:r>
              <w:rPr>
                <w:rFonts w:ascii="Times New Roman" w:hAnsi="Times New Roman"/>
                <w:lang w:val="lv-LV"/>
              </w:rPr>
              <w:t xml:space="preserve"> </w:t>
            </w:r>
            <w:r w:rsidRPr="00CC6CFE">
              <w:rPr>
                <w:rFonts w:ascii="Times New Roman" w:hAnsi="Times New Roman"/>
                <w:lang w:val="lv-LV"/>
              </w:rPr>
              <w:t>akreditācijas komisijas sēdes notiek vienu reizi nedēļā un pilnvarotā institūcija ir nodrošinājusi, ka visas sagatavošanās darbības lēmuma pieņemšanai ir veiktas (t.sk., sagatavots lēmuma projekts).</w:t>
            </w:r>
          </w:p>
          <w:p w:rsidR="00A81ADD" w:rsidRPr="00CC6CFE" w:rsidRDefault="00A81ADD" w:rsidP="00342749">
            <w:pPr>
              <w:jc w:val="both"/>
              <w:rPr>
                <w:rFonts w:ascii="Times New Roman" w:hAnsi="Times New Roman"/>
                <w:lang w:val="lv-LV"/>
              </w:rPr>
            </w:pPr>
          </w:p>
          <w:p w:rsidR="001002BF" w:rsidRPr="00E56319" w:rsidRDefault="00083298" w:rsidP="00342749">
            <w:pPr>
              <w:jc w:val="both"/>
              <w:rPr>
                <w:rFonts w:ascii="Times New Roman" w:hAnsi="Times New Roman"/>
                <w:lang w:val="lv-LV"/>
              </w:rPr>
            </w:pPr>
            <w:r w:rsidRPr="00CC6CFE">
              <w:rPr>
                <w:rFonts w:ascii="Times New Roman" w:hAnsi="Times New Roman"/>
                <w:lang w:val="lv-LV"/>
              </w:rPr>
              <w:t xml:space="preserve">Risks: </w:t>
            </w:r>
            <w:r>
              <w:rPr>
                <w:rFonts w:ascii="Times New Roman" w:hAnsi="Times New Roman"/>
                <w:lang w:val="lv-LV"/>
              </w:rPr>
              <w:t xml:space="preserve">akreditācijas </w:t>
            </w:r>
            <w:r w:rsidRPr="00CC6CFE">
              <w:rPr>
                <w:rFonts w:ascii="Times New Roman" w:hAnsi="Times New Roman"/>
                <w:lang w:val="lv-LV"/>
              </w:rPr>
              <w:t>komisijas darba intensitāte, jo komisijas locekļi nozīmēti darbam sabiedriskā kārtā (t.i., nav atbrīvoti no darba pamatdarbā un nav paredzēts papildu atalgojums).</w:t>
            </w:r>
          </w:p>
        </w:tc>
        <w:tc>
          <w:tcPr>
            <w:tcW w:w="3827" w:type="dxa"/>
          </w:tcPr>
          <w:p w:rsidR="00496975" w:rsidRPr="00E56319" w:rsidRDefault="00496975" w:rsidP="00342749">
            <w:pPr>
              <w:jc w:val="both"/>
              <w:rPr>
                <w:rFonts w:ascii="Times New Roman" w:hAnsi="Times New Roman"/>
                <w:lang w:val="lv-LV"/>
              </w:rPr>
            </w:pPr>
            <w:r w:rsidRPr="00E56319">
              <w:rPr>
                <w:rFonts w:ascii="Times New Roman" w:hAnsi="Times New Roman"/>
                <w:lang w:val="lv-LV"/>
              </w:rPr>
              <w:lastRenderedPageBreak/>
              <w:t xml:space="preserve">- </w:t>
            </w:r>
            <w:r w:rsidR="00083298" w:rsidRPr="00CC6CFE">
              <w:rPr>
                <w:rFonts w:ascii="Times New Roman" w:hAnsi="Times New Roman"/>
                <w:lang w:val="lv-LV"/>
              </w:rPr>
              <w:t xml:space="preserve">Nepieciešams grozīt </w:t>
            </w:r>
            <w:r w:rsidR="00083298">
              <w:rPr>
                <w:rFonts w:ascii="Times New Roman" w:hAnsi="Times New Roman"/>
                <w:lang w:val="lv-LV"/>
              </w:rPr>
              <w:t xml:space="preserve">Augstskolu </w:t>
            </w:r>
            <w:r w:rsidR="00083298" w:rsidRPr="00CC6CFE">
              <w:rPr>
                <w:rFonts w:ascii="Times New Roman" w:hAnsi="Times New Roman"/>
                <w:lang w:val="lv-LV"/>
              </w:rPr>
              <w:t>likuma pārejas noteikumu 32.</w:t>
            </w:r>
            <w:r w:rsidR="00083298">
              <w:rPr>
                <w:rFonts w:ascii="Times New Roman" w:hAnsi="Times New Roman"/>
                <w:lang w:val="lv-LV"/>
              </w:rPr>
              <w:t>punktā</w:t>
            </w:r>
            <w:r w:rsidR="00083298" w:rsidRPr="00CC6CFE">
              <w:rPr>
                <w:rFonts w:ascii="Times New Roman" w:hAnsi="Times New Roman"/>
                <w:lang w:val="lv-LV"/>
              </w:rPr>
              <w:t xml:space="preserve"> noteiktos termiņus;</w:t>
            </w:r>
          </w:p>
          <w:p w:rsidR="00496975" w:rsidRPr="00E56319" w:rsidRDefault="00496975" w:rsidP="00342749">
            <w:pPr>
              <w:jc w:val="both"/>
              <w:rPr>
                <w:rFonts w:ascii="Times New Roman" w:hAnsi="Times New Roman"/>
                <w:lang w:val="lv-LV"/>
              </w:rPr>
            </w:pPr>
          </w:p>
          <w:p w:rsidR="00496975" w:rsidRPr="00E56319" w:rsidRDefault="00496975" w:rsidP="00342749">
            <w:pPr>
              <w:jc w:val="both"/>
              <w:rPr>
                <w:rFonts w:ascii="Times New Roman" w:hAnsi="Times New Roman"/>
                <w:lang w:val="lv-LV"/>
              </w:rPr>
            </w:pPr>
            <w:r w:rsidRPr="00E56319">
              <w:rPr>
                <w:rFonts w:ascii="Times New Roman" w:hAnsi="Times New Roman"/>
                <w:lang w:val="lv-LV"/>
              </w:rPr>
              <w:t xml:space="preserve">- Kopējais akreditācijas procesam nepieciešamais </w:t>
            </w:r>
            <w:r w:rsidRPr="00E56319">
              <w:rPr>
                <w:rFonts w:ascii="Times New Roman" w:hAnsi="Times New Roman"/>
                <w:b/>
                <w:lang w:val="lv-LV"/>
              </w:rPr>
              <w:t xml:space="preserve">laiks </w:t>
            </w:r>
            <w:r w:rsidR="00425F77" w:rsidRPr="00E56319">
              <w:rPr>
                <w:rFonts w:ascii="Times New Roman" w:hAnsi="Times New Roman"/>
                <w:b/>
                <w:lang w:val="lv-LV"/>
              </w:rPr>
              <w:t>pieaug</w:t>
            </w:r>
            <w:r w:rsidRPr="00E56319">
              <w:rPr>
                <w:rFonts w:ascii="Times New Roman" w:hAnsi="Times New Roman"/>
                <w:lang w:val="lv-LV"/>
              </w:rPr>
              <w:t xml:space="preserve">, jo </w:t>
            </w:r>
            <w:r w:rsidR="00F85941" w:rsidRPr="00E56319">
              <w:rPr>
                <w:rFonts w:ascii="Times New Roman" w:hAnsi="Times New Roman"/>
                <w:lang w:val="lv-LV"/>
              </w:rPr>
              <w:t xml:space="preserve">izvērtējuma </w:t>
            </w:r>
            <w:r w:rsidRPr="00E56319">
              <w:rPr>
                <w:rFonts w:ascii="Times New Roman" w:hAnsi="Times New Roman"/>
                <w:lang w:val="lv-LV"/>
              </w:rPr>
              <w:t>process tiek uzsākts no jauna;</w:t>
            </w:r>
          </w:p>
        </w:tc>
      </w:tr>
      <w:tr w:rsidR="00496975" w:rsidRPr="00F442C1" w:rsidTr="00083298">
        <w:tc>
          <w:tcPr>
            <w:tcW w:w="2835" w:type="dxa"/>
          </w:tcPr>
          <w:p w:rsidR="00496975" w:rsidRPr="00E56319" w:rsidRDefault="00B14B35" w:rsidP="00342749">
            <w:pPr>
              <w:jc w:val="both"/>
              <w:rPr>
                <w:rFonts w:ascii="Times New Roman" w:hAnsi="Times New Roman"/>
                <w:lang w:val="lv-LV"/>
              </w:rPr>
            </w:pPr>
            <w:r>
              <w:rPr>
                <w:rFonts w:ascii="Times New Roman" w:hAnsi="Times New Roman"/>
                <w:lang w:val="lv-LV"/>
              </w:rPr>
              <w:lastRenderedPageBreak/>
              <w:t>Lēmumu pieņemšanas zemes kvalitātes  r</w:t>
            </w:r>
            <w:r w:rsidR="00496975" w:rsidRPr="00E56319">
              <w:rPr>
                <w:rFonts w:ascii="Times New Roman" w:hAnsi="Times New Roman"/>
                <w:lang w:val="lv-LV"/>
              </w:rPr>
              <w:t>isks</w:t>
            </w:r>
            <w:r w:rsidR="00A336EF">
              <w:rPr>
                <w:rFonts w:ascii="Times New Roman" w:hAnsi="Times New Roman"/>
                <w:lang w:val="lv-LV"/>
              </w:rPr>
              <w:t xml:space="preserve"> </w:t>
            </w:r>
            <w:r>
              <w:rPr>
                <w:rFonts w:ascii="Times New Roman" w:hAnsi="Times New Roman"/>
                <w:lang w:val="lv-LV"/>
              </w:rPr>
              <w:t xml:space="preserve">(t.i., </w:t>
            </w:r>
            <w:r w:rsidR="00A336EF">
              <w:rPr>
                <w:rFonts w:ascii="Times New Roman" w:hAnsi="Times New Roman"/>
                <w:lang w:val="lv-LV"/>
              </w:rPr>
              <w:t xml:space="preserve">akreditācijas lēmumus balstīt uz </w:t>
            </w:r>
            <w:r w:rsidR="00301306">
              <w:rPr>
                <w:rFonts w:ascii="Times New Roman" w:hAnsi="Times New Roman"/>
                <w:lang w:val="lv-LV"/>
              </w:rPr>
              <w:t xml:space="preserve">metodoloģiski </w:t>
            </w:r>
            <w:r w:rsidR="00301306">
              <w:rPr>
                <w:rFonts w:ascii="Times New Roman" w:hAnsi="Times New Roman"/>
                <w:lang w:val="lv-LV"/>
              </w:rPr>
              <w:lastRenderedPageBreak/>
              <w:t>nekonsekventi izstrādātiem projekta ekspertu izstrādātajiem studiju kvalitātes novērtējuma ziņojumiem</w:t>
            </w:r>
            <w:r>
              <w:rPr>
                <w:rFonts w:ascii="Times New Roman" w:hAnsi="Times New Roman"/>
                <w:lang w:val="lv-LV"/>
              </w:rPr>
              <w:t>)</w:t>
            </w:r>
          </w:p>
        </w:tc>
        <w:tc>
          <w:tcPr>
            <w:tcW w:w="3510" w:type="dxa"/>
          </w:tcPr>
          <w:p w:rsidR="00496975" w:rsidRPr="00E56319" w:rsidRDefault="00496975" w:rsidP="00342749">
            <w:pPr>
              <w:jc w:val="both"/>
              <w:rPr>
                <w:rFonts w:ascii="Times New Roman" w:hAnsi="Times New Roman"/>
                <w:lang w:val="lv-LV"/>
              </w:rPr>
            </w:pPr>
            <w:r w:rsidRPr="00E56319">
              <w:rPr>
                <w:rFonts w:ascii="Times New Roman" w:hAnsi="Times New Roman"/>
                <w:b/>
                <w:lang w:val="lv-LV"/>
              </w:rPr>
              <w:lastRenderedPageBreak/>
              <w:t>Pastāv</w:t>
            </w:r>
            <w:r w:rsidR="001D38B5" w:rsidRPr="00E56319">
              <w:rPr>
                <w:rFonts w:ascii="Times New Roman" w:hAnsi="Times New Roman"/>
                <w:b/>
                <w:lang w:val="lv-LV"/>
              </w:rPr>
              <w:t xml:space="preserve"> ievērojamā pakāpē</w:t>
            </w:r>
            <w:r w:rsidRPr="00E56319">
              <w:rPr>
                <w:rFonts w:ascii="Times New Roman" w:hAnsi="Times New Roman"/>
                <w:lang w:val="lv-LV"/>
              </w:rPr>
              <w:t xml:space="preserve">, saskaņā ar Ziņojumā norādīto </w:t>
            </w:r>
          </w:p>
        </w:tc>
        <w:tc>
          <w:tcPr>
            <w:tcW w:w="3828" w:type="dxa"/>
          </w:tcPr>
          <w:p w:rsidR="00496975" w:rsidRPr="00E56319" w:rsidRDefault="00496975" w:rsidP="00342749">
            <w:pPr>
              <w:jc w:val="both"/>
              <w:rPr>
                <w:rFonts w:ascii="Times New Roman" w:hAnsi="Times New Roman"/>
                <w:lang w:val="lv-LV"/>
              </w:rPr>
            </w:pPr>
            <w:r w:rsidRPr="00E56319">
              <w:rPr>
                <w:rFonts w:ascii="Times New Roman" w:hAnsi="Times New Roman"/>
                <w:b/>
                <w:lang w:val="lv-LV"/>
              </w:rPr>
              <w:t>Pastāv</w:t>
            </w:r>
            <w:r w:rsidRPr="00E56319">
              <w:rPr>
                <w:rFonts w:ascii="Times New Roman" w:hAnsi="Times New Roman"/>
                <w:lang w:val="lv-LV"/>
              </w:rPr>
              <w:t xml:space="preserve"> </w:t>
            </w:r>
            <w:r w:rsidR="00EA1D5C" w:rsidRPr="00E56319">
              <w:rPr>
                <w:rFonts w:ascii="Times New Roman" w:hAnsi="Times New Roman"/>
                <w:lang w:val="lv-LV"/>
              </w:rPr>
              <w:t>mazākā pakāpē</w:t>
            </w:r>
            <w:r w:rsidR="00BB0930" w:rsidRPr="00E56319">
              <w:rPr>
                <w:rFonts w:ascii="Times New Roman" w:hAnsi="Times New Roman"/>
                <w:lang w:val="lv-LV"/>
              </w:rPr>
              <w:t xml:space="preserve">, jo </w:t>
            </w:r>
            <w:r w:rsidR="00997AE6">
              <w:rPr>
                <w:rFonts w:ascii="Times New Roman" w:hAnsi="Times New Roman"/>
                <w:lang w:val="lv-LV"/>
              </w:rPr>
              <w:t>Studiju akreditācijas komisija</w:t>
            </w:r>
            <w:r w:rsidR="00BB0930" w:rsidRPr="00E56319">
              <w:rPr>
                <w:rFonts w:ascii="Times New Roman" w:hAnsi="Times New Roman"/>
                <w:lang w:val="lv-LV"/>
              </w:rPr>
              <w:t xml:space="preserve"> </w:t>
            </w:r>
            <w:r w:rsidR="00FD4912">
              <w:rPr>
                <w:rFonts w:ascii="Times New Roman" w:hAnsi="Times New Roman"/>
                <w:lang w:val="lv-LV"/>
              </w:rPr>
              <w:t xml:space="preserve">projekta ekspertu izstrādātos studiju kvalitātes novērtējuma ziņojumus </w:t>
            </w:r>
            <w:r w:rsidR="000A0CEB">
              <w:rPr>
                <w:rFonts w:ascii="Times New Roman" w:hAnsi="Times New Roman"/>
                <w:lang w:val="lv-LV"/>
              </w:rPr>
              <w:t xml:space="preserve">izvērtēs pēc </w:t>
            </w:r>
            <w:r w:rsidR="000A0CEB">
              <w:rPr>
                <w:rFonts w:ascii="Times New Roman" w:hAnsi="Times New Roman"/>
                <w:lang w:val="lv-LV"/>
              </w:rPr>
              <w:lastRenderedPageBreak/>
              <w:t>to atbilstības projektā apstiprinātajai metodoloģijai</w:t>
            </w:r>
            <w:r w:rsidR="001F21EC">
              <w:rPr>
                <w:rFonts w:ascii="Times New Roman" w:hAnsi="Times New Roman"/>
                <w:lang w:val="lv-LV"/>
              </w:rPr>
              <w:t xml:space="preserve"> un nepieciešamības gadījumā lūgs augstskolām iesniegt papildus informāciju</w:t>
            </w:r>
            <w:r w:rsidR="00BB0930" w:rsidRPr="00E56319">
              <w:rPr>
                <w:rFonts w:ascii="Times New Roman" w:hAnsi="Times New Roman"/>
                <w:lang w:val="lv-LV"/>
              </w:rPr>
              <w:t>, lai iegūtu salīdzināmus rezultātus.</w:t>
            </w:r>
          </w:p>
        </w:tc>
        <w:tc>
          <w:tcPr>
            <w:tcW w:w="3827" w:type="dxa"/>
          </w:tcPr>
          <w:p w:rsidR="00496975" w:rsidRDefault="00496975" w:rsidP="00342749">
            <w:pPr>
              <w:jc w:val="both"/>
              <w:rPr>
                <w:rFonts w:ascii="Times New Roman" w:hAnsi="Times New Roman"/>
                <w:lang w:val="lv-LV"/>
              </w:rPr>
            </w:pPr>
            <w:r w:rsidRPr="00E56319">
              <w:rPr>
                <w:rFonts w:ascii="Times New Roman" w:hAnsi="Times New Roman"/>
                <w:b/>
                <w:lang w:val="lv-LV"/>
              </w:rPr>
              <w:lastRenderedPageBreak/>
              <w:t>Nepastāv</w:t>
            </w:r>
            <w:r w:rsidRPr="00E56319">
              <w:rPr>
                <w:rFonts w:ascii="Times New Roman" w:hAnsi="Times New Roman"/>
                <w:lang w:val="lv-LV"/>
              </w:rPr>
              <w:t>, jo pilnvarotā institūcija iz</w:t>
            </w:r>
            <w:r w:rsidR="00EA1D5C" w:rsidRPr="00E56319">
              <w:rPr>
                <w:rFonts w:ascii="Times New Roman" w:hAnsi="Times New Roman"/>
                <w:lang w:val="lv-LV"/>
              </w:rPr>
              <w:t>strādā</w:t>
            </w:r>
            <w:r w:rsidRPr="00E56319">
              <w:rPr>
                <w:rFonts w:ascii="Times New Roman" w:hAnsi="Times New Roman"/>
                <w:lang w:val="lv-LV"/>
              </w:rPr>
              <w:t xml:space="preserve"> jaunu </w:t>
            </w:r>
            <w:r w:rsidR="001F21EC">
              <w:rPr>
                <w:rFonts w:ascii="Times New Roman" w:hAnsi="Times New Roman"/>
                <w:lang w:val="lv-LV"/>
              </w:rPr>
              <w:t xml:space="preserve">studiju virzienu izvērtēšanas metodoloģiju </w:t>
            </w:r>
          </w:p>
          <w:p w:rsidR="001F21EC" w:rsidRPr="00E56319" w:rsidRDefault="001F21EC" w:rsidP="00342749">
            <w:pPr>
              <w:jc w:val="both"/>
              <w:rPr>
                <w:rFonts w:ascii="Times New Roman" w:hAnsi="Times New Roman"/>
                <w:lang w:val="lv-LV"/>
              </w:rPr>
            </w:pPr>
          </w:p>
        </w:tc>
      </w:tr>
      <w:tr w:rsidR="00496975" w:rsidRPr="00E56319" w:rsidTr="00083298">
        <w:tc>
          <w:tcPr>
            <w:tcW w:w="2835" w:type="dxa"/>
          </w:tcPr>
          <w:p w:rsidR="00496975" w:rsidRPr="00E56319" w:rsidRDefault="00496975" w:rsidP="00342749">
            <w:pPr>
              <w:jc w:val="both"/>
              <w:rPr>
                <w:rFonts w:ascii="Times New Roman" w:hAnsi="Times New Roman"/>
                <w:lang w:val="lv-LV"/>
              </w:rPr>
            </w:pPr>
          </w:p>
          <w:p w:rsidR="00496975" w:rsidRPr="00E56319" w:rsidRDefault="00496975" w:rsidP="00342749">
            <w:pPr>
              <w:jc w:val="both"/>
              <w:rPr>
                <w:rFonts w:ascii="Times New Roman" w:hAnsi="Times New Roman"/>
                <w:lang w:val="lv-LV"/>
              </w:rPr>
            </w:pPr>
            <w:r w:rsidRPr="00E56319">
              <w:rPr>
                <w:rFonts w:ascii="Times New Roman" w:hAnsi="Times New Roman"/>
                <w:lang w:val="lv-LV"/>
              </w:rPr>
              <w:t>Lēmuma par studiju virziena akreditāciju nepieņemšanas risks</w:t>
            </w:r>
          </w:p>
          <w:p w:rsidR="00496975" w:rsidRPr="00E56319" w:rsidRDefault="00496975" w:rsidP="00342749">
            <w:pPr>
              <w:jc w:val="both"/>
              <w:rPr>
                <w:rFonts w:ascii="Times New Roman" w:hAnsi="Times New Roman"/>
                <w:lang w:val="lv-LV"/>
              </w:rPr>
            </w:pPr>
          </w:p>
        </w:tc>
        <w:tc>
          <w:tcPr>
            <w:tcW w:w="3510" w:type="dxa"/>
          </w:tcPr>
          <w:p w:rsidR="00496975" w:rsidRPr="00E56319" w:rsidRDefault="00496975" w:rsidP="00342749">
            <w:pPr>
              <w:jc w:val="both"/>
              <w:rPr>
                <w:rFonts w:ascii="Times New Roman" w:hAnsi="Times New Roman"/>
                <w:lang w:val="lv-LV"/>
              </w:rPr>
            </w:pPr>
            <w:r w:rsidRPr="00E56319">
              <w:rPr>
                <w:rFonts w:ascii="Times New Roman" w:hAnsi="Times New Roman"/>
                <w:b/>
                <w:lang w:val="lv-LV"/>
              </w:rPr>
              <w:t>Pastāv</w:t>
            </w:r>
            <w:r w:rsidRPr="00E56319">
              <w:rPr>
                <w:rFonts w:ascii="Times New Roman" w:hAnsi="Times New Roman"/>
                <w:lang w:val="lv-LV"/>
              </w:rPr>
              <w:t xml:space="preserve">, pamatojoties uz Ziņojumā norādīto </w:t>
            </w:r>
          </w:p>
        </w:tc>
        <w:tc>
          <w:tcPr>
            <w:tcW w:w="3828" w:type="dxa"/>
          </w:tcPr>
          <w:p w:rsidR="00496975" w:rsidRPr="00E56319" w:rsidRDefault="00496975" w:rsidP="00342749">
            <w:pPr>
              <w:jc w:val="both"/>
              <w:rPr>
                <w:rFonts w:ascii="Times New Roman" w:hAnsi="Times New Roman"/>
                <w:i/>
                <w:lang w:val="lv-LV"/>
              </w:rPr>
            </w:pPr>
            <w:r w:rsidRPr="00E56319">
              <w:rPr>
                <w:rFonts w:ascii="Times New Roman" w:hAnsi="Times New Roman"/>
                <w:b/>
                <w:lang w:val="lv-LV"/>
              </w:rPr>
              <w:t>Nepastāv</w:t>
            </w:r>
          </w:p>
        </w:tc>
        <w:tc>
          <w:tcPr>
            <w:tcW w:w="3827" w:type="dxa"/>
          </w:tcPr>
          <w:p w:rsidR="00496975" w:rsidRPr="00E56319" w:rsidRDefault="00496975" w:rsidP="00342749">
            <w:pPr>
              <w:jc w:val="both"/>
              <w:rPr>
                <w:rFonts w:ascii="Times New Roman" w:hAnsi="Times New Roman"/>
                <w:b/>
                <w:lang w:val="lv-LV"/>
              </w:rPr>
            </w:pPr>
            <w:r w:rsidRPr="00E56319">
              <w:rPr>
                <w:rFonts w:ascii="Times New Roman" w:hAnsi="Times New Roman"/>
                <w:b/>
                <w:lang w:val="lv-LV"/>
              </w:rPr>
              <w:t>Nepastāv</w:t>
            </w:r>
          </w:p>
        </w:tc>
      </w:tr>
      <w:tr w:rsidR="00496975" w:rsidRPr="00083298" w:rsidTr="00083298">
        <w:tc>
          <w:tcPr>
            <w:tcW w:w="2835" w:type="dxa"/>
          </w:tcPr>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r w:rsidRPr="00E56319">
              <w:rPr>
                <w:rFonts w:ascii="Times New Roman" w:hAnsi="Times New Roman"/>
                <w:lang w:val="lv-LV"/>
              </w:rPr>
              <w:t>Finanšu risks</w:t>
            </w:r>
          </w:p>
        </w:tc>
        <w:tc>
          <w:tcPr>
            <w:tcW w:w="3510" w:type="dxa"/>
          </w:tcPr>
          <w:p w:rsidR="00496975" w:rsidRPr="00E56319" w:rsidRDefault="00496975" w:rsidP="00342749">
            <w:pPr>
              <w:pStyle w:val="ListParagraph"/>
              <w:ind w:left="142"/>
              <w:jc w:val="both"/>
              <w:rPr>
                <w:rFonts w:ascii="Times New Roman" w:hAnsi="Times New Roman"/>
                <w:lang w:val="lv-LV"/>
              </w:rPr>
            </w:pPr>
          </w:p>
          <w:p w:rsidR="00496975" w:rsidRPr="00E56319" w:rsidRDefault="00040247" w:rsidP="00342749">
            <w:pPr>
              <w:pStyle w:val="ListParagraph"/>
              <w:numPr>
                <w:ilvl w:val="0"/>
                <w:numId w:val="20"/>
              </w:numPr>
              <w:ind w:left="142" w:hanging="153"/>
              <w:jc w:val="both"/>
              <w:rPr>
                <w:rFonts w:ascii="Times New Roman" w:hAnsi="Times New Roman"/>
                <w:lang w:val="lv-LV"/>
              </w:rPr>
            </w:pPr>
            <w:r w:rsidRPr="00E56319">
              <w:rPr>
                <w:rFonts w:ascii="Times New Roman" w:hAnsi="Times New Roman"/>
                <w:lang w:val="lv-LV"/>
              </w:rPr>
              <w:t>Ja lēmums par studiju virziena akreditāciju netiek pieņemts, n</w:t>
            </w:r>
            <w:r w:rsidR="00496975" w:rsidRPr="00E56319">
              <w:rPr>
                <w:rFonts w:ascii="Times New Roman" w:hAnsi="Times New Roman"/>
                <w:lang w:val="lv-LV"/>
              </w:rPr>
              <w:t xml:space="preserve">epieciešami </w:t>
            </w:r>
            <w:r w:rsidR="00496975" w:rsidRPr="00E56319">
              <w:rPr>
                <w:rFonts w:ascii="Times New Roman" w:hAnsi="Times New Roman"/>
                <w:b/>
                <w:lang w:val="lv-LV"/>
              </w:rPr>
              <w:t>papildu valsts budžeta līdzekļi</w:t>
            </w:r>
            <w:r w:rsidR="00496975" w:rsidRPr="00E56319">
              <w:rPr>
                <w:rFonts w:ascii="Times New Roman" w:hAnsi="Times New Roman"/>
                <w:lang w:val="lv-LV"/>
              </w:rPr>
              <w:t xml:space="preserve"> </w:t>
            </w:r>
            <w:r w:rsidR="00425F77" w:rsidRPr="00E56319">
              <w:rPr>
                <w:rFonts w:ascii="Times New Roman" w:hAnsi="Times New Roman"/>
                <w:lang w:val="lv-LV"/>
              </w:rPr>
              <w:t xml:space="preserve">akreditācijas procesa </w:t>
            </w:r>
            <w:r w:rsidRPr="00E56319">
              <w:rPr>
                <w:rFonts w:ascii="Times New Roman" w:hAnsi="Times New Roman"/>
                <w:lang w:val="lv-LV"/>
              </w:rPr>
              <w:t>atkārto</w:t>
            </w:r>
            <w:r w:rsidR="00EA1D5C" w:rsidRPr="00E56319">
              <w:rPr>
                <w:rFonts w:ascii="Times New Roman" w:hAnsi="Times New Roman"/>
                <w:lang w:val="lv-LV"/>
              </w:rPr>
              <w:t>tai veik</w:t>
            </w:r>
            <w:r w:rsidRPr="00E56319">
              <w:rPr>
                <w:rFonts w:ascii="Times New Roman" w:hAnsi="Times New Roman"/>
                <w:lang w:val="lv-LV"/>
              </w:rPr>
              <w:t>šanai</w:t>
            </w:r>
            <w:r w:rsidR="00496975" w:rsidRPr="00E56319">
              <w:rPr>
                <w:rFonts w:ascii="Times New Roman" w:hAnsi="Times New Roman"/>
                <w:lang w:val="lv-LV"/>
              </w:rPr>
              <w:t>;</w:t>
            </w:r>
          </w:p>
          <w:p w:rsidR="00496975" w:rsidRPr="00E56319" w:rsidRDefault="00496975" w:rsidP="00342749">
            <w:pPr>
              <w:pStyle w:val="ListParagraph"/>
              <w:ind w:left="142"/>
              <w:jc w:val="both"/>
              <w:rPr>
                <w:rFonts w:ascii="Times New Roman" w:hAnsi="Times New Roman"/>
                <w:lang w:val="lv-LV"/>
              </w:rPr>
            </w:pPr>
          </w:p>
          <w:p w:rsidR="00496975" w:rsidRPr="00E56319" w:rsidRDefault="00496975" w:rsidP="00342749">
            <w:pPr>
              <w:pStyle w:val="ListParagraph"/>
              <w:numPr>
                <w:ilvl w:val="0"/>
                <w:numId w:val="20"/>
              </w:numPr>
              <w:ind w:left="142" w:hanging="142"/>
              <w:jc w:val="both"/>
              <w:rPr>
                <w:rFonts w:ascii="Times New Roman" w:hAnsi="Times New Roman"/>
                <w:lang w:val="lv-LV"/>
              </w:rPr>
            </w:pPr>
            <w:r w:rsidRPr="00E56319">
              <w:rPr>
                <w:rFonts w:ascii="Times New Roman" w:hAnsi="Times New Roman"/>
                <w:b/>
                <w:lang w:val="lv-LV"/>
              </w:rPr>
              <w:t>Neatbilstošo izmaksu risks</w:t>
            </w:r>
            <w:r w:rsidRPr="00E56319">
              <w:rPr>
                <w:rFonts w:ascii="Times New Roman" w:hAnsi="Times New Roman"/>
                <w:lang w:val="lv-LV"/>
              </w:rPr>
              <w:t xml:space="preserve"> – tiks vērtēts;</w:t>
            </w:r>
          </w:p>
          <w:p w:rsidR="00496975" w:rsidRPr="00E56319" w:rsidRDefault="00496975" w:rsidP="00342749">
            <w:pPr>
              <w:jc w:val="both"/>
              <w:rPr>
                <w:rFonts w:ascii="Times New Roman" w:hAnsi="Times New Roman"/>
                <w:lang w:val="lv-LV"/>
              </w:rPr>
            </w:pPr>
          </w:p>
          <w:p w:rsidR="00496975" w:rsidRPr="00E56319" w:rsidRDefault="00040247" w:rsidP="00342749">
            <w:pPr>
              <w:pStyle w:val="ListParagraph"/>
              <w:numPr>
                <w:ilvl w:val="0"/>
                <w:numId w:val="20"/>
              </w:numPr>
              <w:ind w:left="142" w:hanging="153"/>
              <w:jc w:val="both"/>
              <w:rPr>
                <w:rFonts w:ascii="Times New Roman" w:hAnsi="Times New Roman"/>
                <w:lang w:val="lv-LV"/>
              </w:rPr>
            </w:pPr>
            <w:r w:rsidRPr="00E56319">
              <w:rPr>
                <w:rFonts w:ascii="Times New Roman" w:hAnsi="Times New Roman"/>
                <w:lang w:val="lv-LV"/>
              </w:rPr>
              <w:t>Ja lēmums par studiju virziena akreditāciju netiek pieņemts, i</w:t>
            </w:r>
            <w:r w:rsidR="00496975" w:rsidRPr="00E56319">
              <w:rPr>
                <w:rFonts w:ascii="Times New Roman" w:hAnsi="Times New Roman"/>
                <w:lang w:val="lv-LV"/>
              </w:rPr>
              <w:t>espējami papildu izdevumi AII akreditācijas procesa ietvaros;</w:t>
            </w:r>
          </w:p>
          <w:p w:rsidR="00CD717B" w:rsidRPr="00E56319" w:rsidRDefault="00CD717B" w:rsidP="00342749">
            <w:pPr>
              <w:pStyle w:val="ListParagraph"/>
              <w:jc w:val="both"/>
              <w:rPr>
                <w:rFonts w:ascii="Times New Roman" w:hAnsi="Times New Roman"/>
                <w:lang w:val="lv-LV"/>
              </w:rPr>
            </w:pPr>
          </w:p>
          <w:p w:rsidR="00496975" w:rsidRPr="00E56319" w:rsidRDefault="00EA1D5C" w:rsidP="00342749">
            <w:pPr>
              <w:pStyle w:val="ListParagraph"/>
              <w:numPr>
                <w:ilvl w:val="0"/>
                <w:numId w:val="20"/>
              </w:numPr>
              <w:ind w:left="142" w:hanging="153"/>
              <w:jc w:val="both"/>
              <w:rPr>
                <w:rFonts w:ascii="Times New Roman" w:hAnsi="Times New Roman"/>
                <w:lang w:val="lv-LV"/>
              </w:rPr>
            </w:pPr>
            <w:r w:rsidRPr="00E56319">
              <w:rPr>
                <w:rFonts w:ascii="Times New Roman" w:hAnsi="Times New Roman"/>
                <w:lang w:val="lv-LV"/>
              </w:rPr>
              <w:t>Tiesvedību gadījumos iespējama nodarīto zaudējumu piedziņa</w:t>
            </w:r>
            <w:r w:rsidR="00B20BD0">
              <w:rPr>
                <w:rFonts w:ascii="Times New Roman" w:hAnsi="Times New Roman"/>
                <w:lang w:val="lv-LV"/>
              </w:rPr>
              <w:t xml:space="preserve"> no valsts.</w:t>
            </w:r>
          </w:p>
        </w:tc>
        <w:tc>
          <w:tcPr>
            <w:tcW w:w="3828" w:type="dxa"/>
          </w:tcPr>
          <w:p w:rsidR="00496975" w:rsidRPr="00E56319" w:rsidRDefault="00496975" w:rsidP="00342749">
            <w:pPr>
              <w:jc w:val="both"/>
              <w:rPr>
                <w:rFonts w:ascii="Times New Roman" w:hAnsi="Times New Roman"/>
                <w:lang w:val="lv-LV"/>
              </w:rPr>
            </w:pPr>
          </w:p>
          <w:p w:rsidR="00496975" w:rsidRPr="00E56319" w:rsidRDefault="00496975" w:rsidP="00342749">
            <w:pPr>
              <w:jc w:val="both"/>
              <w:rPr>
                <w:rFonts w:ascii="Times New Roman" w:hAnsi="Times New Roman"/>
                <w:lang w:val="lv-LV"/>
              </w:rPr>
            </w:pPr>
            <w:r w:rsidRPr="00E56319">
              <w:rPr>
                <w:rFonts w:ascii="Times New Roman" w:hAnsi="Times New Roman"/>
                <w:lang w:val="lv-LV"/>
              </w:rPr>
              <w:t xml:space="preserve">- </w:t>
            </w:r>
            <w:r w:rsidRPr="00E56319">
              <w:rPr>
                <w:rFonts w:ascii="Times New Roman" w:hAnsi="Times New Roman"/>
                <w:b/>
                <w:lang w:val="lv-LV"/>
              </w:rPr>
              <w:t>Neatbilstošo izmaksu risks</w:t>
            </w:r>
            <w:r w:rsidRPr="00E56319">
              <w:rPr>
                <w:rFonts w:ascii="Times New Roman" w:hAnsi="Times New Roman"/>
                <w:lang w:val="lv-LV"/>
              </w:rPr>
              <w:t xml:space="preserve"> – tiks vērtēts;</w:t>
            </w:r>
          </w:p>
          <w:p w:rsidR="00496975" w:rsidRPr="00E56319" w:rsidRDefault="00496975" w:rsidP="00342749">
            <w:pPr>
              <w:jc w:val="both"/>
              <w:rPr>
                <w:rFonts w:ascii="Times New Roman" w:hAnsi="Times New Roman"/>
                <w:lang w:val="lv-LV"/>
              </w:rPr>
            </w:pPr>
          </w:p>
          <w:p w:rsidR="00496975" w:rsidRPr="00E56319" w:rsidRDefault="00496975" w:rsidP="00342749">
            <w:pPr>
              <w:jc w:val="both"/>
              <w:rPr>
                <w:rFonts w:ascii="Times New Roman" w:hAnsi="Times New Roman"/>
                <w:lang w:val="lv-LV"/>
              </w:rPr>
            </w:pPr>
            <w:r w:rsidRPr="00E56319">
              <w:rPr>
                <w:rFonts w:ascii="Times New Roman" w:hAnsi="Times New Roman"/>
                <w:lang w:val="lv-LV"/>
              </w:rPr>
              <w:t xml:space="preserve">- </w:t>
            </w:r>
            <w:r w:rsidRPr="00342738">
              <w:rPr>
                <w:rFonts w:ascii="Times New Roman" w:hAnsi="Times New Roman"/>
                <w:b/>
                <w:lang w:val="lv-LV"/>
              </w:rPr>
              <w:t>Iespējami papildu izdevumi</w:t>
            </w:r>
            <w:r w:rsidRPr="00E56319">
              <w:rPr>
                <w:rFonts w:ascii="Times New Roman" w:hAnsi="Times New Roman"/>
                <w:lang w:val="lv-LV"/>
              </w:rPr>
              <w:t xml:space="preserve"> </w:t>
            </w:r>
            <w:r w:rsidR="00905C74">
              <w:rPr>
                <w:rFonts w:ascii="Times New Roman" w:hAnsi="Times New Roman"/>
                <w:lang w:val="lv-LV"/>
              </w:rPr>
              <w:t xml:space="preserve">studiju virzienu un </w:t>
            </w:r>
            <w:r w:rsidRPr="00E56319">
              <w:rPr>
                <w:rFonts w:ascii="Times New Roman" w:hAnsi="Times New Roman"/>
                <w:lang w:val="lv-LV"/>
              </w:rPr>
              <w:t>AII akreditācijas procesa ietvaros</w:t>
            </w:r>
          </w:p>
        </w:tc>
        <w:tc>
          <w:tcPr>
            <w:tcW w:w="3827" w:type="dxa"/>
          </w:tcPr>
          <w:p w:rsidR="00496975" w:rsidRPr="00E56319" w:rsidRDefault="00496975" w:rsidP="00342749">
            <w:pPr>
              <w:jc w:val="both"/>
              <w:rPr>
                <w:rFonts w:ascii="Times New Roman" w:hAnsi="Times New Roman"/>
                <w:lang w:val="lv-LV"/>
              </w:rPr>
            </w:pPr>
            <w:r w:rsidRPr="00E56319">
              <w:rPr>
                <w:rFonts w:ascii="Times New Roman" w:hAnsi="Times New Roman"/>
                <w:lang w:val="lv-LV"/>
              </w:rPr>
              <w:t xml:space="preserve">- Nepieciešami </w:t>
            </w:r>
            <w:r w:rsidRPr="00E56319">
              <w:rPr>
                <w:rFonts w:ascii="Times New Roman" w:hAnsi="Times New Roman"/>
                <w:b/>
                <w:lang w:val="lv-LV"/>
              </w:rPr>
              <w:t>papildu valsts budžeta līdzekļi</w:t>
            </w:r>
            <w:r w:rsidRPr="00E56319">
              <w:rPr>
                <w:rFonts w:ascii="Times New Roman" w:hAnsi="Times New Roman"/>
                <w:lang w:val="lv-LV"/>
              </w:rPr>
              <w:t xml:space="preserve"> jauna akreditācijas procesa nodrošināšanai;</w:t>
            </w:r>
          </w:p>
          <w:p w:rsidR="00496975" w:rsidRPr="00E56319" w:rsidRDefault="00496975" w:rsidP="00342749">
            <w:pPr>
              <w:jc w:val="both"/>
              <w:rPr>
                <w:rFonts w:ascii="Times New Roman" w:hAnsi="Times New Roman"/>
                <w:lang w:val="lv-LV"/>
              </w:rPr>
            </w:pPr>
          </w:p>
          <w:p w:rsidR="00142164" w:rsidRPr="00E56319" w:rsidRDefault="00496975" w:rsidP="00342749">
            <w:pPr>
              <w:jc w:val="both"/>
              <w:rPr>
                <w:rFonts w:ascii="Times New Roman" w:hAnsi="Times New Roman"/>
                <w:lang w:val="lv-LV"/>
              </w:rPr>
            </w:pPr>
            <w:r w:rsidRPr="00E56319">
              <w:rPr>
                <w:rFonts w:ascii="Times New Roman" w:hAnsi="Times New Roman"/>
                <w:lang w:val="lv-LV"/>
              </w:rPr>
              <w:t xml:space="preserve"> - </w:t>
            </w:r>
            <w:r w:rsidRPr="00E56319">
              <w:rPr>
                <w:rFonts w:ascii="Times New Roman" w:hAnsi="Times New Roman"/>
                <w:b/>
                <w:lang w:val="lv-LV"/>
              </w:rPr>
              <w:t>Neatbilstošo izmaksu risks</w:t>
            </w:r>
            <w:r w:rsidRPr="00E56319">
              <w:rPr>
                <w:rFonts w:ascii="Times New Roman" w:hAnsi="Times New Roman"/>
                <w:lang w:val="lv-LV"/>
              </w:rPr>
              <w:t xml:space="preserve"> – līdz 100% apjomam</w:t>
            </w:r>
            <w:r w:rsidR="00142164" w:rsidRPr="00E56319">
              <w:rPr>
                <w:rFonts w:ascii="Times New Roman" w:hAnsi="Times New Roman"/>
                <w:lang w:val="lv-LV"/>
              </w:rPr>
              <w:t xml:space="preserve"> (t.sk.</w:t>
            </w:r>
            <w:r w:rsidR="004F3133">
              <w:rPr>
                <w:rFonts w:ascii="Times New Roman" w:hAnsi="Times New Roman"/>
                <w:lang w:val="lv-LV"/>
              </w:rPr>
              <w:t>,</w:t>
            </w:r>
            <w:r w:rsidR="00142164" w:rsidRPr="00E56319">
              <w:rPr>
                <w:rFonts w:ascii="Times New Roman" w:hAnsi="Times New Roman"/>
                <w:lang w:val="lv-LV"/>
              </w:rPr>
              <w:t xml:space="preserve"> izvērtējot AIP kā atvasinātas publiskas personas reālās iespējas atmaksāt neattiecināmās izmaksas)</w:t>
            </w:r>
          </w:p>
          <w:p w:rsidR="00496975" w:rsidRPr="00E56319" w:rsidRDefault="00496975" w:rsidP="00342749">
            <w:pPr>
              <w:jc w:val="both"/>
              <w:rPr>
                <w:rFonts w:ascii="Times New Roman" w:hAnsi="Times New Roman"/>
                <w:lang w:val="lv-LV"/>
              </w:rPr>
            </w:pPr>
          </w:p>
          <w:p w:rsidR="00496975" w:rsidRPr="00E56319" w:rsidRDefault="00496975" w:rsidP="00342749">
            <w:pPr>
              <w:jc w:val="both"/>
              <w:rPr>
                <w:rFonts w:ascii="Times New Roman" w:hAnsi="Times New Roman"/>
                <w:lang w:val="lv-LV"/>
              </w:rPr>
            </w:pPr>
            <w:r w:rsidRPr="00E56319">
              <w:rPr>
                <w:rFonts w:ascii="Times New Roman" w:hAnsi="Times New Roman"/>
                <w:lang w:val="lv-LV"/>
              </w:rPr>
              <w:t>- Papildu izdevumi AII akreditācijas procesa ietvaros</w:t>
            </w:r>
          </w:p>
        </w:tc>
      </w:tr>
      <w:tr w:rsidR="00496975" w:rsidRPr="00F442C1" w:rsidTr="00083298">
        <w:tc>
          <w:tcPr>
            <w:tcW w:w="2835" w:type="dxa"/>
          </w:tcPr>
          <w:p w:rsidR="00496975" w:rsidRPr="00E56319" w:rsidRDefault="00496975" w:rsidP="00083298">
            <w:pPr>
              <w:rPr>
                <w:rFonts w:ascii="Times New Roman" w:hAnsi="Times New Roman"/>
                <w:lang w:val="lv-LV"/>
              </w:rPr>
            </w:pPr>
          </w:p>
          <w:p w:rsidR="0041136B" w:rsidRPr="00E56319" w:rsidRDefault="0041136B" w:rsidP="00083298">
            <w:pPr>
              <w:rPr>
                <w:rFonts w:ascii="Times New Roman" w:hAnsi="Times New Roman"/>
                <w:lang w:val="lv-LV"/>
              </w:rPr>
            </w:pPr>
          </w:p>
          <w:p w:rsidR="0041136B" w:rsidRPr="00E56319" w:rsidRDefault="0041136B" w:rsidP="00083298">
            <w:pPr>
              <w:rPr>
                <w:rFonts w:ascii="Times New Roman" w:hAnsi="Times New Roman"/>
                <w:lang w:val="lv-LV"/>
              </w:rPr>
            </w:pPr>
          </w:p>
          <w:p w:rsidR="0041136B" w:rsidRPr="00E56319" w:rsidRDefault="0041136B" w:rsidP="00083298">
            <w:pPr>
              <w:rPr>
                <w:rFonts w:ascii="Times New Roman" w:hAnsi="Times New Roman"/>
                <w:lang w:val="lv-LV"/>
              </w:rPr>
            </w:pPr>
          </w:p>
          <w:p w:rsidR="00496975" w:rsidRPr="00E56319" w:rsidRDefault="00496975" w:rsidP="00083298">
            <w:pPr>
              <w:rPr>
                <w:rFonts w:ascii="Times New Roman" w:hAnsi="Times New Roman"/>
                <w:lang w:val="lv-LV"/>
              </w:rPr>
            </w:pPr>
            <w:r w:rsidRPr="00E56319">
              <w:rPr>
                <w:rFonts w:ascii="Times New Roman" w:hAnsi="Times New Roman"/>
                <w:lang w:val="lv-LV"/>
              </w:rPr>
              <w:t>Pilnvarotās institūcijas piesaiste (</w:t>
            </w:r>
            <w:r w:rsidR="00083298" w:rsidRPr="00CC6CFE">
              <w:rPr>
                <w:rFonts w:ascii="Times New Roman" w:hAnsi="Times New Roman"/>
                <w:lang w:val="lv-LV"/>
              </w:rPr>
              <w:t>Ministru kabineta</w:t>
            </w:r>
            <w:r w:rsidR="00083298" w:rsidRPr="00CC6CFE">
              <w:rPr>
                <w:rFonts w:ascii="Times New Roman" w:hAnsi="Times New Roman"/>
                <w:b/>
                <w:bCs/>
                <w:lang w:val="lv-LV"/>
              </w:rPr>
              <w:t xml:space="preserve"> </w:t>
            </w:r>
            <w:r w:rsidR="00083298" w:rsidRPr="00CC6CFE">
              <w:rPr>
                <w:rFonts w:ascii="Times New Roman" w:hAnsi="Times New Roman"/>
                <w:lang w:val="lv-LV"/>
              </w:rPr>
              <w:t>2012.gada 25.septembra noteikum</w:t>
            </w:r>
            <w:r w:rsidR="00083298">
              <w:rPr>
                <w:rFonts w:ascii="Times New Roman" w:hAnsi="Times New Roman"/>
                <w:lang w:val="lv-LV"/>
              </w:rPr>
              <w:t>u</w:t>
            </w:r>
            <w:r w:rsidR="00083298" w:rsidRPr="00CC6CFE">
              <w:rPr>
                <w:rFonts w:ascii="Times New Roman" w:hAnsi="Times New Roman"/>
                <w:lang w:val="lv-LV"/>
              </w:rPr>
              <w:t xml:space="preserve"> Nr.668 „Augstskolu, koledžu un studiju virzienu akreditācijas noteikumi”</w:t>
            </w:r>
            <w:r w:rsidR="00083298">
              <w:rPr>
                <w:rFonts w:ascii="Times New Roman" w:hAnsi="Times New Roman"/>
                <w:lang w:val="lv-LV"/>
              </w:rPr>
              <w:t xml:space="preserve"> </w:t>
            </w:r>
            <w:r w:rsidRPr="00E56319">
              <w:rPr>
                <w:rFonts w:ascii="Times New Roman" w:hAnsi="Times New Roman"/>
                <w:lang w:val="lv-LV"/>
              </w:rPr>
              <w:t>32.p</w:t>
            </w:r>
            <w:r w:rsidR="00083298">
              <w:rPr>
                <w:rFonts w:ascii="Times New Roman" w:hAnsi="Times New Roman"/>
                <w:lang w:val="lv-LV"/>
              </w:rPr>
              <w:t>unkts)</w:t>
            </w:r>
          </w:p>
          <w:p w:rsidR="00496975" w:rsidRPr="00E56319" w:rsidRDefault="00496975" w:rsidP="00083298">
            <w:pPr>
              <w:rPr>
                <w:rFonts w:ascii="Times New Roman" w:hAnsi="Times New Roman"/>
                <w:lang w:val="lv-LV"/>
              </w:rPr>
            </w:pPr>
          </w:p>
        </w:tc>
        <w:tc>
          <w:tcPr>
            <w:tcW w:w="3510" w:type="dxa"/>
          </w:tcPr>
          <w:p w:rsidR="00496975" w:rsidRPr="00E56319" w:rsidRDefault="0041136B" w:rsidP="00342749">
            <w:pPr>
              <w:jc w:val="both"/>
              <w:rPr>
                <w:rFonts w:ascii="Times New Roman" w:hAnsi="Times New Roman"/>
                <w:lang w:val="lv-LV"/>
              </w:rPr>
            </w:pPr>
            <w:r w:rsidRPr="00E56319">
              <w:rPr>
                <w:rFonts w:ascii="Times New Roman" w:hAnsi="Times New Roman"/>
                <w:lang w:val="lv-LV"/>
              </w:rPr>
              <w:lastRenderedPageBreak/>
              <w:t>Pilnvarotā i</w:t>
            </w:r>
            <w:bookmarkStart w:id="0" w:name="_GoBack"/>
            <w:bookmarkEnd w:id="0"/>
            <w:r w:rsidRPr="00E56319">
              <w:rPr>
                <w:rFonts w:ascii="Times New Roman" w:hAnsi="Times New Roman"/>
                <w:lang w:val="lv-LV"/>
              </w:rPr>
              <w:t xml:space="preserve">nstitūcija tiek </w:t>
            </w:r>
            <w:r w:rsidRPr="00E56319">
              <w:rPr>
                <w:rFonts w:ascii="Times New Roman" w:hAnsi="Times New Roman"/>
                <w:lang w:val="lv-LV"/>
              </w:rPr>
              <w:lastRenderedPageBreak/>
              <w:t>piesaistīta ministrijas organizētā konkursa ietvaros</w:t>
            </w:r>
            <w:r w:rsidR="00496975" w:rsidRPr="00E56319">
              <w:rPr>
                <w:rFonts w:ascii="Times New Roman" w:hAnsi="Times New Roman"/>
                <w:lang w:val="lv-LV"/>
              </w:rPr>
              <w:t>.</w:t>
            </w:r>
          </w:p>
        </w:tc>
        <w:tc>
          <w:tcPr>
            <w:tcW w:w="3828" w:type="dxa"/>
          </w:tcPr>
          <w:p w:rsidR="0041136B" w:rsidRPr="00E56319" w:rsidRDefault="0041136B" w:rsidP="00342749">
            <w:pPr>
              <w:jc w:val="both"/>
              <w:rPr>
                <w:rFonts w:ascii="Times New Roman" w:hAnsi="Times New Roman"/>
                <w:lang w:val="lv-LV"/>
              </w:rPr>
            </w:pPr>
            <w:r w:rsidRPr="00E56319">
              <w:rPr>
                <w:rFonts w:ascii="Times New Roman" w:hAnsi="Times New Roman"/>
                <w:lang w:val="lv-LV"/>
              </w:rPr>
              <w:lastRenderedPageBreak/>
              <w:t xml:space="preserve">Iespējama </w:t>
            </w:r>
            <w:r w:rsidR="00791D38" w:rsidRPr="00E56319">
              <w:rPr>
                <w:rFonts w:ascii="Times New Roman" w:hAnsi="Times New Roman"/>
                <w:lang w:val="lv-LV"/>
              </w:rPr>
              <w:t xml:space="preserve">nepieciešamība izsludināt </w:t>
            </w:r>
            <w:r w:rsidR="00791D38" w:rsidRPr="00E56319">
              <w:rPr>
                <w:rFonts w:ascii="Times New Roman" w:hAnsi="Times New Roman"/>
                <w:lang w:val="lv-LV"/>
              </w:rPr>
              <w:lastRenderedPageBreak/>
              <w:t>atkārtotu jaunu konkursu:</w:t>
            </w:r>
          </w:p>
          <w:p w:rsidR="009B7266" w:rsidRPr="00E56319" w:rsidRDefault="00791D38" w:rsidP="00342749">
            <w:pPr>
              <w:jc w:val="both"/>
              <w:rPr>
                <w:rFonts w:ascii="Times New Roman" w:hAnsi="Times New Roman"/>
                <w:lang w:val="lv-LV"/>
              </w:rPr>
            </w:pPr>
            <w:r w:rsidRPr="00E56319">
              <w:rPr>
                <w:rFonts w:ascii="Times New Roman" w:hAnsi="Times New Roman"/>
                <w:lang w:val="lv-LV"/>
              </w:rPr>
              <w:t>l</w:t>
            </w:r>
            <w:r w:rsidR="0041136B" w:rsidRPr="00E56319">
              <w:rPr>
                <w:rFonts w:ascii="Times New Roman" w:hAnsi="Times New Roman"/>
                <w:lang w:val="lv-LV"/>
              </w:rPr>
              <w:t xml:space="preserve">ai gan </w:t>
            </w:r>
            <w:r w:rsidR="00496975" w:rsidRPr="00E56319">
              <w:rPr>
                <w:rFonts w:ascii="Times New Roman" w:hAnsi="Times New Roman"/>
                <w:lang w:val="lv-LV"/>
              </w:rPr>
              <w:t>Valsts pārvaldes iekārtas likumā nav ietverta prasība rīkot konkursu, lai noskaidrotu, ar</w:t>
            </w:r>
            <w:r w:rsidR="0041136B" w:rsidRPr="00E56319">
              <w:rPr>
                <w:rFonts w:ascii="Times New Roman" w:hAnsi="Times New Roman"/>
                <w:lang w:val="lv-LV"/>
              </w:rPr>
              <w:t xml:space="preserve"> ko slēdzams deleģēšanas līgums, ministrija</w:t>
            </w:r>
            <w:r w:rsidR="00496975" w:rsidRPr="00E56319">
              <w:rPr>
                <w:rFonts w:ascii="Times New Roman" w:hAnsi="Times New Roman"/>
                <w:lang w:val="lv-LV"/>
              </w:rPr>
              <w:t xml:space="preserve"> atbilstoši labas pārvaldības principam organizēja konkursu par valsts pārvaldes uzdevuma deleģēšan</w:t>
            </w:r>
            <w:r w:rsidR="0041136B" w:rsidRPr="00E56319">
              <w:rPr>
                <w:rFonts w:ascii="Times New Roman" w:hAnsi="Times New Roman"/>
                <w:lang w:val="lv-LV"/>
              </w:rPr>
              <w:t xml:space="preserve">u. </w:t>
            </w:r>
            <w:r w:rsidR="00496975" w:rsidRPr="00E56319">
              <w:rPr>
                <w:rFonts w:ascii="Times New Roman" w:hAnsi="Times New Roman"/>
                <w:lang w:val="lv-LV"/>
              </w:rPr>
              <w:t xml:space="preserve">Pēc konkursa noslēgšanās un lēmuma pieņemšanas ir jaunatklāts apstāklis – </w:t>
            </w:r>
            <w:r w:rsidR="00083298">
              <w:rPr>
                <w:rFonts w:ascii="Times New Roman" w:hAnsi="Times New Roman"/>
                <w:lang w:val="lv-LV"/>
              </w:rPr>
              <w:t>auditora novērtējuma</w:t>
            </w:r>
            <w:r w:rsidR="00496975" w:rsidRPr="00E56319">
              <w:rPr>
                <w:rFonts w:ascii="Times New Roman" w:hAnsi="Times New Roman"/>
                <w:lang w:val="lv-LV"/>
              </w:rPr>
              <w:t xml:space="preserve"> ziņojums-, kā rezultātā ir notikusi konkursā paredzēta nosacījuma – Projekta rezultātu izmantošana – maiņa (kas rada darba apjoma palielināšanos), kas uzvarētājam faktiski nerada priekšrocības attiecībā pret potenciālaji</w:t>
            </w:r>
            <w:r w:rsidR="0041136B" w:rsidRPr="00E56319">
              <w:rPr>
                <w:rFonts w:ascii="Times New Roman" w:hAnsi="Times New Roman"/>
                <w:lang w:val="lv-LV"/>
              </w:rPr>
              <w:t xml:space="preserve">em citiem konkursa dalībniekiem. </w:t>
            </w:r>
            <w:r w:rsidR="00496975" w:rsidRPr="00E56319">
              <w:rPr>
                <w:rFonts w:ascii="Times New Roman" w:hAnsi="Times New Roman"/>
                <w:lang w:val="lv-LV"/>
              </w:rPr>
              <w:t>Līdz ar to konkursa nosacījumu maiņa nav ietekmējusi konkurenci konkursa norisē.</w:t>
            </w:r>
          </w:p>
          <w:p w:rsidR="009B7266" w:rsidRPr="00E56319" w:rsidRDefault="009B7266" w:rsidP="00342749">
            <w:pPr>
              <w:jc w:val="both"/>
              <w:rPr>
                <w:rFonts w:ascii="Times New Roman" w:hAnsi="Times New Roman"/>
                <w:lang w:val="lv-LV"/>
              </w:rPr>
            </w:pPr>
          </w:p>
          <w:p w:rsidR="00496975" w:rsidRPr="00E56319" w:rsidRDefault="0041136B" w:rsidP="00342738">
            <w:pPr>
              <w:jc w:val="both"/>
              <w:rPr>
                <w:rFonts w:ascii="Times New Roman" w:hAnsi="Times New Roman"/>
                <w:lang w:val="lv-LV"/>
              </w:rPr>
            </w:pPr>
            <w:r w:rsidRPr="00E56319">
              <w:rPr>
                <w:rFonts w:ascii="Times New Roman" w:hAnsi="Times New Roman"/>
                <w:lang w:val="lv-LV"/>
              </w:rPr>
              <w:t xml:space="preserve">Tomēr </w:t>
            </w:r>
            <w:r w:rsidRPr="00E56319">
              <w:rPr>
                <w:rFonts w:ascii="Times New Roman" w:hAnsi="Times New Roman"/>
                <w:b/>
                <w:lang w:val="lv-LV"/>
              </w:rPr>
              <w:t>var rasties nepieciešamība sludināt jaunu konkursu</w:t>
            </w:r>
            <w:r w:rsidRPr="00E56319">
              <w:rPr>
                <w:rFonts w:ascii="Times New Roman" w:hAnsi="Times New Roman"/>
                <w:lang w:val="lv-LV"/>
              </w:rPr>
              <w:t xml:space="preserve">, ņemot vērā, ka pastāv finanšu ierobežojums esošā konkursa nolikumā – vienas </w:t>
            </w:r>
            <w:r w:rsidR="009B7266" w:rsidRPr="00E56319">
              <w:rPr>
                <w:rFonts w:ascii="Times New Roman" w:hAnsi="Times New Roman"/>
                <w:lang w:val="lv-LV"/>
              </w:rPr>
              <w:t>SP</w:t>
            </w:r>
            <w:r w:rsidRPr="00E56319">
              <w:rPr>
                <w:rFonts w:ascii="Times New Roman" w:hAnsi="Times New Roman"/>
                <w:lang w:val="lv-LV"/>
              </w:rPr>
              <w:t xml:space="preserve">, kura novērtēta Projekta ietvaros, izmaksas, lai nodrošinātu pilnvarotās institūcijas funkciju izpildi, nedrīkst </w:t>
            </w:r>
            <w:r w:rsidRPr="00E56319">
              <w:rPr>
                <w:rFonts w:ascii="Times New Roman" w:hAnsi="Times New Roman"/>
                <w:lang w:val="lv-LV"/>
              </w:rPr>
              <w:lastRenderedPageBreak/>
              <w:t>pārsniegt 175 latus.</w:t>
            </w:r>
            <w:r w:rsidR="009B7266" w:rsidRPr="00E56319">
              <w:rPr>
                <w:rFonts w:ascii="Times New Roman" w:hAnsi="Times New Roman"/>
                <w:lang w:val="lv-LV"/>
              </w:rPr>
              <w:t xml:space="preserve"> </w:t>
            </w:r>
          </w:p>
        </w:tc>
        <w:tc>
          <w:tcPr>
            <w:tcW w:w="3827" w:type="dxa"/>
          </w:tcPr>
          <w:p w:rsidR="00496975" w:rsidRPr="00E56319" w:rsidRDefault="00496975" w:rsidP="00342749">
            <w:pPr>
              <w:jc w:val="both"/>
              <w:rPr>
                <w:rFonts w:ascii="Times New Roman" w:hAnsi="Times New Roman"/>
                <w:lang w:val="lv-LV"/>
              </w:rPr>
            </w:pPr>
            <w:r w:rsidRPr="00E56319">
              <w:rPr>
                <w:rFonts w:ascii="Times New Roman" w:hAnsi="Times New Roman"/>
                <w:lang w:val="lv-LV"/>
              </w:rPr>
              <w:lastRenderedPageBreak/>
              <w:t xml:space="preserve">Jauns konkurss uzreiz nav jāsludina, </w:t>
            </w:r>
            <w:r w:rsidRPr="00E56319">
              <w:rPr>
                <w:rFonts w:ascii="Times New Roman" w:hAnsi="Times New Roman"/>
                <w:lang w:val="lv-LV"/>
              </w:rPr>
              <w:lastRenderedPageBreak/>
              <w:t>jo nepiemēro normas, kas attiecas uz Projekta rezultātu izmantošanu.</w:t>
            </w:r>
          </w:p>
          <w:p w:rsidR="004D2025" w:rsidRPr="00E56319" w:rsidRDefault="004D2025" w:rsidP="00342749">
            <w:pPr>
              <w:jc w:val="both"/>
              <w:rPr>
                <w:rFonts w:ascii="Times New Roman" w:hAnsi="Times New Roman"/>
                <w:lang w:val="lv-LV"/>
              </w:rPr>
            </w:pPr>
          </w:p>
          <w:p w:rsidR="004D2025" w:rsidRPr="00E56319" w:rsidRDefault="004D2025" w:rsidP="00342749">
            <w:pPr>
              <w:jc w:val="both"/>
              <w:rPr>
                <w:rFonts w:ascii="Times New Roman" w:hAnsi="Times New Roman"/>
                <w:lang w:val="lv-LV"/>
              </w:rPr>
            </w:pPr>
            <w:r w:rsidRPr="00E56319">
              <w:rPr>
                <w:rFonts w:ascii="Times New Roman" w:hAnsi="Times New Roman"/>
                <w:lang w:val="lv-LV"/>
              </w:rPr>
              <w:t>Tomēr</w:t>
            </w:r>
            <w:r w:rsidRPr="00E56319">
              <w:rPr>
                <w:rFonts w:ascii="Times New Roman" w:hAnsi="Times New Roman"/>
                <w:b/>
                <w:lang w:val="lv-LV"/>
              </w:rPr>
              <w:t xml:space="preserve"> var rasties nepieciešamība sludināt jaunu konkursu</w:t>
            </w:r>
            <w:r w:rsidR="009B7266" w:rsidRPr="00E56319">
              <w:rPr>
                <w:rFonts w:ascii="Times New Roman" w:hAnsi="Times New Roman"/>
                <w:b/>
                <w:lang w:val="lv-LV"/>
              </w:rPr>
              <w:t xml:space="preserve"> </w:t>
            </w:r>
            <w:r w:rsidR="009B7266" w:rsidRPr="00E56319">
              <w:rPr>
                <w:rFonts w:ascii="Times New Roman" w:hAnsi="Times New Roman"/>
                <w:lang w:val="lv-LV"/>
              </w:rPr>
              <w:t xml:space="preserve">atkarībā no lēmuma par izmaksu segšanu tām augstskolām, kuru SP tiek atkārtoti vērtētas; </w:t>
            </w:r>
            <w:r w:rsidRPr="00E56319">
              <w:rPr>
                <w:rFonts w:ascii="Times New Roman" w:hAnsi="Times New Roman"/>
                <w:lang w:val="lv-LV"/>
              </w:rPr>
              <w:t>ņemot vērā, ka pastāv finanšu ierobežojums</w:t>
            </w:r>
            <w:r w:rsidR="005116DC" w:rsidRPr="00E56319">
              <w:rPr>
                <w:rFonts w:ascii="Times New Roman" w:hAnsi="Times New Roman"/>
                <w:lang w:val="lv-LV"/>
              </w:rPr>
              <w:t xml:space="preserve"> </w:t>
            </w:r>
            <w:r w:rsidR="00142164" w:rsidRPr="00E56319">
              <w:rPr>
                <w:rFonts w:ascii="Times New Roman" w:hAnsi="Times New Roman"/>
                <w:lang w:val="lv-LV"/>
              </w:rPr>
              <w:t>15</w:t>
            </w:r>
            <w:r w:rsidR="00905C74">
              <w:rPr>
                <w:rFonts w:ascii="Times New Roman" w:hAnsi="Times New Roman"/>
                <w:lang w:val="lv-LV"/>
              </w:rPr>
              <w:t>1</w:t>
            </w:r>
            <w:r w:rsidR="005116DC" w:rsidRPr="00E56319">
              <w:rPr>
                <w:rFonts w:ascii="Times New Roman" w:hAnsi="Times New Roman"/>
                <w:lang w:val="lv-LV"/>
              </w:rPr>
              <w:t> 000 latu apmērā.</w:t>
            </w:r>
          </w:p>
        </w:tc>
      </w:tr>
      <w:tr w:rsidR="00496975" w:rsidRPr="00083298" w:rsidTr="00083298">
        <w:tc>
          <w:tcPr>
            <w:tcW w:w="2835" w:type="dxa"/>
          </w:tcPr>
          <w:p w:rsidR="00496975" w:rsidRPr="00E56319" w:rsidRDefault="00496975" w:rsidP="00083298">
            <w:pPr>
              <w:rPr>
                <w:rFonts w:ascii="Times New Roman" w:hAnsi="Times New Roman"/>
                <w:lang w:val="lv-LV"/>
              </w:rPr>
            </w:pPr>
          </w:p>
          <w:p w:rsidR="00496975" w:rsidRPr="00E56319" w:rsidRDefault="00496975" w:rsidP="00083298">
            <w:pPr>
              <w:rPr>
                <w:rFonts w:ascii="Times New Roman" w:hAnsi="Times New Roman"/>
                <w:lang w:val="lv-LV"/>
              </w:rPr>
            </w:pPr>
            <w:r w:rsidRPr="00E56319">
              <w:rPr>
                <w:rFonts w:ascii="Times New Roman" w:hAnsi="Times New Roman"/>
                <w:lang w:val="lv-LV"/>
              </w:rPr>
              <w:t>Normatīvo aktu grozījumi</w:t>
            </w:r>
          </w:p>
        </w:tc>
        <w:tc>
          <w:tcPr>
            <w:tcW w:w="3510" w:type="dxa"/>
          </w:tcPr>
          <w:p w:rsidR="00496975" w:rsidRPr="00E56319" w:rsidRDefault="00496975" w:rsidP="00342749">
            <w:pPr>
              <w:jc w:val="both"/>
              <w:rPr>
                <w:rFonts w:ascii="Times New Roman" w:hAnsi="Times New Roman"/>
                <w:lang w:val="lv-LV"/>
              </w:rPr>
            </w:pPr>
          </w:p>
          <w:p w:rsidR="00496975" w:rsidRPr="00E56319" w:rsidRDefault="004E33A6" w:rsidP="00342749">
            <w:pPr>
              <w:jc w:val="both"/>
              <w:rPr>
                <w:rFonts w:ascii="Times New Roman" w:hAnsi="Times New Roman"/>
                <w:lang w:val="lv-LV"/>
              </w:rPr>
            </w:pPr>
            <w:r>
              <w:rPr>
                <w:rFonts w:ascii="Times New Roman" w:hAnsi="Times New Roman"/>
                <w:lang w:val="lv-LV"/>
              </w:rPr>
              <w:t>Nav nepieciešami</w:t>
            </w:r>
          </w:p>
        </w:tc>
        <w:tc>
          <w:tcPr>
            <w:tcW w:w="3828" w:type="dxa"/>
          </w:tcPr>
          <w:p w:rsidR="004F3133" w:rsidRDefault="004F3133" w:rsidP="00342749">
            <w:pPr>
              <w:jc w:val="both"/>
              <w:rPr>
                <w:rFonts w:ascii="Times New Roman" w:hAnsi="Times New Roman"/>
                <w:lang w:val="lv-LV"/>
              </w:rPr>
            </w:pPr>
            <w:r>
              <w:rPr>
                <w:rFonts w:ascii="Times New Roman" w:hAnsi="Times New Roman"/>
                <w:lang w:val="lv-LV"/>
              </w:rPr>
              <w:t>Grozījumi:</w:t>
            </w:r>
          </w:p>
          <w:p w:rsidR="00496975" w:rsidRPr="00E56319" w:rsidRDefault="004F3133" w:rsidP="004E33A6">
            <w:pPr>
              <w:jc w:val="both"/>
              <w:rPr>
                <w:rFonts w:ascii="Times New Roman" w:hAnsi="Times New Roman"/>
                <w:lang w:val="lv-LV"/>
              </w:rPr>
            </w:pPr>
            <w:r>
              <w:rPr>
                <w:rFonts w:ascii="Times New Roman" w:hAnsi="Times New Roman"/>
                <w:lang w:val="lv-LV"/>
              </w:rPr>
              <w:t xml:space="preserve">- </w:t>
            </w:r>
            <w:r w:rsidR="004E33A6">
              <w:rPr>
                <w:rFonts w:ascii="Times New Roman" w:hAnsi="Times New Roman"/>
                <w:lang w:val="lv-LV"/>
              </w:rPr>
              <w:t xml:space="preserve">Iespējams, būs nepieciešams veikt grozījumus </w:t>
            </w:r>
            <w:r w:rsidR="00083298" w:rsidRPr="004F3133">
              <w:rPr>
                <w:rFonts w:ascii="Times New Roman" w:hAnsi="Times New Roman"/>
                <w:lang w:val="lv-LV"/>
              </w:rPr>
              <w:t>Augstskolu likuma pārejas noteikumu 32.punktā par termiņa pagarināšanu</w:t>
            </w:r>
            <w:r w:rsidR="004E33A6">
              <w:rPr>
                <w:rFonts w:ascii="Times New Roman" w:hAnsi="Times New Roman"/>
                <w:lang w:val="lv-LV"/>
              </w:rPr>
              <w:t xml:space="preserve">. </w:t>
            </w:r>
          </w:p>
        </w:tc>
        <w:tc>
          <w:tcPr>
            <w:tcW w:w="3827" w:type="dxa"/>
          </w:tcPr>
          <w:p w:rsidR="004F3133" w:rsidRDefault="00083298" w:rsidP="00342749">
            <w:pPr>
              <w:jc w:val="both"/>
              <w:rPr>
                <w:rFonts w:ascii="Times New Roman" w:hAnsi="Times New Roman"/>
                <w:lang w:val="lv-LV"/>
              </w:rPr>
            </w:pPr>
            <w:r w:rsidRPr="00CC6CFE">
              <w:rPr>
                <w:rFonts w:ascii="Times New Roman" w:hAnsi="Times New Roman"/>
                <w:lang w:val="lv-LV"/>
              </w:rPr>
              <w:t>Grozījumi</w:t>
            </w:r>
            <w:r w:rsidR="004F3133">
              <w:rPr>
                <w:rFonts w:ascii="Times New Roman" w:hAnsi="Times New Roman"/>
                <w:lang w:val="lv-LV"/>
              </w:rPr>
              <w:t>:</w:t>
            </w:r>
          </w:p>
          <w:p w:rsidR="00083298" w:rsidRPr="00CC6CFE" w:rsidRDefault="004F3133" w:rsidP="00342749">
            <w:pPr>
              <w:jc w:val="both"/>
              <w:rPr>
                <w:rFonts w:ascii="Times New Roman" w:hAnsi="Times New Roman"/>
                <w:lang w:val="lv-LV"/>
              </w:rPr>
            </w:pPr>
            <w:r>
              <w:rPr>
                <w:rFonts w:ascii="Times New Roman" w:hAnsi="Times New Roman"/>
                <w:lang w:val="lv-LV"/>
              </w:rPr>
              <w:t>-</w:t>
            </w:r>
            <w:r w:rsidR="00083298" w:rsidRPr="00CC6CFE">
              <w:rPr>
                <w:rFonts w:ascii="Times New Roman" w:hAnsi="Times New Roman"/>
                <w:lang w:val="lv-LV"/>
              </w:rPr>
              <w:t xml:space="preserve"> </w:t>
            </w:r>
            <w:r w:rsidR="00083298">
              <w:rPr>
                <w:rFonts w:ascii="Times New Roman" w:hAnsi="Times New Roman"/>
                <w:lang w:val="lv-LV"/>
              </w:rPr>
              <w:t>Augstskolu</w:t>
            </w:r>
            <w:r w:rsidR="00083298" w:rsidRPr="00CC6CFE">
              <w:rPr>
                <w:rFonts w:ascii="Times New Roman" w:hAnsi="Times New Roman"/>
                <w:lang w:val="lv-LV"/>
              </w:rPr>
              <w:t xml:space="preserve"> likuma pārejas noteikumu 32.punktā par termiņa pagarināšanu;</w:t>
            </w:r>
          </w:p>
          <w:p w:rsidR="00496975" w:rsidRPr="00E56319" w:rsidRDefault="00083298" w:rsidP="00342749">
            <w:pPr>
              <w:jc w:val="both"/>
              <w:rPr>
                <w:rFonts w:ascii="Times New Roman" w:hAnsi="Times New Roman"/>
                <w:lang w:val="lv-LV"/>
              </w:rPr>
            </w:pPr>
            <w:r>
              <w:rPr>
                <w:rFonts w:ascii="Times New Roman" w:hAnsi="Times New Roman"/>
                <w:lang w:val="lv-LV"/>
              </w:rPr>
              <w:t xml:space="preserve">- </w:t>
            </w:r>
            <w:r w:rsidRPr="00CC6CFE">
              <w:rPr>
                <w:rFonts w:ascii="Times New Roman" w:hAnsi="Times New Roman"/>
                <w:lang w:val="lv-LV"/>
              </w:rPr>
              <w:t>Ministru kabineta</w:t>
            </w:r>
            <w:r w:rsidRPr="00CC6CFE">
              <w:rPr>
                <w:rFonts w:ascii="Times New Roman" w:hAnsi="Times New Roman"/>
                <w:b/>
                <w:bCs/>
                <w:lang w:val="lv-LV"/>
              </w:rPr>
              <w:t xml:space="preserve"> </w:t>
            </w:r>
            <w:r w:rsidRPr="00CC6CFE">
              <w:rPr>
                <w:rFonts w:ascii="Times New Roman" w:hAnsi="Times New Roman"/>
                <w:lang w:val="lv-LV"/>
              </w:rPr>
              <w:t>2012.gada 25.septembra noteikum</w:t>
            </w:r>
            <w:r>
              <w:rPr>
                <w:rFonts w:ascii="Times New Roman" w:hAnsi="Times New Roman"/>
                <w:lang w:val="lv-LV"/>
              </w:rPr>
              <w:t>u</w:t>
            </w:r>
            <w:r w:rsidRPr="00CC6CFE">
              <w:rPr>
                <w:rFonts w:ascii="Times New Roman" w:hAnsi="Times New Roman"/>
                <w:lang w:val="lv-LV"/>
              </w:rPr>
              <w:t xml:space="preserve"> Nr.668 „Augstskolu, koledžu un studiju virzienu akreditācijas noteikumi”</w:t>
            </w:r>
            <w:r>
              <w:rPr>
                <w:rFonts w:ascii="Times New Roman" w:hAnsi="Times New Roman"/>
                <w:lang w:val="lv-LV"/>
              </w:rPr>
              <w:t xml:space="preserve"> </w:t>
            </w:r>
            <w:r w:rsidRPr="00CC6CFE">
              <w:rPr>
                <w:rFonts w:ascii="Times New Roman" w:hAnsi="Times New Roman"/>
                <w:lang w:val="lv-LV"/>
              </w:rPr>
              <w:t>80.-83.punkt</w:t>
            </w:r>
            <w:r>
              <w:rPr>
                <w:rFonts w:ascii="Times New Roman" w:hAnsi="Times New Roman"/>
                <w:lang w:val="lv-LV"/>
              </w:rPr>
              <w:t>ā.</w:t>
            </w:r>
          </w:p>
        </w:tc>
      </w:tr>
    </w:tbl>
    <w:p w:rsidR="00496975" w:rsidRDefault="00496975" w:rsidP="004D572F">
      <w:pPr>
        <w:rPr>
          <w:rFonts w:ascii="Times New Roman" w:hAnsi="Times New Roman"/>
          <w:lang w:val="lv-LV"/>
        </w:rPr>
      </w:pPr>
    </w:p>
    <w:p w:rsidR="009129D4" w:rsidRDefault="009129D4" w:rsidP="004D572F">
      <w:pPr>
        <w:rPr>
          <w:rFonts w:ascii="Times New Roman" w:hAnsi="Times New Roman"/>
          <w:lang w:val="lv-LV"/>
        </w:rPr>
      </w:pPr>
    </w:p>
    <w:p w:rsidR="009129D4" w:rsidRDefault="009129D4" w:rsidP="004D572F">
      <w:pPr>
        <w:rPr>
          <w:rFonts w:ascii="Times New Roman" w:hAnsi="Times New Roman"/>
          <w:lang w:val="lv-LV"/>
        </w:rPr>
      </w:pPr>
    </w:p>
    <w:p w:rsidR="009129D4" w:rsidRDefault="009129D4" w:rsidP="004D572F">
      <w:pPr>
        <w:rPr>
          <w:rFonts w:ascii="Times New Roman" w:hAnsi="Times New Roman"/>
          <w:lang w:val="lv-LV"/>
        </w:rPr>
      </w:pPr>
    </w:p>
    <w:p w:rsidR="009129D4" w:rsidRDefault="009129D4" w:rsidP="004D572F">
      <w:pPr>
        <w:rPr>
          <w:rFonts w:ascii="Times New Roman" w:hAnsi="Times New Roman"/>
          <w:lang w:val="lv-LV"/>
        </w:rPr>
      </w:pPr>
    </w:p>
    <w:p w:rsidR="009129D4" w:rsidRDefault="009129D4" w:rsidP="004D572F">
      <w:pPr>
        <w:rPr>
          <w:rFonts w:ascii="Times New Roman" w:hAnsi="Times New Roman"/>
          <w:lang w:val="lv-LV"/>
        </w:rPr>
      </w:pPr>
    </w:p>
    <w:p w:rsidR="009129D4" w:rsidRPr="004D2025" w:rsidRDefault="009129D4" w:rsidP="004D572F">
      <w:pPr>
        <w:rPr>
          <w:rFonts w:ascii="Times New Roman" w:hAnsi="Times New Roman"/>
          <w:lang w:val="lv-LV"/>
        </w:rPr>
      </w:pPr>
    </w:p>
    <w:sectPr w:rsidR="009129D4" w:rsidRPr="004D2025" w:rsidSect="00E56319">
      <w:headerReference w:type="default" r:id="rId8"/>
      <w:footerReference w:type="default" r:id="rId9"/>
      <w:footerReference w:type="first" r:id="rId10"/>
      <w:pgSz w:w="16840" w:h="11900" w:orient="landscape"/>
      <w:pgMar w:top="1800"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002" w:rsidRDefault="008B5002" w:rsidP="005A365C">
      <w:r>
        <w:separator/>
      </w:r>
    </w:p>
  </w:endnote>
  <w:endnote w:type="continuationSeparator" w:id="0">
    <w:p w:rsidR="008B5002" w:rsidRDefault="008B5002" w:rsidP="005A3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66" w:rsidRPr="009129D4" w:rsidRDefault="00073566" w:rsidP="00342749">
    <w:pPr>
      <w:pStyle w:val="Footer"/>
      <w:jc w:val="both"/>
      <w:rPr>
        <w:rFonts w:ascii="Times New Roman" w:hAnsi="Times New Roman"/>
        <w:sz w:val="20"/>
        <w:szCs w:val="20"/>
        <w:lang w:val="lv-LV"/>
      </w:rPr>
    </w:pPr>
    <w:r>
      <w:tab/>
    </w:r>
    <w:r w:rsidR="00F442C1">
      <w:rPr>
        <w:rFonts w:ascii="Times New Roman" w:hAnsi="Times New Roman"/>
        <w:sz w:val="20"/>
        <w:szCs w:val="20"/>
        <w:lang w:val="lv-LV"/>
      </w:rPr>
      <w:fldChar w:fldCharType="begin"/>
    </w:r>
    <w:r w:rsidR="00F442C1">
      <w:rPr>
        <w:rFonts w:ascii="Times New Roman" w:hAnsi="Times New Roman"/>
        <w:sz w:val="20"/>
        <w:szCs w:val="20"/>
        <w:lang w:val="lv-LV"/>
      </w:rPr>
      <w:instrText xml:space="preserve"> FILENAME   \* MERGEFORMAT </w:instrText>
    </w:r>
    <w:r w:rsidR="00F442C1">
      <w:rPr>
        <w:rFonts w:ascii="Times New Roman" w:hAnsi="Times New Roman"/>
        <w:sz w:val="20"/>
        <w:szCs w:val="20"/>
        <w:lang w:val="lv-LV"/>
      </w:rPr>
      <w:fldChar w:fldCharType="separate"/>
    </w:r>
    <w:r w:rsidR="00F442C1">
      <w:rPr>
        <w:rFonts w:ascii="Times New Roman" w:hAnsi="Times New Roman"/>
        <w:noProof/>
        <w:sz w:val="20"/>
        <w:szCs w:val="20"/>
        <w:lang w:val="lv-LV"/>
      </w:rPr>
      <w:t>IZMZinop01_110313_AIP_akredit</w:t>
    </w:r>
    <w:r w:rsidR="00F442C1">
      <w:rPr>
        <w:rFonts w:ascii="Times New Roman" w:hAnsi="Times New Roman"/>
        <w:sz w:val="20"/>
        <w:szCs w:val="20"/>
        <w:lang w:val="lv-LV"/>
      </w:rPr>
      <w:fldChar w:fldCharType="end"/>
    </w:r>
    <w:r w:rsidR="009129D4" w:rsidRPr="00342749">
      <w:rPr>
        <w:rFonts w:ascii="Times New Roman" w:hAnsi="Times New Roman"/>
        <w:sz w:val="20"/>
        <w:szCs w:val="20"/>
        <w:lang w:val="lv-LV"/>
      </w:rPr>
      <w:t xml:space="preserve">; </w:t>
    </w:r>
    <w:r w:rsidR="00F442C1">
      <w:rPr>
        <w:rFonts w:ascii="Times New Roman" w:hAnsi="Times New Roman"/>
        <w:sz w:val="20"/>
        <w:szCs w:val="20"/>
        <w:lang w:val="lv-LV"/>
      </w:rPr>
      <w:t>1</w:t>
    </w:r>
    <w:r w:rsidR="009129D4">
      <w:rPr>
        <w:rFonts w:ascii="Times New Roman" w:hAnsi="Times New Roman"/>
        <w:sz w:val="20"/>
        <w:szCs w:val="20"/>
        <w:lang w:val="lv-LV"/>
      </w:rPr>
      <w:t>.pielikums i</w:t>
    </w:r>
    <w:r w:rsidR="009129D4" w:rsidRPr="00342749">
      <w:rPr>
        <w:rFonts w:ascii="Times New Roman" w:hAnsi="Times New Roman"/>
        <w:sz w:val="20"/>
        <w:szCs w:val="20"/>
        <w:lang w:val="lv-LV"/>
      </w:rPr>
      <w:t>nformatīva</w:t>
    </w:r>
    <w:r w:rsidR="009129D4">
      <w:rPr>
        <w:rFonts w:ascii="Times New Roman" w:hAnsi="Times New Roman"/>
        <w:sz w:val="20"/>
        <w:szCs w:val="20"/>
        <w:lang w:val="lv-LV"/>
      </w:rPr>
      <w:t xml:space="preserve">jam </w:t>
    </w:r>
    <w:r w:rsidR="009129D4" w:rsidRPr="00342749">
      <w:rPr>
        <w:rFonts w:ascii="Times New Roman" w:hAnsi="Times New Roman"/>
        <w:sz w:val="20"/>
        <w:szCs w:val="20"/>
        <w:lang w:val="lv-LV"/>
      </w:rPr>
      <w:t>ziņojum</w:t>
    </w:r>
    <w:r w:rsidR="009129D4">
      <w:rPr>
        <w:rFonts w:ascii="Times New Roman" w:hAnsi="Times New Roman"/>
        <w:sz w:val="20"/>
        <w:szCs w:val="20"/>
        <w:lang w:val="lv-LV"/>
      </w:rPr>
      <w:t>am</w:t>
    </w:r>
    <w:r w:rsidR="009129D4" w:rsidRPr="00342749">
      <w:rPr>
        <w:rFonts w:ascii="Times New Roman" w:hAnsi="Times New Roman"/>
        <w:sz w:val="20"/>
        <w:szCs w:val="20"/>
        <w:lang w:val="lv-LV"/>
      </w:rPr>
      <w:t xml:space="preserve">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w:t>
    </w:r>
    <w:r w:rsidR="009129D4">
      <w:rPr>
        <w:rFonts w:ascii="Times New Roman" w:hAnsi="Times New Roman"/>
        <w:sz w:val="20"/>
        <w:szCs w:val="20"/>
        <w:lang w:val="lv-LV"/>
      </w:rPr>
      <w:t>paaugstināšanai</w:t>
    </w:r>
    <w:r w:rsidR="00A1599A">
      <w:rPr>
        <w:rFonts w:ascii="Times New Roman" w:hAnsi="Times New Roman"/>
        <w:sz w:val="20"/>
        <w:szCs w:val="20"/>
        <w:lang w:val="lv-LV"/>
      </w:rPr>
      <w:t>: rezultātus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66" w:rsidRPr="00342749" w:rsidRDefault="00F442C1" w:rsidP="00073566">
    <w:pPr>
      <w:pStyle w:val="Footer"/>
      <w:jc w:val="both"/>
      <w:rPr>
        <w:rFonts w:ascii="Times New Roman" w:hAnsi="Times New Roman"/>
        <w:sz w:val="20"/>
        <w:szCs w:val="20"/>
        <w:lang w:val="lv-LV"/>
      </w:rPr>
    </w:pPr>
    <w:r>
      <w:rPr>
        <w:rFonts w:ascii="Times New Roman" w:hAnsi="Times New Roman"/>
        <w:sz w:val="20"/>
        <w:szCs w:val="20"/>
        <w:lang w:val="lv-LV"/>
      </w:rPr>
      <w:fldChar w:fldCharType="begin"/>
    </w:r>
    <w:r>
      <w:rPr>
        <w:rFonts w:ascii="Times New Roman" w:hAnsi="Times New Roman"/>
        <w:sz w:val="20"/>
        <w:szCs w:val="20"/>
        <w:lang w:val="lv-LV"/>
      </w:rPr>
      <w:instrText xml:space="preserve"> FILENAME   \* MERGEFORMAT </w:instrText>
    </w:r>
    <w:r>
      <w:rPr>
        <w:rFonts w:ascii="Times New Roman" w:hAnsi="Times New Roman"/>
        <w:sz w:val="20"/>
        <w:szCs w:val="20"/>
        <w:lang w:val="lv-LV"/>
      </w:rPr>
      <w:fldChar w:fldCharType="separate"/>
    </w:r>
    <w:r>
      <w:rPr>
        <w:rFonts w:ascii="Times New Roman" w:hAnsi="Times New Roman"/>
        <w:noProof/>
        <w:sz w:val="20"/>
        <w:szCs w:val="20"/>
        <w:lang w:val="lv-LV"/>
      </w:rPr>
      <w:t>IZMZinop01_110313_AIP_akredit</w:t>
    </w:r>
    <w:r>
      <w:rPr>
        <w:rFonts w:ascii="Times New Roman" w:hAnsi="Times New Roman"/>
        <w:sz w:val="20"/>
        <w:szCs w:val="20"/>
        <w:lang w:val="lv-LV"/>
      </w:rPr>
      <w:fldChar w:fldCharType="end"/>
    </w:r>
    <w:r w:rsidR="00083298" w:rsidRPr="00342749">
      <w:rPr>
        <w:rFonts w:ascii="Times New Roman" w:hAnsi="Times New Roman"/>
        <w:sz w:val="20"/>
        <w:szCs w:val="20"/>
        <w:lang w:val="lv-LV"/>
      </w:rPr>
      <w:t xml:space="preserve">; </w:t>
    </w:r>
    <w:r>
      <w:rPr>
        <w:rFonts w:ascii="Times New Roman" w:hAnsi="Times New Roman"/>
        <w:sz w:val="20"/>
        <w:szCs w:val="20"/>
        <w:lang w:val="lv-LV"/>
      </w:rPr>
      <w:t>1</w:t>
    </w:r>
    <w:r w:rsidR="004B3BDB">
      <w:rPr>
        <w:rFonts w:ascii="Times New Roman" w:hAnsi="Times New Roman"/>
        <w:sz w:val="20"/>
        <w:szCs w:val="20"/>
        <w:lang w:val="lv-LV"/>
      </w:rPr>
      <w:t>.pielikums i</w:t>
    </w:r>
    <w:r w:rsidR="00083298" w:rsidRPr="00342749">
      <w:rPr>
        <w:rFonts w:ascii="Times New Roman" w:hAnsi="Times New Roman"/>
        <w:sz w:val="20"/>
        <w:szCs w:val="20"/>
        <w:lang w:val="lv-LV"/>
      </w:rPr>
      <w:t>nformatīva</w:t>
    </w:r>
    <w:r w:rsidR="004B3BDB">
      <w:rPr>
        <w:rFonts w:ascii="Times New Roman" w:hAnsi="Times New Roman"/>
        <w:sz w:val="20"/>
        <w:szCs w:val="20"/>
        <w:lang w:val="lv-LV"/>
      </w:rPr>
      <w:t xml:space="preserve">jam </w:t>
    </w:r>
    <w:r w:rsidR="00083298" w:rsidRPr="00342749">
      <w:rPr>
        <w:rFonts w:ascii="Times New Roman" w:hAnsi="Times New Roman"/>
        <w:sz w:val="20"/>
        <w:szCs w:val="20"/>
        <w:lang w:val="lv-LV"/>
      </w:rPr>
      <w:t>ziņojum</w:t>
    </w:r>
    <w:r w:rsidR="004B3BDB">
      <w:rPr>
        <w:rFonts w:ascii="Times New Roman" w:hAnsi="Times New Roman"/>
        <w:sz w:val="20"/>
        <w:szCs w:val="20"/>
        <w:lang w:val="lv-LV"/>
      </w:rPr>
      <w:t>am</w:t>
    </w:r>
    <w:r w:rsidR="00083298" w:rsidRPr="00342749">
      <w:rPr>
        <w:rFonts w:ascii="Times New Roman" w:hAnsi="Times New Roman"/>
        <w:sz w:val="20"/>
        <w:szCs w:val="20"/>
        <w:lang w:val="lv-LV"/>
      </w:rPr>
      <w:t xml:space="preserve"> „</w:t>
    </w:r>
    <w:r w:rsidR="00342749" w:rsidRPr="00342749">
      <w:rPr>
        <w:rFonts w:ascii="Times New Roman" w:hAnsi="Times New Roman"/>
        <w:sz w:val="20"/>
        <w:szCs w:val="20"/>
        <w:lang w:val="lv-LV"/>
      </w:rPr>
      <w:t xml:space="preserve">Par Izglītības un zinātnes ministrijas turpmāko rīcību augstākās izglītības studiju virzienu akreditācijas nodrošināšanai un iespējām izmantot Eiropas Sociālā fonda projekta "Augstākās izglītības studiju programmu izvērtēšana un priekšlikumi kvalitātes </w:t>
    </w:r>
    <w:r w:rsidR="00A1599A">
      <w:rPr>
        <w:rFonts w:ascii="Times New Roman" w:hAnsi="Times New Roman"/>
        <w:sz w:val="20"/>
        <w:szCs w:val="20"/>
        <w:lang w:val="lv-LV"/>
      </w:rPr>
      <w:t>paaugstināšanai” rezultātus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002" w:rsidRDefault="008B5002" w:rsidP="005A365C">
      <w:r>
        <w:separator/>
      </w:r>
    </w:p>
  </w:footnote>
  <w:footnote w:type="continuationSeparator" w:id="0">
    <w:p w:rsidR="008B5002" w:rsidRDefault="008B5002" w:rsidP="005A3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19" w:rsidRPr="00E56319" w:rsidRDefault="00F6075F">
    <w:pPr>
      <w:pStyle w:val="Header"/>
      <w:jc w:val="center"/>
      <w:rPr>
        <w:rFonts w:ascii="Times New Roman" w:hAnsi="Times New Roman"/>
      </w:rPr>
    </w:pPr>
    <w:r w:rsidRPr="00E56319">
      <w:rPr>
        <w:rFonts w:ascii="Times New Roman" w:hAnsi="Times New Roman"/>
      </w:rPr>
      <w:fldChar w:fldCharType="begin"/>
    </w:r>
    <w:r w:rsidR="00E56319" w:rsidRPr="00E56319">
      <w:rPr>
        <w:rFonts w:ascii="Times New Roman" w:hAnsi="Times New Roman"/>
      </w:rPr>
      <w:instrText xml:space="preserve"> PAGE   \* MERGEFORMAT </w:instrText>
    </w:r>
    <w:r w:rsidRPr="00E56319">
      <w:rPr>
        <w:rFonts w:ascii="Times New Roman" w:hAnsi="Times New Roman"/>
      </w:rPr>
      <w:fldChar w:fldCharType="separate"/>
    </w:r>
    <w:r w:rsidR="00F442C1">
      <w:rPr>
        <w:rFonts w:ascii="Times New Roman" w:hAnsi="Times New Roman"/>
        <w:noProof/>
      </w:rPr>
      <w:t>5</w:t>
    </w:r>
    <w:r w:rsidRPr="00E56319">
      <w:rPr>
        <w:rFonts w:ascii="Times New Roman" w:hAnsi="Times New Roman"/>
      </w:rPr>
      <w:fldChar w:fldCharType="end"/>
    </w:r>
  </w:p>
  <w:p w:rsidR="00E56319" w:rsidRDefault="00E563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E85"/>
    <w:multiLevelType w:val="hybridMultilevel"/>
    <w:tmpl w:val="989E7D7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CB5455"/>
    <w:multiLevelType w:val="hybridMultilevel"/>
    <w:tmpl w:val="AA9236F2"/>
    <w:lvl w:ilvl="0" w:tplc="3DE04F40">
      <w:start w:val="1"/>
      <w:numFmt w:val="upperRoman"/>
      <w:lvlText w:val="%1."/>
      <w:lvlJc w:val="left"/>
      <w:pPr>
        <w:ind w:left="1080" w:hanging="720"/>
      </w:pPr>
      <w:rPr>
        <w:rFonts w:cs="Times New Roman" w:hint="default"/>
        <w:b/>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70B629D"/>
    <w:multiLevelType w:val="hybridMultilevel"/>
    <w:tmpl w:val="2FC2A93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8792FE0"/>
    <w:multiLevelType w:val="hybridMultilevel"/>
    <w:tmpl w:val="71F094F6"/>
    <w:lvl w:ilvl="0" w:tplc="56DA8338">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0DED7C1A"/>
    <w:multiLevelType w:val="hybridMultilevel"/>
    <w:tmpl w:val="BA9C987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3891F28"/>
    <w:multiLevelType w:val="hybridMultilevel"/>
    <w:tmpl w:val="14B6DE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99179D8"/>
    <w:multiLevelType w:val="hybridMultilevel"/>
    <w:tmpl w:val="BD062FF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1B5560B"/>
    <w:multiLevelType w:val="hybridMultilevel"/>
    <w:tmpl w:val="7EC244D6"/>
    <w:lvl w:ilvl="0" w:tplc="7EE22972">
      <w:start w:val="2013"/>
      <w:numFmt w:val="bullet"/>
      <w:lvlText w:val="–"/>
      <w:lvlJc w:val="left"/>
      <w:pPr>
        <w:ind w:left="420" w:hanging="360"/>
      </w:pPr>
      <w:rPr>
        <w:rFonts w:ascii="Cambria" w:eastAsia="MS ??" w:hAnsi="Cambri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1CA0051"/>
    <w:multiLevelType w:val="hybridMultilevel"/>
    <w:tmpl w:val="022E1F8E"/>
    <w:lvl w:ilvl="0" w:tplc="A978F072">
      <w:start w:val="2"/>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D6CB0"/>
    <w:multiLevelType w:val="hybridMultilevel"/>
    <w:tmpl w:val="38462840"/>
    <w:lvl w:ilvl="0" w:tplc="222A1C20">
      <w:start w:val="2"/>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5188A"/>
    <w:multiLevelType w:val="hybridMultilevel"/>
    <w:tmpl w:val="9FE000B6"/>
    <w:lvl w:ilvl="0" w:tplc="8690BF84">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32146201"/>
    <w:multiLevelType w:val="hybridMultilevel"/>
    <w:tmpl w:val="2CE23578"/>
    <w:lvl w:ilvl="0" w:tplc="9A46FA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D97782E"/>
    <w:multiLevelType w:val="hybridMultilevel"/>
    <w:tmpl w:val="8C24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525E2"/>
    <w:multiLevelType w:val="hybridMultilevel"/>
    <w:tmpl w:val="1DF6A608"/>
    <w:lvl w:ilvl="0" w:tplc="A4828DD2">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3F222BB0"/>
    <w:multiLevelType w:val="hybridMultilevel"/>
    <w:tmpl w:val="D03C4116"/>
    <w:lvl w:ilvl="0" w:tplc="4FA26D16">
      <w:start w:val="1"/>
      <w:numFmt w:val="lowerLetter"/>
      <w:lvlText w:val="%1)"/>
      <w:lvlJc w:val="left"/>
      <w:pPr>
        <w:ind w:left="1080" w:hanging="360"/>
      </w:pPr>
      <w:rPr>
        <w:rFonts w:cs="Times New Roman" w:hint="default"/>
        <w:i w:val="0"/>
        <w:u w:val="none"/>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5">
    <w:nsid w:val="4A543B65"/>
    <w:multiLevelType w:val="hybridMultilevel"/>
    <w:tmpl w:val="CC2E9A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F668F8"/>
    <w:multiLevelType w:val="hybridMultilevel"/>
    <w:tmpl w:val="25D01258"/>
    <w:lvl w:ilvl="0" w:tplc="7070FDEE">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4FBF1642"/>
    <w:multiLevelType w:val="hybridMultilevel"/>
    <w:tmpl w:val="4BEC28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50FE5A7F"/>
    <w:multiLevelType w:val="hybridMultilevel"/>
    <w:tmpl w:val="B8C038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5AB4E3E"/>
    <w:multiLevelType w:val="hybridMultilevel"/>
    <w:tmpl w:val="4AEA6672"/>
    <w:lvl w:ilvl="0" w:tplc="AA28574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nsid w:val="5F3F4F76"/>
    <w:multiLevelType w:val="hybridMultilevel"/>
    <w:tmpl w:val="911AFDE8"/>
    <w:lvl w:ilvl="0" w:tplc="C4404B3C">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nsid w:val="65151E69"/>
    <w:multiLevelType w:val="hybridMultilevel"/>
    <w:tmpl w:val="D9669BD2"/>
    <w:lvl w:ilvl="0" w:tplc="F9946EC4">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nsid w:val="66DE288F"/>
    <w:multiLevelType w:val="hybridMultilevel"/>
    <w:tmpl w:val="8A50ACFC"/>
    <w:lvl w:ilvl="0" w:tplc="7990F8AC">
      <w:start w:val="1"/>
      <w:numFmt w:val="lowerLetter"/>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3">
    <w:nsid w:val="696222AA"/>
    <w:multiLevelType w:val="hybridMultilevel"/>
    <w:tmpl w:val="395E1FDA"/>
    <w:lvl w:ilvl="0" w:tplc="DC8C9FF6">
      <w:start w:val="3"/>
      <w:numFmt w:val="bullet"/>
      <w:lvlText w:val="-"/>
      <w:lvlJc w:val="left"/>
      <w:pPr>
        <w:ind w:left="360" w:hanging="360"/>
      </w:pPr>
      <w:rPr>
        <w:rFonts w:ascii="Times New Roman" w:eastAsia="MS ??"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72433481"/>
    <w:multiLevelType w:val="hybridMultilevel"/>
    <w:tmpl w:val="67F21F2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7F2C0FC9"/>
    <w:multiLevelType w:val="hybridMultilevel"/>
    <w:tmpl w:val="592E9012"/>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7"/>
  </w:num>
  <w:num w:numId="2">
    <w:abstractNumId w:val="18"/>
  </w:num>
  <w:num w:numId="3">
    <w:abstractNumId w:val="10"/>
  </w:num>
  <w:num w:numId="4">
    <w:abstractNumId w:val="21"/>
  </w:num>
  <w:num w:numId="5">
    <w:abstractNumId w:val="6"/>
  </w:num>
  <w:num w:numId="6">
    <w:abstractNumId w:val="22"/>
  </w:num>
  <w:num w:numId="7">
    <w:abstractNumId w:val="20"/>
  </w:num>
  <w:num w:numId="8">
    <w:abstractNumId w:val="3"/>
  </w:num>
  <w:num w:numId="9">
    <w:abstractNumId w:val="19"/>
  </w:num>
  <w:num w:numId="10">
    <w:abstractNumId w:val="4"/>
  </w:num>
  <w:num w:numId="11">
    <w:abstractNumId w:val="25"/>
  </w:num>
  <w:num w:numId="12">
    <w:abstractNumId w:val="24"/>
  </w:num>
  <w:num w:numId="13">
    <w:abstractNumId w:val="1"/>
  </w:num>
  <w:num w:numId="14">
    <w:abstractNumId w:val="2"/>
  </w:num>
  <w:num w:numId="15">
    <w:abstractNumId w:val="17"/>
  </w:num>
  <w:num w:numId="16">
    <w:abstractNumId w:val="5"/>
  </w:num>
  <w:num w:numId="17">
    <w:abstractNumId w:val="14"/>
  </w:num>
  <w:num w:numId="18">
    <w:abstractNumId w:val="16"/>
  </w:num>
  <w:num w:numId="19">
    <w:abstractNumId w:val="12"/>
  </w:num>
  <w:num w:numId="20">
    <w:abstractNumId w:val="8"/>
  </w:num>
  <w:num w:numId="21">
    <w:abstractNumId w:val="9"/>
  </w:num>
  <w:num w:numId="22">
    <w:abstractNumId w:val="0"/>
  </w:num>
  <w:num w:numId="23">
    <w:abstractNumId w:val="15"/>
  </w:num>
  <w:num w:numId="24">
    <w:abstractNumId w:val="11"/>
  </w:num>
  <w:num w:numId="25">
    <w:abstractNumId w:val="23"/>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F1086"/>
    <w:rsid w:val="00031FC1"/>
    <w:rsid w:val="00040247"/>
    <w:rsid w:val="00052A6F"/>
    <w:rsid w:val="000563B4"/>
    <w:rsid w:val="00073566"/>
    <w:rsid w:val="00083298"/>
    <w:rsid w:val="000862D3"/>
    <w:rsid w:val="000A0CEB"/>
    <w:rsid w:val="000B4C4D"/>
    <w:rsid w:val="000F6396"/>
    <w:rsid w:val="001002BF"/>
    <w:rsid w:val="00142164"/>
    <w:rsid w:val="001678F5"/>
    <w:rsid w:val="001862AB"/>
    <w:rsid w:val="001B6E44"/>
    <w:rsid w:val="001D38B5"/>
    <w:rsid w:val="001D6A38"/>
    <w:rsid w:val="001D70BE"/>
    <w:rsid w:val="001F21EC"/>
    <w:rsid w:val="00221D77"/>
    <w:rsid w:val="00235C16"/>
    <w:rsid w:val="002524CF"/>
    <w:rsid w:val="002D1599"/>
    <w:rsid w:val="002D7A44"/>
    <w:rsid w:val="002E1433"/>
    <w:rsid w:val="002E5334"/>
    <w:rsid w:val="002F0498"/>
    <w:rsid w:val="00301306"/>
    <w:rsid w:val="00306068"/>
    <w:rsid w:val="00337D2A"/>
    <w:rsid w:val="00342738"/>
    <w:rsid w:val="00342749"/>
    <w:rsid w:val="00345C0C"/>
    <w:rsid w:val="00351FC1"/>
    <w:rsid w:val="00356F65"/>
    <w:rsid w:val="003658A1"/>
    <w:rsid w:val="0038516D"/>
    <w:rsid w:val="003972C0"/>
    <w:rsid w:val="003A06BB"/>
    <w:rsid w:val="003A1F89"/>
    <w:rsid w:val="003A3EF5"/>
    <w:rsid w:val="003A5788"/>
    <w:rsid w:val="003C2E53"/>
    <w:rsid w:val="003F6C1D"/>
    <w:rsid w:val="00406231"/>
    <w:rsid w:val="0041136B"/>
    <w:rsid w:val="00425F77"/>
    <w:rsid w:val="00430E3A"/>
    <w:rsid w:val="0044625A"/>
    <w:rsid w:val="00496975"/>
    <w:rsid w:val="004B3BDB"/>
    <w:rsid w:val="004C5E10"/>
    <w:rsid w:val="004D16B2"/>
    <w:rsid w:val="004D2025"/>
    <w:rsid w:val="004D572F"/>
    <w:rsid w:val="004D6073"/>
    <w:rsid w:val="004D76EB"/>
    <w:rsid w:val="004E33A6"/>
    <w:rsid w:val="004F1A07"/>
    <w:rsid w:val="004F3133"/>
    <w:rsid w:val="005116DC"/>
    <w:rsid w:val="00514FAA"/>
    <w:rsid w:val="00535392"/>
    <w:rsid w:val="005462F5"/>
    <w:rsid w:val="005559CB"/>
    <w:rsid w:val="00572392"/>
    <w:rsid w:val="005871AB"/>
    <w:rsid w:val="005A1998"/>
    <w:rsid w:val="005A365C"/>
    <w:rsid w:val="005B2ED8"/>
    <w:rsid w:val="005B3E3C"/>
    <w:rsid w:val="005B5559"/>
    <w:rsid w:val="005E4B1A"/>
    <w:rsid w:val="006124E5"/>
    <w:rsid w:val="00620676"/>
    <w:rsid w:val="00650CE4"/>
    <w:rsid w:val="006731CE"/>
    <w:rsid w:val="006813EF"/>
    <w:rsid w:val="006B33CE"/>
    <w:rsid w:val="006B612C"/>
    <w:rsid w:val="00781F00"/>
    <w:rsid w:val="00791D38"/>
    <w:rsid w:val="007935CD"/>
    <w:rsid w:val="007A5ECB"/>
    <w:rsid w:val="007C09CE"/>
    <w:rsid w:val="00815028"/>
    <w:rsid w:val="00831AAB"/>
    <w:rsid w:val="008649FC"/>
    <w:rsid w:val="00887B12"/>
    <w:rsid w:val="00896786"/>
    <w:rsid w:val="008A2DB9"/>
    <w:rsid w:val="008B5002"/>
    <w:rsid w:val="008C3263"/>
    <w:rsid w:val="008D2CEF"/>
    <w:rsid w:val="008F0932"/>
    <w:rsid w:val="008F3434"/>
    <w:rsid w:val="00905C74"/>
    <w:rsid w:val="009126BA"/>
    <w:rsid w:val="009129D4"/>
    <w:rsid w:val="00997AE6"/>
    <w:rsid w:val="009B7266"/>
    <w:rsid w:val="009E4A22"/>
    <w:rsid w:val="009F1086"/>
    <w:rsid w:val="009F23E2"/>
    <w:rsid w:val="009F4E61"/>
    <w:rsid w:val="00A136BE"/>
    <w:rsid w:val="00A1599A"/>
    <w:rsid w:val="00A336EF"/>
    <w:rsid w:val="00A369AD"/>
    <w:rsid w:val="00A62794"/>
    <w:rsid w:val="00A81ADD"/>
    <w:rsid w:val="00AF5EEE"/>
    <w:rsid w:val="00B14B35"/>
    <w:rsid w:val="00B15F48"/>
    <w:rsid w:val="00B20BD0"/>
    <w:rsid w:val="00B229E4"/>
    <w:rsid w:val="00B56709"/>
    <w:rsid w:val="00B72364"/>
    <w:rsid w:val="00B7246E"/>
    <w:rsid w:val="00B76A32"/>
    <w:rsid w:val="00B86BA9"/>
    <w:rsid w:val="00B90A50"/>
    <w:rsid w:val="00B91219"/>
    <w:rsid w:val="00BB0930"/>
    <w:rsid w:val="00BB4C16"/>
    <w:rsid w:val="00BF7B7C"/>
    <w:rsid w:val="00C44533"/>
    <w:rsid w:val="00C66E03"/>
    <w:rsid w:val="00CC1723"/>
    <w:rsid w:val="00CC7D4E"/>
    <w:rsid w:val="00CD482D"/>
    <w:rsid w:val="00CD717B"/>
    <w:rsid w:val="00D223F3"/>
    <w:rsid w:val="00D22640"/>
    <w:rsid w:val="00D53B53"/>
    <w:rsid w:val="00D673A5"/>
    <w:rsid w:val="00DC30F0"/>
    <w:rsid w:val="00DE414A"/>
    <w:rsid w:val="00DF1D01"/>
    <w:rsid w:val="00E165A5"/>
    <w:rsid w:val="00E21761"/>
    <w:rsid w:val="00E335EC"/>
    <w:rsid w:val="00E53703"/>
    <w:rsid w:val="00E53D02"/>
    <w:rsid w:val="00E56319"/>
    <w:rsid w:val="00E56F53"/>
    <w:rsid w:val="00E62448"/>
    <w:rsid w:val="00E8582F"/>
    <w:rsid w:val="00E8676B"/>
    <w:rsid w:val="00E9104D"/>
    <w:rsid w:val="00EA1D5C"/>
    <w:rsid w:val="00EC2658"/>
    <w:rsid w:val="00ED544C"/>
    <w:rsid w:val="00F01F35"/>
    <w:rsid w:val="00F12AD8"/>
    <w:rsid w:val="00F442C1"/>
    <w:rsid w:val="00F50F90"/>
    <w:rsid w:val="00F6075F"/>
    <w:rsid w:val="00F64428"/>
    <w:rsid w:val="00F81CC7"/>
    <w:rsid w:val="00F85941"/>
    <w:rsid w:val="00FC377A"/>
    <w:rsid w:val="00FD3425"/>
    <w:rsid w:val="00FD460B"/>
    <w:rsid w:val="00FD4912"/>
    <w:rsid w:val="00FD6763"/>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1D77"/>
    <w:pPr>
      <w:ind w:left="720"/>
      <w:contextualSpacing/>
    </w:pPr>
  </w:style>
  <w:style w:type="paragraph" w:customStyle="1" w:styleId="Default">
    <w:name w:val="Default"/>
    <w:rsid w:val="005A365C"/>
    <w:pPr>
      <w:autoSpaceDE w:val="0"/>
      <w:autoSpaceDN w:val="0"/>
      <w:adjustRightInd w:val="0"/>
    </w:pPr>
    <w:rPr>
      <w:rFonts w:ascii="Arial" w:hAnsi="Arial" w:cs="Arial"/>
      <w:color w:val="000000"/>
      <w:sz w:val="24"/>
      <w:szCs w:val="24"/>
      <w:lang w:eastAsia="en-US"/>
    </w:rPr>
  </w:style>
  <w:style w:type="character" w:styleId="FootnoteReference">
    <w:name w:val="footnote reference"/>
    <w:basedOn w:val="DefaultParagraphFont"/>
    <w:uiPriority w:val="99"/>
    <w:rsid w:val="005A365C"/>
    <w:rPr>
      <w:rFonts w:cs="Times New Roman"/>
      <w:vertAlign w:val="superscript"/>
    </w:rPr>
  </w:style>
  <w:style w:type="character" w:customStyle="1" w:styleId="st">
    <w:name w:val="st"/>
    <w:basedOn w:val="DefaultParagraphFont"/>
    <w:rsid w:val="005A365C"/>
    <w:rPr>
      <w:rFonts w:cs="Times New Roman"/>
    </w:rPr>
  </w:style>
  <w:style w:type="table" w:styleId="TableGrid">
    <w:name w:val="Table Grid"/>
    <w:basedOn w:val="TableNormal"/>
    <w:uiPriority w:val="99"/>
    <w:rsid w:val="00A1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F3434"/>
    <w:rPr>
      <w:rFonts w:cs="Times New Roman"/>
      <w:sz w:val="18"/>
      <w:szCs w:val="18"/>
    </w:rPr>
  </w:style>
  <w:style w:type="paragraph" w:styleId="CommentText">
    <w:name w:val="annotation text"/>
    <w:basedOn w:val="Normal"/>
    <w:link w:val="CommentTextChar"/>
    <w:uiPriority w:val="99"/>
    <w:semiHidden/>
    <w:rsid w:val="008F3434"/>
  </w:style>
  <w:style w:type="character" w:customStyle="1" w:styleId="CommentTextChar">
    <w:name w:val="Comment Text Char"/>
    <w:basedOn w:val="DefaultParagraphFont"/>
    <w:link w:val="CommentText"/>
    <w:uiPriority w:val="99"/>
    <w:semiHidden/>
    <w:locked/>
    <w:rsid w:val="008F3434"/>
    <w:rPr>
      <w:rFonts w:cs="Times New Roman"/>
    </w:rPr>
  </w:style>
  <w:style w:type="paragraph" w:styleId="CommentSubject">
    <w:name w:val="annotation subject"/>
    <w:basedOn w:val="CommentText"/>
    <w:next w:val="CommentText"/>
    <w:link w:val="CommentSubjectChar"/>
    <w:uiPriority w:val="99"/>
    <w:semiHidden/>
    <w:rsid w:val="008F3434"/>
    <w:rPr>
      <w:b/>
      <w:bCs/>
      <w:sz w:val="20"/>
      <w:szCs w:val="20"/>
    </w:rPr>
  </w:style>
  <w:style w:type="character" w:customStyle="1" w:styleId="CommentSubjectChar">
    <w:name w:val="Comment Subject Char"/>
    <w:basedOn w:val="CommentTextChar"/>
    <w:link w:val="CommentSubject"/>
    <w:uiPriority w:val="99"/>
    <w:semiHidden/>
    <w:locked/>
    <w:rsid w:val="008F3434"/>
    <w:rPr>
      <w:rFonts w:cs="Times New Roman"/>
      <w:b/>
      <w:bCs/>
      <w:sz w:val="20"/>
      <w:szCs w:val="20"/>
    </w:rPr>
  </w:style>
  <w:style w:type="paragraph" w:styleId="BalloonText">
    <w:name w:val="Balloon Text"/>
    <w:basedOn w:val="Normal"/>
    <w:link w:val="BalloonTextChar"/>
    <w:uiPriority w:val="99"/>
    <w:semiHidden/>
    <w:rsid w:val="008F3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F3434"/>
    <w:rPr>
      <w:rFonts w:ascii="Lucida Grande" w:hAnsi="Lucida Grande" w:cs="Lucida Grande"/>
      <w:sz w:val="18"/>
      <w:szCs w:val="18"/>
    </w:rPr>
  </w:style>
  <w:style w:type="paragraph" w:styleId="Header">
    <w:name w:val="header"/>
    <w:basedOn w:val="Normal"/>
    <w:link w:val="HeaderChar"/>
    <w:uiPriority w:val="99"/>
    <w:unhideWhenUsed/>
    <w:rsid w:val="00E56319"/>
    <w:pPr>
      <w:tabs>
        <w:tab w:val="center" w:pos="4153"/>
        <w:tab w:val="right" w:pos="8306"/>
      </w:tabs>
    </w:pPr>
  </w:style>
  <w:style w:type="character" w:customStyle="1" w:styleId="HeaderChar">
    <w:name w:val="Header Char"/>
    <w:basedOn w:val="DefaultParagraphFont"/>
    <w:link w:val="Header"/>
    <w:uiPriority w:val="99"/>
    <w:rsid w:val="00E56319"/>
    <w:rPr>
      <w:sz w:val="24"/>
      <w:szCs w:val="24"/>
    </w:rPr>
  </w:style>
  <w:style w:type="paragraph" w:styleId="Footer">
    <w:name w:val="footer"/>
    <w:basedOn w:val="Normal"/>
    <w:link w:val="FooterChar"/>
    <w:uiPriority w:val="99"/>
    <w:unhideWhenUsed/>
    <w:rsid w:val="00E56319"/>
    <w:pPr>
      <w:tabs>
        <w:tab w:val="center" w:pos="4153"/>
        <w:tab w:val="right" w:pos="8306"/>
      </w:tabs>
    </w:pPr>
  </w:style>
  <w:style w:type="character" w:customStyle="1" w:styleId="FooterChar">
    <w:name w:val="Footer Char"/>
    <w:basedOn w:val="DefaultParagraphFont"/>
    <w:link w:val="Footer"/>
    <w:uiPriority w:val="99"/>
    <w:rsid w:val="00E56319"/>
    <w:rPr>
      <w:sz w:val="24"/>
      <w:szCs w:val="24"/>
    </w:rPr>
  </w:style>
</w:styles>
</file>

<file path=word/webSettings.xml><?xml version="1.0" encoding="utf-8"?>
<w:webSettings xmlns:r="http://schemas.openxmlformats.org/officeDocument/2006/relationships" xmlns:w="http://schemas.openxmlformats.org/wordprocessingml/2006/main">
  <w:divs>
    <w:div w:id="10636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0D306-D0DE-417A-A7C3-F4AC172C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699</Words>
  <Characters>5264</Characters>
  <Application>Microsoft Office Word</Application>
  <DocSecurity>0</DocSecurity>
  <Lines>169</Lines>
  <Paragraphs>70</Paragraphs>
  <ScaleCrop>false</ScaleCrop>
  <HeadingPairs>
    <vt:vector size="2" baseType="variant">
      <vt:variant>
        <vt:lpstr>Title</vt:lpstr>
      </vt:variant>
      <vt:variant>
        <vt:i4>1</vt:i4>
      </vt:variant>
    </vt:vector>
  </HeadingPairs>
  <TitlesOfParts>
    <vt:vector size="1" baseType="lpstr">
      <vt:lpstr>Informatīvais ziņojums „Par Izglītības un zinātnes ministrijas turpmāko rīcību augstākās izglītības studiju virzienu akreditācijas nodrošināšanai un iespējām izmantot Eiropas Sociālā fonda projekta "Augstākās izglītības studiju programmu izvērtēšana un pr</vt:lpstr>
    </vt:vector>
  </TitlesOfParts>
  <Company>IZM</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dc:title>
  <dc:subject>2.pielikums</dc:subject>
  <dc:creator>Inese Stūre</dc:creator>
  <dc:description>inese.sture@izm.gov.lv_x000d_
67047899</dc:description>
  <cp:lastModifiedBy>isile</cp:lastModifiedBy>
  <cp:revision>4</cp:revision>
  <cp:lastPrinted>2013-03-06T18:16:00Z</cp:lastPrinted>
  <dcterms:created xsi:type="dcterms:W3CDTF">2013-03-08T15:02:00Z</dcterms:created>
  <dcterms:modified xsi:type="dcterms:W3CDTF">2013-03-11T14:54:00Z</dcterms:modified>
</cp:coreProperties>
</file>