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EE" w:rsidRPr="007A22EE" w:rsidRDefault="003359D3" w:rsidP="007A22EE">
      <w:pPr>
        <w:tabs>
          <w:tab w:val="left" w:pos="3159"/>
        </w:tabs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="007A22EE">
        <w:rPr>
          <w:sz w:val="20"/>
          <w:szCs w:val="20"/>
        </w:rPr>
        <w:t>.pielikums</w:t>
      </w:r>
    </w:p>
    <w:p w:rsidR="007A22EE" w:rsidRDefault="00306532" w:rsidP="00876B7B">
      <w:pPr>
        <w:tabs>
          <w:tab w:val="left" w:pos="3159"/>
        </w:tabs>
        <w:jc w:val="center"/>
        <w:rPr>
          <w:b/>
        </w:rPr>
      </w:pPr>
      <w:r>
        <w:rPr>
          <w:b/>
        </w:rPr>
        <w:t xml:space="preserve">Nacionālās identitātes, pilsoniskās sabiedrības un integrācijas politikas pamatnostādņu </w:t>
      </w:r>
    </w:p>
    <w:p w:rsidR="00876B7B" w:rsidRDefault="00306532" w:rsidP="00876B7B">
      <w:pPr>
        <w:tabs>
          <w:tab w:val="left" w:pos="3159"/>
        </w:tabs>
        <w:jc w:val="center"/>
        <w:rPr>
          <w:b/>
        </w:rPr>
      </w:pPr>
      <w:r>
        <w:rPr>
          <w:b/>
        </w:rPr>
        <w:t>2012.-2018.gadam (</w:t>
      </w:r>
      <w:r w:rsidR="00876B7B" w:rsidRPr="007E4815">
        <w:rPr>
          <w:b/>
        </w:rPr>
        <w:t>NIPSIPP</w:t>
      </w:r>
      <w:r>
        <w:rPr>
          <w:b/>
        </w:rPr>
        <w:t>)</w:t>
      </w:r>
      <w:r w:rsidR="00876B7B" w:rsidRPr="007E4815">
        <w:rPr>
          <w:b/>
        </w:rPr>
        <w:t xml:space="preserve"> uzdevumi, kuru īstenošanā kā līdzatbildīgā institūcija plānota </w:t>
      </w:r>
      <w:r>
        <w:rPr>
          <w:b/>
        </w:rPr>
        <w:t>Izglītības un zinātnes ministrija (</w:t>
      </w:r>
      <w:r w:rsidR="00876B7B" w:rsidRPr="007E4815">
        <w:rPr>
          <w:b/>
        </w:rPr>
        <w:t>IZM</w:t>
      </w:r>
      <w:r>
        <w:rPr>
          <w:b/>
        </w:rPr>
        <w:t>)</w:t>
      </w:r>
    </w:p>
    <w:p w:rsidR="007E4815" w:rsidRPr="007E4815" w:rsidRDefault="007E4815" w:rsidP="00876B7B">
      <w:pPr>
        <w:tabs>
          <w:tab w:val="left" w:pos="3159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0A0"/>
      </w:tblPr>
      <w:tblGrid>
        <w:gridCol w:w="959"/>
        <w:gridCol w:w="3544"/>
        <w:gridCol w:w="1092"/>
        <w:gridCol w:w="1317"/>
        <w:gridCol w:w="2375"/>
      </w:tblGrid>
      <w:tr w:rsidR="00EA0673" w:rsidRPr="00362B73" w:rsidTr="002154F9">
        <w:trPr>
          <w:trHeight w:val="307"/>
        </w:trPr>
        <w:tc>
          <w:tcPr>
            <w:tcW w:w="959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B73">
              <w:rPr>
                <w:b/>
                <w:bCs/>
                <w:sz w:val="20"/>
                <w:szCs w:val="20"/>
              </w:rPr>
              <w:t>Nr.</w:t>
            </w:r>
          </w:p>
          <w:p w:rsidR="00EA0673" w:rsidRPr="00362B73" w:rsidRDefault="00EA0673" w:rsidP="00A92DE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B73"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jc w:val="center"/>
              <w:rPr>
                <w:sz w:val="20"/>
                <w:szCs w:val="20"/>
              </w:rPr>
            </w:pPr>
            <w:r w:rsidRPr="00362B73">
              <w:rPr>
                <w:b/>
                <w:bCs/>
                <w:sz w:val="20"/>
                <w:szCs w:val="20"/>
              </w:rPr>
              <w:t>Uzdevumi un galvenie pasākumi izvirzītā mērķa sasniegšanai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jc w:val="center"/>
              <w:rPr>
                <w:b/>
                <w:bCs/>
                <w:sz w:val="20"/>
                <w:szCs w:val="20"/>
              </w:rPr>
            </w:pPr>
            <w:r w:rsidRPr="00362B73">
              <w:rPr>
                <w:b/>
                <w:bCs/>
                <w:sz w:val="20"/>
                <w:szCs w:val="20"/>
              </w:rPr>
              <w:t>Izpildes</w:t>
            </w:r>
          </w:p>
          <w:p w:rsidR="00EA0673" w:rsidRPr="00362B73" w:rsidRDefault="00EA0673" w:rsidP="00A92DE4">
            <w:pPr>
              <w:ind w:left="69" w:right="125"/>
              <w:jc w:val="center"/>
              <w:rPr>
                <w:b/>
                <w:bCs/>
                <w:sz w:val="20"/>
                <w:szCs w:val="20"/>
              </w:rPr>
            </w:pPr>
            <w:r w:rsidRPr="00362B73">
              <w:rPr>
                <w:b/>
                <w:bCs/>
                <w:sz w:val="20"/>
                <w:szCs w:val="20"/>
              </w:rPr>
              <w:t>termiņš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jc w:val="center"/>
              <w:rPr>
                <w:rFonts w:eastAsia="BatangChe"/>
                <w:sz w:val="20"/>
                <w:szCs w:val="20"/>
              </w:rPr>
            </w:pPr>
            <w:r w:rsidRPr="00362B73">
              <w:rPr>
                <w:rFonts w:eastAsia="BatangChe"/>
                <w:b/>
                <w:bCs/>
                <w:sz w:val="20"/>
                <w:szCs w:val="20"/>
              </w:rPr>
              <w:t>Atbildīgā institūcija un iesaistītās institū</w:t>
            </w:r>
            <w:r w:rsidRPr="00362B73">
              <w:rPr>
                <w:rFonts w:eastAsia="BatangChe"/>
                <w:b/>
                <w:bCs/>
                <w:sz w:val="20"/>
                <w:szCs w:val="20"/>
              </w:rPr>
              <w:softHyphen/>
              <w:t>cijas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jc w:val="center"/>
              <w:rPr>
                <w:rFonts w:eastAsia="BatangChe"/>
                <w:sz w:val="20"/>
                <w:szCs w:val="20"/>
              </w:rPr>
            </w:pPr>
            <w:r w:rsidRPr="00362B73">
              <w:rPr>
                <w:rFonts w:eastAsia="BatangChe"/>
                <w:b/>
                <w:bCs/>
                <w:sz w:val="20"/>
                <w:szCs w:val="20"/>
              </w:rPr>
              <w:t>Tiešie darbības rezultāti</w:t>
            </w:r>
            <w:r w:rsidRPr="00362B73">
              <w:rPr>
                <w:rStyle w:val="FootnoteReference"/>
                <w:rFonts w:eastAsia="BatangChe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EA0673" w:rsidRPr="00362B73" w:rsidTr="002154F9">
        <w:trPr>
          <w:trHeight w:val="518"/>
        </w:trPr>
        <w:tc>
          <w:tcPr>
            <w:tcW w:w="959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2.1.1.</w:t>
            </w:r>
          </w:p>
        </w:tc>
        <w:tc>
          <w:tcPr>
            <w:tcW w:w="3544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b/>
                <w:sz w:val="20"/>
                <w:szCs w:val="20"/>
              </w:rPr>
              <w:t>Uzdevums:</w:t>
            </w:r>
            <w:r w:rsidRPr="00362B73">
              <w:rPr>
                <w:sz w:val="20"/>
                <w:szCs w:val="20"/>
              </w:rPr>
              <w:t xml:space="preserve"> Veicināt motivāciju lietot latviešu valodu publiskajā telpā</w:t>
            </w:r>
          </w:p>
        </w:tc>
        <w:tc>
          <w:tcPr>
            <w:tcW w:w="1092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2.1.1.2.</w:t>
            </w:r>
          </w:p>
        </w:tc>
        <w:tc>
          <w:tcPr>
            <w:tcW w:w="3544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Informatīvi pasākumi darba devējiem un darba ņēmējiem, imigrantiem u.c. grupām par latviešu valodas politikas pamatprincipiem, latviešu valodu reglamentējošiem normatīvajiem aktiem</w:t>
            </w:r>
            <w:r w:rsidRPr="00362B73">
              <w:rPr>
                <w:rStyle w:val="FootnoteReference"/>
                <w:sz w:val="20"/>
                <w:szCs w:val="20"/>
              </w:rPr>
              <w:footnoteReference w:id="2"/>
            </w:r>
            <w:r w:rsidRPr="00362B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Ik gadu</w:t>
            </w:r>
          </w:p>
        </w:tc>
        <w:tc>
          <w:tcPr>
            <w:tcW w:w="1317" w:type="dxa"/>
            <w:tcBorders>
              <w:top w:val="dotted" w:sz="8" w:space="0" w:color="auto"/>
            </w:tcBorders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KM</w:t>
            </w:r>
            <w:r w:rsidRPr="00996898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  <w:r w:rsidRPr="00996898">
              <w:rPr>
                <w:rFonts w:ascii="Times New Roman" w:hAnsi="Times New Roman"/>
                <w:sz w:val="20"/>
                <w:szCs w:val="20"/>
              </w:rPr>
              <w:t>, IZM, LM</w:t>
            </w:r>
          </w:p>
        </w:tc>
        <w:tc>
          <w:tcPr>
            <w:tcW w:w="2375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Notikuši informatīvie pasākumi</w:t>
            </w:r>
          </w:p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</w:p>
        </w:tc>
      </w:tr>
      <w:tr w:rsidR="00EA0673" w:rsidRPr="00362B73" w:rsidTr="002154F9">
        <w:trPr>
          <w:trHeight w:val="1025"/>
        </w:trPr>
        <w:tc>
          <w:tcPr>
            <w:tcW w:w="959" w:type="dxa"/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2.1.1.3.</w:t>
            </w:r>
          </w:p>
        </w:tc>
        <w:tc>
          <w:tcPr>
            <w:tcW w:w="3544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Informatīva kampaņa "Runā latviski"</w:t>
            </w:r>
          </w:p>
        </w:tc>
        <w:tc>
          <w:tcPr>
            <w:tcW w:w="1092" w:type="dxa"/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2012.–2016.</w:t>
            </w:r>
          </w:p>
        </w:tc>
        <w:tc>
          <w:tcPr>
            <w:tcW w:w="1317" w:type="dxa"/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KM, IZM, NEPLP, SIF</w:t>
            </w:r>
          </w:p>
        </w:tc>
        <w:tc>
          <w:tcPr>
            <w:tcW w:w="2375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Notikusi 1 kampaņa gadā, izmantojot TV, radio, sociālos medijus, studentu radio</w:t>
            </w:r>
          </w:p>
        </w:tc>
      </w:tr>
      <w:tr w:rsidR="00EA0673" w:rsidRPr="00362B73" w:rsidTr="002154F9">
        <w:trPr>
          <w:trHeight w:val="916"/>
        </w:trPr>
        <w:tc>
          <w:tcPr>
            <w:tcW w:w="959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2.1.1.4.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 xml:space="preserve">Motivējošu pasākumu atbalstīšana latviešu valodas lietošanai publiskajā telpā (latviešu valodai draudzīga darba vide, draudzīga skola) 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Ik gadu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A0673" w:rsidRPr="00996898" w:rsidRDefault="00EA0673" w:rsidP="007A22EE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KM, IZM, SIF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Ik gadu vismaz divi pasākumi</w:t>
            </w:r>
          </w:p>
        </w:tc>
      </w:tr>
      <w:tr w:rsidR="00EA0673" w:rsidRPr="00362B73" w:rsidTr="002154F9">
        <w:trPr>
          <w:trHeight w:val="537"/>
        </w:trPr>
        <w:tc>
          <w:tcPr>
            <w:tcW w:w="959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2.1.3.</w:t>
            </w:r>
          </w:p>
        </w:tc>
        <w:tc>
          <w:tcPr>
            <w:tcW w:w="3544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b/>
                <w:sz w:val="20"/>
                <w:szCs w:val="20"/>
              </w:rPr>
              <w:t>Uzdevums:</w:t>
            </w:r>
            <w:r w:rsidRPr="00362B73">
              <w:rPr>
                <w:sz w:val="20"/>
                <w:szCs w:val="20"/>
              </w:rPr>
              <w:t xml:space="preserve"> Novērtēt latviešu valodas prasmju līmeni un nozīmi sabiedrībā</w:t>
            </w:r>
          </w:p>
        </w:tc>
        <w:tc>
          <w:tcPr>
            <w:tcW w:w="1092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dotted" w:sz="8" w:space="0" w:color="auto"/>
            </w:tcBorders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2.1.3.3.</w:t>
            </w:r>
          </w:p>
        </w:tc>
        <w:tc>
          <w:tcPr>
            <w:tcW w:w="3544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autoSpaceDE w:val="0"/>
              <w:autoSpaceDN w:val="0"/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Veikts pētījums par ārzemēs dzīvojošo latviešu latviskās identitātes saglabāšanu (tai skaitā attieksme pret latviešu valodu un latviešu valodas prasmes).</w:t>
            </w:r>
          </w:p>
          <w:p w:rsidR="00EA0673" w:rsidRPr="00362B73" w:rsidRDefault="00EA0673" w:rsidP="00A92DE4">
            <w:pPr>
              <w:autoSpaceDE w:val="0"/>
              <w:autoSpaceDN w:val="0"/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Pētnieku darbs: Ls 15 000;</w:t>
            </w:r>
          </w:p>
          <w:p w:rsidR="00EA0673" w:rsidRPr="00362B73" w:rsidRDefault="00EA0673" w:rsidP="00A92DE4">
            <w:pPr>
              <w:autoSpaceDE w:val="0"/>
              <w:autoSpaceDN w:val="0"/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publicēšanas un maketēšanas darbi (tikai internetā): Ls 1 000;</w:t>
            </w:r>
          </w:p>
          <w:p w:rsidR="00EA0673" w:rsidRPr="00362B73" w:rsidRDefault="00EA0673" w:rsidP="00A92DE4">
            <w:pPr>
              <w:autoSpaceDE w:val="0"/>
              <w:autoSpaceDN w:val="0"/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prezentācijas un citi administratīvie izdevumi: Ls 300;</w:t>
            </w:r>
          </w:p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administratīvie izdevumi (pārlidojumi, uzturēšanas izmaksas) – Ls 3 700</w:t>
            </w:r>
          </w:p>
        </w:tc>
        <w:tc>
          <w:tcPr>
            <w:tcW w:w="1092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2014., 2016., 2018.</w:t>
            </w:r>
          </w:p>
        </w:tc>
        <w:tc>
          <w:tcPr>
            <w:tcW w:w="1317" w:type="dxa"/>
            <w:tcBorders>
              <w:top w:val="dotted" w:sz="8" w:space="0" w:color="auto"/>
            </w:tcBorders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ĀM, KM, IZM</w:t>
            </w:r>
          </w:p>
        </w:tc>
        <w:tc>
          <w:tcPr>
            <w:tcW w:w="2375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Publicēts pētījums</w:t>
            </w:r>
          </w:p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2.2.1.</w:t>
            </w:r>
          </w:p>
        </w:tc>
        <w:tc>
          <w:tcPr>
            <w:tcW w:w="3544" w:type="dxa"/>
          </w:tcPr>
          <w:p w:rsidR="00EA0673" w:rsidRPr="00362B73" w:rsidRDefault="00EA0673" w:rsidP="00A92DE4">
            <w:pPr>
              <w:ind w:left="69" w:right="125"/>
              <w:rPr>
                <w:bCs/>
                <w:sz w:val="20"/>
                <w:szCs w:val="20"/>
              </w:rPr>
            </w:pPr>
            <w:r w:rsidRPr="00362B73">
              <w:rPr>
                <w:b/>
                <w:sz w:val="20"/>
                <w:szCs w:val="20"/>
              </w:rPr>
              <w:t>Uzdevums</w:t>
            </w:r>
            <w:r w:rsidRPr="00362B73">
              <w:rPr>
                <w:rStyle w:val="FootnoteReference"/>
                <w:sz w:val="20"/>
                <w:szCs w:val="20"/>
              </w:rPr>
              <w:footnoteReference w:id="4"/>
            </w:r>
            <w:r w:rsidRPr="00362B73">
              <w:rPr>
                <w:sz w:val="20"/>
                <w:szCs w:val="20"/>
              </w:rPr>
              <w:t>: Nodrošināt latviešu valodas apguvi un attīstīt valodas apguves sistēmu dažādām mērķa grupām, tai skaitā inovatīvu mācību metožu attīstība un metodisko un mācību materiālu izstrāde</w:t>
            </w:r>
          </w:p>
        </w:tc>
        <w:tc>
          <w:tcPr>
            <w:tcW w:w="1092" w:type="dxa"/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</w:p>
        </w:tc>
      </w:tr>
      <w:tr w:rsidR="00EA0673" w:rsidRPr="00362B73" w:rsidTr="002154F9">
        <w:trPr>
          <w:trHeight w:val="555"/>
        </w:trPr>
        <w:tc>
          <w:tcPr>
            <w:tcW w:w="959" w:type="dxa"/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2.2.1.2.</w:t>
            </w:r>
          </w:p>
        </w:tc>
        <w:tc>
          <w:tcPr>
            <w:tcW w:w="3544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 xml:space="preserve">Motivēt skolas ar latviešu mācību valodu uzņemt mazākumtautību un trešo valstu pilsoņu (jauno imigrantu) bērnus un atbalstīt papildu apmācības programmas latviešu valodā bērniem, </w:t>
            </w:r>
            <w:r w:rsidRPr="00362B73">
              <w:rPr>
                <w:sz w:val="20"/>
                <w:szCs w:val="20"/>
              </w:rPr>
              <w:lastRenderedPageBreak/>
              <w:t xml:space="preserve">kuriem latviešu valoda nav dzimtā (dažādas metodes, piemēram, skolotāju palīgi) </w:t>
            </w:r>
          </w:p>
        </w:tc>
        <w:tc>
          <w:tcPr>
            <w:tcW w:w="1092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lastRenderedPageBreak/>
              <w:t xml:space="preserve">Ik gadu </w:t>
            </w:r>
          </w:p>
        </w:tc>
        <w:tc>
          <w:tcPr>
            <w:tcW w:w="1317" w:type="dxa"/>
          </w:tcPr>
          <w:p w:rsidR="00EA0673" w:rsidRPr="00996898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996898">
              <w:rPr>
                <w:sz w:val="20"/>
                <w:szCs w:val="20"/>
              </w:rPr>
              <w:t>KM, IZM</w:t>
            </w:r>
          </w:p>
        </w:tc>
        <w:tc>
          <w:tcPr>
            <w:tcW w:w="2375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 xml:space="preserve">Projektu ietvaros tiek īstenoti pasākumi, kas atbalsta latviešu valodas mācīšanu skolā bērniem, kuriem </w:t>
            </w:r>
            <w:r w:rsidRPr="00362B73">
              <w:rPr>
                <w:sz w:val="20"/>
                <w:szCs w:val="20"/>
              </w:rPr>
              <w:lastRenderedPageBreak/>
              <w:t xml:space="preserve">latviešu valoda nav dzimtā. Atbalsts tiek nodrošināts arī skolām </w:t>
            </w: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lastRenderedPageBreak/>
              <w:t>2.2.1.7.</w:t>
            </w:r>
          </w:p>
        </w:tc>
        <w:tc>
          <w:tcPr>
            <w:tcW w:w="3544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Diasporas nedēļas nogales skolu skolotāju darba atzīšana kopējā darba stāžā</w:t>
            </w:r>
          </w:p>
        </w:tc>
        <w:tc>
          <w:tcPr>
            <w:tcW w:w="1092" w:type="dxa"/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2012.–2013.</w:t>
            </w:r>
          </w:p>
        </w:tc>
        <w:tc>
          <w:tcPr>
            <w:tcW w:w="1317" w:type="dxa"/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96898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KM, LM, IZM, ĀM, </w:t>
            </w:r>
          </w:p>
        </w:tc>
        <w:tc>
          <w:tcPr>
            <w:tcW w:w="2375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i/>
                <w:sz w:val="20"/>
                <w:szCs w:val="20"/>
              </w:rPr>
              <w:t>2012.gadā</w:t>
            </w:r>
            <w:r w:rsidRPr="00362B73">
              <w:rPr>
                <w:sz w:val="20"/>
                <w:szCs w:val="20"/>
              </w:rPr>
              <w:t xml:space="preserve">  notikusi diskusija par iespējamiem skolotāju atalgojuma modeļiem. Veikti pasākumi atbilstoši diskusijas rezultātiem </w:t>
            </w: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2.2.1.10.</w:t>
            </w:r>
          </w:p>
        </w:tc>
        <w:tc>
          <w:tcPr>
            <w:tcW w:w="3544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  <w:u w:val="single"/>
              </w:rPr>
            </w:pPr>
            <w:r w:rsidRPr="00362B73">
              <w:rPr>
                <w:sz w:val="20"/>
                <w:szCs w:val="20"/>
              </w:rPr>
              <w:t>Latviešu valodas apguves sistēmas izveide tām personām, kuras vēlas ieceļot Latvijā (pirms un pēc ieceļošanas), nosakot imigranta līdzatbildību</w:t>
            </w:r>
          </w:p>
        </w:tc>
        <w:tc>
          <w:tcPr>
            <w:tcW w:w="1092" w:type="dxa"/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2013.–2014.</w:t>
            </w:r>
          </w:p>
        </w:tc>
        <w:tc>
          <w:tcPr>
            <w:tcW w:w="1317" w:type="dxa"/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  <w:lang w:eastAsia="lv-LV"/>
              </w:rPr>
              <w:t>KM, IZM, IeM, ĀM</w:t>
            </w:r>
          </w:p>
        </w:tc>
        <w:tc>
          <w:tcPr>
            <w:tcW w:w="2375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 xml:space="preserve">Izvērtēts tiesiskais regulējums, notikušas diskusijas </w:t>
            </w:r>
            <w:r w:rsidRPr="00362B73">
              <w:rPr>
                <w:i/>
                <w:sz w:val="20"/>
                <w:szCs w:val="20"/>
              </w:rPr>
              <w:t>(2013.)</w:t>
            </w:r>
            <w:r w:rsidRPr="00362B73">
              <w:rPr>
                <w:sz w:val="20"/>
                <w:szCs w:val="20"/>
              </w:rPr>
              <w:t xml:space="preserve">, un, ja nepieciešams, pieņemti attiecīgi grozījumi tiesību aktos vai jauni tiesību akti </w:t>
            </w:r>
            <w:r w:rsidRPr="00362B73">
              <w:rPr>
                <w:i/>
                <w:sz w:val="20"/>
                <w:szCs w:val="20"/>
              </w:rPr>
              <w:t>(2014.)</w:t>
            </w: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rPr>
                <w:bCs/>
                <w:sz w:val="20"/>
                <w:szCs w:val="20"/>
              </w:rPr>
            </w:pPr>
            <w:r w:rsidRPr="00362B73">
              <w:rPr>
                <w:bCs/>
                <w:sz w:val="20"/>
                <w:szCs w:val="20"/>
              </w:rPr>
              <w:t>2.2.1.12.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  <w:u w:val="single"/>
              </w:rPr>
            </w:pPr>
            <w:r w:rsidRPr="00362B73">
              <w:rPr>
                <w:bCs/>
                <w:sz w:val="20"/>
                <w:szCs w:val="20"/>
              </w:rPr>
              <w:t>Sadarbībā ar Ieslodzījuma vietu pārvaldi nodrošināta iespēja latviešu valodas apguvei personām brīvības atņemšanas vietās (personām, kurām tuvojas soda izciešanas termiņa beigas)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2014.–2016.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KM, SIF, TM, IZM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Projektu ietvaros nodrošināta iespēja apgūt latviešu valodu</w:t>
            </w:r>
          </w:p>
        </w:tc>
      </w:tr>
      <w:tr w:rsidR="00EA0673" w:rsidRPr="00362B73" w:rsidTr="002154F9">
        <w:trPr>
          <w:trHeight w:val="569"/>
        </w:trPr>
        <w:tc>
          <w:tcPr>
            <w:tcW w:w="959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2.2.2.</w:t>
            </w:r>
          </w:p>
        </w:tc>
        <w:tc>
          <w:tcPr>
            <w:tcW w:w="3544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  <w:u w:val="single"/>
              </w:rPr>
            </w:pPr>
            <w:r w:rsidRPr="00362B73">
              <w:rPr>
                <w:b/>
                <w:sz w:val="20"/>
                <w:szCs w:val="20"/>
              </w:rPr>
              <w:t>Uzdevums:</w:t>
            </w:r>
            <w:r w:rsidRPr="00362B73">
              <w:rPr>
                <w:sz w:val="20"/>
                <w:szCs w:val="20"/>
              </w:rPr>
              <w:t xml:space="preserve"> Attīstīt inovatīvas pieejas latviešu valodas mācīšanā</w:t>
            </w:r>
          </w:p>
        </w:tc>
        <w:tc>
          <w:tcPr>
            <w:tcW w:w="1092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dotted" w:sz="8" w:space="0" w:color="auto"/>
            </w:tcBorders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</w:p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2.2.2.1.</w:t>
            </w:r>
          </w:p>
        </w:tc>
        <w:tc>
          <w:tcPr>
            <w:tcW w:w="3544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b/>
                <w:sz w:val="20"/>
                <w:szCs w:val="20"/>
              </w:rPr>
            </w:pPr>
            <w:r w:rsidRPr="00362B73">
              <w:rPr>
                <w:b/>
                <w:sz w:val="20"/>
                <w:szCs w:val="20"/>
              </w:rPr>
              <w:t xml:space="preserve">Pasākumi: </w:t>
            </w:r>
          </w:p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Valodas mācīšanas kursi nacionālās apraides TV (piemēram, leļļu teātra raidījums, speciālas programmas pusaudžiem), radio, studentu radio</w:t>
            </w:r>
          </w:p>
        </w:tc>
        <w:tc>
          <w:tcPr>
            <w:tcW w:w="1092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Ik gadu</w:t>
            </w:r>
          </w:p>
        </w:tc>
        <w:tc>
          <w:tcPr>
            <w:tcW w:w="1317" w:type="dxa"/>
            <w:tcBorders>
              <w:top w:val="dotted" w:sz="8" w:space="0" w:color="auto"/>
            </w:tcBorders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KM, IZM</w:t>
            </w:r>
          </w:p>
        </w:tc>
        <w:tc>
          <w:tcPr>
            <w:tcW w:w="2375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</w:p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Nodrošināta iespēja mācīties latviešu valodu ar plašsaziņas līdzekļu starpniecību</w:t>
            </w: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2.2.2.2.</w:t>
            </w:r>
          </w:p>
        </w:tc>
        <w:tc>
          <w:tcPr>
            <w:tcW w:w="3544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Latviešu valodas runātāju klubu izveides veicināšana un to darbības atbalstīšana (jo sevišķi latviešu diasporā un skolās ar mazākumtautību mācību valodu)</w:t>
            </w:r>
          </w:p>
        </w:tc>
        <w:tc>
          <w:tcPr>
            <w:tcW w:w="1092" w:type="dxa"/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Ik gadu</w:t>
            </w:r>
          </w:p>
        </w:tc>
        <w:tc>
          <w:tcPr>
            <w:tcW w:w="1317" w:type="dxa"/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KM, SIF, IZM, ĀM</w:t>
            </w:r>
          </w:p>
        </w:tc>
        <w:tc>
          <w:tcPr>
            <w:tcW w:w="2375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Īstenoti projekti, kas vērsti uz runātāju klubu attīstību</w:t>
            </w:r>
          </w:p>
        </w:tc>
      </w:tr>
      <w:tr w:rsidR="00EA0673" w:rsidRPr="00362B73" w:rsidTr="002154F9">
        <w:trPr>
          <w:trHeight w:val="1061"/>
        </w:trPr>
        <w:tc>
          <w:tcPr>
            <w:tcW w:w="959" w:type="dxa"/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2.2.2.3.</w:t>
            </w:r>
          </w:p>
        </w:tc>
        <w:tc>
          <w:tcPr>
            <w:tcW w:w="3544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Vasaras skolas programmu atbalstīšana un attīstīšana (3 x 3 un 2 x 2 modeļi u.c.) Latvijā un Eiropā, arī citos lielākajos latviešu diasporas centros</w:t>
            </w:r>
          </w:p>
        </w:tc>
        <w:tc>
          <w:tcPr>
            <w:tcW w:w="1092" w:type="dxa"/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Ik gadu, sākot ar 2013.</w:t>
            </w:r>
          </w:p>
        </w:tc>
        <w:tc>
          <w:tcPr>
            <w:tcW w:w="1317" w:type="dxa"/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KM, IZM, ĀM</w:t>
            </w:r>
          </w:p>
        </w:tc>
        <w:tc>
          <w:tcPr>
            <w:tcW w:w="2375" w:type="dxa"/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Atbalstīti vasaras skolu un nometņu projekti</w:t>
            </w:r>
          </w:p>
        </w:tc>
      </w:tr>
      <w:tr w:rsidR="00EA0673" w:rsidRPr="00362B73" w:rsidTr="002154F9">
        <w:trPr>
          <w:trHeight w:val="1226"/>
        </w:trPr>
        <w:tc>
          <w:tcPr>
            <w:tcW w:w="959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2.2.2.4.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  <w:u w:val="single"/>
              </w:rPr>
            </w:pPr>
            <w:r w:rsidRPr="00362B73">
              <w:rPr>
                <w:sz w:val="20"/>
                <w:szCs w:val="20"/>
              </w:rPr>
              <w:t>Brīvprātīgo latviešu valodas skolotāju tīkla attīstība (pirmsskolas izglītības iestādēs, skolotāju palīgi skolās, valodas mācīšana mājās)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rPr>
                <w:rFonts w:ascii="Times New Roman" w:hAnsi="Times New Roman"/>
                <w:sz w:val="20"/>
                <w:szCs w:val="20"/>
              </w:rPr>
            </w:pPr>
            <w:r w:rsidRPr="00362B73">
              <w:rPr>
                <w:rFonts w:ascii="Times New Roman" w:hAnsi="Times New Roman"/>
                <w:sz w:val="20"/>
                <w:szCs w:val="20"/>
              </w:rPr>
              <w:t>Ik gadu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96898">
              <w:rPr>
                <w:rFonts w:ascii="Times New Roman" w:hAnsi="Times New Roman"/>
                <w:sz w:val="20"/>
                <w:szCs w:val="20"/>
              </w:rPr>
              <w:t>KM, SIF, IZM, ĀM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Atbalstīti projekti, kas sekmē brīvprātīgo kustības atbalstīšanu latviešu valodas mācīšanā</w:t>
            </w:r>
          </w:p>
        </w:tc>
      </w:tr>
      <w:tr w:rsidR="00EA0673" w:rsidRPr="00362B73" w:rsidTr="002154F9">
        <w:trPr>
          <w:trHeight w:val="501"/>
        </w:trPr>
        <w:tc>
          <w:tcPr>
            <w:tcW w:w="959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2.4.4.</w:t>
            </w:r>
          </w:p>
        </w:tc>
        <w:tc>
          <w:tcPr>
            <w:tcW w:w="3544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b/>
                <w:sz w:val="20"/>
                <w:szCs w:val="20"/>
              </w:rPr>
              <w:t>Uzdevums:</w:t>
            </w:r>
            <w:r w:rsidRPr="00362B73">
              <w:rPr>
                <w:sz w:val="20"/>
                <w:szCs w:val="20"/>
              </w:rPr>
              <w:t xml:space="preserve"> Dialoga uzturēšana starp Latviju un ārzemju latviešiem</w:t>
            </w:r>
          </w:p>
        </w:tc>
        <w:tc>
          <w:tcPr>
            <w:tcW w:w="1092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pStyle w:val="ListParagraph2"/>
              <w:spacing w:after="0" w:line="240" w:lineRule="auto"/>
              <w:ind w:left="69" w:right="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dotted" w:sz="8" w:space="0" w:color="auto"/>
            </w:tcBorders>
          </w:tcPr>
          <w:p w:rsidR="00EA0673" w:rsidRPr="00996898" w:rsidRDefault="00EA0673" w:rsidP="00A92DE4">
            <w:pPr>
              <w:pStyle w:val="ListParagraph2"/>
              <w:spacing w:after="0" w:line="240" w:lineRule="auto"/>
              <w:ind w:left="69" w:right="12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</w:p>
        </w:tc>
      </w:tr>
      <w:tr w:rsidR="00EA0673" w:rsidRPr="00362B73" w:rsidTr="002154F9">
        <w:trPr>
          <w:trHeight w:val="590"/>
        </w:trPr>
        <w:tc>
          <w:tcPr>
            <w:tcW w:w="959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2.4.4.2.</w:t>
            </w:r>
          </w:p>
        </w:tc>
        <w:tc>
          <w:tcPr>
            <w:tcW w:w="3544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Memorandu noslēgšana starp Latvijas valdību un latviešu diasporas valstu valdībām par atbalstu ārzemju latviešu kultūras un izglītības attīstībai</w:t>
            </w:r>
            <w:r w:rsidRPr="00362B73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1092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2012.</w:t>
            </w:r>
          </w:p>
        </w:tc>
        <w:tc>
          <w:tcPr>
            <w:tcW w:w="1317" w:type="dxa"/>
            <w:tcBorders>
              <w:top w:val="dotted" w:sz="8" w:space="0" w:color="auto"/>
            </w:tcBorders>
          </w:tcPr>
          <w:p w:rsidR="00EA0673" w:rsidRPr="00996898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996898">
              <w:rPr>
                <w:sz w:val="20"/>
                <w:szCs w:val="20"/>
              </w:rPr>
              <w:t>ĀM, KM, IZM</w:t>
            </w:r>
          </w:p>
        </w:tc>
        <w:tc>
          <w:tcPr>
            <w:tcW w:w="2375" w:type="dxa"/>
            <w:tcBorders>
              <w:top w:val="dotted" w:sz="8" w:space="0" w:color="auto"/>
            </w:tcBorders>
          </w:tcPr>
          <w:p w:rsidR="00EA0673" w:rsidRPr="00362B73" w:rsidRDefault="00EA0673" w:rsidP="00A92DE4">
            <w:pPr>
              <w:ind w:left="69" w:right="125"/>
              <w:rPr>
                <w:sz w:val="20"/>
                <w:szCs w:val="20"/>
              </w:rPr>
            </w:pPr>
            <w:r w:rsidRPr="00362B73">
              <w:rPr>
                <w:sz w:val="20"/>
                <w:szCs w:val="20"/>
              </w:rPr>
              <w:t>Noslēgti memorandi starp Latvijas valdību un latviešu diasporas valstu valdībām par atbalstu ārzemju latviešu kultūras un izglītības attīstībai</w:t>
            </w:r>
          </w:p>
        </w:tc>
      </w:tr>
    </w:tbl>
    <w:p w:rsidR="0063712C" w:rsidRDefault="006050F9"/>
    <w:sectPr w:rsidR="0063712C" w:rsidSect="007A22E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F9" w:rsidRDefault="006050F9" w:rsidP="00EA0673">
      <w:r>
        <w:separator/>
      </w:r>
    </w:p>
  </w:endnote>
  <w:endnote w:type="continuationSeparator" w:id="0">
    <w:p w:rsidR="006050F9" w:rsidRDefault="006050F9" w:rsidP="00EA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F9" w:rsidRDefault="006050F9" w:rsidP="00EA0673">
      <w:r>
        <w:separator/>
      </w:r>
    </w:p>
  </w:footnote>
  <w:footnote w:type="continuationSeparator" w:id="0">
    <w:p w:rsidR="006050F9" w:rsidRDefault="006050F9" w:rsidP="00EA0673">
      <w:r>
        <w:continuationSeparator/>
      </w:r>
    </w:p>
  </w:footnote>
  <w:footnote w:id="1">
    <w:p w:rsidR="00EA0673" w:rsidRPr="00A33E2F" w:rsidRDefault="00EA0673" w:rsidP="00EA0673">
      <w:pPr>
        <w:pStyle w:val="FootnoteText"/>
        <w:spacing w:after="0" w:line="240" w:lineRule="auto"/>
        <w:rPr>
          <w:sz w:val="18"/>
          <w:szCs w:val="18"/>
          <w:lang w:val="lv-LV"/>
        </w:rPr>
      </w:pPr>
      <w:r w:rsidRPr="00A33E2F">
        <w:rPr>
          <w:rStyle w:val="FootnoteReference"/>
          <w:rFonts w:ascii="Times New Roman" w:hAnsi="Times New Roman"/>
          <w:sz w:val="18"/>
          <w:szCs w:val="18"/>
          <w:lang w:val="lv-LV"/>
        </w:rPr>
        <w:footnoteRef/>
      </w:r>
      <w:r>
        <w:rPr>
          <w:rFonts w:ascii="Times New Roman" w:hAnsi="Times New Roman"/>
          <w:sz w:val="18"/>
          <w:szCs w:val="18"/>
          <w:lang w:val="lv-LV"/>
        </w:rPr>
        <w:t xml:space="preserve"> Aplūkotie</w:t>
      </w:r>
      <w:r w:rsidRPr="00A33E2F">
        <w:rPr>
          <w:rFonts w:ascii="Times New Roman" w:hAnsi="Times New Roman"/>
          <w:sz w:val="18"/>
          <w:szCs w:val="18"/>
          <w:lang w:val="lv-LV"/>
        </w:rPr>
        <w:t xml:space="preserve"> tiešie darbības rezultāti attiecināti tikai uz rīcības politiku turpmāk</w:t>
      </w:r>
      <w:r>
        <w:rPr>
          <w:rFonts w:ascii="Times New Roman" w:hAnsi="Times New Roman"/>
          <w:sz w:val="18"/>
          <w:szCs w:val="18"/>
          <w:lang w:val="lv-LV"/>
        </w:rPr>
        <w:t>ajiem diviem gadiem (2012–</w:t>
      </w:r>
      <w:r w:rsidRPr="00A33E2F">
        <w:rPr>
          <w:rFonts w:ascii="Times New Roman" w:hAnsi="Times New Roman"/>
          <w:sz w:val="18"/>
          <w:szCs w:val="18"/>
          <w:lang w:val="lv-LV"/>
        </w:rPr>
        <w:t>2013). Pēc plānošanas dokumenta pirmā posma vides un ietekmes novērtējuma tiks izstrādāts pamatnostādņu īstenoš</w:t>
      </w:r>
      <w:r>
        <w:rPr>
          <w:rFonts w:ascii="Times New Roman" w:hAnsi="Times New Roman"/>
          <w:sz w:val="18"/>
          <w:szCs w:val="18"/>
          <w:lang w:val="lv-LV"/>
        </w:rPr>
        <w:t>anas plāns nākamajam periodam –</w:t>
      </w:r>
      <w:r w:rsidRPr="00A33E2F">
        <w:rPr>
          <w:rFonts w:ascii="Times New Roman" w:hAnsi="Times New Roman"/>
          <w:sz w:val="18"/>
          <w:szCs w:val="18"/>
          <w:lang w:val="lv-LV"/>
        </w:rPr>
        <w:t xml:space="preserve"> 2014.</w:t>
      </w:r>
      <w:r>
        <w:rPr>
          <w:rFonts w:ascii="Times New Roman" w:hAnsi="Times New Roman"/>
          <w:sz w:val="18"/>
          <w:szCs w:val="18"/>
          <w:lang w:val="lv-LV"/>
        </w:rPr>
        <w:t>–</w:t>
      </w:r>
      <w:r w:rsidRPr="00A33E2F">
        <w:rPr>
          <w:rFonts w:ascii="Times New Roman" w:hAnsi="Times New Roman"/>
          <w:sz w:val="18"/>
          <w:szCs w:val="18"/>
          <w:lang w:val="lv-LV"/>
        </w:rPr>
        <w:t>2015.gadam.</w:t>
      </w:r>
    </w:p>
  </w:footnote>
  <w:footnote w:id="2">
    <w:p w:rsidR="00EA0673" w:rsidRPr="003F507D" w:rsidRDefault="00EA0673" w:rsidP="00EA0673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3F507D">
        <w:rPr>
          <w:rStyle w:val="FootnoteReference"/>
          <w:rFonts w:ascii="Times New Roman" w:hAnsi="Times New Roman"/>
          <w:sz w:val="18"/>
          <w:szCs w:val="18"/>
          <w:lang w:val="lv-LV"/>
        </w:rPr>
        <w:footnoteRef/>
      </w:r>
      <w:r w:rsidRPr="003F507D">
        <w:rPr>
          <w:rFonts w:ascii="Times New Roman" w:hAnsi="Times New Roman"/>
          <w:sz w:val="18"/>
          <w:szCs w:val="18"/>
          <w:lang w:val="lv-LV"/>
        </w:rPr>
        <w:t xml:space="preserve"> Pasākums saskaņā ar Valsts valodas</w:t>
      </w:r>
      <w:r>
        <w:rPr>
          <w:rFonts w:ascii="Times New Roman" w:hAnsi="Times New Roman"/>
          <w:sz w:val="18"/>
          <w:szCs w:val="18"/>
          <w:lang w:val="lv-LV"/>
        </w:rPr>
        <w:t xml:space="preserve"> politikas pamatnostādnēm 2005.–</w:t>
      </w:r>
      <w:r w:rsidRPr="003F507D">
        <w:rPr>
          <w:rFonts w:ascii="Times New Roman" w:hAnsi="Times New Roman"/>
          <w:sz w:val="18"/>
          <w:szCs w:val="18"/>
          <w:lang w:val="lv-LV"/>
        </w:rPr>
        <w:t xml:space="preserve">2014. gadam. </w:t>
      </w:r>
    </w:p>
  </w:footnote>
  <w:footnote w:id="3">
    <w:p w:rsidR="00EA0673" w:rsidRPr="003F507D" w:rsidRDefault="00EA0673" w:rsidP="00EA0673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3F507D">
        <w:rPr>
          <w:rStyle w:val="FootnoteReference"/>
          <w:rFonts w:ascii="Times New Roman" w:hAnsi="Times New Roman"/>
          <w:sz w:val="18"/>
          <w:szCs w:val="18"/>
          <w:lang w:val="lv-LV"/>
        </w:rPr>
        <w:footnoteRef/>
      </w:r>
      <w:r>
        <w:rPr>
          <w:rFonts w:ascii="Times New Roman" w:hAnsi="Times New Roman"/>
          <w:sz w:val="18"/>
          <w:szCs w:val="18"/>
          <w:lang w:val="lv-LV"/>
        </w:rPr>
        <w:t xml:space="preserve"> KM atbildīgā, jo šā</w:t>
      </w:r>
      <w:r w:rsidRPr="003F507D">
        <w:rPr>
          <w:rFonts w:ascii="Times New Roman" w:hAnsi="Times New Roman"/>
          <w:sz w:val="18"/>
          <w:szCs w:val="18"/>
          <w:lang w:val="lv-LV"/>
        </w:rPr>
        <w:t xml:space="preserve"> pasākuma īstenošanai iespējami papildu finanšu līdzekļi no ETVVPF.</w:t>
      </w:r>
    </w:p>
  </w:footnote>
  <w:footnote w:id="4">
    <w:p w:rsidR="00EA0673" w:rsidRPr="00996898" w:rsidRDefault="00EA0673" w:rsidP="00EA0673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3F507D">
        <w:rPr>
          <w:rStyle w:val="FootnoteReference"/>
          <w:rFonts w:ascii="Times New Roman" w:hAnsi="Times New Roman"/>
          <w:sz w:val="18"/>
          <w:szCs w:val="18"/>
          <w:lang w:val="lv-LV"/>
        </w:rPr>
        <w:footnoteRef/>
      </w:r>
      <w:r w:rsidRPr="003F507D">
        <w:rPr>
          <w:rFonts w:ascii="Times New Roman" w:hAnsi="Times New Roman"/>
          <w:sz w:val="18"/>
          <w:szCs w:val="18"/>
          <w:lang w:val="lv-LV"/>
        </w:rPr>
        <w:t xml:space="preserve">KM </w:t>
      </w:r>
      <w:r>
        <w:rPr>
          <w:rFonts w:ascii="Times New Roman" w:hAnsi="Times New Roman"/>
          <w:sz w:val="18"/>
          <w:szCs w:val="18"/>
          <w:lang w:val="lv-LV"/>
        </w:rPr>
        <w:t xml:space="preserve">ir </w:t>
      </w:r>
      <w:r w:rsidRPr="003F507D">
        <w:rPr>
          <w:rFonts w:ascii="Times New Roman" w:hAnsi="Times New Roman"/>
          <w:sz w:val="18"/>
          <w:szCs w:val="18"/>
          <w:lang w:val="lv-LV"/>
        </w:rPr>
        <w:t xml:space="preserve">atbildīgā par latviešu valodas pasākumiem tikai tajos gadījumos, kad pasākuma finansēšanas avots ir EEZ finanšu instruments vai ETVVPF. </w:t>
      </w:r>
      <w:r w:rsidRPr="00996898">
        <w:rPr>
          <w:rFonts w:ascii="Times New Roman" w:hAnsi="Times New Roman"/>
          <w:sz w:val="18"/>
          <w:szCs w:val="18"/>
          <w:lang w:val="lv-LV"/>
        </w:rPr>
        <w:t>Latviešu valodas apguve un apguves sistēmas attīstības pasākumi tiek plānoti un atbalstīti sadarbībā ar IZM un atbilstoši valstī noteiktajiem valodas apguves principiem.</w:t>
      </w:r>
    </w:p>
  </w:footnote>
  <w:footnote w:id="5">
    <w:p w:rsidR="00EA0673" w:rsidRPr="007225FA" w:rsidRDefault="00EA0673" w:rsidP="00EA0673">
      <w:pPr>
        <w:jc w:val="both"/>
        <w:rPr>
          <w:sz w:val="18"/>
          <w:szCs w:val="18"/>
        </w:rPr>
      </w:pPr>
      <w:r w:rsidRPr="007225FA">
        <w:rPr>
          <w:rStyle w:val="FootnoteReference"/>
          <w:sz w:val="18"/>
          <w:szCs w:val="18"/>
        </w:rPr>
        <w:footnoteRef/>
      </w:r>
      <w:r w:rsidRPr="007225FA">
        <w:rPr>
          <w:sz w:val="18"/>
          <w:szCs w:val="18"/>
        </w:rPr>
        <w:t xml:space="preserve"> Saskaņā ar </w:t>
      </w:r>
      <w:r w:rsidRPr="007225FA">
        <w:rPr>
          <w:bCs/>
          <w:color w:val="2A2A2A"/>
          <w:sz w:val="18"/>
          <w:szCs w:val="18"/>
        </w:rPr>
        <w:t xml:space="preserve">Deklarāciju par Valda </w:t>
      </w:r>
      <w:proofErr w:type="spellStart"/>
      <w:r w:rsidRPr="007225FA">
        <w:rPr>
          <w:bCs/>
          <w:color w:val="2A2A2A"/>
          <w:sz w:val="18"/>
          <w:szCs w:val="18"/>
        </w:rPr>
        <w:t>Dombrovska</w:t>
      </w:r>
      <w:proofErr w:type="spellEnd"/>
      <w:r w:rsidRPr="007225FA">
        <w:rPr>
          <w:bCs/>
          <w:color w:val="2A2A2A"/>
          <w:sz w:val="18"/>
          <w:szCs w:val="18"/>
        </w:rPr>
        <w:t xml:space="preserve"> vadītā Min</w:t>
      </w:r>
      <w:r>
        <w:rPr>
          <w:bCs/>
          <w:color w:val="2A2A2A"/>
          <w:sz w:val="18"/>
          <w:szCs w:val="18"/>
        </w:rPr>
        <w:t>istru kabineta iecerēto darbību</w:t>
      </w:r>
      <w:r w:rsidRPr="007225FA">
        <w:rPr>
          <w:bCs/>
          <w:color w:val="2A2A2A"/>
          <w:sz w:val="18"/>
          <w:szCs w:val="18"/>
        </w:rPr>
        <w:t xml:space="preserve"> </w:t>
      </w:r>
      <w:r w:rsidRPr="007225FA">
        <w:rPr>
          <w:color w:val="2A2A2A"/>
          <w:sz w:val="18"/>
          <w:szCs w:val="18"/>
        </w:rPr>
        <w:t xml:space="preserve">ĀM </w:t>
      </w:r>
      <w:r w:rsidRPr="007225FA">
        <w:rPr>
          <w:sz w:val="18"/>
          <w:szCs w:val="18"/>
        </w:rPr>
        <w:t xml:space="preserve">noteikta kā atbildīgā institūcija </w:t>
      </w:r>
      <w:r w:rsidRPr="007225FA">
        <w:rPr>
          <w:color w:val="2A2A2A"/>
          <w:sz w:val="18"/>
          <w:szCs w:val="18"/>
        </w:rPr>
        <w:t>latviešu diasporai veltītas programmas izstrādei un īstenošanai. 2011.gada</w:t>
      </w:r>
      <w:r w:rsidRPr="007225FA">
        <w:rPr>
          <w:color w:val="333333"/>
          <w:sz w:val="18"/>
          <w:szCs w:val="18"/>
        </w:rPr>
        <w:t xml:space="preserve"> 6.janvārī  ir parakstīts </w:t>
      </w:r>
      <w:r w:rsidRPr="007225FA">
        <w:rPr>
          <w:sz w:val="18"/>
          <w:szCs w:val="18"/>
        </w:rPr>
        <w:t>Ārlietu ministrijas un Pasaules brīvo latviešu apvienības sadarbības memorands.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032"/>
      <w:docPartObj>
        <w:docPartGallery w:val="Page Numbers (Top of Page)"/>
        <w:docPartUnique/>
      </w:docPartObj>
    </w:sdtPr>
    <w:sdtContent>
      <w:p w:rsidR="007A22EE" w:rsidRDefault="00DA1E4D">
        <w:pPr>
          <w:pStyle w:val="Header"/>
          <w:jc w:val="center"/>
        </w:pPr>
        <w:fldSimple w:instr=" PAGE   \* MERGEFORMAT ">
          <w:r w:rsidR="003359D3">
            <w:rPr>
              <w:noProof/>
            </w:rPr>
            <w:t>2</w:t>
          </w:r>
        </w:fldSimple>
      </w:p>
    </w:sdtContent>
  </w:sdt>
  <w:p w:rsidR="00AF3613" w:rsidRPr="00AF3613" w:rsidRDefault="00AF3613" w:rsidP="00AF3613">
    <w:pPr>
      <w:pStyle w:val="Header"/>
      <w:jc w:val="right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A0673"/>
    <w:rsid w:val="00150C57"/>
    <w:rsid w:val="001B3CFF"/>
    <w:rsid w:val="002154F9"/>
    <w:rsid w:val="002632DD"/>
    <w:rsid w:val="002B6588"/>
    <w:rsid w:val="002C0CE6"/>
    <w:rsid w:val="0030285E"/>
    <w:rsid w:val="00306532"/>
    <w:rsid w:val="003359D3"/>
    <w:rsid w:val="00392BC9"/>
    <w:rsid w:val="0043026B"/>
    <w:rsid w:val="00446167"/>
    <w:rsid w:val="004E0455"/>
    <w:rsid w:val="00591B52"/>
    <w:rsid w:val="005F5643"/>
    <w:rsid w:val="006050F9"/>
    <w:rsid w:val="006436F6"/>
    <w:rsid w:val="00652A1C"/>
    <w:rsid w:val="00690E1B"/>
    <w:rsid w:val="007A22EE"/>
    <w:rsid w:val="007E4815"/>
    <w:rsid w:val="00843AB1"/>
    <w:rsid w:val="00876B7B"/>
    <w:rsid w:val="008809D1"/>
    <w:rsid w:val="008B58A0"/>
    <w:rsid w:val="00936D28"/>
    <w:rsid w:val="00996898"/>
    <w:rsid w:val="00A50C8C"/>
    <w:rsid w:val="00AF3613"/>
    <w:rsid w:val="00BA2551"/>
    <w:rsid w:val="00C20A0C"/>
    <w:rsid w:val="00CF6529"/>
    <w:rsid w:val="00DA1E4D"/>
    <w:rsid w:val="00DC141D"/>
    <w:rsid w:val="00E330E4"/>
    <w:rsid w:val="00E535E3"/>
    <w:rsid w:val="00EA0673"/>
    <w:rsid w:val="00EB1155"/>
    <w:rsid w:val="00EB4931"/>
    <w:rsid w:val="00ED2BBA"/>
    <w:rsid w:val="00EF500A"/>
    <w:rsid w:val="00F05805"/>
    <w:rsid w:val="00F61573"/>
    <w:rsid w:val="00F86E0A"/>
    <w:rsid w:val="00FA6051"/>
    <w:rsid w:val="00FB5E9A"/>
    <w:rsid w:val="00FB7F93"/>
    <w:rsid w:val="00F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73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99"/>
    <w:qFormat/>
    <w:rsid w:val="00EA0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aliases w:val="Footnote Reference Number,Footnote symbol,Footnote Refernece"/>
    <w:uiPriority w:val="99"/>
    <w:rsid w:val="00EA0673"/>
    <w:rPr>
      <w:rFonts w:cs="Times New Roman"/>
      <w:vertAlign w:val="superscript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rsid w:val="00EA067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uiPriority w:val="99"/>
    <w:rsid w:val="00EA0673"/>
    <w:rPr>
      <w:rFonts w:ascii="Calibri" w:eastAsia="Calibri" w:hAnsi="Calibri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AF3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13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AF36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613"/>
    <w:rPr>
      <w:rFonts w:eastAsia="Times New Roman"/>
      <w:lang w:eastAsia="lv-LV"/>
    </w:rPr>
  </w:style>
  <w:style w:type="table" w:styleId="TableGrid">
    <w:name w:val="Table Grid"/>
    <w:basedOn w:val="TableNormal"/>
    <w:uiPriority w:val="59"/>
    <w:rsid w:val="007A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0D6B1-3045-4541-862C-5C6CE2E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4.pielikums</vt:lpstr>
    </vt:vector>
  </TitlesOfParts>
  <Company> 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/>
  <dc:creator>vernstsone</dc:creator>
  <cp:keywords/>
  <dc:description>vineta.ernstsone@izm.gov.lv</dc:description>
  <cp:lastModifiedBy>by none</cp:lastModifiedBy>
  <cp:revision>13</cp:revision>
  <dcterms:created xsi:type="dcterms:W3CDTF">2013-04-16T09:13:00Z</dcterms:created>
  <dcterms:modified xsi:type="dcterms:W3CDTF">2013-08-20T20:35:00Z</dcterms:modified>
</cp:coreProperties>
</file>