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1D" w:rsidRPr="008668BB" w:rsidRDefault="00B4391D" w:rsidP="008668BB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8668BB">
        <w:rPr>
          <w:b/>
          <w:sz w:val="28"/>
          <w:szCs w:val="28"/>
        </w:rPr>
        <w:t xml:space="preserve">Ministru kabineta noteikumu projekta </w:t>
      </w:r>
    </w:p>
    <w:p w:rsidR="00B4391D" w:rsidRPr="008668BB" w:rsidRDefault="00B4391D" w:rsidP="008668BB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8668BB">
        <w:rPr>
          <w:b/>
          <w:sz w:val="28"/>
          <w:szCs w:val="28"/>
        </w:rPr>
        <w:t xml:space="preserve">“Par grozījumiem Līgumā </w:t>
      </w:r>
      <w:r w:rsidRPr="008668BB">
        <w:rPr>
          <w:b/>
          <w:sz w:val="28"/>
          <w:szCs w:val="28"/>
          <w:shd w:val="clear" w:color="auto" w:fill="FFFFFF"/>
        </w:rPr>
        <w:t>starp EUREKA Sekretariātu un Latvijas Republikas Izglītības un zinātnes ministriju”</w:t>
      </w:r>
    </w:p>
    <w:p w:rsidR="009333A0" w:rsidRPr="008668BB" w:rsidRDefault="009333A0" w:rsidP="008668BB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8668BB">
        <w:rPr>
          <w:b/>
          <w:sz w:val="28"/>
          <w:szCs w:val="28"/>
        </w:rPr>
        <w:t>sākotnējās ietekmes novērtējuma ziņojums (anotācija)</w:t>
      </w:r>
    </w:p>
    <w:p w:rsidR="009333A0" w:rsidRPr="008668BB" w:rsidRDefault="009333A0" w:rsidP="008668BB">
      <w:pPr>
        <w:pStyle w:val="naisnod"/>
        <w:spacing w:before="0" w:beforeAutospacing="0" w:after="0" w:afterAutospacing="0"/>
        <w:jc w:val="center"/>
        <w:rPr>
          <w:sz w:val="28"/>
          <w:szCs w:val="28"/>
        </w:rPr>
      </w:pPr>
    </w:p>
    <w:p w:rsidR="0026769D" w:rsidRPr="008668BB" w:rsidRDefault="0026769D" w:rsidP="008668BB">
      <w:pPr>
        <w:pStyle w:val="naisnod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214" w:type="dxa"/>
        <w:tblCellSpacing w:w="0" w:type="dxa"/>
        <w:tblInd w:w="-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6"/>
        <w:gridCol w:w="3269"/>
        <w:gridCol w:w="4649"/>
      </w:tblGrid>
      <w:tr w:rsidR="009333A0" w:rsidRPr="008668BB" w:rsidTr="00FB05C9">
        <w:trPr>
          <w:tblCellSpacing w:w="0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33A0" w:rsidRPr="008668BB" w:rsidRDefault="009333A0" w:rsidP="008668BB">
            <w:pPr>
              <w:pStyle w:val="nais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68BB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9333A0" w:rsidRPr="008668BB" w:rsidTr="00FB05C9">
        <w:trPr>
          <w:trHeight w:val="630"/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1.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lab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Pamatojums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FB0" w:rsidRDefault="009333A0" w:rsidP="008668BB">
            <w:pPr>
              <w:pStyle w:val="naiskr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Ministru kabineta noteikumu projekts</w:t>
            </w:r>
            <w:r w:rsidR="0047703A" w:rsidRPr="008668BB">
              <w:rPr>
                <w:sz w:val="28"/>
                <w:szCs w:val="28"/>
              </w:rPr>
              <w:t xml:space="preserve"> „Par grozījumiem </w:t>
            </w:r>
            <w:r w:rsidR="008668BB" w:rsidRPr="008668BB">
              <w:rPr>
                <w:sz w:val="28"/>
                <w:szCs w:val="28"/>
              </w:rPr>
              <w:t xml:space="preserve">Līgumā </w:t>
            </w:r>
            <w:r w:rsidR="0047703A" w:rsidRPr="008668BB">
              <w:rPr>
                <w:sz w:val="28"/>
                <w:szCs w:val="28"/>
                <w:shd w:val="clear" w:color="auto" w:fill="FFFFFF"/>
              </w:rPr>
              <w:t>starp EUREKA Sekretariātu un Latvijas Republikas Iz</w:t>
            </w:r>
            <w:r w:rsidR="008668BB" w:rsidRPr="008668BB">
              <w:rPr>
                <w:sz w:val="28"/>
                <w:szCs w:val="28"/>
                <w:shd w:val="clear" w:color="auto" w:fill="FFFFFF"/>
              </w:rPr>
              <w:t>glītības un zinātnes ministriju</w:t>
            </w:r>
            <w:r w:rsidR="0047703A" w:rsidRPr="008668BB">
              <w:rPr>
                <w:sz w:val="28"/>
                <w:szCs w:val="28"/>
                <w:shd w:val="clear" w:color="auto" w:fill="FFFFFF"/>
              </w:rPr>
              <w:t>” (turpmāk – noteikumu projekts)</w:t>
            </w:r>
            <w:r w:rsidRPr="008668BB">
              <w:rPr>
                <w:sz w:val="28"/>
                <w:szCs w:val="28"/>
              </w:rPr>
              <w:t xml:space="preserve"> izstrādāts</w:t>
            </w:r>
            <w:r w:rsidR="0047703A" w:rsidRPr="008668BB">
              <w:rPr>
                <w:sz w:val="28"/>
                <w:szCs w:val="28"/>
              </w:rPr>
              <w:t xml:space="preserve"> saskaņā ar</w:t>
            </w:r>
            <w:r w:rsidR="0000492A" w:rsidRPr="008668BB">
              <w:rPr>
                <w:sz w:val="28"/>
                <w:szCs w:val="28"/>
              </w:rPr>
              <w:t xml:space="preserve">: </w:t>
            </w:r>
          </w:p>
          <w:p w:rsidR="00D67FB0" w:rsidRDefault="0047703A" w:rsidP="008668BB">
            <w:pPr>
              <w:pStyle w:val="naiskr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 w:rsidRPr="008668BB">
              <w:rPr>
                <w:rFonts w:eastAsia="Calibri"/>
                <w:sz w:val="28"/>
                <w:szCs w:val="28"/>
              </w:rPr>
              <w:t xml:space="preserve">1) </w:t>
            </w:r>
            <w:proofErr w:type="spellStart"/>
            <w:r w:rsidRPr="008668BB">
              <w:rPr>
                <w:rFonts w:eastAsia="Calibri"/>
                <w:i/>
                <w:sz w:val="28"/>
                <w:szCs w:val="28"/>
              </w:rPr>
              <w:t>Euro</w:t>
            </w:r>
            <w:proofErr w:type="spellEnd"/>
            <w:r w:rsidRPr="008668BB">
              <w:rPr>
                <w:rFonts w:eastAsia="Calibri"/>
                <w:sz w:val="28"/>
                <w:szCs w:val="28"/>
              </w:rPr>
              <w:t xml:space="preserve"> ieviešanas kārtības likuma 30.panta pirmo daļu;</w:t>
            </w:r>
            <w:r w:rsidR="0000492A" w:rsidRPr="008668BB">
              <w:rPr>
                <w:sz w:val="28"/>
                <w:szCs w:val="28"/>
              </w:rPr>
              <w:t xml:space="preserve"> </w:t>
            </w:r>
          </w:p>
          <w:p w:rsidR="009333A0" w:rsidRDefault="0047703A" w:rsidP="008668BB">
            <w:pPr>
              <w:pStyle w:val="naiskr"/>
              <w:spacing w:before="0" w:beforeAutospacing="0" w:after="0" w:afterAutospacing="0"/>
              <w:ind w:left="57"/>
              <w:jc w:val="both"/>
              <w:rPr>
                <w:rFonts w:eastAsia="Calibri"/>
                <w:sz w:val="28"/>
                <w:szCs w:val="28"/>
              </w:rPr>
            </w:pPr>
            <w:r w:rsidRPr="008668BB">
              <w:rPr>
                <w:rFonts w:eastAsia="Calibri"/>
                <w:sz w:val="28"/>
                <w:szCs w:val="28"/>
              </w:rPr>
              <w:t>2) Ministru kabineta 2012.gada 27.jūnija rīkojuma Nr.282 „Par Koncepciju par normatīvo aktu sakārtošanu saistībā ar eiro ievešanu Latvijā” 7.1.apakšpunktu</w:t>
            </w:r>
            <w:r w:rsidR="00340037">
              <w:rPr>
                <w:rFonts w:eastAsia="Calibri"/>
                <w:sz w:val="28"/>
                <w:szCs w:val="28"/>
              </w:rPr>
              <w:t>;</w:t>
            </w:r>
          </w:p>
          <w:p w:rsidR="00D67FB0" w:rsidRPr="00340037" w:rsidRDefault="00340037" w:rsidP="00340037">
            <w:pPr>
              <w:pStyle w:val="naiskr"/>
              <w:spacing w:before="0" w:beforeAutospacing="0" w:after="0" w:afterAutospacing="0"/>
              <w:ind w:lef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3)Ministru kabineta iekārtas likuma31.panta pirmās daļas 2.punkts. </w:t>
            </w:r>
          </w:p>
        </w:tc>
      </w:tr>
      <w:tr w:rsidR="009333A0" w:rsidRPr="008668BB" w:rsidTr="00FB05C9">
        <w:trPr>
          <w:trHeight w:val="472"/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2.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Pašreizējā situācija un problēmas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82" w:rsidRPr="008668BB" w:rsidRDefault="000B7582" w:rsidP="008668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Līgums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starp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EUREKA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Sekretariātu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un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Latvijas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Republikas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Izglītības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un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zinātnes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ministriju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turpmāk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Līgums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>) (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apstiprināts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ar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2011.gada 12.aprīļa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Ministru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kabineta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noteikumiem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Nr.289) </w:t>
            </w:r>
            <w:r w:rsidRPr="008668BB">
              <w:rPr>
                <w:sz w:val="28"/>
                <w:szCs w:val="28"/>
              </w:rPr>
              <w:t> </w:t>
            </w:r>
            <w:r w:rsidRPr="008668BB">
              <w:rPr>
                <w:sz w:val="28"/>
                <w:szCs w:val="28"/>
                <w:lang w:val="lv-LV"/>
              </w:rPr>
              <w:t>nosaka</w:t>
            </w:r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noteikumus</w:t>
            </w:r>
            <w:proofErr w:type="spellEnd"/>
            <w:r w:rsidRPr="008668BB">
              <w:rPr>
                <w:sz w:val="28"/>
                <w:szCs w:val="28"/>
              </w:rPr>
              <w:t xml:space="preserve"> un</w:t>
            </w:r>
            <w:r w:rsidRPr="008668BB">
              <w:rPr>
                <w:sz w:val="28"/>
                <w:szCs w:val="28"/>
                <w:lang w:val="lv-LV"/>
              </w:rPr>
              <w:t xml:space="preserve"> nosacījumus</w:t>
            </w:r>
            <w:r w:rsidRPr="008668BB">
              <w:rPr>
                <w:sz w:val="28"/>
                <w:szCs w:val="28"/>
              </w:rPr>
              <w:t xml:space="preserve"> par: 1) </w:t>
            </w:r>
            <w:proofErr w:type="spellStart"/>
            <w:r w:rsidRPr="008668BB">
              <w:rPr>
                <w:sz w:val="28"/>
                <w:szCs w:val="28"/>
              </w:rPr>
              <w:t>ikgadējām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finansiālajām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saistībām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kopīgajā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programmā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Eurostars</w:t>
            </w:r>
            <w:proofErr w:type="spellEnd"/>
            <w:r w:rsidRPr="008668BB">
              <w:rPr>
                <w:sz w:val="28"/>
                <w:szCs w:val="28"/>
              </w:rPr>
              <w:t xml:space="preserve"> (</w:t>
            </w:r>
            <w:proofErr w:type="spellStart"/>
            <w:r w:rsidRPr="008668BB">
              <w:rPr>
                <w:sz w:val="28"/>
                <w:szCs w:val="28"/>
              </w:rPr>
              <w:t>turpmāk</w:t>
            </w:r>
            <w:proofErr w:type="spellEnd"/>
            <w:r w:rsidRPr="008668BB">
              <w:rPr>
                <w:sz w:val="28"/>
                <w:szCs w:val="28"/>
              </w:rPr>
              <w:t xml:space="preserve"> – </w:t>
            </w:r>
            <w:proofErr w:type="spellStart"/>
            <w:r w:rsidRPr="008668BB">
              <w:rPr>
                <w:sz w:val="28"/>
                <w:szCs w:val="28"/>
              </w:rPr>
              <w:t>programma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Eurostars</w:t>
            </w:r>
            <w:proofErr w:type="spellEnd"/>
            <w:r w:rsidRPr="008668BB">
              <w:rPr>
                <w:sz w:val="28"/>
                <w:szCs w:val="28"/>
              </w:rPr>
              <w:t xml:space="preserve">); 2) </w:t>
            </w:r>
            <w:proofErr w:type="spellStart"/>
            <w:r w:rsidRPr="008668BB">
              <w:rPr>
                <w:sz w:val="28"/>
                <w:szCs w:val="28"/>
              </w:rPr>
              <w:t>finansiālo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atbalstu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programmas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Eurostars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dalībniekiem</w:t>
            </w:r>
            <w:proofErr w:type="spellEnd"/>
            <w:r w:rsidRPr="008668BB">
              <w:rPr>
                <w:sz w:val="28"/>
                <w:szCs w:val="28"/>
              </w:rPr>
              <w:t xml:space="preserve">; 3) EUREKA </w:t>
            </w:r>
            <w:proofErr w:type="spellStart"/>
            <w:r w:rsidRPr="008668BB">
              <w:rPr>
                <w:sz w:val="28"/>
                <w:szCs w:val="28"/>
              </w:rPr>
              <w:t>Sekretariāta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veiktā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Eiropas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Savienības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finansiālā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ieguldījuma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sadalījumu</w:t>
            </w:r>
            <w:proofErr w:type="spellEnd"/>
            <w:r w:rsidRPr="008668BB">
              <w:rPr>
                <w:sz w:val="28"/>
                <w:szCs w:val="28"/>
              </w:rPr>
              <w:t xml:space="preserve"> un </w:t>
            </w:r>
            <w:proofErr w:type="spellStart"/>
            <w:r w:rsidRPr="008668BB">
              <w:rPr>
                <w:sz w:val="28"/>
                <w:szCs w:val="28"/>
              </w:rPr>
              <w:t>izmantošanu</w:t>
            </w:r>
            <w:proofErr w:type="spellEnd"/>
            <w:r w:rsidRPr="008668BB">
              <w:rPr>
                <w:sz w:val="28"/>
                <w:szCs w:val="28"/>
              </w:rPr>
              <w:t xml:space="preserve">, </w:t>
            </w:r>
            <w:proofErr w:type="spellStart"/>
            <w:r w:rsidRPr="008668BB">
              <w:rPr>
                <w:sz w:val="28"/>
                <w:szCs w:val="28"/>
              </w:rPr>
              <w:t>kas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seko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tās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faktiskajiem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finansiālā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atbalsta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maksājumiem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programmas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Eurostars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dalībniekiem</w:t>
            </w:r>
            <w:proofErr w:type="spellEnd"/>
            <w:r w:rsidRPr="008668BB">
              <w:rPr>
                <w:sz w:val="28"/>
                <w:szCs w:val="28"/>
              </w:rPr>
              <w:t xml:space="preserve">; 4) </w:t>
            </w:r>
            <w:proofErr w:type="spellStart"/>
            <w:r w:rsidRPr="008668BB">
              <w:rPr>
                <w:sz w:val="28"/>
                <w:szCs w:val="28"/>
              </w:rPr>
              <w:t>fondu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kontroles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līdzekļiem</w:t>
            </w:r>
            <w:proofErr w:type="spellEnd"/>
            <w:r w:rsidRPr="008668BB">
              <w:rPr>
                <w:sz w:val="28"/>
                <w:szCs w:val="28"/>
              </w:rPr>
              <w:t xml:space="preserve">, par </w:t>
            </w:r>
            <w:proofErr w:type="spellStart"/>
            <w:r w:rsidRPr="008668BB">
              <w:rPr>
                <w:sz w:val="28"/>
                <w:szCs w:val="28"/>
              </w:rPr>
              <w:t>katra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pienācīgi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veiktā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maksājuma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atgūšanu</w:t>
            </w:r>
            <w:proofErr w:type="spellEnd"/>
            <w:r w:rsidRPr="008668BB">
              <w:rPr>
                <w:sz w:val="28"/>
                <w:szCs w:val="28"/>
              </w:rPr>
              <w:t xml:space="preserve"> un </w:t>
            </w:r>
            <w:proofErr w:type="spellStart"/>
            <w:r w:rsidRPr="008668BB">
              <w:rPr>
                <w:sz w:val="28"/>
                <w:szCs w:val="28"/>
              </w:rPr>
              <w:t>pienācīgu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Eiropas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Savienības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finansiālo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lastRenderedPageBreak/>
              <w:t>interešu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aizsardzību</w:t>
            </w:r>
            <w:proofErr w:type="spellEnd"/>
            <w:r w:rsidRPr="008668BB">
              <w:rPr>
                <w:sz w:val="28"/>
                <w:szCs w:val="28"/>
              </w:rPr>
              <w:t xml:space="preserve"> un 5) </w:t>
            </w:r>
            <w:proofErr w:type="spellStart"/>
            <w:r w:rsidRPr="008668BB">
              <w:rPr>
                <w:sz w:val="28"/>
                <w:szCs w:val="28"/>
              </w:rPr>
              <w:t>programmas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Eurostars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intelektuālā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īpašuma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tiesību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politiku</w:t>
            </w:r>
            <w:proofErr w:type="spellEnd"/>
            <w:r w:rsidRPr="008668BB">
              <w:rPr>
                <w:sz w:val="28"/>
                <w:szCs w:val="28"/>
              </w:rPr>
              <w:t>.</w:t>
            </w:r>
          </w:p>
          <w:p w:rsidR="006111D8" w:rsidRPr="008668BB" w:rsidRDefault="000B7582" w:rsidP="008668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Latvijai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īstenojot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Līgumu</w:t>
            </w:r>
            <w:proofErr w:type="spellEnd"/>
            <w:r w:rsidR="00691356" w:rsidRPr="008668BB">
              <w:rPr>
                <w:sz w:val="28"/>
                <w:szCs w:val="28"/>
                <w:shd w:val="clear" w:color="auto" w:fill="FFFFFF"/>
              </w:rPr>
              <w:t>,</w:t>
            </w:r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tiek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izpildīts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Zinātniskās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darbības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likuma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13.p</w:t>
            </w:r>
            <w:r w:rsidR="00691356" w:rsidRPr="008668BB">
              <w:rPr>
                <w:sz w:val="28"/>
                <w:szCs w:val="28"/>
              </w:rPr>
              <w:t xml:space="preserve">anta </w:t>
            </w:r>
            <w:proofErr w:type="spellStart"/>
            <w:r w:rsidR="00691356" w:rsidRPr="008668BB">
              <w:rPr>
                <w:sz w:val="28"/>
                <w:szCs w:val="28"/>
              </w:rPr>
              <w:t>trešās</w:t>
            </w:r>
            <w:proofErr w:type="spellEnd"/>
            <w:r w:rsidR="00691356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691356" w:rsidRPr="008668BB">
              <w:rPr>
                <w:sz w:val="28"/>
                <w:szCs w:val="28"/>
              </w:rPr>
              <w:t>daļas</w:t>
            </w:r>
            <w:proofErr w:type="spellEnd"/>
            <w:r w:rsidR="00691356" w:rsidRPr="008668BB">
              <w:rPr>
                <w:sz w:val="28"/>
                <w:szCs w:val="28"/>
              </w:rPr>
              <w:t xml:space="preserve"> 4. </w:t>
            </w:r>
            <w:proofErr w:type="spellStart"/>
            <w:r w:rsidR="00691356" w:rsidRPr="008668BB">
              <w:rPr>
                <w:sz w:val="28"/>
                <w:szCs w:val="28"/>
              </w:rPr>
              <w:t>punkts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, </w:t>
            </w:r>
            <w:proofErr w:type="spellStart"/>
            <w:r w:rsidR="0047703A" w:rsidRPr="008668BB">
              <w:rPr>
                <w:sz w:val="28"/>
                <w:szCs w:val="28"/>
              </w:rPr>
              <w:t>kas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nosaka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, ka </w:t>
            </w:r>
            <w:proofErr w:type="spellStart"/>
            <w:r w:rsidR="0047703A" w:rsidRPr="008668BB">
              <w:rPr>
                <w:sz w:val="28"/>
                <w:szCs w:val="28"/>
              </w:rPr>
              <w:t>Izglītības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un </w:t>
            </w:r>
            <w:proofErr w:type="spellStart"/>
            <w:r w:rsidR="0047703A" w:rsidRPr="008668BB">
              <w:rPr>
                <w:sz w:val="28"/>
                <w:szCs w:val="28"/>
              </w:rPr>
              <w:t>zinātnes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ministrija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koordinē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starptautiskās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sadarbības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programmas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pētniecības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un </w:t>
            </w:r>
            <w:proofErr w:type="spellStart"/>
            <w:r w:rsidR="0047703A" w:rsidRPr="008668BB">
              <w:rPr>
                <w:sz w:val="28"/>
                <w:szCs w:val="28"/>
              </w:rPr>
              <w:t>tehnoloģiju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jomās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, un </w:t>
            </w:r>
            <w:proofErr w:type="spellStart"/>
            <w:r w:rsidR="0047703A" w:rsidRPr="008668BB">
              <w:rPr>
                <w:sz w:val="28"/>
                <w:szCs w:val="28"/>
              </w:rPr>
              <w:t>Ministru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kabineta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noteiktajā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kārtībā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nodrošina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atbalstu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dalībai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šajās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programmās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un </w:t>
            </w:r>
            <w:proofErr w:type="spellStart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>Deklarācijas</w:t>
            </w:r>
            <w:proofErr w:type="spellEnd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 xml:space="preserve"> par </w:t>
            </w:r>
            <w:proofErr w:type="spellStart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>Valda</w:t>
            </w:r>
            <w:proofErr w:type="spellEnd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>Dombrovska</w:t>
            </w:r>
            <w:proofErr w:type="spellEnd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>vadītā</w:t>
            </w:r>
            <w:proofErr w:type="spellEnd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>Ministru</w:t>
            </w:r>
            <w:proofErr w:type="spellEnd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>kabineta</w:t>
            </w:r>
            <w:proofErr w:type="spellEnd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>iecerēto</w:t>
            </w:r>
            <w:proofErr w:type="spellEnd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bCs/>
                <w:sz w:val="28"/>
                <w:szCs w:val="28"/>
                <w:shd w:val="clear" w:color="auto" w:fill="FFFFFF"/>
              </w:rPr>
              <w:t>darbību</w:t>
            </w:r>
            <w:proofErr w:type="spellEnd"/>
            <w:r w:rsidR="0047703A" w:rsidRPr="008668BB">
              <w:rPr>
                <w:sz w:val="28"/>
                <w:szCs w:val="28"/>
              </w:rPr>
              <w:t xml:space="preserve"> </w:t>
            </w:r>
            <w:r w:rsidR="002C1840" w:rsidRPr="008668BB">
              <w:rPr>
                <w:sz w:val="28"/>
                <w:szCs w:val="28"/>
              </w:rPr>
              <w:t xml:space="preserve">I </w:t>
            </w:r>
            <w:proofErr w:type="spellStart"/>
            <w:r w:rsidR="002C1840" w:rsidRPr="008668BB">
              <w:rPr>
                <w:sz w:val="28"/>
                <w:szCs w:val="28"/>
              </w:rPr>
              <w:t>sadaļā</w:t>
            </w:r>
            <w:proofErr w:type="spellEnd"/>
            <w:r w:rsidR="002C1840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2C1840" w:rsidRPr="008668BB">
              <w:rPr>
                <w:sz w:val="28"/>
                <w:szCs w:val="28"/>
              </w:rPr>
              <w:t>minēto</w:t>
            </w:r>
            <w:proofErr w:type="spellEnd"/>
            <w:r w:rsidR="002C1840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47703A" w:rsidRPr="008668BB">
              <w:rPr>
                <w:sz w:val="28"/>
                <w:szCs w:val="28"/>
              </w:rPr>
              <w:t>uzdevumu</w:t>
            </w:r>
            <w:proofErr w:type="spellEnd"/>
            <w:r w:rsidR="002C1840" w:rsidRPr="008668BB">
              <w:rPr>
                <w:sz w:val="28"/>
                <w:szCs w:val="28"/>
              </w:rPr>
              <w:t xml:space="preserve"> -</w:t>
            </w:r>
            <w:r w:rsidR="0047703A" w:rsidRPr="008668BB">
              <w:rPr>
                <w:sz w:val="28"/>
                <w:szCs w:val="28"/>
              </w:rPr>
              <w:t xml:space="preserve"> </w:t>
            </w:r>
            <w:proofErr w:type="spellStart"/>
            <w:r w:rsidR="002C1840" w:rsidRPr="008668BB">
              <w:rPr>
                <w:sz w:val="28"/>
                <w:szCs w:val="28"/>
                <w:shd w:val="clear" w:color="auto" w:fill="FFFFFF"/>
              </w:rPr>
              <w:t>veikt</w:t>
            </w:r>
            <w:proofErr w:type="spellEnd"/>
            <w:r w:rsidR="002C1840"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sz w:val="28"/>
                <w:szCs w:val="28"/>
                <w:shd w:val="clear" w:color="auto" w:fill="FFFFFF"/>
              </w:rPr>
              <w:t>stratēģiskas</w:t>
            </w:r>
            <w:proofErr w:type="spellEnd"/>
            <w:r w:rsidR="002C1840"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sz w:val="28"/>
                <w:szCs w:val="28"/>
                <w:shd w:val="clear" w:color="auto" w:fill="FFFFFF"/>
              </w:rPr>
              <w:t>investīcijas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zinātnē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saskaņā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ar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prioritāšu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principu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piesaistot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ES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fondus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kvalitāti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un (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starptautisku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zinātnisku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potenciālu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pierādījušos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konkrētos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pētnieciskos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projektos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zinātnes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un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tehnoloģijietilpīgos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projektos</w:t>
            </w:r>
            <w:proofErr w:type="spellEnd"/>
            <w:r w:rsidR="002C1840" w:rsidRPr="008668BB">
              <w:rPr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  <w:p w:rsidR="009333A0" w:rsidRPr="008668BB" w:rsidRDefault="006111D8" w:rsidP="008668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8668BB">
              <w:rPr>
                <w:sz w:val="28"/>
                <w:szCs w:val="28"/>
              </w:rPr>
              <w:t>Noteikumu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projekta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mērķis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ir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pielāgot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68BB">
              <w:rPr>
                <w:sz w:val="28"/>
                <w:szCs w:val="28"/>
              </w:rPr>
              <w:t>Līguma</w:t>
            </w:r>
            <w:proofErr w:type="spellEnd"/>
            <w:r w:rsidRPr="008668BB">
              <w:rPr>
                <w:sz w:val="28"/>
                <w:szCs w:val="28"/>
              </w:rPr>
              <w:t xml:space="preserve">  5.panta</w:t>
            </w:r>
            <w:proofErr w:type="gramEnd"/>
            <w:r w:rsidRPr="008668BB">
              <w:rPr>
                <w:sz w:val="28"/>
                <w:szCs w:val="28"/>
              </w:rPr>
              <w:t xml:space="preserve"> 5.3.punkta </w:t>
            </w:r>
            <w:proofErr w:type="spellStart"/>
            <w:r w:rsidRPr="008668BB">
              <w:rPr>
                <w:sz w:val="28"/>
                <w:szCs w:val="28"/>
              </w:rPr>
              <w:t>trešo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teikumu</w:t>
            </w:r>
            <w:proofErr w:type="spellEnd"/>
            <w:r w:rsidRPr="008668BB">
              <w:rPr>
                <w:sz w:val="28"/>
                <w:szCs w:val="28"/>
              </w:rPr>
              <w:t xml:space="preserve">, </w:t>
            </w:r>
            <w:proofErr w:type="spellStart"/>
            <w:r w:rsidRPr="008668BB">
              <w:rPr>
                <w:sz w:val="28"/>
                <w:szCs w:val="28"/>
              </w:rPr>
              <w:t>lai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ieviestu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r w:rsidRPr="008668BB">
              <w:rPr>
                <w:i/>
                <w:sz w:val="28"/>
                <w:szCs w:val="28"/>
              </w:rPr>
              <w:t>euro</w:t>
            </w:r>
            <w:r w:rsidRPr="008668BB">
              <w:rPr>
                <w:sz w:val="28"/>
                <w:szCs w:val="28"/>
              </w:rPr>
              <w:t xml:space="preserve">.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Tiesiskās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noteiktības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nodrošināšanai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ir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nepieciešams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grozīt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Līgumu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līdz</w:t>
            </w:r>
            <w:proofErr w:type="spellEnd"/>
            <w:r w:rsidRPr="008668B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668BB">
              <w:rPr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Pr="008668B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ieviešanas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dienai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tādēļ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noteikumu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projekts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sagatavots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atbilstoši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r w:rsidRPr="008668BB">
              <w:rPr>
                <w:i/>
                <w:iCs/>
                <w:sz w:val="28"/>
                <w:szCs w:val="28"/>
              </w:rPr>
              <w:t>Euro</w:t>
            </w:r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ieviešanas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kārtības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likuma</w:t>
            </w:r>
            <w:proofErr w:type="spellEnd"/>
            <w:r w:rsidRPr="008668BB">
              <w:rPr>
                <w:sz w:val="28"/>
                <w:szCs w:val="28"/>
              </w:rPr>
              <w:t xml:space="preserve"> 30.pantam.</w:t>
            </w:r>
          </w:p>
        </w:tc>
      </w:tr>
      <w:tr w:rsidR="009333A0" w:rsidRPr="008668BB" w:rsidTr="00FB05C9">
        <w:trPr>
          <w:trHeight w:val="512"/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Saistītie politikas ietekmes novērtējumi un pētījumi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6111D8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Noteikumu projekts šo jomu neskar.</w:t>
            </w:r>
          </w:p>
        </w:tc>
      </w:tr>
      <w:tr w:rsidR="009333A0" w:rsidRPr="008668BB" w:rsidTr="00FB05C9">
        <w:trPr>
          <w:trHeight w:val="384"/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4.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Tiesiskā regulējuma mērķis un būtība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1840" w:rsidRPr="008668BB" w:rsidRDefault="002C1840" w:rsidP="008668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8668BB">
              <w:rPr>
                <w:sz w:val="28"/>
                <w:szCs w:val="28"/>
              </w:rPr>
              <w:t>Ievērojot</w:t>
            </w:r>
            <w:proofErr w:type="spellEnd"/>
            <w:r w:rsidRPr="008668BB">
              <w:rPr>
                <w:sz w:val="28"/>
                <w:szCs w:val="28"/>
              </w:rPr>
              <w:t xml:space="preserve"> to, ka </w:t>
            </w:r>
            <w:proofErr w:type="spellStart"/>
            <w:r w:rsidRPr="008668BB">
              <w:rPr>
                <w:sz w:val="28"/>
                <w:szCs w:val="28"/>
              </w:rPr>
              <w:t>ar</w:t>
            </w:r>
            <w:proofErr w:type="spellEnd"/>
            <w:r w:rsidRPr="008668BB">
              <w:rPr>
                <w:sz w:val="28"/>
                <w:szCs w:val="28"/>
              </w:rPr>
              <w:t xml:space="preserve"> 2014.gada 1.janvāri </w:t>
            </w:r>
            <w:proofErr w:type="spellStart"/>
            <w:r w:rsidRPr="008668BB">
              <w:rPr>
                <w:sz w:val="28"/>
                <w:szCs w:val="28"/>
              </w:rPr>
              <w:t>Latvijā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plānots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ieviest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r w:rsidRPr="008668BB">
              <w:rPr>
                <w:i/>
                <w:sz w:val="28"/>
                <w:szCs w:val="28"/>
              </w:rPr>
              <w:t xml:space="preserve">euro, </w:t>
            </w:r>
            <w:proofErr w:type="spellStart"/>
            <w:r w:rsidRPr="008668BB">
              <w:rPr>
                <w:sz w:val="28"/>
                <w:szCs w:val="28"/>
              </w:rPr>
              <w:t>ir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nepieciešams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veikt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grozījumus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Līgumā</w:t>
            </w:r>
            <w:proofErr w:type="spellEnd"/>
            <w:r w:rsidRPr="008668BB">
              <w:rPr>
                <w:sz w:val="28"/>
                <w:szCs w:val="28"/>
              </w:rPr>
              <w:t xml:space="preserve">. </w:t>
            </w:r>
            <w:proofErr w:type="spellStart"/>
            <w:r w:rsidRPr="008668BB">
              <w:rPr>
                <w:sz w:val="28"/>
                <w:szCs w:val="28"/>
              </w:rPr>
              <w:t>Pašreizējā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Līguma</w:t>
            </w:r>
            <w:proofErr w:type="spellEnd"/>
            <w:r w:rsidRPr="008668BB">
              <w:rPr>
                <w:sz w:val="28"/>
                <w:szCs w:val="28"/>
              </w:rPr>
              <w:t xml:space="preserve"> 5.panta 5.3.punkta </w:t>
            </w:r>
            <w:proofErr w:type="spellStart"/>
            <w:r w:rsidRPr="008668BB">
              <w:rPr>
                <w:sz w:val="28"/>
                <w:szCs w:val="28"/>
              </w:rPr>
              <w:t>trešais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teikums</w:t>
            </w:r>
            <w:proofErr w:type="spellEnd"/>
            <w:r w:rsidRPr="008668BB">
              <w:rPr>
                <w:sz w:val="28"/>
                <w:szCs w:val="28"/>
              </w:rPr>
              <w:t xml:space="preserve"> „</w:t>
            </w:r>
            <w:proofErr w:type="spellStart"/>
            <w:r w:rsidRPr="008668BB">
              <w:rPr>
                <w:sz w:val="28"/>
                <w:szCs w:val="28"/>
              </w:rPr>
              <w:t>Pārrēķināšanas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kurss</w:t>
            </w:r>
            <w:proofErr w:type="spellEnd"/>
            <w:r w:rsidRPr="008668BB">
              <w:rPr>
                <w:sz w:val="28"/>
                <w:szCs w:val="28"/>
              </w:rPr>
              <w:t xml:space="preserve">” </w:t>
            </w:r>
            <w:proofErr w:type="spellStart"/>
            <w:r w:rsidRPr="008668BB">
              <w:rPr>
                <w:sz w:val="28"/>
                <w:szCs w:val="28"/>
              </w:rPr>
              <w:t>nosaka</w:t>
            </w:r>
            <w:proofErr w:type="spellEnd"/>
            <w:r w:rsidRPr="008668BB">
              <w:rPr>
                <w:sz w:val="28"/>
                <w:szCs w:val="28"/>
              </w:rPr>
              <w:t xml:space="preserve">, </w:t>
            </w:r>
            <w:proofErr w:type="spellStart"/>
            <w:r w:rsidRPr="008668BB">
              <w:rPr>
                <w:sz w:val="28"/>
                <w:szCs w:val="28"/>
              </w:rPr>
              <w:t>kārtību</w:t>
            </w:r>
            <w:proofErr w:type="spellEnd"/>
            <w:r w:rsidRPr="008668BB">
              <w:rPr>
                <w:sz w:val="28"/>
                <w:szCs w:val="28"/>
              </w:rPr>
              <w:t xml:space="preserve">, </w:t>
            </w:r>
            <w:proofErr w:type="spellStart"/>
            <w:r w:rsidRPr="008668BB">
              <w:rPr>
                <w:sz w:val="28"/>
                <w:szCs w:val="28"/>
              </w:rPr>
              <w:t>kādā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pārrēķina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r w:rsidRPr="008668BB">
              <w:rPr>
                <w:sz w:val="28"/>
                <w:szCs w:val="28"/>
                <w:shd w:val="clear" w:color="auto" w:fill="FFFFFF"/>
              </w:rPr>
              <w:t xml:space="preserve">EUREKA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Sekretariāta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veikto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maksājumu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668BB">
              <w:rPr>
                <w:i/>
                <w:sz w:val="28"/>
                <w:szCs w:val="28"/>
                <w:shd w:val="clear" w:color="auto" w:fill="FFFFFF"/>
              </w:rPr>
              <w:t>euro</w:t>
            </w:r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latos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Ņemot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vērā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minēto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, un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Līguma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5.panta 5.1.punktā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noteikto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, ka EUREKA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Sekretariāts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maksājumus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veic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668BB">
              <w:rPr>
                <w:i/>
                <w:sz w:val="28"/>
                <w:szCs w:val="28"/>
                <w:shd w:val="clear" w:color="auto" w:fill="FFFFFF"/>
              </w:rPr>
              <w:t>euro,</w:t>
            </w:r>
            <w:r w:rsidRPr="008668BB">
              <w:rPr>
                <w:sz w:val="28"/>
                <w:szCs w:val="28"/>
                <w:shd w:val="clear" w:color="auto" w:fill="FFFFFF"/>
              </w:rPr>
              <w:t xml:space="preserve"> tad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ar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rFonts w:eastAsia="Wingdings"/>
                <w:color w:val="000000"/>
                <w:sz w:val="28"/>
                <w:szCs w:val="28"/>
              </w:rPr>
              <w:t>noteikumu</w:t>
            </w:r>
            <w:proofErr w:type="spellEnd"/>
            <w:r w:rsidRPr="008668BB">
              <w:rPr>
                <w:rFonts w:eastAsia="Wingding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rFonts w:eastAsia="Wingdings"/>
                <w:color w:val="000000"/>
                <w:sz w:val="28"/>
                <w:szCs w:val="28"/>
              </w:rPr>
              <w:lastRenderedPageBreak/>
              <w:t>projektu</w:t>
            </w:r>
            <w:proofErr w:type="spellEnd"/>
            <w:r w:rsidRPr="008668BB">
              <w:rPr>
                <w:rFonts w:eastAsia="Wingding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rFonts w:eastAsia="Wingdings"/>
                <w:color w:val="000000"/>
                <w:sz w:val="28"/>
                <w:szCs w:val="28"/>
              </w:rPr>
              <w:t>tiks</w:t>
            </w:r>
            <w:proofErr w:type="spellEnd"/>
            <w:r w:rsidRPr="008668BB">
              <w:rPr>
                <w:rFonts w:eastAsia="Wingding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rFonts w:eastAsia="Wingdings"/>
                <w:color w:val="000000"/>
                <w:sz w:val="28"/>
                <w:szCs w:val="28"/>
              </w:rPr>
              <w:t>izteikts</w:t>
            </w:r>
            <w:proofErr w:type="spellEnd"/>
            <w:r w:rsidRPr="008668BB">
              <w:rPr>
                <w:rFonts w:eastAsia="Wingding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Līguma</w:t>
            </w:r>
            <w:proofErr w:type="spellEnd"/>
            <w:r w:rsidRPr="008668BB">
              <w:rPr>
                <w:sz w:val="28"/>
                <w:szCs w:val="28"/>
              </w:rPr>
              <w:t xml:space="preserve"> 5.panta 5.3.punkta </w:t>
            </w:r>
            <w:proofErr w:type="spellStart"/>
            <w:r w:rsidRPr="008668BB">
              <w:rPr>
                <w:sz w:val="28"/>
                <w:szCs w:val="28"/>
              </w:rPr>
              <w:t>trešais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teikums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jaunā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redakcijā</w:t>
            </w:r>
            <w:proofErr w:type="spellEnd"/>
            <w:r w:rsidRPr="008668BB">
              <w:rPr>
                <w:sz w:val="28"/>
                <w:szCs w:val="28"/>
              </w:rPr>
              <w:t xml:space="preserve">, </w:t>
            </w:r>
            <w:proofErr w:type="spellStart"/>
            <w:r w:rsidRPr="008668BB">
              <w:rPr>
                <w:sz w:val="28"/>
                <w:szCs w:val="28"/>
              </w:rPr>
              <w:t>nosakot</w:t>
            </w:r>
            <w:proofErr w:type="spellEnd"/>
            <w:r w:rsidRPr="008668BB">
              <w:rPr>
                <w:sz w:val="28"/>
                <w:szCs w:val="28"/>
              </w:rPr>
              <w:t xml:space="preserve">, ka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nacionālā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finansējošā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institūcija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Latvijas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Zinātņu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akadēmija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ziņojumus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par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izmaksām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EUREKA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Sekretariātam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sniedz</w:t>
            </w:r>
            <w:proofErr w:type="spellEnd"/>
            <w:r w:rsidRPr="008668BB">
              <w:rPr>
                <w:i/>
                <w:sz w:val="28"/>
                <w:szCs w:val="28"/>
                <w:shd w:val="clear" w:color="auto" w:fill="FFFFFF"/>
              </w:rPr>
              <w:t xml:space="preserve"> euro</w:t>
            </w:r>
            <w:r w:rsidRPr="008668BB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Papildus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minētajam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ar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noteikumu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projektu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tiks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  <w:shd w:val="clear" w:color="auto" w:fill="FFFFFF"/>
              </w:rPr>
              <w:t>precizēta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Līguma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Saistību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deklarācijas</w:t>
            </w:r>
            <w:proofErr w:type="spellEnd"/>
            <w:r w:rsidRPr="008668BB">
              <w:rPr>
                <w:sz w:val="28"/>
                <w:szCs w:val="28"/>
              </w:rPr>
              <w:t xml:space="preserve"> 1.punkta “</w:t>
            </w:r>
            <w:proofErr w:type="spellStart"/>
            <w:r w:rsidRPr="008668BB">
              <w:rPr>
                <w:sz w:val="28"/>
                <w:szCs w:val="28"/>
              </w:rPr>
              <w:t>Finansiālo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saistību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pārskats</w:t>
            </w:r>
            <w:proofErr w:type="spellEnd"/>
            <w:r w:rsidRPr="008668BB">
              <w:rPr>
                <w:sz w:val="28"/>
                <w:szCs w:val="28"/>
              </w:rPr>
              <w:t xml:space="preserve">” tabula, </w:t>
            </w:r>
            <w:proofErr w:type="spellStart"/>
            <w:r w:rsidRPr="008668BB">
              <w:rPr>
                <w:sz w:val="28"/>
                <w:szCs w:val="28"/>
              </w:rPr>
              <w:t>svītrojot</w:t>
            </w:r>
            <w:proofErr w:type="spellEnd"/>
            <w:r w:rsidRPr="008668BB">
              <w:rPr>
                <w:sz w:val="28"/>
                <w:szCs w:val="28"/>
              </w:rPr>
              <w:t xml:space="preserve">  </w:t>
            </w:r>
            <w:proofErr w:type="spellStart"/>
            <w:r w:rsidRPr="008668BB">
              <w:rPr>
                <w:sz w:val="28"/>
                <w:szCs w:val="28"/>
              </w:rPr>
              <w:t>kolonnu</w:t>
            </w:r>
            <w:proofErr w:type="spellEnd"/>
            <w:r w:rsidRPr="008668BB">
              <w:rPr>
                <w:sz w:val="28"/>
                <w:szCs w:val="28"/>
              </w:rPr>
              <w:t xml:space="preserve"> “</w:t>
            </w:r>
            <w:proofErr w:type="spellStart"/>
            <w:r w:rsidRPr="008668BB">
              <w:rPr>
                <w:sz w:val="28"/>
                <w:szCs w:val="28"/>
              </w:rPr>
              <w:t>Nacionālajā</w:t>
            </w:r>
            <w:proofErr w:type="spellEnd"/>
            <w:r w:rsidRPr="008668BB">
              <w:rPr>
                <w:sz w:val="28"/>
                <w:szCs w:val="28"/>
              </w:rPr>
              <w:t xml:space="preserve"> </w:t>
            </w:r>
            <w:proofErr w:type="spellStart"/>
            <w:r w:rsidRPr="008668BB">
              <w:rPr>
                <w:sz w:val="28"/>
                <w:szCs w:val="28"/>
              </w:rPr>
              <w:t>valūtā</w:t>
            </w:r>
            <w:proofErr w:type="spellEnd"/>
            <w:r w:rsidRPr="008668BB">
              <w:rPr>
                <w:sz w:val="28"/>
                <w:szCs w:val="28"/>
              </w:rPr>
              <w:t>”.</w:t>
            </w:r>
          </w:p>
          <w:p w:rsidR="002C1840" w:rsidRPr="008668BB" w:rsidRDefault="002C1840" w:rsidP="008668BB">
            <w:pPr>
              <w:ind w:right="141"/>
              <w:jc w:val="both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  <w:shd w:val="clear" w:color="auto" w:fill="FFFFFF"/>
              </w:rPr>
              <w:t>Ar noteikumu projektu tiks izteikta jaunā redakcijā Līguma 4.panta 4.1.punkta b) apakšpun</w:t>
            </w:r>
            <w:r w:rsidR="006111D8" w:rsidRPr="008668BB">
              <w:rPr>
                <w:sz w:val="28"/>
                <w:szCs w:val="28"/>
                <w:shd w:val="clear" w:color="auto" w:fill="FFFFFF"/>
              </w:rPr>
              <w:t xml:space="preserve">kts, jo Ministru </w:t>
            </w:r>
            <w:proofErr w:type="spellStart"/>
            <w:r w:rsidR="006111D8" w:rsidRPr="008668BB">
              <w:rPr>
                <w:sz w:val="28"/>
                <w:szCs w:val="28"/>
                <w:shd w:val="clear" w:color="auto" w:fill="FFFFFF"/>
              </w:rPr>
              <w:t>kaibneta</w:t>
            </w:r>
            <w:proofErr w:type="spellEnd"/>
            <w:r w:rsidRPr="008668B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111D8" w:rsidRPr="008668BB">
              <w:rPr>
                <w:sz w:val="28"/>
                <w:szCs w:val="28"/>
                <w:shd w:val="clear" w:color="auto" w:fill="FFFFFF"/>
              </w:rPr>
              <w:t>2008.gada 8.septembra noteikumi Nr.722</w:t>
            </w:r>
            <w:r w:rsidRPr="008668BB">
              <w:rPr>
                <w:sz w:val="28"/>
                <w:szCs w:val="28"/>
                <w:shd w:val="clear" w:color="auto" w:fill="FFFFFF"/>
              </w:rPr>
              <w:t xml:space="preserve"> "Kārtība, kādā nodrošina valsts atbalstu dalībai starptautiskās sadarbības programmās pētniecības un tehnoloģiju jomās” ir zaudējuši spēku, stājoties spēkā Ministru kabineta 2012.gada 19.jūnija noteikumiem Nr.414 „</w:t>
            </w:r>
            <w:r w:rsidRPr="008668BB">
              <w:rPr>
                <w:bCs/>
                <w:sz w:val="28"/>
                <w:szCs w:val="28"/>
              </w:rPr>
              <w:t>Valsts atbalsta nodrošināšanas kārtība dalībai starptautiskās sadarbības programmās pētniecības un tehnoloģiju jomās”. Noteikumu projekts paredz arī precizēt (aktualizēt) Līguma tekstā amatpersonu vārdus un uzvārdus.</w:t>
            </w:r>
          </w:p>
          <w:p w:rsidR="009333A0" w:rsidRPr="008668BB" w:rsidRDefault="00691356" w:rsidP="008668BB">
            <w:pPr>
              <w:ind w:right="141"/>
              <w:jc w:val="both"/>
              <w:rPr>
                <w:sz w:val="28"/>
                <w:szCs w:val="28"/>
              </w:rPr>
            </w:pPr>
            <w:r w:rsidRPr="008668BB">
              <w:rPr>
                <w:bCs/>
                <w:sz w:val="28"/>
                <w:szCs w:val="28"/>
              </w:rPr>
              <w:t>Līguma noteikumu grozī</w:t>
            </w:r>
            <w:r w:rsidR="00CD1FD5" w:rsidRPr="008668BB">
              <w:rPr>
                <w:bCs/>
                <w:sz w:val="28"/>
                <w:szCs w:val="28"/>
              </w:rPr>
              <w:t xml:space="preserve">jumi </w:t>
            </w:r>
            <w:r w:rsidR="003379A7" w:rsidRPr="008668BB">
              <w:rPr>
                <w:bCs/>
                <w:sz w:val="28"/>
                <w:szCs w:val="28"/>
              </w:rPr>
              <w:t xml:space="preserve">nav personai nelabvēlīgāka par </w:t>
            </w:r>
            <w:r w:rsidR="00CD1FD5" w:rsidRPr="008668BB">
              <w:rPr>
                <w:bCs/>
                <w:sz w:val="28"/>
                <w:szCs w:val="28"/>
              </w:rPr>
              <w:t xml:space="preserve">Līguma </w:t>
            </w:r>
            <w:r w:rsidR="003379A7" w:rsidRPr="008668BB">
              <w:rPr>
                <w:bCs/>
                <w:sz w:val="28"/>
                <w:szCs w:val="28"/>
              </w:rPr>
              <w:t>sākotnējo</w:t>
            </w:r>
            <w:r w:rsidR="00CD1FD5" w:rsidRPr="008668BB">
              <w:rPr>
                <w:bCs/>
                <w:sz w:val="28"/>
                <w:szCs w:val="28"/>
              </w:rPr>
              <w:t xml:space="preserve"> noteikumu</w:t>
            </w:r>
            <w:r w:rsidRPr="008668BB">
              <w:rPr>
                <w:bCs/>
                <w:sz w:val="28"/>
                <w:szCs w:val="28"/>
              </w:rPr>
              <w:t xml:space="preserve"> redakciju</w:t>
            </w:r>
            <w:r w:rsidR="002C1840" w:rsidRPr="008668BB">
              <w:rPr>
                <w:bCs/>
                <w:sz w:val="28"/>
                <w:szCs w:val="28"/>
              </w:rPr>
              <w:t>.</w:t>
            </w:r>
          </w:p>
        </w:tc>
      </w:tr>
      <w:tr w:rsidR="009333A0" w:rsidRPr="008668BB" w:rsidTr="00FB05C9">
        <w:trPr>
          <w:trHeight w:val="476"/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lastRenderedPageBreak/>
              <w:t> 5.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Projekta izstrādē iesaistītās institūcijas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CD1FD5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Izglītības un zinātnes ministrija un Latvijas Zinātņu akadēmija.</w:t>
            </w:r>
          </w:p>
        </w:tc>
      </w:tr>
      <w:tr w:rsidR="009333A0" w:rsidRPr="008668BB" w:rsidTr="00FB05C9">
        <w:trPr>
          <w:trHeight w:val="627"/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6.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CD1FD5" w:rsidP="008668B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 xml:space="preserve">Sabiedrības līdzdalība projekta izstrādē netika nodrošināta, jo </w:t>
            </w:r>
            <w:r w:rsidR="00311BAC" w:rsidRPr="008668BB">
              <w:rPr>
                <w:sz w:val="28"/>
                <w:szCs w:val="28"/>
              </w:rPr>
              <w:t xml:space="preserve">noteikumu </w:t>
            </w:r>
            <w:r w:rsidRPr="008668BB">
              <w:rPr>
                <w:sz w:val="28"/>
                <w:szCs w:val="28"/>
              </w:rPr>
              <w:t>projekts nemaina pastāvošo tiesisko regulējumu pēc būtības.</w:t>
            </w:r>
          </w:p>
        </w:tc>
      </w:tr>
      <w:tr w:rsidR="009333A0" w:rsidRPr="008668BB" w:rsidTr="00FB05C9">
        <w:trPr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7.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9333A0" w:rsidP="008668B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 Cita informācija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33A0" w:rsidRPr="008668BB" w:rsidRDefault="00CD1FD5" w:rsidP="008668B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668BB">
              <w:rPr>
                <w:sz w:val="28"/>
                <w:szCs w:val="28"/>
                <w:shd w:val="clear" w:color="auto" w:fill="FFFFFF"/>
              </w:rPr>
              <w:t xml:space="preserve">EUREKA Sekretariāts ir informēts par grozījumu veikšanas nepieciešamību Līgumā un neiebilst pret tiem, jo tie neskar Līguma saturu pēc būtības, bet gan atbilst tehniskajiem grozījumiem. Papildus minētajam arī Latvijas pāreja </w:t>
            </w:r>
            <w:r w:rsidRPr="008668BB">
              <w:rPr>
                <w:sz w:val="28"/>
                <w:szCs w:val="28"/>
                <w:shd w:val="clear" w:color="auto" w:fill="FFFFFF"/>
              </w:rPr>
              <w:lastRenderedPageBreak/>
              <w:t xml:space="preserve">uz </w:t>
            </w:r>
            <w:proofErr w:type="spellStart"/>
            <w:r w:rsidRPr="008668BB">
              <w:rPr>
                <w:i/>
                <w:sz w:val="28"/>
                <w:szCs w:val="28"/>
                <w:shd w:val="clear" w:color="auto" w:fill="FFFFFF"/>
              </w:rPr>
              <w:t>euro</w:t>
            </w:r>
            <w:proofErr w:type="spellEnd"/>
            <w:r w:rsidRPr="008668BB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668BB">
              <w:rPr>
                <w:sz w:val="28"/>
                <w:szCs w:val="28"/>
                <w:shd w:val="clear" w:color="auto" w:fill="FFFFFF"/>
              </w:rPr>
              <w:t xml:space="preserve">EUREKA Sekretariāts pieskaita pie tehniskajiem grozījumiem. </w:t>
            </w:r>
          </w:p>
          <w:p w:rsidR="00CD1FD5" w:rsidRPr="008668BB" w:rsidRDefault="00CD1FD5" w:rsidP="008668B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668BB">
              <w:rPr>
                <w:sz w:val="28"/>
                <w:szCs w:val="28"/>
                <w:shd w:val="clear" w:color="auto" w:fill="FFFFFF"/>
              </w:rPr>
              <w:t>EUREKA Sekretariāta prasība ir, lai šādus grozījumus Līgumā paraksta atbilstoši pilnvarota persona kā tas bija pie Līguma parakstīšanas.</w:t>
            </w:r>
          </w:p>
          <w:p w:rsidR="00AB312B" w:rsidRPr="008668BB" w:rsidRDefault="00AB312B" w:rsidP="008668BB">
            <w:pPr>
              <w:jc w:val="both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8668BB">
                <w:rPr>
                  <w:sz w:val="28"/>
                  <w:szCs w:val="28"/>
                </w:rPr>
                <w:t>Līgums</w:t>
              </w:r>
            </w:smartTag>
            <w:r w:rsidRPr="008668BB">
              <w:rPr>
                <w:sz w:val="28"/>
                <w:szCs w:val="28"/>
              </w:rPr>
              <w:t xml:space="preserve"> tiks īstenots Izglītības un zinātnes ministrijas esošo valsts budžeta līdzekļu ietvaros.</w:t>
            </w:r>
          </w:p>
          <w:p w:rsidR="00AB312B" w:rsidRPr="008668BB" w:rsidRDefault="00AB312B" w:rsidP="008668B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 xml:space="preserve">Valsts budžeta finansējums sekmīgo </w:t>
            </w:r>
            <w:proofErr w:type="spellStart"/>
            <w:r w:rsidRPr="008668BB">
              <w:rPr>
                <w:sz w:val="28"/>
                <w:szCs w:val="28"/>
              </w:rPr>
              <w:t>Eurostars</w:t>
            </w:r>
            <w:proofErr w:type="spellEnd"/>
            <w:r w:rsidRPr="008668BB">
              <w:rPr>
                <w:sz w:val="28"/>
                <w:szCs w:val="28"/>
              </w:rPr>
              <w:t xml:space="preserve"> projektu īstenošanai tiks piešķirts saskaņā ar Komisijas regulā (EK) Nr.800/2008 (2008.gada 6.augusts), kas atzīst noteiktas atbalsta kategorijas par saderīgām ar kopējo tirgu, piemērojot Līguma 87. vai 88.pantu (vispārējā grupu atbrīvojuma regula) (turpmāk – Komisijas Regula) vai Savienības nostādnēs par valsts atbalstu pētniecībai, attīstībai un inovācijai noteiktajiem atbalsta nosacījumiem.</w:t>
            </w:r>
          </w:p>
        </w:tc>
      </w:tr>
    </w:tbl>
    <w:p w:rsidR="004862C4" w:rsidRPr="008668BB" w:rsidRDefault="004862C4" w:rsidP="008668BB">
      <w:pPr>
        <w:rPr>
          <w:sz w:val="28"/>
          <w:szCs w:val="28"/>
        </w:rPr>
      </w:pPr>
    </w:p>
    <w:p w:rsidR="00CD1FD5" w:rsidRPr="008668BB" w:rsidRDefault="004862C4" w:rsidP="008668BB">
      <w:pPr>
        <w:rPr>
          <w:sz w:val="28"/>
          <w:szCs w:val="28"/>
        </w:rPr>
      </w:pPr>
      <w:r w:rsidRPr="008668BB">
        <w:rPr>
          <w:sz w:val="28"/>
          <w:szCs w:val="28"/>
        </w:rPr>
        <w:t xml:space="preserve">Anotācijas </w:t>
      </w:r>
      <w:r w:rsidR="00AB312B" w:rsidRPr="008668BB">
        <w:rPr>
          <w:sz w:val="28"/>
          <w:szCs w:val="28"/>
        </w:rPr>
        <w:t xml:space="preserve">II, III, IV, </w:t>
      </w:r>
      <w:r w:rsidR="00CD1FD5" w:rsidRPr="008668BB">
        <w:rPr>
          <w:sz w:val="28"/>
          <w:szCs w:val="28"/>
        </w:rPr>
        <w:t xml:space="preserve">V, VI un VII sadaļa – </w:t>
      </w:r>
      <w:r w:rsidR="00691356" w:rsidRPr="008668BB">
        <w:rPr>
          <w:sz w:val="28"/>
          <w:szCs w:val="28"/>
        </w:rPr>
        <w:t xml:space="preserve">noteikumu </w:t>
      </w:r>
      <w:r w:rsidR="00CD1FD5" w:rsidRPr="008668BB">
        <w:rPr>
          <w:sz w:val="28"/>
          <w:szCs w:val="28"/>
        </w:rPr>
        <w:t>projekts šīs jomas neskar.</w:t>
      </w:r>
    </w:p>
    <w:p w:rsidR="000747AD" w:rsidRPr="008668BB" w:rsidRDefault="000747AD" w:rsidP="008668BB">
      <w:pPr>
        <w:jc w:val="both"/>
        <w:rPr>
          <w:sz w:val="28"/>
          <w:szCs w:val="28"/>
        </w:rPr>
      </w:pPr>
    </w:p>
    <w:p w:rsidR="000747AD" w:rsidRPr="008668BB" w:rsidRDefault="000747AD" w:rsidP="008668BB">
      <w:pPr>
        <w:pStyle w:val="Heading5"/>
        <w:tabs>
          <w:tab w:val="right" w:pos="8789"/>
        </w:tabs>
        <w:ind w:firstLine="426"/>
        <w:jc w:val="both"/>
        <w:rPr>
          <w:szCs w:val="28"/>
          <w:lang w:val="lv-LV"/>
        </w:rPr>
      </w:pPr>
      <w:r w:rsidRPr="008668BB">
        <w:rPr>
          <w:szCs w:val="28"/>
          <w:lang w:val="lv-LV"/>
        </w:rPr>
        <w:t>Izglītības un zinātnes ministrs</w:t>
      </w:r>
      <w:r w:rsidRPr="008668BB">
        <w:rPr>
          <w:szCs w:val="28"/>
          <w:lang w:val="lv-LV"/>
        </w:rPr>
        <w:tab/>
        <w:t xml:space="preserve">        V. </w:t>
      </w:r>
      <w:proofErr w:type="spellStart"/>
      <w:r w:rsidRPr="008668BB">
        <w:rPr>
          <w:szCs w:val="28"/>
          <w:lang w:val="lv-LV"/>
        </w:rPr>
        <w:t>Dombrovskis</w:t>
      </w:r>
      <w:proofErr w:type="spellEnd"/>
    </w:p>
    <w:p w:rsidR="000747AD" w:rsidRPr="008668BB" w:rsidRDefault="000747AD" w:rsidP="008668BB">
      <w:pPr>
        <w:tabs>
          <w:tab w:val="left" w:pos="6663"/>
        </w:tabs>
        <w:rPr>
          <w:sz w:val="28"/>
          <w:szCs w:val="28"/>
        </w:rPr>
      </w:pPr>
    </w:p>
    <w:p w:rsidR="000747AD" w:rsidRPr="008668BB" w:rsidRDefault="000747AD" w:rsidP="008668BB">
      <w:pPr>
        <w:tabs>
          <w:tab w:val="left" w:pos="6663"/>
        </w:tabs>
        <w:rPr>
          <w:sz w:val="28"/>
          <w:szCs w:val="28"/>
        </w:rPr>
      </w:pPr>
    </w:p>
    <w:p w:rsidR="000747AD" w:rsidRPr="008668BB" w:rsidRDefault="000747AD" w:rsidP="008668BB">
      <w:pPr>
        <w:tabs>
          <w:tab w:val="left" w:pos="5580"/>
          <w:tab w:val="left" w:pos="6663"/>
          <w:tab w:val="right" w:pos="8789"/>
        </w:tabs>
        <w:ind w:firstLine="426"/>
        <w:rPr>
          <w:sz w:val="28"/>
          <w:szCs w:val="28"/>
        </w:rPr>
      </w:pPr>
      <w:r w:rsidRPr="008668BB">
        <w:rPr>
          <w:sz w:val="28"/>
          <w:szCs w:val="28"/>
        </w:rPr>
        <w:t xml:space="preserve">Vizē: </w:t>
      </w:r>
    </w:p>
    <w:p w:rsidR="000747AD" w:rsidRPr="008668BB" w:rsidRDefault="000747AD" w:rsidP="008668BB">
      <w:pPr>
        <w:tabs>
          <w:tab w:val="left" w:pos="5580"/>
          <w:tab w:val="left" w:pos="6663"/>
          <w:tab w:val="right" w:pos="8789"/>
        </w:tabs>
        <w:ind w:firstLine="426"/>
        <w:rPr>
          <w:sz w:val="28"/>
          <w:szCs w:val="28"/>
        </w:rPr>
      </w:pPr>
      <w:r w:rsidRPr="008668BB">
        <w:rPr>
          <w:sz w:val="28"/>
          <w:szCs w:val="28"/>
        </w:rPr>
        <w:t>Valsts sekretāre</w:t>
      </w:r>
      <w:r w:rsidRPr="008668BB">
        <w:rPr>
          <w:sz w:val="28"/>
          <w:szCs w:val="28"/>
        </w:rPr>
        <w:tab/>
      </w:r>
      <w:r w:rsidRPr="008668BB">
        <w:rPr>
          <w:sz w:val="28"/>
          <w:szCs w:val="28"/>
        </w:rPr>
        <w:tab/>
        <w:t xml:space="preserve">          S. Liepiņa</w:t>
      </w:r>
    </w:p>
    <w:p w:rsidR="000747AD" w:rsidRPr="008668BB" w:rsidRDefault="000747AD" w:rsidP="008668BB">
      <w:pPr>
        <w:pStyle w:val="Footer"/>
        <w:rPr>
          <w:sz w:val="28"/>
          <w:szCs w:val="28"/>
        </w:rPr>
      </w:pPr>
    </w:p>
    <w:p w:rsidR="000747AD" w:rsidRDefault="000747AD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FB05C9" w:rsidRDefault="00FB05C9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FB05C9" w:rsidRDefault="00FB05C9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FB05C9" w:rsidRDefault="00FB05C9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FB05C9" w:rsidRDefault="00FB05C9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FB05C9" w:rsidRDefault="00FB05C9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FB05C9" w:rsidRDefault="00FB05C9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FB05C9" w:rsidRPr="008668BB" w:rsidRDefault="00FB05C9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0747AD" w:rsidRPr="008668BB" w:rsidRDefault="00FB05C9" w:rsidP="008668BB">
      <w:pPr>
        <w:ind w:firstLine="426"/>
        <w:rPr>
          <w:sz w:val="20"/>
          <w:szCs w:val="20"/>
        </w:rPr>
      </w:pPr>
      <w:r>
        <w:rPr>
          <w:sz w:val="20"/>
          <w:szCs w:val="20"/>
        </w:rPr>
        <w:t>06</w:t>
      </w:r>
      <w:r w:rsidR="00C45E22">
        <w:rPr>
          <w:sz w:val="20"/>
          <w:szCs w:val="20"/>
        </w:rPr>
        <w:t>.12</w:t>
      </w:r>
      <w:r w:rsidR="002C1840" w:rsidRPr="008668BB">
        <w:rPr>
          <w:sz w:val="20"/>
          <w:szCs w:val="20"/>
        </w:rPr>
        <w:t>.2013 16</w:t>
      </w:r>
      <w:r w:rsidR="006111D8" w:rsidRPr="008668BB">
        <w:rPr>
          <w:sz w:val="20"/>
          <w:szCs w:val="20"/>
        </w:rPr>
        <w:t>:10</w:t>
      </w:r>
    </w:p>
    <w:p w:rsidR="000747AD" w:rsidRPr="008668BB" w:rsidRDefault="00340037" w:rsidP="008668BB">
      <w:pPr>
        <w:ind w:firstLine="426"/>
        <w:jc w:val="both"/>
        <w:rPr>
          <w:sz w:val="20"/>
          <w:szCs w:val="20"/>
        </w:rPr>
      </w:pPr>
      <w:bookmarkStart w:id="0" w:name="_Toc251749434"/>
      <w:r>
        <w:rPr>
          <w:sz w:val="20"/>
          <w:szCs w:val="20"/>
        </w:rPr>
        <w:t>670</w:t>
      </w:r>
    </w:p>
    <w:p w:rsidR="000747AD" w:rsidRPr="008668BB" w:rsidRDefault="000747AD" w:rsidP="008668BB">
      <w:pPr>
        <w:ind w:firstLine="426"/>
        <w:rPr>
          <w:sz w:val="20"/>
          <w:szCs w:val="20"/>
        </w:rPr>
      </w:pPr>
      <w:proofErr w:type="spellStart"/>
      <w:r w:rsidRPr="008668BB">
        <w:rPr>
          <w:sz w:val="20"/>
          <w:szCs w:val="20"/>
        </w:rPr>
        <w:t>Depkovska</w:t>
      </w:r>
      <w:proofErr w:type="spellEnd"/>
      <w:r w:rsidRPr="008668BB">
        <w:rPr>
          <w:sz w:val="20"/>
          <w:szCs w:val="20"/>
        </w:rPr>
        <w:t>, 67047772</w:t>
      </w:r>
    </w:p>
    <w:p w:rsidR="00B0479B" w:rsidRPr="008668BB" w:rsidRDefault="00EE651B" w:rsidP="008668BB">
      <w:pPr>
        <w:ind w:firstLine="426"/>
        <w:rPr>
          <w:sz w:val="20"/>
          <w:szCs w:val="20"/>
        </w:rPr>
      </w:pPr>
      <w:hyperlink r:id="rId8" w:history="1">
        <w:r w:rsidR="000747AD" w:rsidRPr="008668BB">
          <w:rPr>
            <w:rStyle w:val="Hyperlink"/>
            <w:sz w:val="20"/>
            <w:szCs w:val="20"/>
          </w:rPr>
          <w:t>anita.depkovska@izm.gov.lv</w:t>
        </w:r>
      </w:hyperlink>
      <w:bookmarkEnd w:id="0"/>
    </w:p>
    <w:sectPr w:rsidR="00B0479B" w:rsidRPr="008668BB" w:rsidSect="00FB05C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99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19" w:rsidRDefault="00E96D19">
      <w:r>
        <w:separator/>
      </w:r>
    </w:p>
  </w:endnote>
  <w:endnote w:type="continuationSeparator" w:id="0">
    <w:p w:rsidR="00E96D19" w:rsidRDefault="00E9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1D" w:rsidRPr="00B4391D" w:rsidRDefault="00B4391D" w:rsidP="00B4391D">
    <w:pPr>
      <w:shd w:val="clear" w:color="auto" w:fill="FFFFFF"/>
      <w:jc w:val="both"/>
      <w:outlineLvl w:val="3"/>
      <w:rPr>
        <w:sz w:val="20"/>
        <w:szCs w:val="20"/>
      </w:rPr>
    </w:pPr>
    <w:r w:rsidRPr="00B4391D">
      <w:rPr>
        <w:sz w:val="20"/>
        <w:szCs w:val="20"/>
      </w:rPr>
      <w:t>IZManot_</w:t>
    </w:r>
    <w:r w:rsidR="00FB05C9">
      <w:rPr>
        <w:sz w:val="20"/>
        <w:szCs w:val="20"/>
      </w:rPr>
      <w:t>06</w:t>
    </w:r>
    <w:r w:rsidR="00C45E22">
      <w:rPr>
        <w:sz w:val="20"/>
        <w:szCs w:val="20"/>
      </w:rPr>
      <w:t>12</w:t>
    </w:r>
    <w:r w:rsidRPr="00B4391D">
      <w:rPr>
        <w:sz w:val="20"/>
        <w:szCs w:val="20"/>
      </w:rPr>
      <w:t xml:space="preserve">13_EUREKA; Ministru kabineta noteikumu projekta “Par grozījumiem Līgumā </w:t>
    </w:r>
    <w:r w:rsidRPr="00B4391D">
      <w:rPr>
        <w:sz w:val="20"/>
        <w:szCs w:val="20"/>
        <w:shd w:val="clear" w:color="auto" w:fill="FFFFFF"/>
      </w:rPr>
      <w:t xml:space="preserve">starp EUREKA Sekretariātu un Latvijas Republikas Izglītības un zinātnes </w:t>
    </w:r>
    <w:proofErr w:type="spellStart"/>
    <w:r w:rsidRPr="00B4391D">
      <w:rPr>
        <w:sz w:val="20"/>
        <w:szCs w:val="20"/>
        <w:shd w:val="clear" w:color="auto" w:fill="FFFFFF"/>
      </w:rPr>
      <w:t>ministriju”</w:t>
    </w:r>
    <w:r w:rsidRPr="00B4391D">
      <w:rPr>
        <w:sz w:val="20"/>
        <w:szCs w:val="20"/>
      </w:rPr>
      <w:t>sākotnējās</w:t>
    </w:r>
    <w:proofErr w:type="spellEnd"/>
    <w:r w:rsidRPr="00B4391D">
      <w:rPr>
        <w:sz w:val="20"/>
        <w:szCs w:val="20"/>
      </w:rPr>
      <w:t xml:space="preserve"> ietekmes novērtējuma ziņojums (anotācija)</w:t>
    </w:r>
  </w:p>
  <w:p w:rsidR="001D517D" w:rsidRPr="001D517D" w:rsidRDefault="001D517D" w:rsidP="001D517D">
    <w:pPr>
      <w:pStyle w:val="naisnod"/>
      <w:spacing w:before="0" w:beforeAutospacing="0" w:after="0" w:afterAutospacing="0"/>
      <w:jc w:val="both"/>
      <w:rPr>
        <w:sz w:val="20"/>
        <w:szCs w:val="20"/>
      </w:rPr>
    </w:pPr>
  </w:p>
  <w:p w:rsidR="00B0479B" w:rsidRPr="001D517D" w:rsidRDefault="00B0479B" w:rsidP="001D517D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1D" w:rsidRPr="00B4391D" w:rsidRDefault="000747AD" w:rsidP="00B4391D">
    <w:pPr>
      <w:shd w:val="clear" w:color="auto" w:fill="FFFFFF"/>
      <w:jc w:val="both"/>
      <w:outlineLvl w:val="3"/>
      <w:rPr>
        <w:sz w:val="20"/>
        <w:szCs w:val="20"/>
      </w:rPr>
    </w:pPr>
    <w:r w:rsidRPr="00B4391D">
      <w:rPr>
        <w:sz w:val="20"/>
        <w:szCs w:val="20"/>
      </w:rPr>
      <w:t>IZMa</w:t>
    </w:r>
    <w:r w:rsidR="00B0479B" w:rsidRPr="00B4391D">
      <w:rPr>
        <w:sz w:val="20"/>
        <w:szCs w:val="20"/>
      </w:rPr>
      <w:t>not_</w:t>
    </w:r>
    <w:r w:rsidR="00FB05C9">
      <w:rPr>
        <w:sz w:val="20"/>
        <w:szCs w:val="20"/>
      </w:rPr>
      <w:t>06</w:t>
    </w:r>
    <w:r w:rsidR="00C45E22">
      <w:rPr>
        <w:sz w:val="20"/>
        <w:szCs w:val="20"/>
      </w:rPr>
      <w:t>12</w:t>
    </w:r>
    <w:r w:rsidR="00B0479B" w:rsidRPr="00B4391D">
      <w:rPr>
        <w:sz w:val="20"/>
        <w:szCs w:val="20"/>
      </w:rPr>
      <w:t>13_</w:t>
    </w:r>
    <w:r w:rsidRPr="00B4391D">
      <w:rPr>
        <w:sz w:val="20"/>
        <w:szCs w:val="20"/>
      </w:rPr>
      <w:t>EUREKA</w:t>
    </w:r>
    <w:r w:rsidR="00B0479B" w:rsidRPr="00B4391D">
      <w:rPr>
        <w:sz w:val="20"/>
        <w:szCs w:val="20"/>
      </w:rPr>
      <w:t xml:space="preserve">; </w:t>
    </w:r>
    <w:r w:rsidR="00B4391D" w:rsidRPr="00B4391D">
      <w:rPr>
        <w:sz w:val="20"/>
        <w:szCs w:val="20"/>
      </w:rPr>
      <w:t xml:space="preserve">Ministru kabineta noteikumu projekta “Par grozījumiem Līgumā </w:t>
    </w:r>
    <w:r w:rsidR="00B4391D" w:rsidRPr="00B4391D">
      <w:rPr>
        <w:sz w:val="20"/>
        <w:szCs w:val="20"/>
        <w:shd w:val="clear" w:color="auto" w:fill="FFFFFF"/>
      </w:rPr>
      <w:t xml:space="preserve">starp EUREKA Sekretariātu un Latvijas Republikas Izglītības un zinātnes </w:t>
    </w:r>
    <w:proofErr w:type="spellStart"/>
    <w:r w:rsidR="00B4391D" w:rsidRPr="00B4391D">
      <w:rPr>
        <w:sz w:val="20"/>
        <w:szCs w:val="20"/>
        <w:shd w:val="clear" w:color="auto" w:fill="FFFFFF"/>
      </w:rPr>
      <w:t>ministriju”</w:t>
    </w:r>
    <w:r w:rsidR="00B4391D" w:rsidRPr="00B4391D">
      <w:rPr>
        <w:sz w:val="20"/>
        <w:szCs w:val="20"/>
      </w:rPr>
      <w:t>sākotnējās</w:t>
    </w:r>
    <w:proofErr w:type="spellEnd"/>
    <w:r w:rsidR="00B4391D" w:rsidRPr="00B4391D">
      <w:rPr>
        <w:sz w:val="20"/>
        <w:szCs w:val="20"/>
      </w:rPr>
      <w:t xml:space="preserve"> ietekmes novērtējuma ziņojums (anotācija)</w:t>
    </w:r>
  </w:p>
  <w:p w:rsidR="00B4391D" w:rsidRPr="00B4391D" w:rsidRDefault="00B4391D" w:rsidP="00B4391D">
    <w:pPr>
      <w:pStyle w:val="naisnod"/>
      <w:spacing w:before="0" w:beforeAutospacing="0" w:after="0" w:afterAutospacing="0"/>
      <w:jc w:val="both"/>
      <w:rPr>
        <w:sz w:val="20"/>
        <w:szCs w:val="20"/>
      </w:rPr>
    </w:pPr>
  </w:p>
  <w:p w:rsidR="001D517D" w:rsidRPr="001D517D" w:rsidRDefault="001D517D" w:rsidP="001D517D">
    <w:pPr>
      <w:shd w:val="clear" w:color="auto" w:fill="FFFFFF"/>
      <w:jc w:val="both"/>
      <w:outlineLvl w:val="3"/>
      <w:rPr>
        <w:sz w:val="20"/>
        <w:szCs w:val="20"/>
      </w:rPr>
    </w:pPr>
  </w:p>
  <w:p w:rsidR="000747AD" w:rsidRPr="001D517D" w:rsidRDefault="000747AD" w:rsidP="001D517D">
    <w:pPr>
      <w:pStyle w:val="naisnod"/>
      <w:spacing w:before="0" w:beforeAutospacing="0" w:after="0" w:afterAutospacing="0"/>
      <w:jc w:val="both"/>
      <w:rPr>
        <w:sz w:val="20"/>
        <w:szCs w:val="20"/>
      </w:rPr>
    </w:pPr>
  </w:p>
  <w:p w:rsidR="00B0479B" w:rsidRPr="00317334" w:rsidRDefault="00B0479B" w:rsidP="00B0479B">
    <w:pPr>
      <w:pStyle w:val="naisnod"/>
      <w:spacing w:before="0" w:beforeAutospacing="0" w:after="0" w:afterAutospacing="0"/>
      <w:jc w:val="both"/>
      <w:rPr>
        <w:bCs/>
        <w:sz w:val="20"/>
        <w:szCs w:val="20"/>
      </w:rPr>
    </w:pPr>
  </w:p>
  <w:p w:rsidR="00B0479B" w:rsidRDefault="00B04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19" w:rsidRDefault="00E96D19">
      <w:r>
        <w:separator/>
      </w:r>
    </w:p>
  </w:footnote>
  <w:footnote w:type="continuationSeparator" w:id="0">
    <w:p w:rsidR="00E96D19" w:rsidRDefault="00E9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9B" w:rsidRDefault="00EE651B" w:rsidP="00737C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7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79B" w:rsidRDefault="00B047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9B" w:rsidRDefault="00EE651B" w:rsidP="00737C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7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5C9">
      <w:rPr>
        <w:rStyle w:val="PageNumber"/>
        <w:noProof/>
      </w:rPr>
      <w:t>4</w:t>
    </w:r>
    <w:r>
      <w:rPr>
        <w:rStyle w:val="PageNumber"/>
      </w:rPr>
      <w:fldChar w:fldCharType="end"/>
    </w:r>
  </w:p>
  <w:p w:rsidR="00B0479B" w:rsidRDefault="00B04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091E"/>
    <w:multiLevelType w:val="hybridMultilevel"/>
    <w:tmpl w:val="7FDEDEB8"/>
    <w:lvl w:ilvl="0" w:tplc="0AC443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20"/>
  <w:drawingGridHorizontalSpacing w:val="18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3A0"/>
    <w:rsid w:val="0000492A"/>
    <w:rsid w:val="000747AD"/>
    <w:rsid w:val="000B7582"/>
    <w:rsid w:val="00123D6E"/>
    <w:rsid w:val="00124358"/>
    <w:rsid w:val="001D517D"/>
    <w:rsid w:val="001E3420"/>
    <w:rsid w:val="001E7BFB"/>
    <w:rsid w:val="001F0E74"/>
    <w:rsid w:val="001F1CC2"/>
    <w:rsid w:val="0026769D"/>
    <w:rsid w:val="002B4D1E"/>
    <w:rsid w:val="002C1840"/>
    <w:rsid w:val="002E57E3"/>
    <w:rsid w:val="00303A6E"/>
    <w:rsid w:val="0030505A"/>
    <w:rsid w:val="00311BAC"/>
    <w:rsid w:val="00317334"/>
    <w:rsid w:val="003379A7"/>
    <w:rsid w:val="00340037"/>
    <w:rsid w:val="0038421A"/>
    <w:rsid w:val="003E6A67"/>
    <w:rsid w:val="0040742E"/>
    <w:rsid w:val="004308E6"/>
    <w:rsid w:val="00432FDB"/>
    <w:rsid w:val="0047703A"/>
    <w:rsid w:val="004862C4"/>
    <w:rsid w:val="00493C9A"/>
    <w:rsid w:val="004B5399"/>
    <w:rsid w:val="004E1159"/>
    <w:rsid w:val="00526BB3"/>
    <w:rsid w:val="0054144B"/>
    <w:rsid w:val="005F1681"/>
    <w:rsid w:val="005F412A"/>
    <w:rsid w:val="006111D8"/>
    <w:rsid w:val="00691356"/>
    <w:rsid w:val="006C15E2"/>
    <w:rsid w:val="006D6B99"/>
    <w:rsid w:val="00715200"/>
    <w:rsid w:val="00737C64"/>
    <w:rsid w:val="007A2BCA"/>
    <w:rsid w:val="007C6BA7"/>
    <w:rsid w:val="008339CB"/>
    <w:rsid w:val="00833D28"/>
    <w:rsid w:val="008668BB"/>
    <w:rsid w:val="00896AD8"/>
    <w:rsid w:val="009333A0"/>
    <w:rsid w:val="009E25D3"/>
    <w:rsid w:val="00A242A3"/>
    <w:rsid w:val="00A95A79"/>
    <w:rsid w:val="00AB312B"/>
    <w:rsid w:val="00AC655C"/>
    <w:rsid w:val="00B0479B"/>
    <w:rsid w:val="00B0685E"/>
    <w:rsid w:val="00B12530"/>
    <w:rsid w:val="00B22530"/>
    <w:rsid w:val="00B4391D"/>
    <w:rsid w:val="00B7090A"/>
    <w:rsid w:val="00BB4BD9"/>
    <w:rsid w:val="00C45E22"/>
    <w:rsid w:val="00CD1FD5"/>
    <w:rsid w:val="00CF2367"/>
    <w:rsid w:val="00D41967"/>
    <w:rsid w:val="00D67FB0"/>
    <w:rsid w:val="00DA1735"/>
    <w:rsid w:val="00E32F26"/>
    <w:rsid w:val="00E35BE4"/>
    <w:rsid w:val="00E96D19"/>
    <w:rsid w:val="00EB452A"/>
    <w:rsid w:val="00EE651B"/>
    <w:rsid w:val="00FA4947"/>
    <w:rsid w:val="00FB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3A0"/>
    <w:rPr>
      <w:sz w:val="24"/>
      <w:szCs w:val="24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0747A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9333A0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333A0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333A0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9333A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333A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9333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en-GB" w:eastAsia="cs-CZ"/>
    </w:rPr>
  </w:style>
  <w:style w:type="character" w:customStyle="1" w:styleId="BodyTextChar">
    <w:name w:val="Body Text Char"/>
    <w:link w:val="BodyText"/>
    <w:semiHidden/>
    <w:rsid w:val="009333A0"/>
    <w:rPr>
      <w:rFonts w:ascii="Tahoma" w:hAnsi="Tahoma"/>
      <w:sz w:val="24"/>
      <w:lang w:val="en-GB" w:eastAsia="cs-CZ" w:bidi="ar-SA"/>
    </w:rPr>
  </w:style>
  <w:style w:type="paragraph" w:styleId="Header">
    <w:name w:val="header"/>
    <w:basedOn w:val="Normal"/>
    <w:rsid w:val="003173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17334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31733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317334"/>
  </w:style>
  <w:style w:type="paragraph" w:styleId="BalloonText">
    <w:name w:val="Balloon Text"/>
    <w:basedOn w:val="Normal"/>
    <w:semiHidden/>
    <w:rsid w:val="00CF236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747AD"/>
    <w:rPr>
      <w:sz w:val="28"/>
    </w:rPr>
  </w:style>
  <w:style w:type="character" w:customStyle="1" w:styleId="FooterChar">
    <w:name w:val="Footer Char"/>
    <w:basedOn w:val="DefaultParagraphFont"/>
    <w:link w:val="Footer"/>
    <w:rsid w:val="000747AD"/>
    <w:rPr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nhideWhenUsed/>
    <w:rsid w:val="004770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703A"/>
    <w:rPr>
      <w:lang w:val="lv-LV" w:eastAsia="lv-LV"/>
    </w:rPr>
  </w:style>
  <w:style w:type="paragraph" w:customStyle="1" w:styleId="tv20787921">
    <w:name w:val="tv207_87_921"/>
    <w:basedOn w:val="Normal"/>
    <w:rsid w:val="0047703A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0B758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B0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37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8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AB9E3-37A4-4EA2-BF7E-2620F17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684</Words>
  <Characters>5036</Characters>
  <Application>Microsoft Office Word</Application>
  <DocSecurity>0</DocSecurity>
  <Lines>201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</vt:lpstr>
    </vt:vector>
  </TitlesOfParts>
  <Company>vidm</Company>
  <LinksUpToDate>false</LinksUpToDate>
  <CharactersWithSpaces>5671</CharactersWithSpaces>
  <SharedDoc>false</SharedDoc>
  <HLinks>
    <vt:vector size="78" baseType="variant">
      <vt:variant>
        <vt:i4>327736</vt:i4>
      </vt:variant>
      <vt:variant>
        <vt:i4>36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  <vt:variant>
        <vt:i4>7274552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http://eur-lex.europa.eu/LexUriServ/LexUriServ.do?uri=OJ:L:2006:310:0001:01:LV:HTML</vt:lpwstr>
      </vt:variant>
      <vt:variant>
        <vt:lpwstr/>
      </vt:variant>
      <vt:variant>
        <vt:i4>7733296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http://eur-lex.europa.eu/LexUriServ/LexUriServ.do?uri=OJ:L:2007:210:0010:01:EN:HTML</vt:lpwstr>
      </vt:variant>
      <vt:variant>
        <vt:lpwstr/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http://eur-lex.europa.eu/LexUriServ/LexUriServ.do?uri=OJ:L:2002:248:0001:01:LV:HTML</vt:lpwstr>
      </vt:variant>
      <vt:variant>
        <vt:lpwstr/>
      </vt:variant>
      <vt:variant>
        <vt:i4>1572935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http://eur-lex.europa.eu/LexUriServ/LexUriServ.do?uri=CONSLEG:2002R2342:20090101:LV:HTML</vt:lpwstr>
      </vt:variant>
      <vt:variant>
        <vt:lpwstr/>
      </vt:variant>
      <vt:variant>
        <vt:i4>7274552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http://eur-lex.europa.eu/LexUriServ/LexUriServ.do?uri=OJ:L:2006:310:0001:01:LV:HTML</vt:lpwstr>
      </vt:variant>
      <vt:variant>
        <vt:lpwstr/>
      </vt:variant>
      <vt:variant>
        <vt:i4>7733296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http://eur-lex.europa.eu/LexUriServ/LexUriServ.do?uri=OJ:L:2007:210:0010:01:EN:HTML</vt:lpwstr>
      </vt:variant>
      <vt:variant>
        <vt:lpwstr/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http://eur-lex.europa.eu/LexUriServ/LexUriServ.do?uri=OJ:L:2002:248:0001:01:LV:HTML</vt:lpwstr>
      </vt:variant>
      <vt:variant>
        <vt:lpwstr/>
      </vt:variant>
      <vt:variant>
        <vt:i4>1572935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http://eur-lex.europa.eu/LexUriServ/LexUriServ.do?uri=CONSLEG:2002R2342:20090101:LV:HTML</vt:lpwstr>
      </vt:variant>
      <vt:variant>
        <vt:lpwstr/>
      </vt:variant>
      <vt:variant>
        <vt:i4>6946869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http://eur-lex.europa.eu/LexUriServ/LexUriServ.do?uri=OJ:L:2002:248:0001:01:LV:HTML</vt:lpwstr>
      </vt:variant>
      <vt:variant>
        <vt:lpwstr/>
      </vt:variant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http://eur-lex.europa.eu/LexUriServ/LexUriServ.do?uri=CONSLEG:2006R1995:20060822:LV:HTML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http://eur-lex.europa.eu/LexUriServ/LexUriServ.do?uri=OJ:L:2002:248:0001:01:LV:HTML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http://eur-lex.europa.eu/LexUriServ/LexUriServ.do?uri=OJ:L:2006:310:0001:01:LV:HTML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</dc:title>
  <dc:subject/>
  <dc:creator>agneser</dc:creator>
  <cp:keywords/>
  <dc:description/>
  <cp:lastModifiedBy>adepkovska</cp:lastModifiedBy>
  <cp:revision>10</cp:revision>
  <cp:lastPrinted>2013-03-15T08:16:00Z</cp:lastPrinted>
  <dcterms:created xsi:type="dcterms:W3CDTF">2013-11-04T13:07:00Z</dcterms:created>
  <dcterms:modified xsi:type="dcterms:W3CDTF">2013-12-09T09:38:00Z</dcterms:modified>
  <cp:contentStatus/>
</cp:coreProperties>
</file>