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2C" w:rsidRPr="0033137F" w:rsidRDefault="002B21EE" w:rsidP="00846994">
      <w:pPr>
        <w:pStyle w:val="naislab"/>
        <w:jc w:val="center"/>
        <w:outlineLvl w:val="0"/>
        <w:rPr>
          <w:b/>
          <w:sz w:val="28"/>
          <w:szCs w:val="28"/>
        </w:rPr>
      </w:pPr>
      <w:r w:rsidRPr="0033137F">
        <w:rPr>
          <w:b/>
          <w:sz w:val="28"/>
          <w:szCs w:val="28"/>
        </w:rPr>
        <w:t>Mini</w:t>
      </w:r>
      <w:r w:rsidR="00E0332C" w:rsidRPr="0033137F">
        <w:rPr>
          <w:b/>
          <w:sz w:val="28"/>
          <w:szCs w:val="28"/>
        </w:rPr>
        <w:t>stru kabineta rīkojuma projekta</w:t>
      </w:r>
    </w:p>
    <w:p w:rsidR="00E0332C" w:rsidRPr="0033137F" w:rsidRDefault="002B21EE" w:rsidP="00846994">
      <w:pPr>
        <w:pStyle w:val="naislab"/>
        <w:jc w:val="center"/>
        <w:outlineLvl w:val="0"/>
        <w:rPr>
          <w:b/>
          <w:sz w:val="28"/>
          <w:szCs w:val="28"/>
        </w:rPr>
      </w:pPr>
      <w:r w:rsidRPr="0033137F">
        <w:rPr>
          <w:b/>
          <w:sz w:val="28"/>
          <w:szCs w:val="28"/>
        </w:rPr>
        <w:t xml:space="preserve">„Par </w:t>
      </w:r>
      <w:proofErr w:type="spellStart"/>
      <w:r w:rsidR="006F7FF3" w:rsidRPr="0033137F">
        <w:rPr>
          <w:b/>
          <w:sz w:val="28"/>
          <w:szCs w:val="28"/>
        </w:rPr>
        <w:t>M.Gruškevica</w:t>
      </w:r>
      <w:proofErr w:type="spellEnd"/>
      <w:r w:rsidR="00E0332C" w:rsidRPr="0033137F">
        <w:rPr>
          <w:b/>
          <w:sz w:val="28"/>
          <w:szCs w:val="28"/>
        </w:rPr>
        <w:t xml:space="preserve"> </w:t>
      </w:r>
      <w:r w:rsidR="00CB1405" w:rsidRPr="0033137F">
        <w:rPr>
          <w:b/>
          <w:sz w:val="28"/>
          <w:szCs w:val="28"/>
        </w:rPr>
        <w:t>atbrīvošanu no amata</w:t>
      </w:r>
      <w:r w:rsidR="00E0332C" w:rsidRPr="0033137F">
        <w:rPr>
          <w:b/>
          <w:sz w:val="28"/>
          <w:szCs w:val="28"/>
        </w:rPr>
        <w:t>”</w:t>
      </w:r>
    </w:p>
    <w:p w:rsidR="008C5649" w:rsidRPr="0033137F" w:rsidRDefault="00852042" w:rsidP="00846994">
      <w:pPr>
        <w:pStyle w:val="naislab"/>
        <w:jc w:val="center"/>
        <w:outlineLvl w:val="0"/>
        <w:rPr>
          <w:b/>
          <w:sz w:val="28"/>
          <w:szCs w:val="28"/>
        </w:rPr>
      </w:pPr>
      <w:r w:rsidRPr="0033137F">
        <w:rPr>
          <w:b/>
          <w:sz w:val="28"/>
          <w:szCs w:val="28"/>
        </w:rPr>
        <w:t>sākotnējā</w:t>
      </w:r>
      <w:r w:rsidR="002D3306" w:rsidRPr="0033137F">
        <w:rPr>
          <w:b/>
          <w:sz w:val="28"/>
          <w:szCs w:val="28"/>
        </w:rPr>
        <w:t>s</w:t>
      </w:r>
      <w:r w:rsidRPr="0033137F">
        <w:rPr>
          <w:b/>
          <w:sz w:val="28"/>
          <w:szCs w:val="28"/>
        </w:rPr>
        <w:t xml:space="preserve"> ietekmes novērtējuma ziņojums (anotācija)</w:t>
      </w:r>
    </w:p>
    <w:tbl>
      <w:tblPr>
        <w:tblpPr w:leftFromText="180" w:rightFromText="180" w:vertAnchor="text" w:horzAnchor="margin" w:tblpXSpec="center" w:tblpY="149"/>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2"/>
        <w:gridCol w:w="3347"/>
        <w:gridCol w:w="5302"/>
      </w:tblGrid>
      <w:tr w:rsidR="00852042" w:rsidRPr="0033137F">
        <w:trPr>
          <w:tblCellSpacing w:w="0" w:type="dxa"/>
        </w:trPr>
        <w:tc>
          <w:tcPr>
            <w:tcW w:w="5000" w:type="pct"/>
            <w:gridSpan w:val="3"/>
            <w:vAlign w:val="center"/>
          </w:tcPr>
          <w:p w:rsidR="00852042" w:rsidRPr="0033137F" w:rsidRDefault="00852042" w:rsidP="00917532">
            <w:pPr>
              <w:pStyle w:val="naisnod"/>
              <w:rPr>
                <w:sz w:val="28"/>
                <w:szCs w:val="28"/>
              </w:rPr>
            </w:pPr>
            <w:r w:rsidRPr="0033137F">
              <w:rPr>
                <w:sz w:val="28"/>
                <w:szCs w:val="28"/>
              </w:rPr>
              <w:t xml:space="preserve"> I Tiesību akta </w:t>
            </w:r>
            <w:r w:rsidR="002E3FF4" w:rsidRPr="0033137F">
              <w:rPr>
                <w:sz w:val="28"/>
                <w:szCs w:val="28"/>
              </w:rPr>
              <w:t xml:space="preserve">projekta </w:t>
            </w:r>
            <w:r w:rsidRPr="0033137F">
              <w:rPr>
                <w:sz w:val="28"/>
                <w:szCs w:val="28"/>
              </w:rPr>
              <w:t>izstrādes nepieciešamība</w:t>
            </w:r>
          </w:p>
        </w:tc>
      </w:tr>
      <w:tr w:rsidR="00262E2B" w:rsidRPr="0033137F">
        <w:trPr>
          <w:trHeight w:val="976"/>
          <w:tblCellSpacing w:w="0" w:type="dxa"/>
        </w:trPr>
        <w:tc>
          <w:tcPr>
            <w:tcW w:w="243" w:type="pct"/>
          </w:tcPr>
          <w:p w:rsidR="00262E2B" w:rsidRPr="0033137F" w:rsidRDefault="00262E2B" w:rsidP="00CB1405">
            <w:pPr>
              <w:pStyle w:val="naiskr"/>
              <w:ind w:left="180" w:hanging="180"/>
              <w:jc w:val="center"/>
              <w:rPr>
                <w:sz w:val="28"/>
                <w:szCs w:val="28"/>
              </w:rPr>
            </w:pPr>
            <w:r w:rsidRPr="0033137F">
              <w:rPr>
                <w:sz w:val="28"/>
                <w:szCs w:val="28"/>
              </w:rPr>
              <w:t>1.</w:t>
            </w:r>
          </w:p>
        </w:tc>
        <w:tc>
          <w:tcPr>
            <w:tcW w:w="1841" w:type="pct"/>
          </w:tcPr>
          <w:p w:rsidR="00262E2B" w:rsidRPr="0033137F" w:rsidRDefault="002D7F54" w:rsidP="00450A76">
            <w:pPr>
              <w:pStyle w:val="naiskr"/>
              <w:ind w:left="180" w:hanging="10"/>
              <w:rPr>
                <w:sz w:val="28"/>
                <w:szCs w:val="28"/>
              </w:rPr>
            </w:pPr>
            <w:r w:rsidRPr="0033137F">
              <w:rPr>
                <w:sz w:val="28"/>
                <w:szCs w:val="28"/>
              </w:rPr>
              <w:t>Pamatojums</w:t>
            </w:r>
          </w:p>
        </w:tc>
        <w:tc>
          <w:tcPr>
            <w:tcW w:w="2916" w:type="pct"/>
          </w:tcPr>
          <w:p w:rsidR="007E7847" w:rsidRPr="0033137F" w:rsidRDefault="003B2525" w:rsidP="00441FF2">
            <w:pPr>
              <w:pStyle w:val="naiskr"/>
              <w:ind w:left="171"/>
              <w:jc w:val="both"/>
              <w:rPr>
                <w:sz w:val="28"/>
                <w:szCs w:val="28"/>
              </w:rPr>
            </w:pPr>
            <w:hyperlink r:id="rId7" w:tgtFrame="_blank" w:history="1">
              <w:r w:rsidR="00D811A3" w:rsidRPr="00700620">
                <w:rPr>
                  <w:rStyle w:val="Hyperlink"/>
                  <w:color w:val="auto"/>
                  <w:sz w:val="28"/>
                  <w:szCs w:val="28"/>
                  <w:u w:val="none"/>
                  <w:shd w:val="clear" w:color="auto" w:fill="FFFFFF"/>
                </w:rPr>
                <w:t>Valsts civildienesta likuma</w:t>
              </w:r>
            </w:hyperlink>
            <w:r w:rsidR="00D811A3">
              <w:rPr>
                <w:rStyle w:val="apple-converted-space"/>
                <w:rFonts w:ascii="Verdana" w:hAnsi="Verdana"/>
                <w:color w:val="000000"/>
                <w:sz w:val="18"/>
                <w:szCs w:val="18"/>
                <w:shd w:val="clear" w:color="auto" w:fill="FFFFFF"/>
              </w:rPr>
              <w:t> </w:t>
            </w:r>
            <w:r w:rsidR="00D811A3">
              <w:rPr>
                <w:color w:val="000000"/>
                <w:sz w:val="28"/>
                <w:szCs w:val="28"/>
                <w:shd w:val="clear" w:color="auto" w:fill="FFFFFF"/>
              </w:rPr>
              <w:t xml:space="preserve">14.panta trešā daļa, </w:t>
            </w:r>
            <w:r w:rsidR="00BD6689" w:rsidRPr="0033137F">
              <w:rPr>
                <w:sz w:val="28"/>
                <w:szCs w:val="28"/>
              </w:rPr>
              <w:t>Valsts civildienesta ierēdņu disciplināratbildības likuma 31.panta pirmās daļas 1.punkt</w:t>
            </w:r>
            <w:r w:rsidR="00F36770" w:rsidRPr="0033137F">
              <w:rPr>
                <w:sz w:val="28"/>
                <w:szCs w:val="28"/>
              </w:rPr>
              <w:t>s</w:t>
            </w:r>
            <w:r w:rsidR="00BD6689" w:rsidRPr="0033137F">
              <w:rPr>
                <w:sz w:val="28"/>
                <w:szCs w:val="28"/>
              </w:rPr>
              <w:t>, otr</w:t>
            </w:r>
            <w:r w:rsidR="00F36770" w:rsidRPr="0033137F">
              <w:rPr>
                <w:sz w:val="28"/>
                <w:szCs w:val="28"/>
              </w:rPr>
              <w:t>ā</w:t>
            </w:r>
            <w:r w:rsidR="00BD6689" w:rsidRPr="0033137F">
              <w:rPr>
                <w:sz w:val="28"/>
                <w:szCs w:val="28"/>
              </w:rPr>
              <w:t xml:space="preserve"> un treš</w:t>
            </w:r>
            <w:r w:rsidR="00F36770" w:rsidRPr="0033137F">
              <w:rPr>
                <w:sz w:val="28"/>
                <w:szCs w:val="28"/>
              </w:rPr>
              <w:t>ā</w:t>
            </w:r>
            <w:r w:rsidR="00BD6689" w:rsidRPr="0033137F">
              <w:rPr>
                <w:sz w:val="28"/>
                <w:szCs w:val="28"/>
              </w:rPr>
              <w:t xml:space="preserve"> daļ</w:t>
            </w:r>
            <w:r w:rsidR="000C612D" w:rsidRPr="0033137F">
              <w:rPr>
                <w:sz w:val="28"/>
                <w:szCs w:val="28"/>
              </w:rPr>
              <w:t xml:space="preserve">a, Valsts civildienesta likuma </w:t>
            </w:r>
            <w:r w:rsidR="007B135E">
              <w:rPr>
                <w:sz w:val="28"/>
                <w:szCs w:val="28"/>
              </w:rPr>
              <w:t>11.panta trešā daļa un</w:t>
            </w:r>
            <w:r w:rsidR="00A60DED">
              <w:rPr>
                <w:sz w:val="28"/>
                <w:szCs w:val="28"/>
              </w:rPr>
              <w:t xml:space="preserve"> </w:t>
            </w:r>
            <w:r w:rsidR="000C612D" w:rsidRPr="0033137F">
              <w:rPr>
                <w:sz w:val="28"/>
                <w:szCs w:val="28"/>
              </w:rPr>
              <w:t>41.panta</w:t>
            </w:r>
            <w:r w:rsidR="007B135E">
              <w:rPr>
                <w:sz w:val="28"/>
                <w:szCs w:val="28"/>
              </w:rPr>
              <w:t xml:space="preserve"> 1.punkta</w:t>
            </w:r>
            <w:r w:rsidR="000C612D" w:rsidRPr="0033137F">
              <w:rPr>
                <w:sz w:val="28"/>
                <w:szCs w:val="28"/>
              </w:rPr>
              <w:t xml:space="preserve"> „i” apakšpunkts</w:t>
            </w:r>
            <w:r w:rsidR="0038282D" w:rsidRPr="0033137F">
              <w:rPr>
                <w:sz w:val="28"/>
                <w:szCs w:val="28"/>
              </w:rPr>
              <w:t>.</w:t>
            </w:r>
          </w:p>
        </w:tc>
      </w:tr>
      <w:tr w:rsidR="00262E2B" w:rsidRPr="0033137F" w:rsidTr="0033137F">
        <w:trPr>
          <w:trHeight w:val="1550"/>
          <w:tblCellSpacing w:w="0" w:type="dxa"/>
        </w:trPr>
        <w:tc>
          <w:tcPr>
            <w:tcW w:w="243" w:type="pct"/>
            <w:vAlign w:val="center"/>
          </w:tcPr>
          <w:p w:rsidR="00262E2B" w:rsidRPr="0033137F" w:rsidRDefault="00262E2B" w:rsidP="00262E2B">
            <w:pPr>
              <w:pStyle w:val="naiskr"/>
              <w:jc w:val="center"/>
              <w:rPr>
                <w:sz w:val="28"/>
                <w:szCs w:val="28"/>
              </w:rPr>
            </w:pPr>
            <w:r w:rsidRPr="0033137F">
              <w:rPr>
                <w:sz w:val="28"/>
                <w:szCs w:val="28"/>
              </w:rPr>
              <w:t>2.</w:t>
            </w:r>
          </w:p>
        </w:tc>
        <w:tc>
          <w:tcPr>
            <w:tcW w:w="1841" w:type="pct"/>
            <w:vAlign w:val="center"/>
          </w:tcPr>
          <w:p w:rsidR="00262E2B" w:rsidRPr="0033137F" w:rsidRDefault="00262E2B" w:rsidP="001F5CD6">
            <w:pPr>
              <w:pStyle w:val="naiskr"/>
              <w:tabs>
                <w:tab w:val="left" w:pos="170"/>
              </w:tabs>
              <w:ind w:left="170"/>
              <w:rPr>
                <w:sz w:val="28"/>
                <w:szCs w:val="28"/>
              </w:rPr>
            </w:pPr>
            <w:r w:rsidRPr="0033137F">
              <w:rPr>
                <w:sz w:val="28"/>
                <w:szCs w:val="28"/>
              </w:rPr>
              <w:t>Pašreizējā situācija</w:t>
            </w:r>
            <w:r w:rsidR="001F5CD6" w:rsidRPr="0033137F">
              <w:rPr>
                <w:sz w:val="28"/>
                <w:szCs w:val="28"/>
              </w:rPr>
              <w:t xml:space="preserve"> un problēmas</w:t>
            </w:r>
          </w:p>
        </w:tc>
        <w:tc>
          <w:tcPr>
            <w:tcW w:w="2916" w:type="pct"/>
            <w:vAlign w:val="center"/>
          </w:tcPr>
          <w:p w:rsidR="00457C4E" w:rsidRDefault="0011728D" w:rsidP="00E2238E">
            <w:pPr>
              <w:ind w:firstLine="709"/>
              <w:jc w:val="both"/>
              <w:rPr>
                <w:sz w:val="28"/>
                <w:szCs w:val="28"/>
              </w:rPr>
            </w:pPr>
            <w:r>
              <w:rPr>
                <w:sz w:val="28"/>
                <w:szCs w:val="28"/>
              </w:rPr>
              <w:t>D</w:t>
            </w:r>
            <w:r w:rsidR="00327B6B" w:rsidRPr="0033137F">
              <w:rPr>
                <w:sz w:val="28"/>
                <w:szCs w:val="28"/>
              </w:rPr>
              <w:t>isciplinārlietas (</w:t>
            </w:r>
            <w:r w:rsidR="00046989">
              <w:rPr>
                <w:sz w:val="28"/>
                <w:szCs w:val="28"/>
              </w:rPr>
              <w:t>i</w:t>
            </w:r>
            <w:r w:rsidR="00A05D7B" w:rsidRPr="00A05D7B">
              <w:rPr>
                <w:sz w:val="28"/>
                <w:szCs w:val="28"/>
              </w:rPr>
              <w:t>zveidota ar Izglītības un zinātnes ministrijas 2012.gada 23.aprīļa rīkojumu Nr.122</w:t>
            </w:r>
            <w:r w:rsidR="00327B6B" w:rsidRPr="00A05D7B">
              <w:rPr>
                <w:sz w:val="28"/>
                <w:szCs w:val="28"/>
              </w:rPr>
              <w:t>)</w:t>
            </w:r>
            <w:r w:rsidR="00327B6B" w:rsidRPr="0033137F">
              <w:rPr>
                <w:sz w:val="28"/>
                <w:szCs w:val="28"/>
              </w:rPr>
              <w:t xml:space="preserve"> izmeklēšanas </w:t>
            </w:r>
            <w:r w:rsidR="00327B6B" w:rsidRPr="007600B4">
              <w:rPr>
                <w:sz w:val="28"/>
                <w:szCs w:val="28"/>
              </w:rPr>
              <w:t>laikā atbilstoši  disciplinārlietas</w:t>
            </w:r>
            <w:r w:rsidR="00B86D04">
              <w:rPr>
                <w:sz w:val="28"/>
                <w:szCs w:val="28"/>
              </w:rPr>
              <w:t xml:space="preserve"> izmeklēšanas</w:t>
            </w:r>
            <w:r w:rsidR="00327B6B" w:rsidRPr="007600B4">
              <w:rPr>
                <w:sz w:val="28"/>
                <w:szCs w:val="28"/>
              </w:rPr>
              <w:t xml:space="preserve"> </w:t>
            </w:r>
            <w:r w:rsidR="00046989" w:rsidRPr="007600B4">
              <w:rPr>
                <w:sz w:val="28"/>
                <w:szCs w:val="28"/>
              </w:rPr>
              <w:t>komisijas (</w:t>
            </w:r>
            <w:r w:rsidR="00C7317C" w:rsidRPr="007600B4">
              <w:rPr>
                <w:sz w:val="28"/>
                <w:szCs w:val="28"/>
              </w:rPr>
              <w:t xml:space="preserve">izveidota ar Izglītības un zinātnes ministrijas 2012.gada 8.maija rīkojumu Nr.14-06/15) </w:t>
            </w:r>
            <w:r w:rsidR="00327B6B" w:rsidRPr="007600B4">
              <w:rPr>
                <w:sz w:val="28"/>
                <w:szCs w:val="28"/>
              </w:rPr>
              <w:t>2012.</w:t>
            </w:r>
            <w:r w:rsidR="007600B4" w:rsidRPr="007600B4">
              <w:rPr>
                <w:sz w:val="28"/>
                <w:szCs w:val="28"/>
              </w:rPr>
              <w:t>gada 6.jūlija</w:t>
            </w:r>
            <w:r w:rsidR="00F27199">
              <w:rPr>
                <w:sz w:val="28"/>
                <w:szCs w:val="28"/>
              </w:rPr>
              <w:t xml:space="preserve"> atzinumā norādīts</w:t>
            </w:r>
            <w:r w:rsidR="00327B6B" w:rsidRPr="0033137F">
              <w:rPr>
                <w:sz w:val="28"/>
                <w:szCs w:val="28"/>
              </w:rPr>
              <w:t>, ka</w:t>
            </w:r>
            <w:r w:rsidR="00457C4E">
              <w:rPr>
                <w:sz w:val="28"/>
                <w:szCs w:val="28"/>
              </w:rPr>
              <w:t xml:space="preserve">: </w:t>
            </w:r>
          </w:p>
          <w:p w:rsidR="00E2238E" w:rsidRPr="00F816F7" w:rsidRDefault="00457C4E" w:rsidP="00E2238E">
            <w:pPr>
              <w:ind w:firstLine="709"/>
              <w:jc w:val="both"/>
              <w:rPr>
                <w:sz w:val="28"/>
                <w:szCs w:val="28"/>
              </w:rPr>
            </w:pPr>
            <w:r w:rsidRPr="00F816F7">
              <w:rPr>
                <w:sz w:val="28"/>
                <w:szCs w:val="28"/>
              </w:rPr>
              <w:t>1)</w:t>
            </w:r>
            <w:r w:rsidR="00E2238E" w:rsidRPr="00F816F7">
              <w:rPr>
                <w:sz w:val="28"/>
                <w:szCs w:val="28"/>
              </w:rPr>
              <w:t xml:space="preserve"> </w:t>
            </w:r>
            <w:proofErr w:type="spellStart"/>
            <w:r w:rsidR="00BD53B0" w:rsidRPr="00F816F7">
              <w:rPr>
                <w:sz w:val="28"/>
                <w:szCs w:val="28"/>
              </w:rPr>
              <w:t>M.Gruškevica</w:t>
            </w:r>
            <w:proofErr w:type="spellEnd"/>
            <w:r w:rsidR="00BD53B0" w:rsidRPr="00F816F7">
              <w:rPr>
                <w:sz w:val="28"/>
                <w:szCs w:val="28"/>
              </w:rPr>
              <w:t xml:space="preserve"> </w:t>
            </w:r>
            <w:r w:rsidR="00E2238E" w:rsidRPr="00F816F7">
              <w:rPr>
                <w:sz w:val="28"/>
                <w:szCs w:val="28"/>
              </w:rPr>
              <w:t>rīcībā, ie</w:t>
            </w:r>
            <w:r w:rsidR="00BD53B0" w:rsidRPr="00F816F7">
              <w:rPr>
                <w:sz w:val="28"/>
                <w:szCs w:val="28"/>
              </w:rPr>
              <w:t>vērojot pārkāpumu raksturu ( kā ierēdnis ir apzinājies</w:t>
            </w:r>
            <w:r w:rsidR="00E2238E" w:rsidRPr="00F816F7">
              <w:rPr>
                <w:sz w:val="28"/>
                <w:szCs w:val="28"/>
              </w:rPr>
              <w:t xml:space="preserve">, ka, grozot Vispārīgo vienošanos, netiek ne tikai izvērtēta šādu grozījumu atbilstība, bet arī apzināti pārkāpjot </w:t>
            </w:r>
            <w:r w:rsidR="00BD53B0" w:rsidRPr="00F816F7">
              <w:rPr>
                <w:sz w:val="28"/>
                <w:szCs w:val="28"/>
              </w:rPr>
              <w:t xml:space="preserve">Izglītības un zinātnes </w:t>
            </w:r>
            <w:r w:rsidR="00E2238E" w:rsidRPr="00F816F7">
              <w:rPr>
                <w:sz w:val="28"/>
                <w:szCs w:val="28"/>
              </w:rPr>
              <w:t>ministrijas izveidotajā iekšējās kontroles sistēmā noteikto šāda saturu dokumentu saskaņošanas kārtību, tādējādi pieļaujot viegli prognozējamo būtisko risku, kas viennozīmīgi ir saistīti ar būtiskiem finanšu līdzekļu zaudējumiem budžetā, iestāšanos), ir konstatējams būtisks kaitējums valsts civildienestam Valsts civildienesta ierēdņu disciplināratbildības likuma 15.panta piektās daļas izpratnē, jo pēc šāda pārkāpuma nav pamata turpmāk uzticēties minētajiem ierēdņiem kā kompetentām amatpersonām, proti, nav iespējams pieļaut vēl kādu nākošo situāciju, kad atkārtoti tiks izdarīts šād</w:t>
            </w:r>
            <w:r w:rsidRPr="00F816F7">
              <w:rPr>
                <w:sz w:val="28"/>
                <w:szCs w:val="28"/>
              </w:rPr>
              <w:t xml:space="preserve">a rakstura </w:t>
            </w:r>
            <w:proofErr w:type="spellStart"/>
            <w:r w:rsidRPr="00F816F7">
              <w:rPr>
                <w:sz w:val="28"/>
                <w:szCs w:val="28"/>
              </w:rPr>
              <w:t>disciplinārpārkāpums</w:t>
            </w:r>
            <w:proofErr w:type="spellEnd"/>
            <w:r w:rsidRPr="00F816F7">
              <w:rPr>
                <w:sz w:val="28"/>
                <w:szCs w:val="28"/>
              </w:rPr>
              <w:t>;</w:t>
            </w:r>
          </w:p>
          <w:p w:rsidR="00457C4E" w:rsidRPr="00F816F7" w:rsidRDefault="00457C4E" w:rsidP="002043FB">
            <w:pPr>
              <w:ind w:firstLine="709"/>
              <w:jc w:val="both"/>
              <w:rPr>
                <w:sz w:val="28"/>
                <w:szCs w:val="28"/>
              </w:rPr>
            </w:pPr>
            <w:r w:rsidRPr="00F816F7">
              <w:rPr>
                <w:sz w:val="28"/>
                <w:szCs w:val="28"/>
              </w:rPr>
              <w:t xml:space="preserve">2) </w:t>
            </w:r>
            <w:proofErr w:type="spellStart"/>
            <w:r w:rsidRPr="00F816F7">
              <w:rPr>
                <w:sz w:val="28"/>
                <w:szCs w:val="28"/>
              </w:rPr>
              <w:t>M.Gruškevica</w:t>
            </w:r>
            <w:proofErr w:type="spellEnd"/>
            <w:r w:rsidRPr="00F816F7">
              <w:rPr>
                <w:sz w:val="28"/>
                <w:szCs w:val="28"/>
              </w:rPr>
              <w:t xml:space="preserve"> rīcības rezultātā turklāt ir nodarīts būtisks mantisks zaudējums valstij – saskaņā ar Valsts izglītības attīstības </w:t>
            </w:r>
            <w:r w:rsidRPr="00F816F7">
              <w:rPr>
                <w:sz w:val="28"/>
                <w:szCs w:val="28"/>
              </w:rPr>
              <w:lastRenderedPageBreak/>
              <w:t xml:space="preserve">aģentūras </w:t>
            </w:r>
            <w:r w:rsidR="00BE6F11" w:rsidRPr="00F816F7">
              <w:rPr>
                <w:sz w:val="28"/>
                <w:szCs w:val="28"/>
              </w:rPr>
              <w:t xml:space="preserve">(VIAA) </w:t>
            </w:r>
            <w:r w:rsidRPr="00F816F7">
              <w:rPr>
                <w:sz w:val="28"/>
                <w:szCs w:val="28"/>
              </w:rPr>
              <w:t xml:space="preserve">2012.gada 27.jūnija vēstuli Nr.1-2/6889 „Par informācijas sniegšanu” tā ir veikusi finansējuma saņēmēju aptauju, kā rezultātā apmēram no 96 piegādēm 67 gadījumos ir piegādāti papildu datortehnikas modeļi (aptuveni 1262 skolēna </w:t>
            </w:r>
            <w:proofErr w:type="spellStart"/>
            <w:r w:rsidRPr="00F816F7">
              <w:rPr>
                <w:sz w:val="28"/>
                <w:szCs w:val="28"/>
              </w:rPr>
              <w:t>datorkomplekti</w:t>
            </w:r>
            <w:proofErr w:type="spellEnd"/>
            <w:r w:rsidRPr="00F816F7">
              <w:rPr>
                <w:sz w:val="28"/>
                <w:szCs w:val="28"/>
              </w:rPr>
              <w:t xml:space="preserve">). Turklāt pārbaudēs projekta īstenošanas vietās </w:t>
            </w:r>
            <w:r w:rsidR="002043FB" w:rsidRPr="00F816F7">
              <w:rPr>
                <w:sz w:val="28"/>
                <w:szCs w:val="28"/>
              </w:rPr>
              <w:t xml:space="preserve">VIAA </w:t>
            </w:r>
            <w:r w:rsidRPr="00F816F7">
              <w:rPr>
                <w:sz w:val="28"/>
                <w:szCs w:val="28"/>
              </w:rPr>
              <w:t>ir konstatējusi vairākus gadījumus, kuros ir guvusi apstiprinājumu faktam, ka SIA „</w:t>
            </w:r>
            <w:proofErr w:type="spellStart"/>
            <w:r w:rsidRPr="00F816F7">
              <w:rPr>
                <w:sz w:val="28"/>
                <w:szCs w:val="28"/>
              </w:rPr>
              <w:t>Lattelecom</w:t>
            </w:r>
            <w:proofErr w:type="spellEnd"/>
            <w:r w:rsidRPr="00F816F7">
              <w:rPr>
                <w:sz w:val="28"/>
                <w:szCs w:val="28"/>
              </w:rPr>
              <w:t xml:space="preserve">” finansējuma saņēmējiem ir piegādājis papildu datortehnikas modeļus. Viena Skolēna </w:t>
            </w:r>
            <w:proofErr w:type="spellStart"/>
            <w:r w:rsidRPr="00F816F7">
              <w:rPr>
                <w:sz w:val="28"/>
                <w:szCs w:val="28"/>
              </w:rPr>
              <w:t>datorkomplekta</w:t>
            </w:r>
            <w:proofErr w:type="spellEnd"/>
            <w:r w:rsidRPr="00F816F7">
              <w:rPr>
                <w:sz w:val="28"/>
                <w:szCs w:val="28"/>
              </w:rPr>
              <w:t xml:space="preserve"> aptuvenā cena ir LVL 570 (bez PVN). Turklāt atbilstoši </w:t>
            </w:r>
            <w:r w:rsidR="002043FB" w:rsidRPr="00F816F7">
              <w:rPr>
                <w:sz w:val="28"/>
                <w:szCs w:val="28"/>
              </w:rPr>
              <w:t xml:space="preserve">VIAA </w:t>
            </w:r>
            <w:r w:rsidRPr="00F816F7">
              <w:rPr>
                <w:sz w:val="28"/>
                <w:szCs w:val="28"/>
              </w:rPr>
              <w:t xml:space="preserve">pārstāvja </w:t>
            </w:r>
            <w:proofErr w:type="spellStart"/>
            <w:r w:rsidRPr="00F816F7">
              <w:rPr>
                <w:sz w:val="28"/>
                <w:szCs w:val="28"/>
              </w:rPr>
              <w:t>J.Ivanovska-Pigita</w:t>
            </w:r>
            <w:proofErr w:type="spellEnd"/>
            <w:r w:rsidRPr="00F816F7">
              <w:rPr>
                <w:sz w:val="28"/>
                <w:szCs w:val="28"/>
              </w:rPr>
              <w:t xml:space="preserve"> sniegtajai informācijai (disciplinārlietas izmeklēšanas komisijas 2012.gada 4.jūnija sēdes </w:t>
            </w:r>
            <w:smartTag w:uri="schemas-tilde-lv/tildestengine" w:element="veidnes">
              <w:smartTagPr>
                <w:attr w:name="id" w:val="-1"/>
                <w:attr w:name="baseform" w:val="protokols"/>
                <w:attr w:name="text" w:val="protokols"/>
              </w:smartTagPr>
              <w:r w:rsidRPr="00F816F7">
                <w:rPr>
                  <w:sz w:val="28"/>
                  <w:szCs w:val="28"/>
                </w:rPr>
                <w:t>protokols</w:t>
              </w:r>
            </w:smartTag>
            <w:r w:rsidRPr="00F816F7">
              <w:rPr>
                <w:sz w:val="28"/>
                <w:szCs w:val="28"/>
              </w:rPr>
              <w:t xml:space="preserve"> Nr.4) SIA „</w:t>
            </w:r>
            <w:proofErr w:type="spellStart"/>
            <w:r w:rsidRPr="00F816F7">
              <w:rPr>
                <w:sz w:val="28"/>
                <w:szCs w:val="28"/>
              </w:rPr>
              <w:t>Lattelecom</w:t>
            </w:r>
            <w:proofErr w:type="spellEnd"/>
            <w:r w:rsidRPr="00F816F7">
              <w:rPr>
                <w:sz w:val="28"/>
                <w:szCs w:val="28"/>
              </w:rPr>
              <w:t xml:space="preserve"> turpina papildu datortehnikas modeļu piegādi.</w:t>
            </w:r>
            <w:r w:rsidR="002043FB" w:rsidRPr="00F816F7">
              <w:rPr>
                <w:sz w:val="28"/>
                <w:szCs w:val="28"/>
              </w:rPr>
              <w:t xml:space="preserve"> VIAA </w:t>
            </w:r>
            <w:r w:rsidRPr="00F816F7">
              <w:rPr>
                <w:sz w:val="28"/>
                <w:szCs w:val="28"/>
              </w:rPr>
              <w:t xml:space="preserve">informē, ka, pamatojoties uz Finanšu ministrijas 2011.gada 21.jūnija apstiprināto vadlīniju Nr.10.10 „Vadlīnijas par finanšu korekciju piemērošanu Eiropas Savienības fondu finansētajos projektos” 2.pielikuma 15.punktu, ja pasūtītājs noslēgtajā iepirkuma līgumā ir veicis būtiskas izmaiņas, var piemērot korekciju 25% apmērā no kopējās deklarētās līguma summas. Ņemot vērā, ka deklarētā Vispārīgās vienošanās summa ir </w:t>
            </w:r>
            <w:smartTag w:uri="schemas-tilde-lv/tildestengine" w:element="currency2">
              <w:smartTagPr>
                <w:attr w:name="currency_text" w:val="LVL"/>
                <w:attr w:name="currency_value" w:val="1"/>
                <w:attr w:name="currency_key" w:val="LVL"/>
                <w:attr w:name="currency_id" w:val="48"/>
              </w:smartTagPr>
              <w:r w:rsidRPr="00F816F7">
                <w:rPr>
                  <w:sz w:val="28"/>
                  <w:szCs w:val="28"/>
                </w:rPr>
                <w:t>LVL</w:t>
              </w:r>
            </w:smartTag>
            <w:r w:rsidRPr="00F816F7">
              <w:rPr>
                <w:sz w:val="28"/>
                <w:szCs w:val="28"/>
              </w:rPr>
              <w:t xml:space="preserve"> 9 000 </w:t>
            </w:r>
            <w:proofErr w:type="spellStart"/>
            <w:r w:rsidRPr="00F816F7">
              <w:rPr>
                <w:sz w:val="28"/>
                <w:szCs w:val="28"/>
              </w:rPr>
              <w:t>000</w:t>
            </w:r>
            <w:proofErr w:type="spellEnd"/>
            <w:r w:rsidRPr="00F816F7">
              <w:rPr>
                <w:sz w:val="28"/>
                <w:szCs w:val="28"/>
              </w:rPr>
              <w:t xml:space="preserve"> (bez PVN) un to, ka ministrija Vispārīgajā vienošanās ir veikusi būtiskas izmaiņas, šāda pārkāpuma gadījumā ir pamats piemērot korekciju 25% apmērā no Vispārīgās vienošanās kopējās summas, kas ir </w:t>
            </w:r>
            <w:smartTag w:uri="schemas-tilde-lv/tildestengine" w:element="currency2">
              <w:smartTagPr>
                <w:attr w:name="currency_text" w:val="LVL"/>
                <w:attr w:name="currency_value" w:val="1"/>
                <w:attr w:name="currency_key" w:val="LVL"/>
                <w:attr w:name="currency_id" w:val="48"/>
              </w:smartTagPr>
              <w:r w:rsidRPr="00F816F7">
                <w:rPr>
                  <w:sz w:val="28"/>
                  <w:szCs w:val="28"/>
                </w:rPr>
                <w:t>LVL</w:t>
              </w:r>
            </w:smartTag>
            <w:r w:rsidRPr="00F816F7">
              <w:rPr>
                <w:sz w:val="28"/>
                <w:szCs w:val="28"/>
              </w:rPr>
              <w:t xml:space="preserve"> 2 250 000 (bez PVN).</w:t>
            </w:r>
          </w:p>
          <w:p w:rsidR="00884881" w:rsidRPr="00F816F7" w:rsidRDefault="00884881" w:rsidP="00884881">
            <w:pPr>
              <w:ind w:firstLine="709"/>
              <w:jc w:val="both"/>
              <w:rPr>
                <w:sz w:val="28"/>
                <w:szCs w:val="28"/>
              </w:rPr>
            </w:pPr>
            <w:r w:rsidRPr="00F816F7">
              <w:rPr>
                <w:sz w:val="28"/>
                <w:szCs w:val="28"/>
              </w:rPr>
              <w:t xml:space="preserve">Atbilstoši Valsts civildienesta ierēdņu disciplināratbildības likuma 15.panta sestajai daļai par būtisku mantisku zaudējumu valstij vai personai, par personisku kaitējumu vai būtisku kaitējumu valsts interesēm uzskatāms arī tāds zaudējums vai kaitējums, kurš atbilst šā panta pirmās, otrās, trešās, ceturtās vai piektās daļas prasībām un kurš ierēdņa </w:t>
            </w:r>
            <w:proofErr w:type="spellStart"/>
            <w:r w:rsidRPr="00F816F7">
              <w:rPr>
                <w:sz w:val="28"/>
                <w:szCs w:val="28"/>
              </w:rPr>
              <w:lastRenderedPageBreak/>
              <w:t>disciplinārpārkāpuma</w:t>
            </w:r>
            <w:proofErr w:type="spellEnd"/>
            <w:r w:rsidRPr="00F816F7">
              <w:rPr>
                <w:sz w:val="28"/>
                <w:szCs w:val="28"/>
              </w:rPr>
              <w:t xml:space="preserve"> rezultātā varēja rasties, bet nav radies no viņa gribas neatkarīgu iemeslu dēļ. Konkrētajā gadījumā izglītības un zinātnes ministrs R.Ķīlis ar savām darbībām (paskaidrojumu pieprasīšana, konstatējot faktisko situāciju, izvērtējuma pieprasīšana Finanšu ministrijai, Iepirkumu uzraudzības birojam un Valsts izglītības attīstības aģentūrai) ir konstatējis pārkāpumus un veicis nepieciešamās darbības, lai novērstu pārkāpumu ilgstošu turpināšanos, kā rezultātā zaudējumu apmērs ir vērtējams ne tikai faktiski nodarītajā apmērā, bet gan tādā apmērā, kas būtu iestājies, ja pārkāpums netiktu savlaicīgi konstatēts, izvērtēts un netiktu uzsāktas aktīvas darbības pārkāpuma seku novēršanai.</w:t>
            </w:r>
          </w:p>
          <w:p w:rsidR="00307DEE" w:rsidRPr="00F816F7" w:rsidRDefault="00F27199" w:rsidP="00B23235">
            <w:pPr>
              <w:ind w:firstLine="606"/>
              <w:jc w:val="both"/>
              <w:rPr>
                <w:sz w:val="28"/>
                <w:szCs w:val="28"/>
              </w:rPr>
            </w:pPr>
            <w:r>
              <w:rPr>
                <w:sz w:val="28"/>
                <w:szCs w:val="28"/>
              </w:rPr>
              <w:t xml:space="preserve">Tādējādi </w:t>
            </w:r>
            <w:proofErr w:type="spellStart"/>
            <w:r w:rsidR="00307DEE" w:rsidRPr="00F816F7">
              <w:rPr>
                <w:sz w:val="28"/>
                <w:szCs w:val="28"/>
              </w:rPr>
              <w:t>M.Gruškevics</w:t>
            </w:r>
            <w:proofErr w:type="spellEnd"/>
            <w:r w:rsidR="00307DEE" w:rsidRPr="00F816F7">
              <w:rPr>
                <w:sz w:val="28"/>
                <w:szCs w:val="28"/>
              </w:rPr>
              <w:t xml:space="preserve"> ar savu rīcību ir pārkāpis Publisko iepirkumu likuma 2.panta 2. un 3.punktu un Eiropas Savienības Tiesas </w:t>
            </w:r>
            <w:proofErr w:type="spellStart"/>
            <w:r w:rsidR="00307DEE" w:rsidRPr="00F816F7">
              <w:rPr>
                <w:sz w:val="28"/>
                <w:szCs w:val="28"/>
              </w:rPr>
              <w:t>judikatūras</w:t>
            </w:r>
            <w:proofErr w:type="spellEnd"/>
            <w:r w:rsidR="00307DEE" w:rsidRPr="00F816F7">
              <w:rPr>
                <w:sz w:val="28"/>
                <w:szCs w:val="28"/>
              </w:rPr>
              <w:t xml:space="preserve"> (2008.gada 19.jūnija spriedums lietā </w:t>
            </w:r>
            <w:proofErr w:type="spellStart"/>
            <w:r w:rsidR="00307DEE" w:rsidRPr="00F816F7">
              <w:rPr>
                <w:sz w:val="28"/>
                <w:szCs w:val="28"/>
              </w:rPr>
              <w:t>Nr.C-454</w:t>
            </w:r>
            <w:proofErr w:type="spellEnd"/>
            <w:r w:rsidR="00307DEE" w:rsidRPr="00F816F7">
              <w:rPr>
                <w:sz w:val="28"/>
                <w:szCs w:val="28"/>
              </w:rPr>
              <w:t xml:space="preserve">/06) noteiktos publisko iepirkumu pamatprincipus, likuma „Par valsts un pašvaldību finanšu līdzekļu un mantas izšķērdēšanas novēršanu” 2.panta 1.punktu un 3.pantu,  likuma „Par budžetu un finanšu vadību” 46.pantu, </w:t>
            </w:r>
            <w:r w:rsidR="00307DEE" w:rsidRPr="00F816F7">
              <w:rPr>
                <w:iCs/>
                <w:sz w:val="28"/>
                <w:szCs w:val="28"/>
              </w:rPr>
              <w:t xml:space="preserve">Eiropas Savienības </w:t>
            </w:r>
            <w:r w:rsidR="00307DEE" w:rsidRPr="00F816F7">
              <w:rPr>
                <w:bCs/>
                <w:sz w:val="28"/>
                <w:szCs w:val="28"/>
              </w:rPr>
              <w:t>Padomes re</w:t>
            </w:r>
            <w:smartTag w:uri="urn:schemas-microsoft-com:office:smarttags" w:element="PersonName">
              <w:r w:rsidR="00307DEE" w:rsidRPr="00F816F7">
                <w:rPr>
                  <w:bCs/>
                  <w:sz w:val="28"/>
                  <w:szCs w:val="28"/>
                </w:rPr>
                <w:t>gul</w:t>
              </w:r>
            </w:smartTag>
            <w:r w:rsidR="00307DEE" w:rsidRPr="00F816F7">
              <w:rPr>
                <w:bCs/>
                <w:sz w:val="28"/>
                <w:szCs w:val="28"/>
              </w:rPr>
              <w:t xml:space="preserve">as (EK, </w:t>
            </w:r>
            <w:r w:rsidR="00307DEE" w:rsidRPr="00F816F7">
              <w:rPr>
                <w:bCs/>
                <w:iCs/>
                <w:sz w:val="28"/>
                <w:szCs w:val="28"/>
              </w:rPr>
              <w:t>EURATOM</w:t>
            </w:r>
            <w:r w:rsidR="00307DEE" w:rsidRPr="00F816F7">
              <w:rPr>
                <w:bCs/>
                <w:sz w:val="28"/>
                <w:szCs w:val="28"/>
              </w:rPr>
              <w:t>) Nr. 1995/2006 (2006. gada 13. decembris), ar kuru groza Re</w:t>
            </w:r>
            <w:smartTag w:uri="urn:schemas-microsoft-com:office:smarttags" w:element="PersonName">
              <w:r w:rsidR="00307DEE" w:rsidRPr="00F816F7">
                <w:rPr>
                  <w:bCs/>
                  <w:sz w:val="28"/>
                  <w:szCs w:val="28"/>
                </w:rPr>
                <w:t>gul</w:t>
              </w:r>
            </w:smartTag>
            <w:r w:rsidR="00307DEE" w:rsidRPr="00F816F7">
              <w:rPr>
                <w:bCs/>
                <w:sz w:val="28"/>
                <w:szCs w:val="28"/>
              </w:rPr>
              <w:t xml:space="preserve">u (EK, </w:t>
            </w:r>
            <w:proofErr w:type="spellStart"/>
            <w:r w:rsidR="00307DEE" w:rsidRPr="00F816F7">
              <w:rPr>
                <w:bCs/>
                <w:sz w:val="28"/>
                <w:szCs w:val="28"/>
              </w:rPr>
              <w:t>Euratom</w:t>
            </w:r>
            <w:proofErr w:type="spellEnd"/>
            <w:r w:rsidR="00307DEE" w:rsidRPr="00F816F7">
              <w:rPr>
                <w:bCs/>
                <w:sz w:val="28"/>
                <w:szCs w:val="28"/>
              </w:rPr>
              <w:t>) Nr. 1605/2002 par Finanšu re</w:t>
            </w:r>
            <w:smartTag w:uri="urn:schemas-microsoft-com:office:smarttags" w:element="PersonName">
              <w:r w:rsidR="00307DEE" w:rsidRPr="00F816F7">
                <w:rPr>
                  <w:bCs/>
                  <w:sz w:val="28"/>
                  <w:szCs w:val="28"/>
                </w:rPr>
                <w:t>gul</w:t>
              </w:r>
            </w:smartTag>
            <w:r w:rsidR="00307DEE" w:rsidRPr="00F816F7">
              <w:rPr>
                <w:bCs/>
                <w:sz w:val="28"/>
                <w:szCs w:val="28"/>
              </w:rPr>
              <w:t xml:space="preserve">u, ko piemēro Eiropas Kopienu vispārējam budžetam </w:t>
            </w:r>
            <w:r w:rsidR="00307DEE" w:rsidRPr="00F816F7">
              <w:rPr>
                <w:sz w:val="28"/>
                <w:szCs w:val="28"/>
              </w:rPr>
              <w:t xml:space="preserve">(OV L 248, 16.9.2002) </w:t>
            </w:r>
            <w:r w:rsidR="00307DEE" w:rsidRPr="00F816F7">
              <w:rPr>
                <w:iCs/>
                <w:sz w:val="28"/>
                <w:szCs w:val="28"/>
              </w:rPr>
              <w:t xml:space="preserve">28. „a” pantu un </w:t>
            </w:r>
            <w:r w:rsidR="00307DEE" w:rsidRPr="00F816F7">
              <w:rPr>
                <w:sz w:val="28"/>
                <w:szCs w:val="28"/>
              </w:rPr>
              <w:t>Ministru kabineta 2008.gada 5.augusta noteikumu Nr. 649 „Noteikumi par darbības programmas "Infrastruktūra un pakalpojumi" papildinājuma 3.2.2.1.2.apakšaktivitāti "Izglītības iestāžu informatizācija"” 18.1. apakšpunktu</w:t>
            </w:r>
            <w:r w:rsidR="00307DEE" w:rsidRPr="00F816F7">
              <w:rPr>
                <w:iCs/>
                <w:sz w:val="28"/>
                <w:szCs w:val="28"/>
              </w:rPr>
              <w:t>.</w:t>
            </w:r>
            <w:r w:rsidR="00307DEE" w:rsidRPr="00F816F7">
              <w:rPr>
                <w:sz w:val="28"/>
                <w:szCs w:val="28"/>
              </w:rPr>
              <w:t xml:space="preserve"> </w:t>
            </w:r>
            <w:proofErr w:type="spellStart"/>
            <w:r w:rsidR="00307DEE" w:rsidRPr="00F816F7">
              <w:rPr>
                <w:sz w:val="28"/>
                <w:szCs w:val="28"/>
              </w:rPr>
              <w:t>M.Gruškevica</w:t>
            </w:r>
            <w:proofErr w:type="spellEnd"/>
            <w:r w:rsidR="00307DEE" w:rsidRPr="00F816F7">
              <w:rPr>
                <w:sz w:val="28"/>
                <w:szCs w:val="28"/>
              </w:rPr>
              <w:t xml:space="preserve"> rīcībā ir konstatējams Valsts civildienesta ierēdņu disciplināratbildības likuma 36.panta otrajā daļā norādītais </w:t>
            </w:r>
            <w:proofErr w:type="spellStart"/>
            <w:r w:rsidR="00307DEE" w:rsidRPr="00F816F7">
              <w:rPr>
                <w:sz w:val="28"/>
                <w:szCs w:val="28"/>
              </w:rPr>
              <w:t>disciplinārpākāpuma</w:t>
            </w:r>
            <w:proofErr w:type="spellEnd"/>
            <w:r w:rsidR="00307DEE" w:rsidRPr="00F816F7">
              <w:rPr>
                <w:sz w:val="28"/>
                <w:szCs w:val="28"/>
              </w:rPr>
              <w:t xml:space="preserve"> (pienākumu nolaidīga </w:t>
            </w:r>
            <w:r w:rsidR="00307DEE" w:rsidRPr="00F816F7">
              <w:rPr>
                <w:sz w:val="28"/>
                <w:szCs w:val="28"/>
              </w:rPr>
              <w:lastRenderedPageBreak/>
              <w:t>pildīšana, kā rezultātā valstij nodarīts būtisks mantisks zaudējums un valsts interesēm būtisks kaitējums) sastāvs un par tā pieļaušanu ierēdnim ir piemērojams disciplinārsods – atbrīvošana no amata.</w:t>
            </w:r>
          </w:p>
          <w:p w:rsidR="00441FF2" w:rsidRPr="0033137F" w:rsidRDefault="00327B6B" w:rsidP="00973B51">
            <w:pPr>
              <w:pStyle w:val="naiskr"/>
              <w:spacing w:after="0"/>
              <w:ind w:right="79" w:firstLine="747"/>
              <w:jc w:val="both"/>
              <w:rPr>
                <w:sz w:val="28"/>
                <w:szCs w:val="28"/>
              </w:rPr>
            </w:pPr>
            <w:r w:rsidRPr="0033137F">
              <w:rPr>
                <w:sz w:val="28"/>
                <w:szCs w:val="28"/>
              </w:rPr>
              <w:t xml:space="preserve">Ievērojot, ka atbilstoši Valsts civildienesta ierēdņu disciplināratbildības likuma 31.panta otrajai daļai un Valsts civildienesta likuma 11.panta trešajai daļai lēmumu par šāda veida disciplinārsoda piemērošanu </w:t>
            </w:r>
            <w:proofErr w:type="spellStart"/>
            <w:r w:rsidR="008D5001">
              <w:rPr>
                <w:sz w:val="28"/>
                <w:szCs w:val="28"/>
              </w:rPr>
              <w:t>M.Gruškevicam</w:t>
            </w:r>
            <w:proofErr w:type="spellEnd"/>
            <w:r w:rsidR="008D5001">
              <w:rPr>
                <w:sz w:val="28"/>
                <w:szCs w:val="28"/>
              </w:rPr>
              <w:t xml:space="preserve"> </w:t>
            </w:r>
            <w:r w:rsidR="00A92E58">
              <w:rPr>
                <w:sz w:val="28"/>
                <w:szCs w:val="28"/>
              </w:rPr>
              <w:t>ir tiesīgs</w:t>
            </w:r>
            <w:r w:rsidRPr="0033137F">
              <w:rPr>
                <w:sz w:val="28"/>
                <w:szCs w:val="28"/>
              </w:rPr>
              <w:t xml:space="preserve"> pieņemt</w:t>
            </w:r>
            <w:r w:rsidR="00A92E58">
              <w:rPr>
                <w:sz w:val="28"/>
                <w:szCs w:val="28"/>
              </w:rPr>
              <w:t xml:space="preserve"> izglītības un zinātnes ministrs</w:t>
            </w:r>
            <w:r w:rsidRPr="0033137F">
              <w:rPr>
                <w:sz w:val="28"/>
                <w:szCs w:val="28"/>
              </w:rPr>
              <w:t xml:space="preserve">, </w:t>
            </w:r>
            <w:r w:rsidR="00D4467B" w:rsidRPr="0033137F">
              <w:rPr>
                <w:sz w:val="28"/>
                <w:szCs w:val="28"/>
              </w:rPr>
              <w:t xml:space="preserve">tikai </w:t>
            </w:r>
            <w:r w:rsidRPr="0033137F">
              <w:rPr>
                <w:sz w:val="28"/>
                <w:szCs w:val="28"/>
              </w:rPr>
              <w:t xml:space="preserve">pamatojoties uz Ministru kabineta lēmumu, pirms </w:t>
            </w:r>
            <w:r w:rsidR="00A92E58">
              <w:rPr>
                <w:sz w:val="28"/>
                <w:szCs w:val="28"/>
              </w:rPr>
              <w:t>ministra</w:t>
            </w:r>
            <w:r w:rsidR="00D4467B" w:rsidRPr="0033137F">
              <w:rPr>
                <w:sz w:val="28"/>
                <w:szCs w:val="28"/>
              </w:rPr>
              <w:t xml:space="preserve"> lēmuma pieņemšanas </w:t>
            </w:r>
            <w:r w:rsidRPr="0033137F">
              <w:rPr>
                <w:sz w:val="28"/>
                <w:szCs w:val="28"/>
              </w:rPr>
              <w:t xml:space="preserve">ir nepieciešams </w:t>
            </w:r>
            <w:r w:rsidR="00D4467B" w:rsidRPr="0033137F">
              <w:rPr>
                <w:sz w:val="28"/>
                <w:szCs w:val="28"/>
              </w:rPr>
              <w:t>pieņemt</w:t>
            </w:r>
            <w:r w:rsidRPr="0033137F">
              <w:rPr>
                <w:sz w:val="28"/>
                <w:szCs w:val="28"/>
              </w:rPr>
              <w:t xml:space="preserve"> Ministru kabineta lēmum</w:t>
            </w:r>
            <w:r w:rsidR="00D4467B" w:rsidRPr="0033137F">
              <w:rPr>
                <w:sz w:val="28"/>
                <w:szCs w:val="28"/>
              </w:rPr>
              <w:t>u par š</w:t>
            </w:r>
            <w:r w:rsidR="00A92E58">
              <w:rPr>
                <w:sz w:val="28"/>
                <w:szCs w:val="28"/>
              </w:rPr>
              <w:t>āda ministres lēmuma apstiprināšanu</w:t>
            </w:r>
            <w:r w:rsidR="00D4467B" w:rsidRPr="0033137F">
              <w:rPr>
                <w:sz w:val="28"/>
                <w:szCs w:val="28"/>
              </w:rPr>
              <w:t>.</w:t>
            </w:r>
          </w:p>
        </w:tc>
      </w:tr>
      <w:tr w:rsidR="00262E2B" w:rsidRPr="0033137F">
        <w:trPr>
          <w:trHeight w:val="633"/>
          <w:tblCellSpacing w:w="0" w:type="dxa"/>
        </w:trPr>
        <w:tc>
          <w:tcPr>
            <w:tcW w:w="243" w:type="pct"/>
          </w:tcPr>
          <w:p w:rsidR="00262E2B" w:rsidRPr="0033137F" w:rsidRDefault="00262E2B" w:rsidP="00CB1405">
            <w:pPr>
              <w:pStyle w:val="naiskr"/>
              <w:jc w:val="center"/>
              <w:rPr>
                <w:sz w:val="28"/>
                <w:szCs w:val="28"/>
              </w:rPr>
            </w:pPr>
            <w:r w:rsidRPr="0033137F">
              <w:rPr>
                <w:sz w:val="28"/>
                <w:szCs w:val="28"/>
              </w:rPr>
              <w:lastRenderedPageBreak/>
              <w:t>3.</w:t>
            </w:r>
          </w:p>
        </w:tc>
        <w:tc>
          <w:tcPr>
            <w:tcW w:w="1841" w:type="pct"/>
          </w:tcPr>
          <w:p w:rsidR="00262E2B" w:rsidRPr="0033137F" w:rsidRDefault="00420870" w:rsidP="00450A76">
            <w:pPr>
              <w:pStyle w:val="naiskr"/>
              <w:ind w:left="170"/>
              <w:rPr>
                <w:sz w:val="28"/>
                <w:szCs w:val="28"/>
              </w:rPr>
            </w:pPr>
            <w:r w:rsidRPr="0033137F">
              <w:rPr>
                <w:sz w:val="28"/>
                <w:szCs w:val="28"/>
              </w:rPr>
              <w:t>S</w:t>
            </w:r>
            <w:r w:rsidR="000B69CF" w:rsidRPr="0033137F">
              <w:rPr>
                <w:sz w:val="28"/>
                <w:szCs w:val="28"/>
              </w:rPr>
              <w:t xml:space="preserve">aistītie </w:t>
            </w:r>
            <w:r w:rsidR="001A6AE4" w:rsidRPr="0033137F">
              <w:rPr>
                <w:sz w:val="28"/>
                <w:szCs w:val="28"/>
              </w:rPr>
              <w:t>politikas ietekmes novērtējumi</w:t>
            </w:r>
            <w:r w:rsidR="00CB0247" w:rsidRPr="0033137F">
              <w:rPr>
                <w:sz w:val="28"/>
                <w:szCs w:val="28"/>
              </w:rPr>
              <w:t xml:space="preserve"> un</w:t>
            </w:r>
            <w:r w:rsidR="001A6AE4" w:rsidRPr="0033137F">
              <w:rPr>
                <w:sz w:val="28"/>
                <w:szCs w:val="28"/>
              </w:rPr>
              <w:t xml:space="preserve"> </w:t>
            </w:r>
            <w:r w:rsidR="000B69CF" w:rsidRPr="0033137F">
              <w:rPr>
                <w:sz w:val="28"/>
                <w:szCs w:val="28"/>
              </w:rPr>
              <w:t>pētījumi</w:t>
            </w:r>
          </w:p>
        </w:tc>
        <w:tc>
          <w:tcPr>
            <w:tcW w:w="2916" w:type="pct"/>
          </w:tcPr>
          <w:p w:rsidR="00D20FF4" w:rsidRPr="0033137F" w:rsidRDefault="00F12E5D" w:rsidP="005455C7">
            <w:pPr>
              <w:pStyle w:val="FootnoteText"/>
              <w:ind w:right="81"/>
              <w:rPr>
                <w:i/>
                <w:sz w:val="28"/>
                <w:szCs w:val="28"/>
              </w:rPr>
            </w:pPr>
            <w:r w:rsidRPr="0033137F">
              <w:rPr>
                <w:sz w:val="28"/>
                <w:szCs w:val="28"/>
              </w:rPr>
              <w:t xml:space="preserve">  </w:t>
            </w:r>
            <w:r w:rsidR="00820207" w:rsidRPr="0033137F">
              <w:rPr>
                <w:sz w:val="28"/>
                <w:szCs w:val="28"/>
              </w:rPr>
              <w:t>Projekts šo jomu neskar.</w:t>
            </w:r>
          </w:p>
        </w:tc>
      </w:tr>
      <w:tr w:rsidR="00262E2B" w:rsidRPr="0033137F">
        <w:trPr>
          <w:trHeight w:val="351"/>
          <w:tblCellSpacing w:w="0" w:type="dxa"/>
        </w:trPr>
        <w:tc>
          <w:tcPr>
            <w:tcW w:w="243" w:type="pct"/>
            <w:vAlign w:val="center"/>
          </w:tcPr>
          <w:p w:rsidR="00262E2B" w:rsidRPr="0033137F" w:rsidRDefault="00262E2B" w:rsidP="00262E2B">
            <w:pPr>
              <w:pStyle w:val="naiskr"/>
              <w:jc w:val="center"/>
              <w:rPr>
                <w:sz w:val="28"/>
                <w:szCs w:val="28"/>
              </w:rPr>
            </w:pPr>
            <w:r w:rsidRPr="0033137F">
              <w:rPr>
                <w:sz w:val="28"/>
                <w:szCs w:val="28"/>
              </w:rPr>
              <w:t>4.</w:t>
            </w:r>
          </w:p>
        </w:tc>
        <w:tc>
          <w:tcPr>
            <w:tcW w:w="1841" w:type="pct"/>
            <w:vAlign w:val="center"/>
          </w:tcPr>
          <w:p w:rsidR="00262E2B" w:rsidRPr="0033137F" w:rsidRDefault="000C790C" w:rsidP="00994C0F">
            <w:pPr>
              <w:pStyle w:val="naiskr"/>
              <w:ind w:left="170"/>
              <w:rPr>
                <w:sz w:val="28"/>
                <w:szCs w:val="28"/>
              </w:rPr>
            </w:pPr>
            <w:r w:rsidRPr="0033137F">
              <w:rPr>
                <w:sz w:val="28"/>
                <w:szCs w:val="28"/>
              </w:rPr>
              <w:t>Tiesiskā r</w:t>
            </w:r>
            <w:r w:rsidR="00400032" w:rsidRPr="0033137F">
              <w:rPr>
                <w:sz w:val="28"/>
                <w:szCs w:val="28"/>
              </w:rPr>
              <w:t xml:space="preserve">egulējuma </w:t>
            </w:r>
            <w:r w:rsidR="00262E2B" w:rsidRPr="0033137F">
              <w:rPr>
                <w:sz w:val="28"/>
                <w:szCs w:val="28"/>
              </w:rPr>
              <w:t>mērķis un būtība</w:t>
            </w:r>
          </w:p>
        </w:tc>
        <w:tc>
          <w:tcPr>
            <w:tcW w:w="2916" w:type="pct"/>
            <w:tcBorders>
              <w:top w:val="single" w:sz="4" w:space="0" w:color="auto"/>
              <w:left w:val="single" w:sz="4" w:space="0" w:color="auto"/>
              <w:bottom w:val="single" w:sz="4" w:space="0" w:color="auto"/>
              <w:right w:val="nil"/>
            </w:tcBorders>
            <w:vAlign w:val="center"/>
          </w:tcPr>
          <w:p w:rsidR="00C25B45" w:rsidRPr="0033137F" w:rsidRDefault="00795EF7" w:rsidP="00E06862">
            <w:pPr>
              <w:pStyle w:val="naiskr"/>
              <w:ind w:left="171" w:right="81"/>
              <w:jc w:val="both"/>
              <w:rPr>
                <w:i/>
                <w:sz w:val="28"/>
                <w:szCs w:val="28"/>
              </w:rPr>
            </w:pPr>
            <w:r w:rsidRPr="0033137F">
              <w:rPr>
                <w:sz w:val="28"/>
                <w:szCs w:val="28"/>
              </w:rPr>
              <w:t xml:space="preserve">Rīkojuma projekts „Par </w:t>
            </w:r>
            <w:proofErr w:type="spellStart"/>
            <w:r w:rsidR="00E95FB3" w:rsidRPr="0033137F">
              <w:rPr>
                <w:sz w:val="28"/>
                <w:szCs w:val="28"/>
              </w:rPr>
              <w:t>M.Gruškevica</w:t>
            </w:r>
            <w:proofErr w:type="spellEnd"/>
            <w:r w:rsidR="00D4467B" w:rsidRPr="0033137F">
              <w:rPr>
                <w:sz w:val="28"/>
                <w:szCs w:val="28"/>
              </w:rPr>
              <w:t xml:space="preserve"> </w:t>
            </w:r>
            <w:r w:rsidR="00CB1405" w:rsidRPr="0033137F">
              <w:rPr>
                <w:sz w:val="28"/>
                <w:szCs w:val="28"/>
              </w:rPr>
              <w:t xml:space="preserve"> atbrīvošanu no amata</w:t>
            </w:r>
            <w:r w:rsidRPr="0033137F">
              <w:rPr>
                <w:sz w:val="28"/>
                <w:szCs w:val="28"/>
              </w:rPr>
              <w:t xml:space="preserve">” paredz </w:t>
            </w:r>
            <w:r w:rsidR="00E06862" w:rsidRPr="0033137F">
              <w:rPr>
                <w:sz w:val="28"/>
                <w:szCs w:val="28"/>
              </w:rPr>
              <w:t>atļaut izglītības un zinātnes ministram</w:t>
            </w:r>
            <w:r w:rsidR="009A4106" w:rsidRPr="0033137F">
              <w:rPr>
                <w:sz w:val="28"/>
                <w:szCs w:val="28"/>
              </w:rPr>
              <w:t xml:space="preserve"> piemērot </w:t>
            </w:r>
            <w:proofErr w:type="spellStart"/>
            <w:r w:rsidR="00E06862" w:rsidRPr="0033137F">
              <w:rPr>
                <w:sz w:val="28"/>
                <w:szCs w:val="28"/>
              </w:rPr>
              <w:t>M.Gruškevicam</w:t>
            </w:r>
            <w:proofErr w:type="spellEnd"/>
            <w:r w:rsidR="00E06862" w:rsidRPr="0033137F">
              <w:rPr>
                <w:sz w:val="28"/>
                <w:szCs w:val="28"/>
              </w:rPr>
              <w:t xml:space="preserve"> </w:t>
            </w:r>
            <w:r w:rsidR="009A4106" w:rsidRPr="0033137F">
              <w:rPr>
                <w:sz w:val="28"/>
                <w:szCs w:val="28"/>
              </w:rPr>
              <w:t xml:space="preserve">disciplinārsodu – atbrīvošana no amata un attiecīgi atbilstoši </w:t>
            </w:r>
            <w:r w:rsidR="00CB1405" w:rsidRPr="0033137F">
              <w:rPr>
                <w:sz w:val="28"/>
                <w:szCs w:val="28"/>
              </w:rPr>
              <w:t xml:space="preserve"> Publisko aģentūru likuma 9.panta pirmās daļas 2.punktam un 10.</w:t>
            </w:r>
            <w:r w:rsidR="00CB1405" w:rsidRPr="0033137F">
              <w:rPr>
                <w:sz w:val="28"/>
                <w:szCs w:val="28"/>
                <w:vertAlign w:val="superscript"/>
              </w:rPr>
              <w:t>1</w:t>
            </w:r>
            <w:r w:rsidR="00CB1405" w:rsidRPr="0033137F">
              <w:rPr>
                <w:sz w:val="28"/>
                <w:szCs w:val="28"/>
              </w:rPr>
              <w:t xml:space="preserve">panta otrajai daļai, </w:t>
            </w:r>
            <w:r w:rsidR="009A4106" w:rsidRPr="0033137F">
              <w:rPr>
                <w:sz w:val="28"/>
                <w:szCs w:val="28"/>
              </w:rPr>
              <w:t>Valsts civildienesta likuma 41.panta „i”</w:t>
            </w:r>
            <w:r w:rsidR="00CB1405" w:rsidRPr="0033137F">
              <w:rPr>
                <w:sz w:val="28"/>
                <w:szCs w:val="28"/>
              </w:rPr>
              <w:t xml:space="preserve"> </w:t>
            </w:r>
            <w:r w:rsidR="009A4106" w:rsidRPr="0033137F">
              <w:rPr>
                <w:sz w:val="28"/>
                <w:szCs w:val="28"/>
              </w:rPr>
              <w:t xml:space="preserve">apakšpunktam izbeigt ar </w:t>
            </w:r>
            <w:proofErr w:type="spellStart"/>
            <w:r w:rsidR="00E06862" w:rsidRPr="0033137F">
              <w:rPr>
                <w:sz w:val="28"/>
                <w:szCs w:val="28"/>
              </w:rPr>
              <w:t>M.Gruškevicu</w:t>
            </w:r>
            <w:proofErr w:type="spellEnd"/>
            <w:r w:rsidR="00E06862" w:rsidRPr="0033137F">
              <w:rPr>
                <w:sz w:val="28"/>
                <w:szCs w:val="28"/>
              </w:rPr>
              <w:t xml:space="preserve"> </w:t>
            </w:r>
            <w:r w:rsidR="009A4106" w:rsidRPr="0033137F">
              <w:rPr>
                <w:sz w:val="28"/>
                <w:szCs w:val="28"/>
              </w:rPr>
              <w:t>civildienesta attiecības.</w:t>
            </w:r>
          </w:p>
        </w:tc>
      </w:tr>
      <w:tr w:rsidR="00262E2B" w:rsidRPr="0033137F">
        <w:trPr>
          <w:trHeight w:val="606"/>
          <w:tblCellSpacing w:w="0" w:type="dxa"/>
        </w:trPr>
        <w:tc>
          <w:tcPr>
            <w:tcW w:w="243" w:type="pct"/>
          </w:tcPr>
          <w:p w:rsidR="00262E2B" w:rsidRPr="0033137F" w:rsidRDefault="00262E2B" w:rsidP="00CB1405">
            <w:pPr>
              <w:pStyle w:val="naiskr"/>
              <w:jc w:val="center"/>
              <w:rPr>
                <w:sz w:val="28"/>
                <w:szCs w:val="28"/>
              </w:rPr>
            </w:pPr>
            <w:r w:rsidRPr="0033137F">
              <w:rPr>
                <w:sz w:val="28"/>
                <w:szCs w:val="28"/>
              </w:rPr>
              <w:t>5.</w:t>
            </w:r>
          </w:p>
        </w:tc>
        <w:tc>
          <w:tcPr>
            <w:tcW w:w="1841" w:type="pct"/>
          </w:tcPr>
          <w:p w:rsidR="00262E2B" w:rsidRPr="0033137F" w:rsidRDefault="001A4066" w:rsidP="00F12E5D">
            <w:pPr>
              <w:pStyle w:val="naiskr"/>
              <w:ind w:left="170"/>
              <w:rPr>
                <w:sz w:val="28"/>
                <w:szCs w:val="28"/>
              </w:rPr>
            </w:pPr>
            <w:r w:rsidRPr="0033137F">
              <w:rPr>
                <w:sz w:val="28"/>
                <w:szCs w:val="28"/>
              </w:rPr>
              <w:t>Projekta i</w:t>
            </w:r>
            <w:r w:rsidR="00262E2B" w:rsidRPr="0033137F">
              <w:rPr>
                <w:sz w:val="28"/>
                <w:szCs w:val="28"/>
              </w:rPr>
              <w:t>zstrād</w:t>
            </w:r>
            <w:r w:rsidR="00420870" w:rsidRPr="0033137F">
              <w:rPr>
                <w:sz w:val="28"/>
                <w:szCs w:val="28"/>
              </w:rPr>
              <w:t xml:space="preserve">ē </w:t>
            </w:r>
            <w:r w:rsidR="00262E2B" w:rsidRPr="0033137F">
              <w:rPr>
                <w:sz w:val="28"/>
                <w:szCs w:val="28"/>
              </w:rPr>
              <w:t xml:space="preserve">iesaistītās institūcijas </w:t>
            </w:r>
          </w:p>
        </w:tc>
        <w:tc>
          <w:tcPr>
            <w:tcW w:w="2916" w:type="pct"/>
          </w:tcPr>
          <w:p w:rsidR="00262E2B" w:rsidRPr="0033137F" w:rsidRDefault="009B1442" w:rsidP="00CB1405">
            <w:pPr>
              <w:pStyle w:val="FootnoteText"/>
              <w:ind w:left="171"/>
              <w:rPr>
                <w:sz w:val="28"/>
                <w:szCs w:val="28"/>
              </w:rPr>
            </w:pPr>
            <w:r w:rsidRPr="0033137F">
              <w:rPr>
                <w:sz w:val="28"/>
                <w:szCs w:val="28"/>
              </w:rPr>
              <w:t xml:space="preserve">Izglītības un zinātnes </w:t>
            </w:r>
            <w:r w:rsidR="00CB1405" w:rsidRPr="0033137F">
              <w:rPr>
                <w:sz w:val="28"/>
                <w:szCs w:val="28"/>
              </w:rPr>
              <w:t>ministrija</w:t>
            </w:r>
            <w:r w:rsidR="00450A76" w:rsidRPr="0033137F">
              <w:rPr>
                <w:sz w:val="28"/>
                <w:szCs w:val="28"/>
              </w:rPr>
              <w:t>.</w:t>
            </w:r>
          </w:p>
        </w:tc>
      </w:tr>
      <w:tr w:rsidR="00262E2B" w:rsidRPr="0033137F">
        <w:trPr>
          <w:trHeight w:val="775"/>
          <w:tblCellSpacing w:w="0" w:type="dxa"/>
        </w:trPr>
        <w:tc>
          <w:tcPr>
            <w:tcW w:w="243" w:type="pct"/>
            <w:vAlign w:val="center"/>
          </w:tcPr>
          <w:p w:rsidR="00262E2B" w:rsidRPr="0033137F" w:rsidRDefault="00262E2B" w:rsidP="00262E2B">
            <w:pPr>
              <w:pStyle w:val="naiskr"/>
              <w:jc w:val="center"/>
              <w:rPr>
                <w:sz w:val="28"/>
                <w:szCs w:val="28"/>
              </w:rPr>
            </w:pPr>
            <w:r w:rsidRPr="0033137F">
              <w:rPr>
                <w:sz w:val="28"/>
                <w:szCs w:val="28"/>
              </w:rPr>
              <w:t>6.</w:t>
            </w:r>
          </w:p>
        </w:tc>
        <w:tc>
          <w:tcPr>
            <w:tcW w:w="1841" w:type="pct"/>
            <w:vAlign w:val="center"/>
          </w:tcPr>
          <w:p w:rsidR="00C25B45" w:rsidRPr="0033137F" w:rsidRDefault="00BB7C94" w:rsidP="007E7847">
            <w:pPr>
              <w:pStyle w:val="naiskr"/>
              <w:ind w:left="170"/>
              <w:rPr>
                <w:i/>
                <w:sz w:val="28"/>
                <w:szCs w:val="28"/>
                <w:highlight w:val="yellow"/>
              </w:rPr>
            </w:pPr>
            <w:r w:rsidRPr="0033137F">
              <w:rPr>
                <w:sz w:val="28"/>
                <w:szCs w:val="28"/>
              </w:rPr>
              <w:t xml:space="preserve">Iemesli, kādēļ netika nodrošināta </w:t>
            </w:r>
            <w:r w:rsidR="00262E2B" w:rsidRPr="0033137F">
              <w:rPr>
                <w:sz w:val="28"/>
                <w:szCs w:val="28"/>
              </w:rPr>
              <w:t xml:space="preserve">sabiedrības </w:t>
            </w:r>
            <w:r w:rsidRPr="0033137F">
              <w:rPr>
                <w:sz w:val="28"/>
                <w:szCs w:val="28"/>
              </w:rPr>
              <w:t>līdzdalīb</w:t>
            </w:r>
            <w:r w:rsidR="007E7847" w:rsidRPr="0033137F">
              <w:rPr>
                <w:sz w:val="28"/>
                <w:szCs w:val="28"/>
              </w:rPr>
              <w:t>a</w:t>
            </w:r>
          </w:p>
        </w:tc>
        <w:tc>
          <w:tcPr>
            <w:tcW w:w="2916" w:type="pct"/>
            <w:vAlign w:val="center"/>
          </w:tcPr>
          <w:p w:rsidR="00D20FF4" w:rsidRPr="0033137F" w:rsidRDefault="00905D0D" w:rsidP="00450A76">
            <w:pPr>
              <w:pStyle w:val="FootnoteText"/>
              <w:ind w:left="171"/>
              <w:rPr>
                <w:sz w:val="28"/>
                <w:szCs w:val="28"/>
              </w:rPr>
            </w:pPr>
            <w:r w:rsidRPr="0033137F">
              <w:rPr>
                <w:sz w:val="28"/>
                <w:szCs w:val="28"/>
              </w:rPr>
              <w:t xml:space="preserve">Rīkojuma projekts attiecas uz vienu </w:t>
            </w:r>
            <w:r w:rsidR="00450A76" w:rsidRPr="0033137F">
              <w:rPr>
                <w:sz w:val="28"/>
                <w:szCs w:val="28"/>
              </w:rPr>
              <w:t xml:space="preserve">konkrētu  </w:t>
            </w:r>
            <w:r w:rsidRPr="0033137F">
              <w:rPr>
                <w:sz w:val="28"/>
                <w:szCs w:val="28"/>
              </w:rPr>
              <w:t>personu.</w:t>
            </w:r>
          </w:p>
        </w:tc>
      </w:tr>
      <w:tr w:rsidR="00262E2B" w:rsidRPr="0033137F">
        <w:trPr>
          <w:tblCellSpacing w:w="0" w:type="dxa"/>
        </w:trPr>
        <w:tc>
          <w:tcPr>
            <w:tcW w:w="243" w:type="pct"/>
            <w:vAlign w:val="center"/>
          </w:tcPr>
          <w:p w:rsidR="00262E2B" w:rsidRPr="0033137F" w:rsidRDefault="00262E2B" w:rsidP="00262E2B">
            <w:pPr>
              <w:pStyle w:val="naiskr"/>
              <w:jc w:val="center"/>
              <w:rPr>
                <w:sz w:val="28"/>
                <w:szCs w:val="28"/>
              </w:rPr>
            </w:pPr>
            <w:r w:rsidRPr="0033137F">
              <w:rPr>
                <w:sz w:val="28"/>
                <w:szCs w:val="28"/>
              </w:rPr>
              <w:t>7.</w:t>
            </w:r>
          </w:p>
        </w:tc>
        <w:tc>
          <w:tcPr>
            <w:tcW w:w="1841" w:type="pct"/>
            <w:vAlign w:val="center"/>
          </w:tcPr>
          <w:p w:rsidR="00262E2B" w:rsidRPr="0033137F" w:rsidRDefault="00262E2B" w:rsidP="00994C0F">
            <w:pPr>
              <w:pStyle w:val="naiskr"/>
              <w:ind w:left="170"/>
              <w:rPr>
                <w:sz w:val="28"/>
                <w:szCs w:val="28"/>
              </w:rPr>
            </w:pPr>
            <w:r w:rsidRPr="0033137F">
              <w:rPr>
                <w:sz w:val="28"/>
                <w:szCs w:val="28"/>
              </w:rPr>
              <w:t>Cita informācija</w:t>
            </w:r>
          </w:p>
        </w:tc>
        <w:tc>
          <w:tcPr>
            <w:tcW w:w="2916" w:type="pct"/>
            <w:vAlign w:val="center"/>
          </w:tcPr>
          <w:p w:rsidR="00262E2B" w:rsidRPr="0033137F" w:rsidRDefault="008C5215" w:rsidP="009D05AA">
            <w:pPr>
              <w:pStyle w:val="naiskr"/>
              <w:ind w:firstLine="171"/>
              <w:rPr>
                <w:sz w:val="28"/>
                <w:szCs w:val="28"/>
              </w:rPr>
            </w:pPr>
            <w:r w:rsidRPr="0033137F">
              <w:rPr>
                <w:sz w:val="28"/>
                <w:szCs w:val="28"/>
              </w:rPr>
              <w:t>Nav</w:t>
            </w:r>
            <w:r w:rsidR="00905D0D" w:rsidRPr="0033137F">
              <w:rPr>
                <w:sz w:val="28"/>
                <w:szCs w:val="28"/>
              </w:rPr>
              <w:t>.</w:t>
            </w:r>
          </w:p>
        </w:tc>
      </w:tr>
    </w:tbl>
    <w:p w:rsidR="00124FB2" w:rsidRPr="0033137F" w:rsidRDefault="00015F1D" w:rsidP="00CB1405">
      <w:pPr>
        <w:pStyle w:val="naisf"/>
        <w:spacing w:before="360" w:after="600"/>
        <w:ind w:firstLine="902"/>
        <w:rPr>
          <w:i/>
          <w:sz w:val="28"/>
          <w:szCs w:val="28"/>
        </w:rPr>
      </w:pPr>
      <w:r w:rsidRPr="0033137F">
        <w:rPr>
          <w:i/>
          <w:sz w:val="28"/>
          <w:szCs w:val="28"/>
        </w:rPr>
        <w:t>Anotācijas II, III, IV, V, VI un VII sadaļa- projekts šīs jomas neskar.</w:t>
      </w:r>
    </w:p>
    <w:p w:rsidR="00757BE7" w:rsidRDefault="009B1442" w:rsidP="00893088">
      <w:pPr>
        <w:tabs>
          <w:tab w:val="left" w:pos="7088"/>
          <w:tab w:val="right" w:pos="8460"/>
        </w:tabs>
        <w:spacing w:after="1200"/>
        <w:jc w:val="both"/>
        <w:rPr>
          <w:sz w:val="28"/>
          <w:szCs w:val="28"/>
        </w:rPr>
      </w:pPr>
      <w:r w:rsidRPr="0033137F">
        <w:rPr>
          <w:sz w:val="28"/>
          <w:szCs w:val="28"/>
        </w:rPr>
        <w:lastRenderedPageBreak/>
        <w:t>Izglītības un zinātnes ministrs</w:t>
      </w:r>
      <w:r w:rsidR="00CB1405" w:rsidRPr="0033137F">
        <w:rPr>
          <w:sz w:val="28"/>
          <w:szCs w:val="28"/>
        </w:rPr>
        <w:tab/>
      </w:r>
      <w:r w:rsidRPr="0033137F">
        <w:rPr>
          <w:sz w:val="28"/>
          <w:szCs w:val="28"/>
        </w:rPr>
        <w:t>R.Ķīlis</w:t>
      </w:r>
    </w:p>
    <w:tbl>
      <w:tblPr>
        <w:tblW w:w="0" w:type="auto"/>
        <w:tblLook w:val="00A0"/>
      </w:tblPr>
      <w:tblGrid>
        <w:gridCol w:w="8188"/>
      </w:tblGrid>
      <w:tr w:rsidR="00893088" w:rsidTr="00893088">
        <w:trPr>
          <w:trHeight w:val="80"/>
        </w:trPr>
        <w:tc>
          <w:tcPr>
            <w:tcW w:w="8188" w:type="dxa"/>
          </w:tcPr>
          <w:p w:rsidR="00893088" w:rsidRPr="00893088" w:rsidRDefault="00893088" w:rsidP="00893088">
            <w:pPr>
              <w:widowControl w:val="0"/>
              <w:autoSpaceDE w:val="0"/>
              <w:autoSpaceDN w:val="0"/>
              <w:adjustRightInd w:val="0"/>
              <w:rPr>
                <w:sz w:val="28"/>
                <w:szCs w:val="28"/>
              </w:rPr>
            </w:pPr>
            <w:r w:rsidRPr="00893088">
              <w:rPr>
                <w:sz w:val="28"/>
                <w:szCs w:val="28"/>
              </w:rPr>
              <w:t>Vizē:</w:t>
            </w:r>
          </w:p>
          <w:p w:rsidR="00893088" w:rsidRPr="00893088" w:rsidRDefault="00893088" w:rsidP="00893088">
            <w:pPr>
              <w:widowControl w:val="0"/>
              <w:autoSpaceDE w:val="0"/>
              <w:autoSpaceDN w:val="0"/>
              <w:adjustRightInd w:val="0"/>
              <w:rPr>
                <w:sz w:val="28"/>
                <w:szCs w:val="28"/>
              </w:rPr>
            </w:pPr>
            <w:r w:rsidRPr="00893088">
              <w:rPr>
                <w:sz w:val="28"/>
                <w:szCs w:val="28"/>
              </w:rPr>
              <w:t xml:space="preserve">Valsts sekretāra vietniece – </w:t>
            </w:r>
          </w:p>
          <w:p w:rsidR="00893088" w:rsidRPr="00893088" w:rsidRDefault="00893088" w:rsidP="00893088">
            <w:pPr>
              <w:widowControl w:val="0"/>
              <w:autoSpaceDE w:val="0"/>
              <w:autoSpaceDN w:val="0"/>
              <w:adjustRightInd w:val="0"/>
              <w:rPr>
                <w:sz w:val="28"/>
                <w:szCs w:val="28"/>
              </w:rPr>
            </w:pPr>
            <w:r w:rsidRPr="00893088">
              <w:rPr>
                <w:sz w:val="28"/>
                <w:szCs w:val="28"/>
              </w:rPr>
              <w:t>Struktūrfondu un starptautisko finanšu</w:t>
            </w:r>
          </w:p>
          <w:p w:rsidR="00893088" w:rsidRPr="00893088" w:rsidRDefault="00893088" w:rsidP="00893088">
            <w:pPr>
              <w:widowControl w:val="0"/>
              <w:autoSpaceDE w:val="0"/>
              <w:autoSpaceDN w:val="0"/>
              <w:adjustRightInd w:val="0"/>
              <w:rPr>
                <w:sz w:val="28"/>
                <w:szCs w:val="28"/>
              </w:rPr>
            </w:pPr>
            <w:r w:rsidRPr="00893088">
              <w:rPr>
                <w:sz w:val="28"/>
                <w:szCs w:val="28"/>
              </w:rPr>
              <w:t>instrumentu departamenta direktore,</w:t>
            </w:r>
          </w:p>
          <w:p w:rsidR="00893088" w:rsidRPr="00893088" w:rsidRDefault="00893088" w:rsidP="00893088">
            <w:pPr>
              <w:widowControl w:val="0"/>
              <w:autoSpaceDE w:val="0"/>
              <w:autoSpaceDN w:val="0"/>
              <w:adjustRightInd w:val="0"/>
              <w:jc w:val="both"/>
              <w:rPr>
                <w:sz w:val="28"/>
                <w:szCs w:val="28"/>
              </w:rPr>
            </w:pPr>
            <w:r w:rsidRPr="00893088">
              <w:rPr>
                <w:sz w:val="28"/>
                <w:szCs w:val="28"/>
              </w:rPr>
              <w:t>valsts sekretāra pienākumu izpildītā</w:t>
            </w:r>
            <w:r>
              <w:rPr>
                <w:sz w:val="28"/>
                <w:szCs w:val="28"/>
              </w:rPr>
              <w:t xml:space="preserve">ja </w:t>
            </w:r>
            <w:r>
              <w:rPr>
                <w:sz w:val="28"/>
                <w:szCs w:val="28"/>
              </w:rPr>
              <w:tab/>
              <w:t xml:space="preserve">                                         </w:t>
            </w:r>
            <w:r w:rsidRPr="00893088">
              <w:rPr>
                <w:sz w:val="28"/>
                <w:szCs w:val="28"/>
              </w:rPr>
              <w:t>L.Sīka</w:t>
            </w:r>
          </w:p>
          <w:p w:rsidR="00893088" w:rsidRDefault="00893088">
            <w:pPr>
              <w:widowControl w:val="0"/>
              <w:autoSpaceDE w:val="0"/>
              <w:autoSpaceDN w:val="0"/>
              <w:adjustRightInd w:val="0"/>
              <w:rPr>
                <w:sz w:val="22"/>
                <w:szCs w:val="22"/>
              </w:rPr>
            </w:pPr>
          </w:p>
          <w:p w:rsidR="00893088" w:rsidRDefault="00893088">
            <w:pPr>
              <w:widowControl w:val="0"/>
              <w:autoSpaceDE w:val="0"/>
              <w:autoSpaceDN w:val="0"/>
              <w:adjustRightInd w:val="0"/>
              <w:rPr>
                <w:sz w:val="22"/>
                <w:szCs w:val="22"/>
              </w:rPr>
            </w:pPr>
          </w:p>
          <w:p w:rsidR="00893088" w:rsidRDefault="00893088">
            <w:pPr>
              <w:widowControl w:val="0"/>
              <w:autoSpaceDE w:val="0"/>
              <w:autoSpaceDN w:val="0"/>
              <w:adjustRightInd w:val="0"/>
              <w:rPr>
                <w:sz w:val="22"/>
                <w:szCs w:val="22"/>
              </w:rPr>
            </w:pPr>
          </w:p>
          <w:p w:rsidR="00893088" w:rsidRDefault="00893088">
            <w:pPr>
              <w:widowControl w:val="0"/>
              <w:autoSpaceDE w:val="0"/>
              <w:autoSpaceDN w:val="0"/>
              <w:adjustRightInd w:val="0"/>
              <w:rPr>
                <w:sz w:val="22"/>
                <w:szCs w:val="22"/>
              </w:rPr>
            </w:pPr>
          </w:p>
        </w:tc>
      </w:tr>
      <w:tr w:rsidR="009B1442" w:rsidRPr="0033137F" w:rsidTr="00893088">
        <w:trPr>
          <w:trHeight w:val="80"/>
        </w:trPr>
        <w:tc>
          <w:tcPr>
            <w:tcW w:w="8188" w:type="dxa"/>
          </w:tcPr>
          <w:p w:rsidR="009B1442" w:rsidRPr="0033137F" w:rsidRDefault="009B1442" w:rsidP="00613FFC">
            <w:pPr>
              <w:widowControl w:val="0"/>
              <w:autoSpaceDE w:val="0"/>
              <w:autoSpaceDN w:val="0"/>
              <w:adjustRightInd w:val="0"/>
              <w:rPr>
                <w:sz w:val="22"/>
                <w:szCs w:val="22"/>
              </w:rPr>
            </w:pPr>
          </w:p>
          <w:p w:rsidR="009B1442" w:rsidRPr="0033137F" w:rsidRDefault="009B1442" w:rsidP="00613FFC">
            <w:pPr>
              <w:widowControl w:val="0"/>
              <w:autoSpaceDE w:val="0"/>
              <w:autoSpaceDN w:val="0"/>
              <w:adjustRightInd w:val="0"/>
              <w:rPr>
                <w:sz w:val="22"/>
                <w:szCs w:val="22"/>
              </w:rPr>
            </w:pPr>
            <w:r w:rsidRPr="0033137F">
              <w:rPr>
                <w:sz w:val="22"/>
                <w:szCs w:val="22"/>
              </w:rPr>
              <w:t>09.07.2012. 1</w:t>
            </w:r>
            <w:r w:rsidR="00973B51">
              <w:rPr>
                <w:sz w:val="22"/>
                <w:szCs w:val="22"/>
              </w:rPr>
              <w:t>2:</w:t>
            </w:r>
            <w:r w:rsidR="00A84180">
              <w:rPr>
                <w:sz w:val="22"/>
                <w:szCs w:val="22"/>
              </w:rPr>
              <w:t>29</w:t>
            </w:r>
          </w:p>
        </w:tc>
      </w:tr>
      <w:tr w:rsidR="009B1442" w:rsidRPr="0033137F" w:rsidTr="00893088">
        <w:tc>
          <w:tcPr>
            <w:tcW w:w="8188" w:type="dxa"/>
          </w:tcPr>
          <w:p w:rsidR="009B1442" w:rsidRPr="0033137F" w:rsidRDefault="00973B51" w:rsidP="00613FFC">
            <w:pPr>
              <w:widowControl w:val="0"/>
              <w:autoSpaceDE w:val="0"/>
              <w:autoSpaceDN w:val="0"/>
              <w:adjustRightInd w:val="0"/>
              <w:rPr>
                <w:sz w:val="22"/>
                <w:szCs w:val="22"/>
              </w:rPr>
            </w:pPr>
            <w:r>
              <w:rPr>
                <w:sz w:val="22"/>
                <w:szCs w:val="22"/>
              </w:rPr>
              <w:t>8</w:t>
            </w:r>
            <w:r w:rsidR="00A84180">
              <w:rPr>
                <w:sz w:val="22"/>
                <w:szCs w:val="22"/>
              </w:rPr>
              <w:t>42</w:t>
            </w:r>
          </w:p>
        </w:tc>
      </w:tr>
      <w:tr w:rsidR="009B1442" w:rsidRPr="0033137F" w:rsidTr="00893088">
        <w:tc>
          <w:tcPr>
            <w:tcW w:w="8188" w:type="dxa"/>
          </w:tcPr>
          <w:p w:rsidR="009B1442" w:rsidRPr="0033137F" w:rsidRDefault="009B1442" w:rsidP="00613FFC">
            <w:pPr>
              <w:widowControl w:val="0"/>
              <w:autoSpaceDE w:val="0"/>
              <w:autoSpaceDN w:val="0"/>
              <w:adjustRightInd w:val="0"/>
              <w:rPr>
                <w:sz w:val="22"/>
                <w:szCs w:val="22"/>
              </w:rPr>
            </w:pPr>
            <w:proofErr w:type="spellStart"/>
            <w:r w:rsidRPr="0033137F">
              <w:rPr>
                <w:sz w:val="22"/>
                <w:szCs w:val="22"/>
              </w:rPr>
              <w:t>Depkovska</w:t>
            </w:r>
            <w:proofErr w:type="spellEnd"/>
            <w:r w:rsidRPr="0033137F">
              <w:rPr>
                <w:sz w:val="22"/>
                <w:szCs w:val="22"/>
              </w:rPr>
              <w:t>, 67047945</w:t>
            </w:r>
          </w:p>
        </w:tc>
      </w:tr>
      <w:tr w:rsidR="009B1442" w:rsidRPr="0033137F" w:rsidTr="00893088">
        <w:tc>
          <w:tcPr>
            <w:tcW w:w="8188" w:type="dxa"/>
          </w:tcPr>
          <w:p w:rsidR="009B1442" w:rsidRPr="0033137F" w:rsidRDefault="009B1442" w:rsidP="00613FFC">
            <w:pPr>
              <w:widowControl w:val="0"/>
              <w:autoSpaceDE w:val="0"/>
              <w:autoSpaceDN w:val="0"/>
              <w:adjustRightInd w:val="0"/>
              <w:rPr>
                <w:sz w:val="22"/>
                <w:szCs w:val="22"/>
                <w:lang w:val="fi-FI"/>
              </w:rPr>
            </w:pPr>
            <w:r w:rsidRPr="0033137F">
              <w:rPr>
                <w:sz w:val="22"/>
                <w:szCs w:val="22"/>
              </w:rPr>
              <w:t>Anita.Depkovska@izm.gov.lv</w:t>
            </w:r>
          </w:p>
        </w:tc>
      </w:tr>
    </w:tbl>
    <w:p w:rsidR="009B1442" w:rsidRPr="0033137F" w:rsidRDefault="009B1442" w:rsidP="00CB1405">
      <w:pPr>
        <w:tabs>
          <w:tab w:val="right" w:pos="8460"/>
        </w:tabs>
        <w:spacing w:after="1200"/>
        <w:jc w:val="both"/>
        <w:rPr>
          <w:sz w:val="28"/>
          <w:szCs w:val="28"/>
          <w:lang w:val="fi-FI"/>
        </w:rPr>
      </w:pPr>
    </w:p>
    <w:sectPr w:rsidR="009B1442" w:rsidRPr="0033137F" w:rsidSect="00757BE7">
      <w:headerReference w:type="even" r:id="rId8"/>
      <w:headerReference w:type="default" r:id="rId9"/>
      <w:footerReference w:type="default" r:id="rId10"/>
      <w:footerReference w:type="first" r:id="rId11"/>
      <w:pgSz w:w="11906" w:h="16838"/>
      <w:pgMar w:top="1418" w:right="1134"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53" w:rsidRDefault="00ED0353">
      <w:r>
        <w:separator/>
      </w:r>
    </w:p>
  </w:endnote>
  <w:endnote w:type="continuationSeparator" w:id="0">
    <w:p w:rsidR="00ED0353" w:rsidRDefault="00ED0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F3" w:rsidRPr="006F7FF3" w:rsidRDefault="006F7FF3" w:rsidP="006F7FF3">
    <w:pPr>
      <w:pStyle w:val="naislab"/>
      <w:jc w:val="both"/>
      <w:outlineLvl w:val="0"/>
      <w:rPr>
        <w:sz w:val="20"/>
        <w:szCs w:val="20"/>
      </w:rPr>
    </w:pPr>
    <w:r w:rsidRPr="006F7FF3">
      <w:rPr>
        <w:sz w:val="20"/>
        <w:szCs w:val="20"/>
      </w:rPr>
      <w:t>IZManot_090712_Gru</w:t>
    </w:r>
    <w:r w:rsidR="00BA4693">
      <w:rPr>
        <w:sz w:val="20"/>
        <w:szCs w:val="20"/>
      </w:rPr>
      <w:t>s</w:t>
    </w:r>
    <w:r w:rsidRPr="006F7FF3">
      <w:rPr>
        <w:sz w:val="20"/>
        <w:szCs w:val="20"/>
      </w:rPr>
      <w:t>kevics; Ministru kabineta rīkojuma</w:t>
    </w:r>
    <w:r w:rsidR="0033137F">
      <w:rPr>
        <w:sz w:val="20"/>
        <w:szCs w:val="20"/>
      </w:rPr>
      <w:t xml:space="preserve"> projekta</w:t>
    </w:r>
    <w:r>
      <w:rPr>
        <w:sz w:val="20"/>
        <w:szCs w:val="20"/>
      </w:rPr>
      <w:t xml:space="preserve"> „Par </w:t>
    </w:r>
    <w:proofErr w:type="spellStart"/>
    <w:r>
      <w:rPr>
        <w:sz w:val="20"/>
        <w:szCs w:val="20"/>
      </w:rPr>
      <w:t>M.Gruškevica</w:t>
    </w:r>
    <w:proofErr w:type="spellEnd"/>
    <w:r w:rsidRPr="006F7FF3">
      <w:rPr>
        <w:sz w:val="20"/>
        <w:szCs w:val="20"/>
      </w:rPr>
      <w:t xml:space="preserve"> atbrīvošanu no amata” sākotnējās ietekmes novērtējuma ziņojums (anotācija)</w:t>
    </w:r>
  </w:p>
  <w:p w:rsidR="00470D23" w:rsidRPr="006F7FF3" w:rsidRDefault="00470D23" w:rsidP="006F7FF3">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FC" w:rsidRPr="006F7FF3" w:rsidRDefault="001C3DFC" w:rsidP="006F7FF3">
    <w:pPr>
      <w:pStyle w:val="naislab"/>
      <w:jc w:val="both"/>
      <w:outlineLvl w:val="0"/>
      <w:rPr>
        <w:sz w:val="20"/>
        <w:szCs w:val="20"/>
      </w:rPr>
    </w:pPr>
    <w:r w:rsidRPr="006F7FF3">
      <w:rPr>
        <w:sz w:val="20"/>
        <w:szCs w:val="20"/>
      </w:rPr>
      <w:t>IZManot_090712_Gru</w:t>
    </w:r>
    <w:r w:rsidR="00BA4693">
      <w:rPr>
        <w:sz w:val="20"/>
        <w:szCs w:val="20"/>
      </w:rPr>
      <w:t>s</w:t>
    </w:r>
    <w:r w:rsidRPr="006F7FF3">
      <w:rPr>
        <w:sz w:val="20"/>
        <w:szCs w:val="20"/>
      </w:rPr>
      <w:t>kevics</w:t>
    </w:r>
    <w:r w:rsidR="006F7FF3" w:rsidRPr="006F7FF3">
      <w:rPr>
        <w:sz w:val="20"/>
        <w:szCs w:val="20"/>
      </w:rPr>
      <w:t>; Ministru kabineta rīkojuma</w:t>
    </w:r>
    <w:r w:rsidR="0033137F">
      <w:rPr>
        <w:sz w:val="20"/>
        <w:szCs w:val="20"/>
      </w:rPr>
      <w:t xml:space="preserve"> projekta</w:t>
    </w:r>
    <w:r w:rsidR="006F7FF3">
      <w:rPr>
        <w:sz w:val="20"/>
        <w:szCs w:val="20"/>
      </w:rPr>
      <w:t xml:space="preserve"> „Par </w:t>
    </w:r>
    <w:proofErr w:type="spellStart"/>
    <w:r w:rsidR="006F7FF3">
      <w:rPr>
        <w:sz w:val="20"/>
        <w:szCs w:val="20"/>
      </w:rPr>
      <w:t>M.Gruškevica</w:t>
    </w:r>
    <w:proofErr w:type="spellEnd"/>
    <w:r w:rsidR="00470D23" w:rsidRPr="006F7FF3">
      <w:rPr>
        <w:sz w:val="20"/>
        <w:szCs w:val="20"/>
      </w:rPr>
      <w:t xml:space="preserve"> atbrīvošanu no amata” </w:t>
    </w:r>
    <w:r w:rsidRPr="006F7FF3">
      <w:rPr>
        <w:sz w:val="20"/>
        <w:szCs w:val="20"/>
      </w:rPr>
      <w:t>sākotnējās ietekmes novērtējuma ziņojums (anotācija)</w:t>
    </w:r>
  </w:p>
  <w:p w:rsidR="00470D23" w:rsidRPr="00D4467B" w:rsidRDefault="00470D23" w:rsidP="00D4467B">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53" w:rsidRDefault="00ED0353">
      <w:r>
        <w:separator/>
      </w:r>
    </w:p>
  </w:footnote>
  <w:footnote w:type="continuationSeparator" w:id="0">
    <w:p w:rsidR="00ED0353" w:rsidRDefault="00ED0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23" w:rsidRDefault="003B2525" w:rsidP="00190F88">
    <w:pPr>
      <w:pStyle w:val="Header"/>
      <w:framePr w:wrap="around" w:vAnchor="text" w:hAnchor="margin" w:xAlign="center" w:y="1"/>
      <w:rPr>
        <w:rStyle w:val="PageNumber"/>
      </w:rPr>
    </w:pPr>
    <w:r>
      <w:rPr>
        <w:rStyle w:val="PageNumber"/>
      </w:rPr>
      <w:fldChar w:fldCharType="begin"/>
    </w:r>
    <w:r w:rsidR="00470D23">
      <w:rPr>
        <w:rStyle w:val="PageNumber"/>
      </w:rPr>
      <w:instrText xml:space="preserve">PAGE  </w:instrText>
    </w:r>
    <w:r>
      <w:rPr>
        <w:rStyle w:val="PageNumber"/>
      </w:rPr>
      <w:fldChar w:fldCharType="end"/>
    </w:r>
  </w:p>
  <w:p w:rsidR="00470D23" w:rsidRDefault="00470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23" w:rsidRPr="00DB073B" w:rsidRDefault="003B2525"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470D23" w:rsidRPr="00DB073B">
      <w:rPr>
        <w:rStyle w:val="PageNumber"/>
        <w:sz w:val="20"/>
        <w:szCs w:val="20"/>
      </w:rPr>
      <w:instrText xml:space="preserve">PAGE  </w:instrText>
    </w:r>
    <w:r w:rsidRPr="00DB073B">
      <w:rPr>
        <w:rStyle w:val="PageNumber"/>
        <w:sz w:val="20"/>
        <w:szCs w:val="20"/>
      </w:rPr>
      <w:fldChar w:fldCharType="separate"/>
    </w:r>
    <w:r w:rsidR="00A84180">
      <w:rPr>
        <w:rStyle w:val="PageNumber"/>
        <w:noProof/>
        <w:sz w:val="20"/>
        <w:szCs w:val="20"/>
      </w:rPr>
      <w:t>5</w:t>
    </w:r>
    <w:r w:rsidRPr="00DB073B">
      <w:rPr>
        <w:rStyle w:val="PageNumber"/>
        <w:sz w:val="20"/>
        <w:szCs w:val="20"/>
      </w:rPr>
      <w:fldChar w:fldCharType="end"/>
    </w:r>
  </w:p>
  <w:p w:rsidR="00470D23" w:rsidRDefault="00470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11D24"/>
    <w:rsid w:val="00013FF4"/>
    <w:rsid w:val="00015F1D"/>
    <w:rsid w:val="00020FE1"/>
    <w:rsid w:val="00022E13"/>
    <w:rsid w:val="00032388"/>
    <w:rsid w:val="00035CE2"/>
    <w:rsid w:val="00046989"/>
    <w:rsid w:val="0005553B"/>
    <w:rsid w:val="000604D2"/>
    <w:rsid w:val="00085915"/>
    <w:rsid w:val="0009005E"/>
    <w:rsid w:val="000A6451"/>
    <w:rsid w:val="000A7539"/>
    <w:rsid w:val="000B064E"/>
    <w:rsid w:val="000B69CF"/>
    <w:rsid w:val="000B7DFE"/>
    <w:rsid w:val="000C612D"/>
    <w:rsid w:val="000C78CC"/>
    <w:rsid w:val="000C790C"/>
    <w:rsid w:val="000E1E65"/>
    <w:rsid w:val="000F061D"/>
    <w:rsid w:val="000F4722"/>
    <w:rsid w:val="001079F7"/>
    <w:rsid w:val="0011394A"/>
    <w:rsid w:val="0011728D"/>
    <w:rsid w:val="00124F12"/>
    <w:rsid w:val="00124FB2"/>
    <w:rsid w:val="00144CA7"/>
    <w:rsid w:val="00144E3A"/>
    <w:rsid w:val="0015060C"/>
    <w:rsid w:val="0016018A"/>
    <w:rsid w:val="00161F0E"/>
    <w:rsid w:val="00163B1D"/>
    <w:rsid w:val="0016435A"/>
    <w:rsid w:val="00170E2A"/>
    <w:rsid w:val="00175EAB"/>
    <w:rsid w:val="00183CC2"/>
    <w:rsid w:val="001853C3"/>
    <w:rsid w:val="00187C16"/>
    <w:rsid w:val="001900E4"/>
    <w:rsid w:val="00190F88"/>
    <w:rsid w:val="001954CE"/>
    <w:rsid w:val="001A4066"/>
    <w:rsid w:val="001A6AE4"/>
    <w:rsid w:val="001B01FD"/>
    <w:rsid w:val="001B21D7"/>
    <w:rsid w:val="001B2F1A"/>
    <w:rsid w:val="001B4A71"/>
    <w:rsid w:val="001C1355"/>
    <w:rsid w:val="001C3DFC"/>
    <w:rsid w:val="001D5B54"/>
    <w:rsid w:val="001E1DBF"/>
    <w:rsid w:val="001E4639"/>
    <w:rsid w:val="001E4A7D"/>
    <w:rsid w:val="001F43A8"/>
    <w:rsid w:val="001F5CD6"/>
    <w:rsid w:val="002043FB"/>
    <w:rsid w:val="0021263D"/>
    <w:rsid w:val="00213F0C"/>
    <w:rsid w:val="0021592D"/>
    <w:rsid w:val="00222D76"/>
    <w:rsid w:val="00223EB1"/>
    <w:rsid w:val="00231344"/>
    <w:rsid w:val="0023436E"/>
    <w:rsid w:val="002347C0"/>
    <w:rsid w:val="00241A6C"/>
    <w:rsid w:val="00242D2B"/>
    <w:rsid w:val="002459F1"/>
    <w:rsid w:val="002551C3"/>
    <w:rsid w:val="00262E2B"/>
    <w:rsid w:val="00270429"/>
    <w:rsid w:val="002723E9"/>
    <w:rsid w:val="00277929"/>
    <w:rsid w:val="00283B82"/>
    <w:rsid w:val="002846E9"/>
    <w:rsid w:val="00284C34"/>
    <w:rsid w:val="0029066C"/>
    <w:rsid w:val="002B21EE"/>
    <w:rsid w:val="002B50DB"/>
    <w:rsid w:val="002C02AE"/>
    <w:rsid w:val="002C12AB"/>
    <w:rsid w:val="002C7CAC"/>
    <w:rsid w:val="002D3306"/>
    <w:rsid w:val="002D48AA"/>
    <w:rsid w:val="002D7BAA"/>
    <w:rsid w:val="002D7F54"/>
    <w:rsid w:val="002E3FF4"/>
    <w:rsid w:val="002F10B1"/>
    <w:rsid w:val="002F78C8"/>
    <w:rsid w:val="00301CF3"/>
    <w:rsid w:val="00304190"/>
    <w:rsid w:val="003047D4"/>
    <w:rsid w:val="00307DEE"/>
    <w:rsid w:val="00321F18"/>
    <w:rsid w:val="0032715C"/>
    <w:rsid w:val="00327B6B"/>
    <w:rsid w:val="0033137F"/>
    <w:rsid w:val="00337A2C"/>
    <w:rsid w:val="00337CA5"/>
    <w:rsid w:val="00362478"/>
    <w:rsid w:val="00375B25"/>
    <w:rsid w:val="0038282D"/>
    <w:rsid w:val="00396542"/>
    <w:rsid w:val="0039685B"/>
    <w:rsid w:val="003A7F0C"/>
    <w:rsid w:val="003A7F79"/>
    <w:rsid w:val="003B2525"/>
    <w:rsid w:val="003B6404"/>
    <w:rsid w:val="003D21FF"/>
    <w:rsid w:val="003E6681"/>
    <w:rsid w:val="003F0112"/>
    <w:rsid w:val="003F071A"/>
    <w:rsid w:val="003F160B"/>
    <w:rsid w:val="003F39B8"/>
    <w:rsid w:val="00400032"/>
    <w:rsid w:val="00400B5B"/>
    <w:rsid w:val="004012A3"/>
    <w:rsid w:val="00405A00"/>
    <w:rsid w:val="00420870"/>
    <w:rsid w:val="00425E61"/>
    <w:rsid w:val="0043365F"/>
    <w:rsid w:val="00441483"/>
    <w:rsid w:val="00441BCB"/>
    <w:rsid w:val="00441FF2"/>
    <w:rsid w:val="00450A76"/>
    <w:rsid w:val="0045176A"/>
    <w:rsid w:val="0045451F"/>
    <w:rsid w:val="00456332"/>
    <w:rsid w:val="00457C4E"/>
    <w:rsid w:val="00470D23"/>
    <w:rsid w:val="004800F9"/>
    <w:rsid w:val="0049134A"/>
    <w:rsid w:val="004A58CB"/>
    <w:rsid w:val="004B1795"/>
    <w:rsid w:val="004B56DD"/>
    <w:rsid w:val="004C1AFD"/>
    <w:rsid w:val="004C558B"/>
    <w:rsid w:val="004F1F88"/>
    <w:rsid w:val="004F5F1B"/>
    <w:rsid w:val="00502374"/>
    <w:rsid w:val="00503E29"/>
    <w:rsid w:val="00516072"/>
    <w:rsid w:val="005332EC"/>
    <w:rsid w:val="00534418"/>
    <w:rsid w:val="00534D2B"/>
    <w:rsid w:val="005353AB"/>
    <w:rsid w:val="005455C7"/>
    <w:rsid w:val="005560BC"/>
    <w:rsid w:val="005573BE"/>
    <w:rsid w:val="00572700"/>
    <w:rsid w:val="00580468"/>
    <w:rsid w:val="0058603B"/>
    <w:rsid w:val="0059431B"/>
    <w:rsid w:val="005A39CC"/>
    <w:rsid w:val="005B4730"/>
    <w:rsid w:val="005E05D7"/>
    <w:rsid w:val="005E41E7"/>
    <w:rsid w:val="005E450F"/>
    <w:rsid w:val="005F4C37"/>
    <w:rsid w:val="0062298A"/>
    <w:rsid w:val="00626514"/>
    <w:rsid w:val="00626589"/>
    <w:rsid w:val="00631796"/>
    <w:rsid w:val="006339A0"/>
    <w:rsid w:val="006413A8"/>
    <w:rsid w:val="00642E56"/>
    <w:rsid w:val="00651E00"/>
    <w:rsid w:val="00674572"/>
    <w:rsid w:val="006813B1"/>
    <w:rsid w:val="00687763"/>
    <w:rsid w:val="006925A2"/>
    <w:rsid w:val="00692B0D"/>
    <w:rsid w:val="00693E0E"/>
    <w:rsid w:val="006A1AE3"/>
    <w:rsid w:val="006B2CCD"/>
    <w:rsid w:val="006C30E1"/>
    <w:rsid w:val="006D48F1"/>
    <w:rsid w:val="006D51E8"/>
    <w:rsid w:val="006F45BE"/>
    <w:rsid w:val="006F6176"/>
    <w:rsid w:val="006F7FF3"/>
    <w:rsid w:val="007004FC"/>
    <w:rsid w:val="00706670"/>
    <w:rsid w:val="0072417C"/>
    <w:rsid w:val="00734450"/>
    <w:rsid w:val="00745F67"/>
    <w:rsid w:val="00752D9D"/>
    <w:rsid w:val="00754784"/>
    <w:rsid w:val="00757BE7"/>
    <w:rsid w:val="00757C6E"/>
    <w:rsid w:val="007600B4"/>
    <w:rsid w:val="00762BDA"/>
    <w:rsid w:val="007720D4"/>
    <w:rsid w:val="007805FD"/>
    <w:rsid w:val="00784422"/>
    <w:rsid w:val="00795EF7"/>
    <w:rsid w:val="007B135E"/>
    <w:rsid w:val="007B3B54"/>
    <w:rsid w:val="007B3FA0"/>
    <w:rsid w:val="007C2BCC"/>
    <w:rsid w:val="007C4EF0"/>
    <w:rsid w:val="007E2664"/>
    <w:rsid w:val="007E3ABF"/>
    <w:rsid w:val="007E5BFA"/>
    <w:rsid w:val="007E6689"/>
    <w:rsid w:val="007E731C"/>
    <w:rsid w:val="007E7847"/>
    <w:rsid w:val="007F0A03"/>
    <w:rsid w:val="0081003F"/>
    <w:rsid w:val="00810040"/>
    <w:rsid w:val="00820207"/>
    <w:rsid w:val="0082023A"/>
    <w:rsid w:val="00821A7A"/>
    <w:rsid w:val="008253F8"/>
    <w:rsid w:val="00832A2B"/>
    <w:rsid w:val="00846994"/>
    <w:rsid w:val="00850451"/>
    <w:rsid w:val="00852042"/>
    <w:rsid w:val="008534C9"/>
    <w:rsid w:val="0085599D"/>
    <w:rsid w:val="0087510C"/>
    <w:rsid w:val="008807EE"/>
    <w:rsid w:val="00884881"/>
    <w:rsid w:val="00893088"/>
    <w:rsid w:val="0089738E"/>
    <w:rsid w:val="008B00C7"/>
    <w:rsid w:val="008B51BC"/>
    <w:rsid w:val="008B5FDB"/>
    <w:rsid w:val="008C5215"/>
    <w:rsid w:val="008C5649"/>
    <w:rsid w:val="008D2293"/>
    <w:rsid w:val="008D5001"/>
    <w:rsid w:val="008E44A2"/>
    <w:rsid w:val="008E697D"/>
    <w:rsid w:val="008F019A"/>
    <w:rsid w:val="00903263"/>
    <w:rsid w:val="00905D0D"/>
    <w:rsid w:val="00906A21"/>
    <w:rsid w:val="009079C3"/>
    <w:rsid w:val="00910462"/>
    <w:rsid w:val="00915AB1"/>
    <w:rsid w:val="00917532"/>
    <w:rsid w:val="00921120"/>
    <w:rsid w:val="009235BA"/>
    <w:rsid w:val="00924CE2"/>
    <w:rsid w:val="00925B9F"/>
    <w:rsid w:val="00931AED"/>
    <w:rsid w:val="00945528"/>
    <w:rsid w:val="009476A3"/>
    <w:rsid w:val="0095334F"/>
    <w:rsid w:val="00955983"/>
    <w:rsid w:val="00965897"/>
    <w:rsid w:val="00966BCE"/>
    <w:rsid w:val="0096765C"/>
    <w:rsid w:val="009727E4"/>
    <w:rsid w:val="00973B51"/>
    <w:rsid w:val="009846DD"/>
    <w:rsid w:val="009934C5"/>
    <w:rsid w:val="00994C0F"/>
    <w:rsid w:val="009A4106"/>
    <w:rsid w:val="009A4124"/>
    <w:rsid w:val="009A7D40"/>
    <w:rsid w:val="009B1442"/>
    <w:rsid w:val="009B22D7"/>
    <w:rsid w:val="009B72ED"/>
    <w:rsid w:val="009C5096"/>
    <w:rsid w:val="009C5821"/>
    <w:rsid w:val="009C6DEB"/>
    <w:rsid w:val="009D05AA"/>
    <w:rsid w:val="009D565C"/>
    <w:rsid w:val="009D6504"/>
    <w:rsid w:val="009E115D"/>
    <w:rsid w:val="009E661A"/>
    <w:rsid w:val="00A05D7B"/>
    <w:rsid w:val="00A06781"/>
    <w:rsid w:val="00A1509C"/>
    <w:rsid w:val="00A319AB"/>
    <w:rsid w:val="00A34260"/>
    <w:rsid w:val="00A46431"/>
    <w:rsid w:val="00A60DED"/>
    <w:rsid w:val="00A70CFD"/>
    <w:rsid w:val="00A72A0B"/>
    <w:rsid w:val="00A81E42"/>
    <w:rsid w:val="00A84180"/>
    <w:rsid w:val="00A864FE"/>
    <w:rsid w:val="00A86F41"/>
    <w:rsid w:val="00A87D04"/>
    <w:rsid w:val="00A92E58"/>
    <w:rsid w:val="00A950C5"/>
    <w:rsid w:val="00AA1D25"/>
    <w:rsid w:val="00AB2B1A"/>
    <w:rsid w:val="00AB397F"/>
    <w:rsid w:val="00AB5832"/>
    <w:rsid w:val="00AC51F2"/>
    <w:rsid w:val="00AE5066"/>
    <w:rsid w:val="00AE5E24"/>
    <w:rsid w:val="00AE61B7"/>
    <w:rsid w:val="00AE6CBA"/>
    <w:rsid w:val="00AE79AD"/>
    <w:rsid w:val="00AF35E4"/>
    <w:rsid w:val="00AF5CDE"/>
    <w:rsid w:val="00B05AE0"/>
    <w:rsid w:val="00B11A57"/>
    <w:rsid w:val="00B23235"/>
    <w:rsid w:val="00B25396"/>
    <w:rsid w:val="00B25597"/>
    <w:rsid w:val="00B267B9"/>
    <w:rsid w:val="00B33E09"/>
    <w:rsid w:val="00B50708"/>
    <w:rsid w:val="00B50C68"/>
    <w:rsid w:val="00B51293"/>
    <w:rsid w:val="00B52B1E"/>
    <w:rsid w:val="00B55481"/>
    <w:rsid w:val="00B56C32"/>
    <w:rsid w:val="00B57ACF"/>
    <w:rsid w:val="00B64BB1"/>
    <w:rsid w:val="00B73166"/>
    <w:rsid w:val="00B8426C"/>
    <w:rsid w:val="00B84A18"/>
    <w:rsid w:val="00B86D04"/>
    <w:rsid w:val="00B8752C"/>
    <w:rsid w:val="00B91B8D"/>
    <w:rsid w:val="00B94E90"/>
    <w:rsid w:val="00BA4693"/>
    <w:rsid w:val="00BB0A82"/>
    <w:rsid w:val="00BB7C94"/>
    <w:rsid w:val="00BC0A9D"/>
    <w:rsid w:val="00BD53B0"/>
    <w:rsid w:val="00BD6689"/>
    <w:rsid w:val="00BE6F11"/>
    <w:rsid w:val="00BF5BC2"/>
    <w:rsid w:val="00C015E2"/>
    <w:rsid w:val="00C1133D"/>
    <w:rsid w:val="00C25B45"/>
    <w:rsid w:val="00C27A08"/>
    <w:rsid w:val="00C31312"/>
    <w:rsid w:val="00C326C6"/>
    <w:rsid w:val="00C35295"/>
    <w:rsid w:val="00C36ADD"/>
    <w:rsid w:val="00C36E74"/>
    <w:rsid w:val="00C40595"/>
    <w:rsid w:val="00C41621"/>
    <w:rsid w:val="00C449FA"/>
    <w:rsid w:val="00C5384F"/>
    <w:rsid w:val="00C56964"/>
    <w:rsid w:val="00C6198E"/>
    <w:rsid w:val="00C656D5"/>
    <w:rsid w:val="00C67103"/>
    <w:rsid w:val="00C71BB9"/>
    <w:rsid w:val="00C7317C"/>
    <w:rsid w:val="00C94C28"/>
    <w:rsid w:val="00CB0247"/>
    <w:rsid w:val="00CB1405"/>
    <w:rsid w:val="00CB3440"/>
    <w:rsid w:val="00CB4D85"/>
    <w:rsid w:val="00CC1692"/>
    <w:rsid w:val="00CD138B"/>
    <w:rsid w:val="00CD3E31"/>
    <w:rsid w:val="00CD74A3"/>
    <w:rsid w:val="00CE0527"/>
    <w:rsid w:val="00CE438F"/>
    <w:rsid w:val="00CE5B23"/>
    <w:rsid w:val="00CF70AD"/>
    <w:rsid w:val="00CF7729"/>
    <w:rsid w:val="00D107FA"/>
    <w:rsid w:val="00D12275"/>
    <w:rsid w:val="00D12766"/>
    <w:rsid w:val="00D20FF4"/>
    <w:rsid w:val="00D24D2C"/>
    <w:rsid w:val="00D3546A"/>
    <w:rsid w:val="00D35881"/>
    <w:rsid w:val="00D4467B"/>
    <w:rsid w:val="00D73078"/>
    <w:rsid w:val="00D811A3"/>
    <w:rsid w:val="00DA7DA5"/>
    <w:rsid w:val="00DB073B"/>
    <w:rsid w:val="00DB78F0"/>
    <w:rsid w:val="00DC2E43"/>
    <w:rsid w:val="00DC4CCB"/>
    <w:rsid w:val="00DD095C"/>
    <w:rsid w:val="00DD1330"/>
    <w:rsid w:val="00DE0B83"/>
    <w:rsid w:val="00DE1A81"/>
    <w:rsid w:val="00DE4E10"/>
    <w:rsid w:val="00DF1407"/>
    <w:rsid w:val="00E003EF"/>
    <w:rsid w:val="00E02ABF"/>
    <w:rsid w:val="00E0332C"/>
    <w:rsid w:val="00E03582"/>
    <w:rsid w:val="00E06862"/>
    <w:rsid w:val="00E14995"/>
    <w:rsid w:val="00E15044"/>
    <w:rsid w:val="00E179CD"/>
    <w:rsid w:val="00E20A87"/>
    <w:rsid w:val="00E2238E"/>
    <w:rsid w:val="00E23E8D"/>
    <w:rsid w:val="00E37F98"/>
    <w:rsid w:val="00E46559"/>
    <w:rsid w:val="00E6670C"/>
    <w:rsid w:val="00E776E8"/>
    <w:rsid w:val="00E92C1F"/>
    <w:rsid w:val="00E95D4B"/>
    <w:rsid w:val="00E95FB3"/>
    <w:rsid w:val="00EB199F"/>
    <w:rsid w:val="00EC23F7"/>
    <w:rsid w:val="00EC4BD8"/>
    <w:rsid w:val="00EC63EB"/>
    <w:rsid w:val="00ED0353"/>
    <w:rsid w:val="00ED412F"/>
    <w:rsid w:val="00EF36B2"/>
    <w:rsid w:val="00F00143"/>
    <w:rsid w:val="00F0789C"/>
    <w:rsid w:val="00F10648"/>
    <w:rsid w:val="00F12E5D"/>
    <w:rsid w:val="00F13AFD"/>
    <w:rsid w:val="00F14457"/>
    <w:rsid w:val="00F201EC"/>
    <w:rsid w:val="00F208A9"/>
    <w:rsid w:val="00F27199"/>
    <w:rsid w:val="00F36770"/>
    <w:rsid w:val="00F4497B"/>
    <w:rsid w:val="00F47F8C"/>
    <w:rsid w:val="00F7454F"/>
    <w:rsid w:val="00F77988"/>
    <w:rsid w:val="00F77F48"/>
    <w:rsid w:val="00F8140D"/>
    <w:rsid w:val="00F816F7"/>
    <w:rsid w:val="00FA4CBF"/>
    <w:rsid w:val="00FB30F1"/>
    <w:rsid w:val="00FB53E7"/>
    <w:rsid w:val="00FC7605"/>
    <w:rsid w:val="00FD6ABA"/>
    <w:rsid w:val="00FE5A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currency2"/>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converted-space">
    <w:name w:val="apple-converted-space"/>
    <w:basedOn w:val="DefaultParagraphFont"/>
    <w:rsid w:val="00D811A3"/>
  </w:style>
  <w:style w:type="paragraph" w:styleId="ListParagraph">
    <w:name w:val="List Paragraph"/>
    <w:basedOn w:val="Normal"/>
    <w:uiPriority w:val="34"/>
    <w:qFormat/>
    <w:rsid w:val="00457C4E"/>
    <w:pPr>
      <w:ind w:left="720"/>
      <w:contextualSpacing/>
    </w:pPr>
  </w:style>
  <w:style w:type="paragraph" w:styleId="EndnoteText">
    <w:name w:val="endnote text"/>
    <w:basedOn w:val="Normal"/>
    <w:link w:val="EndnoteTextChar"/>
    <w:rsid w:val="00F27199"/>
    <w:rPr>
      <w:sz w:val="20"/>
      <w:szCs w:val="20"/>
    </w:rPr>
  </w:style>
  <w:style w:type="character" w:customStyle="1" w:styleId="EndnoteTextChar">
    <w:name w:val="Endnote Text Char"/>
    <w:basedOn w:val="DefaultParagraphFont"/>
    <w:link w:val="EndnoteText"/>
    <w:rsid w:val="00F27199"/>
  </w:style>
  <w:style w:type="character" w:styleId="EndnoteReference">
    <w:name w:val="endnote reference"/>
    <w:basedOn w:val="DefaultParagraphFont"/>
    <w:rsid w:val="00F27199"/>
    <w:rPr>
      <w:vertAlign w:val="superscript"/>
    </w:rPr>
  </w:style>
</w:styles>
</file>

<file path=word/webSettings.xml><?xml version="1.0" encoding="utf-8"?>
<w:webSettings xmlns:r="http://schemas.openxmlformats.org/officeDocument/2006/relationships" xmlns:w="http://schemas.openxmlformats.org/wordprocessingml/2006/main">
  <w:divs>
    <w:div w:id="4798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109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859</Words>
  <Characters>6237</Characters>
  <Application>Microsoft Office Word</Application>
  <DocSecurity>0</DocSecurity>
  <Lines>201</Lines>
  <Paragraphs>47</Paragraphs>
  <ScaleCrop>false</ScaleCrop>
  <HeadingPairs>
    <vt:vector size="2" baseType="variant">
      <vt:variant>
        <vt:lpstr>Title</vt:lpstr>
      </vt:variant>
      <vt:variant>
        <vt:i4>1</vt:i4>
      </vt:variant>
    </vt:vector>
  </HeadingPairs>
  <TitlesOfParts>
    <vt:vector size="1" baseType="lpstr">
      <vt:lpstr>"Par B.Paševicas atbrīvošanu no amata"</vt:lpstr>
    </vt:vector>
  </TitlesOfParts>
  <Company>Labklājības ministrija</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B.Paševicas atbrīvošanu no amata"</dc:title>
  <dc:subject>Ministru kabineta rīkojuma projekts</dc:subject>
  <dc:creator>Māris Knoks</dc:creator>
  <cp:keywords>328</cp:keywords>
  <dc:description>67021699_x000d_
Maris.Knoks@lm.gov.lv</dc:description>
  <cp:lastModifiedBy>adepkovska</cp:lastModifiedBy>
  <cp:revision>5</cp:revision>
  <cp:lastPrinted>2012-07-09T06:41:00Z</cp:lastPrinted>
  <dcterms:created xsi:type="dcterms:W3CDTF">2012-07-09T06:41:00Z</dcterms:created>
  <dcterms:modified xsi:type="dcterms:W3CDTF">2012-07-09T09:29:00Z</dcterms:modified>
</cp:coreProperties>
</file>