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47" w:rsidRPr="00432247" w:rsidRDefault="00432247" w:rsidP="00432247">
      <w:pPr>
        <w:spacing w:after="0" w:line="240" w:lineRule="auto"/>
        <w:ind w:left="360"/>
        <w:jc w:val="right"/>
        <w:rPr>
          <w:rFonts w:ascii="Times New Roman" w:eastAsia="Calibri" w:hAnsi="Times New Roman" w:cs="Times New Roman"/>
          <w:i/>
          <w:iCs/>
          <w:sz w:val="28"/>
          <w:szCs w:val="28"/>
          <w:lang w:val="lv-LV" w:eastAsia="lv-LV"/>
        </w:rPr>
      </w:pPr>
      <w:r w:rsidRPr="00432247">
        <w:rPr>
          <w:rFonts w:ascii="Times New Roman" w:eastAsia="Calibri" w:hAnsi="Times New Roman" w:cs="Times New Roman"/>
          <w:i/>
          <w:iCs/>
          <w:sz w:val="28"/>
          <w:szCs w:val="28"/>
          <w:lang w:val="lv-LV" w:eastAsia="lv-LV"/>
        </w:rPr>
        <w:t>Projekts</w:t>
      </w:r>
    </w:p>
    <w:p w:rsidR="00432247" w:rsidRPr="00432247" w:rsidRDefault="00432247" w:rsidP="00432247">
      <w:pPr>
        <w:spacing w:after="0" w:line="240" w:lineRule="auto"/>
        <w:ind w:left="360"/>
        <w:jc w:val="right"/>
        <w:rPr>
          <w:rFonts w:ascii="Times New Roman" w:eastAsia="Calibri" w:hAnsi="Times New Roman" w:cs="Times New Roman"/>
          <w:iCs/>
          <w:sz w:val="28"/>
          <w:szCs w:val="28"/>
          <w:lang w:val="lv-LV" w:eastAsia="lv-LV"/>
        </w:rPr>
      </w:pPr>
      <w:r w:rsidRPr="00432247">
        <w:rPr>
          <w:rFonts w:ascii="Times New Roman" w:eastAsia="Calibri" w:hAnsi="Times New Roman" w:cs="Times New Roman"/>
          <w:iCs/>
          <w:sz w:val="28"/>
          <w:szCs w:val="28"/>
          <w:lang w:val="lv-LV" w:eastAsia="lv-LV"/>
        </w:rPr>
        <w:t>Apstiprināts ar</w:t>
      </w:r>
    </w:p>
    <w:p w:rsidR="00432247" w:rsidRPr="00432247" w:rsidRDefault="00432247" w:rsidP="00432247">
      <w:pPr>
        <w:spacing w:after="0" w:line="240" w:lineRule="auto"/>
        <w:ind w:left="360"/>
        <w:jc w:val="right"/>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Ministru kabineta</w:t>
      </w:r>
    </w:p>
    <w:p w:rsidR="00432247" w:rsidRPr="00432247" w:rsidRDefault="00432247" w:rsidP="00432247">
      <w:pPr>
        <w:spacing w:after="0" w:line="240" w:lineRule="auto"/>
        <w:ind w:left="360"/>
        <w:jc w:val="right"/>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201</w:t>
      </w:r>
      <w:r w:rsidR="00A77471">
        <w:rPr>
          <w:rFonts w:ascii="Times New Roman" w:eastAsia="Calibri" w:hAnsi="Times New Roman" w:cs="Times New Roman"/>
          <w:sz w:val="28"/>
          <w:szCs w:val="28"/>
          <w:lang w:val="lv-LV" w:eastAsia="lv-LV"/>
        </w:rPr>
        <w:t>3</w:t>
      </w:r>
      <w:r w:rsidRPr="00432247">
        <w:rPr>
          <w:rFonts w:ascii="Times New Roman" w:eastAsia="Calibri" w:hAnsi="Times New Roman" w:cs="Times New Roman"/>
          <w:sz w:val="28"/>
          <w:szCs w:val="28"/>
          <w:lang w:val="lv-LV" w:eastAsia="lv-LV"/>
        </w:rPr>
        <w:t>.gada ___.________</w:t>
      </w:r>
    </w:p>
    <w:p w:rsidR="00432247" w:rsidRPr="00432247" w:rsidRDefault="00432247" w:rsidP="00432247">
      <w:pPr>
        <w:spacing w:after="0" w:line="240" w:lineRule="auto"/>
        <w:ind w:left="360"/>
        <w:jc w:val="right"/>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rīkojumu Nr._____</w:t>
      </w:r>
    </w:p>
    <w:p w:rsidR="003A2D20" w:rsidRPr="00432247" w:rsidRDefault="003A2D20" w:rsidP="00DB0B8B">
      <w:pPr>
        <w:spacing w:after="0" w:line="240" w:lineRule="auto"/>
        <w:jc w:val="both"/>
        <w:rPr>
          <w:rFonts w:ascii="Times New Roman" w:eastAsia="Calibri" w:hAnsi="Times New Roman" w:cs="Times New Roman"/>
          <w:sz w:val="28"/>
          <w:szCs w:val="28"/>
          <w:lang w:val="lv-LV" w:eastAsia="lv-LV"/>
        </w:rPr>
      </w:pPr>
    </w:p>
    <w:p w:rsidR="00432247" w:rsidRPr="00432247" w:rsidRDefault="00432247" w:rsidP="00432247">
      <w:pPr>
        <w:spacing w:after="0" w:line="240" w:lineRule="auto"/>
        <w:ind w:left="360"/>
        <w:jc w:val="both"/>
        <w:rPr>
          <w:rFonts w:ascii="Times New Roman" w:eastAsia="Calibri" w:hAnsi="Times New Roman" w:cs="Times New Roman"/>
          <w:sz w:val="28"/>
          <w:szCs w:val="28"/>
          <w:lang w:val="lv-LV" w:eastAsia="lv-LV"/>
        </w:rPr>
      </w:pPr>
    </w:p>
    <w:p w:rsidR="00432247" w:rsidRPr="00432247" w:rsidRDefault="00432247" w:rsidP="00432247">
      <w:pPr>
        <w:spacing w:after="0" w:line="240" w:lineRule="auto"/>
        <w:ind w:left="360"/>
        <w:jc w:val="center"/>
        <w:rPr>
          <w:rFonts w:ascii="Times New Roman" w:eastAsia="Calibri" w:hAnsi="Times New Roman" w:cs="Times New Roman"/>
          <w:b/>
          <w:bCs/>
          <w:sz w:val="28"/>
          <w:szCs w:val="28"/>
          <w:lang w:val="lv-LV" w:eastAsia="lv-LV"/>
        </w:rPr>
      </w:pPr>
      <w:r w:rsidRPr="00432247">
        <w:rPr>
          <w:rFonts w:ascii="Times New Roman" w:eastAsia="Calibri" w:hAnsi="Times New Roman" w:cs="Times New Roman"/>
          <w:b/>
          <w:bCs/>
          <w:sz w:val="28"/>
          <w:szCs w:val="28"/>
          <w:lang w:val="lv-LV" w:eastAsia="lv-LV"/>
        </w:rPr>
        <w:t>Pasākumu plāns</w:t>
      </w:r>
    </w:p>
    <w:p w:rsidR="00432247" w:rsidRPr="00432247" w:rsidRDefault="00432247" w:rsidP="00432247">
      <w:pPr>
        <w:spacing w:after="0" w:line="240" w:lineRule="auto"/>
        <w:ind w:left="360"/>
        <w:jc w:val="center"/>
        <w:rPr>
          <w:rFonts w:ascii="Times New Roman" w:eastAsia="Calibri" w:hAnsi="Times New Roman" w:cs="Times New Roman"/>
          <w:b/>
          <w:bCs/>
          <w:sz w:val="28"/>
          <w:szCs w:val="28"/>
          <w:lang w:val="lv-LV" w:eastAsia="lv-LV"/>
        </w:rPr>
      </w:pPr>
      <w:r w:rsidRPr="00432247">
        <w:rPr>
          <w:rFonts w:ascii="Times New Roman" w:eastAsia="Calibri" w:hAnsi="Times New Roman" w:cs="Times New Roman"/>
          <w:b/>
          <w:bCs/>
          <w:sz w:val="28"/>
          <w:szCs w:val="28"/>
          <w:lang w:val="lv-LV" w:eastAsia="lv-LV"/>
        </w:rPr>
        <w:t>izmeklēšanas kvalitātes paaugstināšanai izmeklēšanas iestādēs</w:t>
      </w:r>
    </w:p>
    <w:p w:rsidR="00432247" w:rsidRPr="00432247" w:rsidRDefault="00432247" w:rsidP="00432247">
      <w:pPr>
        <w:spacing w:after="0" w:line="240" w:lineRule="auto"/>
        <w:ind w:left="360"/>
        <w:jc w:val="both"/>
        <w:rPr>
          <w:rFonts w:ascii="Times New Roman" w:eastAsia="Calibri" w:hAnsi="Times New Roman" w:cs="Times New Roman"/>
          <w:sz w:val="28"/>
          <w:szCs w:val="28"/>
          <w:lang w:val="lv-LV" w:eastAsia="lv-LV"/>
        </w:rPr>
      </w:pPr>
    </w:p>
    <w:p w:rsidR="00432247" w:rsidRPr="00432247" w:rsidRDefault="00432247" w:rsidP="00432247">
      <w:pPr>
        <w:spacing w:after="0" w:line="240" w:lineRule="auto"/>
        <w:jc w:val="center"/>
        <w:rPr>
          <w:rFonts w:ascii="Times New Roman" w:eastAsia="Calibri" w:hAnsi="Times New Roman" w:cs="Times New Roman"/>
          <w:b/>
          <w:sz w:val="28"/>
          <w:szCs w:val="28"/>
          <w:lang w:val="lv-LV" w:eastAsia="lv-LV"/>
        </w:rPr>
      </w:pPr>
      <w:r w:rsidRPr="00432247">
        <w:rPr>
          <w:rFonts w:ascii="Times New Roman" w:eastAsia="Calibri" w:hAnsi="Times New Roman" w:cs="Times New Roman"/>
          <w:b/>
          <w:sz w:val="28"/>
          <w:szCs w:val="28"/>
          <w:lang w:val="lv-LV" w:eastAsia="lv-LV"/>
        </w:rPr>
        <w:t>Plānā lietotie saīsinājumi</w:t>
      </w:r>
    </w:p>
    <w:p w:rsidR="00432247" w:rsidRPr="00432247" w:rsidRDefault="00432247" w:rsidP="00432247">
      <w:pPr>
        <w:spacing w:after="0" w:line="240" w:lineRule="auto"/>
        <w:jc w:val="center"/>
        <w:rPr>
          <w:rFonts w:ascii="Times New Roman" w:eastAsia="Calibri" w:hAnsi="Times New Roman" w:cs="Times New Roman"/>
          <w:b/>
          <w:sz w:val="28"/>
          <w:szCs w:val="28"/>
          <w:lang w:val="lv-LV" w:eastAsia="lv-LV"/>
        </w:rPr>
      </w:pPr>
    </w:p>
    <w:p w:rsidR="00432247" w:rsidRPr="00432247"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DP  </w:t>
      </w:r>
      <w:r w:rsidRPr="00432247">
        <w:rPr>
          <w:rFonts w:ascii="Times New Roman" w:eastAsia="Calibri" w:hAnsi="Times New Roman" w:cs="Times New Roman"/>
          <w:sz w:val="28"/>
          <w:szCs w:val="28"/>
          <w:lang w:val="lv-LV" w:eastAsia="lv-LV"/>
        </w:rPr>
        <w:tab/>
        <w:t xml:space="preserve"> </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t>- Drošības policija</w:t>
      </w:r>
    </w:p>
    <w:p w:rsidR="00432247" w:rsidRPr="00432247"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ĢP   </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t>- Ģenerālprokuratūra</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r>
    </w:p>
    <w:p w:rsidR="00432247" w:rsidRPr="00432247"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IeM  </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t>- Iekšlietu ministrija</w:t>
      </w:r>
    </w:p>
    <w:p w:rsidR="00432247" w:rsidRPr="00432247"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IeM IC</w:t>
      </w:r>
      <w:r w:rsidRPr="00432247">
        <w:rPr>
          <w:rFonts w:ascii="Times New Roman" w:eastAsia="Calibri" w:hAnsi="Times New Roman" w:cs="Times New Roman"/>
          <w:sz w:val="28"/>
          <w:szCs w:val="28"/>
          <w:lang w:val="lv-LV" w:eastAsia="lv-LV"/>
        </w:rPr>
        <w:tab/>
        <w:t xml:space="preserve"> </w:t>
      </w:r>
      <w:r w:rsidRPr="00432247">
        <w:rPr>
          <w:rFonts w:ascii="Times New Roman" w:eastAsia="Calibri" w:hAnsi="Times New Roman" w:cs="Times New Roman"/>
          <w:sz w:val="28"/>
          <w:szCs w:val="28"/>
          <w:lang w:val="lv-LV" w:eastAsia="lv-LV"/>
        </w:rPr>
        <w:tab/>
        <w:t>- Iekšlietu ministrijas Informācijas centrs</w:t>
      </w:r>
    </w:p>
    <w:p w:rsidR="00432247" w:rsidRPr="00432247"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IeVP </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t>- Ieslodzījuma vietu pārvalde</w:t>
      </w:r>
    </w:p>
    <w:p w:rsidR="00432247" w:rsidRPr="00432247"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KNAB </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t>- Korupcijas novēršanas un apkarošanas birojs</w:t>
      </w:r>
    </w:p>
    <w:p w:rsidR="00432247"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KPL </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t>- Kriminālprocesa likums</w:t>
      </w:r>
    </w:p>
    <w:p w:rsidR="009343F4" w:rsidRPr="007A1678" w:rsidRDefault="009343F4" w:rsidP="00432247">
      <w:pPr>
        <w:spacing w:after="0" w:line="240" w:lineRule="auto"/>
        <w:jc w:val="both"/>
        <w:rPr>
          <w:rFonts w:ascii="Times New Roman" w:eastAsia="Calibri" w:hAnsi="Times New Roman" w:cs="Times New Roman"/>
          <w:sz w:val="28"/>
          <w:szCs w:val="28"/>
          <w:lang w:val="lv-LV" w:eastAsia="lv-LV"/>
        </w:rPr>
      </w:pPr>
      <w:r w:rsidRPr="007A1678">
        <w:rPr>
          <w:rFonts w:ascii="Times New Roman" w:eastAsia="Calibri" w:hAnsi="Times New Roman" w:cs="Times New Roman"/>
          <w:sz w:val="28"/>
          <w:szCs w:val="28"/>
          <w:lang w:val="lv-LV" w:eastAsia="lv-LV"/>
        </w:rPr>
        <w:t>MK                       - Ministru kabinets</w:t>
      </w:r>
    </w:p>
    <w:p w:rsidR="005F7F75"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MP   </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r>
      <w:r w:rsidR="00A77471">
        <w:rPr>
          <w:rFonts w:ascii="Times New Roman" w:eastAsia="Calibri" w:hAnsi="Times New Roman" w:cs="Times New Roman"/>
          <w:sz w:val="28"/>
          <w:szCs w:val="28"/>
          <w:lang w:val="lv-LV" w:eastAsia="lv-LV"/>
        </w:rPr>
        <w:t xml:space="preserve">          </w:t>
      </w:r>
      <w:r w:rsidRPr="00432247">
        <w:rPr>
          <w:rFonts w:ascii="Times New Roman" w:eastAsia="Calibri" w:hAnsi="Times New Roman" w:cs="Times New Roman"/>
          <w:sz w:val="28"/>
          <w:szCs w:val="28"/>
          <w:lang w:val="lv-LV" w:eastAsia="lv-LV"/>
        </w:rPr>
        <w:t xml:space="preserve">- Militārā policija </w:t>
      </w:r>
    </w:p>
    <w:p w:rsidR="005F7F75" w:rsidRPr="00432247" w:rsidRDefault="005F7F75" w:rsidP="005F7F75">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RP</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t>- Reģionālā pārvalde</w:t>
      </w:r>
    </w:p>
    <w:p w:rsidR="00432247" w:rsidRPr="00432247"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TM  </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t>- Tieslietu ministrija</w:t>
      </w:r>
    </w:p>
    <w:p w:rsidR="00432247" w:rsidRPr="00432247"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VRS </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t>- Valsts robežsardze</w:t>
      </w:r>
    </w:p>
    <w:p w:rsidR="00432247" w:rsidRPr="00432247"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VP  </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t>- Valsts policija</w:t>
      </w:r>
    </w:p>
    <w:p w:rsidR="00432247" w:rsidRPr="00432247" w:rsidRDefault="00432247" w:rsidP="00432247">
      <w:pPr>
        <w:spacing w:after="0" w:line="240" w:lineRule="auto"/>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VID FPP </w:t>
      </w: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sz w:val="28"/>
          <w:szCs w:val="28"/>
          <w:lang w:val="lv-LV" w:eastAsia="lv-LV"/>
        </w:rPr>
        <w:tab/>
        <w:t>- Valsts ieņēmumu dienesta Finanšu policijas pārvalde</w:t>
      </w:r>
    </w:p>
    <w:p w:rsidR="00432247" w:rsidRPr="00432247" w:rsidRDefault="00432247" w:rsidP="00432247">
      <w:pPr>
        <w:spacing w:after="0" w:line="240" w:lineRule="auto"/>
        <w:ind w:left="360"/>
        <w:jc w:val="center"/>
        <w:rPr>
          <w:rFonts w:ascii="Times New Roman" w:eastAsia="Calibri" w:hAnsi="Times New Roman" w:cs="Times New Roman"/>
          <w:b/>
          <w:bCs/>
          <w:sz w:val="28"/>
          <w:szCs w:val="28"/>
          <w:lang w:val="lv-LV" w:eastAsia="lv-LV"/>
        </w:rPr>
      </w:pPr>
    </w:p>
    <w:p w:rsidR="00432247" w:rsidRPr="000E1CC9" w:rsidRDefault="00432247" w:rsidP="00432247">
      <w:pPr>
        <w:spacing w:after="0" w:line="240" w:lineRule="auto"/>
        <w:ind w:left="360"/>
        <w:jc w:val="center"/>
        <w:rPr>
          <w:rFonts w:ascii="Times New Roman" w:eastAsia="Calibri" w:hAnsi="Times New Roman" w:cs="Times New Roman"/>
          <w:b/>
          <w:bCs/>
          <w:sz w:val="28"/>
          <w:szCs w:val="28"/>
          <w:lang w:val="lv-LV" w:eastAsia="lv-LV"/>
        </w:rPr>
      </w:pPr>
      <w:r w:rsidRPr="000E1CC9">
        <w:rPr>
          <w:rFonts w:ascii="Times New Roman" w:eastAsia="Calibri" w:hAnsi="Times New Roman" w:cs="Times New Roman"/>
          <w:b/>
          <w:bCs/>
          <w:sz w:val="28"/>
          <w:szCs w:val="28"/>
          <w:lang w:val="lv-LV" w:eastAsia="lv-LV"/>
        </w:rPr>
        <w:t>I Vispārējā daļa</w:t>
      </w:r>
    </w:p>
    <w:p w:rsidR="00432247" w:rsidRPr="00432247" w:rsidRDefault="00432247" w:rsidP="00432247">
      <w:pPr>
        <w:spacing w:after="0" w:line="240" w:lineRule="auto"/>
        <w:ind w:left="360"/>
        <w:jc w:val="both"/>
        <w:rPr>
          <w:rFonts w:ascii="Times New Roman" w:eastAsia="Calibri" w:hAnsi="Times New Roman" w:cs="Times New Roman"/>
          <w:sz w:val="28"/>
          <w:szCs w:val="28"/>
          <w:lang w:val="lv-LV" w:eastAsia="lv-LV"/>
        </w:rPr>
      </w:pPr>
    </w:p>
    <w:p w:rsidR="00432247" w:rsidRPr="00432247" w:rsidRDefault="00432247" w:rsidP="00CC4175">
      <w:pPr>
        <w:numPr>
          <w:ilvl w:val="0"/>
          <w:numId w:val="1"/>
        </w:numPr>
        <w:spacing w:after="0" w:line="240" w:lineRule="auto"/>
        <w:ind w:left="360" w:right="-96" w:hanging="360"/>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Pasākumu plāns izmeklēšanas kvalitātes paaugstināšanai izmeklēšanas iestādēs (turpmāk – Pasākumu plāns) </w:t>
      </w:r>
      <w:r w:rsidRPr="00B95E61">
        <w:rPr>
          <w:rFonts w:ascii="Times New Roman" w:eastAsia="Calibri" w:hAnsi="Times New Roman" w:cs="Times New Roman"/>
          <w:sz w:val="28"/>
          <w:szCs w:val="28"/>
          <w:lang w:val="lv-LV" w:eastAsia="lv-LV"/>
        </w:rPr>
        <w:t>ir plānošanas dokuments</w:t>
      </w:r>
      <w:r w:rsidRPr="00303CC0">
        <w:rPr>
          <w:rFonts w:ascii="Times New Roman" w:eastAsia="Calibri" w:hAnsi="Times New Roman" w:cs="Times New Roman"/>
          <w:sz w:val="28"/>
          <w:szCs w:val="28"/>
          <w:lang w:val="lv-LV" w:eastAsia="lv-LV"/>
        </w:rPr>
        <w:t>,</w:t>
      </w:r>
      <w:r w:rsidRPr="00432247">
        <w:rPr>
          <w:rFonts w:ascii="Times New Roman" w:eastAsia="Calibri" w:hAnsi="Times New Roman" w:cs="Times New Roman"/>
          <w:sz w:val="28"/>
          <w:szCs w:val="28"/>
          <w:lang w:val="lv-LV" w:eastAsia="lv-LV"/>
        </w:rPr>
        <w:t xml:space="preserve"> kas izstrādāts saskaņā ar M</w:t>
      </w:r>
      <w:r w:rsidR="009343F4">
        <w:rPr>
          <w:rFonts w:ascii="Times New Roman" w:eastAsia="Calibri" w:hAnsi="Times New Roman" w:cs="Times New Roman"/>
          <w:sz w:val="28"/>
          <w:szCs w:val="28"/>
          <w:lang w:val="lv-LV" w:eastAsia="lv-LV"/>
        </w:rPr>
        <w:t>K</w:t>
      </w:r>
      <w:r w:rsidRPr="00432247">
        <w:rPr>
          <w:rFonts w:ascii="Times New Roman" w:eastAsia="Calibri" w:hAnsi="Times New Roman" w:cs="Times New Roman"/>
          <w:sz w:val="28"/>
          <w:szCs w:val="28"/>
          <w:lang w:val="lv-LV" w:eastAsia="lv-LV"/>
        </w:rPr>
        <w:t xml:space="preserve"> 2012.gada 10.jūlija sēdes prot</w:t>
      </w:r>
      <w:r w:rsidR="002627DE">
        <w:rPr>
          <w:rFonts w:ascii="Times New Roman" w:eastAsia="Calibri" w:hAnsi="Times New Roman" w:cs="Times New Roman"/>
          <w:sz w:val="28"/>
          <w:szCs w:val="28"/>
          <w:lang w:val="lv-LV" w:eastAsia="lv-LV"/>
        </w:rPr>
        <w:t xml:space="preserve">okollēmuma (prot. Nr.39, 29.§) </w:t>
      </w:r>
      <w:r w:rsidRPr="00432247">
        <w:rPr>
          <w:rFonts w:ascii="Times New Roman" w:eastAsia="Calibri" w:hAnsi="Times New Roman" w:cs="Times New Roman"/>
          <w:sz w:val="28"/>
          <w:szCs w:val="28"/>
          <w:lang w:val="lv-LV" w:eastAsia="lv-LV"/>
        </w:rPr>
        <w:t>Informatīvais ziņojums „Par izziņas iestādes, prokuratūras vai tiesas nelikumīgas vai nepamatotas rīcības rezultātā nodarīto zaudējumu atlīdzināšanu” 2.p</w:t>
      </w:r>
      <w:r w:rsidR="002627DE">
        <w:rPr>
          <w:rFonts w:ascii="Times New Roman" w:eastAsia="Calibri" w:hAnsi="Times New Roman" w:cs="Times New Roman"/>
          <w:sz w:val="28"/>
          <w:szCs w:val="28"/>
          <w:lang w:val="lv-LV" w:eastAsia="lv-LV"/>
        </w:rPr>
        <w:t>unktā noteikto uzdevumu.</w:t>
      </w:r>
    </w:p>
    <w:p w:rsidR="00432247" w:rsidRPr="00432247" w:rsidRDefault="00432247" w:rsidP="00CC4175">
      <w:pPr>
        <w:numPr>
          <w:ilvl w:val="0"/>
          <w:numId w:val="1"/>
        </w:numPr>
        <w:spacing w:after="0" w:line="240" w:lineRule="auto"/>
        <w:ind w:left="360" w:right="-96" w:hanging="360"/>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Pasākumu plāna mērķis ir paaugstināt izmeklēšanas kvalitāti izmeklēšanas iestādēs un noteikt pasākumu kopumu, kas atbildīgajām institūcijām jāveic šajā jomā, t.sk., lai novērstu gadījumus, kad izmeklēšanas iestāžu nelikumīgas vai nepamatotas rīcības rezultātā tiek pieļauta neattaisnota iejaukšanās personas dzīvē un nodarīti</w:t>
      </w:r>
      <w:r w:rsidRPr="00432247">
        <w:rPr>
          <w:rFonts w:ascii="Times New Roman" w:eastAsia="Calibri" w:hAnsi="Times New Roman" w:cs="Times New Roman"/>
          <w:i/>
          <w:sz w:val="28"/>
          <w:szCs w:val="28"/>
          <w:lang w:val="lv-LV" w:eastAsia="lv-LV"/>
        </w:rPr>
        <w:t xml:space="preserve"> </w:t>
      </w:r>
      <w:r w:rsidRPr="00432247">
        <w:rPr>
          <w:rFonts w:ascii="Times New Roman" w:eastAsia="Calibri" w:hAnsi="Times New Roman" w:cs="Times New Roman"/>
          <w:sz w:val="28"/>
          <w:szCs w:val="28"/>
          <w:lang w:val="lv-LV" w:eastAsia="lv-LV"/>
        </w:rPr>
        <w:t>nepamatoti izdevumi</w:t>
      </w:r>
      <w:r w:rsidRPr="00432247">
        <w:rPr>
          <w:rFonts w:ascii="Times New Roman" w:eastAsia="Calibri" w:hAnsi="Times New Roman" w:cs="Times New Roman"/>
          <w:i/>
          <w:sz w:val="28"/>
          <w:szCs w:val="28"/>
          <w:lang w:val="lv-LV" w:eastAsia="lv-LV"/>
        </w:rPr>
        <w:t xml:space="preserve"> </w:t>
      </w:r>
      <w:r w:rsidRPr="00432247">
        <w:rPr>
          <w:rFonts w:ascii="Times New Roman" w:eastAsia="Calibri" w:hAnsi="Times New Roman" w:cs="Times New Roman"/>
          <w:sz w:val="28"/>
          <w:szCs w:val="28"/>
          <w:lang w:val="lv-LV" w:eastAsia="lv-LV"/>
        </w:rPr>
        <w:t xml:space="preserve">fiziskajām personām. </w:t>
      </w:r>
    </w:p>
    <w:p w:rsidR="00432247" w:rsidRPr="00432247" w:rsidRDefault="00432247" w:rsidP="00432247">
      <w:pPr>
        <w:spacing w:after="0" w:line="240" w:lineRule="auto"/>
        <w:jc w:val="both"/>
        <w:rPr>
          <w:rFonts w:ascii="Times New Roman" w:eastAsia="Calibri" w:hAnsi="Times New Roman" w:cs="Times New Roman"/>
          <w:color w:val="FF0000"/>
          <w:sz w:val="28"/>
          <w:szCs w:val="28"/>
          <w:lang w:val="lv-LV" w:eastAsia="lv-LV"/>
        </w:rPr>
      </w:pPr>
    </w:p>
    <w:p w:rsidR="003A2D20" w:rsidRDefault="003A2D20" w:rsidP="00432247">
      <w:pPr>
        <w:spacing w:after="0" w:line="240" w:lineRule="auto"/>
        <w:ind w:left="360"/>
        <w:jc w:val="center"/>
        <w:rPr>
          <w:rFonts w:ascii="Times New Roman" w:eastAsia="Calibri" w:hAnsi="Times New Roman" w:cs="Times New Roman"/>
          <w:b/>
          <w:bCs/>
          <w:sz w:val="28"/>
          <w:szCs w:val="28"/>
          <w:lang w:val="lv-LV" w:eastAsia="lv-LV"/>
        </w:rPr>
      </w:pPr>
    </w:p>
    <w:p w:rsidR="003A2D20" w:rsidRDefault="003A2D20" w:rsidP="00432247">
      <w:pPr>
        <w:spacing w:after="0" w:line="240" w:lineRule="auto"/>
        <w:ind w:left="360"/>
        <w:jc w:val="center"/>
        <w:rPr>
          <w:rFonts w:ascii="Times New Roman" w:eastAsia="Calibri" w:hAnsi="Times New Roman" w:cs="Times New Roman"/>
          <w:b/>
          <w:bCs/>
          <w:sz w:val="28"/>
          <w:szCs w:val="28"/>
          <w:lang w:val="lv-LV" w:eastAsia="lv-LV"/>
        </w:rPr>
      </w:pPr>
    </w:p>
    <w:p w:rsidR="00432247" w:rsidRPr="00432247" w:rsidRDefault="00432247" w:rsidP="00432247">
      <w:pPr>
        <w:spacing w:after="0" w:line="240" w:lineRule="auto"/>
        <w:ind w:left="360"/>
        <w:jc w:val="center"/>
        <w:rPr>
          <w:rFonts w:ascii="Times New Roman" w:eastAsia="Calibri" w:hAnsi="Times New Roman" w:cs="Times New Roman"/>
          <w:b/>
          <w:bCs/>
          <w:sz w:val="28"/>
          <w:szCs w:val="28"/>
          <w:lang w:val="lv-LV" w:eastAsia="lv-LV"/>
        </w:rPr>
      </w:pPr>
      <w:r w:rsidRPr="00432247">
        <w:rPr>
          <w:rFonts w:ascii="Times New Roman" w:eastAsia="Calibri" w:hAnsi="Times New Roman" w:cs="Times New Roman"/>
          <w:b/>
          <w:bCs/>
          <w:sz w:val="28"/>
          <w:szCs w:val="28"/>
          <w:lang w:val="lv-LV" w:eastAsia="lv-LV"/>
        </w:rPr>
        <w:lastRenderedPageBreak/>
        <w:t>II Situācijas raksturojums</w:t>
      </w:r>
    </w:p>
    <w:p w:rsidR="00432247" w:rsidRPr="00432247" w:rsidRDefault="00432247" w:rsidP="00432247">
      <w:pPr>
        <w:spacing w:after="0" w:line="240" w:lineRule="auto"/>
        <w:ind w:left="360"/>
        <w:jc w:val="both"/>
        <w:rPr>
          <w:rFonts w:ascii="Times New Roman" w:eastAsia="Calibri" w:hAnsi="Times New Roman" w:cs="Times New Roman"/>
          <w:sz w:val="28"/>
          <w:szCs w:val="28"/>
          <w:lang w:val="lv-LV" w:eastAsia="lv-LV"/>
        </w:rPr>
      </w:pPr>
    </w:p>
    <w:p w:rsidR="00432247" w:rsidRPr="00432247" w:rsidRDefault="00432247" w:rsidP="00CC4175">
      <w:pPr>
        <w:spacing w:after="0" w:line="240" w:lineRule="auto"/>
        <w:ind w:right="-96" w:firstLine="720"/>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Saskaņā ar KPL 386.pantu izmeklēšanu savas kompetences ietvaros veic VP, DP, VID FPP, MP, IeVP, KNAB, VRS, muitas iestādes, tālbraucienos esošu jūras kuģu kapteiņi un ārvalsts teritorijā esošas Latvijas Nacionālo bruņoto spēku vienības komandieris.</w:t>
      </w:r>
    </w:p>
    <w:p w:rsidR="00432247" w:rsidRPr="00432247" w:rsidRDefault="00432247" w:rsidP="00CC4175">
      <w:pPr>
        <w:spacing w:after="0" w:line="240" w:lineRule="auto"/>
        <w:ind w:right="-96"/>
        <w:jc w:val="both"/>
        <w:rPr>
          <w:rFonts w:ascii="Times New Roman" w:eastAsia="Calibri" w:hAnsi="Times New Roman" w:cs="Times New Roman"/>
          <w:sz w:val="28"/>
          <w:szCs w:val="28"/>
          <w:lang w:val="lv-LV" w:eastAsia="lv-LV"/>
        </w:rPr>
      </w:pPr>
      <w:r w:rsidRPr="00432247">
        <w:rPr>
          <w:rFonts w:ascii="Times New Roman" w:eastAsia="Calibri" w:hAnsi="Times New Roman" w:cs="Times New Roman"/>
          <w:sz w:val="28"/>
          <w:szCs w:val="28"/>
          <w:lang w:val="lv-LV" w:eastAsia="lv-LV"/>
        </w:rPr>
        <w:t xml:space="preserve"> </w:t>
      </w:r>
      <w:r w:rsidRPr="00432247">
        <w:rPr>
          <w:rFonts w:ascii="Times New Roman" w:eastAsia="Calibri" w:hAnsi="Times New Roman" w:cs="Times New Roman"/>
          <w:sz w:val="28"/>
          <w:szCs w:val="28"/>
          <w:lang w:val="lv-LV" w:eastAsia="lv-LV"/>
        </w:rPr>
        <w:tab/>
        <w:t>KPL 14.panta otrajā daļā ir noteikts, ka procesa virzītājs izvēlas konkrētiem apstākļiem atbilstošo vienkāršāko kriminālprocesa veidu un nepieļauj neattaisnotu iejaukšanos personas dzīvē un nepamatotus izdevumus. Savukārt KPL 37.panta otrās daļas 7.punkts nosaka, ka izmeklēšanu uzraugošajam prokuroram nekavējoties ir jāpārņem kriminālprocesa vadīšanu, kad izmeklēšanā iegūti pietiekami pierādījumi krimināltiesisko attiecību taisnīgai noregulēšanai.</w:t>
      </w:r>
    </w:p>
    <w:p w:rsidR="00432247" w:rsidRPr="00432247" w:rsidRDefault="00432247" w:rsidP="00CC4175">
      <w:pPr>
        <w:spacing w:after="0" w:line="240" w:lineRule="auto"/>
        <w:ind w:right="-96" w:firstLine="720"/>
        <w:jc w:val="both"/>
        <w:rPr>
          <w:rFonts w:ascii="Times New Roman" w:eastAsia="Calibri" w:hAnsi="Times New Roman" w:cs="Times New Roman"/>
          <w:color w:val="000000"/>
          <w:sz w:val="28"/>
          <w:szCs w:val="28"/>
          <w:lang w:val="lv-LV" w:eastAsia="lv-LV"/>
        </w:rPr>
      </w:pPr>
      <w:r w:rsidRPr="00432247">
        <w:rPr>
          <w:rFonts w:ascii="Times New Roman" w:eastAsia="Calibri" w:hAnsi="Times New Roman" w:cs="Times New Roman"/>
          <w:sz w:val="28"/>
          <w:szCs w:val="28"/>
          <w:lang w:val="lv-LV" w:eastAsia="lv-LV"/>
        </w:rPr>
        <w:t xml:space="preserve">Konstatēts, ka izmeklēšanas iestāžu darbības kvalitāti ietekmē vairāki ārējie un iekšējie faktori un vispārēja izmeklēšanas kvalitātes paaugstināšana nevar būt </w:t>
      </w:r>
      <w:r w:rsidRPr="00432247">
        <w:rPr>
          <w:rFonts w:ascii="Times New Roman" w:eastAsia="Calibri" w:hAnsi="Times New Roman" w:cs="Times New Roman"/>
          <w:color w:val="000000"/>
          <w:sz w:val="28"/>
          <w:szCs w:val="28"/>
          <w:lang w:val="lv-LV" w:eastAsia="lv-LV"/>
        </w:rPr>
        <w:t>situatīva rakstura un saistīta tikai ar atsevišķi identificētām problēmsituācijām. Izmeklēšanas procesa kvalitātes nodrošināšana ietver sevī organizatorisku un</w:t>
      </w:r>
      <w:r w:rsidR="002627DE">
        <w:rPr>
          <w:rFonts w:ascii="Times New Roman" w:eastAsia="Calibri" w:hAnsi="Times New Roman" w:cs="Times New Roman"/>
          <w:color w:val="000000"/>
          <w:sz w:val="28"/>
          <w:szCs w:val="28"/>
          <w:lang w:val="lv-LV" w:eastAsia="lv-LV"/>
        </w:rPr>
        <w:t xml:space="preserve"> tehnisku pasākumu kopumu, kas </w:t>
      </w:r>
      <w:r w:rsidRPr="00432247">
        <w:rPr>
          <w:rFonts w:ascii="Times New Roman" w:eastAsia="Calibri" w:hAnsi="Times New Roman" w:cs="Times New Roman"/>
          <w:color w:val="000000"/>
          <w:sz w:val="28"/>
          <w:szCs w:val="28"/>
          <w:lang w:val="lv-LV" w:eastAsia="lv-LV"/>
        </w:rPr>
        <w:t>nodrošina saskaņotu un pamatotu rīcību, darbības un līdzekļus kvalitātes, stabilitātes un likumības nodrošināšanai kriminālprocesa laikā, ievērojot personai noteiktās konstitucionālās</w:t>
      </w:r>
      <w:r w:rsidR="00DF25C4" w:rsidRPr="008F57BE">
        <w:rPr>
          <w:rFonts w:ascii="Times New Roman" w:eastAsia="Calibri" w:hAnsi="Times New Roman" w:cs="Times New Roman"/>
          <w:sz w:val="28"/>
          <w:szCs w:val="28"/>
          <w:lang w:val="lv-LV" w:eastAsia="lv-LV"/>
        </w:rPr>
        <w:t>,</w:t>
      </w:r>
      <w:r w:rsidRPr="008F57BE">
        <w:rPr>
          <w:rFonts w:ascii="Times New Roman" w:eastAsia="Calibri" w:hAnsi="Times New Roman" w:cs="Times New Roman"/>
          <w:sz w:val="28"/>
          <w:szCs w:val="28"/>
          <w:lang w:val="lv-LV" w:eastAsia="lv-LV"/>
        </w:rPr>
        <w:t xml:space="preserve"> </w:t>
      </w:r>
      <w:r w:rsidR="00703B8E" w:rsidRPr="008F57BE">
        <w:rPr>
          <w:rFonts w:ascii="Times New Roman" w:eastAsia="Calibri" w:hAnsi="Times New Roman" w:cs="Times New Roman"/>
          <w:sz w:val="28"/>
          <w:szCs w:val="28"/>
          <w:lang w:val="lv-LV" w:eastAsia="lv-LV"/>
        </w:rPr>
        <w:t>t</w:t>
      </w:r>
      <w:r w:rsidR="005F7F75" w:rsidRPr="008F57BE">
        <w:rPr>
          <w:rFonts w:ascii="Times New Roman" w:eastAsia="Calibri" w:hAnsi="Times New Roman" w:cs="Times New Roman"/>
          <w:sz w:val="28"/>
          <w:szCs w:val="28"/>
          <w:lang w:val="lv-LV" w:eastAsia="lv-LV"/>
        </w:rPr>
        <w:t>.</w:t>
      </w:r>
      <w:r w:rsidR="00703B8E" w:rsidRPr="008F57BE">
        <w:rPr>
          <w:rFonts w:ascii="Times New Roman" w:eastAsia="Calibri" w:hAnsi="Times New Roman" w:cs="Times New Roman"/>
          <w:sz w:val="28"/>
          <w:szCs w:val="28"/>
          <w:lang w:val="lv-LV" w:eastAsia="lv-LV"/>
        </w:rPr>
        <w:t>sk</w:t>
      </w:r>
      <w:r w:rsidR="005F7F75" w:rsidRPr="008F57BE">
        <w:rPr>
          <w:rFonts w:ascii="Times New Roman" w:eastAsia="Calibri" w:hAnsi="Times New Roman" w:cs="Times New Roman"/>
          <w:sz w:val="28"/>
          <w:szCs w:val="28"/>
          <w:lang w:val="lv-LV" w:eastAsia="lv-LV"/>
        </w:rPr>
        <w:t>.</w:t>
      </w:r>
      <w:r w:rsidRPr="008F57BE">
        <w:rPr>
          <w:rFonts w:ascii="Times New Roman" w:eastAsia="Calibri" w:hAnsi="Times New Roman" w:cs="Times New Roman"/>
          <w:sz w:val="28"/>
          <w:szCs w:val="28"/>
          <w:lang w:val="lv-LV" w:eastAsia="lv-LV"/>
        </w:rPr>
        <w:t xml:space="preserve"> </w:t>
      </w:r>
      <w:r w:rsidRPr="00432247">
        <w:rPr>
          <w:rFonts w:ascii="Times New Roman" w:eastAsia="Calibri" w:hAnsi="Times New Roman" w:cs="Times New Roman"/>
          <w:color w:val="000000"/>
          <w:sz w:val="28"/>
          <w:szCs w:val="28"/>
          <w:lang w:val="lv-LV" w:eastAsia="lv-LV"/>
        </w:rPr>
        <w:t>cilvēktiesības.</w:t>
      </w:r>
    </w:p>
    <w:p w:rsidR="00A14A79" w:rsidRPr="0068642B" w:rsidRDefault="00A14A79" w:rsidP="00CC4175">
      <w:pPr>
        <w:spacing w:after="0" w:line="240" w:lineRule="auto"/>
        <w:ind w:right="-96" w:firstLine="720"/>
        <w:jc w:val="both"/>
        <w:rPr>
          <w:rFonts w:ascii="Times New Roman" w:eastAsia="Calibri" w:hAnsi="Times New Roman" w:cs="Times New Roman"/>
          <w:sz w:val="28"/>
          <w:szCs w:val="28"/>
          <w:lang w:val="lv-LV" w:eastAsia="lv-LV"/>
        </w:rPr>
      </w:pPr>
      <w:r w:rsidRPr="0068642B">
        <w:rPr>
          <w:rFonts w:ascii="Times New Roman" w:eastAsia="Calibri" w:hAnsi="Times New Roman" w:cs="Times New Roman"/>
          <w:sz w:val="28"/>
          <w:szCs w:val="28"/>
          <w:lang w:val="lv-LV" w:eastAsia="lv-LV"/>
        </w:rPr>
        <w:t>Būtiski, lai izmeklētājiem, prokuroriem un tiesnešiem būtu vienota izpratne par krimināltiesisko un kriminālprocesuālo normu piemērošanu, tostarp pierādījumu kopumu (</w:t>
      </w:r>
      <w:r w:rsidR="0043475A">
        <w:rPr>
          <w:rFonts w:ascii="Times New Roman" w:eastAsia="Calibri" w:hAnsi="Times New Roman" w:cs="Times New Roman"/>
          <w:sz w:val="28"/>
          <w:szCs w:val="28"/>
          <w:lang w:val="lv-LV" w:eastAsia="lv-LV"/>
        </w:rPr>
        <w:t xml:space="preserve">apjomu), kas nepieciešams, lai </w:t>
      </w:r>
      <w:r w:rsidRPr="0068642B">
        <w:rPr>
          <w:rFonts w:ascii="Times New Roman" w:eastAsia="Calibri" w:hAnsi="Times New Roman" w:cs="Times New Roman"/>
          <w:sz w:val="28"/>
          <w:szCs w:val="28"/>
          <w:lang w:val="lv-LV" w:eastAsia="lv-LV"/>
        </w:rPr>
        <w:t xml:space="preserve">prokurors varētu </w:t>
      </w:r>
      <w:r w:rsidR="00A77471" w:rsidRPr="0068642B">
        <w:rPr>
          <w:rFonts w:ascii="Times New Roman" w:eastAsia="Calibri" w:hAnsi="Times New Roman" w:cs="Times New Roman"/>
          <w:sz w:val="28"/>
          <w:szCs w:val="28"/>
          <w:lang w:val="lv-LV" w:eastAsia="lv-LV"/>
        </w:rPr>
        <w:t>person</w:t>
      </w:r>
      <w:r w:rsidR="00A77471">
        <w:rPr>
          <w:rFonts w:ascii="Times New Roman" w:eastAsia="Calibri" w:hAnsi="Times New Roman" w:cs="Times New Roman"/>
          <w:sz w:val="28"/>
          <w:szCs w:val="28"/>
          <w:lang w:val="lv-LV" w:eastAsia="lv-LV"/>
        </w:rPr>
        <w:t xml:space="preserve">ai izvirzīt </w:t>
      </w:r>
      <w:r w:rsidRPr="0068642B">
        <w:rPr>
          <w:rFonts w:ascii="Times New Roman" w:eastAsia="Calibri" w:hAnsi="Times New Roman" w:cs="Times New Roman"/>
          <w:sz w:val="28"/>
          <w:szCs w:val="28"/>
          <w:lang w:val="lv-LV" w:eastAsia="lv-LV"/>
        </w:rPr>
        <w:t>apsūdz</w:t>
      </w:r>
      <w:r w:rsidR="00A77471">
        <w:rPr>
          <w:rFonts w:ascii="Times New Roman" w:eastAsia="Calibri" w:hAnsi="Times New Roman" w:cs="Times New Roman"/>
          <w:sz w:val="28"/>
          <w:szCs w:val="28"/>
          <w:lang w:val="lv-LV" w:eastAsia="lv-LV"/>
        </w:rPr>
        <w:t xml:space="preserve">ību </w:t>
      </w:r>
      <w:r w:rsidRPr="0068642B">
        <w:rPr>
          <w:rFonts w:ascii="Times New Roman" w:eastAsia="Calibri" w:hAnsi="Times New Roman" w:cs="Times New Roman"/>
          <w:sz w:val="28"/>
          <w:szCs w:val="28"/>
          <w:lang w:val="lv-LV" w:eastAsia="lv-LV"/>
        </w:rPr>
        <w:t>un pārliecināt tiesu, ka nepastāv saprātīgas šaubas par šīs personas vainu.</w:t>
      </w:r>
    </w:p>
    <w:p w:rsidR="00432247" w:rsidRDefault="00432247" w:rsidP="00CC4175">
      <w:pPr>
        <w:spacing w:after="0" w:line="240" w:lineRule="auto"/>
        <w:ind w:right="-96"/>
        <w:jc w:val="both"/>
        <w:rPr>
          <w:rFonts w:ascii="Times New Roman" w:eastAsia="Calibri" w:hAnsi="Times New Roman" w:cs="Times New Roman"/>
          <w:color w:val="000000"/>
          <w:sz w:val="28"/>
          <w:szCs w:val="28"/>
          <w:lang w:val="lv-LV" w:eastAsia="lv-LV"/>
        </w:rPr>
      </w:pPr>
      <w:r w:rsidRPr="00432247">
        <w:rPr>
          <w:rFonts w:ascii="Times New Roman" w:eastAsia="Calibri" w:hAnsi="Times New Roman" w:cs="Times New Roman"/>
          <w:sz w:val="28"/>
          <w:szCs w:val="28"/>
          <w:lang w:val="lv-LV" w:eastAsia="lv-LV"/>
        </w:rPr>
        <w:tab/>
      </w:r>
      <w:r w:rsidRPr="00432247">
        <w:rPr>
          <w:rFonts w:ascii="Times New Roman" w:eastAsia="Calibri" w:hAnsi="Times New Roman" w:cs="Times New Roman"/>
          <w:color w:val="000000"/>
          <w:sz w:val="28"/>
          <w:szCs w:val="28"/>
          <w:lang w:val="lv-LV" w:eastAsia="lv-LV"/>
        </w:rPr>
        <w:t>Kā galvenos cēloņus izmeklēšanas kvalitātes pazemināšanai izmeklēšanas iestādēs min lielo personāla mainību un tā nepietiekošo profesionālo sagatavotību. Lai novērstu šos cēloņus, būtu jāveic pasākumi pievilcīgākas un atbilstoši motivējošas izmeklētāju darba vides nodrošināšanai. Prakse rāda, ka šobrīd pastāvoša motivēšanas sistēma izmeklēšanas iestādēs ir samērā neefektīva.</w:t>
      </w:r>
    </w:p>
    <w:p w:rsidR="00FB57AA" w:rsidRPr="00593169" w:rsidRDefault="00501044" w:rsidP="00FB57AA">
      <w:pPr>
        <w:pStyle w:val="NoSpacing"/>
        <w:ind w:right="-96"/>
        <w:jc w:val="both"/>
        <w:rPr>
          <w:rFonts w:ascii="Times New Roman" w:hAnsi="Times New Roman" w:cs="Times New Roman"/>
          <w:sz w:val="28"/>
          <w:szCs w:val="28"/>
          <w:u w:val="single"/>
          <w:lang w:val="lv-LV"/>
        </w:rPr>
      </w:pPr>
      <w:r w:rsidRPr="0068642B">
        <w:rPr>
          <w:sz w:val="24"/>
          <w:szCs w:val="24"/>
          <w:lang w:val="lv-LV"/>
        </w:rPr>
        <w:t xml:space="preserve">           </w:t>
      </w:r>
      <w:r w:rsidR="00DB0B8B">
        <w:rPr>
          <w:rFonts w:ascii="Times New Roman" w:hAnsi="Times New Roman" w:cs="Times New Roman"/>
          <w:sz w:val="28"/>
          <w:szCs w:val="28"/>
          <w:lang w:val="lv-LV"/>
        </w:rPr>
        <w:t>Pašreiz Iekšlietu ministrija</w:t>
      </w:r>
      <w:r w:rsidR="00F2472C" w:rsidRPr="00FB57AA">
        <w:rPr>
          <w:rFonts w:ascii="Times New Roman" w:hAnsi="Times New Roman" w:cs="Times New Roman"/>
          <w:sz w:val="28"/>
          <w:szCs w:val="28"/>
          <w:lang w:val="lv-LV"/>
        </w:rPr>
        <w:t xml:space="preserve"> </w:t>
      </w:r>
      <w:r w:rsidRPr="00FB57AA">
        <w:rPr>
          <w:rFonts w:ascii="Times New Roman" w:hAnsi="Times New Roman" w:cs="Times New Roman"/>
          <w:sz w:val="28"/>
          <w:szCs w:val="28"/>
          <w:lang w:val="lv-LV"/>
        </w:rPr>
        <w:t>sadarbībā ar citām institūcijām</w:t>
      </w:r>
      <w:r w:rsidR="00FB57AA" w:rsidRPr="00FB57AA">
        <w:rPr>
          <w:rFonts w:ascii="Times New Roman" w:hAnsi="Times New Roman" w:cs="Times New Roman"/>
          <w:sz w:val="28"/>
          <w:szCs w:val="28"/>
          <w:lang w:val="lv-LV"/>
        </w:rPr>
        <w:t>,</w:t>
      </w:r>
      <w:r w:rsidRPr="00FB57AA">
        <w:rPr>
          <w:rFonts w:ascii="Times New Roman" w:hAnsi="Times New Roman" w:cs="Times New Roman"/>
          <w:sz w:val="28"/>
          <w:szCs w:val="28"/>
          <w:lang w:val="lv-LV"/>
        </w:rPr>
        <w:t xml:space="preserve"> </w:t>
      </w:r>
      <w:r w:rsidR="00FB57AA" w:rsidRPr="00593169">
        <w:rPr>
          <w:rFonts w:ascii="Times New Roman" w:hAnsi="Times New Roman" w:cs="Times New Roman"/>
          <w:sz w:val="28"/>
          <w:szCs w:val="28"/>
          <w:u w:val="single"/>
          <w:lang w:val="lv-LV" w:eastAsia="lv-LV"/>
        </w:rPr>
        <w:t>izpildot ar M</w:t>
      </w:r>
      <w:r w:rsidR="00DA137A">
        <w:rPr>
          <w:rFonts w:ascii="Times New Roman" w:hAnsi="Times New Roman" w:cs="Times New Roman"/>
          <w:sz w:val="28"/>
          <w:szCs w:val="28"/>
          <w:u w:val="single"/>
          <w:lang w:val="lv-LV" w:eastAsia="lv-LV"/>
        </w:rPr>
        <w:t>K</w:t>
      </w:r>
      <w:r w:rsidR="00FB57AA" w:rsidRPr="00593169">
        <w:rPr>
          <w:rFonts w:ascii="Times New Roman" w:hAnsi="Times New Roman" w:cs="Times New Roman"/>
          <w:sz w:val="28"/>
          <w:szCs w:val="28"/>
          <w:u w:val="single"/>
          <w:lang w:val="lv-LV" w:eastAsia="lv-LV"/>
        </w:rPr>
        <w:t xml:space="preserve"> 2012.gada 16.februāra rīkojumu Nr.84 apstiprinātā Valdības rīcības plāna Deklarācijas par Valda Dombrovska vadītā Ministru kabineta iecerēto darbību īstenošanai doto uzdevumu, </w:t>
      </w:r>
      <w:r w:rsidRPr="00FB57AA">
        <w:rPr>
          <w:rFonts w:ascii="Times New Roman" w:hAnsi="Times New Roman" w:cs="Times New Roman"/>
          <w:sz w:val="28"/>
          <w:szCs w:val="28"/>
          <w:lang w:val="lv-LV"/>
        </w:rPr>
        <w:t>turpina darbu pie ja</w:t>
      </w:r>
      <w:r w:rsidR="002627DE">
        <w:rPr>
          <w:rFonts w:ascii="Times New Roman" w:hAnsi="Times New Roman" w:cs="Times New Roman"/>
          <w:sz w:val="28"/>
          <w:szCs w:val="28"/>
          <w:lang w:val="lv-LV"/>
        </w:rPr>
        <w:t>unas darba samaksas sistēmas Iekšlietu ministrijas sistēmas iestāžu un Ieslodzījuma vietu pārvaldes</w:t>
      </w:r>
      <w:r w:rsidRPr="00FB57AA">
        <w:rPr>
          <w:rFonts w:ascii="Times New Roman" w:hAnsi="Times New Roman" w:cs="Times New Roman"/>
          <w:sz w:val="28"/>
          <w:szCs w:val="28"/>
          <w:lang w:val="lv-LV"/>
        </w:rPr>
        <w:t xml:space="preserve"> amatpersonām ar speciālajām dienesta pakāpēm izstrādes, paredzot mēnešalgu noteikt atbilstoši veicamajiem dienesta uzdevumiem un ieņemamajam amatam, samazinot </w:t>
      </w:r>
      <w:r w:rsidR="00F2472C" w:rsidRPr="00593169">
        <w:rPr>
          <w:rFonts w:ascii="Times New Roman" w:hAnsi="Times New Roman" w:cs="Times New Roman"/>
          <w:sz w:val="28"/>
          <w:szCs w:val="28"/>
          <w:u w:val="single"/>
          <w:lang w:val="lv-LV"/>
        </w:rPr>
        <w:t xml:space="preserve">vairāku </w:t>
      </w:r>
      <w:r w:rsidRPr="00FB57AA">
        <w:rPr>
          <w:rFonts w:ascii="Times New Roman" w:hAnsi="Times New Roman" w:cs="Times New Roman"/>
          <w:sz w:val="28"/>
          <w:szCs w:val="28"/>
          <w:lang w:val="lv-LV"/>
        </w:rPr>
        <w:t>speciālo piemaksu veidus</w:t>
      </w:r>
      <w:r w:rsidR="00F2472C" w:rsidRPr="00FB57AA">
        <w:rPr>
          <w:rFonts w:ascii="Times New Roman" w:hAnsi="Times New Roman" w:cs="Times New Roman"/>
          <w:sz w:val="28"/>
          <w:szCs w:val="28"/>
          <w:lang w:val="lv-LV"/>
        </w:rPr>
        <w:t xml:space="preserve">, </w:t>
      </w:r>
      <w:r w:rsidR="00F2472C" w:rsidRPr="00593169">
        <w:rPr>
          <w:rFonts w:ascii="Times New Roman" w:hAnsi="Times New Roman" w:cs="Times New Roman"/>
          <w:sz w:val="28"/>
          <w:szCs w:val="28"/>
          <w:u w:val="single"/>
          <w:lang w:val="lv-LV"/>
        </w:rPr>
        <w:t>kas sastāda ievērojamu amatperson</w:t>
      </w:r>
      <w:r w:rsidR="00FB57AA" w:rsidRPr="00593169">
        <w:rPr>
          <w:rFonts w:ascii="Times New Roman" w:hAnsi="Times New Roman" w:cs="Times New Roman"/>
          <w:sz w:val="28"/>
          <w:szCs w:val="28"/>
          <w:u w:val="single"/>
          <w:lang w:val="lv-LV"/>
        </w:rPr>
        <w:t>as</w:t>
      </w:r>
      <w:r w:rsidR="00F2472C" w:rsidRPr="00593169">
        <w:rPr>
          <w:rFonts w:ascii="Times New Roman" w:hAnsi="Times New Roman" w:cs="Times New Roman"/>
          <w:sz w:val="28"/>
          <w:szCs w:val="28"/>
          <w:u w:val="single"/>
          <w:lang w:val="lv-LV"/>
        </w:rPr>
        <w:t xml:space="preserve"> atlīdzības daļu</w:t>
      </w:r>
      <w:r w:rsidRPr="00593169">
        <w:rPr>
          <w:rFonts w:ascii="Times New Roman" w:hAnsi="Times New Roman" w:cs="Times New Roman"/>
          <w:sz w:val="28"/>
          <w:szCs w:val="28"/>
          <w:u w:val="single"/>
          <w:lang w:val="lv-LV"/>
        </w:rPr>
        <w:t>.</w:t>
      </w:r>
      <w:r w:rsidRPr="00FB57AA">
        <w:rPr>
          <w:rFonts w:ascii="Times New Roman" w:hAnsi="Times New Roman" w:cs="Times New Roman"/>
          <w:b/>
          <w:sz w:val="28"/>
          <w:szCs w:val="28"/>
          <w:lang w:val="lv-LV"/>
        </w:rPr>
        <w:t xml:space="preserve"> </w:t>
      </w:r>
      <w:r w:rsidRPr="00FB57AA">
        <w:rPr>
          <w:rFonts w:ascii="Times New Roman" w:hAnsi="Times New Roman" w:cs="Times New Roman"/>
          <w:sz w:val="28"/>
          <w:szCs w:val="28"/>
          <w:lang w:val="lv-LV"/>
        </w:rPr>
        <w:t xml:space="preserve">Izvērtējot esošo sistēmu, tika secināts, ka pastāvošās atlīdzības sistēmas darbības pamatprincipus ir nepieciešams </w:t>
      </w:r>
      <w:r w:rsidR="000E2257" w:rsidRPr="0050705C">
        <w:rPr>
          <w:rFonts w:ascii="Times New Roman" w:hAnsi="Times New Roman" w:cs="Times New Roman"/>
          <w:sz w:val="28"/>
          <w:szCs w:val="28"/>
          <w:lang w:val="lv-LV"/>
        </w:rPr>
        <w:t>grozīt</w:t>
      </w:r>
      <w:r w:rsidR="0075795C" w:rsidRPr="0050705C">
        <w:rPr>
          <w:rFonts w:ascii="Times New Roman" w:hAnsi="Times New Roman" w:cs="Times New Roman"/>
          <w:sz w:val="28"/>
          <w:szCs w:val="28"/>
          <w:lang w:val="lv-LV"/>
        </w:rPr>
        <w:t>,</w:t>
      </w:r>
      <w:r w:rsidRPr="0050705C">
        <w:rPr>
          <w:rFonts w:ascii="Times New Roman" w:hAnsi="Times New Roman" w:cs="Times New Roman"/>
          <w:sz w:val="28"/>
          <w:szCs w:val="28"/>
          <w:lang w:val="lv-LV"/>
        </w:rPr>
        <w:t xml:space="preserve"> </w:t>
      </w:r>
      <w:r w:rsidRPr="00FB57AA">
        <w:rPr>
          <w:rFonts w:ascii="Times New Roman" w:hAnsi="Times New Roman" w:cs="Times New Roman"/>
          <w:sz w:val="28"/>
          <w:szCs w:val="28"/>
          <w:lang w:val="lv-LV"/>
        </w:rPr>
        <w:t xml:space="preserve">nosakot, ka veicamie pienākumi un atbildības apjoms ir galvenie kritēriji atlīdzības noteikšanai nevis ieņemamais amats kā tas ir iestrādāts spēkā esošajos </w:t>
      </w:r>
      <w:r w:rsidRPr="00FB57AA">
        <w:rPr>
          <w:rFonts w:ascii="Times New Roman" w:hAnsi="Times New Roman" w:cs="Times New Roman"/>
          <w:sz w:val="28"/>
          <w:szCs w:val="28"/>
          <w:lang w:val="lv-LV"/>
        </w:rPr>
        <w:lastRenderedPageBreak/>
        <w:t>normatīvajos aktos.</w:t>
      </w:r>
      <w:r w:rsidR="00023E3F" w:rsidRPr="00FB57AA">
        <w:rPr>
          <w:rFonts w:ascii="Times New Roman" w:hAnsi="Times New Roman" w:cs="Times New Roman"/>
          <w:sz w:val="28"/>
          <w:szCs w:val="28"/>
          <w:lang w:val="lv-LV"/>
        </w:rPr>
        <w:t xml:space="preserve"> </w:t>
      </w:r>
      <w:r w:rsidR="00FB57AA" w:rsidRPr="00593169">
        <w:rPr>
          <w:rFonts w:ascii="Times New Roman" w:hAnsi="Times New Roman" w:cs="Times New Roman"/>
          <w:sz w:val="28"/>
          <w:szCs w:val="28"/>
          <w:u w:val="single"/>
          <w:lang w:val="lv-LV"/>
        </w:rPr>
        <w:t xml:space="preserve">Bez tam, esošajā mēnešalgu regulējumā konstatētas arī šādas problēmas, kas sarežģī mēnešalgas diferencēšanu atbilstoši amatpersonas </w:t>
      </w:r>
      <w:r w:rsidR="001D0D97">
        <w:rPr>
          <w:rFonts w:ascii="Times New Roman" w:hAnsi="Times New Roman" w:cs="Times New Roman"/>
          <w:sz w:val="28"/>
          <w:szCs w:val="28"/>
          <w:u w:val="single"/>
          <w:lang w:val="lv-LV"/>
        </w:rPr>
        <w:t xml:space="preserve">ar speciālo dienesta pakāpi </w:t>
      </w:r>
      <w:r w:rsidR="00FB57AA" w:rsidRPr="00593169">
        <w:rPr>
          <w:rFonts w:ascii="Times New Roman" w:hAnsi="Times New Roman" w:cs="Times New Roman"/>
          <w:sz w:val="28"/>
          <w:szCs w:val="28"/>
          <w:u w:val="single"/>
          <w:lang w:val="lv-LV"/>
        </w:rPr>
        <w:t>atbildības līmenim un veicamajiem pienākumiem:</w:t>
      </w:r>
    </w:p>
    <w:p w:rsidR="00FB57AA" w:rsidRPr="00593169" w:rsidRDefault="00FB57AA" w:rsidP="00FB57AA">
      <w:pPr>
        <w:pStyle w:val="NoSpacing"/>
        <w:numPr>
          <w:ilvl w:val="0"/>
          <w:numId w:val="7"/>
        </w:numPr>
        <w:jc w:val="both"/>
        <w:rPr>
          <w:rFonts w:ascii="Times New Roman" w:hAnsi="Times New Roman" w:cs="Times New Roman"/>
          <w:sz w:val="28"/>
          <w:szCs w:val="28"/>
          <w:u w:val="single"/>
          <w:lang w:val="lv-LV"/>
        </w:rPr>
      </w:pPr>
      <w:r w:rsidRPr="00593169">
        <w:rPr>
          <w:rFonts w:ascii="Times New Roman" w:hAnsi="Times New Roman" w:cs="Times New Roman"/>
          <w:sz w:val="28"/>
          <w:szCs w:val="28"/>
          <w:u w:val="single"/>
          <w:lang w:val="lv-LV"/>
        </w:rPr>
        <w:t>mēnešalgu skalas „pārklāšanās” starp amatu kategorijām un līmeņiem;</w:t>
      </w:r>
    </w:p>
    <w:p w:rsidR="00FB57AA" w:rsidRPr="00593169" w:rsidRDefault="00FB57AA" w:rsidP="00FB57AA">
      <w:pPr>
        <w:pStyle w:val="NoSpacing"/>
        <w:numPr>
          <w:ilvl w:val="0"/>
          <w:numId w:val="7"/>
        </w:numPr>
        <w:jc w:val="both"/>
        <w:rPr>
          <w:rFonts w:ascii="Times New Roman" w:hAnsi="Times New Roman" w:cs="Times New Roman"/>
          <w:sz w:val="28"/>
          <w:szCs w:val="28"/>
          <w:u w:val="single"/>
          <w:lang w:val="lv-LV"/>
        </w:rPr>
      </w:pPr>
      <w:r w:rsidRPr="00593169">
        <w:rPr>
          <w:rFonts w:ascii="Times New Roman" w:hAnsi="Times New Roman" w:cs="Times New Roman"/>
          <w:sz w:val="28"/>
          <w:szCs w:val="28"/>
          <w:u w:val="single"/>
          <w:lang w:val="lv-LV"/>
        </w:rPr>
        <w:t>pārāk plašs mēnešalgu diapazons vienam amatam.</w:t>
      </w:r>
    </w:p>
    <w:p w:rsidR="00501044" w:rsidRPr="00593169" w:rsidRDefault="00A906E9" w:rsidP="00CC4175">
      <w:pPr>
        <w:spacing w:after="0" w:line="240" w:lineRule="auto"/>
        <w:ind w:right="-96" w:firstLine="720"/>
        <w:jc w:val="both"/>
        <w:rPr>
          <w:rFonts w:ascii="Times New Roman" w:hAnsi="Times New Roman" w:cs="Times New Roman"/>
          <w:sz w:val="28"/>
          <w:szCs w:val="28"/>
          <w:u w:val="single"/>
          <w:lang w:val="lv-LV"/>
        </w:rPr>
      </w:pPr>
      <w:r w:rsidRPr="00593169">
        <w:rPr>
          <w:rFonts w:ascii="Times New Roman" w:hAnsi="Times New Roman" w:cs="Times New Roman"/>
          <w:sz w:val="28"/>
          <w:szCs w:val="28"/>
          <w:u w:val="single"/>
          <w:lang w:val="lv-LV"/>
        </w:rPr>
        <w:t>Lai radītu pamatu jaunas atlīdzības sistēmas turpmākai ieviešanai, kura būtu attiecināma tikai uz amatpersonām ar s</w:t>
      </w:r>
      <w:r w:rsidR="002627DE">
        <w:rPr>
          <w:rFonts w:ascii="Times New Roman" w:hAnsi="Times New Roman" w:cs="Times New Roman"/>
          <w:sz w:val="28"/>
          <w:szCs w:val="28"/>
          <w:u w:val="single"/>
          <w:lang w:val="lv-LV"/>
        </w:rPr>
        <w:t>peciālajām dienesta pakāpēm, Iekšlietu ministrija</w:t>
      </w:r>
      <w:r w:rsidRPr="00593169">
        <w:rPr>
          <w:rFonts w:ascii="Times New Roman" w:hAnsi="Times New Roman" w:cs="Times New Roman"/>
          <w:sz w:val="28"/>
          <w:szCs w:val="28"/>
          <w:u w:val="single"/>
          <w:lang w:val="lv-LV"/>
        </w:rPr>
        <w:t xml:space="preserve"> turpina darbu pie atbalsta funkciju amatu ar speciālajām dienesta pakāpēm pārveidošanu par darbinieku amatiem, kas veicinās arī taisnīgu sociālo garantiju sistēmu dienestos.</w:t>
      </w:r>
    </w:p>
    <w:p w:rsidR="00FB57AA" w:rsidRPr="00593169" w:rsidRDefault="00FB57AA" w:rsidP="00C31815">
      <w:pPr>
        <w:spacing w:after="0" w:line="240" w:lineRule="auto"/>
        <w:ind w:right="-96" w:firstLine="720"/>
        <w:jc w:val="both"/>
        <w:rPr>
          <w:rFonts w:ascii="Times New Roman" w:hAnsi="Times New Roman"/>
          <w:sz w:val="28"/>
          <w:szCs w:val="28"/>
          <w:u w:val="single"/>
          <w:lang w:val="lv-LV"/>
        </w:rPr>
      </w:pPr>
      <w:r w:rsidRPr="00593169">
        <w:rPr>
          <w:rFonts w:ascii="Times New Roman" w:hAnsi="Times New Roman"/>
          <w:sz w:val="28"/>
          <w:szCs w:val="28"/>
          <w:u w:val="single"/>
          <w:lang w:val="lv-LV"/>
        </w:rPr>
        <w:t xml:space="preserve">Bez tam, nepieciešams palielināt amatpersonu </w:t>
      </w:r>
      <w:r w:rsidR="00425956">
        <w:rPr>
          <w:rFonts w:ascii="Times New Roman" w:hAnsi="Times New Roman"/>
          <w:sz w:val="28"/>
          <w:szCs w:val="28"/>
          <w:u w:val="single"/>
          <w:lang w:val="lv-LV"/>
        </w:rPr>
        <w:t xml:space="preserve">ar speciālajām dienesta pakāpēm </w:t>
      </w:r>
      <w:r w:rsidRPr="00593169">
        <w:rPr>
          <w:rFonts w:ascii="Times New Roman" w:hAnsi="Times New Roman"/>
          <w:sz w:val="28"/>
          <w:szCs w:val="28"/>
          <w:u w:val="single"/>
          <w:lang w:val="lv-LV"/>
        </w:rPr>
        <w:t xml:space="preserve">mēnešalgas apmēru, lai tas būtu konkurētspējīgs un nodrošinātu motivāciju turpināt dienestu. Piemēram, 2012.gadā amatpersonas </w:t>
      </w:r>
      <w:r w:rsidR="001D0D97">
        <w:rPr>
          <w:rFonts w:ascii="Times New Roman" w:hAnsi="Times New Roman"/>
          <w:sz w:val="28"/>
          <w:szCs w:val="28"/>
          <w:u w:val="single"/>
          <w:lang w:val="lv-LV"/>
        </w:rPr>
        <w:t xml:space="preserve">ar speciālo dienesta pakāpi </w:t>
      </w:r>
      <w:r w:rsidR="002627DE">
        <w:rPr>
          <w:rFonts w:ascii="Times New Roman" w:hAnsi="Times New Roman"/>
          <w:sz w:val="28"/>
          <w:szCs w:val="28"/>
          <w:u w:val="single"/>
          <w:lang w:val="lv-LV"/>
        </w:rPr>
        <w:t>vidējais atalgojums Valsts policijā</w:t>
      </w:r>
      <w:r w:rsidRPr="00593169">
        <w:rPr>
          <w:rFonts w:ascii="Times New Roman" w:hAnsi="Times New Roman"/>
          <w:sz w:val="28"/>
          <w:szCs w:val="28"/>
          <w:u w:val="single"/>
          <w:lang w:val="lv-LV"/>
        </w:rPr>
        <w:t xml:space="preserve"> bija 423 lati (pirms nodokļu nomaksas), bet 2013.gadā – 546 lati (pirms nodokļu nomaksas), kas panākts, integrējot mēnešalgā uzturdevas kompensāciju 120 latu apmērā. Neto pieaugums sastāda tikai 30 latus.</w:t>
      </w:r>
    </w:p>
    <w:p w:rsidR="007A1678" w:rsidRPr="0068642B" w:rsidRDefault="007A1678" w:rsidP="00CC4175">
      <w:pPr>
        <w:spacing w:after="0" w:line="240" w:lineRule="auto"/>
        <w:ind w:right="-96" w:firstLine="720"/>
        <w:jc w:val="both"/>
        <w:rPr>
          <w:rFonts w:ascii="Times New Roman" w:eastAsia="Calibri" w:hAnsi="Times New Roman" w:cs="Times New Roman"/>
          <w:sz w:val="28"/>
          <w:szCs w:val="28"/>
          <w:lang w:val="lv-LV" w:eastAsia="lv-LV"/>
        </w:rPr>
      </w:pPr>
      <w:r w:rsidRPr="008340C8">
        <w:rPr>
          <w:rFonts w:ascii="Times New Roman" w:hAnsi="Times New Roman" w:cs="Times New Roman"/>
          <w:sz w:val="28"/>
          <w:szCs w:val="28"/>
          <w:lang w:val="lv-LV"/>
        </w:rPr>
        <w:t xml:space="preserve">Jaunas darba samaksas sistēmas ieviešanai </w:t>
      </w:r>
      <w:r w:rsidR="00FB57AA" w:rsidRPr="008340C8">
        <w:rPr>
          <w:rFonts w:ascii="Times New Roman" w:hAnsi="Times New Roman" w:cs="Times New Roman"/>
          <w:sz w:val="28"/>
          <w:szCs w:val="28"/>
          <w:lang w:val="lv-LV"/>
        </w:rPr>
        <w:t>noteikts</w:t>
      </w:r>
      <w:r w:rsidRPr="008340C8">
        <w:rPr>
          <w:rFonts w:ascii="Times New Roman" w:hAnsi="Times New Roman" w:cs="Times New Roman"/>
          <w:sz w:val="28"/>
          <w:szCs w:val="28"/>
          <w:lang w:val="lv-LV"/>
        </w:rPr>
        <w:t xml:space="preserve"> uzdevums </w:t>
      </w:r>
      <w:r w:rsidRPr="0068642B">
        <w:rPr>
          <w:rFonts w:ascii="Times New Roman" w:hAnsi="Times New Roman" w:cs="Times New Roman"/>
          <w:sz w:val="28"/>
          <w:szCs w:val="28"/>
          <w:lang w:val="lv-LV"/>
        </w:rPr>
        <w:t>nodalīt amatus, kas nodrošina atbalsta funkcijas, no amatiem, kuri veic</w:t>
      </w:r>
      <w:r w:rsidRPr="0068642B">
        <w:rPr>
          <w:rFonts w:ascii="Times New Roman" w:hAnsi="Times New Roman" w:cs="Times New Roman"/>
          <w:b/>
          <w:sz w:val="28"/>
          <w:szCs w:val="28"/>
          <w:lang w:val="lv-LV"/>
        </w:rPr>
        <w:t xml:space="preserve"> </w:t>
      </w:r>
      <w:r w:rsidRPr="0068642B">
        <w:rPr>
          <w:rFonts w:ascii="Times New Roman" w:hAnsi="Times New Roman" w:cs="Times New Roman"/>
          <w:sz w:val="28"/>
          <w:szCs w:val="28"/>
          <w:lang w:val="lv-LV"/>
        </w:rPr>
        <w:t>dienestu tiešās</w:t>
      </w:r>
      <w:r w:rsidRPr="0068642B">
        <w:rPr>
          <w:rFonts w:ascii="Times New Roman" w:hAnsi="Times New Roman" w:cs="Times New Roman"/>
          <w:b/>
          <w:sz w:val="28"/>
          <w:szCs w:val="28"/>
          <w:lang w:val="lv-LV"/>
        </w:rPr>
        <w:t xml:space="preserve"> </w:t>
      </w:r>
      <w:r w:rsidRPr="0068642B">
        <w:rPr>
          <w:rFonts w:ascii="Times New Roman" w:hAnsi="Times New Roman" w:cs="Times New Roman"/>
          <w:sz w:val="28"/>
          <w:szCs w:val="28"/>
          <w:lang w:val="lv-LV"/>
        </w:rPr>
        <w:t>funkcijas, tādējādi nodrošinot sociālā taisnīguma un fiskālās disciplīnas principu ieviešan</w:t>
      </w:r>
      <w:r w:rsidR="008859E8" w:rsidRPr="0068642B">
        <w:rPr>
          <w:rFonts w:ascii="Times New Roman" w:hAnsi="Times New Roman" w:cs="Times New Roman"/>
          <w:sz w:val="28"/>
          <w:szCs w:val="28"/>
          <w:lang w:val="lv-LV"/>
        </w:rPr>
        <w:t>ai</w:t>
      </w:r>
      <w:r w:rsidRPr="0068642B">
        <w:rPr>
          <w:rFonts w:ascii="Times New Roman" w:hAnsi="Times New Roman" w:cs="Times New Roman"/>
          <w:sz w:val="28"/>
          <w:szCs w:val="28"/>
          <w:lang w:val="lv-LV"/>
        </w:rPr>
        <w:t>.</w:t>
      </w:r>
    </w:p>
    <w:p w:rsidR="00432247" w:rsidRPr="0068642B" w:rsidRDefault="00432247" w:rsidP="00CC4175">
      <w:pPr>
        <w:spacing w:after="0" w:line="240" w:lineRule="auto"/>
        <w:ind w:right="-96" w:firstLine="720"/>
        <w:jc w:val="both"/>
        <w:rPr>
          <w:rFonts w:ascii="Times New Roman" w:eastAsia="Calibri" w:hAnsi="Times New Roman" w:cs="Times New Roman"/>
          <w:sz w:val="28"/>
          <w:szCs w:val="28"/>
          <w:lang w:val="lv-LV" w:eastAsia="lv-LV"/>
        </w:rPr>
      </w:pPr>
      <w:r w:rsidRPr="0068642B">
        <w:rPr>
          <w:rFonts w:ascii="Times New Roman" w:eastAsia="Calibri" w:hAnsi="Times New Roman" w:cs="Times New Roman"/>
          <w:sz w:val="28"/>
          <w:szCs w:val="28"/>
          <w:lang w:val="lv-LV" w:eastAsia="lv-LV"/>
        </w:rPr>
        <w:t xml:space="preserve">Šajā sakarā, </w:t>
      </w:r>
      <w:r w:rsidR="002627DE">
        <w:rPr>
          <w:rFonts w:ascii="Times New Roman" w:eastAsia="Calibri" w:hAnsi="Times New Roman" w:cs="Times New Roman"/>
          <w:sz w:val="28"/>
          <w:szCs w:val="28"/>
          <w:lang w:val="lv-LV" w:eastAsia="lv-LV"/>
        </w:rPr>
        <w:t>piemēram, ziņas par Valsts policijas</w:t>
      </w:r>
      <w:r w:rsidRPr="0068642B">
        <w:rPr>
          <w:rFonts w:ascii="Times New Roman" w:eastAsia="Calibri" w:hAnsi="Times New Roman" w:cs="Times New Roman"/>
          <w:sz w:val="28"/>
          <w:szCs w:val="28"/>
          <w:lang w:val="lv-LV" w:eastAsia="lv-LV"/>
        </w:rPr>
        <w:t xml:space="preserve"> pe</w:t>
      </w:r>
      <w:r w:rsidR="002627DE">
        <w:rPr>
          <w:rFonts w:ascii="Times New Roman" w:eastAsia="Calibri" w:hAnsi="Times New Roman" w:cs="Times New Roman"/>
          <w:sz w:val="28"/>
          <w:szCs w:val="28"/>
          <w:lang w:val="lv-LV" w:eastAsia="lv-LV"/>
        </w:rPr>
        <w:t>rs</w:t>
      </w:r>
      <w:r w:rsidR="0043475A">
        <w:rPr>
          <w:rFonts w:ascii="Times New Roman" w:eastAsia="Calibri" w:hAnsi="Times New Roman" w:cs="Times New Roman"/>
          <w:sz w:val="28"/>
          <w:szCs w:val="28"/>
          <w:lang w:val="lv-LV" w:eastAsia="lv-LV"/>
        </w:rPr>
        <w:t xml:space="preserve">onālu rāda nopietnu tendenci – </w:t>
      </w:r>
      <w:r w:rsidR="002627DE">
        <w:rPr>
          <w:rFonts w:ascii="Times New Roman" w:eastAsia="Calibri" w:hAnsi="Times New Roman" w:cs="Times New Roman"/>
          <w:sz w:val="28"/>
          <w:szCs w:val="28"/>
          <w:lang w:val="lv-LV" w:eastAsia="lv-LV"/>
        </w:rPr>
        <w:t>no Valsts policijas</w:t>
      </w:r>
      <w:r w:rsidRPr="0068642B">
        <w:rPr>
          <w:rFonts w:ascii="Times New Roman" w:eastAsia="Calibri" w:hAnsi="Times New Roman" w:cs="Times New Roman"/>
          <w:sz w:val="28"/>
          <w:szCs w:val="28"/>
          <w:lang w:val="lv-LV" w:eastAsia="lv-LV"/>
        </w:rPr>
        <w:t xml:space="preserve"> turpina </w:t>
      </w:r>
      <w:r w:rsidRPr="008340C8">
        <w:rPr>
          <w:rFonts w:ascii="Times New Roman" w:eastAsia="Calibri" w:hAnsi="Times New Roman" w:cs="Times New Roman"/>
          <w:sz w:val="28"/>
          <w:szCs w:val="28"/>
          <w:lang w:val="lv-LV" w:eastAsia="lv-LV"/>
        </w:rPr>
        <w:t xml:space="preserve">atvaļināties </w:t>
      </w:r>
      <w:r w:rsidR="00C31815" w:rsidRPr="008340C8">
        <w:rPr>
          <w:rFonts w:ascii="Times New Roman" w:eastAsia="Calibri" w:hAnsi="Times New Roman" w:cs="Times New Roman"/>
          <w:sz w:val="28"/>
          <w:szCs w:val="28"/>
          <w:lang w:val="lv-LV" w:eastAsia="lv-LV"/>
        </w:rPr>
        <w:t>amatpersonas ar speciālajām dienesta pakāpēm</w:t>
      </w:r>
      <w:r w:rsidR="00C31815">
        <w:rPr>
          <w:rFonts w:ascii="Times New Roman" w:eastAsia="Calibri" w:hAnsi="Times New Roman" w:cs="Times New Roman"/>
          <w:sz w:val="28"/>
          <w:szCs w:val="28"/>
          <w:lang w:val="lv-LV" w:eastAsia="lv-LV"/>
        </w:rPr>
        <w:t xml:space="preserve">. </w:t>
      </w:r>
      <w:r w:rsidRPr="0068642B">
        <w:rPr>
          <w:rFonts w:ascii="Times New Roman" w:eastAsia="Calibri" w:hAnsi="Times New Roman" w:cs="Times New Roman"/>
          <w:sz w:val="28"/>
          <w:szCs w:val="28"/>
          <w:lang w:val="lv-LV" w:eastAsia="lv-LV"/>
        </w:rPr>
        <w:t>Šī tendence saglabājas no gada uz gadu. Tā piecu gadu periodā (2007.</w:t>
      </w:r>
      <w:r w:rsidR="0077484C">
        <w:rPr>
          <w:rFonts w:ascii="Times New Roman" w:eastAsia="Calibri" w:hAnsi="Times New Roman" w:cs="Times New Roman"/>
          <w:sz w:val="28"/>
          <w:szCs w:val="28"/>
          <w:lang w:val="lv-LV" w:eastAsia="lv-LV"/>
        </w:rPr>
        <w:t xml:space="preserve"> </w:t>
      </w:r>
      <w:r w:rsidR="00C31815">
        <w:rPr>
          <w:rFonts w:ascii="Times New Roman" w:eastAsia="Calibri" w:hAnsi="Times New Roman" w:cs="Times New Roman"/>
          <w:sz w:val="28"/>
          <w:szCs w:val="28"/>
          <w:lang w:val="lv-LV" w:eastAsia="lv-LV"/>
        </w:rPr>
        <w:t xml:space="preserve">– </w:t>
      </w:r>
      <w:r w:rsidRPr="0068642B">
        <w:rPr>
          <w:rFonts w:ascii="Times New Roman" w:eastAsia="Calibri" w:hAnsi="Times New Roman" w:cs="Times New Roman"/>
          <w:sz w:val="28"/>
          <w:szCs w:val="28"/>
          <w:lang w:val="lv-LV" w:eastAsia="lv-LV"/>
        </w:rPr>
        <w:t>2011.ga</w:t>
      </w:r>
      <w:r w:rsidR="002627DE">
        <w:rPr>
          <w:rFonts w:ascii="Times New Roman" w:eastAsia="Calibri" w:hAnsi="Times New Roman" w:cs="Times New Roman"/>
          <w:sz w:val="28"/>
          <w:szCs w:val="28"/>
          <w:lang w:val="lv-LV" w:eastAsia="lv-LV"/>
        </w:rPr>
        <w:t xml:space="preserve">ds) Valsts policijā dienestā pieņemtas 1 526 </w:t>
      </w:r>
      <w:r w:rsidRPr="0068642B">
        <w:rPr>
          <w:rFonts w:ascii="Times New Roman" w:eastAsia="Calibri" w:hAnsi="Times New Roman" w:cs="Times New Roman"/>
          <w:sz w:val="28"/>
          <w:szCs w:val="28"/>
          <w:lang w:val="lv-LV" w:eastAsia="lv-LV"/>
        </w:rPr>
        <w:t>amatpersonas ar speciālajām dienesta pakāpēm, bet no dienesta atvaļinātas 3</w:t>
      </w:r>
      <w:r w:rsidR="002627DE">
        <w:rPr>
          <w:rFonts w:ascii="Times New Roman" w:eastAsia="Calibri" w:hAnsi="Times New Roman" w:cs="Times New Roman"/>
          <w:sz w:val="28"/>
          <w:szCs w:val="28"/>
          <w:lang w:val="lv-LV" w:eastAsia="lv-LV"/>
        </w:rPr>
        <w:t xml:space="preserve"> </w:t>
      </w:r>
      <w:r w:rsidRPr="0068642B">
        <w:rPr>
          <w:rFonts w:ascii="Times New Roman" w:eastAsia="Calibri" w:hAnsi="Times New Roman" w:cs="Times New Roman"/>
          <w:sz w:val="28"/>
          <w:szCs w:val="28"/>
          <w:lang w:val="lv-LV" w:eastAsia="lv-LV"/>
        </w:rPr>
        <w:t>424 amatpersonas ar speciālajām</w:t>
      </w:r>
      <w:r w:rsidR="002627DE">
        <w:rPr>
          <w:rFonts w:ascii="Times New Roman" w:eastAsia="Calibri" w:hAnsi="Times New Roman" w:cs="Times New Roman"/>
          <w:sz w:val="28"/>
          <w:szCs w:val="28"/>
          <w:lang w:val="lv-LV" w:eastAsia="lv-LV"/>
        </w:rPr>
        <w:t xml:space="preserve"> dienesta pakāpēm, līdz ar to Valsts policijas</w:t>
      </w:r>
      <w:r w:rsidRPr="0068642B">
        <w:rPr>
          <w:rFonts w:ascii="Times New Roman" w:eastAsia="Calibri" w:hAnsi="Times New Roman" w:cs="Times New Roman"/>
          <w:sz w:val="28"/>
          <w:szCs w:val="28"/>
          <w:lang w:val="lv-LV" w:eastAsia="lv-LV"/>
        </w:rPr>
        <w:t xml:space="preserve"> amatpersonu skaits 5 gadu laikā ir samazinājies par 1898 jeb apmēram – 22% un turpina samazināties. Pieaug arī vakanto amata vietu skaits, kas 2011.gada beigās sasniedza 9,8 %.</w:t>
      </w:r>
    </w:p>
    <w:p w:rsidR="00432247" w:rsidRPr="0068642B" w:rsidRDefault="00432247" w:rsidP="00CC4175">
      <w:pPr>
        <w:spacing w:after="0" w:line="240" w:lineRule="auto"/>
        <w:ind w:right="-96" w:firstLine="720"/>
        <w:jc w:val="both"/>
        <w:rPr>
          <w:rFonts w:ascii="Times New Roman" w:eastAsia="Calibri" w:hAnsi="Times New Roman" w:cs="Times New Roman"/>
          <w:sz w:val="28"/>
          <w:szCs w:val="28"/>
          <w:lang w:val="lv-LV" w:eastAsia="lv-LV"/>
        </w:rPr>
      </w:pPr>
      <w:r w:rsidRPr="0068642B">
        <w:rPr>
          <w:rFonts w:ascii="Times New Roman" w:eastAsia="Calibri" w:hAnsi="Times New Roman" w:cs="Times New Roman"/>
          <w:sz w:val="28"/>
          <w:szCs w:val="28"/>
          <w:lang w:val="lv-LV" w:eastAsia="lv-LV"/>
        </w:rPr>
        <w:t xml:space="preserve">Situācija ar personālu </w:t>
      </w:r>
      <w:r w:rsidR="002627DE">
        <w:rPr>
          <w:rFonts w:ascii="Times New Roman" w:eastAsia="Calibri" w:hAnsi="Times New Roman" w:cs="Times New Roman"/>
          <w:sz w:val="28"/>
          <w:szCs w:val="28"/>
          <w:lang w:val="lv-LV" w:eastAsia="lv-LV"/>
        </w:rPr>
        <w:t>Valsts policijas</w:t>
      </w:r>
      <w:r w:rsidR="00A906E9">
        <w:rPr>
          <w:rFonts w:ascii="Times New Roman" w:eastAsia="Calibri" w:hAnsi="Times New Roman" w:cs="Times New Roman"/>
          <w:sz w:val="28"/>
          <w:szCs w:val="28"/>
          <w:lang w:val="lv-LV" w:eastAsia="lv-LV"/>
        </w:rPr>
        <w:t xml:space="preserve"> </w:t>
      </w:r>
      <w:r w:rsidRPr="0068642B">
        <w:rPr>
          <w:rFonts w:ascii="Times New Roman" w:eastAsia="Calibri" w:hAnsi="Times New Roman" w:cs="Times New Roman"/>
          <w:sz w:val="28"/>
          <w:szCs w:val="28"/>
          <w:lang w:val="lv-LV" w:eastAsia="lv-LV"/>
        </w:rPr>
        <w:t>kriminālpolicija</w:t>
      </w:r>
      <w:r w:rsidR="002627DE">
        <w:rPr>
          <w:rFonts w:ascii="Times New Roman" w:eastAsia="Calibri" w:hAnsi="Times New Roman" w:cs="Times New Roman"/>
          <w:sz w:val="28"/>
          <w:szCs w:val="28"/>
          <w:lang w:val="lv-LV" w:eastAsia="lv-LV"/>
        </w:rPr>
        <w:t xml:space="preserve">s struktūrvienībās ir līdzīga. </w:t>
      </w:r>
      <w:r w:rsidRPr="0068642B">
        <w:rPr>
          <w:rFonts w:ascii="Times New Roman" w:eastAsia="Calibri" w:hAnsi="Times New Roman" w:cs="Times New Roman"/>
          <w:sz w:val="28"/>
          <w:szCs w:val="28"/>
          <w:lang w:val="lv-LV" w:eastAsia="lv-LV"/>
        </w:rPr>
        <w:t xml:space="preserve">2011.gada beigās </w:t>
      </w:r>
      <w:r w:rsidR="002627DE">
        <w:rPr>
          <w:rFonts w:ascii="Times New Roman" w:eastAsia="Calibri" w:hAnsi="Times New Roman" w:cs="Times New Roman"/>
          <w:sz w:val="28"/>
          <w:szCs w:val="28"/>
          <w:lang w:val="lv-LV" w:eastAsia="lv-LV"/>
        </w:rPr>
        <w:t xml:space="preserve">Valsts policijas </w:t>
      </w:r>
      <w:r w:rsidRPr="00264653">
        <w:rPr>
          <w:rFonts w:ascii="Times New Roman" w:eastAsia="Calibri" w:hAnsi="Times New Roman" w:cs="Times New Roman"/>
          <w:sz w:val="28"/>
          <w:szCs w:val="28"/>
          <w:lang w:val="lv-LV" w:eastAsia="lv-LV"/>
        </w:rPr>
        <w:t>kriminālpolicija</w:t>
      </w:r>
      <w:r w:rsidR="00DA137A" w:rsidRPr="00264653">
        <w:rPr>
          <w:rFonts w:ascii="Times New Roman" w:eastAsia="Calibri" w:hAnsi="Times New Roman" w:cs="Times New Roman"/>
          <w:sz w:val="28"/>
          <w:szCs w:val="28"/>
          <w:lang w:val="lv-LV" w:eastAsia="lv-LV"/>
        </w:rPr>
        <w:t>s struktūrvienībā</w:t>
      </w:r>
      <w:r w:rsidR="008003A2" w:rsidRPr="00264653">
        <w:rPr>
          <w:rFonts w:ascii="Times New Roman" w:eastAsia="Calibri" w:hAnsi="Times New Roman" w:cs="Times New Roman"/>
          <w:sz w:val="28"/>
          <w:szCs w:val="28"/>
          <w:lang w:val="lv-LV" w:eastAsia="lv-LV"/>
        </w:rPr>
        <w:t>s</w:t>
      </w:r>
      <w:r w:rsidR="00264653">
        <w:rPr>
          <w:rFonts w:ascii="Times New Roman" w:eastAsia="Calibri" w:hAnsi="Times New Roman" w:cs="Times New Roman"/>
          <w:sz w:val="28"/>
          <w:szCs w:val="28"/>
          <w:lang w:val="lv-LV" w:eastAsia="lv-LV"/>
        </w:rPr>
        <w:t xml:space="preserve"> </w:t>
      </w:r>
      <w:r w:rsidRPr="0075795C">
        <w:rPr>
          <w:rFonts w:ascii="Times New Roman" w:eastAsia="Calibri" w:hAnsi="Times New Roman" w:cs="Times New Roman"/>
          <w:sz w:val="28"/>
          <w:szCs w:val="28"/>
          <w:lang w:val="lv-LV" w:eastAsia="lv-LV"/>
        </w:rPr>
        <w:t>kopā bija 1</w:t>
      </w:r>
      <w:r w:rsidR="002627DE">
        <w:rPr>
          <w:rFonts w:ascii="Times New Roman" w:eastAsia="Calibri" w:hAnsi="Times New Roman" w:cs="Times New Roman"/>
          <w:sz w:val="28"/>
          <w:szCs w:val="28"/>
          <w:lang w:val="lv-LV" w:eastAsia="lv-LV"/>
        </w:rPr>
        <w:t xml:space="preserve"> </w:t>
      </w:r>
      <w:r w:rsidRPr="0075795C">
        <w:rPr>
          <w:rFonts w:ascii="Times New Roman" w:eastAsia="Calibri" w:hAnsi="Times New Roman" w:cs="Times New Roman"/>
          <w:sz w:val="28"/>
          <w:szCs w:val="28"/>
          <w:lang w:val="lv-LV" w:eastAsia="lv-LV"/>
        </w:rPr>
        <w:t>771 štata vieta</w:t>
      </w:r>
      <w:r w:rsidR="00264653">
        <w:rPr>
          <w:rFonts w:ascii="Times New Roman" w:eastAsia="Calibri" w:hAnsi="Times New Roman" w:cs="Times New Roman"/>
          <w:sz w:val="28"/>
          <w:szCs w:val="28"/>
          <w:lang w:val="lv-LV" w:eastAsia="lv-LV"/>
        </w:rPr>
        <w:t>s</w:t>
      </w:r>
      <w:r w:rsidRPr="0075795C">
        <w:rPr>
          <w:rFonts w:ascii="Times New Roman" w:eastAsia="Calibri" w:hAnsi="Times New Roman" w:cs="Times New Roman"/>
          <w:sz w:val="28"/>
          <w:szCs w:val="28"/>
          <w:lang w:val="lv-LV" w:eastAsia="lv-LV"/>
        </w:rPr>
        <w:t xml:space="preserve"> (par 18 štata vietām mazāk kā 2010.gada beigās), t.sk. 1</w:t>
      </w:r>
      <w:r w:rsidR="002627DE">
        <w:rPr>
          <w:rFonts w:ascii="Times New Roman" w:eastAsia="Calibri" w:hAnsi="Times New Roman" w:cs="Times New Roman"/>
          <w:sz w:val="28"/>
          <w:szCs w:val="28"/>
          <w:lang w:val="lv-LV" w:eastAsia="lv-LV"/>
        </w:rPr>
        <w:t xml:space="preserve"> </w:t>
      </w:r>
      <w:r w:rsidRPr="0075795C">
        <w:rPr>
          <w:rFonts w:ascii="Times New Roman" w:eastAsia="Calibri" w:hAnsi="Times New Roman" w:cs="Times New Roman"/>
          <w:sz w:val="28"/>
          <w:szCs w:val="28"/>
          <w:lang w:val="lv-LV" w:eastAsia="lv-LV"/>
        </w:rPr>
        <w:t>753  amatpersonu</w:t>
      </w:r>
      <w:r w:rsidRPr="0068642B">
        <w:rPr>
          <w:rFonts w:ascii="Times New Roman" w:eastAsia="Calibri" w:hAnsi="Times New Roman" w:cs="Times New Roman"/>
          <w:sz w:val="28"/>
          <w:szCs w:val="28"/>
          <w:lang w:val="lv-LV" w:eastAsia="lv-LV"/>
        </w:rPr>
        <w:t xml:space="preserve"> ar speciālajām dienesta pakāpēm štata vietas (par 27 mazāk kā 2010.gadā).  Nenokomplektētas 130 št</w:t>
      </w:r>
      <w:r w:rsidR="002627DE">
        <w:rPr>
          <w:rFonts w:ascii="Times New Roman" w:eastAsia="Calibri" w:hAnsi="Times New Roman" w:cs="Times New Roman"/>
          <w:sz w:val="28"/>
          <w:szCs w:val="28"/>
          <w:lang w:val="lv-LV" w:eastAsia="lv-LV"/>
        </w:rPr>
        <w:t>ata vietas vai 7,3% no kopējā Valsts policijas</w:t>
      </w:r>
      <w:r w:rsidRPr="0068642B">
        <w:rPr>
          <w:rFonts w:ascii="Times New Roman" w:eastAsia="Calibri" w:hAnsi="Times New Roman" w:cs="Times New Roman"/>
          <w:sz w:val="28"/>
          <w:szCs w:val="28"/>
          <w:lang w:val="lv-LV" w:eastAsia="lv-LV"/>
        </w:rPr>
        <w:t xml:space="preserve"> kriminālpolicijas struktūrvienībās esošo štata vietu skaita. Savukārt, </w:t>
      </w:r>
      <w:r w:rsidR="005F7F75" w:rsidRPr="0068642B">
        <w:rPr>
          <w:rFonts w:ascii="Times New Roman" w:eastAsia="Calibri" w:hAnsi="Times New Roman" w:cs="Times New Roman"/>
          <w:sz w:val="28"/>
          <w:szCs w:val="28"/>
          <w:lang w:val="lv-LV" w:eastAsia="lv-LV"/>
        </w:rPr>
        <w:t>2012.gada</w:t>
      </w:r>
      <w:r w:rsidR="009343F4" w:rsidRPr="0068642B">
        <w:rPr>
          <w:rFonts w:ascii="Times New Roman" w:eastAsia="Calibri" w:hAnsi="Times New Roman" w:cs="Times New Roman"/>
          <w:sz w:val="28"/>
          <w:szCs w:val="28"/>
          <w:lang w:val="lv-LV" w:eastAsia="lv-LV"/>
        </w:rPr>
        <w:t xml:space="preserve"> </w:t>
      </w:r>
      <w:r w:rsidRPr="0068642B">
        <w:rPr>
          <w:rFonts w:ascii="Times New Roman" w:eastAsia="Calibri" w:hAnsi="Times New Roman" w:cs="Times New Roman"/>
          <w:sz w:val="28"/>
          <w:szCs w:val="28"/>
          <w:lang w:val="lv-LV" w:eastAsia="lv-LV"/>
        </w:rPr>
        <w:t>1</w:t>
      </w:r>
      <w:r w:rsidR="002627DE">
        <w:rPr>
          <w:rFonts w:ascii="Times New Roman" w:eastAsia="Calibri" w:hAnsi="Times New Roman" w:cs="Times New Roman"/>
          <w:sz w:val="28"/>
          <w:szCs w:val="28"/>
          <w:lang w:val="lv-LV" w:eastAsia="lv-LV"/>
        </w:rPr>
        <w:t xml:space="preserve">.jūlijā, neskatoties uz to, ka </w:t>
      </w:r>
      <w:r w:rsidRPr="0068642B">
        <w:rPr>
          <w:rFonts w:ascii="Times New Roman" w:eastAsia="Calibri" w:hAnsi="Times New Roman" w:cs="Times New Roman"/>
          <w:sz w:val="28"/>
          <w:szCs w:val="28"/>
          <w:lang w:val="lv-LV" w:eastAsia="lv-LV"/>
        </w:rPr>
        <w:t xml:space="preserve">tika likvidētas vēl 12 štata vietas, kopējais vakanču skaits ir palielinājies līdz 180 un sasniedzis 10,2 % (Kurzemes RP kriminālpolicija – 17,4 %, Zemgales RP kriminālpolicija – 15,5 %, Rīgas RP kriminālpolicija – 12,3 %). </w:t>
      </w:r>
    </w:p>
    <w:p w:rsidR="00432247" w:rsidRDefault="00432247" w:rsidP="00CC4175">
      <w:pPr>
        <w:spacing w:after="0" w:line="240" w:lineRule="auto"/>
        <w:ind w:right="-96" w:firstLine="720"/>
        <w:jc w:val="both"/>
        <w:rPr>
          <w:rFonts w:ascii="Times New Roman" w:eastAsia="Calibri" w:hAnsi="Times New Roman" w:cs="Times New Roman"/>
          <w:sz w:val="28"/>
          <w:szCs w:val="28"/>
          <w:lang w:val="lv-LV" w:eastAsia="lv-LV"/>
        </w:rPr>
      </w:pPr>
      <w:r w:rsidRPr="0068642B">
        <w:rPr>
          <w:rFonts w:ascii="Times New Roman" w:eastAsia="Calibri" w:hAnsi="Times New Roman" w:cs="Times New Roman"/>
          <w:sz w:val="28"/>
          <w:szCs w:val="28"/>
          <w:lang w:val="lv-LV" w:eastAsia="lv-LV"/>
        </w:rPr>
        <w:t xml:space="preserve">Pieaugot nekomplektam, palielinās darba slodze. </w:t>
      </w:r>
      <w:r w:rsidR="008859E8" w:rsidRPr="0068642B">
        <w:rPr>
          <w:rFonts w:ascii="Times New Roman" w:eastAsia="Calibri" w:hAnsi="Times New Roman" w:cs="Times New Roman"/>
          <w:sz w:val="28"/>
          <w:szCs w:val="28"/>
          <w:lang w:val="lv-LV" w:eastAsia="lv-LV"/>
        </w:rPr>
        <w:t xml:space="preserve">Statistikas dati liecina, ka kopš jaunā KPL stāšanās spēkā </w:t>
      </w:r>
      <w:r w:rsidR="00E81B5C" w:rsidRPr="0068642B">
        <w:rPr>
          <w:rFonts w:ascii="Times New Roman" w:eastAsia="Calibri" w:hAnsi="Times New Roman" w:cs="Times New Roman"/>
          <w:sz w:val="28"/>
          <w:szCs w:val="28"/>
          <w:lang w:val="lv-LV" w:eastAsia="lv-LV"/>
        </w:rPr>
        <w:t>(</w:t>
      </w:r>
      <w:r w:rsidR="008859E8" w:rsidRPr="0068642B">
        <w:rPr>
          <w:rFonts w:ascii="Times New Roman" w:eastAsia="Calibri" w:hAnsi="Times New Roman" w:cs="Times New Roman"/>
          <w:sz w:val="28"/>
          <w:szCs w:val="28"/>
          <w:lang w:val="lv-LV" w:eastAsia="lv-LV"/>
        </w:rPr>
        <w:t>2005.gada 1.oktobrī</w:t>
      </w:r>
      <w:r w:rsidR="00E81B5C" w:rsidRPr="0068642B">
        <w:rPr>
          <w:rFonts w:ascii="Times New Roman" w:eastAsia="Calibri" w:hAnsi="Times New Roman" w:cs="Times New Roman"/>
          <w:sz w:val="28"/>
          <w:szCs w:val="28"/>
          <w:lang w:val="lv-LV" w:eastAsia="lv-LV"/>
        </w:rPr>
        <w:t>)</w:t>
      </w:r>
      <w:r w:rsidR="002627DE">
        <w:rPr>
          <w:rFonts w:ascii="Times New Roman" w:eastAsia="Calibri" w:hAnsi="Times New Roman" w:cs="Times New Roman"/>
          <w:sz w:val="28"/>
          <w:szCs w:val="28"/>
          <w:lang w:val="lv-LV" w:eastAsia="lv-LV"/>
        </w:rPr>
        <w:t>, Valsts policija</w:t>
      </w:r>
      <w:r w:rsidR="008859E8" w:rsidRPr="0068642B">
        <w:rPr>
          <w:rFonts w:ascii="Times New Roman" w:eastAsia="Calibri" w:hAnsi="Times New Roman" w:cs="Times New Roman"/>
          <w:sz w:val="28"/>
          <w:szCs w:val="28"/>
          <w:lang w:val="lv-LV" w:eastAsia="lv-LV"/>
        </w:rPr>
        <w:t xml:space="preserve"> izmeklē vairāk nekā 95</w:t>
      </w:r>
      <w:r w:rsidR="00E81B5C" w:rsidRPr="0068642B">
        <w:rPr>
          <w:rFonts w:ascii="Times New Roman" w:eastAsia="Calibri" w:hAnsi="Times New Roman" w:cs="Times New Roman"/>
          <w:sz w:val="28"/>
          <w:szCs w:val="28"/>
          <w:lang w:val="lv-LV" w:eastAsia="lv-LV"/>
        </w:rPr>
        <w:t xml:space="preserve"> </w:t>
      </w:r>
      <w:r w:rsidR="008859E8" w:rsidRPr="0068642B">
        <w:rPr>
          <w:rFonts w:ascii="Times New Roman" w:eastAsia="Calibri" w:hAnsi="Times New Roman" w:cs="Times New Roman"/>
          <w:sz w:val="28"/>
          <w:szCs w:val="28"/>
          <w:lang w:val="lv-LV" w:eastAsia="lv-LV"/>
        </w:rPr>
        <w:t xml:space="preserve">% no visiem valstī </w:t>
      </w:r>
      <w:r w:rsidR="00E81B5C" w:rsidRPr="0068642B">
        <w:rPr>
          <w:rFonts w:ascii="Times New Roman" w:eastAsia="Calibri" w:hAnsi="Times New Roman" w:cs="Times New Roman"/>
          <w:sz w:val="28"/>
          <w:szCs w:val="28"/>
          <w:lang w:val="lv-LV" w:eastAsia="lv-LV"/>
        </w:rPr>
        <w:t>uzsāktajiem kriminālprocesiem, līdz ar to KPL mērķa īstenošana valstī ir būtiski atkarīga no tā, cik pirmstiesas</w:t>
      </w:r>
      <w:r w:rsidR="002627DE">
        <w:rPr>
          <w:rFonts w:ascii="Times New Roman" w:eastAsia="Calibri" w:hAnsi="Times New Roman" w:cs="Times New Roman"/>
          <w:sz w:val="28"/>
          <w:szCs w:val="28"/>
          <w:lang w:val="lv-LV" w:eastAsia="lv-LV"/>
        </w:rPr>
        <w:t xml:space="preserve"> procesa </w:t>
      </w:r>
      <w:r w:rsidR="002627DE">
        <w:rPr>
          <w:rFonts w:ascii="Times New Roman" w:eastAsia="Calibri" w:hAnsi="Times New Roman" w:cs="Times New Roman"/>
          <w:sz w:val="28"/>
          <w:szCs w:val="28"/>
          <w:lang w:val="lv-LV" w:eastAsia="lv-LV"/>
        </w:rPr>
        <w:lastRenderedPageBreak/>
        <w:t>stadijā Valsts policija</w:t>
      </w:r>
      <w:r w:rsidR="001E237B" w:rsidRPr="0068642B">
        <w:rPr>
          <w:rFonts w:ascii="Times New Roman" w:eastAsia="Calibri" w:hAnsi="Times New Roman" w:cs="Times New Roman"/>
          <w:sz w:val="28"/>
          <w:szCs w:val="28"/>
          <w:lang w:val="lv-LV" w:eastAsia="lv-LV"/>
        </w:rPr>
        <w:t xml:space="preserve"> efektīvi īstenos izmeklēšanu. 5% no valstī uzsāktajiem kriminālprocesiem uzsāk pārējās pirmstiesas izmeklēšanas iestādes – DP, VID FPP, MP, IeVP, KNAB, muitas iestādes,</w:t>
      </w:r>
      <w:r w:rsidR="004E6D5D">
        <w:rPr>
          <w:rFonts w:ascii="Times New Roman" w:eastAsia="Calibri" w:hAnsi="Times New Roman" w:cs="Times New Roman"/>
          <w:sz w:val="28"/>
          <w:szCs w:val="28"/>
          <w:lang w:val="lv-LV" w:eastAsia="lv-LV"/>
        </w:rPr>
        <w:t xml:space="preserve"> </w:t>
      </w:r>
      <w:r w:rsidR="001E237B" w:rsidRPr="0068642B">
        <w:rPr>
          <w:rFonts w:ascii="Times New Roman" w:eastAsia="Calibri" w:hAnsi="Times New Roman" w:cs="Times New Roman"/>
          <w:sz w:val="28"/>
          <w:szCs w:val="28"/>
          <w:lang w:val="lv-LV" w:eastAsia="lv-LV"/>
        </w:rPr>
        <w:t>VRS.</w:t>
      </w:r>
      <w:r w:rsidR="001E237B" w:rsidRPr="0068642B">
        <w:rPr>
          <w:rFonts w:ascii="Times New Roman" w:eastAsia="Calibri" w:hAnsi="Times New Roman" w:cs="Times New Roman"/>
          <w:b/>
          <w:sz w:val="28"/>
          <w:szCs w:val="28"/>
          <w:lang w:val="lv-LV" w:eastAsia="lv-LV"/>
        </w:rPr>
        <w:t xml:space="preserve"> </w:t>
      </w:r>
      <w:r w:rsidRPr="0068642B">
        <w:rPr>
          <w:rFonts w:ascii="Times New Roman" w:eastAsia="Calibri" w:hAnsi="Times New Roman" w:cs="Times New Roman"/>
          <w:sz w:val="28"/>
          <w:szCs w:val="28"/>
          <w:lang w:val="lv-LV" w:eastAsia="lv-LV"/>
        </w:rPr>
        <w:t>Personāla mainības ietekmē samazinās pieredzējušo darbinieku skaits, kas negatīvi ietekmē darba kvalitāti. Uzturdevas kompensācijas integrēšana amatpersonu ar speciālajām dienesta pakāpēm mēnešalgā sākot no 2013.gada tikai nedaudz ļaus stabilizēt situāciju personāla komplektēšanas jomā, jo to atalgojums joprojām ir zemāks salīdzinot ar pirmskrīzes periodu.</w:t>
      </w:r>
    </w:p>
    <w:p w:rsidR="00432247" w:rsidRDefault="00EC3243" w:rsidP="00CC4175">
      <w:pPr>
        <w:spacing w:after="0" w:line="240" w:lineRule="auto"/>
        <w:ind w:right="-96" w:firstLine="720"/>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B</w:t>
      </w:r>
      <w:r w:rsidR="00432247" w:rsidRPr="0068642B">
        <w:rPr>
          <w:rFonts w:ascii="Times New Roman" w:eastAsia="Calibri" w:hAnsi="Times New Roman" w:cs="Times New Roman"/>
          <w:sz w:val="28"/>
          <w:szCs w:val="28"/>
          <w:lang w:val="lv-LV" w:eastAsia="lv-LV"/>
        </w:rPr>
        <w:t>ūtu nepieciešams palielināt veicamo pasākumu skaitu  izmeklētāju un to tiešo priekšnieku papildus izglītošanai, kam sevī jāietver regulāru semināru un apmācību rīkošana gan par izmaiņām, aktualitātēm un novitātēm normatīvajos aktos krimināltiesību jomā, gan par pastāvošo tiesu praksi attiecīgo kategoriju kriminālprocesos, kā arī par citiem izmeklētāju darbā aktuāliem jautājumiem.</w:t>
      </w:r>
    </w:p>
    <w:p w:rsidR="00EC3243" w:rsidRPr="00E856E3" w:rsidRDefault="00EC3243" w:rsidP="00CC4175">
      <w:pPr>
        <w:spacing w:after="0" w:line="240" w:lineRule="auto"/>
        <w:ind w:right="-96" w:firstLine="720"/>
        <w:jc w:val="both"/>
        <w:rPr>
          <w:rFonts w:ascii="Times New Roman" w:eastAsia="Calibri" w:hAnsi="Times New Roman" w:cs="Times New Roman"/>
          <w:sz w:val="28"/>
          <w:szCs w:val="28"/>
          <w:u w:val="single"/>
          <w:lang w:val="lv-LV" w:eastAsia="lv-LV"/>
        </w:rPr>
      </w:pPr>
      <w:r w:rsidRPr="00E856E3">
        <w:rPr>
          <w:rFonts w:ascii="Times New Roman" w:eastAsia="Calibri" w:hAnsi="Times New Roman" w:cs="Times New Roman"/>
          <w:sz w:val="28"/>
          <w:szCs w:val="28"/>
          <w:u w:val="single"/>
          <w:lang w:val="lv-LV" w:eastAsia="lv-LV"/>
        </w:rPr>
        <w:t>Tāpat būtu nepieciešams palielināt izmeklētāju motivāciju uzdevumu kvalitatīvai un efektīvai veikšanai.</w:t>
      </w:r>
      <w:r w:rsidR="002D4DC1" w:rsidRPr="00E856E3">
        <w:rPr>
          <w:rFonts w:ascii="Times New Roman" w:eastAsia="Times New Roman" w:hAnsi="Times New Roman" w:cs="Times New Roman"/>
          <w:lang w:val="lv-LV" w:eastAsia="lv-LV"/>
        </w:rPr>
        <w:t xml:space="preserve"> </w:t>
      </w:r>
      <w:r w:rsidR="002D4DC1" w:rsidRPr="00E856E3">
        <w:rPr>
          <w:rFonts w:ascii="Times New Roman" w:eastAsia="Times New Roman" w:hAnsi="Times New Roman" w:cs="Times New Roman"/>
          <w:sz w:val="28"/>
          <w:szCs w:val="28"/>
          <w:u w:val="single"/>
          <w:lang w:val="lv-LV" w:eastAsia="lv-LV"/>
        </w:rPr>
        <w:t>Šajā sakarā ir nepieciešams s</w:t>
      </w:r>
      <w:r w:rsidR="002D4DC1" w:rsidRPr="00E856E3">
        <w:rPr>
          <w:rFonts w:ascii="Times New Roman" w:eastAsia="Times New Roman" w:hAnsi="Times New Roman" w:cs="Times New Roman"/>
          <w:sz w:val="28"/>
          <w:szCs w:val="28"/>
          <w:u w:val="single"/>
          <w:lang w:val="lv-LV"/>
        </w:rPr>
        <w:t xml:space="preserve">agatavot priekšlikumus grozījumiem MK </w:t>
      </w:r>
      <w:r w:rsidR="002D4DC1" w:rsidRPr="00E856E3">
        <w:rPr>
          <w:rFonts w:ascii="Times New Roman" w:eastAsia="Times New Roman" w:hAnsi="Times New Roman" w:cs="Times New Roman"/>
          <w:sz w:val="28"/>
          <w:szCs w:val="28"/>
          <w:u w:val="single"/>
          <w:lang w:val="lv-LV" w:eastAsia="lv-LV"/>
        </w:rPr>
        <w:t>2010.gada 30.novembra noteikumos Nr.1075 „</w:t>
      </w:r>
      <w:r w:rsidR="002D4DC1" w:rsidRPr="00E856E3">
        <w:rPr>
          <w:rFonts w:ascii="Times New Roman" w:eastAsia="Times New Roman" w:hAnsi="Times New Roman" w:cs="Times New Roman"/>
          <w:sz w:val="28"/>
          <w:szCs w:val="28"/>
          <w:u w:val="single"/>
          <w:lang w:val="lv-LV"/>
        </w:rPr>
        <w:t>Valsts un pašvaldību institūciju amatu katalogs”</w:t>
      </w:r>
      <w:r w:rsidR="002D4DC1" w:rsidRPr="00E856E3">
        <w:rPr>
          <w:rFonts w:ascii="Times New Roman" w:eastAsia="Times New Roman" w:hAnsi="Times New Roman" w:cs="Times New Roman"/>
          <w:sz w:val="28"/>
          <w:szCs w:val="28"/>
          <w:u w:val="single"/>
          <w:lang w:val="lv-LV" w:eastAsia="lv-LV"/>
        </w:rPr>
        <w:t xml:space="preserve">, </w:t>
      </w:r>
      <w:r w:rsidR="002D4DC1" w:rsidRPr="00E856E3">
        <w:rPr>
          <w:rFonts w:ascii="Times New Roman" w:eastAsia="Times New Roman" w:hAnsi="Times New Roman" w:cs="Times New Roman"/>
          <w:sz w:val="28"/>
          <w:szCs w:val="28"/>
          <w:u w:val="single"/>
          <w:lang w:val="lv-LV"/>
        </w:rPr>
        <w:t xml:space="preserve">kuros paredzētu normu, ka </w:t>
      </w:r>
      <w:r w:rsidR="002D4DC1" w:rsidRPr="00E856E3">
        <w:rPr>
          <w:rFonts w:ascii="Times New Roman" w:eastAsia="Times New Roman" w:hAnsi="Times New Roman" w:cs="Times New Roman"/>
          <w:bCs/>
          <w:sz w:val="28"/>
          <w:szCs w:val="28"/>
          <w:u w:val="single"/>
          <w:lang w:val="lv-LV" w:eastAsia="lv-LV"/>
        </w:rPr>
        <w:t>augstākas atbildības un amata pienākumu sarežģītības pakāpei tiek izveidots atbilstošs izmeklētāju amata līmenis.</w:t>
      </w:r>
    </w:p>
    <w:p w:rsidR="000F400E" w:rsidRPr="00E856E3" w:rsidRDefault="00C8618D" w:rsidP="000F400E">
      <w:pPr>
        <w:spacing w:after="0" w:line="240" w:lineRule="auto"/>
        <w:ind w:right="-96" w:firstLine="720"/>
        <w:jc w:val="both"/>
        <w:rPr>
          <w:rFonts w:ascii="Times New Roman" w:eastAsia="Calibri" w:hAnsi="Times New Roman" w:cs="Times New Roman"/>
          <w:sz w:val="28"/>
          <w:szCs w:val="28"/>
          <w:u w:val="single"/>
          <w:lang w:val="lv-LV" w:eastAsia="lv-LV"/>
        </w:rPr>
      </w:pPr>
      <w:r w:rsidRPr="00E856E3">
        <w:rPr>
          <w:rFonts w:ascii="Times New Roman" w:eastAsia="Calibri" w:hAnsi="Times New Roman" w:cs="Times New Roman"/>
          <w:sz w:val="28"/>
          <w:szCs w:val="28"/>
          <w:u w:val="single"/>
          <w:lang w:val="lv-LV" w:eastAsia="lv-LV"/>
        </w:rPr>
        <w:t>Saskaņā ar</w:t>
      </w:r>
      <w:r w:rsidR="000F400E" w:rsidRPr="00E856E3">
        <w:rPr>
          <w:rFonts w:ascii="Times New Roman" w:eastAsia="Calibri" w:hAnsi="Times New Roman" w:cs="Times New Roman"/>
          <w:sz w:val="28"/>
          <w:szCs w:val="28"/>
          <w:u w:val="single"/>
          <w:lang w:val="lv-LV" w:eastAsia="lv-LV"/>
        </w:rPr>
        <w:t xml:space="preserve"> praktisko darbinieku viedok</w:t>
      </w:r>
      <w:r w:rsidR="00CE610F" w:rsidRPr="00E856E3">
        <w:rPr>
          <w:rFonts w:ascii="Times New Roman" w:eastAsia="Calibri" w:hAnsi="Times New Roman" w:cs="Times New Roman"/>
          <w:sz w:val="28"/>
          <w:szCs w:val="28"/>
          <w:u w:val="single"/>
          <w:lang w:val="lv-LV" w:eastAsia="lv-LV"/>
        </w:rPr>
        <w:t>li</w:t>
      </w:r>
      <w:r w:rsidR="000F400E" w:rsidRPr="00E856E3">
        <w:rPr>
          <w:rFonts w:ascii="Times New Roman" w:eastAsia="Calibri" w:hAnsi="Times New Roman" w:cs="Times New Roman"/>
          <w:sz w:val="28"/>
          <w:szCs w:val="28"/>
          <w:u w:val="single"/>
          <w:lang w:val="lv-LV" w:eastAsia="lv-LV"/>
        </w:rPr>
        <w:t xml:space="preserve"> pēc jaunā KPL stāšanās spēkā, pretēji gaidītajam,</w:t>
      </w:r>
      <w:r w:rsidR="00CE610F" w:rsidRPr="00E856E3">
        <w:rPr>
          <w:rFonts w:ascii="Times New Roman" w:eastAsia="Calibri" w:hAnsi="Times New Roman" w:cs="Times New Roman"/>
          <w:sz w:val="28"/>
          <w:szCs w:val="28"/>
          <w:u w:val="single"/>
          <w:lang w:val="lv-LV" w:eastAsia="lv-LV"/>
        </w:rPr>
        <w:t xml:space="preserve"> </w:t>
      </w:r>
      <w:r w:rsidR="000F400E" w:rsidRPr="00E856E3">
        <w:rPr>
          <w:rFonts w:ascii="Times New Roman" w:eastAsia="Calibri" w:hAnsi="Times New Roman" w:cs="Times New Roman"/>
          <w:sz w:val="28"/>
          <w:szCs w:val="28"/>
          <w:u w:val="single"/>
          <w:lang w:val="lv-LV" w:eastAsia="lv-LV"/>
        </w:rPr>
        <w:t xml:space="preserve">pieauga nepieciešamo procesuālo dokumentu skaits un tehniskā darba apjoms, kas arī būtiski ietekmē izmeklētāju slodzi. </w:t>
      </w:r>
      <w:r w:rsidR="00CD5B3F" w:rsidRPr="00E856E3">
        <w:rPr>
          <w:rFonts w:ascii="Times New Roman" w:eastAsia="Calibri" w:hAnsi="Times New Roman" w:cs="Times New Roman"/>
          <w:sz w:val="28"/>
          <w:szCs w:val="28"/>
          <w:u w:val="single"/>
          <w:lang w:val="lv-LV" w:eastAsia="lv-LV"/>
        </w:rPr>
        <w:t>Joprojām</w:t>
      </w:r>
      <w:r w:rsidR="00880880" w:rsidRPr="00E856E3">
        <w:rPr>
          <w:rFonts w:ascii="Times New Roman" w:eastAsia="Calibri" w:hAnsi="Times New Roman" w:cs="Times New Roman"/>
          <w:sz w:val="28"/>
          <w:szCs w:val="28"/>
          <w:u w:val="single"/>
          <w:lang w:val="lv-LV" w:eastAsia="lv-LV"/>
        </w:rPr>
        <w:t>,</w:t>
      </w:r>
      <w:r w:rsidR="00CD5B3F" w:rsidRPr="00E856E3">
        <w:rPr>
          <w:rFonts w:ascii="Times New Roman" w:eastAsia="Calibri" w:hAnsi="Times New Roman" w:cs="Times New Roman"/>
          <w:sz w:val="28"/>
          <w:szCs w:val="28"/>
          <w:u w:val="single"/>
          <w:lang w:val="lv-LV" w:eastAsia="lv-LV"/>
        </w:rPr>
        <w:t xml:space="preserve"> atsevišķos gadījumos p</w:t>
      </w:r>
      <w:r w:rsidR="000F400E" w:rsidRPr="00E856E3">
        <w:rPr>
          <w:rFonts w:ascii="Times New Roman" w:eastAsia="Calibri" w:hAnsi="Times New Roman" w:cs="Times New Roman"/>
          <w:sz w:val="28"/>
          <w:szCs w:val="28"/>
          <w:u w:val="single"/>
          <w:lang w:val="lv-LV" w:eastAsia="lv-LV"/>
        </w:rPr>
        <w:t>astāv kriminālās statistikas vērtēšanas kritēriju atšķirības un nevienveidīgums, raksturojot izmeklēšanas iestāžu darbības rezultātus. Šajā sakarā nozīmīga loma ir T</w:t>
      </w:r>
      <w:r w:rsidR="006A49A0" w:rsidRPr="00E856E3">
        <w:rPr>
          <w:rFonts w:ascii="Times New Roman" w:eastAsia="Calibri" w:hAnsi="Times New Roman" w:cs="Times New Roman"/>
          <w:sz w:val="28"/>
          <w:szCs w:val="28"/>
          <w:u w:val="single"/>
          <w:lang w:val="lv-LV" w:eastAsia="lv-LV"/>
        </w:rPr>
        <w:t>M</w:t>
      </w:r>
      <w:r w:rsidR="000F400E" w:rsidRPr="00E856E3">
        <w:rPr>
          <w:rFonts w:ascii="Times New Roman" w:eastAsia="Calibri" w:hAnsi="Times New Roman" w:cs="Times New Roman"/>
          <w:sz w:val="28"/>
          <w:szCs w:val="28"/>
          <w:u w:val="single"/>
          <w:lang w:val="lv-LV" w:eastAsia="lv-LV"/>
        </w:rPr>
        <w:t xml:space="preserve"> pastāvīgo KPL un Krimināllikuma pilnveidošanas darba grupu veicamajām aktivitātēm, kā arī regulārām kopīgām darba sanāksmēm ar prokuroriem, tiesnešiem un izmeklēšanas iestāžu darbiniekiem.</w:t>
      </w:r>
    </w:p>
    <w:p w:rsidR="00680FDB" w:rsidRPr="00E856E3" w:rsidRDefault="00680FDB" w:rsidP="00680FDB">
      <w:pPr>
        <w:spacing w:after="0" w:line="240" w:lineRule="auto"/>
        <w:ind w:right="-96" w:firstLine="720"/>
        <w:jc w:val="both"/>
        <w:rPr>
          <w:rFonts w:ascii="Times New Roman" w:eastAsia="Times New Roman" w:hAnsi="Times New Roman" w:cs="Times New Roman"/>
          <w:sz w:val="28"/>
          <w:szCs w:val="28"/>
          <w:u w:val="single"/>
          <w:lang w:val="lv-LV"/>
        </w:rPr>
      </w:pPr>
      <w:r w:rsidRPr="00E856E3">
        <w:rPr>
          <w:rFonts w:ascii="Times New Roman" w:eastAsia="Calibri" w:hAnsi="Times New Roman" w:cs="Times New Roman"/>
          <w:sz w:val="28"/>
          <w:szCs w:val="28"/>
          <w:u w:val="single"/>
          <w:lang w:val="lv-LV" w:eastAsia="lv-LV"/>
        </w:rPr>
        <w:t xml:space="preserve">Lai uzlabotu </w:t>
      </w:r>
      <w:r w:rsidRPr="00E856E3">
        <w:rPr>
          <w:rFonts w:ascii="Times New Roman" w:eastAsia="Times New Roman" w:hAnsi="Times New Roman" w:cs="Times New Roman"/>
          <w:sz w:val="28"/>
          <w:szCs w:val="28"/>
          <w:u w:val="single"/>
          <w:lang w:val="lv-LV"/>
        </w:rPr>
        <w:t>izmeklēšanas kvalitāti un nodrošinātu procesa virzītāju vienotu pieeju atsevišķu noziedzīgu nodarījumu izmeklēšanā, k</w:t>
      </w:r>
      <w:r w:rsidRPr="00E856E3">
        <w:rPr>
          <w:rFonts w:ascii="Times New Roman" w:eastAsia="Calibri" w:hAnsi="Times New Roman" w:cs="Times New Roman"/>
          <w:sz w:val="28"/>
          <w:szCs w:val="28"/>
          <w:u w:val="single"/>
          <w:lang w:val="lv-LV" w:eastAsia="lv-LV"/>
        </w:rPr>
        <w:t xml:space="preserve">atrai izmeklēšanas iestādei </w:t>
      </w:r>
      <w:r w:rsidR="00CE610F" w:rsidRPr="00E856E3">
        <w:rPr>
          <w:rFonts w:ascii="Times New Roman" w:eastAsia="Calibri" w:hAnsi="Times New Roman" w:cs="Times New Roman"/>
          <w:sz w:val="28"/>
          <w:szCs w:val="28"/>
          <w:u w:val="single"/>
          <w:lang w:val="lv-LV" w:eastAsia="lv-LV"/>
        </w:rPr>
        <w:t xml:space="preserve">būtu </w:t>
      </w:r>
      <w:r w:rsidRPr="00E856E3">
        <w:rPr>
          <w:rFonts w:ascii="Times New Roman" w:eastAsia="Calibri" w:hAnsi="Times New Roman" w:cs="Times New Roman"/>
          <w:sz w:val="28"/>
          <w:szCs w:val="28"/>
          <w:u w:val="single"/>
          <w:lang w:val="lv-LV" w:eastAsia="lv-LV"/>
        </w:rPr>
        <w:t xml:space="preserve">individuāli jāizvērtē </w:t>
      </w:r>
      <w:r w:rsidRPr="00E856E3">
        <w:rPr>
          <w:rFonts w:ascii="Times New Roman" w:eastAsia="Times New Roman" w:hAnsi="Times New Roman" w:cs="Times New Roman"/>
          <w:sz w:val="28"/>
          <w:szCs w:val="28"/>
          <w:u w:val="single"/>
          <w:lang w:val="lv-LV"/>
        </w:rPr>
        <w:t xml:space="preserve">vienotas </w:t>
      </w:r>
      <w:r w:rsidR="002D4DC1" w:rsidRPr="00E856E3">
        <w:rPr>
          <w:rFonts w:ascii="Times New Roman" w:eastAsia="Times New Roman" w:hAnsi="Times New Roman" w:cs="Times New Roman"/>
          <w:sz w:val="28"/>
          <w:szCs w:val="28"/>
          <w:u w:val="single"/>
          <w:lang w:val="lv-LV"/>
        </w:rPr>
        <w:t xml:space="preserve">noziedzīgu nodarījumu </w:t>
      </w:r>
      <w:r w:rsidRPr="00E856E3">
        <w:rPr>
          <w:rFonts w:ascii="Times New Roman" w:eastAsia="Times New Roman" w:hAnsi="Times New Roman" w:cs="Times New Roman"/>
          <w:sz w:val="28"/>
          <w:szCs w:val="28"/>
          <w:u w:val="single"/>
          <w:lang w:val="lv-LV"/>
        </w:rPr>
        <w:t>izmeklēšanas metodikas un taktikas izstrād</w:t>
      </w:r>
      <w:r w:rsidR="00CE610F" w:rsidRPr="00E856E3">
        <w:rPr>
          <w:rFonts w:ascii="Times New Roman" w:eastAsia="Times New Roman" w:hAnsi="Times New Roman" w:cs="Times New Roman"/>
          <w:sz w:val="28"/>
          <w:szCs w:val="28"/>
          <w:u w:val="single"/>
          <w:lang w:val="lv-LV"/>
        </w:rPr>
        <w:t>es</w:t>
      </w:r>
      <w:r w:rsidRPr="00E856E3">
        <w:rPr>
          <w:rFonts w:ascii="Times New Roman" w:eastAsia="Times New Roman" w:hAnsi="Times New Roman" w:cs="Times New Roman"/>
          <w:sz w:val="28"/>
          <w:szCs w:val="28"/>
          <w:u w:val="single"/>
          <w:lang w:val="lv-LV"/>
        </w:rPr>
        <w:t xml:space="preserve"> un ieviešan</w:t>
      </w:r>
      <w:r w:rsidR="00CE610F" w:rsidRPr="00E856E3">
        <w:rPr>
          <w:rFonts w:ascii="Times New Roman" w:eastAsia="Times New Roman" w:hAnsi="Times New Roman" w:cs="Times New Roman"/>
          <w:sz w:val="28"/>
          <w:szCs w:val="28"/>
          <w:u w:val="single"/>
          <w:lang w:val="lv-LV"/>
        </w:rPr>
        <w:t>as lietderību</w:t>
      </w:r>
      <w:r w:rsidRPr="00E856E3">
        <w:rPr>
          <w:rFonts w:ascii="Times New Roman" w:eastAsia="Times New Roman" w:hAnsi="Times New Roman" w:cs="Times New Roman"/>
          <w:sz w:val="28"/>
          <w:szCs w:val="28"/>
          <w:u w:val="single"/>
          <w:lang w:val="lv-LV"/>
        </w:rPr>
        <w:t>.</w:t>
      </w:r>
    </w:p>
    <w:p w:rsidR="0043475A" w:rsidRDefault="00CE610F" w:rsidP="00EC3243">
      <w:pPr>
        <w:spacing w:after="0" w:line="240" w:lineRule="auto"/>
        <w:ind w:right="-96" w:firstLine="720"/>
        <w:jc w:val="both"/>
        <w:rPr>
          <w:rFonts w:ascii="Times New Roman" w:eastAsia="Calibri" w:hAnsi="Times New Roman" w:cs="Times New Roman"/>
          <w:sz w:val="28"/>
          <w:szCs w:val="28"/>
          <w:u w:val="single"/>
          <w:lang w:val="lv-LV" w:eastAsia="lv-LV"/>
        </w:rPr>
      </w:pPr>
      <w:r w:rsidRPr="00E856E3">
        <w:rPr>
          <w:rFonts w:ascii="Times New Roman" w:eastAsia="Calibri" w:hAnsi="Times New Roman" w:cs="Times New Roman"/>
          <w:sz w:val="28"/>
          <w:szCs w:val="28"/>
          <w:u w:val="single"/>
          <w:lang w:val="lv-LV" w:eastAsia="lv-LV"/>
        </w:rPr>
        <w:t>P</w:t>
      </w:r>
      <w:r w:rsidR="00EC3243" w:rsidRPr="00E856E3">
        <w:rPr>
          <w:rFonts w:ascii="Times New Roman" w:eastAsia="Calibri" w:hAnsi="Times New Roman" w:cs="Times New Roman"/>
          <w:sz w:val="28"/>
          <w:szCs w:val="28"/>
          <w:u w:val="single"/>
          <w:lang w:val="lv-LV" w:eastAsia="lv-LV"/>
        </w:rPr>
        <w:t xml:space="preserve">ašreiz izmeklēšanas iestādes </w:t>
      </w:r>
      <w:r w:rsidR="00197324">
        <w:rPr>
          <w:rFonts w:ascii="Times New Roman" w:eastAsia="Calibri" w:hAnsi="Times New Roman" w:cs="Times New Roman"/>
          <w:sz w:val="28"/>
          <w:szCs w:val="28"/>
          <w:u w:val="single"/>
          <w:lang w:val="lv-LV" w:eastAsia="lv-LV"/>
        </w:rPr>
        <w:t xml:space="preserve">bieži </w:t>
      </w:r>
      <w:r w:rsidR="00DB0B8B">
        <w:rPr>
          <w:rFonts w:ascii="Times New Roman" w:eastAsia="Calibri" w:hAnsi="Times New Roman" w:cs="Times New Roman"/>
          <w:sz w:val="28"/>
          <w:szCs w:val="28"/>
          <w:u w:val="single"/>
          <w:lang w:val="lv-LV" w:eastAsia="lv-LV"/>
        </w:rPr>
        <w:t xml:space="preserve">vien </w:t>
      </w:r>
      <w:r w:rsidR="00EC3243" w:rsidRPr="00E856E3">
        <w:rPr>
          <w:rFonts w:ascii="Times New Roman" w:eastAsia="Calibri" w:hAnsi="Times New Roman" w:cs="Times New Roman"/>
          <w:sz w:val="28"/>
          <w:szCs w:val="28"/>
          <w:u w:val="single"/>
          <w:lang w:val="lv-LV" w:eastAsia="lv-LV"/>
        </w:rPr>
        <w:t xml:space="preserve">nevar precīzi konstatēt  </w:t>
      </w:r>
      <w:r w:rsidRPr="00E856E3">
        <w:rPr>
          <w:rFonts w:ascii="Times New Roman" w:eastAsia="Calibri" w:hAnsi="Times New Roman" w:cs="Times New Roman"/>
          <w:sz w:val="28"/>
          <w:szCs w:val="28"/>
          <w:u w:val="single"/>
          <w:lang w:val="lv-LV" w:eastAsia="lv-LV"/>
        </w:rPr>
        <w:t xml:space="preserve">nepamatotas rīcības rezultātā nodarīto zaudējumu </w:t>
      </w:r>
      <w:r w:rsidR="00EC3243" w:rsidRPr="00E856E3">
        <w:rPr>
          <w:rFonts w:ascii="Times New Roman" w:eastAsia="Calibri" w:hAnsi="Times New Roman" w:cs="Times New Roman"/>
          <w:sz w:val="28"/>
          <w:szCs w:val="28"/>
          <w:u w:val="single"/>
          <w:lang w:val="lv-LV" w:eastAsia="lv-LV"/>
        </w:rPr>
        <w:t xml:space="preserve">nodarīšanas cēloņus un veikt attiecīgus pasākumus to novēršanai. </w:t>
      </w:r>
    </w:p>
    <w:p w:rsidR="00EC3243" w:rsidRPr="00EC3243" w:rsidRDefault="00E856E3" w:rsidP="00EC3243">
      <w:pPr>
        <w:spacing w:after="0" w:line="240" w:lineRule="auto"/>
        <w:ind w:right="-96" w:firstLine="720"/>
        <w:jc w:val="both"/>
        <w:rPr>
          <w:rFonts w:ascii="Times New Roman" w:eastAsia="Calibri" w:hAnsi="Times New Roman" w:cs="Times New Roman"/>
          <w:b/>
          <w:color w:val="FF0000"/>
          <w:sz w:val="28"/>
          <w:szCs w:val="28"/>
          <w:u w:val="single"/>
          <w:lang w:val="lv-LV" w:eastAsia="lv-LV"/>
        </w:rPr>
      </w:pPr>
      <w:r w:rsidRPr="00E856E3">
        <w:rPr>
          <w:rFonts w:ascii="Times New Roman" w:eastAsia="Calibri" w:hAnsi="Times New Roman" w:cs="Times New Roman"/>
          <w:sz w:val="28"/>
          <w:szCs w:val="28"/>
          <w:u w:val="single"/>
          <w:lang w:val="lv-LV" w:eastAsia="lv-LV"/>
        </w:rPr>
        <w:t xml:space="preserve">Šajā sakarā </w:t>
      </w:r>
      <w:r w:rsidR="0043475A">
        <w:rPr>
          <w:rFonts w:ascii="Times New Roman" w:eastAsia="Calibri" w:hAnsi="Times New Roman" w:cs="Times New Roman"/>
          <w:sz w:val="28"/>
          <w:szCs w:val="28"/>
          <w:u w:val="single"/>
          <w:lang w:val="lv-LV" w:eastAsia="lv-LV"/>
        </w:rPr>
        <w:t xml:space="preserve">svarīga ir arī </w:t>
      </w:r>
      <w:r w:rsidRPr="00E856E3">
        <w:rPr>
          <w:rFonts w:ascii="Times New Roman" w:eastAsia="Calibri" w:hAnsi="Times New Roman" w:cs="Times New Roman"/>
          <w:sz w:val="28"/>
          <w:szCs w:val="28"/>
          <w:u w:val="single"/>
          <w:lang w:val="lv-LV" w:eastAsia="lv-LV"/>
        </w:rPr>
        <w:t xml:space="preserve">izmeklēšanas iestāžu nodrošināšana ar piekļuvi  </w:t>
      </w:r>
      <w:r w:rsidR="0050705C" w:rsidRPr="00E856E3">
        <w:rPr>
          <w:rFonts w:ascii="Times New Roman" w:eastAsia="Calibri" w:hAnsi="Times New Roman" w:cs="Times New Roman"/>
          <w:sz w:val="28"/>
          <w:szCs w:val="28"/>
          <w:u w:val="single"/>
          <w:lang w:val="lv-LV" w:eastAsia="lv-LV"/>
        </w:rPr>
        <w:t>Tiesu informācijas sistēmai</w:t>
      </w:r>
      <w:r w:rsidRPr="00E856E3">
        <w:rPr>
          <w:rFonts w:ascii="Times New Roman" w:eastAsia="Calibri" w:hAnsi="Times New Roman" w:cs="Times New Roman"/>
          <w:sz w:val="28"/>
          <w:szCs w:val="28"/>
          <w:u w:val="single"/>
          <w:lang w:val="lv-LV" w:eastAsia="lv-LV"/>
        </w:rPr>
        <w:t>, k</w:t>
      </w:r>
      <w:r w:rsidR="00CE610F" w:rsidRPr="00E856E3">
        <w:rPr>
          <w:rFonts w:ascii="Times New Roman" w:eastAsia="Calibri" w:hAnsi="Times New Roman" w:cs="Times New Roman"/>
          <w:sz w:val="28"/>
          <w:szCs w:val="28"/>
          <w:u w:val="single"/>
          <w:lang w:val="lv-LV" w:eastAsia="lv-LV"/>
        </w:rPr>
        <w:t>as</w:t>
      </w:r>
      <w:r w:rsidR="00EC3243" w:rsidRPr="00E856E3">
        <w:rPr>
          <w:rFonts w:ascii="Times New Roman" w:eastAsia="Calibri" w:hAnsi="Times New Roman" w:cs="Times New Roman"/>
          <w:sz w:val="28"/>
          <w:szCs w:val="28"/>
          <w:u w:val="single"/>
          <w:lang w:val="lv-LV" w:eastAsia="lv-LV"/>
        </w:rPr>
        <w:t xml:space="preserve"> </w:t>
      </w:r>
      <w:r w:rsidR="0043475A">
        <w:rPr>
          <w:rFonts w:ascii="Times New Roman" w:eastAsia="Calibri" w:hAnsi="Times New Roman" w:cs="Times New Roman"/>
          <w:sz w:val="28"/>
          <w:szCs w:val="28"/>
          <w:u w:val="single"/>
          <w:lang w:val="lv-LV" w:eastAsia="lv-LV"/>
        </w:rPr>
        <w:t>paplašinātu izmeklēšanas iestāžu iespējas</w:t>
      </w:r>
      <w:r w:rsidR="00EC3243" w:rsidRPr="00E856E3">
        <w:rPr>
          <w:rFonts w:ascii="Times New Roman" w:eastAsia="Calibri" w:hAnsi="Times New Roman" w:cs="Times New Roman"/>
          <w:sz w:val="28"/>
          <w:szCs w:val="28"/>
          <w:u w:val="single"/>
          <w:lang w:val="lv-LV" w:eastAsia="lv-LV"/>
        </w:rPr>
        <w:t xml:space="preserve"> analizēt informāciju par tiesu nolēmumiem krimināllietās un administratīvo pārkāpumu lietās</w:t>
      </w:r>
      <w:r w:rsidR="0050705C" w:rsidRPr="00E856E3">
        <w:rPr>
          <w:rFonts w:ascii="Times New Roman" w:eastAsia="Calibri" w:hAnsi="Times New Roman" w:cs="Times New Roman"/>
          <w:sz w:val="28"/>
          <w:szCs w:val="28"/>
          <w:u w:val="single"/>
          <w:lang w:val="lv-LV" w:eastAsia="lv-LV"/>
        </w:rPr>
        <w:t>.</w:t>
      </w:r>
      <w:r w:rsidR="0050705C" w:rsidRPr="00E856E3">
        <w:rPr>
          <w:rFonts w:ascii="Times New Roman" w:eastAsia="Calibri" w:hAnsi="Times New Roman" w:cs="Times New Roman"/>
          <w:b/>
          <w:sz w:val="28"/>
          <w:szCs w:val="28"/>
          <w:u w:val="single"/>
          <w:lang w:val="lv-LV" w:eastAsia="lv-LV"/>
        </w:rPr>
        <w:t xml:space="preserve"> </w:t>
      </w:r>
    </w:p>
    <w:p w:rsidR="00A906E9" w:rsidRPr="00593169" w:rsidRDefault="00A906E9" w:rsidP="00CC4175">
      <w:pPr>
        <w:spacing w:after="0" w:line="240" w:lineRule="auto"/>
        <w:ind w:right="-96" w:firstLine="720"/>
        <w:jc w:val="both"/>
        <w:rPr>
          <w:rFonts w:ascii="Times New Roman" w:eastAsia="Calibri" w:hAnsi="Times New Roman" w:cs="Times New Roman"/>
          <w:sz w:val="28"/>
          <w:szCs w:val="28"/>
          <w:u w:val="single"/>
          <w:lang w:val="lv-LV" w:eastAsia="lv-LV"/>
        </w:rPr>
      </w:pPr>
      <w:r w:rsidRPr="00593169">
        <w:rPr>
          <w:rFonts w:ascii="Times New Roman" w:eastAsia="Calibri" w:hAnsi="Times New Roman" w:cs="Times New Roman"/>
          <w:sz w:val="28"/>
          <w:szCs w:val="28"/>
          <w:u w:val="single"/>
          <w:lang w:val="lv-LV" w:eastAsia="lv-LV"/>
        </w:rPr>
        <w:t>Viena no Eiropas Savienības prioritātēm ir Eiropas Kriminālizlūkošanas modeļa ieviešana, nodrošinot augstu kriminālizlūkošanas kvalitātes standartu. Minētais modelis nosaka vienotu metodoloģiju, kura jāievēro visām Eiropas Savienības dalībvalstīm un aģentūrām, īpaši Eiropolam, ar mērķi nodrošināt efektīvu informācijas plūsmu starp tiesībaizsardzības iestādēm organizētās un pārrobežu noziedzības apkarošanā.</w:t>
      </w:r>
    </w:p>
    <w:p w:rsidR="00903EE9" w:rsidRPr="00593169" w:rsidRDefault="00903EE9" w:rsidP="00CC4175">
      <w:pPr>
        <w:spacing w:after="0" w:line="240" w:lineRule="auto"/>
        <w:ind w:right="-96" w:firstLine="720"/>
        <w:jc w:val="both"/>
        <w:rPr>
          <w:rFonts w:ascii="Times New Roman" w:eastAsia="Calibri" w:hAnsi="Times New Roman" w:cs="Times New Roman"/>
          <w:sz w:val="28"/>
          <w:szCs w:val="28"/>
          <w:u w:val="single"/>
          <w:lang w:val="lv-LV" w:eastAsia="lv-LV"/>
        </w:rPr>
      </w:pPr>
      <w:r w:rsidRPr="00593169">
        <w:rPr>
          <w:rFonts w:ascii="Times New Roman" w:eastAsia="Calibri" w:hAnsi="Times New Roman" w:cs="Times New Roman"/>
          <w:sz w:val="28"/>
          <w:szCs w:val="28"/>
          <w:u w:val="single"/>
          <w:lang w:val="lv-LV" w:eastAsia="lv-LV"/>
        </w:rPr>
        <w:lastRenderedPageBreak/>
        <w:t>Kriminālizlūkošanas modeļa darbību kopums ļauj prioritizēt darbu un efektīvi izmantot tiesībaizsardzības iestāžu resursus. Darbības efektivitāte un resursu ekonomija ir būtiska ne tikai katrā iestādē atsevišķi, bet būtiski ir panākt tiesībaizsardzības iestāžu saskaņotu darbību cīņā ar noziedzību.</w:t>
      </w:r>
    </w:p>
    <w:p w:rsidR="00F94390" w:rsidRDefault="0043475A" w:rsidP="00CC4175">
      <w:pPr>
        <w:spacing w:after="0" w:line="240" w:lineRule="auto"/>
        <w:ind w:right="-96" w:firstLine="720"/>
        <w:jc w:val="both"/>
        <w:rPr>
          <w:rFonts w:ascii="Times New Roman" w:eastAsia="Calibri" w:hAnsi="Times New Roman" w:cs="Times New Roman"/>
          <w:sz w:val="28"/>
          <w:szCs w:val="28"/>
          <w:u w:val="single"/>
          <w:lang w:val="lv-LV" w:eastAsia="lv-LV"/>
        </w:rPr>
      </w:pPr>
      <w:r>
        <w:rPr>
          <w:rFonts w:ascii="Times New Roman" w:eastAsia="Calibri" w:hAnsi="Times New Roman" w:cs="Times New Roman"/>
          <w:sz w:val="28"/>
          <w:szCs w:val="28"/>
          <w:u w:val="single"/>
          <w:lang w:val="lv-LV" w:eastAsia="lv-LV"/>
        </w:rPr>
        <w:t>Iekšlietu ministrijas</w:t>
      </w:r>
      <w:r w:rsidR="00F94390" w:rsidRPr="00593169">
        <w:rPr>
          <w:rFonts w:ascii="Times New Roman" w:eastAsia="Calibri" w:hAnsi="Times New Roman" w:cs="Times New Roman"/>
          <w:sz w:val="28"/>
          <w:szCs w:val="28"/>
          <w:u w:val="single"/>
          <w:lang w:val="lv-LV" w:eastAsia="lv-LV"/>
        </w:rPr>
        <w:t xml:space="preserve"> </w:t>
      </w:r>
      <w:r>
        <w:rPr>
          <w:rFonts w:ascii="Times New Roman" w:eastAsia="Calibri" w:hAnsi="Times New Roman" w:cs="Times New Roman"/>
          <w:sz w:val="28"/>
          <w:szCs w:val="28"/>
          <w:u w:val="single"/>
          <w:lang w:val="lv-LV" w:eastAsia="lv-LV"/>
        </w:rPr>
        <w:t xml:space="preserve">2013.gada </w:t>
      </w:r>
      <w:r w:rsidR="00F94390" w:rsidRPr="00593169">
        <w:rPr>
          <w:rFonts w:ascii="Times New Roman" w:eastAsia="Calibri" w:hAnsi="Times New Roman" w:cs="Times New Roman"/>
          <w:sz w:val="28"/>
          <w:szCs w:val="28"/>
          <w:u w:val="single"/>
          <w:lang w:val="lv-LV" w:eastAsia="lv-LV"/>
        </w:rPr>
        <w:t>darba plāns paredz izstrādāt koncepcijas „Nacionālā kriminālizlūkošanas modeļa ieviešanai tiesībaizsardzības iestādēs un valsts drošības iestādēs” projektu (izpildes termiņš</w:t>
      </w:r>
      <w:r w:rsidR="00593169">
        <w:rPr>
          <w:rFonts w:ascii="Times New Roman" w:eastAsia="Calibri" w:hAnsi="Times New Roman" w:cs="Times New Roman"/>
          <w:sz w:val="28"/>
          <w:szCs w:val="28"/>
          <w:u w:val="single"/>
          <w:lang w:val="lv-LV" w:eastAsia="lv-LV"/>
        </w:rPr>
        <w:t xml:space="preserve"> – </w:t>
      </w:r>
      <w:r w:rsidR="00E856E3">
        <w:rPr>
          <w:rFonts w:ascii="Times New Roman" w:eastAsia="Calibri" w:hAnsi="Times New Roman" w:cs="Times New Roman"/>
          <w:sz w:val="28"/>
          <w:szCs w:val="28"/>
          <w:u w:val="single"/>
          <w:lang w:val="lv-LV" w:eastAsia="lv-LV"/>
        </w:rPr>
        <w:t>2013.gada maijs</w:t>
      </w:r>
      <w:r w:rsidR="00F94390" w:rsidRPr="00593169">
        <w:rPr>
          <w:rFonts w:ascii="Times New Roman" w:eastAsia="Calibri" w:hAnsi="Times New Roman" w:cs="Times New Roman"/>
          <w:sz w:val="28"/>
          <w:szCs w:val="28"/>
          <w:u w:val="single"/>
          <w:lang w:val="lv-LV" w:eastAsia="lv-LV"/>
        </w:rPr>
        <w:t>).</w:t>
      </w:r>
      <w:r w:rsidR="00C228F4" w:rsidRPr="00593169">
        <w:rPr>
          <w:rFonts w:ascii="Times New Roman" w:eastAsia="Calibri" w:hAnsi="Times New Roman" w:cs="Times New Roman"/>
          <w:sz w:val="28"/>
          <w:szCs w:val="28"/>
          <w:u w:val="single"/>
          <w:lang w:val="lv-LV" w:eastAsia="lv-LV"/>
        </w:rPr>
        <w:t xml:space="preserve"> </w:t>
      </w:r>
    </w:p>
    <w:p w:rsidR="00432247" w:rsidRDefault="00432247" w:rsidP="00CC4175">
      <w:pPr>
        <w:spacing w:after="0" w:line="240" w:lineRule="auto"/>
        <w:ind w:right="-96" w:firstLine="720"/>
        <w:jc w:val="both"/>
        <w:rPr>
          <w:rFonts w:ascii="Times New Roman" w:eastAsia="Calibri" w:hAnsi="Times New Roman" w:cs="Times New Roman"/>
          <w:color w:val="000000"/>
          <w:sz w:val="28"/>
          <w:szCs w:val="28"/>
          <w:lang w:val="lv-LV" w:eastAsia="lv-LV"/>
        </w:rPr>
      </w:pPr>
      <w:r w:rsidRPr="0068642B">
        <w:rPr>
          <w:rFonts w:ascii="Times New Roman" w:eastAsia="Calibri" w:hAnsi="Times New Roman" w:cs="Times New Roman"/>
          <w:sz w:val="28"/>
          <w:szCs w:val="28"/>
          <w:lang w:val="lv-LV" w:eastAsia="lv-LV"/>
        </w:rPr>
        <w:t>Prokuratūra, realizējot tai noteiktās funkcijas un uzraugot pirmstiesas izmeklēšanas darbības, daudzkārt ir konstatējusi, ka izmeklētāji kriminālprocesos pieļauj pārkāpumus procesuālo piespiedu līdzekļu piemērošanā, to sākotnējās nepieciešamības un apstākļa, cik lietderīgi tos piemērot tālākā izmeklēšanas gaitā, izvērtējumā, kā arī pamatojuma noformulēšanā procesuālajos dokumentos. Šis ir viens no aktuālākajiem jautājumiem, kas obligāti ietverams personāla apmācībās, jo tas ir saistīts ar būtisk</w:t>
      </w:r>
      <w:r w:rsidRPr="00432247">
        <w:rPr>
          <w:rFonts w:ascii="Times New Roman" w:eastAsia="Calibri" w:hAnsi="Times New Roman" w:cs="Times New Roman"/>
          <w:color w:val="000000"/>
          <w:sz w:val="28"/>
          <w:szCs w:val="28"/>
          <w:lang w:val="lv-LV" w:eastAsia="lv-LV"/>
        </w:rPr>
        <w:t xml:space="preserve">u Latvijas Republikas Satversmē garantēto tiesību ierobežojumu, kas nepamatotas vai nelikumīgas izmeklētāja rīcības vai lēmuma gadījumā atbilstoši likumam </w:t>
      </w:r>
      <w:r w:rsidR="005F7F75">
        <w:rPr>
          <w:rFonts w:ascii="Times New Roman" w:eastAsia="Calibri" w:hAnsi="Times New Roman" w:cs="Times New Roman"/>
          <w:color w:val="000000"/>
          <w:sz w:val="28"/>
          <w:szCs w:val="28"/>
          <w:lang w:val="lv-LV" w:eastAsia="lv-LV"/>
        </w:rPr>
        <w:t>„</w:t>
      </w:r>
      <w:r w:rsidRPr="00432247">
        <w:rPr>
          <w:rFonts w:ascii="Times New Roman" w:eastAsia="Calibri" w:hAnsi="Times New Roman" w:cs="Times New Roman"/>
          <w:color w:val="000000"/>
          <w:sz w:val="28"/>
          <w:szCs w:val="28"/>
          <w:lang w:val="lv-LV" w:eastAsia="lv-LV"/>
        </w:rPr>
        <w:t>Par izziņas iestādes, prokuratūras vai tiesas nelikumīgas vai nepamatotas rīcības rezultātā nodarīto zaudējumu atlīdzināšanu</w:t>
      </w:r>
      <w:r w:rsidR="005F7F75">
        <w:rPr>
          <w:rFonts w:ascii="Times New Roman" w:eastAsia="Calibri" w:hAnsi="Times New Roman" w:cs="Times New Roman"/>
          <w:color w:val="000000"/>
          <w:sz w:val="28"/>
          <w:szCs w:val="28"/>
          <w:lang w:val="lv-LV" w:eastAsia="lv-LV"/>
        </w:rPr>
        <w:t>”</w:t>
      </w:r>
      <w:r w:rsidRPr="00432247">
        <w:rPr>
          <w:rFonts w:ascii="Times New Roman" w:eastAsia="Calibri" w:hAnsi="Times New Roman" w:cs="Times New Roman"/>
          <w:color w:val="000000"/>
          <w:sz w:val="28"/>
          <w:szCs w:val="28"/>
          <w:lang w:val="lv-LV" w:eastAsia="lv-LV"/>
        </w:rPr>
        <w:t xml:space="preserve"> dod pamatu personai prasīt zaudējuma atlīdzību.</w:t>
      </w:r>
    </w:p>
    <w:p w:rsidR="003A2D20" w:rsidRPr="00593169" w:rsidRDefault="003A2D20" w:rsidP="00CC4175">
      <w:pPr>
        <w:tabs>
          <w:tab w:val="left" w:pos="426"/>
          <w:tab w:val="left" w:pos="709"/>
          <w:tab w:val="left" w:pos="851"/>
        </w:tabs>
        <w:spacing w:after="0" w:line="240" w:lineRule="auto"/>
        <w:ind w:right="-96"/>
        <w:jc w:val="both"/>
        <w:rPr>
          <w:rFonts w:ascii="Times New Roman" w:eastAsia="Calibri" w:hAnsi="Times New Roman" w:cs="Times New Roman"/>
          <w:sz w:val="28"/>
          <w:szCs w:val="28"/>
          <w:u w:val="single"/>
          <w:lang w:val="lv-LV" w:eastAsia="lv-LV"/>
        </w:rPr>
      </w:pPr>
      <w:r>
        <w:rPr>
          <w:rFonts w:ascii="Times New Roman" w:eastAsia="Calibri" w:hAnsi="Times New Roman" w:cs="Times New Roman"/>
          <w:b/>
          <w:sz w:val="28"/>
          <w:szCs w:val="28"/>
          <w:lang w:val="lv-LV" w:eastAsia="lv-LV"/>
        </w:rPr>
        <w:tab/>
        <w:t xml:space="preserve">    </w:t>
      </w:r>
      <w:r w:rsidR="00C31815" w:rsidRPr="00593169">
        <w:rPr>
          <w:rFonts w:ascii="Times New Roman" w:hAnsi="Times New Roman"/>
          <w:sz w:val="28"/>
          <w:szCs w:val="28"/>
          <w:u w:val="single"/>
          <w:lang w:val="lv-LV" w:eastAsia="lv-LV"/>
        </w:rPr>
        <w:t>Informācija par nepieciešamā papildu finansējuma apmēru 2014. – 2015.gadam, lai nodrošin</w:t>
      </w:r>
      <w:r w:rsidR="0043475A">
        <w:rPr>
          <w:rFonts w:ascii="Times New Roman" w:hAnsi="Times New Roman"/>
          <w:sz w:val="28"/>
          <w:szCs w:val="28"/>
          <w:u w:val="single"/>
          <w:lang w:val="lv-LV" w:eastAsia="lv-LV"/>
        </w:rPr>
        <w:t>ātu Pasākumu plānā paredzēto Iekšlietu ministrijas</w:t>
      </w:r>
      <w:r w:rsidR="00C31815" w:rsidRPr="00593169">
        <w:rPr>
          <w:rFonts w:ascii="Times New Roman" w:hAnsi="Times New Roman"/>
          <w:sz w:val="28"/>
          <w:szCs w:val="28"/>
          <w:u w:val="single"/>
          <w:lang w:val="lv-LV" w:eastAsia="lv-LV"/>
        </w:rPr>
        <w:t xml:space="preserve"> atbildībā esošo pasākumu īstenošanu, tiks iesniegta Fi</w:t>
      </w:r>
      <w:r w:rsidR="0043475A">
        <w:rPr>
          <w:rFonts w:ascii="Times New Roman" w:hAnsi="Times New Roman"/>
          <w:sz w:val="28"/>
          <w:szCs w:val="28"/>
          <w:u w:val="single"/>
          <w:lang w:val="lv-LV" w:eastAsia="lv-LV"/>
        </w:rPr>
        <w:t>nanšu ministrijā un izvērtēta Ministru kabinetā</w:t>
      </w:r>
      <w:r w:rsidR="00C31815" w:rsidRPr="00593169">
        <w:rPr>
          <w:rFonts w:ascii="Times New Roman" w:hAnsi="Times New Roman"/>
          <w:sz w:val="28"/>
          <w:szCs w:val="28"/>
          <w:u w:val="single"/>
          <w:lang w:val="lv-LV" w:eastAsia="lv-LV"/>
        </w:rPr>
        <w:t xml:space="preserve"> vidēja termiņa valsts budžeta likumprojekta un likumprojekta</w:t>
      </w:r>
      <w:r w:rsidR="006B7087" w:rsidRPr="00593169">
        <w:rPr>
          <w:rFonts w:ascii="Times New Roman" w:hAnsi="Times New Roman"/>
          <w:sz w:val="28"/>
          <w:szCs w:val="28"/>
          <w:u w:val="single"/>
          <w:lang w:val="lv-LV" w:eastAsia="lv-LV"/>
        </w:rPr>
        <w:t xml:space="preserve"> </w:t>
      </w:r>
      <w:r w:rsidR="00C31815" w:rsidRPr="00593169">
        <w:rPr>
          <w:rFonts w:ascii="Times New Roman" w:hAnsi="Times New Roman"/>
          <w:sz w:val="28"/>
          <w:szCs w:val="28"/>
          <w:u w:val="single"/>
          <w:lang w:val="lv-LV" w:eastAsia="lv-LV"/>
        </w:rPr>
        <w:t>par valsts budžetu 2014.gadam</w:t>
      </w:r>
      <w:r w:rsidR="006B7087" w:rsidRPr="00593169">
        <w:rPr>
          <w:rFonts w:ascii="Times New Roman" w:hAnsi="Times New Roman"/>
          <w:sz w:val="28"/>
          <w:szCs w:val="28"/>
          <w:u w:val="single"/>
          <w:lang w:val="lv-LV" w:eastAsia="lv-LV"/>
        </w:rPr>
        <w:t xml:space="preserve"> </w:t>
      </w:r>
      <w:r w:rsidR="00C31815" w:rsidRPr="00593169">
        <w:rPr>
          <w:rFonts w:ascii="Times New Roman" w:hAnsi="Times New Roman"/>
          <w:sz w:val="28"/>
          <w:szCs w:val="28"/>
          <w:u w:val="single"/>
          <w:lang w:val="lv-LV" w:eastAsia="lv-LV"/>
        </w:rPr>
        <w:t>sagatavošanas procesā.</w:t>
      </w:r>
    </w:p>
    <w:p w:rsidR="003A2D20" w:rsidRPr="00593169" w:rsidRDefault="003A2D20" w:rsidP="00DC42BF">
      <w:pPr>
        <w:spacing w:after="0" w:line="240" w:lineRule="auto"/>
        <w:ind w:right="-96"/>
        <w:jc w:val="both"/>
        <w:rPr>
          <w:rFonts w:ascii="Times New Roman" w:eastAsia="Times New Roman" w:hAnsi="Times New Roman" w:cs="Times New Roman"/>
          <w:sz w:val="28"/>
          <w:szCs w:val="28"/>
          <w:u w:val="single"/>
          <w:lang w:val="lv-LV"/>
        </w:rPr>
      </w:pPr>
      <w:r w:rsidRPr="00593169">
        <w:rPr>
          <w:rFonts w:ascii="Times New Roman" w:eastAsia="Calibri" w:hAnsi="Times New Roman" w:cs="Times New Roman"/>
          <w:sz w:val="28"/>
          <w:szCs w:val="28"/>
          <w:u w:val="single"/>
          <w:lang w:val="lv-LV" w:eastAsia="lv-LV"/>
        </w:rPr>
        <w:t xml:space="preserve"> </w:t>
      </w:r>
      <w:r w:rsidR="0043475A">
        <w:rPr>
          <w:rFonts w:ascii="Times New Roman" w:eastAsia="Times New Roman" w:hAnsi="Times New Roman" w:cs="Times New Roman"/>
          <w:sz w:val="28"/>
          <w:szCs w:val="28"/>
          <w:u w:val="single"/>
          <w:lang w:val="lv-LV"/>
        </w:rPr>
        <w:t xml:space="preserve">        Tā </w:t>
      </w:r>
      <w:r w:rsidR="00C31815" w:rsidRPr="00593169">
        <w:rPr>
          <w:rFonts w:ascii="Times New Roman" w:eastAsia="Times New Roman" w:hAnsi="Times New Roman" w:cs="Times New Roman"/>
          <w:sz w:val="28"/>
          <w:szCs w:val="28"/>
          <w:u w:val="single"/>
          <w:lang w:val="lv-LV"/>
        </w:rPr>
        <w:t xml:space="preserve">piemēram, </w:t>
      </w:r>
      <w:r w:rsidRPr="00593169">
        <w:rPr>
          <w:rFonts w:ascii="Times New Roman" w:eastAsia="Times New Roman" w:hAnsi="Times New Roman" w:cs="Times New Roman"/>
          <w:sz w:val="28"/>
          <w:szCs w:val="28"/>
          <w:u w:val="single"/>
          <w:lang w:val="lv-LV"/>
        </w:rPr>
        <w:t>V</w:t>
      </w:r>
      <w:r w:rsidR="0043475A">
        <w:rPr>
          <w:rFonts w:ascii="Times New Roman" w:eastAsia="Times New Roman" w:hAnsi="Times New Roman" w:cs="Times New Roman"/>
          <w:sz w:val="28"/>
          <w:szCs w:val="28"/>
          <w:u w:val="single"/>
          <w:lang w:val="lv-LV"/>
        </w:rPr>
        <w:t>alsts policijai</w:t>
      </w:r>
      <w:r w:rsidR="00C31815" w:rsidRPr="00593169">
        <w:rPr>
          <w:rFonts w:ascii="Times New Roman" w:eastAsia="Times New Roman" w:hAnsi="Times New Roman" w:cs="Times New Roman"/>
          <w:sz w:val="28"/>
          <w:szCs w:val="28"/>
          <w:u w:val="single"/>
          <w:lang w:val="lv-LV"/>
        </w:rPr>
        <w:t xml:space="preserve"> </w:t>
      </w:r>
      <w:r w:rsidRPr="00593169">
        <w:rPr>
          <w:rFonts w:ascii="Times New Roman" w:eastAsia="Times New Roman" w:hAnsi="Times New Roman" w:cs="Times New Roman"/>
          <w:sz w:val="28"/>
          <w:szCs w:val="28"/>
          <w:u w:val="single"/>
          <w:lang w:val="lv-LV"/>
        </w:rPr>
        <w:t xml:space="preserve">iekārtu atjaunošanai (laboratorijas, medicīniskās iekārtas, iekārtas un aprīkojumu notikumu vietas apskates ekspertiem), sprādzienbīstamu objektu izpētes laboratorijas ierīkošanai, mikroskopu, DNS iekārtu iegādei, lai nodrošinātu kvalitatīvu noziedzīgu nodarījumu vietas apskates un tiesu ekspertīžu veikšanu, kā arī DNS datu bāzes uzturēšanai un DNS ekspertīžu veikšanai </w:t>
      </w:r>
      <w:r w:rsidR="00C31815" w:rsidRPr="00593169">
        <w:rPr>
          <w:rFonts w:ascii="Times New Roman" w:eastAsia="Times New Roman" w:hAnsi="Times New Roman" w:cs="Times New Roman"/>
          <w:sz w:val="28"/>
          <w:szCs w:val="28"/>
          <w:u w:val="single"/>
          <w:lang w:val="lv-LV"/>
        </w:rPr>
        <w:t xml:space="preserve">nepieciešamajiem </w:t>
      </w:r>
      <w:r w:rsidRPr="00593169">
        <w:rPr>
          <w:rFonts w:ascii="Times New Roman" w:eastAsia="Times New Roman" w:hAnsi="Times New Roman" w:cs="Times New Roman"/>
          <w:sz w:val="28"/>
          <w:szCs w:val="28"/>
          <w:u w:val="single"/>
          <w:lang w:val="lv-LV"/>
        </w:rPr>
        <w:t xml:space="preserve">reaģentiem, ķimikālijām un testiem 2014.gadam </w:t>
      </w:r>
      <w:r w:rsidR="00C31815" w:rsidRPr="00593169">
        <w:rPr>
          <w:rFonts w:ascii="Times New Roman" w:eastAsia="Times New Roman" w:hAnsi="Times New Roman" w:cs="Times New Roman"/>
          <w:sz w:val="28"/>
          <w:szCs w:val="28"/>
          <w:u w:val="single"/>
          <w:lang w:val="lv-LV"/>
        </w:rPr>
        <w:t>būtu nepieciešami papildus</w:t>
      </w:r>
      <w:r w:rsidRPr="00593169">
        <w:rPr>
          <w:rFonts w:ascii="Times New Roman" w:eastAsia="Times New Roman" w:hAnsi="Times New Roman" w:cs="Times New Roman"/>
          <w:sz w:val="28"/>
          <w:szCs w:val="28"/>
          <w:u w:val="single"/>
          <w:lang w:val="lv-LV"/>
        </w:rPr>
        <w:t xml:space="preserve"> 615 000</w:t>
      </w:r>
      <w:r w:rsidR="00C31815" w:rsidRPr="00593169">
        <w:rPr>
          <w:rFonts w:ascii="Times New Roman" w:eastAsia="Times New Roman" w:hAnsi="Times New Roman" w:cs="Times New Roman"/>
          <w:sz w:val="28"/>
          <w:szCs w:val="28"/>
          <w:u w:val="single"/>
          <w:lang w:val="lv-LV"/>
        </w:rPr>
        <w:t xml:space="preserve"> latu</w:t>
      </w:r>
      <w:r w:rsidRPr="00593169">
        <w:rPr>
          <w:rFonts w:ascii="Times New Roman" w:eastAsia="Times New Roman" w:hAnsi="Times New Roman" w:cs="Times New Roman"/>
          <w:sz w:val="28"/>
          <w:szCs w:val="28"/>
          <w:u w:val="single"/>
          <w:lang w:val="lv-LV"/>
        </w:rPr>
        <w:t>, 2015.gadam – 695 000</w:t>
      </w:r>
      <w:r w:rsidR="00C31815" w:rsidRPr="00593169">
        <w:rPr>
          <w:rFonts w:ascii="Times New Roman" w:eastAsia="Times New Roman" w:hAnsi="Times New Roman" w:cs="Times New Roman"/>
          <w:sz w:val="28"/>
          <w:szCs w:val="28"/>
          <w:u w:val="single"/>
          <w:lang w:val="lv-LV"/>
        </w:rPr>
        <w:t xml:space="preserve"> latu</w:t>
      </w:r>
      <w:r w:rsidRPr="00593169">
        <w:rPr>
          <w:rFonts w:ascii="Times New Roman" w:eastAsia="Times New Roman" w:hAnsi="Times New Roman" w:cs="Times New Roman"/>
          <w:sz w:val="28"/>
          <w:szCs w:val="28"/>
          <w:u w:val="single"/>
          <w:lang w:val="lv-LV"/>
        </w:rPr>
        <w:t>.</w:t>
      </w:r>
      <w:r w:rsidRPr="00593169">
        <w:rPr>
          <w:rFonts w:ascii="Times New Roman" w:eastAsia="Times New Roman" w:hAnsi="Times New Roman" w:cs="Times New Roman"/>
          <w:sz w:val="24"/>
          <w:szCs w:val="24"/>
          <w:u w:val="single"/>
          <w:lang w:val="lv-LV"/>
        </w:rPr>
        <w:t xml:space="preserve"> </w:t>
      </w:r>
      <w:r w:rsidRPr="00593169">
        <w:rPr>
          <w:rFonts w:ascii="Times New Roman" w:eastAsia="Times New Roman" w:hAnsi="Times New Roman" w:cs="Times New Roman"/>
          <w:sz w:val="28"/>
          <w:szCs w:val="28"/>
          <w:u w:val="single"/>
          <w:lang w:val="lv-LV"/>
        </w:rPr>
        <w:t>Autotransporta ekspertiem, kuri veic notikumu vietas apskates, lai meklētu un atrastu dažādus pierādījumus, pēdas un objektus, lai nodrošinātu iespēju izbraukt uz notikumu v</w:t>
      </w:r>
      <w:r w:rsidR="00C31815" w:rsidRPr="00593169">
        <w:rPr>
          <w:rFonts w:ascii="Times New Roman" w:eastAsia="Times New Roman" w:hAnsi="Times New Roman" w:cs="Times New Roman"/>
          <w:sz w:val="28"/>
          <w:szCs w:val="28"/>
          <w:u w:val="single"/>
          <w:lang w:val="lv-LV"/>
        </w:rPr>
        <w:t xml:space="preserve">ietām ar atbilstošu aprīkojumu, </w:t>
      </w:r>
      <w:r w:rsidRPr="00593169">
        <w:rPr>
          <w:rFonts w:ascii="Times New Roman" w:eastAsia="Times New Roman" w:hAnsi="Times New Roman" w:cs="Times New Roman"/>
          <w:sz w:val="28"/>
          <w:szCs w:val="28"/>
          <w:u w:val="single"/>
          <w:lang w:val="lv-LV"/>
        </w:rPr>
        <w:t>materiāliem</w:t>
      </w:r>
      <w:r w:rsidR="008340C8" w:rsidRPr="00593169">
        <w:rPr>
          <w:rFonts w:ascii="Times New Roman" w:eastAsia="Times New Roman" w:hAnsi="Times New Roman" w:cs="Times New Roman"/>
          <w:sz w:val="28"/>
          <w:szCs w:val="28"/>
          <w:u w:val="single"/>
          <w:lang w:val="lv-LV"/>
        </w:rPr>
        <w:t xml:space="preserve"> </w:t>
      </w:r>
      <w:r w:rsidRPr="00593169">
        <w:rPr>
          <w:rFonts w:ascii="Times New Roman" w:eastAsia="Times New Roman" w:hAnsi="Times New Roman" w:cs="Times New Roman"/>
          <w:sz w:val="28"/>
          <w:szCs w:val="28"/>
          <w:u w:val="single"/>
          <w:lang w:val="lv-LV"/>
        </w:rPr>
        <w:t>instrumentiem</w:t>
      </w:r>
      <w:r w:rsidR="008340C8" w:rsidRPr="00593169">
        <w:rPr>
          <w:rFonts w:ascii="Times New Roman" w:eastAsia="Times New Roman" w:hAnsi="Times New Roman" w:cs="Times New Roman"/>
          <w:sz w:val="28"/>
          <w:szCs w:val="28"/>
          <w:u w:val="single"/>
          <w:lang w:val="lv-LV"/>
        </w:rPr>
        <w:t xml:space="preserve"> </w:t>
      </w:r>
      <w:r w:rsidR="00C31815" w:rsidRPr="00593169">
        <w:rPr>
          <w:rFonts w:ascii="Times New Roman" w:eastAsia="Times New Roman" w:hAnsi="Times New Roman" w:cs="Times New Roman"/>
          <w:sz w:val="28"/>
          <w:szCs w:val="28"/>
          <w:u w:val="single"/>
          <w:lang w:val="lv-LV"/>
        </w:rPr>
        <w:t xml:space="preserve">un </w:t>
      </w:r>
      <w:r w:rsidRPr="00593169">
        <w:rPr>
          <w:rFonts w:ascii="Times New Roman" w:eastAsia="Times New Roman" w:hAnsi="Times New Roman" w:cs="Times New Roman"/>
          <w:sz w:val="28"/>
          <w:szCs w:val="28"/>
          <w:u w:val="single"/>
          <w:lang w:val="lv-LV"/>
        </w:rPr>
        <w:t xml:space="preserve">iepakojamo materiālu </w:t>
      </w:r>
      <w:r w:rsidR="00C31815" w:rsidRPr="00593169">
        <w:rPr>
          <w:rFonts w:ascii="Times New Roman" w:eastAsia="Times New Roman" w:hAnsi="Times New Roman" w:cs="Times New Roman"/>
          <w:sz w:val="28"/>
          <w:szCs w:val="28"/>
          <w:u w:val="single"/>
          <w:lang w:val="lv-LV"/>
        </w:rPr>
        <w:t>būtu nepieciešami papildus</w:t>
      </w:r>
      <w:r w:rsidRPr="00593169">
        <w:rPr>
          <w:rFonts w:ascii="Times New Roman" w:eastAsia="Times New Roman" w:hAnsi="Times New Roman" w:cs="Times New Roman"/>
          <w:sz w:val="28"/>
          <w:szCs w:val="28"/>
          <w:u w:val="single"/>
          <w:lang w:val="lv-LV"/>
        </w:rPr>
        <w:t xml:space="preserve"> 170 000</w:t>
      </w:r>
      <w:r w:rsidR="0077484C" w:rsidRPr="00593169">
        <w:rPr>
          <w:rFonts w:ascii="Times New Roman" w:eastAsia="Times New Roman" w:hAnsi="Times New Roman" w:cs="Times New Roman"/>
          <w:sz w:val="28"/>
          <w:szCs w:val="28"/>
          <w:u w:val="single"/>
          <w:lang w:val="lv-LV"/>
        </w:rPr>
        <w:t xml:space="preserve"> latu ik gadu</w:t>
      </w:r>
      <w:r w:rsidRPr="00593169">
        <w:rPr>
          <w:rFonts w:ascii="Times New Roman" w:eastAsia="Times New Roman" w:hAnsi="Times New Roman" w:cs="Times New Roman"/>
          <w:sz w:val="28"/>
          <w:szCs w:val="28"/>
          <w:u w:val="single"/>
          <w:lang w:val="lv-LV"/>
        </w:rPr>
        <w:t>.</w:t>
      </w:r>
      <w:r w:rsidR="0043475A">
        <w:rPr>
          <w:rFonts w:ascii="Times New Roman" w:eastAsia="Times New Roman" w:hAnsi="Times New Roman" w:cs="Times New Roman"/>
          <w:sz w:val="24"/>
          <w:szCs w:val="24"/>
          <w:u w:val="single"/>
          <w:lang w:val="lv-LV"/>
        </w:rPr>
        <w:t xml:space="preserve"> </w:t>
      </w:r>
      <w:r w:rsidRPr="00593169">
        <w:rPr>
          <w:rFonts w:ascii="Times New Roman" w:eastAsia="Times New Roman" w:hAnsi="Times New Roman" w:cs="Times New Roman"/>
          <w:sz w:val="28"/>
          <w:szCs w:val="28"/>
          <w:u w:val="single"/>
          <w:lang w:val="lv-LV"/>
        </w:rPr>
        <w:t xml:space="preserve">Iekārtu </w:t>
      </w:r>
      <w:r w:rsidR="0077484C" w:rsidRPr="00593169">
        <w:rPr>
          <w:rFonts w:ascii="Times New Roman" w:eastAsia="Times New Roman" w:hAnsi="Times New Roman" w:cs="Times New Roman"/>
          <w:sz w:val="28"/>
          <w:szCs w:val="28"/>
          <w:u w:val="single"/>
          <w:lang w:val="lv-LV"/>
        </w:rPr>
        <w:t xml:space="preserve">iegādei </w:t>
      </w:r>
      <w:r w:rsidRPr="00593169">
        <w:rPr>
          <w:rFonts w:ascii="Times New Roman" w:eastAsia="Times New Roman" w:hAnsi="Times New Roman" w:cs="Times New Roman"/>
          <w:sz w:val="28"/>
          <w:szCs w:val="28"/>
          <w:u w:val="single"/>
          <w:lang w:val="lv-LV"/>
        </w:rPr>
        <w:t xml:space="preserve">eiro viltojumu noteikšanai, eiro papīra naudas un monētu izpētei, lai nodrošinātu eiro aizsardzību un savlaicīgu viltojumu konstatēšanu 2014.gadam </w:t>
      </w:r>
      <w:r w:rsidR="0077484C" w:rsidRPr="00593169">
        <w:rPr>
          <w:rFonts w:ascii="Times New Roman" w:eastAsia="Times New Roman" w:hAnsi="Times New Roman" w:cs="Times New Roman"/>
          <w:sz w:val="28"/>
          <w:szCs w:val="28"/>
          <w:u w:val="single"/>
          <w:lang w:val="lv-LV"/>
        </w:rPr>
        <w:t>būtu nepieciešami papildus</w:t>
      </w:r>
      <w:r w:rsidRPr="00593169">
        <w:rPr>
          <w:rFonts w:ascii="Times New Roman" w:eastAsia="Times New Roman" w:hAnsi="Times New Roman" w:cs="Times New Roman"/>
          <w:sz w:val="28"/>
          <w:szCs w:val="28"/>
          <w:u w:val="single"/>
          <w:lang w:val="lv-LV"/>
        </w:rPr>
        <w:t xml:space="preserve"> 750 000</w:t>
      </w:r>
      <w:r w:rsidR="0077484C" w:rsidRPr="00593169">
        <w:rPr>
          <w:rFonts w:ascii="Times New Roman" w:eastAsia="Times New Roman" w:hAnsi="Times New Roman" w:cs="Times New Roman"/>
          <w:sz w:val="28"/>
          <w:szCs w:val="28"/>
          <w:u w:val="single"/>
          <w:lang w:val="lv-LV"/>
        </w:rPr>
        <w:t xml:space="preserve"> latu</w:t>
      </w:r>
      <w:r w:rsidRPr="00593169">
        <w:rPr>
          <w:rFonts w:ascii="Times New Roman" w:eastAsia="Times New Roman" w:hAnsi="Times New Roman" w:cs="Times New Roman"/>
          <w:sz w:val="28"/>
          <w:szCs w:val="28"/>
          <w:u w:val="single"/>
          <w:lang w:val="lv-LV"/>
        </w:rPr>
        <w:t>.</w:t>
      </w:r>
    </w:p>
    <w:p w:rsidR="003A2D20" w:rsidRPr="00593169" w:rsidRDefault="003A2D20" w:rsidP="00DC42BF">
      <w:pPr>
        <w:tabs>
          <w:tab w:val="left" w:pos="426"/>
          <w:tab w:val="left" w:pos="709"/>
        </w:tabs>
        <w:spacing w:after="0" w:line="240" w:lineRule="auto"/>
        <w:ind w:right="-96"/>
        <w:jc w:val="both"/>
        <w:rPr>
          <w:rFonts w:ascii="Times New Roman" w:eastAsia="Times New Roman" w:hAnsi="Times New Roman" w:cs="Times New Roman"/>
          <w:sz w:val="28"/>
          <w:szCs w:val="28"/>
          <w:u w:val="single"/>
          <w:lang w:val="lv-LV"/>
        </w:rPr>
      </w:pPr>
      <w:r w:rsidRPr="00593169">
        <w:rPr>
          <w:rFonts w:ascii="Times New Roman" w:eastAsia="Times New Roman" w:hAnsi="Times New Roman" w:cs="Times New Roman"/>
          <w:sz w:val="28"/>
          <w:szCs w:val="28"/>
          <w:u w:val="single"/>
          <w:lang w:val="lv-LV"/>
        </w:rPr>
        <w:tab/>
        <w:t xml:space="preserve">   Valsts policijas koledžai materiāli tehniskās bāzes pilnveidošanai, lai nodrošinātu analītiķu apmācības, izmantojot speciālo analītisko programmatūru un V</w:t>
      </w:r>
      <w:r w:rsidR="0077484C" w:rsidRPr="00593169">
        <w:rPr>
          <w:rFonts w:ascii="Times New Roman" w:eastAsia="Times New Roman" w:hAnsi="Times New Roman" w:cs="Times New Roman"/>
          <w:sz w:val="28"/>
          <w:szCs w:val="28"/>
          <w:u w:val="single"/>
          <w:lang w:val="lv-LV"/>
        </w:rPr>
        <w:t xml:space="preserve">RS </w:t>
      </w:r>
      <w:r w:rsidRPr="00593169">
        <w:rPr>
          <w:rFonts w:ascii="Times New Roman" w:eastAsia="Times New Roman" w:hAnsi="Times New Roman" w:cs="Times New Roman"/>
          <w:sz w:val="28"/>
          <w:szCs w:val="28"/>
          <w:u w:val="single"/>
          <w:lang w:val="lv-LV"/>
        </w:rPr>
        <w:t xml:space="preserve">kriminālizmeklēšanas struktūrvienību amatpersonu apmācību nodrošināšanai </w:t>
      </w:r>
      <w:r w:rsidR="008340C8" w:rsidRPr="00593169">
        <w:rPr>
          <w:rFonts w:ascii="Times New Roman" w:eastAsia="Times New Roman" w:hAnsi="Times New Roman" w:cs="Times New Roman"/>
          <w:sz w:val="28"/>
          <w:szCs w:val="28"/>
          <w:u w:val="single"/>
          <w:lang w:val="lv-LV"/>
        </w:rPr>
        <w:t xml:space="preserve">2014.gadam </w:t>
      </w:r>
      <w:r w:rsidR="0077484C" w:rsidRPr="00593169">
        <w:rPr>
          <w:rFonts w:ascii="Times New Roman" w:eastAsia="Times New Roman" w:hAnsi="Times New Roman" w:cs="Times New Roman"/>
          <w:sz w:val="28"/>
          <w:szCs w:val="28"/>
          <w:u w:val="single"/>
          <w:lang w:val="lv-LV"/>
        </w:rPr>
        <w:t xml:space="preserve">būtu nepieciešami papildus </w:t>
      </w:r>
      <w:r w:rsidRPr="00593169">
        <w:rPr>
          <w:rFonts w:ascii="Times New Roman" w:eastAsia="Times New Roman" w:hAnsi="Times New Roman" w:cs="Times New Roman"/>
          <w:sz w:val="28"/>
          <w:szCs w:val="28"/>
          <w:u w:val="single"/>
          <w:lang w:val="lv-LV"/>
        </w:rPr>
        <w:t>49 000</w:t>
      </w:r>
      <w:r w:rsidR="0077484C" w:rsidRPr="00593169">
        <w:rPr>
          <w:rFonts w:ascii="Times New Roman" w:eastAsia="Times New Roman" w:hAnsi="Times New Roman" w:cs="Times New Roman"/>
          <w:sz w:val="28"/>
          <w:szCs w:val="28"/>
          <w:u w:val="single"/>
          <w:lang w:val="lv-LV"/>
        </w:rPr>
        <w:t xml:space="preserve"> latu</w:t>
      </w:r>
      <w:r w:rsidRPr="00593169">
        <w:rPr>
          <w:rFonts w:ascii="Times New Roman" w:eastAsia="Times New Roman" w:hAnsi="Times New Roman" w:cs="Times New Roman"/>
          <w:sz w:val="28"/>
          <w:szCs w:val="28"/>
          <w:u w:val="single"/>
          <w:lang w:val="lv-LV"/>
        </w:rPr>
        <w:t xml:space="preserve">. </w:t>
      </w:r>
    </w:p>
    <w:p w:rsidR="003A2D20" w:rsidRDefault="003A2D20" w:rsidP="0043475A">
      <w:pPr>
        <w:spacing w:after="0" w:line="240" w:lineRule="auto"/>
        <w:ind w:right="-96" w:firstLine="720"/>
        <w:jc w:val="both"/>
        <w:rPr>
          <w:rFonts w:ascii="Times New Roman" w:eastAsia="Times New Roman" w:hAnsi="Times New Roman" w:cs="Times New Roman"/>
          <w:sz w:val="28"/>
          <w:szCs w:val="28"/>
          <w:u w:val="single"/>
          <w:lang w:val="lv-LV"/>
        </w:rPr>
      </w:pPr>
      <w:r w:rsidRPr="00593169">
        <w:rPr>
          <w:rFonts w:ascii="Times New Roman" w:eastAsia="Times New Roman" w:hAnsi="Times New Roman" w:cs="Times New Roman"/>
          <w:sz w:val="28"/>
          <w:szCs w:val="28"/>
          <w:u w:val="single"/>
          <w:lang w:val="lv-LV"/>
        </w:rPr>
        <w:lastRenderedPageBreak/>
        <w:t>V</w:t>
      </w:r>
      <w:r w:rsidR="0077484C" w:rsidRPr="00593169">
        <w:rPr>
          <w:rFonts w:ascii="Times New Roman" w:eastAsia="Times New Roman" w:hAnsi="Times New Roman" w:cs="Times New Roman"/>
          <w:sz w:val="28"/>
          <w:szCs w:val="28"/>
          <w:u w:val="single"/>
          <w:lang w:val="lv-LV"/>
        </w:rPr>
        <w:t>RS e</w:t>
      </w:r>
      <w:r w:rsidRPr="00593169">
        <w:rPr>
          <w:rFonts w:ascii="Times New Roman" w:eastAsia="Times New Roman" w:hAnsi="Times New Roman" w:cs="Times New Roman"/>
          <w:sz w:val="28"/>
          <w:szCs w:val="28"/>
          <w:u w:val="single"/>
          <w:lang w:val="lv-LV"/>
        </w:rPr>
        <w:t xml:space="preserve">kspertīžu dienesta funkciju izpildei nepieciešamās speciālās tehnikas iegādei, speciālās tehnikas remonta nodrošināšanai, radiācijas mērīšanas iekārtu apkopei </w:t>
      </w:r>
      <w:r w:rsidR="008340C8" w:rsidRPr="00593169">
        <w:rPr>
          <w:rFonts w:ascii="Times New Roman" w:eastAsia="Times New Roman" w:hAnsi="Times New Roman" w:cs="Times New Roman"/>
          <w:sz w:val="28"/>
          <w:szCs w:val="28"/>
          <w:u w:val="single"/>
          <w:lang w:val="lv-LV"/>
        </w:rPr>
        <w:t xml:space="preserve">2014.gadam </w:t>
      </w:r>
      <w:r w:rsidR="0077484C" w:rsidRPr="00593169">
        <w:rPr>
          <w:rFonts w:ascii="Times New Roman" w:eastAsia="Times New Roman" w:hAnsi="Times New Roman" w:cs="Times New Roman"/>
          <w:sz w:val="28"/>
          <w:szCs w:val="28"/>
          <w:u w:val="single"/>
          <w:lang w:val="lv-LV"/>
        </w:rPr>
        <w:t xml:space="preserve">būtu nepieciešami papildus </w:t>
      </w:r>
      <w:r w:rsidRPr="00593169">
        <w:rPr>
          <w:rFonts w:ascii="Times New Roman" w:eastAsia="Times New Roman" w:hAnsi="Times New Roman" w:cs="Times New Roman"/>
          <w:sz w:val="28"/>
          <w:szCs w:val="28"/>
          <w:u w:val="single"/>
          <w:lang w:val="lv-LV"/>
        </w:rPr>
        <w:t xml:space="preserve">26 949 </w:t>
      </w:r>
      <w:r w:rsidR="0077484C" w:rsidRPr="00593169">
        <w:rPr>
          <w:rFonts w:ascii="Times New Roman" w:eastAsia="Times New Roman" w:hAnsi="Times New Roman" w:cs="Times New Roman"/>
          <w:sz w:val="28"/>
          <w:szCs w:val="28"/>
          <w:u w:val="single"/>
          <w:lang w:val="lv-LV"/>
        </w:rPr>
        <w:t>lati</w:t>
      </w:r>
      <w:r w:rsidRPr="00593169">
        <w:rPr>
          <w:rFonts w:ascii="Times New Roman" w:eastAsia="Times New Roman" w:hAnsi="Times New Roman" w:cs="Times New Roman"/>
          <w:sz w:val="28"/>
          <w:szCs w:val="28"/>
          <w:u w:val="single"/>
          <w:lang w:val="lv-LV"/>
        </w:rPr>
        <w:t>.</w:t>
      </w:r>
    </w:p>
    <w:p w:rsidR="00432247" w:rsidRPr="00432247" w:rsidRDefault="00432247" w:rsidP="00DC42BF">
      <w:pPr>
        <w:tabs>
          <w:tab w:val="left" w:pos="709"/>
        </w:tabs>
        <w:spacing w:after="0" w:line="240" w:lineRule="auto"/>
        <w:ind w:right="-96"/>
        <w:jc w:val="both"/>
        <w:rPr>
          <w:rFonts w:ascii="Times New Roman" w:eastAsia="Calibri" w:hAnsi="Times New Roman" w:cs="Times New Roman"/>
          <w:bCs/>
          <w:color w:val="000000"/>
          <w:sz w:val="28"/>
          <w:szCs w:val="28"/>
          <w:lang w:val="lv-LV" w:eastAsia="lv-LV"/>
        </w:rPr>
      </w:pPr>
      <w:r w:rsidRPr="00432247">
        <w:rPr>
          <w:rFonts w:ascii="Times New Roman" w:eastAsia="Calibri" w:hAnsi="Times New Roman" w:cs="Times New Roman"/>
          <w:b/>
          <w:bCs/>
          <w:color w:val="FF0000"/>
          <w:sz w:val="28"/>
          <w:szCs w:val="28"/>
          <w:lang w:val="lv-LV" w:eastAsia="lv-LV"/>
        </w:rPr>
        <w:tab/>
      </w:r>
      <w:r w:rsidRPr="00432247">
        <w:rPr>
          <w:rFonts w:ascii="Times New Roman" w:eastAsia="Calibri" w:hAnsi="Times New Roman" w:cs="Times New Roman"/>
          <w:bCs/>
          <w:color w:val="000000"/>
          <w:sz w:val="28"/>
          <w:szCs w:val="28"/>
          <w:lang w:val="lv-LV" w:eastAsia="lv-LV"/>
        </w:rPr>
        <w:t>Starp citiem faktoriem, kas negatīvi ietekmē izmeklēšanas iestāžu darba kvalitāti</w:t>
      </w:r>
      <w:r w:rsidR="0077484C">
        <w:rPr>
          <w:rFonts w:ascii="Times New Roman" w:eastAsia="Calibri" w:hAnsi="Times New Roman" w:cs="Times New Roman"/>
          <w:bCs/>
          <w:color w:val="000000"/>
          <w:sz w:val="28"/>
          <w:szCs w:val="28"/>
          <w:lang w:val="lv-LV" w:eastAsia="lv-LV"/>
        </w:rPr>
        <w:t>,</w:t>
      </w:r>
      <w:r w:rsidRPr="00432247">
        <w:rPr>
          <w:rFonts w:ascii="Times New Roman" w:eastAsia="Calibri" w:hAnsi="Times New Roman" w:cs="Times New Roman"/>
          <w:bCs/>
          <w:color w:val="000000"/>
          <w:sz w:val="28"/>
          <w:szCs w:val="28"/>
          <w:lang w:val="lv-LV" w:eastAsia="lv-LV"/>
        </w:rPr>
        <w:t xml:space="preserve"> nepieciešams atzīmēt arī šādus:</w:t>
      </w:r>
    </w:p>
    <w:p w:rsidR="00432247" w:rsidRPr="00100865" w:rsidRDefault="00100865" w:rsidP="00100865">
      <w:pPr>
        <w:pStyle w:val="ListParagraph"/>
        <w:numPr>
          <w:ilvl w:val="2"/>
          <w:numId w:val="8"/>
        </w:numPr>
        <w:spacing w:after="0" w:line="240" w:lineRule="auto"/>
        <w:ind w:right="-96"/>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f</w:t>
      </w:r>
      <w:r w:rsidR="00432247" w:rsidRPr="00100865">
        <w:rPr>
          <w:rFonts w:ascii="Times New Roman" w:eastAsia="Calibri" w:hAnsi="Times New Roman" w:cs="Times New Roman"/>
          <w:sz w:val="28"/>
          <w:szCs w:val="28"/>
          <w:lang w:val="lv-LV" w:eastAsia="lv-LV"/>
        </w:rPr>
        <w:t>inanšu līdzekļu trūkuma dēļ esošais materiāltehniskais un informācijas tehnoloģiju aprīkojums bieži ir nepietiekošs vai arī morāli novecojis, līdz ar ko darbinieki nav pietiekami sagatavoti jaunu tehnoloģiju attīstībai noziedzīgajā vidē, un tas negatīvi ietekmē pierādījumu iegūšanu</w:t>
      </w:r>
      <w:r>
        <w:rPr>
          <w:rFonts w:ascii="Times New Roman" w:eastAsia="Calibri" w:hAnsi="Times New Roman" w:cs="Times New Roman"/>
          <w:sz w:val="28"/>
          <w:szCs w:val="28"/>
          <w:lang w:val="lv-LV" w:eastAsia="lv-LV"/>
        </w:rPr>
        <w:t>;</w:t>
      </w:r>
    </w:p>
    <w:p w:rsidR="00432247" w:rsidRPr="00100865" w:rsidRDefault="00100865" w:rsidP="00100865">
      <w:pPr>
        <w:pStyle w:val="ListParagraph"/>
        <w:numPr>
          <w:ilvl w:val="2"/>
          <w:numId w:val="8"/>
        </w:numPr>
        <w:spacing w:after="0" w:line="240" w:lineRule="auto"/>
        <w:jc w:val="both"/>
        <w:rPr>
          <w:rFonts w:ascii="Times New Roman" w:eastAsia="Calibri" w:hAnsi="Times New Roman" w:cs="Times New Roman"/>
          <w:bCs/>
          <w:color w:val="000000"/>
          <w:sz w:val="28"/>
          <w:szCs w:val="28"/>
          <w:lang w:val="lv-LV" w:eastAsia="lv-LV"/>
        </w:rPr>
      </w:pPr>
      <w:r>
        <w:rPr>
          <w:rFonts w:ascii="Times New Roman" w:eastAsia="Calibri" w:hAnsi="Times New Roman" w:cs="Times New Roman"/>
          <w:sz w:val="28"/>
          <w:szCs w:val="28"/>
          <w:lang w:val="lv-LV" w:eastAsia="lv-LV"/>
        </w:rPr>
        <w:t>n</w:t>
      </w:r>
      <w:r w:rsidR="00432247" w:rsidRPr="00100865">
        <w:rPr>
          <w:rFonts w:ascii="Times New Roman" w:eastAsia="Calibri" w:hAnsi="Times New Roman" w:cs="Times New Roman"/>
          <w:sz w:val="28"/>
          <w:szCs w:val="28"/>
          <w:lang w:val="lv-LV" w:eastAsia="lv-LV"/>
        </w:rPr>
        <w:t>oteiktās ekspertīzes veikšanas termiņi joprojām ir ilgstoši</w:t>
      </w:r>
      <w:r>
        <w:rPr>
          <w:rFonts w:ascii="Times New Roman" w:eastAsia="Calibri" w:hAnsi="Times New Roman" w:cs="Times New Roman"/>
          <w:sz w:val="28"/>
          <w:szCs w:val="28"/>
          <w:lang w:val="lv-LV" w:eastAsia="lv-LV"/>
        </w:rPr>
        <w:t xml:space="preserve"> u.c.</w:t>
      </w:r>
    </w:p>
    <w:p w:rsidR="000E689D" w:rsidRDefault="000E689D"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Default="00E856E3" w:rsidP="003A2D20">
      <w:pPr>
        <w:tabs>
          <w:tab w:val="left" w:pos="426"/>
        </w:tabs>
        <w:spacing w:after="0" w:line="240" w:lineRule="auto"/>
        <w:jc w:val="both"/>
        <w:rPr>
          <w:rFonts w:ascii="Times New Roman" w:eastAsia="Calibri" w:hAnsi="Times New Roman" w:cs="Times New Roman"/>
          <w:bCs/>
          <w:color w:val="000000"/>
          <w:sz w:val="28"/>
          <w:szCs w:val="28"/>
          <w:lang w:val="lv-LV" w:eastAsia="lv-LV"/>
        </w:rPr>
      </w:pPr>
    </w:p>
    <w:p w:rsidR="00E856E3" w:rsidRPr="00E856E3" w:rsidRDefault="00E856E3" w:rsidP="003A2D20">
      <w:pPr>
        <w:tabs>
          <w:tab w:val="left" w:pos="426"/>
        </w:tabs>
        <w:spacing w:after="0" w:line="240" w:lineRule="auto"/>
        <w:jc w:val="both"/>
        <w:rPr>
          <w:rFonts w:ascii="Times New Roman" w:eastAsia="Calibri" w:hAnsi="Times New Roman" w:cs="Times New Roman"/>
          <w:bCs/>
          <w:color w:val="000000"/>
          <w:sz w:val="24"/>
          <w:szCs w:val="24"/>
          <w:lang w:val="lv-LV" w:eastAsia="lv-LV"/>
        </w:rPr>
        <w:sectPr w:rsidR="00E856E3" w:rsidRPr="00E856E3" w:rsidSect="00432247">
          <w:headerReference w:type="default" r:id="rId9"/>
          <w:footerReference w:type="default" r:id="rId10"/>
          <w:pgSz w:w="11907" w:h="16840" w:code="9"/>
          <w:pgMar w:top="1134" w:right="1134" w:bottom="1134" w:left="1797" w:header="720" w:footer="720" w:gutter="0"/>
          <w:cols w:space="720"/>
          <w:docGrid w:linePitch="360"/>
        </w:sectPr>
      </w:pPr>
      <w:r>
        <w:rPr>
          <w:rFonts w:ascii="Times New Roman" w:eastAsia="Calibri" w:hAnsi="Times New Roman" w:cs="Times New Roman"/>
          <w:bCs/>
          <w:color w:val="000000"/>
          <w:sz w:val="24"/>
          <w:szCs w:val="24"/>
          <w:lang w:val="lv-LV" w:eastAsia="lv-LV"/>
        </w:rPr>
        <w:t xml:space="preserve"> </w:t>
      </w:r>
    </w:p>
    <w:p w:rsidR="00432247" w:rsidRDefault="00432247" w:rsidP="00432247">
      <w:pPr>
        <w:spacing w:after="0" w:line="240" w:lineRule="auto"/>
        <w:ind w:left="360"/>
        <w:jc w:val="center"/>
        <w:rPr>
          <w:rFonts w:ascii="Times New Roman" w:eastAsia="Calibri" w:hAnsi="Times New Roman" w:cs="Times New Roman"/>
          <w:b/>
          <w:bCs/>
          <w:sz w:val="28"/>
          <w:szCs w:val="28"/>
          <w:lang w:val="lv-LV" w:eastAsia="lv-LV"/>
        </w:rPr>
      </w:pPr>
      <w:r w:rsidRPr="000E1CC9">
        <w:rPr>
          <w:rFonts w:ascii="Times New Roman" w:eastAsia="Calibri" w:hAnsi="Times New Roman" w:cs="Times New Roman"/>
          <w:b/>
          <w:bCs/>
          <w:sz w:val="28"/>
          <w:szCs w:val="28"/>
          <w:lang w:val="lv-LV" w:eastAsia="lv-LV"/>
        </w:rPr>
        <w:lastRenderedPageBreak/>
        <w:t>III Pasākumu plāns noteiktā mērķa sasniegšanai</w:t>
      </w:r>
    </w:p>
    <w:p w:rsidR="00C8618D" w:rsidRDefault="00C8618D" w:rsidP="00432247">
      <w:pPr>
        <w:spacing w:after="0" w:line="240" w:lineRule="auto"/>
        <w:ind w:left="360"/>
        <w:jc w:val="center"/>
        <w:rPr>
          <w:rFonts w:ascii="Times New Roman" w:eastAsia="Calibri" w:hAnsi="Times New Roman" w:cs="Times New Roman"/>
          <w:b/>
          <w:bCs/>
          <w:sz w:val="28"/>
          <w:szCs w:val="28"/>
          <w:lang w:val="lv-LV" w:eastAsia="lv-LV"/>
        </w:rPr>
      </w:pPr>
    </w:p>
    <w:tbl>
      <w:tblPr>
        <w:tblW w:w="15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4962"/>
        <w:gridCol w:w="1671"/>
        <w:gridCol w:w="1589"/>
        <w:gridCol w:w="1701"/>
        <w:gridCol w:w="2106"/>
        <w:gridCol w:w="2400"/>
      </w:tblGrid>
      <w:tr w:rsidR="00432247" w:rsidRPr="00484661" w:rsidTr="00484661">
        <w:trPr>
          <w:trHeight w:val="1091"/>
          <w:tblHeader/>
          <w:jc w:val="center"/>
        </w:trPr>
        <w:tc>
          <w:tcPr>
            <w:tcW w:w="830" w:type="dxa"/>
            <w:vAlign w:val="center"/>
          </w:tcPr>
          <w:p w:rsidR="00C8618D" w:rsidRDefault="00C8618D" w:rsidP="00432247">
            <w:pPr>
              <w:spacing w:after="0" w:line="240" w:lineRule="auto"/>
              <w:jc w:val="center"/>
              <w:rPr>
                <w:rFonts w:ascii="Times New Roman" w:eastAsia="Calibri" w:hAnsi="Times New Roman" w:cs="Times New Roman"/>
                <w:b/>
                <w:bCs/>
                <w:lang w:val="lv-LV" w:eastAsia="lv-LV"/>
              </w:rPr>
            </w:pPr>
          </w:p>
          <w:p w:rsidR="00432247" w:rsidRPr="00753B47" w:rsidRDefault="00432247" w:rsidP="00432247">
            <w:pPr>
              <w:spacing w:after="0" w:line="240" w:lineRule="auto"/>
              <w:jc w:val="center"/>
              <w:rPr>
                <w:rFonts w:ascii="Times New Roman" w:eastAsia="Calibri" w:hAnsi="Times New Roman" w:cs="Times New Roman"/>
                <w:b/>
                <w:bCs/>
                <w:lang w:val="lv-LV" w:eastAsia="lv-LV"/>
              </w:rPr>
            </w:pPr>
            <w:r w:rsidRPr="00753B47">
              <w:rPr>
                <w:rFonts w:ascii="Times New Roman" w:eastAsia="Calibri" w:hAnsi="Times New Roman" w:cs="Times New Roman"/>
                <w:b/>
                <w:bCs/>
                <w:lang w:val="lv-LV" w:eastAsia="lv-LV"/>
              </w:rPr>
              <w:t>Nr. p.k.</w:t>
            </w:r>
          </w:p>
        </w:tc>
        <w:tc>
          <w:tcPr>
            <w:tcW w:w="4962" w:type="dxa"/>
            <w:vAlign w:val="center"/>
          </w:tcPr>
          <w:p w:rsidR="00432247" w:rsidRPr="00753B47" w:rsidRDefault="00432247" w:rsidP="00432247">
            <w:pPr>
              <w:spacing w:after="0" w:line="240" w:lineRule="auto"/>
              <w:ind w:left="45"/>
              <w:jc w:val="center"/>
              <w:rPr>
                <w:rFonts w:ascii="Times New Roman" w:eastAsia="Calibri" w:hAnsi="Times New Roman" w:cs="Times New Roman"/>
                <w:b/>
                <w:bCs/>
                <w:lang w:val="lv-LV" w:eastAsia="lv-LV"/>
              </w:rPr>
            </w:pPr>
            <w:r w:rsidRPr="00753B47">
              <w:rPr>
                <w:rFonts w:ascii="Times New Roman" w:eastAsia="Calibri" w:hAnsi="Times New Roman" w:cs="Times New Roman"/>
                <w:b/>
                <w:bCs/>
                <w:lang w:val="lv-LV" w:eastAsia="lv-LV"/>
              </w:rPr>
              <w:t>Rīcības apraksts</w:t>
            </w:r>
          </w:p>
        </w:tc>
        <w:tc>
          <w:tcPr>
            <w:tcW w:w="1671" w:type="dxa"/>
            <w:vAlign w:val="center"/>
          </w:tcPr>
          <w:p w:rsidR="00432247" w:rsidRPr="00753B47" w:rsidRDefault="00432247" w:rsidP="00432247">
            <w:pPr>
              <w:spacing w:after="0" w:line="240" w:lineRule="auto"/>
              <w:jc w:val="center"/>
              <w:rPr>
                <w:rFonts w:ascii="Times New Roman" w:eastAsia="Calibri" w:hAnsi="Times New Roman" w:cs="Times New Roman"/>
                <w:b/>
                <w:bCs/>
                <w:lang w:val="lv-LV" w:eastAsia="lv-LV"/>
              </w:rPr>
            </w:pPr>
            <w:r w:rsidRPr="00753B47">
              <w:rPr>
                <w:rFonts w:ascii="Times New Roman" w:eastAsia="Calibri" w:hAnsi="Times New Roman" w:cs="Times New Roman"/>
                <w:b/>
                <w:bCs/>
                <w:lang w:val="lv-LV" w:eastAsia="lv-LV"/>
              </w:rPr>
              <w:t>Atbildīgā institūcija</w:t>
            </w:r>
          </w:p>
        </w:tc>
        <w:tc>
          <w:tcPr>
            <w:tcW w:w="1589" w:type="dxa"/>
            <w:vAlign w:val="center"/>
          </w:tcPr>
          <w:p w:rsidR="00432247" w:rsidRPr="00753B47" w:rsidRDefault="00432247" w:rsidP="00432247">
            <w:pPr>
              <w:spacing w:after="0" w:line="240" w:lineRule="auto"/>
              <w:ind w:left="34"/>
              <w:jc w:val="center"/>
              <w:rPr>
                <w:rFonts w:ascii="Times New Roman" w:eastAsia="Calibri" w:hAnsi="Times New Roman" w:cs="Times New Roman"/>
                <w:b/>
                <w:bCs/>
                <w:lang w:val="lv-LV" w:eastAsia="lv-LV"/>
              </w:rPr>
            </w:pPr>
            <w:r w:rsidRPr="00753B47">
              <w:rPr>
                <w:rFonts w:ascii="Times New Roman" w:eastAsia="Calibri" w:hAnsi="Times New Roman" w:cs="Times New Roman"/>
                <w:b/>
                <w:bCs/>
                <w:lang w:val="lv-LV" w:eastAsia="lv-LV"/>
              </w:rPr>
              <w:t>Iesaistītā institūcija</w:t>
            </w:r>
          </w:p>
        </w:tc>
        <w:tc>
          <w:tcPr>
            <w:tcW w:w="1701" w:type="dxa"/>
            <w:vAlign w:val="center"/>
          </w:tcPr>
          <w:p w:rsidR="00432247" w:rsidRPr="00753B47" w:rsidRDefault="00432247" w:rsidP="00432247">
            <w:pPr>
              <w:spacing w:after="0" w:line="240" w:lineRule="auto"/>
              <w:ind w:left="34"/>
              <w:jc w:val="center"/>
              <w:rPr>
                <w:rFonts w:ascii="Times New Roman" w:eastAsia="Calibri" w:hAnsi="Times New Roman" w:cs="Times New Roman"/>
                <w:b/>
                <w:bCs/>
                <w:lang w:val="lv-LV" w:eastAsia="lv-LV"/>
              </w:rPr>
            </w:pPr>
            <w:r w:rsidRPr="00753B47">
              <w:rPr>
                <w:rFonts w:ascii="Times New Roman" w:eastAsia="Calibri" w:hAnsi="Times New Roman" w:cs="Times New Roman"/>
                <w:b/>
                <w:bCs/>
                <w:lang w:val="lv-LV" w:eastAsia="lv-LV"/>
              </w:rPr>
              <w:t>Izpildes</w:t>
            </w:r>
          </w:p>
          <w:p w:rsidR="00432247" w:rsidRPr="00753B47" w:rsidRDefault="00432247" w:rsidP="00432247">
            <w:pPr>
              <w:spacing w:after="0" w:line="240" w:lineRule="auto"/>
              <w:ind w:left="34"/>
              <w:jc w:val="center"/>
              <w:rPr>
                <w:rFonts w:ascii="Times New Roman" w:eastAsia="Calibri" w:hAnsi="Times New Roman" w:cs="Times New Roman"/>
                <w:b/>
                <w:bCs/>
                <w:lang w:val="lv-LV" w:eastAsia="lv-LV"/>
              </w:rPr>
            </w:pPr>
            <w:r w:rsidRPr="00753B47">
              <w:rPr>
                <w:rFonts w:ascii="Times New Roman" w:eastAsia="Calibri" w:hAnsi="Times New Roman" w:cs="Times New Roman"/>
                <w:b/>
                <w:bCs/>
                <w:lang w:val="lv-LV" w:eastAsia="lv-LV"/>
              </w:rPr>
              <w:t>termiņš</w:t>
            </w:r>
          </w:p>
        </w:tc>
        <w:tc>
          <w:tcPr>
            <w:tcW w:w="2106" w:type="dxa"/>
            <w:vAlign w:val="center"/>
          </w:tcPr>
          <w:p w:rsidR="00432247" w:rsidRPr="00753B47" w:rsidRDefault="00432247" w:rsidP="00432247">
            <w:pPr>
              <w:spacing w:after="0" w:line="240" w:lineRule="auto"/>
              <w:ind w:left="33"/>
              <w:jc w:val="center"/>
              <w:rPr>
                <w:rFonts w:ascii="Times New Roman" w:eastAsia="Calibri" w:hAnsi="Times New Roman" w:cs="Times New Roman"/>
                <w:b/>
                <w:bCs/>
                <w:lang w:val="lv-LV" w:eastAsia="lv-LV"/>
              </w:rPr>
            </w:pPr>
            <w:r w:rsidRPr="00753B47">
              <w:rPr>
                <w:rFonts w:ascii="Times New Roman" w:eastAsia="Calibri" w:hAnsi="Times New Roman" w:cs="Times New Roman"/>
                <w:b/>
                <w:bCs/>
                <w:lang w:val="lv-LV" w:eastAsia="lv-LV"/>
              </w:rPr>
              <w:t>Izpildes</w:t>
            </w:r>
          </w:p>
          <w:p w:rsidR="00432247" w:rsidRPr="00753B47" w:rsidRDefault="00432247" w:rsidP="00432247">
            <w:pPr>
              <w:spacing w:after="0" w:line="240" w:lineRule="auto"/>
              <w:ind w:left="33"/>
              <w:jc w:val="center"/>
              <w:rPr>
                <w:rFonts w:ascii="Times New Roman" w:eastAsia="Calibri" w:hAnsi="Times New Roman" w:cs="Times New Roman"/>
                <w:b/>
                <w:bCs/>
                <w:lang w:val="lv-LV" w:eastAsia="lv-LV"/>
              </w:rPr>
            </w:pPr>
            <w:r w:rsidRPr="00753B47">
              <w:rPr>
                <w:rFonts w:ascii="Times New Roman" w:eastAsia="Calibri" w:hAnsi="Times New Roman" w:cs="Times New Roman"/>
                <w:b/>
                <w:bCs/>
                <w:lang w:val="lv-LV" w:eastAsia="lv-LV"/>
              </w:rPr>
              <w:t>forma</w:t>
            </w:r>
          </w:p>
        </w:tc>
        <w:tc>
          <w:tcPr>
            <w:tcW w:w="2400" w:type="dxa"/>
            <w:vAlign w:val="center"/>
          </w:tcPr>
          <w:p w:rsidR="00432247" w:rsidRPr="00753B47" w:rsidRDefault="00432247" w:rsidP="00432247">
            <w:pPr>
              <w:spacing w:after="0" w:line="240" w:lineRule="auto"/>
              <w:jc w:val="center"/>
              <w:rPr>
                <w:rFonts w:ascii="Times New Roman" w:eastAsia="Calibri" w:hAnsi="Times New Roman" w:cs="Times New Roman"/>
                <w:b/>
                <w:bCs/>
                <w:lang w:val="lv-LV" w:eastAsia="lv-LV"/>
              </w:rPr>
            </w:pPr>
            <w:r w:rsidRPr="00753B47">
              <w:rPr>
                <w:rFonts w:ascii="Times New Roman" w:eastAsia="Calibri" w:hAnsi="Times New Roman" w:cs="Times New Roman"/>
                <w:b/>
                <w:bCs/>
                <w:lang w:val="lv-LV" w:eastAsia="lv-LV"/>
              </w:rPr>
              <w:t>Paredzētais finansējums un tā avoti</w:t>
            </w:r>
          </w:p>
        </w:tc>
      </w:tr>
      <w:tr w:rsidR="00432247" w:rsidRPr="0034498C" w:rsidTr="00484661">
        <w:trPr>
          <w:jc w:val="center"/>
        </w:trPr>
        <w:tc>
          <w:tcPr>
            <w:tcW w:w="830" w:type="dxa"/>
          </w:tcPr>
          <w:p w:rsidR="00432247" w:rsidRPr="0034498C" w:rsidRDefault="00753B47" w:rsidP="00432247">
            <w:pPr>
              <w:spacing w:after="0" w:line="240" w:lineRule="auto"/>
              <w:rPr>
                <w:rFonts w:ascii="Times New Roman" w:eastAsia="Calibri" w:hAnsi="Times New Roman" w:cs="Times New Roman"/>
                <w:b/>
                <w:bCs/>
                <w:lang w:val="lv-LV" w:eastAsia="lv-LV"/>
              </w:rPr>
            </w:pPr>
            <w:r w:rsidRPr="0034498C">
              <w:rPr>
                <w:rFonts w:ascii="Times New Roman" w:eastAsia="Calibri" w:hAnsi="Times New Roman" w:cs="Times New Roman"/>
                <w:b/>
                <w:bCs/>
                <w:lang w:val="lv-LV" w:eastAsia="lv-LV"/>
              </w:rPr>
              <w:t xml:space="preserve">  </w:t>
            </w:r>
            <w:r w:rsidR="00432247" w:rsidRPr="0034498C">
              <w:rPr>
                <w:rFonts w:ascii="Times New Roman" w:eastAsia="Calibri" w:hAnsi="Times New Roman" w:cs="Times New Roman"/>
                <w:b/>
                <w:bCs/>
                <w:lang w:val="lv-LV" w:eastAsia="lv-LV"/>
              </w:rPr>
              <w:t>1.</w:t>
            </w:r>
          </w:p>
        </w:tc>
        <w:tc>
          <w:tcPr>
            <w:tcW w:w="4962" w:type="dxa"/>
          </w:tcPr>
          <w:p w:rsidR="00432247" w:rsidRPr="0034498C" w:rsidRDefault="00432247" w:rsidP="00432247">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b/>
                <w:bCs/>
                <w:lang w:val="lv-LV"/>
              </w:rPr>
              <w:t>Darbības organizācijas  jautājumi, normatīvo aktu izstrāde</w:t>
            </w:r>
          </w:p>
        </w:tc>
        <w:tc>
          <w:tcPr>
            <w:tcW w:w="1671" w:type="dxa"/>
          </w:tcPr>
          <w:p w:rsidR="00432247" w:rsidRPr="0034498C" w:rsidRDefault="00432247" w:rsidP="00432247">
            <w:pPr>
              <w:spacing w:after="0" w:line="240" w:lineRule="auto"/>
              <w:jc w:val="center"/>
              <w:rPr>
                <w:rFonts w:ascii="Times New Roman" w:eastAsia="Calibri" w:hAnsi="Times New Roman" w:cs="Times New Roman"/>
                <w:lang w:val="lv-LV" w:eastAsia="lv-LV"/>
              </w:rPr>
            </w:pPr>
          </w:p>
        </w:tc>
        <w:tc>
          <w:tcPr>
            <w:tcW w:w="1589" w:type="dxa"/>
          </w:tcPr>
          <w:p w:rsidR="00432247" w:rsidRPr="0034498C" w:rsidRDefault="00432247" w:rsidP="00432247">
            <w:pPr>
              <w:spacing w:after="0" w:line="240" w:lineRule="auto"/>
              <w:jc w:val="center"/>
              <w:rPr>
                <w:rFonts w:ascii="Times New Roman" w:eastAsia="Calibri" w:hAnsi="Times New Roman" w:cs="Times New Roman"/>
                <w:lang w:val="lv-LV" w:eastAsia="lv-LV"/>
              </w:rPr>
            </w:pPr>
          </w:p>
        </w:tc>
        <w:tc>
          <w:tcPr>
            <w:tcW w:w="1701" w:type="dxa"/>
          </w:tcPr>
          <w:p w:rsidR="00432247" w:rsidRPr="0034498C" w:rsidRDefault="00432247" w:rsidP="00432247">
            <w:pPr>
              <w:spacing w:after="0" w:line="240" w:lineRule="auto"/>
              <w:rPr>
                <w:rFonts w:ascii="Times New Roman" w:eastAsia="Calibri" w:hAnsi="Times New Roman" w:cs="Times New Roman"/>
                <w:lang w:val="lv-LV" w:eastAsia="lv-LV"/>
              </w:rPr>
            </w:pPr>
          </w:p>
        </w:tc>
        <w:tc>
          <w:tcPr>
            <w:tcW w:w="2106" w:type="dxa"/>
          </w:tcPr>
          <w:p w:rsidR="00432247" w:rsidRPr="0034498C" w:rsidRDefault="00432247" w:rsidP="00432247">
            <w:pPr>
              <w:spacing w:after="0" w:line="240" w:lineRule="auto"/>
              <w:rPr>
                <w:rFonts w:ascii="Times New Roman" w:eastAsia="Calibri" w:hAnsi="Times New Roman" w:cs="Times New Roman"/>
                <w:lang w:val="lv-LV" w:eastAsia="lv-LV"/>
              </w:rPr>
            </w:pPr>
          </w:p>
        </w:tc>
        <w:tc>
          <w:tcPr>
            <w:tcW w:w="2400" w:type="dxa"/>
          </w:tcPr>
          <w:p w:rsidR="00432247" w:rsidRPr="0034498C" w:rsidRDefault="00432247" w:rsidP="00432247">
            <w:pPr>
              <w:spacing w:after="0" w:line="240" w:lineRule="auto"/>
              <w:rPr>
                <w:rFonts w:ascii="Times New Roman" w:eastAsia="Calibri" w:hAnsi="Times New Roman" w:cs="Times New Roman"/>
                <w:lang w:val="lv-LV" w:eastAsia="lv-LV"/>
              </w:rPr>
            </w:pPr>
          </w:p>
        </w:tc>
      </w:tr>
      <w:tr w:rsidR="00432247" w:rsidRPr="00A179EE" w:rsidTr="00484661">
        <w:trPr>
          <w:jc w:val="center"/>
        </w:trPr>
        <w:tc>
          <w:tcPr>
            <w:tcW w:w="830" w:type="dxa"/>
          </w:tcPr>
          <w:p w:rsidR="00432247" w:rsidRPr="0034498C" w:rsidRDefault="00484661" w:rsidP="00432247">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432247" w:rsidRPr="0034498C">
              <w:rPr>
                <w:rFonts w:ascii="Times New Roman" w:eastAsia="Calibri" w:hAnsi="Times New Roman" w:cs="Times New Roman"/>
                <w:lang w:val="lv-LV" w:eastAsia="lv-LV"/>
              </w:rPr>
              <w:t>1.1.</w:t>
            </w:r>
          </w:p>
        </w:tc>
        <w:tc>
          <w:tcPr>
            <w:tcW w:w="4962" w:type="dxa"/>
          </w:tcPr>
          <w:p w:rsidR="00753B47" w:rsidRPr="0034498C" w:rsidRDefault="0043475A" w:rsidP="0034498C">
            <w:pPr>
              <w:spacing w:after="0" w:line="240" w:lineRule="auto"/>
              <w:jc w:val="both"/>
              <w:rPr>
                <w:rFonts w:ascii="Times New Roman" w:eastAsia="Calibri" w:hAnsi="Times New Roman" w:cs="Times New Roman"/>
                <w:lang w:val="lv-LV" w:eastAsia="lv-LV"/>
              </w:rPr>
            </w:pPr>
            <w:r>
              <w:rPr>
                <w:rFonts w:ascii="Times New Roman" w:eastAsia="Calibri" w:hAnsi="Times New Roman" w:cs="Times New Roman"/>
                <w:lang w:val="lv-LV" w:eastAsia="lv-LV"/>
              </w:rPr>
              <w:t xml:space="preserve">Izstrādāt </w:t>
            </w:r>
            <w:r w:rsidR="00432247" w:rsidRPr="0034498C">
              <w:rPr>
                <w:rFonts w:ascii="Times New Roman" w:eastAsia="Calibri" w:hAnsi="Times New Roman" w:cs="Times New Roman"/>
                <w:lang w:val="lv-LV" w:eastAsia="lv-LV"/>
              </w:rPr>
              <w:t>uz jauniem principiem ba</w:t>
            </w:r>
            <w:r>
              <w:rPr>
                <w:rFonts w:ascii="Times New Roman" w:eastAsia="Calibri" w:hAnsi="Times New Roman" w:cs="Times New Roman"/>
                <w:lang w:val="lv-LV" w:eastAsia="lv-LV"/>
              </w:rPr>
              <w:t xml:space="preserve">lstītās darba samaksas sistēmu </w:t>
            </w:r>
            <w:r w:rsidR="00432247" w:rsidRPr="0034498C">
              <w:rPr>
                <w:rFonts w:ascii="Times New Roman" w:eastAsia="Calibri" w:hAnsi="Times New Roman" w:cs="Times New Roman"/>
                <w:lang w:val="lv-LV" w:eastAsia="lv-LV"/>
              </w:rPr>
              <w:t>Ie</w:t>
            </w:r>
            <w:r w:rsidR="00627371" w:rsidRPr="0034498C">
              <w:rPr>
                <w:rFonts w:ascii="Times New Roman" w:eastAsia="Calibri" w:hAnsi="Times New Roman" w:cs="Times New Roman"/>
                <w:lang w:val="lv-LV" w:eastAsia="lv-LV"/>
              </w:rPr>
              <w:t>M</w:t>
            </w:r>
            <w:r w:rsidR="00432247" w:rsidRPr="0034498C">
              <w:rPr>
                <w:rFonts w:ascii="Times New Roman" w:eastAsia="Calibri" w:hAnsi="Times New Roman" w:cs="Times New Roman"/>
                <w:color w:val="FF0000"/>
                <w:lang w:val="lv-LV" w:eastAsia="lv-LV"/>
              </w:rPr>
              <w:t xml:space="preserve"> </w:t>
            </w:r>
            <w:r w:rsidR="00432247" w:rsidRPr="0034498C">
              <w:rPr>
                <w:rFonts w:ascii="Times New Roman" w:eastAsia="Calibri" w:hAnsi="Times New Roman" w:cs="Times New Roman"/>
                <w:lang w:val="lv-LV" w:eastAsia="lv-LV"/>
              </w:rPr>
              <w:t>un Ie</w:t>
            </w:r>
            <w:r w:rsidR="00627371" w:rsidRPr="0034498C">
              <w:rPr>
                <w:rFonts w:ascii="Times New Roman" w:eastAsia="Calibri" w:hAnsi="Times New Roman" w:cs="Times New Roman"/>
                <w:lang w:val="lv-LV" w:eastAsia="lv-LV"/>
              </w:rPr>
              <w:t>VP</w:t>
            </w:r>
            <w:r w:rsidR="00432247" w:rsidRPr="0034498C">
              <w:rPr>
                <w:rFonts w:ascii="Times New Roman" w:eastAsia="Calibri" w:hAnsi="Times New Roman" w:cs="Times New Roman"/>
                <w:lang w:val="lv-LV" w:eastAsia="lv-LV"/>
              </w:rPr>
              <w:t xml:space="preserve"> amatpersonām ar speciālajām dienesta pakāpēm ar mērķi pilnveidot darba samaksas sistēmu, lai nodrošinātu darbiniekiem</w:t>
            </w:r>
            <w:r w:rsidR="00792EF2" w:rsidRPr="0034498C">
              <w:rPr>
                <w:rFonts w:ascii="Times New Roman" w:eastAsia="Calibri" w:hAnsi="Times New Roman" w:cs="Times New Roman"/>
                <w:lang w:val="lv-LV" w:eastAsia="lv-LV"/>
              </w:rPr>
              <w:t>, t.sk. izmeklētāju</w:t>
            </w:r>
            <w:r w:rsidR="00432247" w:rsidRPr="0034498C">
              <w:rPr>
                <w:rFonts w:ascii="Times New Roman" w:eastAsia="Calibri" w:hAnsi="Times New Roman" w:cs="Times New Roman"/>
                <w:lang w:val="lv-LV" w:eastAsia="lv-LV"/>
              </w:rPr>
              <w:t xml:space="preserve"> motivāciju turpināt dienestu un noteikto uzdevumu kvalitatīvo un efektīvo veikšanu</w:t>
            </w:r>
          </w:p>
        </w:tc>
        <w:tc>
          <w:tcPr>
            <w:tcW w:w="1671" w:type="dxa"/>
          </w:tcPr>
          <w:p w:rsidR="00432247" w:rsidRPr="0034498C" w:rsidRDefault="00432247"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IeM</w:t>
            </w:r>
          </w:p>
          <w:p w:rsidR="00432247" w:rsidRPr="0034498C" w:rsidRDefault="00432247" w:rsidP="00432247">
            <w:pPr>
              <w:spacing w:after="0" w:line="240" w:lineRule="auto"/>
              <w:jc w:val="center"/>
              <w:rPr>
                <w:rFonts w:ascii="Times New Roman" w:eastAsia="Calibri" w:hAnsi="Times New Roman" w:cs="Times New Roman"/>
                <w:lang w:val="lv-LV" w:eastAsia="lv-LV"/>
              </w:rPr>
            </w:pPr>
          </w:p>
        </w:tc>
        <w:tc>
          <w:tcPr>
            <w:tcW w:w="1589" w:type="dxa"/>
          </w:tcPr>
          <w:p w:rsidR="00432247" w:rsidRPr="0034498C" w:rsidRDefault="00432247"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TM </w:t>
            </w:r>
          </w:p>
        </w:tc>
        <w:tc>
          <w:tcPr>
            <w:tcW w:w="1701" w:type="dxa"/>
          </w:tcPr>
          <w:p w:rsidR="009E34C0" w:rsidRPr="0034498C" w:rsidRDefault="0043224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Sistēmas izstrāde-20</w:t>
            </w:r>
            <w:r w:rsidR="00684799" w:rsidRPr="0034498C">
              <w:rPr>
                <w:rFonts w:ascii="Times New Roman" w:eastAsia="Calibri" w:hAnsi="Times New Roman" w:cs="Times New Roman"/>
                <w:lang w:val="lv-LV" w:eastAsia="lv-LV"/>
              </w:rPr>
              <w:t>13.gad</w:t>
            </w:r>
            <w:r w:rsidR="004930B7" w:rsidRPr="0034498C">
              <w:rPr>
                <w:rFonts w:ascii="Times New Roman" w:eastAsia="Calibri" w:hAnsi="Times New Roman" w:cs="Times New Roman"/>
                <w:lang w:val="lv-LV" w:eastAsia="lv-LV"/>
              </w:rPr>
              <w:t>a</w:t>
            </w:r>
          </w:p>
          <w:p w:rsidR="00432247" w:rsidRPr="0034498C" w:rsidRDefault="004930B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I</w:t>
            </w:r>
            <w:r w:rsidR="00A179EE">
              <w:rPr>
                <w:rFonts w:ascii="Times New Roman" w:eastAsia="Calibri" w:hAnsi="Times New Roman" w:cs="Times New Roman"/>
                <w:lang w:val="lv-LV" w:eastAsia="lv-LV"/>
              </w:rPr>
              <w:t>I</w:t>
            </w:r>
            <w:bookmarkStart w:id="0" w:name="_GoBack"/>
            <w:bookmarkEnd w:id="0"/>
            <w:r w:rsidRPr="0034498C">
              <w:rPr>
                <w:rFonts w:ascii="Times New Roman" w:eastAsia="Calibri" w:hAnsi="Times New Roman" w:cs="Times New Roman"/>
                <w:lang w:val="lv-LV" w:eastAsia="lv-LV"/>
              </w:rPr>
              <w:t xml:space="preserve"> pusgads</w:t>
            </w:r>
          </w:p>
          <w:p w:rsidR="00432247" w:rsidRPr="0034498C" w:rsidRDefault="00432247" w:rsidP="00432247">
            <w:pPr>
              <w:spacing w:after="0" w:line="240" w:lineRule="auto"/>
              <w:rPr>
                <w:rFonts w:ascii="Times New Roman" w:eastAsia="Calibri" w:hAnsi="Times New Roman" w:cs="Times New Roman"/>
                <w:lang w:val="lv-LV" w:eastAsia="lv-LV"/>
              </w:rPr>
            </w:pPr>
          </w:p>
          <w:p w:rsidR="00432247" w:rsidRPr="0034498C" w:rsidRDefault="00432247" w:rsidP="00432247">
            <w:pPr>
              <w:spacing w:after="0" w:line="240" w:lineRule="auto"/>
              <w:rPr>
                <w:rFonts w:ascii="Times New Roman" w:eastAsia="Calibri" w:hAnsi="Times New Roman" w:cs="Times New Roman"/>
                <w:lang w:val="lv-LV" w:eastAsia="lv-LV"/>
              </w:rPr>
            </w:pPr>
          </w:p>
        </w:tc>
        <w:tc>
          <w:tcPr>
            <w:tcW w:w="2106" w:type="dxa"/>
          </w:tcPr>
          <w:p w:rsidR="00432247" w:rsidRPr="0034498C" w:rsidRDefault="004930B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Koncepcija</w:t>
            </w:r>
          </w:p>
        </w:tc>
        <w:tc>
          <w:tcPr>
            <w:tcW w:w="2400" w:type="dxa"/>
          </w:tcPr>
          <w:p w:rsidR="00432247" w:rsidRPr="0034498C" w:rsidRDefault="00684799" w:rsidP="0068642B">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tc>
      </w:tr>
      <w:tr w:rsidR="00432247" w:rsidRPr="00A179EE" w:rsidTr="00484661">
        <w:trPr>
          <w:jc w:val="center"/>
        </w:trPr>
        <w:tc>
          <w:tcPr>
            <w:tcW w:w="830" w:type="dxa"/>
          </w:tcPr>
          <w:p w:rsidR="00432247" w:rsidRPr="0034498C" w:rsidRDefault="00484661" w:rsidP="00432247">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432247" w:rsidRPr="0034498C">
              <w:rPr>
                <w:rFonts w:ascii="Times New Roman" w:eastAsia="Calibri" w:hAnsi="Times New Roman" w:cs="Times New Roman"/>
                <w:lang w:val="lv-LV" w:eastAsia="lv-LV"/>
              </w:rPr>
              <w:t>1.2.</w:t>
            </w:r>
          </w:p>
        </w:tc>
        <w:tc>
          <w:tcPr>
            <w:tcW w:w="4962" w:type="dxa"/>
          </w:tcPr>
          <w:p w:rsidR="0034498C" w:rsidRPr="0034498C" w:rsidRDefault="00432247" w:rsidP="0034498C">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Izmeklēšanas iestāžu kompetences ietvaros regulāri veikt esošās situācijas analīzi par kriminālprocesu virzībā konstatētajām problēmām. Organizēt darba sanāksmes ar prokuroriem, tiesnešiem un citu izmeklēšanas iestāžu darbiniekiem, ja konstatētas būtiskas problēmas, kas saistītas ar izmeklēšanas iestāžu sadarbību, procesa virzītāju dažādu izpratni par kriminālprocesu izmeklēšanu, noziedzīgu nodarījumu kvalifikāciju, pierādījumu apjomu un citiem aspektiem, kas ietekmē kriminālprocesu kvalitāti un to savlaicīgu virzību</w:t>
            </w:r>
          </w:p>
        </w:tc>
        <w:tc>
          <w:tcPr>
            <w:tcW w:w="1671" w:type="dxa"/>
          </w:tcPr>
          <w:p w:rsidR="00432247" w:rsidRPr="0034498C" w:rsidRDefault="00DE0A3B" w:rsidP="00DE0A3B">
            <w:pPr>
              <w:spacing w:after="0" w:line="240" w:lineRule="auto"/>
              <w:ind w:left="65"/>
              <w:jc w:val="center"/>
              <w:rPr>
                <w:rFonts w:ascii="Times New Roman" w:eastAsia="Calibri" w:hAnsi="Times New Roman" w:cs="Times New Roman"/>
                <w:u w:val="single"/>
                <w:lang w:val="lv-LV" w:eastAsia="lv-LV"/>
              </w:rPr>
            </w:pPr>
            <w:r w:rsidRPr="0034498C">
              <w:rPr>
                <w:rFonts w:ascii="Times New Roman" w:eastAsia="Calibri" w:hAnsi="Times New Roman" w:cs="Times New Roman"/>
                <w:u w:val="single"/>
                <w:lang w:val="lv-LV" w:eastAsia="lv-LV"/>
              </w:rPr>
              <w:t>VP un citas i</w:t>
            </w:r>
            <w:r w:rsidR="00432247" w:rsidRPr="0034498C">
              <w:rPr>
                <w:rFonts w:ascii="Times New Roman" w:eastAsia="Calibri" w:hAnsi="Times New Roman" w:cs="Times New Roman"/>
                <w:u w:val="single"/>
                <w:lang w:val="lv-LV" w:eastAsia="lv-LV"/>
              </w:rPr>
              <w:t>zmeklēšanas iestādes</w:t>
            </w:r>
          </w:p>
        </w:tc>
        <w:tc>
          <w:tcPr>
            <w:tcW w:w="1589" w:type="dxa"/>
          </w:tcPr>
          <w:p w:rsidR="00432247" w:rsidRPr="0034498C" w:rsidRDefault="00432247" w:rsidP="00FA6FAA">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Tiesas, prokuratūras</w:t>
            </w:r>
          </w:p>
        </w:tc>
        <w:tc>
          <w:tcPr>
            <w:tcW w:w="1701" w:type="dxa"/>
          </w:tcPr>
          <w:p w:rsidR="00432247" w:rsidRPr="0034498C" w:rsidRDefault="0043224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Pastāvīgi</w:t>
            </w:r>
          </w:p>
        </w:tc>
        <w:tc>
          <w:tcPr>
            <w:tcW w:w="2106" w:type="dxa"/>
          </w:tcPr>
          <w:p w:rsidR="00432247" w:rsidRPr="0034498C" w:rsidRDefault="0043224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Pārskati (atskaites), darba sanāksmes</w:t>
            </w:r>
          </w:p>
        </w:tc>
        <w:tc>
          <w:tcPr>
            <w:tcW w:w="2400" w:type="dxa"/>
          </w:tcPr>
          <w:p w:rsidR="00432247" w:rsidRPr="0034498C" w:rsidRDefault="00684799" w:rsidP="003E4CEE">
            <w:pPr>
              <w:spacing w:after="0" w:line="240" w:lineRule="auto"/>
              <w:rPr>
                <w:rFonts w:ascii="Times New Roman" w:eastAsia="Calibri" w:hAnsi="Times New Roman" w:cs="Times New Roman"/>
                <w:b/>
                <w:bCs/>
                <w:lang w:val="lv-LV" w:eastAsia="lv-LV"/>
              </w:rPr>
            </w:pPr>
            <w:r w:rsidRPr="0034498C">
              <w:rPr>
                <w:rFonts w:ascii="Times New Roman" w:eastAsia="Calibri" w:hAnsi="Times New Roman" w:cs="Times New Roman"/>
                <w:bCs/>
                <w:lang w:val="lv-LV" w:eastAsia="lv-LV"/>
              </w:rPr>
              <w:t>Plānā ietvertie pasākumi īstenoj</w:t>
            </w:r>
            <w:r w:rsidR="003E4CEE" w:rsidRPr="0034498C">
              <w:rPr>
                <w:rFonts w:ascii="Times New Roman" w:eastAsia="Calibri" w:hAnsi="Times New Roman" w:cs="Times New Roman"/>
                <w:bCs/>
                <w:lang w:val="lv-LV" w:eastAsia="lv-LV"/>
              </w:rPr>
              <w:t>a</w:t>
            </w:r>
            <w:r w:rsidRPr="0034498C">
              <w:rPr>
                <w:rFonts w:ascii="Times New Roman" w:eastAsia="Calibri" w:hAnsi="Times New Roman" w:cs="Times New Roman"/>
                <w:bCs/>
                <w:lang w:val="lv-LV" w:eastAsia="lv-LV"/>
              </w:rPr>
              <w:t>mi attiecīgai institūcijai piešķirto valsts budžeta līdzekļu ietvaros</w:t>
            </w:r>
          </w:p>
        </w:tc>
      </w:tr>
      <w:tr w:rsidR="00432247" w:rsidRPr="00A179EE" w:rsidTr="00C8618D">
        <w:trPr>
          <w:trHeight w:val="492"/>
          <w:jc w:val="center"/>
        </w:trPr>
        <w:tc>
          <w:tcPr>
            <w:tcW w:w="830" w:type="dxa"/>
          </w:tcPr>
          <w:p w:rsidR="00432247" w:rsidRPr="0034498C" w:rsidRDefault="00484661" w:rsidP="004E4315">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432247" w:rsidRPr="0034498C">
              <w:rPr>
                <w:rFonts w:ascii="Times New Roman" w:eastAsia="Calibri" w:hAnsi="Times New Roman" w:cs="Times New Roman"/>
                <w:lang w:val="lv-LV" w:eastAsia="lv-LV"/>
              </w:rPr>
              <w:t>1.3.</w:t>
            </w:r>
          </w:p>
        </w:tc>
        <w:tc>
          <w:tcPr>
            <w:tcW w:w="4962" w:type="dxa"/>
          </w:tcPr>
          <w:p w:rsidR="00432247" w:rsidRPr="0034498C" w:rsidRDefault="000952B3" w:rsidP="001548B0">
            <w:pPr>
              <w:jc w:val="both"/>
              <w:rPr>
                <w:rFonts w:ascii="Times New Roman" w:eastAsia="Calibri" w:hAnsi="Times New Roman" w:cs="Times New Roman"/>
                <w:lang w:val="lv-LV" w:eastAsia="lv-LV"/>
              </w:rPr>
            </w:pPr>
            <w:r w:rsidRPr="0034498C">
              <w:rPr>
                <w:rFonts w:ascii="Times New Roman" w:hAnsi="Times New Roman" w:cs="Times New Roman"/>
                <w:lang w:val="lv-LV" w:eastAsia="lv-LV"/>
              </w:rPr>
              <w:t>Lai uzlabotu kriminālprocesu izmeklēšanas kvalitāti pirmstiesas kriminālprocesā, organizēt diskusiju izmeklētāju, prokuroru un tiesnešu vidū, lai savstarpējas sadarbības rezultātā panāktu vienotu izpratni ne tikai par saīsinātā procesa un neatliekamības kārtības piemērošanas priekšnoteikumiem, bet arī izpratni</w:t>
            </w:r>
            <w:r w:rsidRPr="0034498C">
              <w:rPr>
                <w:rFonts w:ascii="Times New Roman" w:eastAsia="Times New Roman" w:hAnsi="Times New Roman" w:cs="Times New Roman"/>
                <w:lang w:val="lv-LV"/>
              </w:rPr>
              <w:t xml:space="preserve">, cik pierādījumi ir pietiekami, lai personu sauktu pie kriminālatbildības, un novērstu jebkuras saprātīgas šaubas par vainu, tai pat laikā, ievērojot samērīgumu attiecībā uz </w:t>
            </w:r>
            <w:r w:rsidRPr="0034498C">
              <w:rPr>
                <w:rFonts w:ascii="Times New Roman" w:eastAsia="Times New Roman" w:hAnsi="Times New Roman" w:cs="Times New Roman"/>
                <w:lang w:val="lv-LV"/>
              </w:rPr>
              <w:lastRenderedPageBreak/>
              <w:t>īstenotajām izmeklēšanas darbībām un izmantotajiem resursiem</w:t>
            </w:r>
          </w:p>
        </w:tc>
        <w:tc>
          <w:tcPr>
            <w:tcW w:w="1671" w:type="dxa"/>
          </w:tcPr>
          <w:p w:rsidR="00432247" w:rsidRPr="0034498C" w:rsidRDefault="00432247" w:rsidP="009E34C0">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lastRenderedPageBreak/>
              <w:t>VP</w:t>
            </w:r>
          </w:p>
        </w:tc>
        <w:tc>
          <w:tcPr>
            <w:tcW w:w="1589" w:type="dxa"/>
          </w:tcPr>
          <w:p w:rsidR="00432247" w:rsidRPr="0034498C" w:rsidRDefault="00432247"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Izmeklēšanas iestādes, </w:t>
            </w:r>
          </w:p>
          <w:p w:rsidR="00432247" w:rsidRPr="0034498C" w:rsidRDefault="00432247"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tiesas, prokuratūras</w:t>
            </w:r>
          </w:p>
        </w:tc>
        <w:tc>
          <w:tcPr>
            <w:tcW w:w="1701" w:type="dxa"/>
          </w:tcPr>
          <w:p w:rsidR="00432247" w:rsidRPr="0034498C" w:rsidRDefault="0043224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2013.gada</w:t>
            </w:r>
          </w:p>
          <w:p w:rsidR="00432247" w:rsidRPr="0034498C" w:rsidRDefault="0043224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II pusgads</w:t>
            </w:r>
          </w:p>
        </w:tc>
        <w:tc>
          <w:tcPr>
            <w:tcW w:w="2106" w:type="dxa"/>
          </w:tcPr>
          <w:p w:rsidR="00432247" w:rsidRPr="0034498C" w:rsidRDefault="0079184C" w:rsidP="00610096">
            <w:pPr>
              <w:spacing w:after="0" w:line="240" w:lineRule="auto"/>
              <w:jc w:val="center"/>
              <w:rPr>
                <w:rFonts w:ascii="Times New Roman" w:eastAsia="Calibri" w:hAnsi="Times New Roman" w:cs="Times New Roman"/>
                <w:u w:val="single"/>
                <w:lang w:val="lv-LV" w:eastAsia="lv-LV"/>
              </w:rPr>
            </w:pPr>
            <w:r w:rsidRPr="0034498C">
              <w:rPr>
                <w:rFonts w:ascii="Times New Roman" w:eastAsia="Calibri" w:hAnsi="Times New Roman" w:cs="Times New Roman"/>
                <w:u w:val="single"/>
                <w:lang w:val="lv-LV" w:eastAsia="lv-LV"/>
              </w:rPr>
              <w:t>Institūciju vadības un ekspertu sanāksmes, mācības</w:t>
            </w:r>
          </w:p>
        </w:tc>
        <w:tc>
          <w:tcPr>
            <w:tcW w:w="2400" w:type="dxa"/>
          </w:tcPr>
          <w:p w:rsidR="00432247" w:rsidRPr="0034498C" w:rsidRDefault="00432247" w:rsidP="003E4CEE">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tc>
      </w:tr>
      <w:tr w:rsidR="00432247" w:rsidRPr="00A179EE" w:rsidTr="00484661">
        <w:trPr>
          <w:jc w:val="center"/>
        </w:trPr>
        <w:tc>
          <w:tcPr>
            <w:tcW w:w="830" w:type="dxa"/>
          </w:tcPr>
          <w:p w:rsidR="00432247" w:rsidRPr="0034498C" w:rsidRDefault="00484661" w:rsidP="00432247">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lastRenderedPageBreak/>
              <w:t xml:space="preserve"> </w:t>
            </w:r>
            <w:r w:rsidR="00432247" w:rsidRPr="0034498C">
              <w:rPr>
                <w:rFonts w:ascii="Times New Roman" w:eastAsia="Calibri" w:hAnsi="Times New Roman" w:cs="Times New Roman"/>
                <w:lang w:val="lv-LV" w:eastAsia="lv-LV"/>
              </w:rPr>
              <w:t>1.4.</w:t>
            </w:r>
          </w:p>
        </w:tc>
        <w:tc>
          <w:tcPr>
            <w:tcW w:w="4962" w:type="dxa"/>
          </w:tcPr>
          <w:p w:rsidR="00432247" w:rsidRPr="00DB0B8B" w:rsidRDefault="00DB0B8B" w:rsidP="00DB0B8B">
            <w:pPr>
              <w:pStyle w:val="PlainText"/>
              <w:jc w:val="both"/>
              <w:rPr>
                <w:rFonts w:ascii="Times New Roman" w:hAnsi="Times New Roman" w:cs="Times New Roman"/>
                <w:sz w:val="24"/>
                <w:szCs w:val="24"/>
                <w:u w:val="single"/>
              </w:rPr>
            </w:pPr>
            <w:r w:rsidRPr="00DB0B8B">
              <w:rPr>
                <w:rFonts w:ascii="Times New Roman" w:hAnsi="Times New Roman" w:cs="Times New Roman"/>
                <w:sz w:val="24"/>
                <w:szCs w:val="24"/>
                <w:u w:val="single"/>
              </w:rPr>
              <w:t>Izvērtēt kaitējuma (personiskā (morālā) kaitējuma un zaudējumu), kas fiziskai personai nodarīti izmeklēšanas iestādes, prokuratūras vai tiesas nelikumīgas vai nepamatotas rīcības rezultātā, nodarīšanas pamatu un apstākļus, nepieciešamības gadījumā informējot izmeklēšanas iestādes par konstatēto nelikumīgo vai nepamatoto rīcību un tās radītajām sekām.</w:t>
            </w:r>
          </w:p>
        </w:tc>
        <w:tc>
          <w:tcPr>
            <w:tcW w:w="1671" w:type="dxa"/>
          </w:tcPr>
          <w:p w:rsidR="00DB0B8B" w:rsidRDefault="00DB0B8B" w:rsidP="00610096">
            <w:pPr>
              <w:spacing w:after="0" w:line="240" w:lineRule="auto"/>
              <w:jc w:val="center"/>
              <w:rPr>
                <w:rFonts w:ascii="Times New Roman" w:eastAsia="Calibri" w:hAnsi="Times New Roman" w:cs="Times New Roman"/>
                <w:u w:val="single"/>
                <w:lang w:val="lv-LV" w:eastAsia="lv-LV"/>
              </w:rPr>
            </w:pPr>
            <w:r>
              <w:rPr>
                <w:rFonts w:ascii="Times New Roman" w:eastAsia="Calibri" w:hAnsi="Times New Roman" w:cs="Times New Roman"/>
                <w:u w:val="single"/>
                <w:lang w:val="lv-LV" w:eastAsia="lv-LV"/>
              </w:rPr>
              <w:t>ĢP,</w:t>
            </w:r>
          </w:p>
          <w:p w:rsidR="00A14A79" w:rsidRDefault="00A14A79" w:rsidP="00610096">
            <w:pPr>
              <w:spacing w:after="0" w:line="240" w:lineRule="auto"/>
              <w:jc w:val="center"/>
              <w:rPr>
                <w:rFonts w:ascii="Times New Roman" w:eastAsia="Calibri" w:hAnsi="Times New Roman" w:cs="Times New Roman"/>
                <w:u w:val="single"/>
                <w:lang w:val="lv-LV" w:eastAsia="lv-LV"/>
              </w:rPr>
            </w:pPr>
            <w:r w:rsidRPr="0034498C">
              <w:rPr>
                <w:rFonts w:ascii="Times New Roman" w:eastAsia="Calibri" w:hAnsi="Times New Roman" w:cs="Times New Roman"/>
                <w:u w:val="single"/>
                <w:lang w:val="lv-LV" w:eastAsia="lv-LV"/>
              </w:rPr>
              <w:t>TM</w:t>
            </w:r>
          </w:p>
          <w:p w:rsidR="0042475B" w:rsidRPr="0034498C" w:rsidRDefault="0042475B" w:rsidP="00610096">
            <w:pPr>
              <w:spacing w:after="0" w:line="240" w:lineRule="auto"/>
              <w:jc w:val="center"/>
              <w:rPr>
                <w:rFonts w:ascii="Times New Roman" w:eastAsia="Calibri" w:hAnsi="Times New Roman" w:cs="Times New Roman"/>
                <w:u w:val="single"/>
                <w:lang w:val="lv-LV" w:eastAsia="lv-LV"/>
              </w:rPr>
            </w:pPr>
          </w:p>
        </w:tc>
        <w:tc>
          <w:tcPr>
            <w:tcW w:w="1589" w:type="dxa"/>
          </w:tcPr>
          <w:p w:rsidR="00432247" w:rsidRPr="0034498C" w:rsidRDefault="00432247" w:rsidP="00FA6FAA">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Izmeklēšanas iestādes</w:t>
            </w:r>
          </w:p>
          <w:p w:rsidR="002D4DC1" w:rsidRPr="00E856E3" w:rsidRDefault="002D4DC1" w:rsidP="002D4DC1">
            <w:pPr>
              <w:spacing w:after="0" w:line="240" w:lineRule="auto"/>
              <w:jc w:val="center"/>
              <w:rPr>
                <w:rFonts w:ascii="Times New Roman" w:eastAsia="Calibri" w:hAnsi="Times New Roman" w:cs="Times New Roman"/>
                <w:u w:val="single"/>
                <w:lang w:val="lv-LV" w:eastAsia="lv-LV"/>
              </w:rPr>
            </w:pPr>
          </w:p>
        </w:tc>
        <w:tc>
          <w:tcPr>
            <w:tcW w:w="1701" w:type="dxa"/>
          </w:tcPr>
          <w:p w:rsidR="00432247" w:rsidRPr="0034498C" w:rsidRDefault="0043224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Pastāvīgi</w:t>
            </w:r>
          </w:p>
        </w:tc>
        <w:tc>
          <w:tcPr>
            <w:tcW w:w="2106" w:type="dxa"/>
          </w:tcPr>
          <w:p w:rsidR="00432247" w:rsidRPr="0034498C" w:rsidRDefault="0043224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Informācijas nodrošinājums</w:t>
            </w:r>
          </w:p>
        </w:tc>
        <w:tc>
          <w:tcPr>
            <w:tcW w:w="2400" w:type="dxa"/>
          </w:tcPr>
          <w:p w:rsidR="001F5375" w:rsidRPr="0034498C" w:rsidRDefault="00432247" w:rsidP="0034498C">
            <w:pPr>
              <w:spacing w:after="0" w:line="240" w:lineRule="auto"/>
              <w:rPr>
                <w:rFonts w:ascii="Calibri" w:eastAsia="Calibri" w:hAnsi="Calibri" w:cs="Calibri"/>
                <w:lang w:val="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tc>
      </w:tr>
      <w:tr w:rsidR="00432247" w:rsidRPr="00A179EE" w:rsidTr="00484661">
        <w:trPr>
          <w:jc w:val="center"/>
        </w:trPr>
        <w:tc>
          <w:tcPr>
            <w:tcW w:w="830" w:type="dxa"/>
          </w:tcPr>
          <w:p w:rsidR="00432247" w:rsidRPr="0034498C" w:rsidRDefault="00484661" w:rsidP="00432247">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b/>
                <w:lang w:val="lv-LV" w:eastAsia="lv-LV"/>
              </w:rPr>
              <w:t xml:space="preserve"> </w:t>
            </w:r>
            <w:r w:rsidR="00432247" w:rsidRPr="0034498C">
              <w:rPr>
                <w:rFonts w:ascii="Times New Roman" w:eastAsia="Calibri" w:hAnsi="Times New Roman" w:cs="Times New Roman"/>
                <w:lang w:val="lv-LV" w:eastAsia="lv-LV"/>
              </w:rPr>
              <w:t>1.5.</w:t>
            </w:r>
          </w:p>
        </w:tc>
        <w:tc>
          <w:tcPr>
            <w:tcW w:w="4962" w:type="dxa"/>
          </w:tcPr>
          <w:p w:rsidR="001F5375" w:rsidRPr="0034498C" w:rsidRDefault="00792EF2" w:rsidP="0034498C">
            <w:pPr>
              <w:spacing w:after="0" w:line="240" w:lineRule="auto"/>
              <w:jc w:val="both"/>
              <w:rPr>
                <w:rFonts w:ascii="Times New Roman" w:eastAsia="Calibri" w:hAnsi="Times New Roman" w:cs="Times New Roman"/>
                <w:b/>
                <w:lang w:val="lv-LV" w:eastAsia="lv-LV"/>
              </w:rPr>
            </w:pPr>
            <w:r w:rsidRPr="0034498C">
              <w:rPr>
                <w:rFonts w:ascii="Times New Roman" w:eastAsia="Calibri" w:hAnsi="Times New Roman" w:cs="Times New Roman"/>
                <w:u w:val="single"/>
                <w:lang w:val="lv-LV" w:eastAsia="lv-LV"/>
              </w:rPr>
              <w:t>Lai veicinātu atgriezeniskās sai</w:t>
            </w:r>
            <w:r w:rsidR="00395D71" w:rsidRPr="0034498C">
              <w:rPr>
                <w:rFonts w:ascii="Times New Roman" w:eastAsia="Calibri" w:hAnsi="Times New Roman" w:cs="Times New Roman"/>
                <w:u w:val="single"/>
                <w:lang w:val="lv-LV" w:eastAsia="lv-LV"/>
              </w:rPr>
              <w:t>knes</w:t>
            </w:r>
            <w:r w:rsidRPr="0034498C">
              <w:rPr>
                <w:rFonts w:ascii="Times New Roman" w:eastAsia="Calibri" w:hAnsi="Times New Roman" w:cs="Times New Roman"/>
                <w:u w:val="single"/>
                <w:lang w:val="lv-LV" w:eastAsia="lv-LV"/>
              </w:rPr>
              <w:t xml:space="preserve"> veidošanu starp TM</w:t>
            </w:r>
            <w:r w:rsidR="0010534E" w:rsidRPr="0034498C">
              <w:rPr>
                <w:rFonts w:ascii="Times New Roman" w:eastAsia="Calibri" w:hAnsi="Times New Roman" w:cs="Times New Roman"/>
                <w:u w:val="single"/>
                <w:lang w:val="lv-LV" w:eastAsia="lv-LV"/>
              </w:rPr>
              <w:t xml:space="preserve"> un izmeklēšanas iestādēm</w:t>
            </w:r>
            <w:r w:rsidR="00DE0A3B" w:rsidRPr="0034498C">
              <w:rPr>
                <w:rFonts w:ascii="Times New Roman" w:eastAsia="Calibri" w:hAnsi="Times New Roman" w:cs="Times New Roman"/>
                <w:u w:val="single"/>
                <w:lang w:val="lv-LV" w:eastAsia="lv-LV"/>
              </w:rPr>
              <w:t>, kas ļautu pilnvērtīgi analizēt informāciju par tiesu nolēmumiem krimināllietās un administratīvo pārkāpumu lietās</w:t>
            </w:r>
            <w:r w:rsidR="004E4315" w:rsidRPr="0034498C">
              <w:rPr>
                <w:rFonts w:ascii="Times New Roman" w:eastAsia="Calibri" w:hAnsi="Times New Roman" w:cs="Times New Roman"/>
                <w:u w:val="single"/>
                <w:lang w:val="lv-LV" w:eastAsia="lv-LV"/>
              </w:rPr>
              <w:t xml:space="preserve">, </w:t>
            </w:r>
            <w:r w:rsidR="0079184C" w:rsidRPr="0034498C">
              <w:rPr>
                <w:rFonts w:ascii="Times New Roman" w:eastAsia="Calibri" w:hAnsi="Times New Roman" w:cs="Times New Roman"/>
                <w:u w:val="single"/>
                <w:lang w:val="lv-LV" w:eastAsia="lv-LV"/>
              </w:rPr>
              <w:t>radītu iespēju veidot efektīvu izmeklēšanas metodoloģiju</w:t>
            </w:r>
            <w:r w:rsidR="00DE0A3B" w:rsidRPr="0034498C">
              <w:rPr>
                <w:rFonts w:ascii="Times New Roman" w:eastAsia="Calibri" w:hAnsi="Times New Roman" w:cs="Times New Roman"/>
                <w:u w:val="single"/>
                <w:lang w:val="lv-LV" w:eastAsia="lv-LV"/>
              </w:rPr>
              <w:t>, no</w:t>
            </w:r>
            <w:r w:rsidR="00432247" w:rsidRPr="0034498C">
              <w:rPr>
                <w:rFonts w:ascii="Times New Roman" w:eastAsia="Calibri" w:hAnsi="Times New Roman" w:cs="Times New Roman"/>
                <w:u w:val="single"/>
                <w:lang w:val="lv-LV" w:eastAsia="lv-LV"/>
              </w:rPr>
              <w:t xml:space="preserve">drošināt piekļuvi </w:t>
            </w:r>
            <w:r w:rsidR="00DA045C" w:rsidRPr="0034498C">
              <w:rPr>
                <w:rFonts w:ascii="Times New Roman" w:eastAsia="Calibri" w:hAnsi="Times New Roman" w:cs="Times New Roman"/>
                <w:u w:val="single"/>
                <w:lang w:val="lv-LV" w:eastAsia="lv-LV"/>
              </w:rPr>
              <w:t>Tiesu informācijas sistēmai</w:t>
            </w:r>
            <w:r w:rsidR="00432247" w:rsidRPr="0034498C">
              <w:rPr>
                <w:rFonts w:ascii="Times New Roman" w:eastAsia="Calibri" w:hAnsi="Times New Roman" w:cs="Times New Roman"/>
                <w:u w:val="single"/>
                <w:lang w:val="lv-LV" w:eastAsia="lv-LV"/>
              </w:rPr>
              <w:t xml:space="preserve"> </w:t>
            </w:r>
            <w:r w:rsidR="00DA045C" w:rsidRPr="0034498C">
              <w:rPr>
                <w:rFonts w:ascii="Times New Roman" w:eastAsia="Calibri" w:hAnsi="Times New Roman" w:cs="Times New Roman"/>
                <w:u w:val="single"/>
                <w:lang w:val="lv-LV" w:eastAsia="lv-LV"/>
              </w:rPr>
              <w:t>(TIS)</w:t>
            </w:r>
          </w:p>
        </w:tc>
        <w:tc>
          <w:tcPr>
            <w:tcW w:w="1671" w:type="dxa"/>
          </w:tcPr>
          <w:p w:rsidR="00432247" w:rsidRPr="0034498C" w:rsidRDefault="00792EF2" w:rsidP="00432247">
            <w:pPr>
              <w:spacing w:after="0" w:line="240" w:lineRule="auto"/>
              <w:ind w:left="360"/>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CA4F0F" w:rsidRPr="0034498C">
              <w:rPr>
                <w:rFonts w:ascii="Times New Roman" w:eastAsia="Calibri" w:hAnsi="Times New Roman" w:cs="Times New Roman"/>
                <w:lang w:val="lv-LV" w:eastAsia="lv-LV"/>
              </w:rPr>
              <w:t xml:space="preserve"> </w:t>
            </w:r>
            <w:r w:rsidR="00432247" w:rsidRPr="0034498C">
              <w:rPr>
                <w:rFonts w:ascii="Times New Roman" w:eastAsia="Calibri" w:hAnsi="Times New Roman" w:cs="Times New Roman"/>
                <w:lang w:val="lv-LV" w:eastAsia="lv-LV"/>
              </w:rPr>
              <w:t>TM</w:t>
            </w:r>
          </w:p>
        </w:tc>
        <w:tc>
          <w:tcPr>
            <w:tcW w:w="1589" w:type="dxa"/>
          </w:tcPr>
          <w:p w:rsidR="00432247" w:rsidRPr="0034498C" w:rsidRDefault="00432247" w:rsidP="00FA6FAA">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Izmeklēšanas iestādes</w:t>
            </w:r>
          </w:p>
        </w:tc>
        <w:tc>
          <w:tcPr>
            <w:tcW w:w="1701" w:type="dxa"/>
          </w:tcPr>
          <w:p w:rsidR="00432247" w:rsidRPr="0034498C" w:rsidRDefault="00432247" w:rsidP="004E4315">
            <w:pPr>
              <w:spacing w:after="0" w:line="240" w:lineRule="auto"/>
              <w:jc w:val="center"/>
              <w:rPr>
                <w:rFonts w:ascii="Times New Roman" w:eastAsia="Calibri" w:hAnsi="Times New Roman" w:cs="Times New Roman"/>
                <w:u w:val="single"/>
                <w:lang w:val="lv-LV" w:eastAsia="lv-LV"/>
              </w:rPr>
            </w:pPr>
            <w:r w:rsidRPr="0034498C">
              <w:rPr>
                <w:rFonts w:ascii="Times New Roman" w:eastAsia="Calibri" w:hAnsi="Times New Roman" w:cs="Times New Roman"/>
                <w:u w:val="single"/>
                <w:lang w:val="lv-LV" w:eastAsia="lv-LV"/>
              </w:rPr>
              <w:t xml:space="preserve">Sākot ar 2013.gada </w:t>
            </w:r>
            <w:r w:rsidR="00DE0A3B" w:rsidRPr="0034498C">
              <w:rPr>
                <w:rFonts w:ascii="Times New Roman" w:eastAsia="Calibri" w:hAnsi="Times New Roman" w:cs="Times New Roman"/>
                <w:u w:val="single"/>
                <w:lang w:val="lv-LV" w:eastAsia="lv-LV"/>
              </w:rPr>
              <w:t>1.</w:t>
            </w:r>
            <w:r w:rsidR="004E4315" w:rsidRPr="0034498C">
              <w:rPr>
                <w:rFonts w:ascii="Times New Roman" w:eastAsia="Calibri" w:hAnsi="Times New Roman" w:cs="Times New Roman"/>
                <w:u w:val="single"/>
                <w:lang w:val="lv-LV" w:eastAsia="lv-LV"/>
              </w:rPr>
              <w:t>martu</w:t>
            </w:r>
          </w:p>
        </w:tc>
        <w:tc>
          <w:tcPr>
            <w:tcW w:w="2106" w:type="dxa"/>
          </w:tcPr>
          <w:p w:rsidR="00432247" w:rsidRPr="0034498C" w:rsidRDefault="00432247" w:rsidP="00DA045C">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Piekļuve </w:t>
            </w:r>
            <w:r w:rsidR="00DA045C" w:rsidRPr="0034498C">
              <w:rPr>
                <w:rFonts w:ascii="Times New Roman" w:eastAsia="Calibri" w:hAnsi="Times New Roman" w:cs="Times New Roman"/>
                <w:lang w:val="lv-LV" w:eastAsia="lv-LV"/>
              </w:rPr>
              <w:t>TIS</w:t>
            </w:r>
          </w:p>
        </w:tc>
        <w:tc>
          <w:tcPr>
            <w:tcW w:w="2400" w:type="dxa"/>
          </w:tcPr>
          <w:p w:rsidR="00C40E15" w:rsidRPr="0034498C" w:rsidRDefault="00432247" w:rsidP="003E4CEE">
            <w:pPr>
              <w:spacing w:after="0" w:line="240" w:lineRule="auto"/>
              <w:rPr>
                <w:rFonts w:ascii="Calibri" w:eastAsia="Calibri" w:hAnsi="Calibri" w:cs="Calibri"/>
                <w:lang w:val="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tc>
      </w:tr>
      <w:tr w:rsidR="00432247" w:rsidRPr="00A179EE" w:rsidTr="00484661">
        <w:trPr>
          <w:jc w:val="center"/>
        </w:trPr>
        <w:tc>
          <w:tcPr>
            <w:tcW w:w="830" w:type="dxa"/>
          </w:tcPr>
          <w:p w:rsidR="00432247" w:rsidRPr="0034498C" w:rsidRDefault="00753B47" w:rsidP="00432247">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432247" w:rsidRPr="0034498C">
              <w:rPr>
                <w:rFonts w:ascii="Times New Roman" w:eastAsia="Calibri" w:hAnsi="Times New Roman" w:cs="Times New Roman"/>
                <w:lang w:val="lv-LV" w:eastAsia="lv-LV"/>
              </w:rPr>
              <w:t>1.6.</w:t>
            </w:r>
          </w:p>
        </w:tc>
        <w:tc>
          <w:tcPr>
            <w:tcW w:w="4962" w:type="dxa"/>
          </w:tcPr>
          <w:p w:rsidR="00432247" w:rsidRPr="0034498C" w:rsidRDefault="00432247" w:rsidP="0034498C">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Uzlabot VP Kriminālistikas pārvaldes tehnisko kapacitāti, lai nodrošinātu saprātīgu termiņu ievērošanu tiesu ekspertīžu izpildē un kriminālprocesu izmeklēšanā</w:t>
            </w:r>
          </w:p>
        </w:tc>
        <w:tc>
          <w:tcPr>
            <w:tcW w:w="1671" w:type="dxa"/>
          </w:tcPr>
          <w:p w:rsidR="00432247" w:rsidRPr="0034498C" w:rsidRDefault="00610096" w:rsidP="00610096">
            <w:pPr>
              <w:spacing w:after="0" w:line="240" w:lineRule="auto"/>
              <w:ind w:left="360"/>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CA4F0F" w:rsidRPr="0034498C">
              <w:rPr>
                <w:rFonts w:ascii="Times New Roman" w:eastAsia="Calibri" w:hAnsi="Times New Roman" w:cs="Times New Roman"/>
                <w:lang w:val="lv-LV" w:eastAsia="lv-LV"/>
              </w:rPr>
              <w:t xml:space="preserve"> </w:t>
            </w:r>
            <w:r w:rsidR="00432247" w:rsidRPr="0034498C">
              <w:rPr>
                <w:rFonts w:ascii="Times New Roman" w:eastAsia="Calibri" w:hAnsi="Times New Roman" w:cs="Times New Roman"/>
                <w:lang w:val="lv-LV" w:eastAsia="lv-LV"/>
              </w:rPr>
              <w:t>IeM</w:t>
            </w:r>
          </w:p>
        </w:tc>
        <w:tc>
          <w:tcPr>
            <w:tcW w:w="1589" w:type="dxa"/>
          </w:tcPr>
          <w:p w:rsidR="00432247" w:rsidRPr="0034498C" w:rsidRDefault="00432247"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VP</w:t>
            </w:r>
          </w:p>
        </w:tc>
        <w:tc>
          <w:tcPr>
            <w:tcW w:w="1701" w:type="dxa"/>
          </w:tcPr>
          <w:p w:rsidR="00432247" w:rsidRPr="0034498C" w:rsidRDefault="000A32DB" w:rsidP="00432247">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432247" w:rsidRPr="0034498C">
              <w:rPr>
                <w:rFonts w:ascii="Times New Roman" w:eastAsia="Calibri" w:hAnsi="Times New Roman" w:cs="Times New Roman"/>
                <w:lang w:val="lv-LV" w:eastAsia="lv-LV"/>
              </w:rPr>
              <w:t>Pastāvīgi</w:t>
            </w:r>
          </w:p>
        </w:tc>
        <w:tc>
          <w:tcPr>
            <w:tcW w:w="2106" w:type="dxa"/>
          </w:tcPr>
          <w:p w:rsidR="00432247" w:rsidRPr="0034498C" w:rsidRDefault="00432247" w:rsidP="000A4D83">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Uzlabojumi tehnisko iekārtu un līdzekļu jomā</w:t>
            </w:r>
          </w:p>
        </w:tc>
        <w:tc>
          <w:tcPr>
            <w:tcW w:w="2400" w:type="dxa"/>
          </w:tcPr>
          <w:p w:rsidR="00C40E15" w:rsidRPr="0034498C" w:rsidRDefault="00A80369" w:rsidP="003E4CEE">
            <w:pPr>
              <w:spacing w:after="0" w:line="240" w:lineRule="auto"/>
              <w:rPr>
                <w:rFonts w:ascii="Calibri" w:eastAsia="Calibri" w:hAnsi="Calibri" w:cs="Calibri"/>
                <w:lang w:val="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tc>
      </w:tr>
      <w:tr w:rsidR="00432247" w:rsidRPr="00A179EE" w:rsidTr="00484661">
        <w:trPr>
          <w:jc w:val="center"/>
        </w:trPr>
        <w:tc>
          <w:tcPr>
            <w:tcW w:w="830" w:type="dxa"/>
          </w:tcPr>
          <w:p w:rsidR="00432247" w:rsidRPr="0034498C" w:rsidRDefault="00753B47" w:rsidP="00432247">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432247" w:rsidRPr="0034498C">
              <w:rPr>
                <w:rFonts w:ascii="Times New Roman" w:eastAsia="Calibri" w:hAnsi="Times New Roman" w:cs="Times New Roman"/>
                <w:lang w:val="lv-LV" w:eastAsia="lv-LV"/>
              </w:rPr>
              <w:t>1.7.</w:t>
            </w:r>
          </w:p>
        </w:tc>
        <w:tc>
          <w:tcPr>
            <w:tcW w:w="4962" w:type="dxa"/>
          </w:tcPr>
          <w:p w:rsidR="001F5375" w:rsidRPr="0034498C" w:rsidRDefault="00432247" w:rsidP="0034498C">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Lai nodrošinātu efektīvu darbu ar izmantojamajām sistēmām (Integrētā iekšlietu informācijas sistēma, Biometrijas informācijas sistēma, Šengenas informācijas sistēma, Interpol u.c.), veikt datortehnikas, biroja tehnikas un programmatūras (standarta un speciālās) atjaunošanu izmeklēšanas iestāžu struktūrvienībās</w:t>
            </w:r>
          </w:p>
        </w:tc>
        <w:tc>
          <w:tcPr>
            <w:tcW w:w="1671" w:type="dxa"/>
          </w:tcPr>
          <w:p w:rsidR="00432247" w:rsidRPr="0034498C" w:rsidRDefault="00432247"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IeM IC</w:t>
            </w:r>
          </w:p>
        </w:tc>
        <w:tc>
          <w:tcPr>
            <w:tcW w:w="1589" w:type="dxa"/>
          </w:tcPr>
          <w:p w:rsidR="00432247" w:rsidRPr="0034498C" w:rsidRDefault="00432247"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VP</w:t>
            </w:r>
          </w:p>
          <w:p w:rsidR="00432247" w:rsidRPr="0034498C" w:rsidRDefault="00432247"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VRS</w:t>
            </w:r>
          </w:p>
          <w:p w:rsidR="00432247" w:rsidRPr="0034498C" w:rsidRDefault="00432247"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DP</w:t>
            </w:r>
          </w:p>
        </w:tc>
        <w:tc>
          <w:tcPr>
            <w:tcW w:w="1701" w:type="dxa"/>
          </w:tcPr>
          <w:p w:rsidR="00432247" w:rsidRPr="0034498C" w:rsidRDefault="000A32DB" w:rsidP="00432247">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432247" w:rsidRPr="0034498C">
              <w:rPr>
                <w:rFonts w:ascii="Times New Roman" w:eastAsia="Calibri" w:hAnsi="Times New Roman" w:cs="Times New Roman"/>
                <w:lang w:val="lv-LV" w:eastAsia="lv-LV"/>
              </w:rPr>
              <w:t>Pastāvīgi</w:t>
            </w:r>
          </w:p>
        </w:tc>
        <w:tc>
          <w:tcPr>
            <w:tcW w:w="2106" w:type="dxa"/>
          </w:tcPr>
          <w:p w:rsidR="00432247" w:rsidRPr="0034498C" w:rsidRDefault="0043224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Datortehnika,</w:t>
            </w:r>
          </w:p>
          <w:p w:rsidR="00432247" w:rsidRPr="0034498C" w:rsidRDefault="0043224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biroja tehnika, programmatūra</w:t>
            </w:r>
          </w:p>
        </w:tc>
        <w:tc>
          <w:tcPr>
            <w:tcW w:w="2400" w:type="dxa"/>
          </w:tcPr>
          <w:p w:rsidR="00C40E15" w:rsidRPr="0034498C" w:rsidRDefault="00A80369" w:rsidP="003E4CEE">
            <w:pPr>
              <w:spacing w:after="0" w:line="240" w:lineRule="auto"/>
              <w:rPr>
                <w:rFonts w:ascii="Calibri" w:eastAsia="Calibri" w:hAnsi="Calibri" w:cs="Calibri"/>
                <w:lang w:val="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tc>
      </w:tr>
      <w:tr w:rsidR="00432247" w:rsidRPr="00A179EE" w:rsidTr="0034498C">
        <w:trPr>
          <w:trHeight w:val="1407"/>
          <w:jc w:val="center"/>
        </w:trPr>
        <w:tc>
          <w:tcPr>
            <w:tcW w:w="830" w:type="dxa"/>
          </w:tcPr>
          <w:p w:rsidR="00432247" w:rsidRPr="0034498C" w:rsidRDefault="00484661" w:rsidP="00432247">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lastRenderedPageBreak/>
              <w:t xml:space="preserve"> </w:t>
            </w:r>
            <w:r w:rsidR="00432247" w:rsidRPr="0034498C">
              <w:rPr>
                <w:rFonts w:ascii="Times New Roman" w:eastAsia="Calibri" w:hAnsi="Times New Roman" w:cs="Times New Roman"/>
                <w:lang w:val="lv-LV" w:eastAsia="lv-LV"/>
              </w:rPr>
              <w:t>1.8.</w:t>
            </w:r>
          </w:p>
        </w:tc>
        <w:tc>
          <w:tcPr>
            <w:tcW w:w="4962" w:type="dxa"/>
          </w:tcPr>
          <w:p w:rsidR="001F5375" w:rsidRPr="0034498C" w:rsidRDefault="00432247" w:rsidP="0034498C">
            <w:pPr>
              <w:spacing w:after="0" w:line="240" w:lineRule="auto"/>
              <w:jc w:val="both"/>
              <w:rPr>
                <w:rFonts w:ascii="Times New Roman" w:eastAsia="Calibri" w:hAnsi="Times New Roman" w:cs="Times New Roman"/>
                <w:color w:val="000000"/>
                <w:lang w:val="lv-LV" w:eastAsia="lv-LV"/>
              </w:rPr>
            </w:pPr>
            <w:r w:rsidRPr="0034498C">
              <w:rPr>
                <w:rFonts w:ascii="Times New Roman" w:eastAsia="Calibri" w:hAnsi="Times New Roman" w:cs="Times New Roman"/>
                <w:color w:val="000000"/>
                <w:lang w:val="lv-LV" w:eastAsia="lv-LV"/>
              </w:rPr>
              <w:t>Izvērtēt lietderību un nepieciešamības gadījumā izstrādāt un ieviest vienotu noziedzīgu nodarījumu izmeklēšanas taktiku un metodiku iestādē, ņemot vērā attiecīgu noziedzīgu nodarījumu specifiku, lai nodrošinātu procesa virzītāju vienotu pieeju atsevišķu noziedzīgu nodarījumu izmeklēšanā</w:t>
            </w:r>
          </w:p>
        </w:tc>
        <w:tc>
          <w:tcPr>
            <w:tcW w:w="1671" w:type="dxa"/>
          </w:tcPr>
          <w:p w:rsidR="00432247" w:rsidRPr="0034498C" w:rsidRDefault="002D4DC1" w:rsidP="002D4DC1">
            <w:pPr>
              <w:spacing w:after="0" w:line="240" w:lineRule="auto"/>
              <w:jc w:val="center"/>
              <w:rPr>
                <w:rFonts w:ascii="Times New Roman" w:eastAsia="Calibri" w:hAnsi="Times New Roman" w:cs="Times New Roman"/>
                <w:u w:val="single"/>
                <w:lang w:val="lv-LV" w:eastAsia="lv-LV"/>
              </w:rPr>
            </w:pPr>
            <w:r w:rsidRPr="0034498C">
              <w:rPr>
                <w:rFonts w:ascii="Times New Roman" w:eastAsia="Calibri" w:hAnsi="Times New Roman" w:cs="Times New Roman"/>
                <w:u w:val="single"/>
                <w:lang w:val="lv-LV" w:eastAsia="lv-LV"/>
              </w:rPr>
              <w:t>I</w:t>
            </w:r>
            <w:r w:rsidR="00432247" w:rsidRPr="0034498C">
              <w:rPr>
                <w:rFonts w:ascii="Times New Roman" w:eastAsia="Calibri" w:hAnsi="Times New Roman" w:cs="Times New Roman"/>
                <w:u w:val="single"/>
                <w:lang w:val="lv-LV" w:eastAsia="lv-LV"/>
              </w:rPr>
              <w:t>zmeklēšanas iestādes atbilstoši kompetencei</w:t>
            </w:r>
          </w:p>
        </w:tc>
        <w:tc>
          <w:tcPr>
            <w:tcW w:w="1589" w:type="dxa"/>
          </w:tcPr>
          <w:p w:rsidR="00432247" w:rsidRPr="0034498C" w:rsidRDefault="00432247" w:rsidP="00432247">
            <w:pPr>
              <w:spacing w:after="0" w:line="240" w:lineRule="auto"/>
              <w:jc w:val="center"/>
              <w:rPr>
                <w:rFonts w:ascii="Times New Roman" w:eastAsia="Calibri" w:hAnsi="Times New Roman" w:cs="Times New Roman"/>
                <w:color w:val="000000"/>
                <w:lang w:val="lv-LV" w:eastAsia="lv-LV"/>
              </w:rPr>
            </w:pPr>
            <w:r w:rsidRPr="0034498C">
              <w:rPr>
                <w:rFonts w:ascii="Times New Roman" w:eastAsia="Calibri" w:hAnsi="Times New Roman" w:cs="Times New Roman"/>
                <w:color w:val="000000"/>
                <w:lang w:val="lv-LV" w:eastAsia="lv-LV"/>
              </w:rPr>
              <w:t>ĢP,</w:t>
            </w:r>
          </w:p>
          <w:p w:rsidR="00432247" w:rsidRPr="0034498C" w:rsidRDefault="00432247"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color w:val="000000"/>
                <w:lang w:val="lv-LV" w:eastAsia="lv-LV"/>
              </w:rPr>
              <w:t>Augstskolas, kurās pasniedz ar izmeklēšanu saistītus studiju kursus</w:t>
            </w:r>
          </w:p>
        </w:tc>
        <w:tc>
          <w:tcPr>
            <w:tcW w:w="1701" w:type="dxa"/>
          </w:tcPr>
          <w:p w:rsidR="00432247" w:rsidRPr="0034498C" w:rsidRDefault="00432247" w:rsidP="002721A4">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2014.- 2015.gads</w:t>
            </w:r>
          </w:p>
        </w:tc>
        <w:tc>
          <w:tcPr>
            <w:tcW w:w="2106" w:type="dxa"/>
          </w:tcPr>
          <w:p w:rsidR="00432247" w:rsidRPr="0034498C" w:rsidRDefault="00432247"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Ieteikumi un vadlīnijas noziedzīgu nodarījumu izmeklēšanā</w:t>
            </w:r>
          </w:p>
        </w:tc>
        <w:tc>
          <w:tcPr>
            <w:tcW w:w="2400" w:type="dxa"/>
          </w:tcPr>
          <w:p w:rsidR="006F52BD" w:rsidRPr="0034498C" w:rsidRDefault="00432247" w:rsidP="003E4CEE">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tc>
      </w:tr>
      <w:tr w:rsidR="006F52BD" w:rsidRPr="00A179EE" w:rsidTr="00C8618D">
        <w:trPr>
          <w:trHeight w:val="2193"/>
          <w:jc w:val="center"/>
        </w:trPr>
        <w:tc>
          <w:tcPr>
            <w:tcW w:w="830" w:type="dxa"/>
          </w:tcPr>
          <w:p w:rsidR="006F52BD" w:rsidRPr="0034498C" w:rsidRDefault="00484661" w:rsidP="00432247">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6F52BD" w:rsidRPr="0034498C">
              <w:rPr>
                <w:rFonts w:ascii="Times New Roman" w:eastAsia="Calibri" w:hAnsi="Times New Roman" w:cs="Times New Roman"/>
                <w:lang w:val="lv-LV" w:eastAsia="lv-LV"/>
              </w:rPr>
              <w:t>1.9.</w:t>
            </w:r>
          </w:p>
        </w:tc>
        <w:tc>
          <w:tcPr>
            <w:tcW w:w="4962" w:type="dxa"/>
          </w:tcPr>
          <w:p w:rsidR="006F52BD" w:rsidRPr="0034498C" w:rsidRDefault="00926E87" w:rsidP="00926E87">
            <w:pPr>
              <w:jc w:val="both"/>
              <w:rPr>
                <w:rFonts w:ascii="Times New Roman" w:eastAsia="Calibri" w:hAnsi="Times New Roman" w:cs="Times New Roman"/>
                <w:lang w:val="lv-LV" w:eastAsia="lv-LV"/>
              </w:rPr>
            </w:pPr>
            <w:r w:rsidRPr="0034498C">
              <w:rPr>
                <w:rFonts w:ascii="Times New Roman" w:eastAsia="Times New Roman" w:hAnsi="Times New Roman" w:cs="Times New Roman"/>
                <w:u w:val="single"/>
                <w:lang w:val="lv-LV" w:eastAsia="lv-LV"/>
              </w:rPr>
              <w:t>Lai paaugstinātu darbinieku motivāciju  uzdevumu kvalitatīvai un efektīvai veikšanai</w:t>
            </w:r>
            <w:r w:rsidRPr="0034498C">
              <w:rPr>
                <w:rFonts w:ascii="Times New Roman" w:eastAsia="Times New Roman" w:hAnsi="Times New Roman" w:cs="Times New Roman"/>
                <w:lang w:val="lv-LV" w:eastAsia="lv-LV"/>
              </w:rPr>
              <w:t>, s</w:t>
            </w:r>
            <w:r w:rsidR="000E1CC9" w:rsidRPr="0034498C">
              <w:rPr>
                <w:rFonts w:ascii="Times New Roman" w:eastAsia="Times New Roman" w:hAnsi="Times New Roman" w:cs="Times New Roman"/>
                <w:lang w:val="lv-LV"/>
              </w:rPr>
              <w:t xml:space="preserve">agatavot priekšlikumus grozījumiem Ministru kabineta </w:t>
            </w:r>
            <w:r w:rsidR="000E1CC9" w:rsidRPr="0034498C">
              <w:rPr>
                <w:rFonts w:ascii="Times New Roman" w:eastAsia="Times New Roman" w:hAnsi="Times New Roman" w:cs="Times New Roman"/>
                <w:lang w:val="lv-LV" w:eastAsia="lv-LV"/>
              </w:rPr>
              <w:t>2010.gada 30.novembra noteikumos Nr.1075 „</w:t>
            </w:r>
            <w:r w:rsidR="000E1CC9" w:rsidRPr="0034498C">
              <w:rPr>
                <w:rFonts w:ascii="Times New Roman" w:eastAsia="Times New Roman" w:hAnsi="Times New Roman" w:cs="Times New Roman"/>
                <w:lang w:val="lv-LV"/>
              </w:rPr>
              <w:t>Valsts un pašvaldību institūciju amatu katalogs”</w:t>
            </w:r>
            <w:r w:rsidR="000E1CC9" w:rsidRPr="0034498C">
              <w:rPr>
                <w:rFonts w:ascii="Times New Roman" w:eastAsia="Times New Roman" w:hAnsi="Times New Roman" w:cs="Times New Roman"/>
                <w:lang w:val="lv-LV" w:eastAsia="lv-LV"/>
              </w:rPr>
              <w:t xml:space="preserve">, </w:t>
            </w:r>
            <w:r w:rsidR="000E1CC9" w:rsidRPr="0034498C">
              <w:rPr>
                <w:rFonts w:ascii="Times New Roman" w:eastAsia="Times New Roman" w:hAnsi="Times New Roman" w:cs="Times New Roman"/>
                <w:lang w:val="lv-LV"/>
              </w:rPr>
              <w:t xml:space="preserve">kuros paredzētu normu, ka </w:t>
            </w:r>
            <w:r w:rsidR="000E1CC9" w:rsidRPr="0034498C">
              <w:rPr>
                <w:rFonts w:ascii="Times New Roman" w:eastAsia="Times New Roman" w:hAnsi="Times New Roman" w:cs="Times New Roman"/>
                <w:bCs/>
                <w:lang w:val="lv-LV" w:eastAsia="lv-LV"/>
              </w:rPr>
              <w:t>augstākas atbildības un amata pienākumu sarežģītības pakāpei tiek izveidots atbilstošs izmeklētāju amata līmenis</w:t>
            </w:r>
          </w:p>
        </w:tc>
        <w:tc>
          <w:tcPr>
            <w:tcW w:w="1671" w:type="dxa"/>
          </w:tcPr>
          <w:p w:rsidR="006F52BD" w:rsidRPr="0034498C" w:rsidRDefault="00A90400" w:rsidP="007B2A99">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KNAB</w:t>
            </w:r>
          </w:p>
        </w:tc>
        <w:tc>
          <w:tcPr>
            <w:tcW w:w="1589" w:type="dxa"/>
          </w:tcPr>
          <w:p w:rsidR="0034498C" w:rsidRPr="0034498C" w:rsidRDefault="0034498C" w:rsidP="00432247">
            <w:pPr>
              <w:spacing w:after="0" w:line="240" w:lineRule="auto"/>
              <w:jc w:val="center"/>
              <w:rPr>
                <w:rFonts w:ascii="Times New Roman" w:eastAsia="Calibri" w:hAnsi="Times New Roman" w:cs="Times New Roman"/>
                <w:b/>
                <w:u w:val="single"/>
                <w:lang w:val="lv-LV" w:eastAsia="lv-LV"/>
              </w:rPr>
            </w:pPr>
          </w:p>
        </w:tc>
        <w:tc>
          <w:tcPr>
            <w:tcW w:w="1701" w:type="dxa"/>
          </w:tcPr>
          <w:p w:rsidR="00303CC0" w:rsidRPr="0034498C" w:rsidRDefault="00EC3071" w:rsidP="00EC3071">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2013.gada</w:t>
            </w:r>
          </w:p>
          <w:p w:rsidR="006F52BD" w:rsidRPr="0034498C" w:rsidRDefault="00EC3071" w:rsidP="00EC3071">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II pusgads</w:t>
            </w:r>
          </w:p>
        </w:tc>
        <w:tc>
          <w:tcPr>
            <w:tcW w:w="2106" w:type="dxa"/>
          </w:tcPr>
          <w:p w:rsidR="006F52BD" w:rsidRPr="0034498C" w:rsidRDefault="00EC3071"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Grozījumi MK noteikumos</w:t>
            </w:r>
          </w:p>
        </w:tc>
        <w:tc>
          <w:tcPr>
            <w:tcW w:w="2400" w:type="dxa"/>
          </w:tcPr>
          <w:p w:rsidR="006F52BD" w:rsidRPr="0034498C" w:rsidRDefault="00EC3071" w:rsidP="003E4CEE">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tc>
      </w:tr>
      <w:tr w:rsidR="007B2A99" w:rsidRPr="00A179EE" w:rsidTr="009C2C77">
        <w:trPr>
          <w:trHeight w:val="1210"/>
          <w:jc w:val="center"/>
        </w:trPr>
        <w:tc>
          <w:tcPr>
            <w:tcW w:w="830" w:type="dxa"/>
          </w:tcPr>
          <w:p w:rsidR="007B2A99" w:rsidRPr="0034498C" w:rsidRDefault="009343F4" w:rsidP="001007EC">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1.10.</w:t>
            </w:r>
          </w:p>
        </w:tc>
        <w:tc>
          <w:tcPr>
            <w:tcW w:w="4962" w:type="dxa"/>
          </w:tcPr>
          <w:p w:rsidR="009343F4" w:rsidRPr="0034498C" w:rsidRDefault="00EC3071" w:rsidP="0068642B">
            <w:pPr>
              <w:jc w:val="both"/>
              <w:rPr>
                <w:rFonts w:ascii="Times New Roman" w:hAnsi="Times New Roman" w:cs="Times New Roman"/>
                <w:lang w:val="lv-LV"/>
              </w:rPr>
            </w:pPr>
            <w:r w:rsidRPr="0034498C">
              <w:rPr>
                <w:rFonts w:ascii="Times New Roman" w:eastAsia="Calibri" w:hAnsi="Times New Roman" w:cs="Times New Roman"/>
                <w:lang w:val="lv-LV" w:eastAsia="lv-LV"/>
              </w:rPr>
              <w:t>VP izveidot struktūrvienību, kuras kompetencē ietilps metodiska vadība kriminālprocesuālajos jautājumos</w:t>
            </w:r>
          </w:p>
        </w:tc>
        <w:tc>
          <w:tcPr>
            <w:tcW w:w="1671" w:type="dxa"/>
          </w:tcPr>
          <w:p w:rsidR="007B2A99" w:rsidRPr="0034498C" w:rsidRDefault="00EC3071" w:rsidP="001548B0">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VP</w:t>
            </w:r>
          </w:p>
        </w:tc>
        <w:tc>
          <w:tcPr>
            <w:tcW w:w="1589" w:type="dxa"/>
          </w:tcPr>
          <w:p w:rsidR="007B2A99" w:rsidRPr="0034498C" w:rsidRDefault="007B2A99" w:rsidP="00EC3071">
            <w:pPr>
              <w:spacing w:after="0" w:line="240" w:lineRule="auto"/>
              <w:jc w:val="center"/>
              <w:rPr>
                <w:rFonts w:ascii="Times New Roman" w:eastAsia="Calibri" w:hAnsi="Times New Roman" w:cs="Times New Roman"/>
                <w:lang w:val="lv-LV" w:eastAsia="lv-LV"/>
              </w:rPr>
            </w:pPr>
          </w:p>
        </w:tc>
        <w:tc>
          <w:tcPr>
            <w:tcW w:w="1701" w:type="dxa"/>
          </w:tcPr>
          <w:p w:rsidR="00EC3071" w:rsidRPr="0034498C" w:rsidRDefault="00EC3071" w:rsidP="00303CC0">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201</w:t>
            </w:r>
            <w:r w:rsidR="00573E7B" w:rsidRPr="0034498C">
              <w:rPr>
                <w:rFonts w:ascii="Times New Roman" w:eastAsia="Calibri" w:hAnsi="Times New Roman" w:cs="Times New Roman"/>
                <w:lang w:val="lv-LV" w:eastAsia="lv-LV"/>
              </w:rPr>
              <w:t>4</w:t>
            </w:r>
            <w:r w:rsidRPr="0034498C">
              <w:rPr>
                <w:rFonts w:ascii="Times New Roman" w:eastAsia="Calibri" w:hAnsi="Times New Roman" w:cs="Times New Roman"/>
                <w:lang w:val="lv-LV" w:eastAsia="lv-LV"/>
              </w:rPr>
              <w:t>.gada</w:t>
            </w:r>
          </w:p>
          <w:p w:rsidR="007B2A99" w:rsidRPr="0034498C" w:rsidRDefault="00EC3071" w:rsidP="00303CC0">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 pusgads</w:t>
            </w:r>
          </w:p>
        </w:tc>
        <w:tc>
          <w:tcPr>
            <w:tcW w:w="2106" w:type="dxa"/>
          </w:tcPr>
          <w:p w:rsidR="007B2A99" w:rsidRPr="0034498C" w:rsidRDefault="00EC3071" w:rsidP="00ED66E2">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Izveidota struktūrvienība VP Galvenās kriminālpolicijas pārvaldes sastāvā</w:t>
            </w:r>
          </w:p>
        </w:tc>
        <w:tc>
          <w:tcPr>
            <w:tcW w:w="2400" w:type="dxa"/>
          </w:tcPr>
          <w:p w:rsidR="001F5375" w:rsidRPr="0034498C" w:rsidRDefault="00EC3071" w:rsidP="0034498C">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tc>
      </w:tr>
      <w:tr w:rsidR="007B2A99" w:rsidRPr="0034498C" w:rsidTr="00484661">
        <w:trPr>
          <w:jc w:val="center"/>
        </w:trPr>
        <w:tc>
          <w:tcPr>
            <w:tcW w:w="830" w:type="dxa"/>
          </w:tcPr>
          <w:p w:rsidR="007B2A99" w:rsidRPr="0034498C" w:rsidRDefault="00484661" w:rsidP="00432247">
            <w:pPr>
              <w:spacing w:after="0" w:line="240" w:lineRule="auto"/>
              <w:jc w:val="both"/>
              <w:rPr>
                <w:rFonts w:ascii="Times New Roman" w:eastAsia="Calibri" w:hAnsi="Times New Roman" w:cs="Times New Roman"/>
                <w:b/>
                <w:bCs/>
                <w:lang w:val="lv-LV" w:eastAsia="lv-LV"/>
              </w:rPr>
            </w:pPr>
            <w:r w:rsidRPr="0034498C">
              <w:rPr>
                <w:rFonts w:ascii="Times New Roman" w:eastAsia="Calibri" w:hAnsi="Times New Roman" w:cs="Times New Roman"/>
                <w:b/>
                <w:bCs/>
                <w:lang w:val="lv-LV" w:eastAsia="lv-LV"/>
              </w:rPr>
              <w:t xml:space="preserve">  </w:t>
            </w:r>
            <w:r w:rsidR="007B2A99" w:rsidRPr="0034498C">
              <w:rPr>
                <w:rFonts w:ascii="Times New Roman" w:eastAsia="Calibri" w:hAnsi="Times New Roman" w:cs="Times New Roman"/>
                <w:b/>
                <w:bCs/>
                <w:lang w:val="lv-LV" w:eastAsia="lv-LV"/>
              </w:rPr>
              <w:t xml:space="preserve">2. </w:t>
            </w:r>
          </w:p>
        </w:tc>
        <w:tc>
          <w:tcPr>
            <w:tcW w:w="4962" w:type="dxa"/>
          </w:tcPr>
          <w:p w:rsidR="007B2A99" w:rsidRPr="0034498C" w:rsidRDefault="007B2A99" w:rsidP="00432247">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b/>
                <w:bCs/>
                <w:lang w:val="lv-LV"/>
              </w:rPr>
              <w:t>Personā</w:t>
            </w:r>
            <w:r w:rsidR="0043475A">
              <w:rPr>
                <w:rFonts w:ascii="Times New Roman" w:eastAsia="Calibri" w:hAnsi="Times New Roman" w:cs="Times New Roman"/>
                <w:b/>
                <w:bCs/>
                <w:lang w:val="lv-LV"/>
              </w:rPr>
              <w:t xml:space="preserve">la profesionālās sagatavošanas </w:t>
            </w:r>
            <w:r w:rsidRPr="0034498C">
              <w:rPr>
                <w:rFonts w:ascii="Times New Roman" w:eastAsia="Calibri" w:hAnsi="Times New Roman" w:cs="Times New Roman"/>
                <w:b/>
                <w:bCs/>
                <w:lang w:val="lv-LV"/>
              </w:rPr>
              <w:t>jautājumi</w:t>
            </w:r>
          </w:p>
        </w:tc>
        <w:tc>
          <w:tcPr>
            <w:tcW w:w="1671" w:type="dxa"/>
          </w:tcPr>
          <w:p w:rsidR="007B2A99" w:rsidRPr="0034498C" w:rsidRDefault="007B2A99" w:rsidP="00432247">
            <w:pPr>
              <w:spacing w:after="0" w:line="240" w:lineRule="auto"/>
              <w:jc w:val="center"/>
              <w:rPr>
                <w:rFonts w:ascii="Times New Roman" w:eastAsia="Calibri" w:hAnsi="Times New Roman" w:cs="Times New Roman"/>
                <w:lang w:val="lv-LV" w:eastAsia="lv-LV"/>
              </w:rPr>
            </w:pPr>
          </w:p>
        </w:tc>
        <w:tc>
          <w:tcPr>
            <w:tcW w:w="1589" w:type="dxa"/>
          </w:tcPr>
          <w:p w:rsidR="007B2A99" w:rsidRPr="0034498C" w:rsidRDefault="007B2A99" w:rsidP="00432247">
            <w:pPr>
              <w:spacing w:after="0" w:line="240" w:lineRule="auto"/>
              <w:jc w:val="center"/>
              <w:rPr>
                <w:rFonts w:ascii="Times New Roman" w:eastAsia="Calibri" w:hAnsi="Times New Roman" w:cs="Times New Roman"/>
                <w:lang w:val="lv-LV" w:eastAsia="lv-LV"/>
              </w:rPr>
            </w:pPr>
          </w:p>
        </w:tc>
        <w:tc>
          <w:tcPr>
            <w:tcW w:w="1701" w:type="dxa"/>
          </w:tcPr>
          <w:p w:rsidR="007B2A99" w:rsidRPr="0034498C" w:rsidRDefault="007B2A99" w:rsidP="00432247">
            <w:pPr>
              <w:spacing w:after="0" w:line="240" w:lineRule="auto"/>
              <w:jc w:val="both"/>
              <w:rPr>
                <w:rFonts w:ascii="Times New Roman" w:eastAsia="Calibri" w:hAnsi="Times New Roman" w:cs="Times New Roman"/>
                <w:lang w:val="lv-LV" w:eastAsia="lv-LV"/>
              </w:rPr>
            </w:pPr>
          </w:p>
        </w:tc>
        <w:tc>
          <w:tcPr>
            <w:tcW w:w="2106" w:type="dxa"/>
          </w:tcPr>
          <w:p w:rsidR="007B2A99" w:rsidRPr="0034498C" w:rsidRDefault="007B2A99" w:rsidP="00432247">
            <w:pPr>
              <w:spacing w:after="0" w:line="240" w:lineRule="auto"/>
              <w:rPr>
                <w:rFonts w:ascii="Times New Roman" w:eastAsia="Calibri" w:hAnsi="Times New Roman" w:cs="Times New Roman"/>
                <w:lang w:val="lv-LV" w:eastAsia="lv-LV"/>
              </w:rPr>
            </w:pPr>
          </w:p>
        </w:tc>
        <w:tc>
          <w:tcPr>
            <w:tcW w:w="2400" w:type="dxa"/>
          </w:tcPr>
          <w:p w:rsidR="007B2A99" w:rsidRPr="0034498C" w:rsidRDefault="007B2A99" w:rsidP="00432247">
            <w:pPr>
              <w:spacing w:after="0" w:line="240" w:lineRule="auto"/>
              <w:ind w:left="360"/>
              <w:jc w:val="both"/>
              <w:rPr>
                <w:rFonts w:ascii="Times New Roman" w:eastAsia="Calibri" w:hAnsi="Times New Roman" w:cs="Times New Roman"/>
                <w:b/>
                <w:bCs/>
                <w:lang w:val="lv-LV" w:eastAsia="lv-LV"/>
              </w:rPr>
            </w:pPr>
          </w:p>
        </w:tc>
      </w:tr>
      <w:tr w:rsidR="007B2A99" w:rsidRPr="00A179EE" w:rsidTr="00484661">
        <w:trPr>
          <w:jc w:val="center"/>
        </w:trPr>
        <w:tc>
          <w:tcPr>
            <w:tcW w:w="830" w:type="dxa"/>
          </w:tcPr>
          <w:p w:rsidR="007B2A99" w:rsidRPr="0034498C" w:rsidRDefault="00484661" w:rsidP="00432247">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7B2A99" w:rsidRPr="0034498C">
              <w:rPr>
                <w:rFonts w:ascii="Times New Roman" w:eastAsia="Calibri" w:hAnsi="Times New Roman" w:cs="Times New Roman"/>
                <w:lang w:val="lv-LV" w:eastAsia="lv-LV"/>
              </w:rPr>
              <w:t>2.1.</w:t>
            </w:r>
          </w:p>
        </w:tc>
        <w:tc>
          <w:tcPr>
            <w:tcW w:w="4962" w:type="dxa"/>
          </w:tcPr>
          <w:p w:rsidR="001F5375" w:rsidRPr="0034498C" w:rsidRDefault="007B2A99" w:rsidP="0034498C">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Nodrošināt atbilstošu un kvalitatīvu apmācību izmeklēšanas iestāžu darbinieku profesionālās kvalifikācijas paaugstināšanai</w:t>
            </w:r>
            <w:r w:rsidR="00A80369" w:rsidRPr="0034498C">
              <w:rPr>
                <w:rFonts w:ascii="Times New Roman" w:eastAsia="Calibri" w:hAnsi="Times New Roman" w:cs="Times New Roman"/>
                <w:lang w:val="lv-LV" w:eastAsia="lv-LV"/>
              </w:rPr>
              <w:t>,</w:t>
            </w:r>
            <w:r w:rsidRPr="0034498C">
              <w:rPr>
                <w:rFonts w:ascii="Times New Roman" w:eastAsia="Calibri" w:hAnsi="Times New Roman" w:cs="Times New Roman"/>
                <w:lang w:val="lv-LV" w:eastAsia="lv-LV"/>
              </w:rPr>
              <w:t xml:space="preserve"> </w:t>
            </w:r>
            <w:r w:rsidRPr="0034498C">
              <w:rPr>
                <w:rFonts w:ascii="Times New Roman" w:eastAsia="Calibri" w:hAnsi="Times New Roman" w:cs="Times New Roman"/>
                <w:color w:val="000000"/>
                <w:lang w:val="lv-LV" w:eastAsia="lv-LV"/>
              </w:rPr>
              <w:t>izmeklēšanas iestādēm piedaloties apmācību tematikas aktualizēšanā par konstatētajām problēmām, sevišķu vērību pievēršot praktiskajai rīcībai, taktikai, noziedzīgu nodarījumu kvalifikācijas un kriminālprocesuālo tiesību normu piemērošanas problēmām</w:t>
            </w:r>
            <w:r w:rsidRPr="0034498C">
              <w:rPr>
                <w:rFonts w:ascii="Times New Roman" w:eastAsia="Calibri" w:hAnsi="Times New Roman" w:cs="Times New Roman"/>
                <w:lang w:val="lv-LV" w:eastAsia="lv-LV"/>
              </w:rPr>
              <w:t xml:space="preserve">, </w:t>
            </w:r>
            <w:r w:rsidR="00A80369" w:rsidRPr="0034498C">
              <w:rPr>
                <w:rFonts w:ascii="Times New Roman" w:eastAsia="Calibri" w:hAnsi="Times New Roman" w:cs="Times New Roman"/>
                <w:lang w:val="lv-LV" w:eastAsia="lv-LV"/>
              </w:rPr>
              <w:t>t.sk.</w:t>
            </w:r>
            <w:r w:rsidR="0068642B" w:rsidRPr="0034498C">
              <w:rPr>
                <w:rFonts w:ascii="Times New Roman" w:eastAsia="Calibri" w:hAnsi="Times New Roman" w:cs="Times New Roman"/>
                <w:lang w:val="lv-LV" w:eastAsia="lv-LV"/>
              </w:rPr>
              <w:t>,</w:t>
            </w:r>
            <w:r w:rsidR="0043475A">
              <w:rPr>
                <w:rFonts w:ascii="Times New Roman" w:eastAsia="Calibri" w:hAnsi="Times New Roman" w:cs="Times New Roman"/>
                <w:lang w:val="lv-LV" w:eastAsia="lv-LV"/>
              </w:rPr>
              <w:t xml:space="preserve"> </w:t>
            </w:r>
            <w:r w:rsidR="00A80369" w:rsidRPr="0034498C">
              <w:rPr>
                <w:rFonts w:ascii="Times New Roman" w:eastAsia="Calibri" w:hAnsi="Times New Roman" w:cs="Times New Roman"/>
                <w:lang w:val="lv-LV" w:eastAsia="lv-LV"/>
              </w:rPr>
              <w:t>v</w:t>
            </w:r>
            <w:r w:rsidR="00A80369" w:rsidRPr="0034498C">
              <w:rPr>
                <w:rFonts w:ascii="Times New Roman" w:hAnsi="Times New Roman" w:cs="Times New Roman"/>
                <w:lang w:val="lv-LV"/>
              </w:rPr>
              <w:t>eicin</w:t>
            </w:r>
            <w:r w:rsidR="00573E7B" w:rsidRPr="0034498C">
              <w:rPr>
                <w:rFonts w:ascii="Times New Roman" w:hAnsi="Times New Roman" w:cs="Times New Roman"/>
                <w:lang w:val="lv-LV"/>
              </w:rPr>
              <w:t>o</w:t>
            </w:r>
            <w:r w:rsidR="00A80369" w:rsidRPr="0034498C">
              <w:rPr>
                <w:rFonts w:ascii="Times New Roman" w:hAnsi="Times New Roman" w:cs="Times New Roman"/>
                <w:lang w:val="lv-LV"/>
              </w:rPr>
              <w:t xml:space="preserve">t izmeklētāja tiešā priekšnieka aktīvāku un kvalitatīvāku KPL 31.pantā noteikto tiesību un pienākumu realizāciju, </w:t>
            </w:r>
            <w:r w:rsidRPr="0034498C">
              <w:rPr>
                <w:rFonts w:ascii="Times New Roman" w:eastAsia="Calibri" w:hAnsi="Times New Roman" w:cs="Times New Roman"/>
                <w:lang w:val="lv-LV" w:eastAsia="lv-LV"/>
              </w:rPr>
              <w:t xml:space="preserve">nepieciešamības gadījumos pilnveidojot izglītības </w:t>
            </w:r>
            <w:r w:rsidRPr="0034498C">
              <w:rPr>
                <w:rFonts w:ascii="Times New Roman" w:eastAsia="Calibri" w:hAnsi="Times New Roman" w:cs="Times New Roman"/>
                <w:lang w:val="lv-LV" w:eastAsia="lv-LV"/>
              </w:rPr>
              <w:lastRenderedPageBreak/>
              <w:t>programmu saturu</w:t>
            </w:r>
          </w:p>
        </w:tc>
        <w:tc>
          <w:tcPr>
            <w:tcW w:w="1671" w:type="dxa"/>
          </w:tcPr>
          <w:p w:rsidR="007B2A99" w:rsidRPr="0034498C" w:rsidRDefault="007B2A99"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lastRenderedPageBreak/>
              <w:t>Izmeklēšanas iestādes</w:t>
            </w:r>
          </w:p>
        </w:tc>
        <w:tc>
          <w:tcPr>
            <w:tcW w:w="1589" w:type="dxa"/>
          </w:tcPr>
          <w:p w:rsidR="007B2A99" w:rsidRPr="0034498C" w:rsidRDefault="007B2A99" w:rsidP="00FA6FAA">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Augstskolas, kurās pasniedz ar izmeklēšanu saistītus studiju kursus</w:t>
            </w:r>
          </w:p>
        </w:tc>
        <w:tc>
          <w:tcPr>
            <w:tcW w:w="1701" w:type="dxa"/>
          </w:tcPr>
          <w:p w:rsidR="007B2A99" w:rsidRPr="0034498C" w:rsidRDefault="007B2A99"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Pastāvīgi</w:t>
            </w:r>
          </w:p>
        </w:tc>
        <w:tc>
          <w:tcPr>
            <w:tcW w:w="2106" w:type="dxa"/>
          </w:tcPr>
          <w:p w:rsidR="007B2A99" w:rsidRPr="0034498C" w:rsidRDefault="007B2A99"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Apmācības</w:t>
            </w:r>
          </w:p>
        </w:tc>
        <w:tc>
          <w:tcPr>
            <w:tcW w:w="2400" w:type="dxa"/>
          </w:tcPr>
          <w:p w:rsidR="007B2A99" w:rsidRPr="0034498C" w:rsidRDefault="007B2A99" w:rsidP="003E4CEE">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tc>
      </w:tr>
      <w:tr w:rsidR="007B2A99" w:rsidRPr="00A179EE" w:rsidTr="00484661">
        <w:trPr>
          <w:jc w:val="center"/>
        </w:trPr>
        <w:tc>
          <w:tcPr>
            <w:tcW w:w="830" w:type="dxa"/>
          </w:tcPr>
          <w:p w:rsidR="007B2A99" w:rsidRPr="0034498C" w:rsidRDefault="00484661" w:rsidP="00432247">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b/>
                <w:lang w:val="lv-LV" w:eastAsia="lv-LV"/>
              </w:rPr>
              <w:lastRenderedPageBreak/>
              <w:t xml:space="preserve"> </w:t>
            </w:r>
            <w:r w:rsidR="007B2A99" w:rsidRPr="0034498C">
              <w:rPr>
                <w:rFonts w:ascii="Times New Roman" w:eastAsia="Calibri" w:hAnsi="Times New Roman" w:cs="Times New Roman"/>
                <w:lang w:val="lv-LV" w:eastAsia="lv-LV"/>
              </w:rPr>
              <w:t>2.2.</w:t>
            </w:r>
          </w:p>
        </w:tc>
        <w:tc>
          <w:tcPr>
            <w:tcW w:w="4962" w:type="dxa"/>
          </w:tcPr>
          <w:p w:rsidR="001F5375" w:rsidRPr="0034498C" w:rsidRDefault="00926E87" w:rsidP="0034498C">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u w:val="single"/>
                <w:lang w:val="lv-LV" w:eastAsia="lv-LV"/>
              </w:rPr>
              <w:t>Lai nodrošinātu piešķirtā finansējuma apjoma saistību ar realizēja</w:t>
            </w:r>
            <w:r w:rsidR="0092060E" w:rsidRPr="0034498C">
              <w:rPr>
                <w:rFonts w:ascii="Times New Roman" w:eastAsia="Calibri" w:hAnsi="Times New Roman" w:cs="Times New Roman"/>
                <w:u w:val="single"/>
                <w:lang w:val="lv-LV" w:eastAsia="lv-LV"/>
              </w:rPr>
              <w:t>mām izglītības programmām un apmācāmo skaitu,</w:t>
            </w:r>
            <w:r w:rsidR="0092060E" w:rsidRPr="0034498C">
              <w:rPr>
                <w:rFonts w:ascii="Times New Roman" w:eastAsia="Calibri" w:hAnsi="Times New Roman" w:cs="Times New Roman"/>
                <w:lang w:val="lv-LV" w:eastAsia="lv-LV"/>
              </w:rPr>
              <w:t xml:space="preserve"> i</w:t>
            </w:r>
            <w:r w:rsidR="007B2A99" w:rsidRPr="0034498C">
              <w:rPr>
                <w:rFonts w:ascii="Times New Roman" w:eastAsia="Calibri" w:hAnsi="Times New Roman" w:cs="Times New Roman"/>
                <w:lang w:val="lv-LV" w:eastAsia="lv-LV"/>
              </w:rPr>
              <w:t>zstrādāt un ieviest vienotu IeM sistēmas izglītības iestāžu izglītības programmu īstenošanas finansēšanas kārtību, pilnveidojot ar darba slodzes noteikšanas un darba samaksas sistēmu pedagogiem</w:t>
            </w:r>
          </w:p>
        </w:tc>
        <w:tc>
          <w:tcPr>
            <w:tcW w:w="1671" w:type="dxa"/>
          </w:tcPr>
          <w:p w:rsidR="007B2A99" w:rsidRPr="0034498C" w:rsidRDefault="007B2A99"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IeM</w:t>
            </w:r>
          </w:p>
        </w:tc>
        <w:tc>
          <w:tcPr>
            <w:tcW w:w="1589" w:type="dxa"/>
          </w:tcPr>
          <w:p w:rsidR="007B2A99" w:rsidRPr="0034498C" w:rsidRDefault="007B2A99"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VP</w:t>
            </w:r>
          </w:p>
          <w:p w:rsidR="007B2A99" w:rsidRPr="0034498C" w:rsidRDefault="007B2A99"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VRS</w:t>
            </w:r>
          </w:p>
          <w:p w:rsidR="007B2A99" w:rsidRPr="0034498C" w:rsidRDefault="007B2A99"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DP</w:t>
            </w:r>
          </w:p>
        </w:tc>
        <w:tc>
          <w:tcPr>
            <w:tcW w:w="1701" w:type="dxa"/>
          </w:tcPr>
          <w:p w:rsidR="007B2A99" w:rsidRPr="0034498C" w:rsidRDefault="007B2A99"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Kārtības izstrāde 2013.gada decembris,  Kārtības ieviešana 2014. -2016.gads</w:t>
            </w:r>
          </w:p>
        </w:tc>
        <w:tc>
          <w:tcPr>
            <w:tcW w:w="2106" w:type="dxa"/>
          </w:tcPr>
          <w:p w:rsidR="007B2A99" w:rsidRPr="0034498C" w:rsidRDefault="007B2A99"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Kārtība</w:t>
            </w:r>
          </w:p>
        </w:tc>
        <w:tc>
          <w:tcPr>
            <w:tcW w:w="2400" w:type="dxa"/>
          </w:tcPr>
          <w:p w:rsidR="007B2A99" w:rsidRPr="0034498C" w:rsidRDefault="00A80369" w:rsidP="003E4CEE">
            <w:pPr>
              <w:spacing w:after="0" w:line="240" w:lineRule="auto"/>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p w:rsidR="00051FDF" w:rsidRPr="0034498C" w:rsidRDefault="00051FDF" w:rsidP="003E4CEE">
            <w:pPr>
              <w:spacing w:after="0" w:line="240" w:lineRule="auto"/>
              <w:rPr>
                <w:rFonts w:ascii="Times New Roman" w:eastAsia="Calibri" w:hAnsi="Times New Roman" w:cs="Times New Roman"/>
                <w:lang w:val="lv-LV" w:eastAsia="lv-LV"/>
              </w:rPr>
            </w:pPr>
          </w:p>
        </w:tc>
      </w:tr>
      <w:tr w:rsidR="007B2A99" w:rsidRPr="00A179EE" w:rsidTr="009C2C77">
        <w:trPr>
          <w:trHeight w:val="1804"/>
          <w:jc w:val="center"/>
        </w:trPr>
        <w:tc>
          <w:tcPr>
            <w:tcW w:w="830" w:type="dxa"/>
          </w:tcPr>
          <w:p w:rsidR="007B2A99" w:rsidRPr="0034498C" w:rsidRDefault="00484661" w:rsidP="00432247">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 xml:space="preserve"> </w:t>
            </w:r>
            <w:r w:rsidR="007B2A99" w:rsidRPr="0034498C">
              <w:rPr>
                <w:rFonts w:ascii="Times New Roman" w:eastAsia="Calibri" w:hAnsi="Times New Roman" w:cs="Times New Roman"/>
                <w:lang w:val="lv-LV" w:eastAsia="lv-LV"/>
              </w:rPr>
              <w:t>2.3.</w:t>
            </w:r>
          </w:p>
        </w:tc>
        <w:tc>
          <w:tcPr>
            <w:tcW w:w="4962" w:type="dxa"/>
          </w:tcPr>
          <w:p w:rsidR="0092060E" w:rsidRPr="0034498C" w:rsidRDefault="007B2A99" w:rsidP="0034498C">
            <w:pPr>
              <w:spacing w:after="0" w:line="240" w:lineRule="auto"/>
              <w:jc w:val="both"/>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Rokasgrāmatas izstrāde, kurā būtu atspoguļots izmeklētāja secīgs veicamo darbību kopums kriminālprocesā</w:t>
            </w:r>
          </w:p>
        </w:tc>
        <w:tc>
          <w:tcPr>
            <w:tcW w:w="1671" w:type="dxa"/>
          </w:tcPr>
          <w:p w:rsidR="007B2A99" w:rsidRPr="0034498C" w:rsidRDefault="007B2A99" w:rsidP="0043224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IeM</w:t>
            </w:r>
          </w:p>
        </w:tc>
        <w:tc>
          <w:tcPr>
            <w:tcW w:w="1589" w:type="dxa"/>
            <w:shd w:val="clear" w:color="auto" w:fill="auto"/>
          </w:tcPr>
          <w:p w:rsidR="007B2A99" w:rsidRPr="0034498C" w:rsidRDefault="007B2A99" w:rsidP="00FA6FAA">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Izmeklēšanas iestādes,</w:t>
            </w:r>
          </w:p>
          <w:p w:rsidR="007B2A99" w:rsidRPr="0034498C" w:rsidRDefault="007B2A99" w:rsidP="002721A4">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Augstskolas, kurās pasniedz ar izmeklēšanu saistītus studiju kursus</w:t>
            </w:r>
          </w:p>
        </w:tc>
        <w:tc>
          <w:tcPr>
            <w:tcW w:w="1701" w:type="dxa"/>
          </w:tcPr>
          <w:p w:rsidR="007B2A99" w:rsidRPr="0034498C" w:rsidRDefault="007B2A99" w:rsidP="009C2C77">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201</w:t>
            </w:r>
            <w:r w:rsidR="009E34C0" w:rsidRPr="0034498C">
              <w:rPr>
                <w:rFonts w:ascii="Times New Roman" w:eastAsia="Calibri" w:hAnsi="Times New Roman" w:cs="Times New Roman"/>
                <w:lang w:val="lv-LV" w:eastAsia="lv-LV"/>
              </w:rPr>
              <w:t>5</w:t>
            </w:r>
            <w:r w:rsidRPr="0034498C">
              <w:rPr>
                <w:rFonts w:ascii="Times New Roman" w:eastAsia="Calibri" w:hAnsi="Times New Roman" w:cs="Times New Roman"/>
                <w:lang w:val="lv-LV" w:eastAsia="lv-LV"/>
              </w:rPr>
              <w:t>.gads</w:t>
            </w:r>
          </w:p>
        </w:tc>
        <w:tc>
          <w:tcPr>
            <w:tcW w:w="2106" w:type="dxa"/>
          </w:tcPr>
          <w:p w:rsidR="007B2A99" w:rsidRPr="0034498C" w:rsidRDefault="007B2A99" w:rsidP="00610096">
            <w:pPr>
              <w:spacing w:after="0" w:line="240" w:lineRule="auto"/>
              <w:jc w:val="center"/>
              <w:rPr>
                <w:rFonts w:ascii="Times New Roman" w:eastAsia="Calibri" w:hAnsi="Times New Roman" w:cs="Times New Roman"/>
                <w:lang w:val="lv-LV" w:eastAsia="lv-LV"/>
              </w:rPr>
            </w:pPr>
            <w:r w:rsidRPr="0034498C">
              <w:rPr>
                <w:rFonts w:ascii="Times New Roman" w:eastAsia="Calibri" w:hAnsi="Times New Roman" w:cs="Times New Roman"/>
                <w:lang w:val="lv-LV" w:eastAsia="lv-LV"/>
              </w:rPr>
              <w:t>Rokasgrāmata</w:t>
            </w:r>
          </w:p>
        </w:tc>
        <w:tc>
          <w:tcPr>
            <w:tcW w:w="2400" w:type="dxa"/>
          </w:tcPr>
          <w:p w:rsidR="007B2A99" w:rsidRPr="0034498C" w:rsidRDefault="007B2A99" w:rsidP="003E4CEE">
            <w:pPr>
              <w:spacing w:after="0" w:line="240" w:lineRule="auto"/>
              <w:rPr>
                <w:rFonts w:ascii="Calibri" w:eastAsia="Calibri" w:hAnsi="Calibri" w:cs="Calibri"/>
                <w:lang w:val="lv-LV"/>
              </w:rPr>
            </w:pPr>
            <w:r w:rsidRPr="0034498C">
              <w:rPr>
                <w:rFonts w:ascii="Times New Roman" w:eastAsia="Calibri" w:hAnsi="Times New Roman" w:cs="Times New Roman"/>
                <w:lang w:val="lv-LV" w:eastAsia="lv-LV"/>
              </w:rPr>
              <w:t>Plānā ietvertie pasākumi īstenoj</w:t>
            </w:r>
            <w:r w:rsidR="003E4CEE" w:rsidRPr="0034498C">
              <w:rPr>
                <w:rFonts w:ascii="Times New Roman" w:eastAsia="Calibri" w:hAnsi="Times New Roman" w:cs="Times New Roman"/>
                <w:lang w:val="lv-LV" w:eastAsia="lv-LV"/>
              </w:rPr>
              <w:t>a</w:t>
            </w:r>
            <w:r w:rsidRPr="0034498C">
              <w:rPr>
                <w:rFonts w:ascii="Times New Roman" w:eastAsia="Calibri" w:hAnsi="Times New Roman" w:cs="Times New Roman"/>
                <w:lang w:val="lv-LV" w:eastAsia="lv-LV"/>
              </w:rPr>
              <w:t>mi attiecīgai institūcijai piešķirto valsts budžeta līdzekļu ietvaros</w:t>
            </w:r>
          </w:p>
        </w:tc>
      </w:tr>
      <w:tr w:rsidR="0092060E" w:rsidRPr="00A179EE" w:rsidTr="009C2C77">
        <w:trPr>
          <w:trHeight w:val="1736"/>
          <w:jc w:val="center"/>
        </w:trPr>
        <w:tc>
          <w:tcPr>
            <w:tcW w:w="830" w:type="dxa"/>
          </w:tcPr>
          <w:p w:rsidR="0092060E" w:rsidRPr="0034498C" w:rsidRDefault="0092060E" w:rsidP="00432247">
            <w:pPr>
              <w:spacing w:after="0" w:line="240" w:lineRule="auto"/>
              <w:jc w:val="both"/>
              <w:rPr>
                <w:rFonts w:ascii="Times New Roman" w:eastAsia="Calibri" w:hAnsi="Times New Roman" w:cs="Times New Roman"/>
                <w:u w:val="single"/>
                <w:lang w:val="lv-LV" w:eastAsia="lv-LV"/>
              </w:rPr>
            </w:pPr>
            <w:r w:rsidRPr="0034498C">
              <w:rPr>
                <w:rFonts w:ascii="Times New Roman" w:eastAsia="Calibri" w:hAnsi="Times New Roman" w:cs="Times New Roman"/>
                <w:u w:val="single"/>
                <w:lang w:val="lv-LV" w:eastAsia="lv-LV"/>
              </w:rPr>
              <w:t xml:space="preserve"> 2.4.</w:t>
            </w:r>
          </w:p>
        </w:tc>
        <w:tc>
          <w:tcPr>
            <w:tcW w:w="4962" w:type="dxa"/>
          </w:tcPr>
          <w:p w:rsidR="00B6440C" w:rsidRPr="0034498C" w:rsidRDefault="0092060E" w:rsidP="0034498C">
            <w:pPr>
              <w:spacing w:after="0" w:line="240" w:lineRule="auto"/>
              <w:jc w:val="both"/>
              <w:rPr>
                <w:rFonts w:ascii="Times New Roman" w:eastAsia="Calibri" w:hAnsi="Times New Roman" w:cs="Times New Roman"/>
                <w:u w:val="single"/>
                <w:lang w:val="lv-LV" w:eastAsia="lv-LV"/>
              </w:rPr>
            </w:pPr>
            <w:r w:rsidRPr="0034498C">
              <w:rPr>
                <w:rFonts w:ascii="Times New Roman" w:eastAsia="Calibri" w:hAnsi="Times New Roman" w:cs="Times New Roman"/>
                <w:u w:val="single"/>
                <w:lang w:val="lv-LV" w:eastAsia="lv-LV"/>
              </w:rPr>
              <w:t>Lai nodrošinātu kvalificētu un atbilstoši motivētu personāla piesaisti dienestam, kā arī dienestā esošo amatpersonu ar speciālajām dienesta pakāpēm</w:t>
            </w:r>
            <w:r w:rsidR="0010534E" w:rsidRPr="0034498C">
              <w:rPr>
                <w:rFonts w:ascii="Times New Roman" w:eastAsia="Calibri" w:hAnsi="Times New Roman" w:cs="Times New Roman"/>
                <w:u w:val="single"/>
                <w:lang w:val="lv-LV" w:eastAsia="lv-LV"/>
              </w:rPr>
              <w:t xml:space="preserve"> motivāciju turpināt dienestu IeM sistēmas iestādēs, i</w:t>
            </w:r>
            <w:r w:rsidRPr="0034498C">
              <w:rPr>
                <w:rFonts w:ascii="Times New Roman" w:eastAsia="Calibri" w:hAnsi="Times New Roman" w:cs="Times New Roman"/>
                <w:u w:val="single"/>
                <w:lang w:val="lv-LV" w:eastAsia="lv-LV"/>
              </w:rPr>
              <w:t>zstrādāt IeM padotības iestāžu amatpersonu ar speciālajām dienesta pakāpēm profesionālās izglītības attīstības koncepciju 2014. - 2016.gadam</w:t>
            </w:r>
          </w:p>
        </w:tc>
        <w:tc>
          <w:tcPr>
            <w:tcW w:w="1671" w:type="dxa"/>
          </w:tcPr>
          <w:p w:rsidR="0092060E" w:rsidRPr="0034498C" w:rsidRDefault="0092060E" w:rsidP="00432247">
            <w:pPr>
              <w:spacing w:after="0" w:line="240" w:lineRule="auto"/>
              <w:jc w:val="center"/>
              <w:rPr>
                <w:rFonts w:ascii="Times New Roman" w:eastAsia="Calibri" w:hAnsi="Times New Roman" w:cs="Times New Roman"/>
                <w:u w:val="single"/>
                <w:lang w:val="lv-LV" w:eastAsia="lv-LV"/>
              </w:rPr>
            </w:pPr>
            <w:r w:rsidRPr="0034498C">
              <w:rPr>
                <w:rFonts w:ascii="Times New Roman" w:eastAsia="Calibri" w:hAnsi="Times New Roman" w:cs="Times New Roman"/>
                <w:u w:val="single"/>
                <w:lang w:val="lv-LV" w:eastAsia="lv-LV"/>
              </w:rPr>
              <w:t>IeM un tās padotībā esošās iestādes</w:t>
            </w:r>
          </w:p>
        </w:tc>
        <w:tc>
          <w:tcPr>
            <w:tcW w:w="1589" w:type="dxa"/>
            <w:shd w:val="clear" w:color="auto" w:fill="auto"/>
          </w:tcPr>
          <w:p w:rsidR="0092060E" w:rsidRPr="0034498C" w:rsidRDefault="0092060E" w:rsidP="002721A4">
            <w:pPr>
              <w:spacing w:after="0" w:line="240" w:lineRule="auto"/>
              <w:jc w:val="center"/>
              <w:rPr>
                <w:rFonts w:ascii="Times New Roman" w:eastAsia="Calibri" w:hAnsi="Times New Roman" w:cs="Times New Roman"/>
                <w:u w:val="single"/>
                <w:lang w:val="lv-LV" w:eastAsia="lv-LV"/>
              </w:rPr>
            </w:pPr>
          </w:p>
        </w:tc>
        <w:tc>
          <w:tcPr>
            <w:tcW w:w="1701" w:type="dxa"/>
          </w:tcPr>
          <w:p w:rsidR="0092060E" w:rsidRPr="0034498C" w:rsidRDefault="0092060E" w:rsidP="00432247">
            <w:pPr>
              <w:spacing w:after="0" w:line="240" w:lineRule="auto"/>
              <w:jc w:val="both"/>
              <w:rPr>
                <w:rFonts w:ascii="Times New Roman" w:eastAsia="Calibri" w:hAnsi="Times New Roman" w:cs="Times New Roman"/>
                <w:u w:val="single"/>
                <w:lang w:val="lv-LV" w:eastAsia="lv-LV"/>
              </w:rPr>
            </w:pPr>
            <w:r w:rsidRPr="0034498C">
              <w:rPr>
                <w:rFonts w:ascii="Times New Roman" w:eastAsia="Calibri" w:hAnsi="Times New Roman" w:cs="Times New Roman"/>
                <w:u w:val="single"/>
                <w:lang w:val="lv-LV" w:eastAsia="lv-LV"/>
              </w:rPr>
              <w:t>2014.gada 1.novembris</w:t>
            </w:r>
          </w:p>
        </w:tc>
        <w:tc>
          <w:tcPr>
            <w:tcW w:w="2106" w:type="dxa"/>
          </w:tcPr>
          <w:p w:rsidR="0092060E" w:rsidRPr="0034498C" w:rsidRDefault="0092060E" w:rsidP="00610096">
            <w:pPr>
              <w:spacing w:after="0" w:line="240" w:lineRule="auto"/>
              <w:jc w:val="center"/>
              <w:rPr>
                <w:rFonts w:ascii="Times New Roman" w:eastAsia="Calibri" w:hAnsi="Times New Roman" w:cs="Times New Roman"/>
                <w:u w:val="single"/>
                <w:lang w:val="lv-LV" w:eastAsia="lv-LV"/>
              </w:rPr>
            </w:pPr>
            <w:r w:rsidRPr="0034498C">
              <w:rPr>
                <w:rFonts w:ascii="Times New Roman" w:eastAsia="Calibri" w:hAnsi="Times New Roman" w:cs="Times New Roman"/>
                <w:u w:val="single"/>
                <w:lang w:val="lv-LV" w:eastAsia="lv-LV"/>
              </w:rPr>
              <w:t>Koncepcijas projekts</w:t>
            </w:r>
          </w:p>
        </w:tc>
        <w:tc>
          <w:tcPr>
            <w:tcW w:w="2400" w:type="dxa"/>
          </w:tcPr>
          <w:p w:rsidR="0092060E" w:rsidRPr="0034498C" w:rsidRDefault="0010534E" w:rsidP="003E4CEE">
            <w:pPr>
              <w:spacing w:after="0" w:line="240" w:lineRule="auto"/>
              <w:rPr>
                <w:rFonts w:ascii="Times New Roman" w:eastAsia="Calibri" w:hAnsi="Times New Roman" w:cs="Times New Roman"/>
                <w:u w:val="single"/>
                <w:lang w:val="lv-LV" w:eastAsia="lv-LV"/>
              </w:rPr>
            </w:pPr>
            <w:r w:rsidRPr="0034498C">
              <w:rPr>
                <w:rFonts w:ascii="Times New Roman" w:eastAsia="Calibri" w:hAnsi="Times New Roman" w:cs="Times New Roman"/>
                <w:u w:val="single"/>
                <w:lang w:val="lv-LV" w:eastAsia="lv-LV"/>
              </w:rPr>
              <w:t>Plānā ietvertie pasākumi īstenojami attiecīgai institūcijai piešķirto valsts budžeta līdzekļu ietvaros</w:t>
            </w:r>
          </w:p>
        </w:tc>
      </w:tr>
    </w:tbl>
    <w:p w:rsidR="001F5375" w:rsidRPr="00DB0B8B" w:rsidRDefault="001F5375" w:rsidP="00432247">
      <w:pPr>
        <w:spacing w:after="0" w:line="240" w:lineRule="auto"/>
        <w:jc w:val="both"/>
        <w:rPr>
          <w:rFonts w:ascii="Times New Roman" w:eastAsia="Calibri" w:hAnsi="Times New Roman" w:cs="Times New Roman"/>
          <w:sz w:val="16"/>
          <w:szCs w:val="16"/>
          <w:lang w:val="lv-LV" w:eastAsia="lv-LV"/>
        </w:rPr>
      </w:pPr>
    </w:p>
    <w:p w:rsidR="00432247" w:rsidRPr="00051FDF" w:rsidRDefault="00432247" w:rsidP="00753B47">
      <w:pPr>
        <w:tabs>
          <w:tab w:val="left" w:pos="9356"/>
        </w:tabs>
        <w:spacing w:after="0" w:line="240" w:lineRule="auto"/>
        <w:ind w:left="360" w:firstLine="360"/>
        <w:jc w:val="both"/>
        <w:rPr>
          <w:rFonts w:ascii="Times New Roman" w:eastAsia="Calibri" w:hAnsi="Times New Roman" w:cs="Times New Roman"/>
          <w:sz w:val="28"/>
          <w:szCs w:val="28"/>
          <w:lang w:val="lv-LV" w:eastAsia="lv-LV"/>
        </w:rPr>
      </w:pPr>
      <w:r w:rsidRPr="00051FDF">
        <w:rPr>
          <w:rFonts w:ascii="Times New Roman" w:eastAsia="Calibri" w:hAnsi="Times New Roman" w:cs="Times New Roman"/>
          <w:sz w:val="28"/>
          <w:szCs w:val="28"/>
          <w:lang w:val="lv-LV" w:eastAsia="lv-LV"/>
        </w:rPr>
        <w:t>Ministru prezidents</w:t>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002721A4" w:rsidRPr="00051FDF">
        <w:rPr>
          <w:rFonts w:ascii="Times New Roman" w:eastAsia="Calibri" w:hAnsi="Times New Roman" w:cs="Times New Roman"/>
          <w:sz w:val="28"/>
          <w:szCs w:val="28"/>
          <w:lang w:val="lv-LV" w:eastAsia="lv-LV"/>
        </w:rPr>
        <w:t>V</w:t>
      </w:r>
      <w:r w:rsidRPr="00051FDF">
        <w:rPr>
          <w:rFonts w:ascii="Times New Roman" w:eastAsia="Calibri" w:hAnsi="Times New Roman" w:cs="Times New Roman"/>
          <w:sz w:val="28"/>
          <w:szCs w:val="28"/>
          <w:lang w:val="lv-LV" w:eastAsia="lv-LV"/>
        </w:rPr>
        <w:t>.Dombrovskis</w:t>
      </w:r>
    </w:p>
    <w:p w:rsidR="001F5375" w:rsidRPr="00DB0B8B" w:rsidRDefault="001F5375" w:rsidP="00432247">
      <w:pPr>
        <w:spacing w:after="0" w:line="240" w:lineRule="auto"/>
        <w:ind w:left="360" w:firstLine="360"/>
        <w:jc w:val="both"/>
        <w:rPr>
          <w:rFonts w:ascii="Times New Roman" w:eastAsia="Calibri" w:hAnsi="Times New Roman" w:cs="Times New Roman"/>
          <w:sz w:val="16"/>
          <w:szCs w:val="16"/>
          <w:lang w:val="lv-LV" w:eastAsia="lv-LV"/>
        </w:rPr>
      </w:pPr>
    </w:p>
    <w:p w:rsidR="00432247" w:rsidRPr="00051FDF" w:rsidRDefault="00432247" w:rsidP="00432247">
      <w:pPr>
        <w:spacing w:after="0" w:line="240" w:lineRule="auto"/>
        <w:ind w:left="360" w:firstLine="360"/>
        <w:jc w:val="both"/>
        <w:rPr>
          <w:rFonts w:ascii="Times New Roman" w:eastAsia="Calibri" w:hAnsi="Times New Roman" w:cs="Times New Roman"/>
          <w:sz w:val="28"/>
          <w:szCs w:val="28"/>
          <w:lang w:val="lv-LV" w:eastAsia="lv-LV"/>
        </w:rPr>
      </w:pPr>
      <w:r w:rsidRPr="00051FDF">
        <w:rPr>
          <w:rFonts w:ascii="Times New Roman" w:eastAsia="Calibri" w:hAnsi="Times New Roman" w:cs="Times New Roman"/>
          <w:sz w:val="28"/>
          <w:szCs w:val="28"/>
          <w:lang w:val="lv-LV" w:eastAsia="lv-LV"/>
        </w:rPr>
        <w:t>Iekšlietu ministrs</w:t>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t>R.Kozlovskis</w:t>
      </w:r>
    </w:p>
    <w:p w:rsidR="00ED66E2" w:rsidRPr="00DB0B8B" w:rsidRDefault="00ED66E2" w:rsidP="00432247">
      <w:pPr>
        <w:spacing w:after="0" w:line="240" w:lineRule="auto"/>
        <w:ind w:left="360" w:firstLine="360"/>
        <w:jc w:val="both"/>
        <w:rPr>
          <w:rFonts w:ascii="Times New Roman" w:eastAsia="Calibri" w:hAnsi="Times New Roman" w:cs="Times New Roman"/>
          <w:sz w:val="16"/>
          <w:szCs w:val="16"/>
          <w:lang w:val="lv-LV" w:eastAsia="lv-LV"/>
        </w:rPr>
      </w:pPr>
    </w:p>
    <w:p w:rsidR="00432247" w:rsidRPr="00051FDF" w:rsidRDefault="00432247" w:rsidP="00432247">
      <w:pPr>
        <w:spacing w:after="0" w:line="240" w:lineRule="auto"/>
        <w:ind w:left="360" w:firstLine="360"/>
        <w:jc w:val="both"/>
        <w:rPr>
          <w:rFonts w:ascii="Times New Roman" w:eastAsia="Calibri" w:hAnsi="Times New Roman" w:cs="Times New Roman"/>
          <w:sz w:val="28"/>
          <w:szCs w:val="28"/>
          <w:lang w:val="lv-LV" w:eastAsia="lv-LV"/>
        </w:rPr>
      </w:pPr>
      <w:r w:rsidRPr="00051FDF">
        <w:rPr>
          <w:rFonts w:ascii="Times New Roman" w:eastAsia="Calibri" w:hAnsi="Times New Roman" w:cs="Times New Roman"/>
          <w:sz w:val="28"/>
          <w:szCs w:val="28"/>
          <w:lang w:val="lv-LV" w:eastAsia="lv-LV"/>
        </w:rPr>
        <w:t>Iesniedzējs:</w:t>
      </w:r>
    </w:p>
    <w:p w:rsidR="00432247" w:rsidRPr="00051FDF" w:rsidRDefault="00432247" w:rsidP="00432247">
      <w:pPr>
        <w:spacing w:after="0" w:line="240" w:lineRule="auto"/>
        <w:ind w:left="360" w:firstLine="360"/>
        <w:jc w:val="both"/>
        <w:rPr>
          <w:rFonts w:ascii="Times New Roman" w:eastAsia="Calibri" w:hAnsi="Times New Roman" w:cs="Times New Roman"/>
          <w:sz w:val="28"/>
          <w:szCs w:val="28"/>
          <w:lang w:val="lv-LV" w:eastAsia="lv-LV"/>
        </w:rPr>
      </w:pPr>
      <w:r w:rsidRPr="00051FDF">
        <w:rPr>
          <w:rFonts w:ascii="Times New Roman" w:eastAsia="Calibri" w:hAnsi="Times New Roman" w:cs="Times New Roman"/>
          <w:sz w:val="28"/>
          <w:szCs w:val="28"/>
          <w:lang w:val="lv-LV" w:eastAsia="lv-LV"/>
        </w:rPr>
        <w:t>Iekšlietu ministrs</w:t>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t>R.Kozlovskis</w:t>
      </w:r>
    </w:p>
    <w:p w:rsidR="00432247" w:rsidRPr="00DB0B8B" w:rsidRDefault="00432247" w:rsidP="00432247">
      <w:pPr>
        <w:spacing w:after="0" w:line="240" w:lineRule="auto"/>
        <w:ind w:left="360" w:firstLine="360"/>
        <w:jc w:val="both"/>
        <w:rPr>
          <w:rFonts w:ascii="Times New Roman" w:eastAsia="Calibri" w:hAnsi="Times New Roman" w:cs="Times New Roman"/>
          <w:sz w:val="16"/>
          <w:szCs w:val="16"/>
          <w:lang w:val="lv-LV" w:eastAsia="lv-LV"/>
        </w:rPr>
      </w:pPr>
    </w:p>
    <w:p w:rsidR="002721A4" w:rsidRPr="00051FDF" w:rsidRDefault="00432247" w:rsidP="00DB0B8B">
      <w:pPr>
        <w:spacing w:after="0" w:line="240" w:lineRule="auto"/>
        <w:ind w:left="360" w:firstLine="360"/>
        <w:jc w:val="both"/>
        <w:rPr>
          <w:rFonts w:ascii="Times New Roman" w:eastAsia="Calibri" w:hAnsi="Times New Roman" w:cs="Times New Roman"/>
          <w:sz w:val="28"/>
          <w:szCs w:val="28"/>
          <w:lang w:val="lv-LV" w:eastAsia="lv-LV"/>
        </w:rPr>
      </w:pPr>
      <w:r w:rsidRPr="00051FDF">
        <w:rPr>
          <w:rFonts w:ascii="Times New Roman" w:eastAsia="Calibri" w:hAnsi="Times New Roman" w:cs="Times New Roman"/>
          <w:sz w:val="28"/>
          <w:szCs w:val="28"/>
          <w:lang w:val="lv-LV" w:eastAsia="lv-LV"/>
        </w:rPr>
        <w:t>Vīza:</w:t>
      </w:r>
      <w:r w:rsidR="00DB0B8B">
        <w:rPr>
          <w:rFonts w:ascii="Times New Roman" w:eastAsia="Calibri" w:hAnsi="Times New Roman" w:cs="Times New Roman"/>
          <w:sz w:val="28"/>
          <w:szCs w:val="28"/>
          <w:lang w:val="lv-LV" w:eastAsia="lv-LV"/>
        </w:rPr>
        <w:t xml:space="preserve"> Valsts sekretāre</w:t>
      </w:r>
      <w:r w:rsidR="00DB0B8B">
        <w:rPr>
          <w:rFonts w:ascii="Times New Roman" w:eastAsia="Calibri" w:hAnsi="Times New Roman" w:cs="Times New Roman"/>
          <w:sz w:val="28"/>
          <w:szCs w:val="28"/>
          <w:lang w:val="lv-LV" w:eastAsia="lv-LV"/>
        </w:rPr>
        <w:tab/>
      </w:r>
      <w:r w:rsidR="00DB0B8B">
        <w:rPr>
          <w:rFonts w:ascii="Times New Roman" w:eastAsia="Calibri" w:hAnsi="Times New Roman" w:cs="Times New Roman"/>
          <w:sz w:val="28"/>
          <w:szCs w:val="28"/>
          <w:lang w:val="lv-LV" w:eastAsia="lv-LV"/>
        </w:rPr>
        <w:tab/>
      </w:r>
      <w:r w:rsidR="00DB0B8B">
        <w:rPr>
          <w:rFonts w:ascii="Times New Roman" w:eastAsia="Calibri" w:hAnsi="Times New Roman" w:cs="Times New Roman"/>
          <w:sz w:val="28"/>
          <w:szCs w:val="28"/>
          <w:lang w:val="lv-LV" w:eastAsia="lv-LV"/>
        </w:rPr>
        <w:tab/>
      </w:r>
      <w:r w:rsidR="00DB0B8B">
        <w:rPr>
          <w:rFonts w:ascii="Times New Roman" w:eastAsia="Calibri" w:hAnsi="Times New Roman" w:cs="Times New Roman"/>
          <w:sz w:val="28"/>
          <w:szCs w:val="28"/>
          <w:lang w:val="lv-LV" w:eastAsia="lv-LV"/>
        </w:rPr>
        <w:tab/>
      </w:r>
      <w:r w:rsidR="00DB0B8B">
        <w:rPr>
          <w:rFonts w:ascii="Times New Roman" w:eastAsia="Calibri" w:hAnsi="Times New Roman" w:cs="Times New Roman"/>
          <w:sz w:val="28"/>
          <w:szCs w:val="28"/>
          <w:lang w:val="lv-LV" w:eastAsia="lv-LV"/>
        </w:rPr>
        <w:tab/>
      </w:r>
      <w:r w:rsidR="00DB0B8B">
        <w:rPr>
          <w:rFonts w:ascii="Times New Roman" w:eastAsia="Calibri" w:hAnsi="Times New Roman" w:cs="Times New Roman"/>
          <w:sz w:val="28"/>
          <w:szCs w:val="28"/>
          <w:lang w:val="lv-LV" w:eastAsia="lv-LV"/>
        </w:rPr>
        <w:tab/>
      </w:r>
      <w:r w:rsidR="00DB0B8B">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r>
      <w:r w:rsidRPr="00051FDF">
        <w:rPr>
          <w:rFonts w:ascii="Times New Roman" w:eastAsia="Calibri" w:hAnsi="Times New Roman" w:cs="Times New Roman"/>
          <w:sz w:val="28"/>
          <w:szCs w:val="28"/>
          <w:lang w:val="lv-LV" w:eastAsia="lv-LV"/>
        </w:rPr>
        <w:tab/>
        <w:t>I.Pētersone – Godmane</w:t>
      </w:r>
    </w:p>
    <w:p w:rsidR="00620BD3" w:rsidRPr="00DB0B8B" w:rsidRDefault="00620BD3" w:rsidP="00432247">
      <w:pPr>
        <w:spacing w:after="0" w:line="240" w:lineRule="auto"/>
        <w:ind w:left="360" w:firstLine="360"/>
        <w:jc w:val="both"/>
        <w:rPr>
          <w:rFonts w:ascii="Times New Roman" w:eastAsia="Calibri" w:hAnsi="Times New Roman" w:cs="Times New Roman"/>
          <w:sz w:val="16"/>
          <w:szCs w:val="16"/>
          <w:lang w:val="lv-LV" w:eastAsia="lv-LV"/>
        </w:rPr>
      </w:pPr>
    </w:p>
    <w:p w:rsidR="00432247" w:rsidRPr="00432247" w:rsidRDefault="001C1922" w:rsidP="00432247">
      <w:pPr>
        <w:spacing w:after="0" w:line="240" w:lineRule="auto"/>
        <w:ind w:left="360" w:firstLine="360"/>
        <w:jc w:val="both"/>
        <w:rPr>
          <w:rFonts w:ascii="Times New Roman" w:eastAsia="Calibri" w:hAnsi="Times New Roman" w:cs="Times New Roman"/>
          <w:sz w:val="20"/>
          <w:szCs w:val="20"/>
          <w:lang w:val="lv-LV" w:eastAsia="lv-LV"/>
        </w:rPr>
      </w:pPr>
      <w:r>
        <w:rPr>
          <w:rFonts w:ascii="Times New Roman" w:eastAsia="Calibri" w:hAnsi="Times New Roman" w:cs="Times New Roman"/>
          <w:sz w:val="20"/>
          <w:szCs w:val="20"/>
          <w:lang w:val="lv-LV" w:eastAsia="lv-LV"/>
        </w:rPr>
        <w:t>11</w:t>
      </w:r>
      <w:r w:rsidR="008F4710">
        <w:rPr>
          <w:rFonts w:ascii="Times New Roman" w:eastAsia="Calibri" w:hAnsi="Times New Roman" w:cs="Times New Roman"/>
          <w:sz w:val="20"/>
          <w:szCs w:val="20"/>
          <w:lang w:val="lv-LV" w:eastAsia="lv-LV"/>
        </w:rPr>
        <w:t>.03</w:t>
      </w:r>
      <w:r w:rsidR="005300AE">
        <w:rPr>
          <w:rFonts w:ascii="Times New Roman" w:eastAsia="Calibri" w:hAnsi="Times New Roman" w:cs="Times New Roman"/>
          <w:sz w:val="20"/>
          <w:szCs w:val="20"/>
          <w:lang w:val="lv-LV" w:eastAsia="lv-LV"/>
        </w:rPr>
        <w:t>.</w:t>
      </w:r>
      <w:r w:rsidR="00EF44FE">
        <w:rPr>
          <w:rFonts w:ascii="Times New Roman" w:eastAsia="Calibri" w:hAnsi="Times New Roman" w:cs="Times New Roman"/>
          <w:sz w:val="20"/>
          <w:szCs w:val="20"/>
          <w:lang w:val="lv-LV" w:eastAsia="lv-LV"/>
        </w:rPr>
        <w:t>201</w:t>
      </w:r>
      <w:r w:rsidR="0010534E">
        <w:rPr>
          <w:rFonts w:ascii="Times New Roman" w:eastAsia="Calibri" w:hAnsi="Times New Roman" w:cs="Times New Roman"/>
          <w:sz w:val="20"/>
          <w:szCs w:val="20"/>
          <w:lang w:val="lv-LV" w:eastAsia="lv-LV"/>
        </w:rPr>
        <w:t>3</w:t>
      </w:r>
      <w:r w:rsidR="00EF44FE">
        <w:rPr>
          <w:rFonts w:ascii="Times New Roman" w:eastAsia="Calibri" w:hAnsi="Times New Roman" w:cs="Times New Roman"/>
          <w:sz w:val="20"/>
          <w:szCs w:val="20"/>
          <w:lang w:val="lv-LV" w:eastAsia="lv-LV"/>
        </w:rPr>
        <w:t>.</w:t>
      </w:r>
      <w:r w:rsidR="00432247" w:rsidRPr="00432247">
        <w:rPr>
          <w:rFonts w:ascii="Times New Roman" w:eastAsia="Calibri" w:hAnsi="Times New Roman" w:cs="Times New Roman"/>
          <w:sz w:val="20"/>
          <w:szCs w:val="20"/>
          <w:lang w:val="lv-LV" w:eastAsia="lv-LV"/>
        </w:rPr>
        <w:t xml:space="preserve"> </w:t>
      </w:r>
      <w:r w:rsidR="00F94390">
        <w:rPr>
          <w:rFonts w:ascii="Times New Roman" w:eastAsia="Calibri" w:hAnsi="Times New Roman" w:cs="Times New Roman"/>
          <w:sz w:val="20"/>
          <w:szCs w:val="20"/>
          <w:lang w:val="lv-LV" w:eastAsia="lv-LV"/>
        </w:rPr>
        <w:t>1</w:t>
      </w:r>
      <w:r w:rsidR="00A63DDC">
        <w:rPr>
          <w:rFonts w:ascii="Times New Roman" w:eastAsia="Calibri" w:hAnsi="Times New Roman" w:cs="Times New Roman"/>
          <w:sz w:val="20"/>
          <w:szCs w:val="20"/>
          <w:lang w:val="lv-LV" w:eastAsia="lv-LV"/>
        </w:rPr>
        <w:t>1</w:t>
      </w:r>
      <w:r w:rsidR="001F5375">
        <w:rPr>
          <w:rFonts w:ascii="Times New Roman" w:eastAsia="Calibri" w:hAnsi="Times New Roman" w:cs="Times New Roman"/>
          <w:sz w:val="20"/>
          <w:szCs w:val="20"/>
          <w:lang w:val="lv-LV" w:eastAsia="lv-LV"/>
        </w:rPr>
        <w:t>:</w:t>
      </w:r>
      <w:r w:rsidR="008F4710">
        <w:rPr>
          <w:rFonts w:ascii="Times New Roman" w:eastAsia="Calibri" w:hAnsi="Times New Roman" w:cs="Times New Roman"/>
          <w:sz w:val="20"/>
          <w:szCs w:val="20"/>
          <w:lang w:val="lv-LV" w:eastAsia="lv-LV"/>
        </w:rPr>
        <w:t>0</w:t>
      </w:r>
      <w:r w:rsidR="00A63DDC">
        <w:rPr>
          <w:rFonts w:ascii="Times New Roman" w:eastAsia="Calibri" w:hAnsi="Times New Roman" w:cs="Times New Roman"/>
          <w:sz w:val="20"/>
          <w:szCs w:val="20"/>
          <w:lang w:val="lv-LV" w:eastAsia="lv-LV"/>
        </w:rPr>
        <w:t>0</w:t>
      </w:r>
    </w:p>
    <w:p w:rsidR="00432247" w:rsidRPr="00432247" w:rsidRDefault="00F94390" w:rsidP="00432247">
      <w:pPr>
        <w:spacing w:after="0" w:line="240" w:lineRule="auto"/>
        <w:ind w:left="360" w:firstLine="360"/>
        <w:jc w:val="both"/>
        <w:rPr>
          <w:rFonts w:ascii="Times New Roman" w:eastAsia="Calibri" w:hAnsi="Times New Roman" w:cs="Times New Roman"/>
          <w:sz w:val="20"/>
          <w:szCs w:val="20"/>
          <w:lang w:val="lv-LV" w:eastAsia="lv-LV"/>
        </w:rPr>
      </w:pPr>
      <w:r>
        <w:rPr>
          <w:rFonts w:ascii="Times New Roman" w:eastAsia="Calibri" w:hAnsi="Times New Roman" w:cs="Times New Roman"/>
          <w:sz w:val="20"/>
          <w:szCs w:val="20"/>
          <w:lang w:val="lv-LV" w:eastAsia="lv-LV"/>
        </w:rPr>
        <w:t>2</w:t>
      </w:r>
      <w:r w:rsidR="0043475A">
        <w:rPr>
          <w:rFonts w:ascii="Times New Roman" w:eastAsia="Calibri" w:hAnsi="Times New Roman" w:cs="Times New Roman"/>
          <w:sz w:val="20"/>
          <w:szCs w:val="20"/>
          <w:lang w:val="lv-LV" w:eastAsia="lv-LV"/>
        </w:rPr>
        <w:t xml:space="preserve"> </w:t>
      </w:r>
      <w:r w:rsidR="00DB0B8B">
        <w:rPr>
          <w:rFonts w:ascii="Times New Roman" w:eastAsia="Calibri" w:hAnsi="Times New Roman" w:cs="Times New Roman"/>
          <w:sz w:val="20"/>
          <w:szCs w:val="20"/>
          <w:lang w:val="lv-LV" w:eastAsia="lv-LV"/>
        </w:rPr>
        <w:t>593</w:t>
      </w:r>
    </w:p>
    <w:p w:rsidR="00DB0B8B" w:rsidRPr="00432247" w:rsidRDefault="00432247">
      <w:pPr>
        <w:spacing w:after="0" w:line="240" w:lineRule="auto"/>
        <w:ind w:left="360" w:firstLine="360"/>
        <w:jc w:val="both"/>
        <w:rPr>
          <w:lang w:val="lv-LV"/>
        </w:rPr>
      </w:pPr>
      <w:r w:rsidRPr="00432247">
        <w:rPr>
          <w:rFonts w:ascii="Times New Roman" w:eastAsia="Calibri" w:hAnsi="Times New Roman" w:cs="Times New Roman"/>
          <w:sz w:val="20"/>
          <w:szCs w:val="20"/>
          <w:lang w:val="lv-LV" w:eastAsia="lv-LV"/>
        </w:rPr>
        <w:t>Vorošens 67219115</w:t>
      </w:r>
      <w:r w:rsidR="00DB0B8B">
        <w:rPr>
          <w:rFonts w:ascii="Times New Roman" w:eastAsia="Calibri" w:hAnsi="Times New Roman" w:cs="Times New Roman"/>
          <w:sz w:val="20"/>
          <w:szCs w:val="20"/>
          <w:lang w:val="lv-LV" w:eastAsia="lv-LV"/>
        </w:rPr>
        <w:t>,</w:t>
      </w:r>
      <w:r w:rsidR="00DB0B8B">
        <w:rPr>
          <w:rFonts w:ascii="Times New Roman" w:eastAsia="Calibri" w:hAnsi="Times New Roman" w:cs="Times New Roman"/>
          <w:sz w:val="20"/>
          <w:szCs w:val="20"/>
          <w:u w:val="single"/>
          <w:lang w:val="lv-LV" w:eastAsia="lv-LV"/>
        </w:rPr>
        <w:t xml:space="preserve"> </w:t>
      </w:r>
      <w:hyperlink r:id="rId11" w:history="1">
        <w:r w:rsidR="00DB0B8B" w:rsidRPr="003A4A19">
          <w:rPr>
            <w:rStyle w:val="Hyperlink"/>
            <w:rFonts w:ascii="Times New Roman" w:eastAsia="Calibri" w:hAnsi="Times New Roman" w:cs="Times New Roman"/>
            <w:sz w:val="20"/>
            <w:szCs w:val="20"/>
            <w:lang w:val="lv-LV" w:eastAsia="lv-LV"/>
          </w:rPr>
          <w:t>edgars.vorosens@iem.gov.lv</w:t>
        </w:r>
      </w:hyperlink>
      <w:r w:rsidR="00DB0B8B">
        <w:rPr>
          <w:rFonts w:ascii="Times New Roman" w:eastAsia="Calibri" w:hAnsi="Times New Roman" w:cs="Times New Roman"/>
          <w:sz w:val="20"/>
          <w:szCs w:val="20"/>
          <w:u w:val="single"/>
          <w:lang w:val="lv-LV" w:eastAsia="lv-LV"/>
        </w:rPr>
        <w:t xml:space="preserve"> </w:t>
      </w:r>
    </w:p>
    <w:sectPr w:rsidR="00DB0B8B" w:rsidRPr="00432247" w:rsidSect="00484661">
      <w:pgSz w:w="15840" w:h="12240" w:orient="landscape"/>
      <w:pgMar w:top="426"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AF" w:rsidRDefault="00BB4AAF">
      <w:pPr>
        <w:spacing w:after="0" w:line="240" w:lineRule="auto"/>
      </w:pPr>
      <w:r>
        <w:separator/>
      </w:r>
    </w:p>
  </w:endnote>
  <w:endnote w:type="continuationSeparator" w:id="0">
    <w:p w:rsidR="00BB4AAF" w:rsidRDefault="00BB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62" w:rsidRPr="00A56684" w:rsidRDefault="0079184C">
    <w:pPr>
      <w:pStyle w:val="Footer"/>
      <w:rPr>
        <w:rFonts w:ascii="Times New Roman" w:hAnsi="Times New Roman" w:cs="Times New Roman"/>
        <w:sz w:val="20"/>
        <w:szCs w:val="20"/>
        <w:lang w:val="lv-LV"/>
      </w:rPr>
    </w:pPr>
    <w:r>
      <w:rPr>
        <w:rFonts w:ascii="Times New Roman" w:hAnsi="Times New Roman" w:cs="Times New Roman"/>
        <w:sz w:val="20"/>
        <w:szCs w:val="20"/>
        <w:lang w:val="lv-LV"/>
      </w:rPr>
      <w:t>IeMPlans_</w:t>
    </w:r>
    <w:r w:rsidR="001C1922">
      <w:rPr>
        <w:rFonts w:ascii="Times New Roman" w:hAnsi="Times New Roman" w:cs="Times New Roman"/>
        <w:sz w:val="20"/>
        <w:szCs w:val="20"/>
        <w:lang w:val="lv-LV"/>
      </w:rPr>
      <w:t>11</w:t>
    </w:r>
    <w:r w:rsidR="008F4710">
      <w:rPr>
        <w:rFonts w:ascii="Times New Roman" w:hAnsi="Times New Roman" w:cs="Times New Roman"/>
        <w:sz w:val="20"/>
        <w:szCs w:val="20"/>
        <w:lang w:val="lv-LV"/>
      </w:rPr>
      <w:t>03</w:t>
    </w:r>
    <w:r>
      <w:rPr>
        <w:rFonts w:ascii="Times New Roman" w:hAnsi="Times New Roman" w:cs="Times New Roman"/>
        <w:sz w:val="20"/>
        <w:szCs w:val="20"/>
        <w:lang w:val="lv-LV"/>
      </w:rPr>
      <w:t>13_PPIzmKval. doc</w:t>
    </w:r>
    <w:r w:rsidR="00F84262">
      <w:rPr>
        <w:rFonts w:ascii="Times New Roman" w:hAnsi="Times New Roman" w:cs="Times New Roman"/>
        <w:sz w:val="20"/>
        <w:szCs w:val="20"/>
        <w:lang w:val="lv-LV"/>
      </w:rPr>
      <w:t xml:space="preserve">; </w:t>
    </w:r>
    <w:r w:rsidR="00F84262" w:rsidRPr="00A56684">
      <w:rPr>
        <w:rFonts w:ascii="Times New Roman" w:hAnsi="Times New Roman" w:cs="Times New Roman"/>
        <w:sz w:val="20"/>
        <w:szCs w:val="20"/>
        <w:lang w:val="lv-LV"/>
      </w:rPr>
      <w:t>Pasākumu plāna izmeklēšanas kvalitātes paaugstināšanai izmeklēšanas iestādēs projekts</w:t>
    </w:r>
    <w:r w:rsidR="00F84262">
      <w:rPr>
        <w:rFonts w:ascii="Times New Roman" w:hAnsi="Times New Roman" w:cs="Times New Roman"/>
        <w:sz w:val="20"/>
        <w:szCs w:val="20"/>
        <w:lang w:val="lv-LV"/>
      </w:rPr>
      <w:t xml:space="preserve">  (VSS-1055)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AF" w:rsidRDefault="00BB4AAF">
      <w:pPr>
        <w:spacing w:after="0" w:line="240" w:lineRule="auto"/>
      </w:pPr>
      <w:r>
        <w:separator/>
      </w:r>
    </w:p>
  </w:footnote>
  <w:footnote w:type="continuationSeparator" w:id="0">
    <w:p w:rsidR="00BB4AAF" w:rsidRDefault="00BB4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86377492"/>
      <w:docPartObj>
        <w:docPartGallery w:val="Page Numbers (Top of Page)"/>
        <w:docPartUnique/>
      </w:docPartObj>
    </w:sdtPr>
    <w:sdtEndPr>
      <w:rPr>
        <w:noProof/>
      </w:rPr>
    </w:sdtEndPr>
    <w:sdtContent>
      <w:p w:rsidR="00F84262" w:rsidRPr="00703B8E" w:rsidRDefault="00F84262">
        <w:pPr>
          <w:pStyle w:val="Header"/>
          <w:jc w:val="center"/>
          <w:rPr>
            <w:rFonts w:ascii="Times New Roman" w:hAnsi="Times New Roman" w:cs="Times New Roman"/>
          </w:rPr>
        </w:pPr>
        <w:r w:rsidRPr="00703B8E">
          <w:rPr>
            <w:rFonts w:ascii="Times New Roman" w:hAnsi="Times New Roman" w:cs="Times New Roman"/>
          </w:rPr>
          <w:fldChar w:fldCharType="begin"/>
        </w:r>
        <w:r w:rsidRPr="00703B8E">
          <w:rPr>
            <w:rFonts w:ascii="Times New Roman" w:hAnsi="Times New Roman" w:cs="Times New Roman"/>
          </w:rPr>
          <w:instrText xml:space="preserve"> PAGE   \* MERGEFORMAT </w:instrText>
        </w:r>
        <w:r w:rsidRPr="00703B8E">
          <w:rPr>
            <w:rFonts w:ascii="Times New Roman" w:hAnsi="Times New Roman" w:cs="Times New Roman"/>
          </w:rPr>
          <w:fldChar w:fldCharType="separate"/>
        </w:r>
        <w:r w:rsidR="00A179EE">
          <w:rPr>
            <w:rFonts w:ascii="Times New Roman" w:hAnsi="Times New Roman" w:cs="Times New Roman"/>
            <w:noProof/>
          </w:rPr>
          <w:t>7</w:t>
        </w:r>
        <w:r w:rsidRPr="00703B8E">
          <w:rPr>
            <w:rFonts w:ascii="Times New Roman" w:hAnsi="Times New Roman" w:cs="Times New Roman"/>
            <w:noProof/>
          </w:rPr>
          <w:fldChar w:fldCharType="end"/>
        </w:r>
      </w:p>
    </w:sdtContent>
  </w:sdt>
  <w:p w:rsidR="00F84262" w:rsidRDefault="00F84262" w:rsidP="00432247">
    <w:pPr>
      <w:pStyle w:val="Header"/>
      <w:tabs>
        <w:tab w:val="clear" w:pos="8640"/>
        <w:tab w:val="left" w:pos="8646"/>
        <w:tab w:val="right" w:pos="110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E11"/>
    <w:multiLevelType w:val="hybridMultilevel"/>
    <w:tmpl w:val="E8F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E4EFC"/>
    <w:multiLevelType w:val="hybridMultilevel"/>
    <w:tmpl w:val="9FEE025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927E85"/>
    <w:multiLevelType w:val="hybridMultilevel"/>
    <w:tmpl w:val="5CFEDA9A"/>
    <w:lvl w:ilvl="0" w:tplc="ED743EA2">
      <w:start w:val="1"/>
      <w:numFmt w:val="decimal"/>
      <w:lvlText w:val="%1."/>
      <w:lvlJc w:val="left"/>
      <w:pPr>
        <w:tabs>
          <w:tab w:val="num" w:pos="1680"/>
        </w:tabs>
        <w:ind w:left="1680" w:hanging="570"/>
      </w:pPr>
      <w:rPr>
        <w:rFonts w:hint="default"/>
      </w:rPr>
    </w:lvl>
    <w:lvl w:ilvl="1" w:tplc="04260019">
      <w:start w:val="1"/>
      <w:numFmt w:val="lowerLetter"/>
      <w:lvlText w:val="%2."/>
      <w:lvlJc w:val="left"/>
      <w:pPr>
        <w:tabs>
          <w:tab w:val="num" w:pos="2190"/>
        </w:tabs>
        <w:ind w:left="2190" w:hanging="360"/>
      </w:pPr>
    </w:lvl>
    <w:lvl w:ilvl="2" w:tplc="0426001B">
      <w:start w:val="1"/>
      <w:numFmt w:val="lowerRoman"/>
      <w:lvlText w:val="%3."/>
      <w:lvlJc w:val="right"/>
      <w:pPr>
        <w:tabs>
          <w:tab w:val="num" w:pos="2910"/>
        </w:tabs>
        <w:ind w:left="2910" w:hanging="180"/>
      </w:pPr>
    </w:lvl>
    <w:lvl w:ilvl="3" w:tplc="0426000F">
      <w:start w:val="1"/>
      <w:numFmt w:val="decimal"/>
      <w:lvlText w:val="%4."/>
      <w:lvlJc w:val="left"/>
      <w:pPr>
        <w:tabs>
          <w:tab w:val="num" w:pos="3630"/>
        </w:tabs>
        <w:ind w:left="3630" w:hanging="360"/>
      </w:pPr>
    </w:lvl>
    <w:lvl w:ilvl="4" w:tplc="04260019">
      <w:start w:val="1"/>
      <w:numFmt w:val="lowerLetter"/>
      <w:lvlText w:val="%5."/>
      <w:lvlJc w:val="left"/>
      <w:pPr>
        <w:tabs>
          <w:tab w:val="num" w:pos="4350"/>
        </w:tabs>
        <w:ind w:left="4350" w:hanging="360"/>
      </w:pPr>
    </w:lvl>
    <w:lvl w:ilvl="5" w:tplc="0426001B">
      <w:start w:val="1"/>
      <w:numFmt w:val="lowerRoman"/>
      <w:lvlText w:val="%6."/>
      <w:lvlJc w:val="right"/>
      <w:pPr>
        <w:tabs>
          <w:tab w:val="num" w:pos="5070"/>
        </w:tabs>
        <w:ind w:left="5070" w:hanging="180"/>
      </w:pPr>
    </w:lvl>
    <w:lvl w:ilvl="6" w:tplc="0426000F">
      <w:start w:val="1"/>
      <w:numFmt w:val="decimal"/>
      <w:lvlText w:val="%7."/>
      <w:lvlJc w:val="left"/>
      <w:pPr>
        <w:tabs>
          <w:tab w:val="num" w:pos="5790"/>
        </w:tabs>
        <w:ind w:left="5790" w:hanging="360"/>
      </w:pPr>
    </w:lvl>
    <w:lvl w:ilvl="7" w:tplc="04260019">
      <w:start w:val="1"/>
      <w:numFmt w:val="lowerLetter"/>
      <w:lvlText w:val="%8."/>
      <w:lvlJc w:val="left"/>
      <w:pPr>
        <w:tabs>
          <w:tab w:val="num" w:pos="6510"/>
        </w:tabs>
        <w:ind w:left="6510" w:hanging="360"/>
      </w:pPr>
    </w:lvl>
    <w:lvl w:ilvl="8" w:tplc="0426001B">
      <w:start w:val="1"/>
      <w:numFmt w:val="lowerRoman"/>
      <w:lvlText w:val="%9."/>
      <w:lvlJc w:val="right"/>
      <w:pPr>
        <w:tabs>
          <w:tab w:val="num" w:pos="7230"/>
        </w:tabs>
        <w:ind w:left="7230" w:hanging="180"/>
      </w:pPr>
    </w:lvl>
  </w:abstractNum>
  <w:abstractNum w:abstractNumId="3">
    <w:nsid w:val="567B6D1C"/>
    <w:multiLevelType w:val="hybridMultilevel"/>
    <w:tmpl w:val="25BE48DA"/>
    <w:lvl w:ilvl="0" w:tplc="0409000F">
      <w:start w:val="1"/>
      <w:numFmt w:val="decimal"/>
      <w:lvlText w:val="%1."/>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CF31E58"/>
    <w:multiLevelType w:val="hybridMultilevel"/>
    <w:tmpl w:val="E7C03C46"/>
    <w:lvl w:ilvl="0" w:tplc="DD606F6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30B7368"/>
    <w:multiLevelType w:val="hybridMultilevel"/>
    <w:tmpl w:val="6BD68E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4D2B43"/>
    <w:multiLevelType w:val="hybridMultilevel"/>
    <w:tmpl w:val="E42E4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C4FCE"/>
    <w:multiLevelType w:val="hybridMultilevel"/>
    <w:tmpl w:val="C4AC8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47"/>
    <w:rsid w:val="00023E3F"/>
    <w:rsid w:val="00051FDF"/>
    <w:rsid w:val="00060717"/>
    <w:rsid w:val="00080C4D"/>
    <w:rsid w:val="000952B3"/>
    <w:rsid w:val="000A32DB"/>
    <w:rsid w:val="000A4D83"/>
    <w:rsid w:val="000C378A"/>
    <w:rsid w:val="000E1CC9"/>
    <w:rsid w:val="000E2257"/>
    <w:rsid w:val="000E689D"/>
    <w:rsid w:val="000F400E"/>
    <w:rsid w:val="000F503F"/>
    <w:rsid w:val="000F5DAA"/>
    <w:rsid w:val="001007EC"/>
    <w:rsid w:val="00100865"/>
    <w:rsid w:val="0010534E"/>
    <w:rsid w:val="00117970"/>
    <w:rsid w:val="001548B0"/>
    <w:rsid w:val="00184BCD"/>
    <w:rsid w:val="001879EF"/>
    <w:rsid w:val="00194FF4"/>
    <w:rsid w:val="00197324"/>
    <w:rsid w:val="001A62EA"/>
    <w:rsid w:val="001C1922"/>
    <w:rsid w:val="001C3DED"/>
    <w:rsid w:val="001D0D97"/>
    <w:rsid w:val="001D392D"/>
    <w:rsid w:val="001E237B"/>
    <w:rsid w:val="001F5375"/>
    <w:rsid w:val="00223B5D"/>
    <w:rsid w:val="002341D7"/>
    <w:rsid w:val="00240594"/>
    <w:rsid w:val="002627DE"/>
    <w:rsid w:val="00264653"/>
    <w:rsid w:val="002721A4"/>
    <w:rsid w:val="0027317F"/>
    <w:rsid w:val="002868A4"/>
    <w:rsid w:val="002B0125"/>
    <w:rsid w:val="002D1CF4"/>
    <w:rsid w:val="002D4DC1"/>
    <w:rsid w:val="002E568A"/>
    <w:rsid w:val="00303CC0"/>
    <w:rsid w:val="00305503"/>
    <w:rsid w:val="0034498C"/>
    <w:rsid w:val="0037110A"/>
    <w:rsid w:val="0037379D"/>
    <w:rsid w:val="00395D71"/>
    <w:rsid w:val="003A0B70"/>
    <w:rsid w:val="003A2D20"/>
    <w:rsid w:val="003E4CEE"/>
    <w:rsid w:val="004225C6"/>
    <w:rsid w:val="0042475B"/>
    <w:rsid w:val="00425956"/>
    <w:rsid w:val="00432247"/>
    <w:rsid w:val="0043475A"/>
    <w:rsid w:val="00480997"/>
    <w:rsid w:val="00484661"/>
    <w:rsid w:val="004928C5"/>
    <w:rsid w:val="004930B7"/>
    <w:rsid w:val="004B20C9"/>
    <w:rsid w:val="004E4315"/>
    <w:rsid w:val="004E6D5D"/>
    <w:rsid w:val="00501044"/>
    <w:rsid w:val="0050705C"/>
    <w:rsid w:val="0051761F"/>
    <w:rsid w:val="005300AE"/>
    <w:rsid w:val="00546CF6"/>
    <w:rsid w:val="00573E7B"/>
    <w:rsid w:val="00593169"/>
    <w:rsid w:val="005A6F69"/>
    <w:rsid w:val="005B7DA8"/>
    <w:rsid w:val="005C73B6"/>
    <w:rsid w:val="005F7F75"/>
    <w:rsid w:val="00610096"/>
    <w:rsid w:val="00620BD3"/>
    <w:rsid w:val="00627371"/>
    <w:rsid w:val="00650186"/>
    <w:rsid w:val="00670333"/>
    <w:rsid w:val="00671EB0"/>
    <w:rsid w:val="00680FDB"/>
    <w:rsid w:val="00684799"/>
    <w:rsid w:val="0068642B"/>
    <w:rsid w:val="006A49A0"/>
    <w:rsid w:val="006B7087"/>
    <w:rsid w:val="006C06A4"/>
    <w:rsid w:val="006F52BD"/>
    <w:rsid w:val="00703B8E"/>
    <w:rsid w:val="00721897"/>
    <w:rsid w:val="00753B47"/>
    <w:rsid w:val="0075795C"/>
    <w:rsid w:val="0077100D"/>
    <w:rsid w:val="0077484C"/>
    <w:rsid w:val="007864CB"/>
    <w:rsid w:val="0079184C"/>
    <w:rsid w:val="00792EF2"/>
    <w:rsid w:val="007A1678"/>
    <w:rsid w:val="007B2A99"/>
    <w:rsid w:val="007B7A72"/>
    <w:rsid w:val="007F658F"/>
    <w:rsid w:val="008003A2"/>
    <w:rsid w:val="00800FE9"/>
    <w:rsid w:val="00824EE6"/>
    <w:rsid w:val="008340C8"/>
    <w:rsid w:val="00866437"/>
    <w:rsid w:val="0086776C"/>
    <w:rsid w:val="00880880"/>
    <w:rsid w:val="008859E8"/>
    <w:rsid w:val="0088722A"/>
    <w:rsid w:val="008A51F0"/>
    <w:rsid w:val="008B3A18"/>
    <w:rsid w:val="008F4710"/>
    <w:rsid w:val="008F57BE"/>
    <w:rsid w:val="00903EE9"/>
    <w:rsid w:val="0092060E"/>
    <w:rsid w:val="009221BE"/>
    <w:rsid w:val="00926E87"/>
    <w:rsid w:val="009343F4"/>
    <w:rsid w:val="0094639C"/>
    <w:rsid w:val="009B1C03"/>
    <w:rsid w:val="009B7B3F"/>
    <w:rsid w:val="009C2C77"/>
    <w:rsid w:val="009D0F26"/>
    <w:rsid w:val="009E34C0"/>
    <w:rsid w:val="00A14A79"/>
    <w:rsid w:val="00A179EE"/>
    <w:rsid w:val="00A52431"/>
    <w:rsid w:val="00A63DDC"/>
    <w:rsid w:val="00A77471"/>
    <w:rsid w:val="00A80369"/>
    <w:rsid w:val="00A90400"/>
    <w:rsid w:val="00A906E9"/>
    <w:rsid w:val="00AE11BC"/>
    <w:rsid w:val="00AF18D5"/>
    <w:rsid w:val="00B17760"/>
    <w:rsid w:val="00B54822"/>
    <w:rsid w:val="00B6440C"/>
    <w:rsid w:val="00B95E61"/>
    <w:rsid w:val="00BA0EF4"/>
    <w:rsid w:val="00BB2B4D"/>
    <w:rsid w:val="00BB4AAF"/>
    <w:rsid w:val="00BE15C3"/>
    <w:rsid w:val="00BE1718"/>
    <w:rsid w:val="00BF2159"/>
    <w:rsid w:val="00C228F4"/>
    <w:rsid w:val="00C31815"/>
    <w:rsid w:val="00C40E15"/>
    <w:rsid w:val="00C50588"/>
    <w:rsid w:val="00C62AED"/>
    <w:rsid w:val="00C670A1"/>
    <w:rsid w:val="00C8618D"/>
    <w:rsid w:val="00C9091B"/>
    <w:rsid w:val="00CA4F0F"/>
    <w:rsid w:val="00CB2037"/>
    <w:rsid w:val="00CC4175"/>
    <w:rsid w:val="00CD448D"/>
    <w:rsid w:val="00CD5B3F"/>
    <w:rsid w:val="00CE610F"/>
    <w:rsid w:val="00D51211"/>
    <w:rsid w:val="00D87B0F"/>
    <w:rsid w:val="00D9297C"/>
    <w:rsid w:val="00D929D6"/>
    <w:rsid w:val="00DA045C"/>
    <w:rsid w:val="00DA137A"/>
    <w:rsid w:val="00DA3988"/>
    <w:rsid w:val="00DA7D61"/>
    <w:rsid w:val="00DB0B8B"/>
    <w:rsid w:val="00DC42BF"/>
    <w:rsid w:val="00DE0A3B"/>
    <w:rsid w:val="00DF25C4"/>
    <w:rsid w:val="00DF270D"/>
    <w:rsid w:val="00E81B5C"/>
    <w:rsid w:val="00E856E3"/>
    <w:rsid w:val="00E94D81"/>
    <w:rsid w:val="00EA52D8"/>
    <w:rsid w:val="00EA6909"/>
    <w:rsid w:val="00EC0382"/>
    <w:rsid w:val="00EC3071"/>
    <w:rsid w:val="00EC3243"/>
    <w:rsid w:val="00EC5CE7"/>
    <w:rsid w:val="00ED427D"/>
    <w:rsid w:val="00ED66E2"/>
    <w:rsid w:val="00EF44FE"/>
    <w:rsid w:val="00F16306"/>
    <w:rsid w:val="00F2472C"/>
    <w:rsid w:val="00F53E0B"/>
    <w:rsid w:val="00F661B5"/>
    <w:rsid w:val="00F666A5"/>
    <w:rsid w:val="00F71B79"/>
    <w:rsid w:val="00F84262"/>
    <w:rsid w:val="00F94390"/>
    <w:rsid w:val="00FA6FAA"/>
    <w:rsid w:val="00FB57AA"/>
    <w:rsid w:val="00FE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247"/>
    <w:pPr>
      <w:tabs>
        <w:tab w:val="center" w:pos="4320"/>
        <w:tab w:val="right" w:pos="864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432247"/>
    <w:rPr>
      <w:rFonts w:ascii="Calibri" w:eastAsia="Calibri" w:hAnsi="Calibri" w:cs="Calibri"/>
    </w:rPr>
  </w:style>
  <w:style w:type="paragraph" w:styleId="Footer">
    <w:name w:val="footer"/>
    <w:basedOn w:val="Normal"/>
    <w:link w:val="FooterChar"/>
    <w:uiPriority w:val="99"/>
    <w:rsid w:val="00432247"/>
    <w:pPr>
      <w:tabs>
        <w:tab w:val="center" w:pos="4320"/>
        <w:tab w:val="right" w:pos="864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432247"/>
    <w:rPr>
      <w:rFonts w:ascii="Calibri" w:eastAsia="Calibri" w:hAnsi="Calibri" w:cs="Calibri"/>
    </w:rPr>
  </w:style>
  <w:style w:type="character" w:styleId="Hyperlink">
    <w:name w:val="Hyperlink"/>
    <w:basedOn w:val="DefaultParagraphFont"/>
    <w:uiPriority w:val="99"/>
    <w:unhideWhenUsed/>
    <w:rsid w:val="00DF25C4"/>
    <w:rPr>
      <w:color w:val="0000FF" w:themeColor="hyperlink"/>
      <w:u w:val="single"/>
    </w:rPr>
  </w:style>
  <w:style w:type="paragraph" w:styleId="BalloonText">
    <w:name w:val="Balloon Text"/>
    <w:basedOn w:val="Normal"/>
    <w:link w:val="BalloonTextChar"/>
    <w:uiPriority w:val="99"/>
    <w:semiHidden/>
    <w:unhideWhenUsed/>
    <w:rsid w:val="0030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C0"/>
    <w:rPr>
      <w:rFonts w:ascii="Tahoma" w:hAnsi="Tahoma" w:cs="Tahoma"/>
      <w:sz w:val="16"/>
      <w:szCs w:val="16"/>
    </w:rPr>
  </w:style>
  <w:style w:type="paragraph" w:styleId="ListParagraph">
    <w:name w:val="List Paragraph"/>
    <w:basedOn w:val="Normal"/>
    <w:uiPriority w:val="34"/>
    <w:qFormat/>
    <w:rsid w:val="005C73B6"/>
    <w:pPr>
      <w:ind w:left="720"/>
      <w:contextualSpacing/>
    </w:pPr>
  </w:style>
  <w:style w:type="paragraph" w:styleId="NoSpacing">
    <w:name w:val="No Spacing"/>
    <w:uiPriority w:val="1"/>
    <w:qFormat/>
    <w:rsid w:val="00FB57AA"/>
    <w:pPr>
      <w:spacing w:after="0" w:line="240" w:lineRule="auto"/>
    </w:pPr>
  </w:style>
  <w:style w:type="paragraph" w:styleId="PlainText">
    <w:name w:val="Plain Text"/>
    <w:basedOn w:val="Normal"/>
    <w:link w:val="PlainTextChar"/>
    <w:uiPriority w:val="99"/>
    <w:unhideWhenUsed/>
    <w:rsid w:val="00DB0B8B"/>
    <w:pPr>
      <w:spacing w:after="0" w:line="240" w:lineRule="auto"/>
    </w:pPr>
    <w:rPr>
      <w:rFonts w:ascii="Calibri" w:hAnsi="Calibri"/>
      <w:szCs w:val="21"/>
      <w:lang w:val="lv-LV"/>
    </w:rPr>
  </w:style>
  <w:style w:type="character" w:customStyle="1" w:styleId="PlainTextChar">
    <w:name w:val="Plain Text Char"/>
    <w:basedOn w:val="DefaultParagraphFont"/>
    <w:link w:val="PlainText"/>
    <w:uiPriority w:val="99"/>
    <w:rsid w:val="00DB0B8B"/>
    <w:rPr>
      <w:rFonts w:ascii="Calibri" w:hAnsi="Calibri"/>
      <w:szCs w:val="21"/>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247"/>
    <w:pPr>
      <w:tabs>
        <w:tab w:val="center" w:pos="4320"/>
        <w:tab w:val="right" w:pos="864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432247"/>
    <w:rPr>
      <w:rFonts w:ascii="Calibri" w:eastAsia="Calibri" w:hAnsi="Calibri" w:cs="Calibri"/>
    </w:rPr>
  </w:style>
  <w:style w:type="paragraph" w:styleId="Footer">
    <w:name w:val="footer"/>
    <w:basedOn w:val="Normal"/>
    <w:link w:val="FooterChar"/>
    <w:uiPriority w:val="99"/>
    <w:rsid w:val="00432247"/>
    <w:pPr>
      <w:tabs>
        <w:tab w:val="center" w:pos="4320"/>
        <w:tab w:val="right" w:pos="864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432247"/>
    <w:rPr>
      <w:rFonts w:ascii="Calibri" w:eastAsia="Calibri" w:hAnsi="Calibri" w:cs="Calibri"/>
    </w:rPr>
  </w:style>
  <w:style w:type="character" w:styleId="Hyperlink">
    <w:name w:val="Hyperlink"/>
    <w:basedOn w:val="DefaultParagraphFont"/>
    <w:uiPriority w:val="99"/>
    <w:unhideWhenUsed/>
    <w:rsid w:val="00DF25C4"/>
    <w:rPr>
      <w:color w:val="0000FF" w:themeColor="hyperlink"/>
      <w:u w:val="single"/>
    </w:rPr>
  </w:style>
  <w:style w:type="paragraph" w:styleId="BalloonText">
    <w:name w:val="Balloon Text"/>
    <w:basedOn w:val="Normal"/>
    <w:link w:val="BalloonTextChar"/>
    <w:uiPriority w:val="99"/>
    <w:semiHidden/>
    <w:unhideWhenUsed/>
    <w:rsid w:val="0030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C0"/>
    <w:rPr>
      <w:rFonts w:ascii="Tahoma" w:hAnsi="Tahoma" w:cs="Tahoma"/>
      <w:sz w:val="16"/>
      <w:szCs w:val="16"/>
    </w:rPr>
  </w:style>
  <w:style w:type="paragraph" w:styleId="ListParagraph">
    <w:name w:val="List Paragraph"/>
    <w:basedOn w:val="Normal"/>
    <w:uiPriority w:val="34"/>
    <w:qFormat/>
    <w:rsid w:val="005C73B6"/>
    <w:pPr>
      <w:ind w:left="720"/>
      <w:contextualSpacing/>
    </w:pPr>
  </w:style>
  <w:style w:type="paragraph" w:styleId="NoSpacing">
    <w:name w:val="No Spacing"/>
    <w:uiPriority w:val="1"/>
    <w:qFormat/>
    <w:rsid w:val="00FB57AA"/>
    <w:pPr>
      <w:spacing w:after="0" w:line="240" w:lineRule="auto"/>
    </w:pPr>
  </w:style>
  <w:style w:type="paragraph" w:styleId="PlainText">
    <w:name w:val="Plain Text"/>
    <w:basedOn w:val="Normal"/>
    <w:link w:val="PlainTextChar"/>
    <w:uiPriority w:val="99"/>
    <w:unhideWhenUsed/>
    <w:rsid w:val="00DB0B8B"/>
    <w:pPr>
      <w:spacing w:after="0" w:line="240" w:lineRule="auto"/>
    </w:pPr>
    <w:rPr>
      <w:rFonts w:ascii="Calibri" w:hAnsi="Calibri"/>
      <w:szCs w:val="21"/>
      <w:lang w:val="lv-LV"/>
    </w:rPr>
  </w:style>
  <w:style w:type="character" w:customStyle="1" w:styleId="PlainTextChar">
    <w:name w:val="Plain Text Char"/>
    <w:basedOn w:val="DefaultParagraphFont"/>
    <w:link w:val="PlainText"/>
    <w:uiPriority w:val="99"/>
    <w:rsid w:val="00DB0B8B"/>
    <w:rPr>
      <w:rFonts w:ascii="Calibri" w:hAnsi="Calibri"/>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7011">
      <w:bodyDiv w:val="1"/>
      <w:marLeft w:val="0"/>
      <w:marRight w:val="0"/>
      <w:marTop w:val="0"/>
      <w:marBottom w:val="0"/>
      <w:divBdr>
        <w:top w:val="none" w:sz="0" w:space="0" w:color="auto"/>
        <w:left w:val="none" w:sz="0" w:space="0" w:color="auto"/>
        <w:bottom w:val="none" w:sz="0" w:space="0" w:color="auto"/>
        <w:right w:val="none" w:sz="0" w:space="0" w:color="auto"/>
      </w:divBdr>
    </w:div>
    <w:div w:id="321545898">
      <w:bodyDiv w:val="1"/>
      <w:marLeft w:val="0"/>
      <w:marRight w:val="0"/>
      <w:marTop w:val="0"/>
      <w:marBottom w:val="0"/>
      <w:divBdr>
        <w:top w:val="none" w:sz="0" w:space="0" w:color="auto"/>
        <w:left w:val="none" w:sz="0" w:space="0" w:color="auto"/>
        <w:bottom w:val="none" w:sz="0" w:space="0" w:color="auto"/>
        <w:right w:val="none" w:sz="0" w:space="0" w:color="auto"/>
      </w:divBdr>
    </w:div>
    <w:div w:id="368843065">
      <w:bodyDiv w:val="1"/>
      <w:marLeft w:val="0"/>
      <w:marRight w:val="0"/>
      <w:marTop w:val="0"/>
      <w:marBottom w:val="0"/>
      <w:divBdr>
        <w:top w:val="none" w:sz="0" w:space="0" w:color="auto"/>
        <w:left w:val="none" w:sz="0" w:space="0" w:color="auto"/>
        <w:bottom w:val="none" w:sz="0" w:space="0" w:color="auto"/>
        <w:right w:val="none" w:sz="0" w:space="0" w:color="auto"/>
      </w:divBdr>
    </w:div>
    <w:div w:id="1036470483">
      <w:bodyDiv w:val="1"/>
      <w:marLeft w:val="0"/>
      <w:marRight w:val="0"/>
      <w:marTop w:val="0"/>
      <w:marBottom w:val="0"/>
      <w:divBdr>
        <w:top w:val="none" w:sz="0" w:space="0" w:color="auto"/>
        <w:left w:val="none" w:sz="0" w:space="0" w:color="auto"/>
        <w:bottom w:val="none" w:sz="0" w:space="0" w:color="auto"/>
        <w:right w:val="none" w:sz="0" w:space="0" w:color="auto"/>
      </w:divBdr>
    </w:div>
    <w:div w:id="1064723660">
      <w:bodyDiv w:val="1"/>
      <w:marLeft w:val="0"/>
      <w:marRight w:val="0"/>
      <w:marTop w:val="0"/>
      <w:marBottom w:val="0"/>
      <w:divBdr>
        <w:top w:val="none" w:sz="0" w:space="0" w:color="auto"/>
        <w:left w:val="none" w:sz="0" w:space="0" w:color="auto"/>
        <w:bottom w:val="none" w:sz="0" w:space="0" w:color="auto"/>
        <w:right w:val="none" w:sz="0" w:space="0" w:color="auto"/>
      </w:divBdr>
    </w:div>
    <w:div w:id="1851217430">
      <w:bodyDiv w:val="1"/>
      <w:marLeft w:val="0"/>
      <w:marRight w:val="0"/>
      <w:marTop w:val="0"/>
      <w:marBottom w:val="0"/>
      <w:divBdr>
        <w:top w:val="none" w:sz="0" w:space="0" w:color="auto"/>
        <w:left w:val="none" w:sz="0" w:space="0" w:color="auto"/>
        <w:bottom w:val="none" w:sz="0" w:space="0" w:color="auto"/>
        <w:right w:val="none" w:sz="0" w:space="0" w:color="auto"/>
      </w:divBdr>
    </w:div>
    <w:div w:id="19696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gars.vorosens@iem.gov.l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AED3-9AFF-4072-BD71-15F47CBF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14233</Words>
  <Characters>8114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IeMPlans_110313_PPIzmKval.doc</vt:lpstr>
    </vt:vector>
  </TitlesOfParts>
  <Company>NONE</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IeMPlans_110313_PPIzmKval.doc</dc:title>
  <dc:subject/>
  <dc:creator>Edgars Vorošens</dc:creator>
  <cp:keywords/>
  <dc:description/>
  <cp:lastModifiedBy>Indulis Zālītis</cp:lastModifiedBy>
  <cp:revision>18</cp:revision>
  <cp:lastPrinted>2013-03-15T08:03:00Z</cp:lastPrinted>
  <dcterms:created xsi:type="dcterms:W3CDTF">2013-03-07T08:19:00Z</dcterms:created>
  <dcterms:modified xsi:type="dcterms:W3CDTF">2013-03-15T08:03:00Z</dcterms:modified>
</cp:coreProperties>
</file>