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21" w:rsidRDefault="00BD1621" w:rsidP="00CA5450">
      <w:pPr>
        <w:jc w:val="center"/>
        <w:rPr>
          <w:b/>
          <w:sz w:val="28"/>
          <w:szCs w:val="28"/>
        </w:rPr>
      </w:pPr>
      <w:r w:rsidRPr="00CA5450">
        <w:rPr>
          <w:b/>
          <w:sz w:val="28"/>
          <w:szCs w:val="28"/>
        </w:rPr>
        <w:t>MINISTRU KABINETA SĒDES PROTOKOLLĒMUMS</w:t>
      </w:r>
    </w:p>
    <w:p w:rsidR="00BD1621" w:rsidRDefault="00BD1621" w:rsidP="00CA5450">
      <w:pPr>
        <w:jc w:val="center"/>
        <w:rPr>
          <w:b/>
          <w:sz w:val="28"/>
          <w:szCs w:val="28"/>
        </w:rPr>
      </w:pPr>
    </w:p>
    <w:p w:rsidR="00BD1621" w:rsidRPr="00CA5450" w:rsidRDefault="00BD1621" w:rsidP="00CA5450">
      <w:pPr>
        <w:jc w:val="center"/>
        <w:rPr>
          <w:sz w:val="28"/>
          <w:szCs w:val="28"/>
        </w:rPr>
      </w:pPr>
    </w:p>
    <w:p w:rsidR="00BD1621" w:rsidRPr="00F71317" w:rsidRDefault="00BD1621">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r>
      <w:proofErr w:type="spellStart"/>
      <w:r w:rsidRPr="00F71317">
        <w:rPr>
          <w:sz w:val="28"/>
        </w:rPr>
        <w:t>Nr</w:t>
      </w:r>
      <w:proofErr w:type="spellEnd"/>
      <w:r w:rsidRPr="00F71317">
        <w:rPr>
          <w:sz w:val="28"/>
        </w:rPr>
        <w:t xml:space="preserve">. </w:t>
      </w:r>
      <w:r w:rsidRPr="00F71317">
        <w:rPr>
          <w:sz w:val="28"/>
        </w:rPr>
        <w:tab/>
      </w:r>
      <w:r w:rsidRPr="00F71317">
        <w:rPr>
          <w:sz w:val="28"/>
        </w:rPr>
        <w:tab/>
        <w:t xml:space="preserve">      </w:t>
      </w:r>
      <w:r>
        <w:rPr>
          <w:sz w:val="28"/>
        </w:rPr>
        <w:t>2011</w:t>
      </w:r>
      <w:r w:rsidRPr="00F71317">
        <w:rPr>
          <w:sz w:val="28"/>
        </w:rPr>
        <w:t>.gada       .________</w:t>
      </w:r>
    </w:p>
    <w:p w:rsidR="00BD1621" w:rsidRPr="00F71317" w:rsidRDefault="00BD1621">
      <w:pPr>
        <w:ind w:left="2880" w:firstLine="720"/>
        <w:rPr>
          <w:sz w:val="28"/>
        </w:rPr>
      </w:pPr>
    </w:p>
    <w:p w:rsidR="00BD1621" w:rsidRPr="00F71317" w:rsidRDefault="00BD1621">
      <w:pPr>
        <w:ind w:left="2880" w:firstLine="720"/>
        <w:rPr>
          <w:b/>
          <w:bCs/>
          <w:sz w:val="28"/>
        </w:rPr>
      </w:pPr>
      <w:r w:rsidRPr="00F71317">
        <w:rPr>
          <w:b/>
          <w:bCs/>
          <w:sz w:val="28"/>
        </w:rPr>
        <w:t xml:space="preserve">             .§</w:t>
      </w:r>
    </w:p>
    <w:p w:rsidR="00BD1621" w:rsidRPr="005771EF" w:rsidRDefault="00BD1621" w:rsidP="009B5CAE">
      <w:pPr>
        <w:jc w:val="center"/>
        <w:rPr>
          <w:sz w:val="28"/>
          <w:szCs w:val="28"/>
        </w:rPr>
      </w:pPr>
      <w:r w:rsidRPr="00D030A6">
        <w:rPr>
          <w:b/>
          <w:color w:val="2A2A2A"/>
          <w:sz w:val="28"/>
          <w:szCs w:val="28"/>
          <w:lang w:eastAsia="lv-LV"/>
        </w:rPr>
        <w:t>Noteikumu projekts</w:t>
      </w:r>
      <w:r w:rsidRPr="005771EF">
        <w:rPr>
          <w:color w:val="2A2A2A"/>
          <w:sz w:val="28"/>
          <w:szCs w:val="28"/>
          <w:lang w:eastAsia="lv-LV"/>
        </w:rPr>
        <w:t xml:space="preserve"> </w:t>
      </w:r>
      <w:r>
        <w:rPr>
          <w:b/>
          <w:sz w:val="28"/>
          <w:szCs w:val="28"/>
        </w:rPr>
        <w:t xml:space="preserve">„Samaksas kārtība komersantam par pakalpojuma sniegšanu – </w:t>
      </w:r>
      <w:r w:rsidRPr="00992E9A">
        <w:rPr>
          <w:b/>
          <w:sz w:val="28"/>
          <w:szCs w:val="28"/>
        </w:rPr>
        <w:t>pārkāpumu</w:t>
      </w:r>
      <w:r>
        <w:rPr>
          <w:b/>
          <w:sz w:val="28"/>
          <w:szCs w:val="28"/>
        </w:rPr>
        <w:t xml:space="preserve"> ceļu satiksmē fiksēšanu ar tehniskajiem līdzekļiem, neapturot transportlīdzekli”</w:t>
      </w:r>
    </w:p>
    <w:p w:rsidR="00BD1621" w:rsidRPr="00F71317" w:rsidRDefault="00BD1621" w:rsidP="00456E71">
      <w:pPr>
        <w:jc w:val="center"/>
        <w:rPr>
          <w:sz w:val="28"/>
        </w:rPr>
      </w:pPr>
      <w:r w:rsidRPr="00F71317">
        <w:rPr>
          <w:sz w:val="28"/>
        </w:rPr>
        <w:t>(...)</w:t>
      </w:r>
    </w:p>
    <w:tbl>
      <w:tblPr>
        <w:tblW w:w="5000" w:type="pct"/>
        <w:tblCellSpacing w:w="0" w:type="dxa"/>
        <w:tblCellMar>
          <w:left w:w="0" w:type="dxa"/>
          <w:right w:w="0" w:type="dxa"/>
        </w:tblCellMar>
        <w:tblLook w:val="0000" w:firstRow="0" w:lastRow="0" w:firstColumn="0" w:lastColumn="0" w:noHBand="0" w:noVBand="0"/>
      </w:tblPr>
      <w:tblGrid>
        <w:gridCol w:w="9221"/>
      </w:tblGrid>
      <w:tr w:rsidR="00BD1621">
        <w:trPr>
          <w:tblCellSpacing w:w="0" w:type="dxa"/>
        </w:trPr>
        <w:tc>
          <w:tcPr>
            <w:tcW w:w="0" w:type="auto"/>
            <w:tcMar>
              <w:top w:w="0" w:type="dxa"/>
              <w:left w:w="150" w:type="dxa"/>
              <w:bottom w:w="0" w:type="dxa"/>
              <w:right w:w="0" w:type="dxa"/>
            </w:tcMar>
            <w:vAlign w:val="center"/>
          </w:tcPr>
          <w:p w:rsidR="00BD1621" w:rsidRPr="005771EF" w:rsidRDefault="00BD1621" w:rsidP="005771EF">
            <w:pPr>
              <w:jc w:val="center"/>
              <w:rPr>
                <w:rFonts w:ascii="Tahoma" w:hAnsi="Tahoma" w:cs="Tahoma"/>
                <w:color w:val="2A2A2A"/>
                <w:sz w:val="14"/>
                <w:szCs w:val="14"/>
                <w:lang w:eastAsia="lv-LV"/>
              </w:rPr>
            </w:pPr>
          </w:p>
        </w:tc>
      </w:tr>
      <w:tr w:rsidR="00BD1621">
        <w:trPr>
          <w:tblCellSpacing w:w="0" w:type="dxa"/>
        </w:trPr>
        <w:tc>
          <w:tcPr>
            <w:tcW w:w="0" w:type="auto"/>
            <w:tcMar>
              <w:top w:w="0" w:type="dxa"/>
              <w:left w:w="150" w:type="dxa"/>
              <w:bottom w:w="0" w:type="dxa"/>
              <w:right w:w="0" w:type="dxa"/>
            </w:tcMar>
            <w:vAlign w:val="center"/>
          </w:tcPr>
          <w:p w:rsidR="00BD1621" w:rsidRPr="005771EF" w:rsidRDefault="00BD1621" w:rsidP="005771EF">
            <w:pPr>
              <w:spacing w:before="100" w:beforeAutospacing="1" w:after="100" w:afterAutospacing="1"/>
              <w:rPr>
                <w:rFonts w:ascii="Tahoma" w:hAnsi="Tahoma" w:cs="Tahoma"/>
                <w:color w:val="2A2A2A"/>
                <w:sz w:val="17"/>
                <w:szCs w:val="17"/>
                <w:lang w:eastAsia="lv-LV"/>
              </w:rPr>
            </w:pPr>
          </w:p>
        </w:tc>
      </w:tr>
      <w:tr w:rsidR="00BD1621">
        <w:trPr>
          <w:tblCellSpacing w:w="0" w:type="dxa"/>
        </w:trPr>
        <w:tc>
          <w:tcPr>
            <w:tcW w:w="0" w:type="auto"/>
            <w:tcMar>
              <w:top w:w="0" w:type="dxa"/>
              <w:left w:w="150" w:type="dxa"/>
              <w:bottom w:w="0" w:type="dxa"/>
              <w:right w:w="0" w:type="dxa"/>
            </w:tcMar>
            <w:vAlign w:val="center"/>
          </w:tcPr>
          <w:p w:rsidR="00BD1621" w:rsidRPr="005771EF" w:rsidRDefault="00BD1621" w:rsidP="005771EF">
            <w:pPr>
              <w:spacing w:before="100" w:beforeAutospacing="1" w:after="100" w:afterAutospacing="1"/>
              <w:jc w:val="center"/>
              <w:rPr>
                <w:rFonts w:ascii="Tahoma" w:hAnsi="Tahoma" w:cs="Tahoma"/>
                <w:color w:val="2A2A2A"/>
                <w:sz w:val="17"/>
                <w:szCs w:val="17"/>
                <w:lang w:eastAsia="lv-LV"/>
              </w:rPr>
            </w:pPr>
          </w:p>
        </w:tc>
      </w:tr>
      <w:tr w:rsidR="00BD1621">
        <w:trPr>
          <w:tblCellSpacing w:w="0" w:type="dxa"/>
        </w:trPr>
        <w:tc>
          <w:tcPr>
            <w:tcW w:w="0" w:type="auto"/>
            <w:tcMar>
              <w:top w:w="0" w:type="dxa"/>
              <w:left w:w="150" w:type="dxa"/>
              <w:bottom w:w="0" w:type="dxa"/>
              <w:right w:w="0" w:type="dxa"/>
            </w:tcMar>
            <w:vAlign w:val="center"/>
          </w:tcPr>
          <w:p w:rsidR="00BD1621" w:rsidRDefault="00BD1621" w:rsidP="005771EF">
            <w:pPr>
              <w:rPr>
                <w:color w:val="2A2A2A"/>
                <w:sz w:val="28"/>
                <w:szCs w:val="28"/>
                <w:lang w:eastAsia="lv-LV"/>
              </w:rPr>
            </w:pPr>
            <w:r>
              <w:rPr>
                <w:color w:val="2A2A2A"/>
                <w:sz w:val="28"/>
                <w:szCs w:val="28"/>
                <w:lang w:eastAsia="lv-LV"/>
              </w:rPr>
              <w:t xml:space="preserve">1. </w:t>
            </w:r>
            <w:r w:rsidRPr="005771EF">
              <w:rPr>
                <w:color w:val="2A2A2A"/>
                <w:sz w:val="28"/>
                <w:szCs w:val="28"/>
                <w:lang w:eastAsia="lv-LV"/>
              </w:rPr>
              <w:t>Pieņemt iesniegto noteikumu projektu.</w:t>
            </w:r>
            <w:r w:rsidRPr="005771EF">
              <w:rPr>
                <w:color w:val="2A2A2A"/>
                <w:sz w:val="28"/>
                <w:szCs w:val="28"/>
                <w:lang w:eastAsia="lv-LV"/>
              </w:rPr>
              <w:br/>
              <w:t>Valsts kancelejai sagatavot noteikumu projektu parakstīšanai.</w:t>
            </w:r>
          </w:p>
          <w:p w:rsidR="00BD1621" w:rsidRDefault="00BD1621" w:rsidP="005771EF">
            <w:pPr>
              <w:rPr>
                <w:color w:val="2A2A2A"/>
                <w:sz w:val="28"/>
                <w:szCs w:val="28"/>
                <w:lang w:eastAsia="lv-LV"/>
              </w:rPr>
            </w:pPr>
          </w:p>
          <w:p w:rsidR="00BD1621" w:rsidRDefault="00BD1621" w:rsidP="003A4FA6">
            <w:pPr>
              <w:jc w:val="both"/>
              <w:rPr>
                <w:color w:val="2A2A2A"/>
                <w:sz w:val="28"/>
                <w:szCs w:val="28"/>
                <w:lang w:eastAsia="lv-LV"/>
              </w:rPr>
            </w:pPr>
            <w:r>
              <w:rPr>
                <w:color w:val="2A2A2A"/>
                <w:sz w:val="28"/>
                <w:szCs w:val="28"/>
                <w:lang w:eastAsia="lv-LV"/>
              </w:rPr>
              <w:t xml:space="preserve">2. Finanšu ministrijai 2012.gada valsts budžeta likumprojekta sagatavošanas procesā precizēt Iekšlietu ministrijas bāzes izdevumus </w:t>
            </w:r>
            <w:r w:rsidRPr="0022550A">
              <w:rPr>
                <w:color w:val="2A2A2A"/>
                <w:sz w:val="28"/>
                <w:szCs w:val="28"/>
                <w:lang w:eastAsia="lv-LV"/>
              </w:rPr>
              <w:t>ilgtermiņa saistībām</w:t>
            </w:r>
            <w:r>
              <w:rPr>
                <w:color w:val="2A2A2A"/>
                <w:sz w:val="28"/>
                <w:szCs w:val="28"/>
                <w:lang w:eastAsia="lv-LV"/>
              </w:rPr>
              <w:t xml:space="preserve"> 2012. – 2014.gadam, palielinot tos:</w:t>
            </w:r>
          </w:p>
          <w:p w:rsidR="00BD1621" w:rsidRPr="00E53C96" w:rsidRDefault="00064C93" w:rsidP="003A4FA6">
            <w:pPr>
              <w:jc w:val="both"/>
              <w:rPr>
                <w:color w:val="2A2A2A"/>
                <w:sz w:val="28"/>
                <w:szCs w:val="28"/>
                <w:lang w:eastAsia="lv-LV"/>
              </w:rPr>
            </w:pPr>
            <w:r>
              <w:rPr>
                <w:color w:val="2A2A2A"/>
                <w:sz w:val="28"/>
                <w:szCs w:val="28"/>
                <w:lang w:eastAsia="lv-LV"/>
              </w:rPr>
              <w:t xml:space="preserve">2.1. 2012. gadā par </w:t>
            </w:r>
            <w:r w:rsidR="00E74E9E" w:rsidRPr="00E53C96">
              <w:rPr>
                <w:color w:val="2A2A2A"/>
                <w:sz w:val="28"/>
                <w:szCs w:val="28"/>
                <w:lang w:eastAsia="lv-LV"/>
              </w:rPr>
              <w:t xml:space="preserve">5 609 </w:t>
            </w:r>
            <w:r w:rsidR="0029629D" w:rsidRPr="00E53C96">
              <w:rPr>
                <w:color w:val="2A2A2A"/>
                <w:sz w:val="28"/>
                <w:szCs w:val="28"/>
                <w:lang w:eastAsia="lv-LV"/>
              </w:rPr>
              <w:t>427</w:t>
            </w:r>
            <w:r w:rsidR="00BD1621" w:rsidRPr="00E53C96">
              <w:rPr>
                <w:color w:val="2A2A2A"/>
                <w:sz w:val="28"/>
                <w:szCs w:val="28"/>
                <w:lang w:eastAsia="lv-LV"/>
              </w:rPr>
              <w:t xml:space="preserve"> latiem (citi pašu ieņēmumi – 4 261 471 lats; dotācija no vi</w:t>
            </w:r>
            <w:r w:rsidRPr="00E53C96">
              <w:rPr>
                <w:color w:val="2A2A2A"/>
                <w:sz w:val="28"/>
                <w:szCs w:val="28"/>
                <w:lang w:eastAsia="lv-LV"/>
              </w:rPr>
              <w:t xml:space="preserve">spārējiem ieņēmumiem – </w:t>
            </w:r>
            <w:r w:rsidR="00E74E9E" w:rsidRPr="00E53C96">
              <w:rPr>
                <w:color w:val="2A2A2A"/>
                <w:sz w:val="28"/>
                <w:szCs w:val="28"/>
                <w:lang w:eastAsia="lv-LV"/>
              </w:rPr>
              <w:t>1 347  956</w:t>
            </w:r>
            <w:r w:rsidR="00BD1621" w:rsidRPr="00E53C96">
              <w:rPr>
                <w:color w:val="2A2A2A"/>
                <w:sz w:val="28"/>
                <w:szCs w:val="28"/>
                <w:lang w:eastAsia="lv-LV"/>
              </w:rPr>
              <w:t xml:space="preserve"> lati), tajā skaitā</w:t>
            </w:r>
            <w:r w:rsidR="00BD1621">
              <w:rPr>
                <w:color w:val="2A2A2A"/>
                <w:sz w:val="28"/>
                <w:szCs w:val="28"/>
                <w:lang w:eastAsia="lv-LV"/>
              </w:rPr>
              <w:t xml:space="preserve"> 4 261 471 lats (citi pašu ieņēmumi; kārtējie izdevumi) samaksas veikšanai komersantam par pakalpojuma sniegšanu – pārkāpumu ceļu satiksmē fiksēšanu ar komersanta </w:t>
            </w:r>
            <w:r w:rsidR="00BD1621" w:rsidRPr="00992E9A">
              <w:rPr>
                <w:sz w:val="28"/>
                <w:szCs w:val="28"/>
              </w:rPr>
              <w:t>tehniskajiem līdzekļiem</w:t>
            </w:r>
            <w:r w:rsidR="00BD1621">
              <w:rPr>
                <w:color w:val="2A2A2A"/>
                <w:sz w:val="28"/>
                <w:szCs w:val="28"/>
                <w:lang w:eastAsia="lv-LV"/>
              </w:rPr>
              <w:t xml:space="preserve"> (turpmāk –</w:t>
            </w:r>
            <w:r>
              <w:rPr>
                <w:color w:val="2A2A2A"/>
                <w:sz w:val="28"/>
                <w:szCs w:val="28"/>
                <w:lang w:eastAsia="lv-LV"/>
              </w:rPr>
              <w:t xml:space="preserve"> samaksa komersantam), </w:t>
            </w:r>
            <w:r w:rsidRPr="00E53C96">
              <w:rPr>
                <w:color w:val="2A2A2A"/>
                <w:sz w:val="28"/>
                <w:szCs w:val="28"/>
                <w:lang w:eastAsia="lv-LV"/>
              </w:rPr>
              <w:t>1</w:t>
            </w:r>
            <w:r w:rsidR="00E74E9E" w:rsidRPr="00E53C96">
              <w:rPr>
                <w:color w:val="2A2A2A"/>
                <w:sz w:val="28"/>
                <w:szCs w:val="28"/>
                <w:lang w:eastAsia="lv-LV"/>
              </w:rPr>
              <w:t> </w:t>
            </w:r>
            <w:r w:rsidRPr="00E53C96">
              <w:rPr>
                <w:color w:val="2A2A2A"/>
                <w:sz w:val="28"/>
                <w:szCs w:val="28"/>
                <w:lang w:eastAsia="lv-LV"/>
              </w:rPr>
              <w:t>2</w:t>
            </w:r>
            <w:r w:rsidR="00E74E9E" w:rsidRPr="00E53C96">
              <w:rPr>
                <w:color w:val="2A2A2A"/>
                <w:sz w:val="28"/>
                <w:szCs w:val="28"/>
                <w:lang w:eastAsia="lv-LV"/>
              </w:rPr>
              <w:t>62 740</w:t>
            </w:r>
            <w:r w:rsidR="00BD1621" w:rsidRPr="00E53C96">
              <w:rPr>
                <w:color w:val="2A2A2A"/>
                <w:sz w:val="28"/>
                <w:szCs w:val="28"/>
                <w:lang w:eastAsia="lv-LV"/>
              </w:rPr>
              <w:t xml:space="preserve"> lati (dotācija no vispārējiem ieņēmumiem; kārtējie izdevumi) samaksas veikšanai VAS „Ceļu satiksmes drošības direkcija” par no komersanta saņemtās informācijas apstrādi, lēmumu – protokolu sagatavošanu un nosūtīšanu personām, kurām uzlikts naudas sods par pārkāpumu ceļu satiksmē (</w:t>
            </w:r>
            <w:r w:rsidR="00E74E9E" w:rsidRPr="00E53C96">
              <w:rPr>
                <w:color w:val="2A2A2A"/>
                <w:sz w:val="28"/>
                <w:szCs w:val="28"/>
                <w:lang w:eastAsia="lv-LV"/>
              </w:rPr>
              <w:t xml:space="preserve"> turpmāk – samaksa CSDD), 85 216</w:t>
            </w:r>
            <w:r w:rsidR="00BD1621" w:rsidRPr="00E53C96">
              <w:rPr>
                <w:color w:val="2A2A2A"/>
                <w:sz w:val="28"/>
                <w:szCs w:val="28"/>
                <w:lang w:eastAsia="lv-LV"/>
              </w:rPr>
              <w:t xml:space="preserve"> lati (dotācija no vispārējiem ieņēmumiem; kārtējie izdevumi</w:t>
            </w:r>
            <w:r w:rsidR="00162A19" w:rsidRPr="00E53C96">
              <w:rPr>
                <w:color w:val="2A2A2A"/>
                <w:sz w:val="28"/>
                <w:szCs w:val="28"/>
                <w:lang w:eastAsia="lv-LV"/>
              </w:rPr>
              <w:t xml:space="preserve"> – 82 716 </w:t>
            </w:r>
            <w:r w:rsidR="00BD1621" w:rsidRPr="00E53C96">
              <w:rPr>
                <w:color w:val="2A2A2A"/>
                <w:sz w:val="28"/>
                <w:szCs w:val="28"/>
                <w:lang w:eastAsia="lv-LV"/>
              </w:rPr>
              <w:t>, tajā skaitā atlīdzība – 44 673 lati, no tā atalgojums – 36 000 latu</w:t>
            </w:r>
            <w:r w:rsidR="00162A19" w:rsidRPr="00E53C96">
              <w:rPr>
                <w:color w:val="2A2A2A"/>
                <w:sz w:val="28"/>
                <w:szCs w:val="28"/>
                <w:lang w:eastAsia="lv-LV"/>
              </w:rPr>
              <w:t>, pamatkapitāla veidošanai – 2 500 lati</w:t>
            </w:r>
            <w:r w:rsidR="00BD1621" w:rsidRPr="00E53C96">
              <w:rPr>
                <w:color w:val="2A2A2A"/>
                <w:sz w:val="28"/>
                <w:szCs w:val="28"/>
                <w:lang w:eastAsia="lv-LV"/>
              </w:rPr>
              <w:t>) Valsts policijai ar sūdzību izskatīšanu saistīto  izdevumu segšanai (tajā skaitā piecu amata vietu izveidošanai)</w:t>
            </w:r>
            <w:r w:rsidR="009646CE" w:rsidRPr="00E53C96">
              <w:rPr>
                <w:color w:val="2A2A2A"/>
                <w:sz w:val="28"/>
                <w:szCs w:val="28"/>
                <w:lang w:eastAsia="lv-LV"/>
              </w:rPr>
              <w:t xml:space="preserve"> </w:t>
            </w:r>
            <w:r w:rsidR="00BD1621" w:rsidRPr="00E53C96">
              <w:rPr>
                <w:color w:val="2A2A2A"/>
                <w:sz w:val="28"/>
                <w:szCs w:val="28"/>
                <w:lang w:eastAsia="lv-LV"/>
              </w:rPr>
              <w:t>(turpmāk – Valsts policijas izdevumi);</w:t>
            </w:r>
          </w:p>
          <w:p w:rsidR="00BD1621" w:rsidRPr="00E53C96" w:rsidRDefault="00D66A5F" w:rsidP="00632056">
            <w:pPr>
              <w:jc w:val="both"/>
              <w:rPr>
                <w:color w:val="2A2A2A"/>
                <w:sz w:val="28"/>
                <w:szCs w:val="28"/>
                <w:lang w:eastAsia="lv-LV"/>
              </w:rPr>
            </w:pPr>
            <w:r w:rsidRPr="00E53C96">
              <w:rPr>
                <w:color w:val="2A2A2A"/>
                <w:sz w:val="28"/>
                <w:szCs w:val="28"/>
                <w:lang w:eastAsia="lv-LV"/>
              </w:rPr>
              <w:t xml:space="preserve">2.2. 2013. gadā par </w:t>
            </w:r>
            <w:r w:rsidR="00E74E9E" w:rsidRPr="00E53C96">
              <w:rPr>
                <w:color w:val="2A2A2A"/>
                <w:sz w:val="28"/>
                <w:szCs w:val="28"/>
                <w:lang w:eastAsia="lv-LV"/>
              </w:rPr>
              <w:t>5 371 920</w:t>
            </w:r>
            <w:r w:rsidR="00BD1621" w:rsidRPr="00E53C96">
              <w:rPr>
                <w:color w:val="2A2A2A"/>
                <w:sz w:val="28"/>
                <w:szCs w:val="28"/>
                <w:lang w:eastAsia="lv-LV"/>
              </w:rPr>
              <w:t xml:space="preserve"> lati</w:t>
            </w:r>
            <w:r w:rsidRPr="00E53C96">
              <w:rPr>
                <w:color w:val="2A2A2A"/>
                <w:sz w:val="28"/>
                <w:szCs w:val="28"/>
                <w:lang w:eastAsia="lv-LV"/>
              </w:rPr>
              <w:t>em</w:t>
            </w:r>
            <w:r w:rsidR="00BD1621" w:rsidRPr="00E53C96">
              <w:rPr>
                <w:color w:val="2A2A2A"/>
                <w:sz w:val="28"/>
                <w:szCs w:val="28"/>
                <w:lang w:eastAsia="lv-LV"/>
              </w:rPr>
              <w:t xml:space="preserve"> (citi pašu ieņēmumi – 4 455 894 lati; dotācija no vi</w:t>
            </w:r>
            <w:r w:rsidRPr="00E53C96">
              <w:rPr>
                <w:color w:val="2A2A2A"/>
                <w:sz w:val="28"/>
                <w:szCs w:val="28"/>
                <w:lang w:eastAsia="lv-LV"/>
              </w:rPr>
              <w:t xml:space="preserve">spārējiem ieņēmumiem – </w:t>
            </w:r>
            <w:r w:rsidR="00E74E9E" w:rsidRPr="00E53C96">
              <w:rPr>
                <w:color w:val="2A2A2A"/>
                <w:sz w:val="28"/>
                <w:szCs w:val="28"/>
                <w:lang w:eastAsia="lv-LV"/>
              </w:rPr>
              <w:t>916 026</w:t>
            </w:r>
            <w:r w:rsidR="00BD1621" w:rsidRPr="00E53C96">
              <w:rPr>
                <w:color w:val="2A2A2A"/>
                <w:sz w:val="28"/>
                <w:szCs w:val="28"/>
                <w:lang w:eastAsia="lv-LV"/>
              </w:rPr>
              <w:t xml:space="preserve"> lati), tajā skaitā</w:t>
            </w:r>
            <w:r w:rsidRPr="00E53C96">
              <w:rPr>
                <w:color w:val="2A2A2A"/>
                <w:sz w:val="28"/>
                <w:szCs w:val="28"/>
                <w:lang w:eastAsia="lv-LV"/>
              </w:rPr>
              <w:t xml:space="preserve"> </w:t>
            </w:r>
            <w:r w:rsidR="00BD1621" w:rsidRPr="00E53C96">
              <w:rPr>
                <w:color w:val="2A2A2A"/>
                <w:sz w:val="28"/>
                <w:szCs w:val="28"/>
                <w:lang w:eastAsia="lv-LV"/>
              </w:rPr>
              <w:t xml:space="preserve"> 4 455 894 lati (citi pašu ieņēmumi; kārtējie izdevumi)</w:t>
            </w:r>
            <w:r w:rsidRPr="00E53C96">
              <w:rPr>
                <w:color w:val="2A2A2A"/>
                <w:sz w:val="28"/>
                <w:szCs w:val="28"/>
                <w:lang w:eastAsia="lv-LV"/>
              </w:rPr>
              <w:t xml:space="preserve"> samaksai komersantam, </w:t>
            </w:r>
            <w:r w:rsidR="00E74E9E" w:rsidRPr="00E53C96">
              <w:rPr>
                <w:color w:val="2A2A2A"/>
                <w:sz w:val="28"/>
                <w:szCs w:val="28"/>
                <w:lang w:eastAsia="lv-LV"/>
              </w:rPr>
              <w:t>833 310</w:t>
            </w:r>
            <w:r w:rsidR="00BD1621" w:rsidRPr="00E53C96">
              <w:rPr>
                <w:color w:val="2A2A2A"/>
                <w:sz w:val="28"/>
                <w:szCs w:val="28"/>
                <w:lang w:eastAsia="lv-LV"/>
              </w:rPr>
              <w:t xml:space="preserve"> lati samaksai CSDD (dotācija no vispārējiem ieņēmu</w:t>
            </w:r>
            <w:r w:rsidR="00E74E9E" w:rsidRPr="00E53C96">
              <w:rPr>
                <w:color w:val="2A2A2A"/>
                <w:sz w:val="28"/>
                <w:szCs w:val="28"/>
                <w:lang w:eastAsia="lv-LV"/>
              </w:rPr>
              <w:t>miem; kārtējie izdevumi),      82 716</w:t>
            </w:r>
            <w:r w:rsidR="00BD1621" w:rsidRPr="00E53C96">
              <w:rPr>
                <w:color w:val="2A2A2A"/>
                <w:sz w:val="28"/>
                <w:szCs w:val="28"/>
                <w:lang w:eastAsia="lv-LV"/>
              </w:rPr>
              <w:t xml:space="preserve"> lati (dotācija no vispārējiem ieņēmumiem; kārtējie izdevumi, tajā skaitā atlīdzība – 44 673 lati, no tā atalgojums – 36 000 latu) Valsts policijas izdevumiem;</w:t>
            </w:r>
          </w:p>
          <w:p w:rsidR="00BD1621" w:rsidRPr="00E53C96" w:rsidRDefault="00D66A5F" w:rsidP="00625B79">
            <w:pPr>
              <w:jc w:val="both"/>
              <w:rPr>
                <w:color w:val="2A2A2A"/>
                <w:sz w:val="28"/>
                <w:szCs w:val="28"/>
                <w:lang w:eastAsia="lv-LV"/>
              </w:rPr>
            </w:pPr>
            <w:r>
              <w:rPr>
                <w:color w:val="2A2A2A"/>
                <w:sz w:val="28"/>
                <w:szCs w:val="28"/>
                <w:lang w:eastAsia="lv-LV"/>
              </w:rPr>
              <w:t xml:space="preserve"> </w:t>
            </w:r>
            <w:r w:rsidRPr="00E53C96">
              <w:rPr>
                <w:color w:val="2A2A2A"/>
                <w:sz w:val="28"/>
                <w:szCs w:val="28"/>
                <w:lang w:eastAsia="lv-LV"/>
              </w:rPr>
              <w:t xml:space="preserve">2.3. 2014. gadā par </w:t>
            </w:r>
            <w:r w:rsidR="00E74E9E" w:rsidRPr="00E53C96">
              <w:rPr>
                <w:color w:val="2A2A2A"/>
                <w:sz w:val="28"/>
                <w:szCs w:val="28"/>
                <w:lang w:eastAsia="lv-LV"/>
              </w:rPr>
              <w:t>2 983 691</w:t>
            </w:r>
            <w:r w:rsidRPr="00E53C96">
              <w:rPr>
                <w:color w:val="2A2A2A"/>
                <w:sz w:val="28"/>
                <w:szCs w:val="28"/>
                <w:lang w:eastAsia="lv-LV"/>
              </w:rPr>
              <w:t xml:space="preserve">  latiem </w:t>
            </w:r>
            <w:r w:rsidR="00BD1621" w:rsidRPr="00E53C96">
              <w:rPr>
                <w:color w:val="2A2A2A"/>
                <w:sz w:val="28"/>
                <w:szCs w:val="28"/>
                <w:lang w:eastAsia="lv-LV"/>
              </w:rPr>
              <w:t>(citi pašu ieņēmumi – 2 460</w:t>
            </w:r>
            <w:r w:rsidRPr="00E53C96">
              <w:rPr>
                <w:color w:val="2A2A2A"/>
                <w:sz w:val="28"/>
                <w:szCs w:val="28"/>
                <w:lang w:eastAsia="lv-LV"/>
              </w:rPr>
              <w:t> </w:t>
            </w:r>
            <w:r w:rsidR="00BD1621" w:rsidRPr="00E53C96">
              <w:rPr>
                <w:color w:val="2A2A2A"/>
                <w:sz w:val="28"/>
                <w:szCs w:val="28"/>
                <w:lang w:eastAsia="lv-LV"/>
              </w:rPr>
              <w:t>785</w:t>
            </w:r>
            <w:r w:rsidRPr="00E53C96">
              <w:rPr>
                <w:color w:val="2A2A2A"/>
                <w:sz w:val="28"/>
                <w:szCs w:val="28"/>
                <w:lang w:eastAsia="lv-LV"/>
              </w:rPr>
              <w:t xml:space="preserve"> </w:t>
            </w:r>
            <w:r w:rsidR="00BD1621" w:rsidRPr="00E53C96">
              <w:rPr>
                <w:color w:val="2A2A2A"/>
                <w:sz w:val="28"/>
                <w:szCs w:val="28"/>
                <w:lang w:eastAsia="lv-LV"/>
              </w:rPr>
              <w:t xml:space="preserve">lati; dotācija no </w:t>
            </w:r>
            <w:r w:rsidRPr="00E53C96">
              <w:rPr>
                <w:color w:val="2A2A2A"/>
                <w:sz w:val="28"/>
                <w:szCs w:val="28"/>
                <w:lang w:eastAsia="lv-LV"/>
              </w:rPr>
              <w:t xml:space="preserve">vispārējiem ieņēmumiem – </w:t>
            </w:r>
            <w:r w:rsidR="00E74E9E" w:rsidRPr="00E53C96">
              <w:rPr>
                <w:color w:val="2A2A2A"/>
                <w:sz w:val="28"/>
                <w:szCs w:val="28"/>
                <w:lang w:eastAsia="lv-LV"/>
              </w:rPr>
              <w:t>522 906</w:t>
            </w:r>
            <w:r w:rsidR="00BD1621" w:rsidRPr="00E53C96">
              <w:rPr>
                <w:color w:val="2A2A2A"/>
                <w:sz w:val="28"/>
                <w:szCs w:val="28"/>
                <w:lang w:eastAsia="lv-LV"/>
              </w:rPr>
              <w:t xml:space="preserve"> lati), tajā skaitā 2 460</w:t>
            </w:r>
            <w:r w:rsidRPr="00E53C96">
              <w:rPr>
                <w:color w:val="2A2A2A"/>
                <w:sz w:val="28"/>
                <w:szCs w:val="28"/>
                <w:lang w:eastAsia="lv-LV"/>
              </w:rPr>
              <w:t> </w:t>
            </w:r>
            <w:r w:rsidR="00BD1621" w:rsidRPr="00E53C96">
              <w:rPr>
                <w:color w:val="2A2A2A"/>
                <w:sz w:val="28"/>
                <w:szCs w:val="28"/>
                <w:lang w:eastAsia="lv-LV"/>
              </w:rPr>
              <w:t>785</w:t>
            </w:r>
            <w:r w:rsidRPr="00E53C96">
              <w:rPr>
                <w:color w:val="2A2A2A"/>
                <w:sz w:val="28"/>
                <w:szCs w:val="28"/>
                <w:lang w:eastAsia="lv-LV"/>
              </w:rPr>
              <w:t xml:space="preserve"> </w:t>
            </w:r>
            <w:r w:rsidR="00BD1621" w:rsidRPr="00E53C96">
              <w:rPr>
                <w:color w:val="2A2A2A"/>
                <w:sz w:val="28"/>
                <w:szCs w:val="28"/>
                <w:lang w:eastAsia="lv-LV"/>
              </w:rPr>
              <w:t xml:space="preserve">lati </w:t>
            </w:r>
            <w:r w:rsidR="00BD1621" w:rsidRPr="00E53C96">
              <w:rPr>
                <w:color w:val="2A2A2A"/>
                <w:sz w:val="28"/>
                <w:szCs w:val="28"/>
                <w:lang w:eastAsia="lv-LV"/>
              </w:rPr>
              <w:lastRenderedPageBreak/>
              <w:t>(citi pašu ieņēmumi; kārtējie izdevum</w:t>
            </w:r>
            <w:r w:rsidRPr="00E53C96">
              <w:rPr>
                <w:color w:val="2A2A2A"/>
                <w:sz w:val="28"/>
                <w:szCs w:val="28"/>
                <w:lang w:eastAsia="lv-LV"/>
              </w:rPr>
              <w:t xml:space="preserve">i) samaksai komersantam, </w:t>
            </w:r>
            <w:r w:rsidR="00554B3E" w:rsidRPr="00E53C96">
              <w:rPr>
                <w:color w:val="2A2A2A"/>
                <w:sz w:val="28"/>
                <w:szCs w:val="28"/>
                <w:lang w:eastAsia="lv-LV"/>
              </w:rPr>
              <w:t>440 190</w:t>
            </w:r>
            <w:r w:rsidR="00BD1621" w:rsidRPr="00E53C96">
              <w:rPr>
                <w:color w:val="2A2A2A"/>
                <w:sz w:val="28"/>
                <w:szCs w:val="28"/>
                <w:lang w:eastAsia="lv-LV"/>
              </w:rPr>
              <w:t xml:space="preserve"> lati (dotācija no vispārējiem ieņēmumiem; kārtējie</w:t>
            </w:r>
            <w:r w:rsidR="00554B3E" w:rsidRPr="00E53C96">
              <w:rPr>
                <w:color w:val="2A2A2A"/>
                <w:sz w:val="28"/>
                <w:szCs w:val="28"/>
                <w:lang w:eastAsia="lv-LV"/>
              </w:rPr>
              <w:t xml:space="preserve"> izdevumi) samaksai CSDD;      82 716</w:t>
            </w:r>
            <w:r w:rsidR="00BD1621" w:rsidRPr="00E53C96">
              <w:rPr>
                <w:color w:val="2A2A2A"/>
                <w:sz w:val="28"/>
                <w:szCs w:val="28"/>
                <w:lang w:eastAsia="lv-LV"/>
              </w:rPr>
              <w:t xml:space="preserve"> lati (dotācija no vispārējiem ieņēmumiem; kārtējie izdevumi, tajā skaitā atlīdzība – 44 673 lati, no tā atalgojums – 36 000 latu) Valsts policijas izdevumiem;</w:t>
            </w:r>
          </w:p>
          <w:p w:rsidR="00BD1621" w:rsidRPr="00E53C96" w:rsidRDefault="00BD1621" w:rsidP="00625B79">
            <w:pPr>
              <w:jc w:val="both"/>
              <w:rPr>
                <w:color w:val="2A2A2A"/>
                <w:sz w:val="28"/>
                <w:szCs w:val="28"/>
                <w:lang w:eastAsia="lv-LV"/>
              </w:rPr>
            </w:pPr>
            <w:r w:rsidRPr="00E53C96">
              <w:rPr>
                <w:sz w:val="28"/>
                <w:szCs w:val="28"/>
              </w:rPr>
              <w:t xml:space="preserve">2.4. </w:t>
            </w:r>
            <w:r w:rsidRPr="00E53C96">
              <w:rPr>
                <w:color w:val="2A2A2A"/>
                <w:sz w:val="28"/>
                <w:szCs w:val="28"/>
                <w:lang w:eastAsia="lv-LV"/>
              </w:rPr>
              <w:t>turpmāka</w:t>
            </w:r>
            <w:r w:rsidR="00554B3E" w:rsidRPr="00E53C96">
              <w:rPr>
                <w:color w:val="2A2A2A"/>
                <w:sz w:val="28"/>
                <w:szCs w:val="28"/>
                <w:lang w:eastAsia="lv-LV"/>
              </w:rPr>
              <w:t>jam laika periodam par 4 197 265</w:t>
            </w:r>
            <w:r w:rsidRPr="00E53C96">
              <w:rPr>
                <w:color w:val="2A2A2A"/>
                <w:sz w:val="28"/>
                <w:szCs w:val="28"/>
                <w:lang w:eastAsia="lv-LV"/>
              </w:rPr>
              <w:t xml:space="preserve"> latiem (cit</w:t>
            </w:r>
            <w:r w:rsidR="00554B3E" w:rsidRPr="00E53C96">
              <w:rPr>
                <w:color w:val="2A2A2A"/>
                <w:sz w:val="28"/>
                <w:szCs w:val="28"/>
                <w:lang w:eastAsia="lv-LV"/>
              </w:rPr>
              <w:t>i pašu ieņēmumi – 3 408 33</w:t>
            </w:r>
            <w:r w:rsidR="0081788F" w:rsidRPr="00E53C96">
              <w:rPr>
                <w:color w:val="2A2A2A"/>
                <w:sz w:val="28"/>
                <w:szCs w:val="28"/>
                <w:lang w:eastAsia="lv-LV"/>
              </w:rPr>
              <w:t>1</w:t>
            </w:r>
            <w:r w:rsidR="00D66A5F" w:rsidRPr="00E53C96">
              <w:rPr>
                <w:color w:val="2A2A2A"/>
                <w:sz w:val="28"/>
                <w:szCs w:val="28"/>
                <w:lang w:eastAsia="lv-LV"/>
              </w:rPr>
              <w:t xml:space="preserve"> lats</w:t>
            </w:r>
            <w:r w:rsidRPr="00E53C96">
              <w:rPr>
                <w:color w:val="2A2A2A"/>
                <w:sz w:val="28"/>
                <w:szCs w:val="28"/>
                <w:lang w:eastAsia="lv-LV"/>
              </w:rPr>
              <w:t>; dotācija no vi</w:t>
            </w:r>
            <w:r w:rsidR="00554B3E" w:rsidRPr="00E53C96">
              <w:rPr>
                <w:color w:val="2A2A2A"/>
                <w:sz w:val="28"/>
                <w:szCs w:val="28"/>
                <w:lang w:eastAsia="lv-LV"/>
              </w:rPr>
              <w:t xml:space="preserve">spārējiem ieņēmumiem – 788 934 </w:t>
            </w:r>
            <w:r w:rsidRPr="00E53C96">
              <w:rPr>
                <w:color w:val="2A2A2A"/>
                <w:sz w:val="28"/>
                <w:szCs w:val="28"/>
                <w:lang w:eastAsia="lv-LV"/>
              </w:rPr>
              <w:t>l</w:t>
            </w:r>
            <w:r w:rsidR="00D66A5F" w:rsidRPr="00E53C96">
              <w:rPr>
                <w:color w:val="2A2A2A"/>
                <w:sz w:val="28"/>
                <w:szCs w:val="28"/>
                <w:lang w:eastAsia="lv-LV"/>
              </w:rPr>
              <w:t>ati), tajā skaitā 3 408 331 lats</w:t>
            </w:r>
            <w:r w:rsidRPr="00E53C96">
              <w:rPr>
                <w:color w:val="2A2A2A"/>
                <w:sz w:val="28"/>
                <w:szCs w:val="28"/>
                <w:lang w:eastAsia="lv-LV"/>
              </w:rPr>
              <w:t xml:space="preserve"> (citi pašu ieņēmumi; kārtējie izdevumi) samaksai</w:t>
            </w:r>
            <w:r w:rsidR="0081788F" w:rsidRPr="00E53C96">
              <w:rPr>
                <w:color w:val="2A2A2A"/>
                <w:sz w:val="28"/>
                <w:szCs w:val="28"/>
                <w:lang w:eastAsia="lv-LV"/>
              </w:rPr>
              <w:t xml:space="preserve"> komersantam, 623 502</w:t>
            </w:r>
            <w:r w:rsidRPr="00E53C96">
              <w:rPr>
                <w:color w:val="2A2A2A"/>
                <w:sz w:val="28"/>
                <w:szCs w:val="28"/>
                <w:lang w:eastAsia="lv-LV"/>
              </w:rPr>
              <w:t xml:space="preserve"> lati (dotācija no vispārējiem ieņēmumiem; kārtējie </w:t>
            </w:r>
            <w:r w:rsidR="0081788F" w:rsidRPr="00E53C96">
              <w:rPr>
                <w:color w:val="2A2A2A"/>
                <w:sz w:val="28"/>
                <w:szCs w:val="28"/>
                <w:lang w:eastAsia="lv-LV"/>
              </w:rPr>
              <w:t>izdevumi) samaksai CSDD, 165 432</w:t>
            </w:r>
            <w:r w:rsidRPr="00E53C96">
              <w:rPr>
                <w:color w:val="2A2A2A"/>
                <w:sz w:val="28"/>
                <w:szCs w:val="28"/>
                <w:lang w:eastAsia="lv-LV"/>
              </w:rPr>
              <w:t xml:space="preserve"> lati (dotācija no vispārējiem ieņēmumiem; kārtējie izdevumi, tajā skaitā atlīdzība 89 346 lati, no tā atalgojums 72 000 latu) Valsts policijas izdevumiem.</w:t>
            </w:r>
          </w:p>
          <w:p w:rsidR="00BD1621" w:rsidRPr="00E53C96" w:rsidRDefault="00BD1621" w:rsidP="00625B79">
            <w:pPr>
              <w:jc w:val="both"/>
              <w:rPr>
                <w:color w:val="2A2A2A"/>
                <w:sz w:val="28"/>
                <w:szCs w:val="28"/>
                <w:lang w:eastAsia="lv-LV"/>
              </w:rPr>
            </w:pPr>
          </w:p>
          <w:p w:rsidR="00BD1621" w:rsidRPr="00E53C96" w:rsidRDefault="00BD1621" w:rsidP="0010430D">
            <w:pPr>
              <w:jc w:val="both"/>
              <w:rPr>
                <w:sz w:val="28"/>
                <w:szCs w:val="28"/>
              </w:rPr>
            </w:pPr>
            <w:r w:rsidRPr="00E53C96">
              <w:rPr>
                <w:color w:val="2A2A2A"/>
                <w:sz w:val="28"/>
                <w:szCs w:val="28"/>
                <w:lang w:eastAsia="lv-LV"/>
              </w:rPr>
              <w:t>3. Finanšu ministrijai 2012.gada un turpmāko gadu līdz projekta pabeigšanai valsts budžeta likumprojektu sagatavošanas procesā palielināt valsts pamatbudžeta nenodokļu ieņēmumu prognozi un valsts pamatbudžetā iemaksājamās valsts nodevas un citus maksājumus no valsts institūciju sniegtajiem pakalpojumiem</w:t>
            </w:r>
            <w:r w:rsidRPr="00E53C96">
              <w:rPr>
                <w:sz w:val="28"/>
                <w:szCs w:val="28"/>
              </w:rPr>
              <w:t xml:space="preserve"> 2012.gadā par 7 914 160 latiem, 2013.gadā par 8 275 231 latiem, 2014.gadā par 4 570 028 latiem un </w:t>
            </w:r>
            <w:r w:rsidRPr="00E53C96">
              <w:rPr>
                <w:color w:val="2A2A2A"/>
                <w:sz w:val="28"/>
                <w:szCs w:val="28"/>
                <w:lang w:eastAsia="lv-LV"/>
              </w:rPr>
              <w:t>turpmākajam laika periodam</w:t>
            </w:r>
            <w:r w:rsidRPr="00E53C96">
              <w:rPr>
                <w:sz w:val="28"/>
                <w:szCs w:val="28"/>
              </w:rPr>
              <w:t xml:space="preserve"> par 6 329 759 latiem.</w:t>
            </w:r>
          </w:p>
          <w:p w:rsidR="00BD1621" w:rsidRPr="00E53C96" w:rsidRDefault="00BD1621" w:rsidP="002A4025">
            <w:pPr>
              <w:jc w:val="both"/>
              <w:rPr>
                <w:sz w:val="28"/>
                <w:szCs w:val="28"/>
              </w:rPr>
            </w:pPr>
          </w:p>
          <w:p w:rsidR="00BD1621" w:rsidRPr="00E53C96" w:rsidRDefault="00BD1621" w:rsidP="002A4025">
            <w:pPr>
              <w:jc w:val="both"/>
              <w:rPr>
                <w:color w:val="2A2A2A"/>
                <w:sz w:val="28"/>
                <w:szCs w:val="28"/>
                <w:lang w:eastAsia="lv-LV"/>
              </w:rPr>
            </w:pPr>
            <w:r w:rsidRPr="00E53C96">
              <w:rPr>
                <w:sz w:val="28"/>
                <w:szCs w:val="28"/>
              </w:rPr>
              <w:t xml:space="preserve">4. Iekšlietu ministrijai, ņemot vērā faktisko pakalpojuma – </w:t>
            </w:r>
            <w:r w:rsidRPr="00E53C96">
              <w:rPr>
                <w:color w:val="2A2A2A"/>
                <w:sz w:val="28"/>
                <w:szCs w:val="28"/>
                <w:lang w:eastAsia="lv-LV"/>
              </w:rPr>
              <w:t xml:space="preserve">pārkāpumu ceļu satiksmē fiksēšanas ar komersanta mērierīcēm – sniegšanas uzsākšanas un pabeigšanas datumu, kā arī citus ieņēmumu un izdevumu apmēru ietekmējošus faktorus, ja nepieciešams, precizēt šī </w:t>
            </w:r>
            <w:proofErr w:type="spellStart"/>
            <w:r w:rsidRPr="00E53C96">
              <w:rPr>
                <w:color w:val="2A2A2A"/>
                <w:sz w:val="28"/>
                <w:szCs w:val="28"/>
                <w:lang w:eastAsia="lv-LV"/>
              </w:rPr>
              <w:t>protokollēmuma</w:t>
            </w:r>
            <w:proofErr w:type="spellEnd"/>
            <w:r w:rsidRPr="00E53C96">
              <w:rPr>
                <w:color w:val="2A2A2A"/>
                <w:sz w:val="28"/>
                <w:szCs w:val="28"/>
                <w:lang w:eastAsia="lv-LV"/>
              </w:rPr>
              <w:t xml:space="preserve"> 2. un 3. punktā paredzēto ieņēmumu un izdevumu apmēru un, saskaņojot ar Finanšu ministriju, iesniegt</w:t>
            </w:r>
            <w:r w:rsidR="00D66A5F" w:rsidRPr="00E53C96">
              <w:rPr>
                <w:color w:val="2A2A2A"/>
                <w:sz w:val="28"/>
                <w:szCs w:val="28"/>
                <w:lang w:eastAsia="lv-LV"/>
              </w:rPr>
              <w:t xml:space="preserve"> izskatīšanai Ministru kabinetā</w:t>
            </w:r>
            <w:r w:rsidRPr="00E53C96">
              <w:rPr>
                <w:color w:val="2A2A2A"/>
                <w:sz w:val="28"/>
                <w:szCs w:val="28"/>
                <w:lang w:eastAsia="lv-LV"/>
              </w:rPr>
              <w:t xml:space="preserve"> valsts budžeta likumprojekta 2012. gadam un turpmākajiem gadiem sagatavošanas procesā.</w:t>
            </w:r>
          </w:p>
          <w:p w:rsidR="00BD1621" w:rsidRPr="00E53C96" w:rsidRDefault="00BD1621" w:rsidP="002A4025">
            <w:pPr>
              <w:jc w:val="both"/>
              <w:rPr>
                <w:color w:val="2A2A2A"/>
                <w:sz w:val="28"/>
                <w:szCs w:val="28"/>
                <w:lang w:eastAsia="lv-LV"/>
              </w:rPr>
            </w:pPr>
          </w:p>
          <w:p w:rsidR="00BD1621" w:rsidRPr="005771EF" w:rsidRDefault="00BD1621" w:rsidP="003A4FA6">
            <w:pPr>
              <w:jc w:val="both"/>
              <w:rPr>
                <w:color w:val="2A2A2A"/>
                <w:sz w:val="28"/>
                <w:szCs w:val="28"/>
                <w:lang w:eastAsia="lv-LV"/>
              </w:rPr>
            </w:pPr>
          </w:p>
        </w:tc>
      </w:tr>
    </w:tbl>
    <w:p w:rsidR="00BD1621" w:rsidRPr="00F71317" w:rsidRDefault="00BD1621" w:rsidP="00050A5A">
      <w:pPr>
        <w:jc w:val="both"/>
        <w:rPr>
          <w:sz w:val="28"/>
        </w:rPr>
      </w:pPr>
    </w:p>
    <w:p w:rsidR="00BD1621" w:rsidRPr="00E14428" w:rsidRDefault="00BD1621" w:rsidP="009E7F40">
      <w:pPr>
        <w:pStyle w:val="PlainText"/>
        <w:tabs>
          <w:tab w:val="right" w:pos="9072"/>
        </w:tabs>
        <w:jc w:val="both"/>
        <w:rPr>
          <w:rFonts w:ascii="Times New Roman" w:hAnsi="Times New Roman"/>
          <w:szCs w:val="28"/>
        </w:rPr>
      </w:pPr>
      <w:r w:rsidRPr="00E14428">
        <w:rPr>
          <w:rFonts w:ascii="Times New Roman" w:hAnsi="Times New Roman"/>
          <w:szCs w:val="28"/>
        </w:rPr>
        <w:t>Ministru prezidents</w:t>
      </w:r>
      <w:r w:rsidRPr="00E14428">
        <w:rPr>
          <w:rFonts w:ascii="Times New Roman" w:hAnsi="Times New Roman"/>
          <w:szCs w:val="28"/>
        </w:rPr>
        <w:tab/>
      </w:r>
      <w:proofErr w:type="spellStart"/>
      <w:r w:rsidRPr="00E14428">
        <w:rPr>
          <w:rFonts w:ascii="Times New Roman" w:hAnsi="Times New Roman"/>
          <w:szCs w:val="28"/>
        </w:rPr>
        <w:t>V.Dombrovskis</w:t>
      </w:r>
      <w:proofErr w:type="spellEnd"/>
    </w:p>
    <w:p w:rsidR="00BD1621" w:rsidRDefault="00BD1621">
      <w:pPr>
        <w:pStyle w:val="PlainText"/>
        <w:jc w:val="both"/>
        <w:rPr>
          <w:rFonts w:ascii="Times New Roman" w:hAnsi="Times New Roman"/>
        </w:rPr>
      </w:pPr>
    </w:p>
    <w:p w:rsidR="00BD1621" w:rsidRDefault="00BD1621">
      <w:pPr>
        <w:pStyle w:val="PlainText"/>
        <w:jc w:val="both"/>
        <w:rPr>
          <w:rFonts w:ascii="Times New Roman" w:hAnsi="Times New Roman"/>
        </w:rPr>
      </w:pPr>
    </w:p>
    <w:p w:rsidR="00BD1621" w:rsidRDefault="00BD1621" w:rsidP="009E7F40">
      <w:pPr>
        <w:pStyle w:val="PlainText"/>
        <w:tabs>
          <w:tab w:val="right" w:pos="9072"/>
        </w:tabs>
        <w:jc w:val="both"/>
        <w:rPr>
          <w:rFonts w:ascii="Times New Roman" w:hAnsi="Times New Roman"/>
        </w:rPr>
      </w:pPr>
      <w:r>
        <w:rPr>
          <w:rFonts w:ascii="Times New Roman" w:hAnsi="Times New Roman"/>
        </w:rPr>
        <w:t>Valsts kancelejas direktore</w:t>
      </w:r>
      <w:r>
        <w:rPr>
          <w:rFonts w:ascii="Times New Roman" w:hAnsi="Times New Roman"/>
        </w:rPr>
        <w:tab/>
      </w:r>
      <w:proofErr w:type="spellStart"/>
      <w:r>
        <w:rPr>
          <w:rFonts w:ascii="Times New Roman" w:hAnsi="Times New Roman"/>
        </w:rPr>
        <w:t>E.Dreimane</w:t>
      </w:r>
      <w:proofErr w:type="spellEnd"/>
    </w:p>
    <w:p w:rsidR="00BD1621" w:rsidRDefault="00BD1621" w:rsidP="0013137E">
      <w:pPr>
        <w:jc w:val="both"/>
        <w:rPr>
          <w:sz w:val="28"/>
          <w:szCs w:val="28"/>
        </w:rPr>
      </w:pPr>
      <w:r>
        <w:rPr>
          <w:sz w:val="28"/>
          <w:szCs w:val="28"/>
        </w:rPr>
        <w:tab/>
      </w:r>
    </w:p>
    <w:p w:rsidR="00BD1621" w:rsidRDefault="00BD1621" w:rsidP="0013137E">
      <w:pPr>
        <w:jc w:val="both"/>
        <w:rPr>
          <w:sz w:val="28"/>
          <w:szCs w:val="28"/>
        </w:rPr>
      </w:pPr>
    </w:p>
    <w:p w:rsidR="00BD1621" w:rsidRPr="003569B7" w:rsidRDefault="00BD1621" w:rsidP="009E7F40">
      <w:pPr>
        <w:tabs>
          <w:tab w:val="right" w:pos="9072"/>
        </w:tabs>
        <w:jc w:val="both"/>
        <w:rPr>
          <w:sz w:val="28"/>
          <w:szCs w:val="28"/>
        </w:rPr>
      </w:pPr>
      <w:r>
        <w:rPr>
          <w:sz w:val="28"/>
          <w:szCs w:val="28"/>
        </w:rPr>
        <w:t>Iekšlietu ministre</w:t>
      </w:r>
      <w:r>
        <w:rPr>
          <w:sz w:val="28"/>
          <w:szCs w:val="28"/>
        </w:rPr>
        <w:tab/>
        <w:t>L.Mūrniece</w:t>
      </w:r>
    </w:p>
    <w:p w:rsidR="00BD1621" w:rsidRDefault="00BD1621" w:rsidP="00216E98">
      <w:pPr>
        <w:pStyle w:val="naisf"/>
        <w:spacing w:before="0" w:beforeAutospacing="0" w:after="0" w:afterAutospacing="0"/>
        <w:rPr>
          <w:noProof/>
          <w:sz w:val="20"/>
          <w:szCs w:val="20"/>
        </w:rPr>
      </w:pPr>
    </w:p>
    <w:p w:rsidR="00BD1621" w:rsidRDefault="00BD1621" w:rsidP="00216E98">
      <w:pPr>
        <w:pStyle w:val="naisf"/>
        <w:spacing w:before="0" w:beforeAutospacing="0" w:after="0" w:afterAutospacing="0"/>
        <w:rPr>
          <w:noProof/>
          <w:sz w:val="20"/>
          <w:szCs w:val="20"/>
          <w:highlight w:val="yellow"/>
        </w:rPr>
      </w:pPr>
    </w:p>
    <w:p w:rsidR="00BD1621" w:rsidRDefault="00BD1621" w:rsidP="00216E98">
      <w:pPr>
        <w:pStyle w:val="naisf"/>
        <w:spacing w:before="0" w:beforeAutospacing="0" w:after="0" w:afterAutospacing="0"/>
        <w:rPr>
          <w:noProof/>
          <w:sz w:val="20"/>
          <w:szCs w:val="20"/>
          <w:highlight w:val="yellow"/>
        </w:rPr>
      </w:pPr>
      <w:bookmarkStart w:id="0" w:name="_GoBack"/>
      <w:bookmarkEnd w:id="0"/>
    </w:p>
    <w:p w:rsidR="00BD1621" w:rsidRPr="008F3FB9" w:rsidRDefault="00BD1621" w:rsidP="00BE6ACC">
      <w:pPr>
        <w:pStyle w:val="naisf"/>
        <w:spacing w:before="0" w:beforeAutospacing="0" w:after="0" w:afterAutospacing="0"/>
        <w:rPr>
          <w:sz w:val="20"/>
          <w:szCs w:val="20"/>
        </w:rPr>
      </w:pPr>
      <w:r w:rsidRPr="008F3FB9">
        <w:rPr>
          <w:sz w:val="20"/>
          <w:szCs w:val="20"/>
          <w:lang w:val="ru-RU"/>
        </w:rPr>
        <w:fldChar w:fldCharType="begin"/>
      </w:r>
      <w:r w:rsidRPr="008F3FB9">
        <w:rPr>
          <w:sz w:val="20"/>
          <w:szCs w:val="20"/>
          <w:lang w:val="ru-RU"/>
        </w:rPr>
        <w:instrText xml:space="preserve"> TIME \@ "dd.MM.yyyy H:mm" </w:instrText>
      </w:r>
      <w:r w:rsidRPr="008F3FB9">
        <w:rPr>
          <w:sz w:val="20"/>
          <w:szCs w:val="20"/>
          <w:lang w:val="ru-RU"/>
        </w:rPr>
        <w:fldChar w:fldCharType="separate"/>
      </w:r>
      <w:r w:rsidR="00E6464A">
        <w:rPr>
          <w:noProof/>
          <w:sz w:val="20"/>
          <w:szCs w:val="20"/>
          <w:lang w:val="ru-RU"/>
        </w:rPr>
        <w:t>15.04.2011 10:33</w:t>
      </w:r>
      <w:r w:rsidRPr="008F3FB9">
        <w:rPr>
          <w:sz w:val="20"/>
          <w:szCs w:val="20"/>
          <w:lang w:val="ru-RU"/>
        </w:rPr>
        <w:fldChar w:fldCharType="end"/>
      </w:r>
    </w:p>
    <w:p w:rsidR="00BD1621" w:rsidRDefault="002E4CAC" w:rsidP="00BE6ACC">
      <w:pPr>
        <w:jc w:val="both"/>
      </w:pPr>
      <w:fldSimple w:instr=" NUMWORDS   \* MERGEFORMAT ">
        <w:r w:rsidR="00E6464A">
          <w:rPr>
            <w:noProof/>
          </w:rPr>
          <w:t>547</w:t>
        </w:r>
      </w:fldSimple>
    </w:p>
    <w:p w:rsidR="00BD1621" w:rsidRPr="0094511F" w:rsidRDefault="00BD1621" w:rsidP="00216E98">
      <w:proofErr w:type="spellStart"/>
      <w:r>
        <w:t>A.Strode</w:t>
      </w:r>
      <w:proofErr w:type="spellEnd"/>
      <w:r>
        <w:t xml:space="preserve">, </w:t>
      </w:r>
      <w:r w:rsidRPr="0094511F">
        <w:t>6</w:t>
      </w:r>
      <w:r>
        <w:t>7219602</w:t>
      </w:r>
      <w:r w:rsidRPr="0094511F">
        <w:t xml:space="preserve">, </w:t>
      </w:r>
      <w:hyperlink r:id="rId8" w:history="1">
        <w:r w:rsidRPr="00967A5A">
          <w:rPr>
            <w:rStyle w:val="Hyperlink"/>
          </w:rPr>
          <w:t>Alda.Strode@iem.gov.lv</w:t>
        </w:r>
      </w:hyperlink>
      <w:r>
        <w:t xml:space="preserve"> </w:t>
      </w:r>
    </w:p>
    <w:sectPr w:rsidR="00BD1621" w:rsidRPr="0094511F" w:rsidSect="00F961F4">
      <w:headerReference w:type="even" r:id="rId9"/>
      <w:headerReference w:type="default" r:id="rId10"/>
      <w:footerReference w:type="default" r:id="rId11"/>
      <w:headerReference w:type="first" r:id="rId12"/>
      <w:footerReference w:type="first" r:id="rId13"/>
      <w:pgSz w:w="11906" w:h="16838"/>
      <w:pgMar w:top="1418" w:right="1134" w:bottom="1134" w:left="1701" w:header="1134" w:footer="4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7E" w:rsidRDefault="00F4617E">
      <w:r>
        <w:separator/>
      </w:r>
    </w:p>
  </w:endnote>
  <w:endnote w:type="continuationSeparator" w:id="0">
    <w:p w:rsidR="00F4617E" w:rsidRDefault="00F4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21" w:rsidRPr="00F961F4" w:rsidRDefault="00BD1621" w:rsidP="00F961F4">
    <w:pPr>
      <w:pStyle w:val="Footer"/>
      <w:jc w:val="both"/>
      <w:rPr>
        <w:szCs w:val="24"/>
      </w:rPr>
    </w:pPr>
    <w:r w:rsidRPr="00F961F4">
      <w:rPr>
        <w:szCs w:val="24"/>
      </w:rPr>
      <w:fldChar w:fldCharType="begin"/>
    </w:r>
    <w:r w:rsidRPr="00F961F4">
      <w:rPr>
        <w:szCs w:val="24"/>
      </w:rPr>
      <w:instrText xml:space="preserve"> FILENAME </w:instrText>
    </w:r>
    <w:r w:rsidRPr="00F961F4">
      <w:rPr>
        <w:szCs w:val="24"/>
      </w:rPr>
      <w:fldChar w:fldCharType="separate"/>
    </w:r>
    <w:r w:rsidR="00E6464A">
      <w:rPr>
        <w:noProof/>
        <w:szCs w:val="24"/>
      </w:rPr>
      <w:t>IeMprot_150411_radari</w:t>
    </w:r>
    <w:r w:rsidRPr="00F961F4">
      <w:rPr>
        <w:szCs w:val="24"/>
      </w:rPr>
      <w:fldChar w:fldCharType="end"/>
    </w:r>
    <w:r>
      <w:rPr>
        <w:szCs w:val="24"/>
      </w:rPr>
      <w:t xml:space="preserve">; Ministru kabineta sēdes </w:t>
    </w:r>
    <w:proofErr w:type="spellStart"/>
    <w:r>
      <w:rPr>
        <w:szCs w:val="24"/>
      </w:rPr>
      <w:t>protokollēmuma</w:t>
    </w:r>
    <w:proofErr w:type="spellEnd"/>
    <w:r>
      <w:rPr>
        <w:szCs w:val="24"/>
      </w:rPr>
      <w:t xml:space="preserve"> projekts </w:t>
    </w:r>
    <w:r w:rsidRPr="00F961F4">
      <w:rPr>
        <w:szCs w:val="24"/>
      </w:rPr>
      <w:t>„Samaksas kārtība komersantam par pakalpojuma sniegšanu – pārkāpum</w:t>
    </w:r>
    <w:r>
      <w:rPr>
        <w:szCs w:val="24"/>
      </w:rPr>
      <w:t>u</w:t>
    </w:r>
    <w:r w:rsidRPr="00F961F4">
      <w:rPr>
        <w:szCs w:val="24"/>
      </w:rPr>
      <w:t xml:space="preserve"> ceļu satiksmē fiksēšanu ar tehniskajiem līdzekļiem, neapturot </w:t>
    </w:r>
    <w:r>
      <w:rPr>
        <w:szCs w:val="24"/>
      </w:rPr>
      <w:t>tr</w:t>
    </w:r>
    <w:r w:rsidRPr="00F961F4">
      <w:rPr>
        <w:szCs w:val="24"/>
      </w:rPr>
      <w:t>ansportlīdzekli”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21" w:rsidRPr="00F961F4" w:rsidRDefault="00BD1621" w:rsidP="00F961F4">
    <w:pPr>
      <w:pStyle w:val="Footer"/>
      <w:jc w:val="both"/>
      <w:rPr>
        <w:szCs w:val="24"/>
      </w:rPr>
    </w:pPr>
    <w:r w:rsidRPr="00F961F4">
      <w:rPr>
        <w:szCs w:val="24"/>
      </w:rPr>
      <w:fldChar w:fldCharType="begin"/>
    </w:r>
    <w:r w:rsidRPr="00F961F4">
      <w:rPr>
        <w:szCs w:val="24"/>
      </w:rPr>
      <w:instrText xml:space="preserve"> FILENAME </w:instrText>
    </w:r>
    <w:r w:rsidRPr="00F961F4">
      <w:rPr>
        <w:szCs w:val="24"/>
      </w:rPr>
      <w:fldChar w:fldCharType="separate"/>
    </w:r>
    <w:r w:rsidR="00E6464A">
      <w:rPr>
        <w:noProof/>
        <w:szCs w:val="24"/>
      </w:rPr>
      <w:t>IeMprot_150411_radari</w:t>
    </w:r>
    <w:r w:rsidRPr="00F961F4">
      <w:rPr>
        <w:szCs w:val="24"/>
      </w:rPr>
      <w:fldChar w:fldCharType="end"/>
    </w:r>
    <w:r>
      <w:rPr>
        <w:szCs w:val="24"/>
      </w:rPr>
      <w:t xml:space="preserve">; Ministru kabineta sēdes </w:t>
    </w:r>
    <w:proofErr w:type="spellStart"/>
    <w:r>
      <w:rPr>
        <w:szCs w:val="24"/>
      </w:rPr>
      <w:t>protokollēmuma</w:t>
    </w:r>
    <w:proofErr w:type="spellEnd"/>
    <w:r>
      <w:rPr>
        <w:szCs w:val="24"/>
      </w:rPr>
      <w:t xml:space="preserve"> projekts </w:t>
    </w:r>
    <w:r w:rsidRPr="00F961F4">
      <w:rPr>
        <w:szCs w:val="24"/>
      </w:rPr>
      <w:t>„Samaksas kārtība komersantam par pakalpojuma sniegšanu – pārkāpum</w:t>
    </w:r>
    <w:r>
      <w:rPr>
        <w:szCs w:val="24"/>
      </w:rPr>
      <w:t>u</w:t>
    </w:r>
    <w:r w:rsidRPr="00F961F4">
      <w:rPr>
        <w:szCs w:val="24"/>
      </w:rPr>
      <w:t xml:space="preserve"> ceļu satiksmē fiksēšanu ar tehniskajiem līdzekļiem, neapturot </w:t>
    </w:r>
    <w:r>
      <w:rPr>
        <w:szCs w:val="24"/>
      </w:rPr>
      <w:t>tr</w:t>
    </w:r>
    <w:r w:rsidRPr="00F961F4">
      <w:rPr>
        <w:szCs w:val="24"/>
      </w:rPr>
      <w:t>ansportlīdzekli”</w:t>
    </w:r>
  </w:p>
  <w:p w:rsidR="00BD1621" w:rsidRPr="00050A5A" w:rsidRDefault="00BD1621" w:rsidP="00050A5A">
    <w:pPr>
      <w:pStyle w:val="Heading4"/>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7E" w:rsidRDefault="00F4617E">
      <w:r>
        <w:separator/>
      </w:r>
    </w:p>
  </w:footnote>
  <w:footnote w:type="continuationSeparator" w:id="0">
    <w:p w:rsidR="00F4617E" w:rsidRDefault="00F4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21" w:rsidRDefault="00BD16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621" w:rsidRDefault="00BD1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21" w:rsidRDefault="00BD16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64A">
      <w:rPr>
        <w:rStyle w:val="PageNumber"/>
        <w:noProof/>
      </w:rPr>
      <w:t>2</w:t>
    </w:r>
    <w:r>
      <w:rPr>
        <w:rStyle w:val="PageNumber"/>
      </w:rPr>
      <w:fldChar w:fldCharType="end"/>
    </w:r>
  </w:p>
  <w:p w:rsidR="00BD1621" w:rsidRDefault="00BD1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21" w:rsidRDefault="00BD1621" w:rsidP="00E452C2">
    <w:pPr>
      <w:pStyle w:val="Header"/>
      <w:jc w:val="right"/>
      <w:rPr>
        <w:sz w:val="28"/>
        <w:szCs w:val="28"/>
      </w:rPr>
    </w:pPr>
    <w:r w:rsidRPr="00E452C2">
      <w:rPr>
        <w:sz w:val="28"/>
        <w:szCs w:val="28"/>
      </w:rPr>
      <w:t>Projekts</w:t>
    </w:r>
  </w:p>
  <w:p w:rsidR="00BD1621" w:rsidRDefault="00BD1621" w:rsidP="00E452C2">
    <w:pPr>
      <w:pStyle w:val="Header"/>
      <w:jc w:val="right"/>
      <w:rPr>
        <w:sz w:val="28"/>
        <w:szCs w:val="28"/>
      </w:rPr>
    </w:pPr>
  </w:p>
  <w:p w:rsidR="00BD1621" w:rsidRPr="00E452C2" w:rsidRDefault="00BD1621" w:rsidP="00E452C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4">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7">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9"/>
  </w:num>
  <w:num w:numId="6">
    <w:abstractNumId w:val="3"/>
  </w:num>
  <w:num w:numId="7">
    <w:abstractNumId w:val="2"/>
  </w:num>
  <w:num w:numId="8">
    <w:abstractNumId w:val="0"/>
  </w:num>
  <w:num w:numId="9">
    <w:abstractNumId w:val="6"/>
  </w:num>
  <w:num w:numId="10">
    <w:abstractNumId w:val="7"/>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9"/>
    <w:rsid w:val="00006B9D"/>
    <w:rsid w:val="00007974"/>
    <w:rsid w:val="00013C95"/>
    <w:rsid w:val="0001489C"/>
    <w:rsid w:val="00024E34"/>
    <w:rsid w:val="0004473E"/>
    <w:rsid w:val="00050A5A"/>
    <w:rsid w:val="0006072D"/>
    <w:rsid w:val="00062190"/>
    <w:rsid w:val="00064C93"/>
    <w:rsid w:val="000800BA"/>
    <w:rsid w:val="00086543"/>
    <w:rsid w:val="0009192A"/>
    <w:rsid w:val="00097052"/>
    <w:rsid w:val="000A00DB"/>
    <w:rsid w:val="000A589C"/>
    <w:rsid w:val="000B1581"/>
    <w:rsid w:val="000C012E"/>
    <w:rsid w:val="000C5EC7"/>
    <w:rsid w:val="000C628E"/>
    <w:rsid w:val="000D06C3"/>
    <w:rsid w:val="000D130B"/>
    <w:rsid w:val="000D279F"/>
    <w:rsid w:val="000F06DC"/>
    <w:rsid w:val="000F2A07"/>
    <w:rsid w:val="000F4142"/>
    <w:rsid w:val="000F586F"/>
    <w:rsid w:val="000F6DC7"/>
    <w:rsid w:val="000F7789"/>
    <w:rsid w:val="001042DD"/>
    <w:rsid w:val="0010430D"/>
    <w:rsid w:val="001065A9"/>
    <w:rsid w:val="0011252A"/>
    <w:rsid w:val="0013137E"/>
    <w:rsid w:val="001320B0"/>
    <w:rsid w:val="00133E99"/>
    <w:rsid w:val="00161A92"/>
    <w:rsid w:val="00162A19"/>
    <w:rsid w:val="00163FFB"/>
    <w:rsid w:val="00170E47"/>
    <w:rsid w:val="00171C01"/>
    <w:rsid w:val="001729CE"/>
    <w:rsid w:val="00181345"/>
    <w:rsid w:val="00181537"/>
    <w:rsid w:val="001904EE"/>
    <w:rsid w:val="001A0E02"/>
    <w:rsid w:val="001A7AF5"/>
    <w:rsid w:val="001B04A4"/>
    <w:rsid w:val="001B2EE9"/>
    <w:rsid w:val="001B4AB6"/>
    <w:rsid w:val="001B4BCC"/>
    <w:rsid w:val="001D00E5"/>
    <w:rsid w:val="001F7495"/>
    <w:rsid w:val="00201875"/>
    <w:rsid w:val="00212333"/>
    <w:rsid w:val="002124B9"/>
    <w:rsid w:val="00216B76"/>
    <w:rsid w:val="00216E98"/>
    <w:rsid w:val="002178F5"/>
    <w:rsid w:val="0022550A"/>
    <w:rsid w:val="00231333"/>
    <w:rsid w:val="00233C48"/>
    <w:rsid w:val="00235FCE"/>
    <w:rsid w:val="00236E92"/>
    <w:rsid w:val="0024242A"/>
    <w:rsid w:val="00244BD5"/>
    <w:rsid w:val="00247EFB"/>
    <w:rsid w:val="00255BD7"/>
    <w:rsid w:val="0029140C"/>
    <w:rsid w:val="002941C9"/>
    <w:rsid w:val="0029629D"/>
    <w:rsid w:val="00296F75"/>
    <w:rsid w:val="00297FBB"/>
    <w:rsid w:val="002A4025"/>
    <w:rsid w:val="002B3B2E"/>
    <w:rsid w:val="002C3BB6"/>
    <w:rsid w:val="002C41FD"/>
    <w:rsid w:val="002D2877"/>
    <w:rsid w:val="002D6B7C"/>
    <w:rsid w:val="002E4CAC"/>
    <w:rsid w:val="002E7AB2"/>
    <w:rsid w:val="002F36C1"/>
    <w:rsid w:val="002F6C71"/>
    <w:rsid w:val="00300D89"/>
    <w:rsid w:val="00312C4B"/>
    <w:rsid w:val="0033138A"/>
    <w:rsid w:val="00341119"/>
    <w:rsid w:val="00341286"/>
    <w:rsid w:val="00353DA6"/>
    <w:rsid w:val="003569B7"/>
    <w:rsid w:val="00371912"/>
    <w:rsid w:val="003720EC"/>
    <w:rsid w:val="00372A01"/>
    <w:rsid w:val="0037332E"/>
    <w:rsid w:val="00392BEC"/>
    <w:rsid w:val="003A0D61"/>
    <w:rsid w:val="003A15C0"/>
    <w:rsid w:val="003A3636"/>
    <w:rsid w:val="003A4FA6"/>
    <w:rsid w:val="003A5C99"/>
    <w:rsid w:val="003B08BD"/>
    <w:rsid w:val="003B4473"/>
    <w:rsid w:val="003C5F31"/>
    <w:rsid w:val="003D63B9"/>
    <w:rsid w:val="003E0976"/>
    <w:rsid w:val="003E24B1"/>
    <w:rsid w:val="003E5F0F"/>
    <w:rsid w:val="003F640B"/>
    <w:rsid w:val="00406137"/>
    <w:rsid w:val="00417436"/>
    <w:rsid w:val="00425D41"/>
    <w:rsid w:val="00430056"/>
    <w:rsid w:val="004341ED"/>
    <w:rsid w:val="00434B97"/>
    <w:rsid w:val="00441F8D"/>
    <w:rsid w:val="004442BA"/>
    <w:rsid w:val="00454423"/>
    <w:rsid w:val="00456E71"/>
    <w:rsid w:val="00457316"/>
    <w:rsid w:val="004612BD"/>
    <w:rsid w:val="004615D0"/>
    <w:rsid w:val="00472259"/>
    <w:rsid w:val="00475BB9"/>
    <w:rsid w:val="00486F94"/>
    <w:rsid w:val="00494C45"/>
    <w:rsid w:val="004A1441"/>
    <w:rsid w:val="004B042C"/>
    <w:rsid w:val="004D12AF"/>
    <w:rsid w:val="004D4C48"/>
    <w:rsid w:val="004D6610"/>
    <w:rsid w:val="004E2761"/>
    <w:rsid w:val="004E5FD7"/>
    <w:rsid w:val="004F13C9"/>
    <w:rsid w:val="004F431C"/>
    <w:rsid w:val="004F6DED"/>
    <w:rsid w:val="0051013C"/>
    <w:rsid w:val="00513991"/>
    <w:rsid w:val="0051443A"/>
    <w:rsid w:val="00514614"/>
    <w:rsid w:val="00521926"/>
    <w:rsid w:val="005253E8"/>
    <w:rsid w:val="005332BE"/>
    <w:rsid w:val="0053641E"/>
    <w:rsid w:val="0053717F"/>
    <w:rsid w:val="00542696"/>
    <w:rsid w:val="00544D36"/>
    <w:rsid w:val="00546AE1"/>
    <w:rsid w:val="00554B3E"/>
    <w:rsid w:val="00564E22"/>
    <w:rsid w:val="005752A0"/>
    <w:rsid w:val="00577075"/>
    <w:rsid w:val="005771EF"/>
    <w:rsid w:val="00582E75"/>
    <w:rsid w:val="00587D96"/>
    <w:rsid w:val="00591820"/>
    <w:rsid w:val="00591993"/>
    <w:rsid w:val="005A28EC"/>
    <w:rsid w:val="005A2A51"/>
    <w:rsid w:val="005A4B29"/>
    <w:rsid w:val="005A51D4"/>
    <w:rsid w:val="005B3D34"/>
    <w:rsid w:val="005D3A3D"/>
    <w:rsid w:val="005D5E34"/>
    <w:rsid w:val="005E14F9"/>
    <w:rsid w:val="005F1FBD"/>
    <w:rsid w:val="005F2E2D"/>
    <w:rsid w:val="00600B37"/>
    <w:rsid w:val="00604CC7"/>
    <w:rsid w:val="00621798"/>
    <w:rsid w:val="00623B38"/>
    <w:rsid w:val="00623FE7"/>
    <w:rsid w:val="00625B79"/>
    <w:rsid w:val="00625F5C"/>
    <w:rsid w:val="006276A7"/>
    <w:rsid w:val="00630B43"/>
    <w:rsid w:val="00632056"/>
    <w:rsid w:val="00636F46"/>
    <w:rsid w:val="006374C1"/>
    <w:rsid w:val="00651006"/>
    <w:rsid w:val="006539EB"/>
    <w:rsid w:val="00671037"/>
    <w:rsid w:val="006773E3"/>
    <w:rsid w:val="006969EB"/>
    <w:rsid w:val="006B06E0"/>
    <w:rsid w:val="006B4648"/>
    <w:rsid w:val="006B4C0C"/>
    <w:rsid w:val="006C0FAE"/>
    <w:rsid w:val="006C6DB6"/>
    <w:rsid w:val="006D0A6F"/>
    <w:rsid w:val="006E3B0B"/>
    <w:rsid w:val="006F0B18"/>
    <w:rsid w:val="006F0D15"/>
    <w:rsid w:val="006F1E1D"/>
    <w:rsid w:val="006F2EE4"/>
    <w:rsid w:val="006F3312"/>
    <w:rsid w:val="006F7475"/>
    <w:rsid w:val="0070196F"/>
    <w:rsid w:val="007210B9"/>
    <w:rsid w:val="007210D3"/>
    <w:rsid w:val="00723077"/>
    <w:rsid w:val="0073606D"/>
    <w:rsid w:val="00751277"/>
    <w:rsid w:val="007728AD"/>
    <w:rsid w:val="007808CA"/>
    <w:rsid w:val="00780E37"/>
    <w:rsid w:val="007877AB"/>
    <w:rsid w:val="007921FB"/>
    <w:rsid w:val="007A01C2"/>
    <w:rsid w:val="007A0964"/>
    <w:rsid w:val="007A1136"/>
    <w:rsid w:val="007A2C9D"/>
    <w:rsid w:val="007B0162"/>
    <w:rsid w:val="007B7790"/>
    <w:rsid w:val="007C5AB4"/>
    <w:rsid w:val="007D34F4"/>
    <w:rsid w:val="007E3B10"/>
    <w:rsid w:val="007F24D3"/>
    <w:rsid w:val="007F2E3D"/>
    <w:rsid w:val="00803A0A"/>
    <w:rsid w:val="0080789C"/>
    <w:rsid w:val="00811ADC"/>
    <w:rsid w:val="00812233"/>
    <w:rsid w:val="00816845"/>
    <w:rsid w:val="00817015"/>
    <w:rsid w:val="0081788F"/>
    <w:rsid w:val="00817BAA"/>
    <w:rsid w:val="00821826"/>
    <w:rsid w:val="00822A11"/>
    <w:rsid w:val="008271E8"/>
    <w:rsid w:val="008363D4"/>
    <w:rsid w:val="0084795F"/>
    <w:rsid w:val="00855258"/>
    <w:rsid w:val="00865CFF"/>
    <w:rsid w:val="0087237C"/>
    <w:rsid w:val="0087255A"/>
    <w:rsid w:val="00875E5F"/>
    <w:rsid w:val="008908A1"/>
    <w:rsid w:val="008968B6"/>
    <w:rsid w:val="008A192A"/>
    <w:rsid w:val="008A3FB0"/>
    <w:rsid w:val="008A43C7"/>
    <w:rsid w:val="008C69C1"/>
    <w:rsid w:val="008C7233"/>
    <w:rsid w:val="008D3D67"/>
    <w:rsid w:val="008D4056"/>
    <w:rsid w:val="008D447B"/>
    <w:rsid w:val="008E04BB"/>
    <w:rsid w:val="008F2823"/>
    <w:rsid w:val="008F3FB9"/>
    <w:rsid w:val="008F5F66"/>
    <w:rsid w:val="00920385"/>
    <w:rsid w:val="00940E49"/>
    <w:rsid w:val="009434AD"/>
    <w:rsid w:val="0094511F"/>
    <w:rsid w:val="009557AD"/>
    <w:rsid w:val="009646CE"/>
    <w:rsid w:val="00967A5A"/>
    <w:rsid w:val="00982430"/>
    <w:rsid w:val="00992E9A"/>
    <w:rsid w:val="009A00E9"/>
    <w:rsid w:val="009B17B0"/>
    <w:rsid w:val="009B5CAE"/>
    <w:rsid w:val="009C0842"/>
    <w:rsid w:val="009C7EA4"/>
    <w:rsid w:val="009D645B"/>
    <w:rsid w:val="009E7F40"/>
    <w:rsid w:val="009F2C19"/>
    <w:rsid w:val="00A04E28"/>
    <w:rsid w:val="00A06905"/>
    <w:rsid w:val="00A13A19"/>
    <w:rsid w:val="00A149C2"/>
    <w:rsid w:val="00A15E47"/>
    <w:rsid w:val="00A51542"/>
    <w:rsid w:val="00A71614"/>
    <w:rsid w:val="00A74F41"/>
    <w:rsid w:val="00A775DA"/>
    <w:rsid w:val="00A83C87"/>
    <w:rsid w:val="00A9257D"/>
    <w:rsid w:val="00A965E4"/>
    <w:rsid w:val="00A96C35"/>
    <w:rsid w:val="00AA6608"/>
    <w:rsid w:val="00AA7A96"/>
    <w:rsid w:val="00AB1161"/>
    <w:rsid w:val="00AC1534"/>
    <w:rsid w:val="00AC23F0"/>
    <w:rsid w:val="00AD0D5C"/>
    <w:rsid w:val="00AE074A"/>
    <w:rsid w:val="00AF0678"/>
    <w:rsid w:val="00AF32BC"/>
    <w:rsid w:val="00AF4188"/>
    <w:rsid w:val="00AF43B8"/>
    <w:rsid w:val="00AF6320"/>
    <w:rsid w:val="00B000AC"/>
    <w:rsid w:val="00B012DD"/>
    <w:rsid w:val="00B04B2B"/>
    <w:rsid w:val="00B07A38"/>
    <w:rsid w:val="00B15C98"/>
    <w:rsid w:val="00B21E90"/>
    <w:rsid w:val="00B304C3"/>
    <w:rsid w:val="00B35216"/>
    <w:rsid w:val="00B44C4D"/>
    <w:rsid w:val="00B476D7"/>
    <w:rsid w:val="00B52588"/>
    <w:rsid w:val="00B565EE"/>
    <w:rsid w:val="00B7623D"/>
    <w:rsid w:val="00B95FFD"/>
    <w:rsid w:val="00B96894"/>
    <w:rsid w:val="00BA2E3C"/>
    <w:rsid w:val="00BB46EE"/>
    <w:rsid w:val="00BB54B9"/>
    <w:rsid w:val="00BC2D5B"/>
    <w:rsid w:val="00BD10FD"/>
    <w:rsid w:val="00BD1621"/>
    <w:rsid w:val="00BE0DB2"/>
    <w:rsid w:val="00BE6ACC"/>
    <w:rsid w:val="00BE6B27"/>
    <w:rsid w:val="00C03F2F"/>
    <w:rsid w:val="00C10478"/>
    <w:rsid w:val="00C1351A"/>
    <w:rsid w:val="00C21A9F"/>
    <w:rsid w:val="00C324F5"/>
    <w:rsid w:val="00C37968"/>
    <w:rsid w:val="00C56384"/>
    <w:rsid w:val="00C62DD3"/>
    <w:rsid w:val="00C6656B"/>
    <w:rsid w:val="00C713AA"/>
    <w:rsid w:val="00C7265C"/>
    <w:rsid w:val="00C967DB"/>
    <w:rsid w:val="00CA5450"/>
    <w:rsid w:val="00CA6AAB"/>
    <w:rsid w:val="00CB21A8"/>
    <w:rsid w:val="00CB7460"/>
    <w:rsid w:val="00CC14AE"/>
    <w:rsid w:val="00CC523D"/>
    <w:rsid w:val="00CE3DDC"/>
    <w:rsid w:val="00CF6231"/>
    <w:rsid w:val="00CF703A"/>
    <w:rsid w:val="00D00912"/>
    <w:rsid w:val="00D030A6"/>
    <w:rsid w:val="00D1036C"/>
    <w:rsid w:val="00D23C28"/>
    <w:rsid w:val="00D30FA1"/>
    <w:rsid w:val="00D314C8"/>
    <w:rsid w:val="00D34CCF"/>
    <w:rsid w:val="00D40ACD"/>
    <w:rsid w:val="00D563F9"/>
    <w:rsid w:val="00D56472"/>
    <w:rsid w:val="00D617C9"/>
    <w:rsid w:val="00D61895"/>
    <w:rsid w:val="00D638E9"/>
    <w:rsid w:val="00D63E35"/>
    <w:rsid w:val="00D66A5F"/>
    <w:rsid w:val="00D7027D"/>
    <w:rsid w:val="00D73A2F"/>
    <w:rsid w:val="00DA3E5E"/>
    <w:rsid w:val="00DA4D62"/>
    <w:rsid w:val="00DC07D7"/>
    <w:rsid w:val="00DE267D"/>
    <w:rsid w:val="00E000B3"/>
    <w:rsid w:val="00E00B28"/>
    <w:rsid w:val="00E14428"/>
    <w:rsid w:val="00E14ED1"/>
    <w:rsid w:val="00E24E43"/>
    <w:rsid w:val="00E36DD3"/>
    <w:rsid w:val="00E452C2"/>
    <w:rsid w:val="00E5083B"/>
    <w:rsid w:val="00E53C96"/>
    <w:rsid w:val="00E61FFA"/>
    <w:rsid w:val="00E6464A"/>
    <w:rsid w:val="00E6603B"/>
    <w:rsid w:val="00E67D55"/>
    <w:rsid w:val="00E74E9E"/>
    <w:rsid w:val="00E836C2"/>
    <w:rsid w:val="00E870FB"/>
    <w:rsid w:val="00EA6F3F"/>
    <w:rsid w:val="00EB0400"/>
    <w:rsid w:val="00EB09E5"/>
    <w:rsid w:val="00EC037E"/>
    <w:rsid w:val="00EE5AE6"/>
    <w:rsid w:val="00F00959"/>
    <w:rsid w:val="00F02E2C"/>
    <w:rsid w:val="00F054BD"/>
    <w:rsid w:val="00F05E5A"/>
    <w:rsid w:val="00F16590"/>
    <w:rsid w:val="00F20E90"/>
    <w:rsid w:val="00F231EC"/>
    <w:rsid w:val="00F25CEE"/>
    <w:rsid w:val="00F34281"/>
    <w:rsid w:val="00F4617E"/>
    <w:rsid w:val="00F51760"/>
    <w:rsid w:val="00F528C5"/>
    <w:rsid w:val="00F6504F"/>
    <w:rsid w:val="00F71317"/>
    <w:rsid w:val="00F723AB"/>
    <w:rsid w:val="00F82ADB"/>
    <w:rsid w:val="00F84A11"/>
    <w:rsid w:val="00F94EDA"/>
    <w:rsid w:val="00F961F4"/>
    <w:rsid w:val="00F97290"/>
    <w:rsid w:val="00FA0010"/>
    <w:rsid w:val="00FA6E94"/>
    <w:rsid w:val="00FB49C2"/>
    <w:rsid w:val="00FB53E2"/>
    <w:rsid w:val="00FB6BB3"/>
    <w:rsid w:val="00FC2DBC"/>
    <w:rsid w:val="00FC7E1B"/>
    <w:rsid w:val="00FD2492"/>
    <w:rsid w:val="00FD666C"/>
    <w:rsid w:val="00FE03C5"/>
    <w:rsid w:val="00FF7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0265">
      <w:marLeft w:val="0"/>
      <w:marRight w:val="0"/>
      <w:marTop w:val="0"/>
      <w:marBottom w:val="0"/>
      <w:divBdr>
        <w:top w:val="none" w:sz="0" w:space="0" w:color="auto"/>
        <w:left w:val="none" w:sz="0" w:space="0" w:color="auto"/>
        <w:bottom w:val="none" w:sz="0" w:space="0" w:color="auto"/>
        <w:right w:val="none" w:sz="0" w:space="0" w:color="auto"/>
      </w:divBdr>
    </w:div>
    <w:div w:id="972440266">
      <w:marLeft w:val="0"/>
      <w:marRight w:val="0"/>
      <w:marTop w:val="0"/>
      <w:marBottom w:val="0"/>
      <w:divBdr>
        <w:top w:val="none" w:sz="0" w:space="0" w:color="auto"/>
        <w:left w:val="none" w:sz="0" w:space="0" w:color="auto"/>
        <w:bottom w:val="none" w:sz="0" w:space="0" w:color="auto"/>
        <w:right w:val="none" w:sz="0" w:space="0" w:color="auto"/>
      </w:divBdr>
    </w:div>
    <w:div w:id="97244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3685</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Informatīvais ziņojums „Par informācijas tehnoloģiju un telekomunikāciju infrastruktūras optimizāciju Veselības ministrijā un tās padotības iestādēs”</vt:lpstr>
    </vt:vector>
  </TitlesOfParts>
  <Company>Veselības ministrija</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informācijas tehnoloģiju un telekomunikāciju infrastruktūras optimizāciju Veselības ministrijā un tās padotības iestādēs”</dc:title>
  <dc:subject>Protokollēmuma projekts</dc:subject>
  <dc:creator>Raivis Vansovičs</dc:creator>
  <dc:description>Raivis VansovičsRaivis.Vansovics@vm.gov.lv; tālr.67876054</dc:description>
  <cp:lastModifiedBy>Ieva Potjomkina</cp:lastModifiedBy>
  <cp:revision>4</cp:revision>
  <cp:lastPrinted>2011-04-15T07:33:00Z</cp:lastPrinted>
  <dcterms:created xsi:type="dcterms:W3CDTF">2011-04-15T07:32:00Z</dcterms:created>
  <dcterms:modified xsi:type="dcterms:W3CDTF">2011-04-15T07:33:00Z</dcterms:modified>
</cp:coreProperties>
</file>