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1" w:rsidRPr="004D0446" w:rsidRDefault="00EF4AC1" w:rsidP="0006745D">
      <w:pPr>
        <w:pStyle w:val="naisc"/>
        <w:spacing w:before="0" w:after="0"/>
        <w:rPr>
          <w:b/>
          <w:bCs/>
          <w:sz w:val="28"/>
          <w:szCs w:val="28"/>
        </w:rPr>
      </w:pPr>
      <w:bookmarkStart w:id="0" w:name="OLE_LINK1"/>
      <w:bookmarkStart w:id="1" w:name="OLE_LINK2"/>
      <w:r w:rsidRPr="004D0446">
        <w:rPr>
          <w:b/>
          <w:bCs/>
          <w:sz w:val="28"/>
          <w:szCs w:val="28"/>
        </w:rPr>
        <w:t>Ministru kabineta rīkojuma projekta</w:t>
      </w:r>
    </w:p>
    <w:p w:rsidR="00EF4AC1" w:rsidRPr="004D0446" w:rsidRDefault="00EF4AC1" w:rsidP="0006745D">
      <w:pPr>
        <w:pStyle w:val="Pamatteksts"/>
        <w:rPr>
          <w:b/>
          <w:bCs/>
          <w:szCs w:val="28"/>
        </w:rPr>
      </w:pPr>
      <w:r w:rsidRPr="004D0446">
        <w:rPr>
          <w:b/>
          <w:bCs/>
          <w:szCs w:val="28"/>
        </w:rPr>
        <w:t>„Grozījumi Ministru kabineta 2003.gada 15.jūlija rīkojumā Nr.442</w:t>
      </w:r>
    </w:p>
    <w:p w:rsidR="004D0446" w:rsidRPr="004D0446" w:rsidRDefault="004D0446" w:rsidP="004D0446">
      <w:pPr>
        <w:ind w:firstLine="375"/>
        <w:jc w:val="center"/>
        <w:rPr>
          <w:b/>
          <w:sz w:val="28"/>
          <w:szCs w:val="28"/>
        </w:rPr>
      </w:pPr>
      <w:r w:rsidRPr="004D0446">
        <w:rPr>
          <w:b/>
          <w:bCs/>
          <w:sz w:val="28"/>
          <w:szCs w:val="28"/>
        </w:rPr>
        <w:t>„</w:t>
      </w:r>
      <w:r w:rsidR="00EF4AC1" w:rsidRPr="004D0446">
        <w:rPr>
          <w:b/>
          <w:bCs/>
          <w:sz w:val="28"/>
          <w:szCs w:val="28"/>
        </w:rPr>
        <w:t>Par Latvijas Nacionālās bibliotēkas projekta īstenoša</w:t>
      </w:r>
      <w:r w:rsidRPr="004D0446">
        <w:rPr>
          <w:b/>
          <w:bCs/>
          <w:sz w:val="28"/>
          <w:szCs w:val="28"/>
        </w:rPr>
        <w:t>nas uzraudzības padomes sastāvu”</w:t>
      </w:r>
      <w:r w:rsidR="00EF4AC1" w:rsidRPr="004D0446">
        <w:rPr>
          <w:b/>
          <w:bCs/>
          <w:sz w:val="28"/>
          <w:szCs w:val="28"/>
        </w:rPr>
        <w:t xml:space="preserve">” </w:t>
      </w:r>
      <w:r w:rsidRPr="004D0446">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D0446">
          <w:rPr>
            <w:b/>
            <w:sz w:val="28"/>
            <w:szCs w:val="28"/>
          </w:rPr>
          <w:t>ziņojums</w:t>
        </w:r>
      </w:smartTag>
      <w:r w:rsidRPr="004D0446">
        <w:rPr>
          <w:b/>
          <w:sz w:val="28"/>
          <w:szCs w:val="28"/>
        </w:rPr>
        <w:t xml:space="preserve"> (anotācija)</w:t>
      </w:r>
    </w:p>
    <w:bookmarkEnd w:id="0"/>
    <w:bookmarkEnd w:id="1"/>
    <w:p w:rsidR="00FD092A" w:rsidRPr="0006745D" w:rsidRDefault="00FD092A" w:rsidP="0006745D">
      <w:pPr>
        <w:pStyle w:val="Pamatteksts"/>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
        <w:gridCol w:w="3531"/>
        <w:gridCol w:w="5162"/>
      </w:tblGrid>
      <w:tr w:rsidR="002D7F58" w:rsidRPr="0006745D" w:rsidTr="004D044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4D0446">
            <w:pPr>
              <w:pStyle w:val="naisc"/>
              <w:rPr>
                <w:sz w:val="28"/>
                <w:szCs w:val="28"/>
              </w:rPr>
            </w:pPr>
            <w:r w:rsidRPr="0006745D">
              <w:rPr>
                <w:b/>
                <w:bCs/>
                <w:sz w:val="28"/>
                <w:szCs w:val="28"/>
              </w:rPr>
              <w:t>I. Tiesību akta projekta izstrādes nepieciešamība</w:t>
            </w:r>
          </w:p>
        </w:tc>
      </w:tr>
      <w:tr w:rsidR="002D7F58" w:rsidRPr="0006745D" w:rsidTr="004D0446">
        <w:trPr>
          <w:trHeight w:val="207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lab"/>
              <w:jc w:val="both"/>
              <w:rPr>
                <w:sz w:val="28"/>
                <w:szCs w:val="28"/>
              </w:rPr>
            </w:pPr>
            <w:r w:rsidRPr="0006745D">
              <w:rPr>
                <w:sz w:val="28"/>
                <w:szCs w:val="28"/>
              </w:rPr>
              <w:t> 1.</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lab"/>
              <w:jc w:val="both"/>
              <w:rPr>
                <w:sz w:val="28"/>
                <w:szCs w:val="28"/>
              </w:rPr>
            </w:pPr>
            <w:r w:rsidRPr="0006745D">
              <w:rPr>
                <w:sz w:val="28"/>
                <w:szCs w:val="28"/>
              </w:rPr>
              <w:t> Pamatojums</w:t>
            </w:r>
          </w:p>
        </w:tc>
        <w:tc>
          <w:tcPr>
            <w:tcW w:w="2836" w:type="pct"/>
            <w:tcBorders>
              <w:top w:val="outset" w:sz="6" w:space="0" w:color="auto"/>
              <w:left w:val="outset" w:sz="6" w:space="0" w:color="auto"/>
              <w:bottom w:val="outset" w:sz="6" w:space="0" w:color="auto"/>
              <w:right w:val="outset" w:sz="6" w:space="0" w:color="auto"/>
            </w:tcBorders>
            <w:hideMark/>
          </w:tcPr>
          <w:p w:rsidR="004A0477" w:rsidRPr="00AF2790" w:rsidRDefault="00816B38" w:rsidP="00EF1495">
            <w:pPr>
              <w:pStyle w:val="naislab"/>
              <w:ind w:left="30" w:firstLine="426"/>
              <w:jc w:val="both"/>
              <w:rPr>
                <w:sz w:val="28"/>
                <w:szCs w:val="28"/>
              </w:rPr>
            </w:pPr>
            <w:r w:rsidRPr="00B71705">
              <w:rPr>
                <w:sz w:val="28"/>
                <w:szCs w:val="28"/>
              </w:rPr>
              <w:t>Ministru kabineta rīkojuma projekts „</w:t>
            </w:r>
            <w:r w:rsidR="00AF2790" w:rsidRPr="00AF2790">
              <w:rPr>
                <w:bCs/>
                <w:sz w:val="28"/>
                <w:szCs w:val="28"/>
              </w:rPr>
              <w:t>Grozījumi Ministru kabineta 2003.gada 15.jūlija rīkojumā Nr.442 „Par Latvijas Nacionālās bibliotēkas projekta īstenošanas uzraudzības padomes sastāvu”</w:t>
            </w:r>
            <w:r w:rsidRPr="00B71705">
              <w:rPr>
                <w:sz w:val="28"/>
                <w:szCs w:val="28"/>
              </w:rPr>
              <w:t>” (turpmāk – Projekts</w:t>
            </w:r>
            <w:r>
              <w:rPr>
                <w:sz w:val="28"/>
                <w:szCs w:val="28"/>
              </w:rPr>
              <w:t xml:space="preserve">) izstrādāts saskaņā ar </w:t>
            </w:r>
            <w:r w:rsidR="004A0477" w:rsidRPr="0006745D">
              <w:rPr>
                <w:sz w:val="28"/>
                <w:szCs w:val="28"/>
              </w:rPr>
              <w:t>Latvijas Nacionālās bibliotēkas</w:t>
            </w:r>
            <w:r w:rsidR="00C45663">
              <w:rPr>
                <w:sz w:val="28"/>
                <w:szCs w:val="28"/>
              </w:rPr>
              <w:t xml:space="preserve"> projekta īstenošanas likuma 3.</w:t>
            </w:r>
            <w:r w:rsidR="004A0477" w:rsidRPr="0006745D">
              <w:rPr>
                <w:sz w:val="28"/>
                <w:szCs w:val="28"/>
              </w:rPr>
              <w:t xml:space="preserve">panta </w:t>
            </w:r>
            <w:r w:rsidR="00AF2790">
              <w:rPr>
                <w:sz w:val="28"/>
                <w:szCs w:val="28"/>
              </w:rPr>
              <w:t>otro daļu, kas</w:t>
            </w:r>
            <w:r w:rsidR="00E01EFE" w:rsidRPr="0006745D">
              <w:rPr>
                <w:sz w:val="28"/>
                <w:szCs w:val="28"/>
              </w:rPr>
              <w:t xml:space="preserve"> </w:t>
            </w:r>
            <w:r w:rsidR="00AF2790">
              <w:rPr>
                <w:sz w:val="28"/>
                <w:szCs w:val="28"/>
              </w:rPr>
              <w:t>nosaka</w:t>
            </w:r>
            <w:r w:rsidR="004A0477" w:rsidRPr="0006745D">
              <w:rPr>
                <w:sz w:val="28"/>
                <w:szCs w:val="28"/>
              </w:rPr>
              <w:t xml:space="preserve">, ka </w:t>
            </w:r>
            <w:r w:rsidR="003E267A" w:rsidRPr="0006745D">
              <w:rPr>
                <w:rFonts w:eastAsia="Times New Roman"/>
                <w:sz w:val="28"/>
                <w:szCs w:val="28"/>
              </w:rPr>
              <w:t>Latvijas Nacionālās bibliotēkas</w:t>
            </w:r>
            <w:r w:rsidR="00AF2790">
              <w:rPr>
                <w:sz w:val="28"/>
                <w:szCs w:val="28"/>
              </w:rPr>
              <w:t xml:space="preserve"> </w:t>
            </w:r>
            <w:r w:rsidR="003E267A" w:rsidRPr="0006745D">
              <w:rPr>
                <w:sz w:val="28"/>
                <w:szCs w:val="28"/>
              </w:rPr>
              <w:t xml:space="preserve">(turpmāk – LNB) </w:t>
            </w:r>
            <w:r w:rsidR="00E01EFE" w:rsidRPr="0006745D">
              <w:rPr>
                <w:sz w:val="28"/>
                <w:szCs w:val="28"/>
              </w:rPr>
              <w:t>p</w:t>
            </w:r>
            <w:r w:rsidR="00EF4AC1" w:rsidRPr="0006745D">
              <w:rPr>
                <w:rFonts w:eastAsia="Times New Roman"/>
                <w:sz w:val="28"/>
                <w:szCs w:val="28"/>
              </w:rPr>
              <w:t>rojekta īstenošanu uzrauga Ministru kabineta izveidot</w:t>
            </w:r>
            <w:r w:rsidR="00465D2E" w:rsidRPr="0006745D">
              <w:rPr>
                <w:rFonts w:eastAsia="Times New Roman"/>
                <w:sz w:val="28"/>
                <w:szCs w:val="28"/>
              </w:rPr>
              <w:t>a</w:t>
            </w:r>
            <w:r w:rsidR="00EF4AC1" w:rsidRPr="0006745D">
              <w:rPr>
                <w:rFonts w:eastAsia="Times New Roman"/>
                <w:sz w:val="28"/>
                <w:szCs w:val="28"/>
              </w:rPr>
              <w:t xml:space="preserve"> Uzraudzības padome sešu cilvēku sastāvā. </w:t>
            </w:r>
          </w:p>
        </w:tc>
      </w:tr>
      <w:tr w:rsidR="002D7F58" w:rsidRPr="0006745D" w:rsidTr="004D0446">
        <w:trPr>
          <w:trHeight w:val="47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2.</w:t>
            </w:r>
          </w:p>
        </w:tc>
        <w:tc>
          <w:tcPr>
            <w:tcW w:w="1940" w:type="pct"/>
            <w:tcBorders>
              <w:top w:val="outset" w:sz="6" w:space="0" w:color="auto"/>
              <w:left w:val="outset" w:sz="6" w:space="0" w:color="auto"/>
              <w:bottom w:val="outset" w:sz="6" w:space="0" w:color="auto"/>
              <w:right w:val="outset" w:sz="6" w:space="0" w:color="auto"/>
            </w:tcBorders>
            <w:hideMark/>
          </w:tcPr>
          <w:p w:rsidR="009B35D4" w:rsidRDefault="002D7F58" w:rsidP="0006745D">
            <w:pPr>
              <w:pStyle w:val="naiskr"/>
              <w:jc w:val="both"/>
              <w:rPr>
                <w:sz w:val="28"/>
                <w:szCs w:val="28"/>
              </w:rPr>
            </w:pPr>
            <w:r w:rsidRPr="0006745D">
              <w:rPr>
                <w:sz w:val="28"/>
                <w:szCs w:val="28"/>
              </w:rPr>
              <w:t> Pašreizējā situācija un problēmas</w:t>
            </w:r>
          </w:p>
          <w:p w:rsidR="009B35D4" w:rsidRPr="009B35D4" w:rsidRDefault="009B35D4" w:rsidP="009B35D4"/>
          <w:p w:rsidR="009B35D4" w:rsidRPr="009B35D4" w:rsidRDefault="009B35D4" w:rsidP="009B35D4"/>
          <w:p w:rsidR="009B35D4" w:rsidRPr="009B35D4" w:rsidRDefault="009B35D4" w:rsidP="009B35D4"/>
          <w:p w:rsidR="009B35D4" w:rsidRPr="009B35D4" w:rsidRDefault="009B35D4" w:rsidP="009B35D4"/>
          <w:p w:rsidR="009B35D4" w:rsidRPr="009B35D4" w:rsidRDefault="009B35D4" w:rsidP="009B35D4"/>
          <w:p w:rsidR="009B35D4" w:rsidRPr="009B35D4" w:rsidRDefault="009B35D4" w:rsidP="009B35D4"/>
          <w:p w:rsidR="009B35D4" w:rsidRPr="009B35D4" w:rsidRDefault="009B35D4" w:rsidP="009B35D4"/>
          <w:p w:rsidR="009B35D4" w:rsidRPr="009B35D4" w:rsidRDefault="009B35D4" w:rsidP="009B35D4"/>
          <w:p w:rsidR="009B35D4" w:rsidRDefault="009B35D4" w:rsidP="009B35D4"/>
          <w:p w:rsidR="009B35D4" w:rsidRDefault="009B35D4" w:rsidP="009B35D4"/>
          <w:p w:rsidR="002D7F58" w:rsidRPr="009B35D4" w:rsidRDefault="002D7F58" w:rsidP="009B35D4">
            <w:pPr>
              <w:jc w:val="center"/>
            </w:pPr>
          </w:p>
        </w:tc>
        <w:tc>
          <w:tcPr>
            <w:tcW w:w="2836" w:type="pct"/>
            <w:tcBorders>
              <w:top w:val="outset" w:sz="6" w:space="0" w:color="auto"/>
              <w:left w:val="outset" w:sz="6" w:space="0" w:color="auto"/>
              <w:bottom w:val="outset" w:sz="6" w:space="0" w:color="auto"/>
              <w:right w:val="outset" w:sz="6" w:space="0" w:color="auto"/>
            </w:tcBorders>
            <w:hideMark/>
          </w:tcPr>
          <w:p w:rsidR="00AF2790" w:rsidRDefault="00AF2790" w:rsidP="00EF1495">
            <w:pPr>
              <w:spacing w:before="75" w:after="75"/>
              <w:ind w:firstLine="456"/>
              <w:jc w:val="both"/>
              <w:rPr>
                <w:rFonts w:eastAsia="Times New Roman"/>
                <w:sz w:val="28"/>
                <w:szCs w:val="28"/>
              </w:rPr>
            </w:pPr>
            <w:r w:rsidRPr="0006745D">
              <w:rPr>
                <w:sz w:val="28"/>
                <w:szCs w:val="28"/>
              </w:rPr>
              <w:t>Latvijas Nacionālās bibliotēkas</w:t>
            </w:r>
            <w:r>
              <w:rPr>
                <w:sz w:val="28"/>
                <w:szCs w:val="28"/>
              </w:rPr>
              <w:t xml:space="preserve"> projekta īstenošanas likuma 3.</w:t>
            </w:r>
            <w:r w:rsidRPr="0006745D">
              <w:rPr>
                <w:sz w:val="28"/>
                <w:szCs w:val="28"/>
              </w:rPr>
              <w:t xml:space="preserve">panta </w:t>
            </w:r>
            <w:r>
              <w:rPr>
                <w:sz w:val="28"/>
                <w:szCs w:val="28"/>
              </w:rPr>
              <w:t>otrā daļa</w:t>
            </w:r>
            <w:r w:rsidRPr="0006745D">
              <w:rPr>
                <w:sz w:val="28"/>
                <w:szCs w:val="28"/>
              </w:rPr>
              <w:t xml:space="preserve"> </w:t>
            </w:r>
            <w:r>
              <w:rPr>
                <w:sz w:val="28"/>
                <w:szCs w:val="28"/>
              </w:rPr>
              <w:t>nosaka</w:t>
            </w:r>
            <w:r w:rsidRPr="0006745D">
              <w:rPr>
                <w:sz w:val="28"/>
                <w:szCs w:val="28"/>
              </w:rPr>
              <w:t xml:space="preserve">, ka </w:t>
            </w:r>
            <w:r>
              <w:rPr>
                <w:rFonts w:eastAsia="Times New Roman"/>
                <w:sz w:val="28"/>
                <w:szCs w:val="28"/>
              </w:rPr>
              <w:t>LNB</w:t>
            </w:r>
            <w:r w:rsidRPr="0006745D">
              <w:rPr>
                <w:sz w:val="28"/>
                <w:szCs w:val="28"/>
              </w:rPr>
              <w:t xml:space="preserve"> p</w:t>
            </w:r>
            <w:r w:rsidRPr="0006745D">
              <w:rPr>
                <w:rFonts w:eastAsia="Times New Roman"/>
                <w:sz w:val="28"/>
                <w:szCs w:val="28"/>
              </w:rPr>
              <w:t>rojekta īstenošanu uzrauga Ministru kabineta izveidota Uzraudzības padome sešu cilvēku sastāvā. Uzraudzības padomi vada finanšu ministrs. Uzraudzības padomē ir iekļauts Saeimas Budžeta un finanšu (nodokļu) komisijas priekšsēdētājs, Saeimas Izglītības, kultūras un zinātnes komisijas priekšsēdētājs, Latvijas Nacionālās kultūras</w:t>
            </w:r>
            <w:r w:rsidR="00EF1495">
              <w:rPr>
                <w:rFonts w:eastAsia="Times New Roman"/>
                <w:sz w:val="28"/>
                <w:szCs w:val="28"/>
              </w:rPr>
              <w:t xml:space="preserve"> padomes priekšsēdētājs, Rīgas d</w:t>
            </w:r>
            <w:r w:rsidRPr="0006745D">
              <w:rPr>
                <w:rFonts w:eastAsia="Times New Roman"/>
                <w:sz w:val="28"/>
                <w:szCs w:val="28"/>
              </w:rPr>
              <w:t xml:space="preserve">omes pārstāvis un LNB atbalsta biedrības pārstāvis. </w:t>
            </w:r>
          </w:p>
          <w:p w:rsidR="00AF2790" w:rsidRPr="0006745D" w:rsidRDefault="00E3697E" w:rsidP="00495E75">
            <w:pPr>
              <w:spacing w:before="75" w:after="75"/>
              <w:ind w:firstLine="456"/>
              <w:jc w:val="both"/>
              <w:rPr>
                <w:sz w:val="28"/>
                <w:szCs w:val="28"/>
              </w:rPr>
            </w:pPr>
            <w:r w:rsidRPr="0006745D">
              <w:rPr>
                <w:sz w:val="28"/>
                <w:szCs w:val="28"/>
              </w:rPr>
              <w:t>Sakarā</w:t>
            </w:r>
            <w:r w:rsidR="00174BE1" w:rsidRPr="0006745D">
              <w:rPr>
                <w:sz w:val="28"/>
                <w:szCs w:val="28"/>
              </w:rPr>
              <w:t xml:space="preserve"> ar Rīgas domes pārstāvja </w:t>
            </w:r>
            <w:r w:rsidR="0006745D" w:rsidRPr="0006745D">
              <w:rPr>
                <w:sz w:val="28"/>
                <w:szCs w:val="28"/>
              </w:rPr>
              <w:t xml:space="preserve">LNB </w:t>
            </w:r>
            <w:r w:rsidR="00D81FE8">
              <w:rPr>
                <w:rFonts w:eastAsia="Times New Roman"/>
                <w:sz w:val="28"/>
                <w:szCs w:val="28"/>
              </w:rPr>
              <w:t>Uzraudzības padomes locekļa</w:t>
            </w:r>
            <w:r w:rsidR="00174BE1" w:rsidRPr="0006745D">
              <w:rPr>
                <w:sz w:val="28"/>
                <w:szCs w:val="28"/>
              </w:rPr>
              <w:t xml:space="preserve"> Rīgas pašvaldības aģentūras „Rīgas pilsētas arhitekta birojs” direktora </w:t>
            </w:r>
            <w:proofErr w:type="spellStart"/>
            <w:r w:rsidR="00174BE1" w:rsidRPr="0006745D">
              <w:rPr>
                <w:sz w:val="28"/>
                <w:szCs w:val="28"/>
              </w:rPr>
              <w:t>J.Dripes</w:t>
            </w:r>
            <w:proofErr w:type="spellEnd"/>
            <w:r w:rsidR="00174BE1" w:rsidRPr="0006745D">
              <w:rPr>
                <w:sz w:val="28"/>
                <w:szCs w:val="28"/>
              </w:rPr>
              <w:t xml:space="preserve"> darba </w:t>
            </w:r>
            <w:r w:rsidR="00D81FE8">
              <w:rPr>
                <w:sz w:val="28"/>
                <w:szCs w:val="28"/>
              </w:rPr>
              <w:t xml:space="preserve">tiesisko </w:t>
            </w:r>
            <w:r w:rsidR="00174BE1" w:rsidRPr="0006745D">
              <w:rPr>
                <w:sz w:val="28"/>
                <w:szCs w:val="28"/>
              </w:rPr>
              <w:t>attiecību izbeigšanos,</w:t>
            </w:r>
            <w:r w:rsidR="00895336" w:rsidRPr="0006745D">
              <w:rPr>
                <w:sz w:val="28"/>
                <w:szCs w:val="28"/>
              </w:rPr>
              <w:t xml:space="preserve"> </w:t>
            </w:r>
            <w:r w:rsidR="00D81FE8" w:rsidRPr="0006745D">
              <w:rPr>
                <w:sz w:val="28"/>
                <w:szCs w:val="28"/>
              </w:rPr>
              <w:t>Rīgas dome</w:t>
            </w:r>
            <w:r w:rsidR="00D81FE8">
              <w:rPr>
                <w:sz w:val="28"/>
                <w:szCs w:val="28"/>
              </w:rPr>
              <w:t xml:space="preserve"> darbam </w:t>
            </w:r>
            <w:r w:rsidR="00D81FE8" w:rsidRPr="0006745D">
              <w:rPr>
                <w:sz w:val="28"/>
                <w:szCs w:val="28"/>
              </w:rPr>
              <w:t xml:space="preserve">LNB </w:t>
            </w:r>
            <w:r w:rsidR="00D81FE8">
              <w:rPr>
                <w:rFonts w:eastAsia="Times New Roman"/>
                <w:sz w:val="28"/>
                <w:szCs w:val="28"/>
              </w:rPr>
              <w:t>Uzraudzības padomē</w:t>
            </w:r>
            <w:r w:rsidR="00895336" w:rsidRPr="0006745D">
              <w:rPr>
                <w:sz w:val="28"/>
                <w:szCs w:val="28"/>
              </w:rPr>
              <w:t xml:space="preserve"> </w:t>
            </w:r>
            <w:r w:rsidR="002C3C3D">
              <w:rPr>
                <w:sz w:val="28"/>
                <w:szCs w:val="28"/>
              </w:rPr>
              <w:t>ir</w:t>
            </w:r>
            <w:r w:rsidR="00895336" w:rsidRPr="0006745D">
              <w:rPr>
                <w:sz w:val="28"/>
                <w:szCs w:val="28"/>
              </w:rPr>
              <w:t xml:space="preserve"> deleģē</w:t>
            </w:r>
            <w:r w:rsidR="002C3C3D">
              <w:rPr>
                <w:sz w:val="28"/>
                <w:szCs w:val="28"/>
              </w:rPr>
              <w:t>jusi</w:t>
            </w:r>
            <w:r w:rsidR="00895336" w:rsidRPr="0006745D">
              <w:rPr>
                <w:sz w:val="28"/>
                <w:szCs w:val="28"/>
              </w:rPr>
              <w:t xml:space="preserve"> </w:t>
            </w:r>
            <w:r w:rsidR="00D81FE8" w:rsidRPr="0006745D">
              <w:rPr>
                <w:sz w:val="28"/>
                <w:szCs w:val="28"/>
              </w:rPr>
              <w:t>Rīgas pašvaldības aģentūras „Rīgas pilsētas arhitekta birojs” direktora</w:t>
            </w:r>
            <w:r w:rsidR="00D81FE8">
              <w:rPr>
                <w:sz w:val="28"/>
                <w:szCs w:val="28"/>
              </w:rPr>
              <w:t xml:space="preserve"> vietnieci </w:t>
            </w:r>
            <w:proofErr w:type="spellStart"/>
            <w:r w:rsidR="00895336" w:rsidRPr="0006745D">
              <w:rPr>
                <w:sz w:val="28"/>
                <w:szCs w:val="28"/>
              </w:rPr>
              <w:t>R.Bulu</w:t>
            </w:r>
            <w:proofErr w:type="spellEnd"/>
            <w:r w:rsidR="00895336" w:rsidRPr="0006745D">
              <w:rPr>
                <w:sz w:val="28"/>
                <w:szCs w:val="28"/>
              </w:rPr>
              <w:t>.</w:t>
            </w:r>
            <w:r w:rsidR="00F74DAA">
              <w:rPr>
                <w:sz w:val="28"/>
                <w:szCs w:val="28"/>
              </w:rPr>
              <w:t xml:space="preserve"> Saskaņā ar </w:t>
            </w:r>
            <w:r w:rsidR="002C3C3D">
              <w:rPr>
                <w:sz w:val="28"/>
                <w:szCs w:val="28"/>
              </w:rPr>
              <w:t xml:space="preserve">Kultūras ministrijas </w:t>
            </w:r>
            <w:r w:rsidR="00C01305" w:rsidRPr="0006745D">
              <w:rPr>
                <w:sz w:val="28"/>
                <w:szCs w:val="28"/>
              </w:rPr>
              <w:t xml:space="preserve">2010.gada 15.decembra rīkojumu Nr.2.1-1/277 </w:t>
            </w:r>
            <w:r w:rsidR="00F74DAA">
              <w:rPr>
                <w:sz w:val="28"/>
                <w:szCs w:val="28"/>
              </w:rPr>
              <w:t xml:space="preserve">„Par Nacionālās kultūras </w:t>
            </w:r>
            <w:r w:rsidR="00F74DAA">
              <w:rPr>
                <w:sz w:val="28"/>
                <w:szCs w:val="28"/>
              </w:rPr>
              <w:lastRenderedPageBreak/>
              <w:t xml:space="preserve">padomes sastāvu” tika </w:t>
            </w:r>
            <w:r w:rsidR="00EC2374">
              <w:rPr>
                <w:sz w:val="28"/>
                <w:szCs w:val="28"/>
              </w:rPr>
              <w:t>apstiprināta Nacionālā</w:t>
            </w:r>
            <w:r w:rsidR="002C3C3D">
              <w:rPr>
                <w:sz w:val="28"/>
                <w:szCs w:val="28"/>
              </w:rPr>
              <w:t xml:space="preserve"> kultūras padome</w:t>
            </w:r>
            <w:r w:rsidR="00F74DAA">
              <w:rPr>
                <w:sz w:val="28"/>
                <w:szCs w:val="28"/>
              </w:rPr>
              <w:t xml:space="preserve">. </w:t>
            </w:r>
            <w:r w:rsidR="00EC2374">
              <w:rPr>
                <w:sz w:val="28"/>
                <w:szCs w:val="28"/>
              </w:rPr>
              <w:t xml:space="preserve">Nacionālās kultūras padomes </w:t>
            </w:r>
            <w:r w:rsidR="00C01305" w:rsidRPr="0006745D">
              <w:rPr>
                <w:sz w:val="28"/>
                <w:szCs w:val="28"/>
              </w:rPr>
              <w:t>2011.gada 16.februār</w:t>
            </w:r>
            <w:r w:rsidR="002C3C3D">
              <w:rPr>
                <w:sz w:val="28"/>
                <w:szCs w:val="28"/>
              </w:rPr>
              <w:t xml:space="preserve">a sēdē </w:t>
            </w:r>
            <w:r w:rsidR="008E1347" w:rsidRPr="0006745D">
              <w:rPr>
                <w:sz w:val="28"/>
                <w:szCs w:val="28"/>
              </w:rPr>
              <w:t>(protokols Nr.2)</w:t>
            </w:r>
            <w:r w:rsidR="00C01305" w:rsidRPr="0006745D">
              <w:rPr>
                <w:sz w:val="28"/>
                <w:szCs w:val="28"/>
              </w:rPr>
              <w:t xml:space="preserve"> par tās priekšsēdētāju </w:t>
            </w:r>
            <w:r w:rsidR="00495E75">
              <w:rPr>
                <w:sz w:val="28"/>
                <w:szCs w:val="28"/>
              </w:rPr>
              <w:t xml:space="preserve">tika </w:t>
            </w:r>
            <w:r w:rsidR="002C3C3D">
              <w:rPr>
                <w:sz w:val="28"/>
                <w:szCs w:val="28"/>
              </w:rPr>
              <w:t xml:space="preserve">ievēlēts </w:t>
            </w:r>
            <w:proofErr w:type="spellStart"/>
            <w:r w:rsidR="002C3C3D">
              <w:rPr>
                <w:sz w:val="28"/>
                <w:szCs w:val="28"/>
              </w:rPr>
              <w:t>S.Timofejevs</w:t>
            </w:r>
            <w:proofErr w:type="spellEnd"/>
            <w:r w:rsidR="00C01305" w:rsidRPr="0006745D">
              <w:rPr>
                <w:sz w:val="28"/>
                <w:szCs w:val="28"/>
              </w:rPr>
              <w:t>.</w:t>
            </w:r>
            <w:r w:rsidR="0006745D" w:rsidRPr="0006745D">
              <w:rPr>
                <w:sz w:val="28"/>
                <w:szCs w:val="28"/>
              </w:rPr>
              <w:t xml:space="preserve"> </w:t>
            </w:r>
            <w:r w:rsidR="00495E75">
              <w:rPr>
                <w:sz w:val="28"/>
                <w:szCs w:val="28"/>
              </w:rPr>
              <w:t xml:space="preserve">Ņemot vērā minēto, nepieciešams </w:t>
            </w:r>
            <w:r w:rsidR="00EC2374">
              <w:rPr>
                <w:sz w:val="28"/>
                <w:szCs w:val="28"/>
              </w:rPr>
              <w:t>precizēt LNB Uzraudzības padomes sastāvu</w:t>
            </w:r>
            <w:r w:rsidR="00495E75">
              <w:rPr>
                <w:sz w:val="28"/>
                <w:szCs w:val="28"/>
              </w:rPr>
              <w:t>.</w:t>
            </w:r>
            <w:r w:rsidR="00EC2374">
              <w:rPr>
                <w:sz w:val="28"/>
                <w:szCs w:val="28"/>
              </w:rPr>
              <w:t xml:space="preserve"> </w:t>
            </w:r>
          </w:p>
        </w:tc>
      </w:tr>
      <w:tr w:rsidR="002D7F58" w:rsidRPr="0006745D" w:rsidTr="004D0446">
        <w:trPr>
          <w:trHeight w:val="745"/>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lastRenderedPageBreak/>
              <w:t> 3.</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Saistītie politikas ietekmes novērtējumi un pētījumi</w:t>
            </w:r>
          </w:p>
        </w:tc>
        <w:tc>
          <w:tcPr>
            <w:tcW w:w="2836"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jc w:val="both"/>
              <w:rPr>
                <w:sz w:val="28"/>
                <w:szCs w:val="28"/>
              </w:rPr>
            </w:pPr>
            <w:r w:rsidRPr="0006745D">
              <w:rPr>
                <w:sz w:val="28"/>
                <w:szCs w:val="28"/>
              </w:rPr>
              <w:t>Nav attiecināms.</w:t>
            </w:r>
          </w:p>
        </w:tc>
      </w:tr>
      <w:tr w:rsidR="002D7F58" w:rsidRPr="0006745D" w:rsidTr="004D0446">
        <w:trPr>
          <w:trHeight w:val="75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4.</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Tiesiskā regulējuma mērķis un būtība</w:t>
            </w:r>
          </w:p>
        </w:tc>
        <w:tc>
          <w:tcPr>
            <w:tcW w:w="2836" w:type="pct"/>
            <w:tcBorders>
              <w:top w:val="outset" w:sz="6" w:space="0" w:color="auto"/>
              <w:left w:val="outset" w:sz="6" w:space="0" w:color="auto"/>
              <w:bottom w:val="outset" w:sz="6" w:space="0" w:color="auto"/>
              <w:right w:val="outset" w:sz="6" w:space="0" w:color="auto"/>
            </w:tcBorders>
            <w:hideMark/>
          </w:tcPr>
          <w:p w:rsidR="004A0477" w:rsidRPr="0006745D" w:rsidRDefault="00321F71" w:rsidP="00DB2216">
            <w:pPr>
              <w:pStyle w:val="naiskr"/>
              <w:ind w:firstLine="456"/>
              <w:jc w:val="both"/>
              <w:rPr>
                <w:sz w:val="28"/>
                <w:szCs w:val="28"/>
              </w:rPr>
            </w:pPr>
            <w:r>
              <w:rPr>
                <w:sz w:val="28"/>
                <w:szCs w:val="28"/>
              </w:rPr>
              <w:t>P</w:t>
            </w:r>
            <w:r w:rsidR="004A0477" w:rsidRPr="0006745D">
              <w:rPr>
                <w:sz w:val="28"/>
                <w:szCs w:val="28"/>
              </w:rPr>
              <w:t xml:space="preserve">rojekts </w:t>
            </w:r>
            <w:r>
              <w:rPr>
                <w:sz w:val="28"/>
                <w:szCs w:val="28"/>
              </w:rPr>
              <w:t xml:space="preserve">paredz precizēt LNB Uzraudzības padomes sastāvu, kā Rīgas domes pārstāvi Uzraudzības padomē norādot </w:t>
            </w:r>
            <w:r w:rsidRPr="0006745D">
              <w:rPr>
                <w:sz w:val="28"/>
                <w:szCs w:val="28"/>
              </w:rPr>
              <w:t>Rīgas pašvaldības aģentūras „Rīgas pilsētas arhitekta birojs” direktora</w:t>
            </w:r>
            <w:r>
              <w:rPr>
                <w:sz w:val="28"/>
                <w:szCs w:val="28"/>
              </w:rPr>
              <w:t xml:space="preserve"> vietnieci</w:t>
            </w:r>
            <w:r w:rsidRPr="0006745D">
              <w:rPr>
                <w:sz w:val="28"/>
                <w:szCs w:val="28"/>
              </w:rPr>
              <w:t xml:space="preserve"> </w:t>
            </w:r>
            <w:proofErr w:type="spellStart"/>
            <w:r w:rsidRPr="0006745D">
              <w:rPr>
                <w:sz w:val="28"/>
                <w:szCs w:val="28"/>
              </w:rPr>
              <w:t>R.Bulu</w:t>
            </w:r>
            <w:proofErr w:type="spellEnd"/>
            <w:r>
              <w:rPr>
                <w:sz w:val="28"/>
                <w:szCs w:val="28"/>
              </w:rPr>
              <w:t xml:space="preserve">. Tāpat Projekts paredz </w:t>
            </w:r>
            <w:r w:rsidR="00DB2216">
              <w:rPr>
                <w:sz w:val="28"/>
                <w:szCs w:val="28"/>
              </w:rPr>
              <w:t xml:space="preserve">Uzraudzības padomes sastāvā iekļaut Latvijas Nacionālās kultūras padomes </w:t>
            </w:r>
            <w:r w:rsidR="00DB2216" w:rsidRPr="0006745D">
              <w:rPr>
                <w:sz w:val="28"/>
                <w:szCs w:val="28"/>
              </w:rPr>
              <w:t>priekšsēdētāju</w:t>
            </w:r>
            <w:r w:rsidR="00DB2216">
              <w:rPr>
                <w:sz w:val="28"/>
                <w:szCs w:val="28"/>
              </w:rPr>
              <w:t xml:space="preserve"> </w:t>
            </w:r>
            <w:proofErr w:type="spellStart"/>
            <w:r w:rsidR="00DB2216">
              <w:rPr>
                <w:sz w:val="28"/>
                <w:szCs w:val="28"/>
              </w:rPr>
              <w:t>S.Timofejevu</w:t>
            </w:r>
            <w:proofErr w:type="spellEnd"/>
            <w:r w:rsidR="00DB2216">
              <w:rPr>
                <w:sz w:val="28"/>
                <w:szCs w:val="28"/>
              </w:rPr>
              <w:t xml:space="preserve">. </w:t>
            </w:r>
          </w:p>
        </w:tc>
      </w:tr>
      <w:tr w:rsidR="002D7F58" w:rsidRPr="0006745D" w:rsidTr="004D0446">
        <w:trPr>
          <w:trHeight w:val="476"/>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5.</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Projekta izstrādē iesaistītās institūcijas</w:t>
            </w:r>
          </w:p>
        </w:tc>
        <w:tc>
          <w:tcPr>
            <w:tcW w:w="2836" w:type="pct"/>
            <w:tcBorders>
              <w:top w:val="outset" w:sz="6" w:space="0" w:color="auto"/>
              <w:left w:val="outset" w:sz="6" w:space="0" w:color="auto"/>
              <w:bottom w:val="outset" w:sz="6" w:space="0" w:color="auto"/>
              <w:right w:val="outset" w:sz="6" w:space="0" w:color="auto"/>
            </w:tcBorders>
            <w:hideMark/>
          </w:tcPr>
          <w:p w:rsidR="002D7F58" w:rsidRPr="0006745D" w:rsidRDefault="00070E07" w:rsidP="0006745D">
            <w:pPr>
              <w:jc w:val="both"/>
              <w:rPr>
                <w:sz w:val="28"/>
                <w:szCs w:val="28"/>
              </w:rPr>
            </w:pPr>
            <w:r>
              <w:rPr>
                <w:sz w:val="28"/>
                <w:szCs w:val="28"/>
              </w:rPr>
              <w:t>Kultūras ministrija, Rīgas dome.</w:t>
            </w:r>
          </w:p>
        </w:tc>
      </w:tr>
      <w:tr w:rsidR="002D7F58" w:rsidRPr="0006745D" w:rsidTr="004D0446">
        <w:trPr>
          <w:trHeight w:val="711"/>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6.</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Iemesli, kādēļ netika nodrošināta sabiedrības līdzdalība</w:t>
            </w:r>
          </w:p>
        </w:tc>
        <w:tc>
          <w:tcPr>
            <w:tcW w:w="2836" w:type="pct"/>
            <w:tcBorders>
              <w:top w:val="outset" w:sz="6" w:space="0" w:color="auto"/>
              <w:left w:val="outset" w:sz="6" w:space="0" w:color="auto"/>
              <w:bottom w:val="outset" w:sz="6" w:space="0" w:color="auto"/>
              <w:right w:val="outset" w:sz="6" w:space="0" w:color="auto"/>
            </w:tcBorders>
            <w:hideMark/>
          </w:tcPr>
          <w:p w:rsidR="002D7F58" w:rsidRPr="0006745D" w:rsidRDefault="00070E07" w:rsidP="0006745D">
            <w:pPr>
              <w:jc w:val="both"/>
              <w:rPr>
                <w:sz w:val="28"/>
                <w:szCs w:val="28"/>
              </w:rPr>
            </w:pPr>
            <w:r w:rsidRPr="001B2047">
              <w:rPr>
                <w:sz w:val="28"/>
                <w:szCs w:val="28"/>
              </w:rPr>
              <w:t>Sabiedrības līdzdalība netika nodrošināta, jo Ministru kabineta rīkojuma projekts regulē publiskās pārvaldes tiesiskās attiecības, lai veicinātu institūciju sadarbību un lēmumu pieņemšanu.</w:t>
            </w:r>
          </w:p>
        </w:tc>
      </w:tr>
      <w:tr w:rsidR="002D7F58" w:rsidRPr="0006745D" w:rsidTr="004D0446">
        <w:trPr>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7.</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06745D">
            <w:pPr>
              <w:pStyle w:val="naiskr"/>
              <w:jc w:val="both"/>
              <w:rPr>
                <w:sz w:val="28"/>
                <w:szCs w:val="28"/>
              </w:rPr>
            </w:pPr>
            <w:r w:rsidRPr="0006745D">
              <w:rPr>
                <w:sz w:val="28"/>
                <w:szCs w:val="28"/>
              </w:rPr>
              <w:t> Cita informācija</w:t>
            </w:r>
          </w:p>
        </w:tc>
        <w:tc>
          <w:tcPr>
            <w:tcW w:w="2836" w:type="pct"/>
            <w:tcBorders>
              <w:top w:val="outset" w:sz="6" w:space="0" w:color="auto"/>
              <w:left w:val="outset" w:sz="6" w:space="0" w:color="auto"/>
              <w:bottom w:val="outset" w:sz="6" w:space="0" w:color="auto"/>
              <w:right w:val="outset" w:sz="6" w:space="0" w:color="auto"/>
            </w:tcBorders>
            <w:hideMark/>
          </w:tcPr>
          <w:p w:rsidR="001A092B" w:rsidRPr="0006745D" w:rsidRDefault="008E1347" w:rsidP="00DB2216">
            <w:pPr>
              <w:jc w:val="both"/>
              <w:rPr>
                <w:rFonts w:eastAsia="Calibri"/>
                <w:sz w:val="28"/>
                <w:szCs w:val="28"/>
                <w:u w:val="single"/>
              </w:rPr>
            </w:pPr>
            <w:r w:rsidRPr="0006745D">
              <w:rPr>
                <w:sz w:val="28"/>
                <w:szCs w:val="28"/>
              </w:rPr>
              <w:t>Nav</w:t>
            </w:r>
          </w:p>
        </w:tc>
      </w:tr>
    </w:tbl>
    <w:p w:rsidR="00CA122B" w:rsidRDefault="002D7F58" w:rsidP="00CA122B">
      <w:pPr>
        <w:rPr>
          <w:sz w:val="28"/>
          <w:szCs w:val="28"/>
        </w:rPr>
      </w:pPr>
      <w:r w:rsidRPr="0006745D">
        <w:rPr>
          <w:sz w:val="28"/>
          <w:szCs w:val="28"/>
        </w:rPr>
        <w:t> </w:t>
      </w:r>
    </w:p>
    <w:p w:rsidR="00CA122B" w:rsidRDefault="00CA122B" w:rsidP="00CA122B">
      <w:pPr>
        <w:rPr>
          <w:i/>
          <w:sz w:val="28"/>
          <w:szCs w:val="28"/>
        </w:rPr>
      </w:pPr>
      <w:r>
        <w:rPr>
          <w:i/>
          <w:sz w:val="28"/>
          <w:szCs w:val="28"/>
        </w:rPr>
        <w:t>Anotācijas II</w:t>
      </w:r>
      <w:r w:rsidRPr="00583341">
        <w:rPr>
          <w:i/>
          <w:sz w:val="28"/>
          <w:szCs w:val="28"/>
        </w:rPr>
        <w:t xml:space="preserve"> – V</w:t>
      </w:r>
      <w:r>
        <w:rPr>
          <w:i/>
          <w:sz w:val="28"/>
          <w:szCs w:val="28"/>
        </w:rPr>
        <w:t>II</w:t>
      </w:r>
      <w:r w:rsidRPr="00583341">
        <w:rPr>
          <w:i/>
          <w:sz w:val="28"/>
          <w:szCs w:val="28"/>
        </w:rPr>
        <w:t xml:space="preserve"> sadaļa – nav attiecināms.</w:t>
      </w:r>
    </w:p>
    <w:p w:rsidR="002D7F58" w:rsidRPr="0006745D" w:rsidRDefault="002D7F58" w:rsidP="0006745D">
      <w:pPr>
        <w:pStyle w:val="naisf"/>
        <w:rPr>
          <w:sz w:val="28"/>
          <w:szCs w:val="28"/>
        </w:rPr>
      </w:pPr>
    </w:p>
    <w:p w:rsidR="002D7F58" w:rsidRPr="0006745D" w:rsidRDefault="002D7F58" w:rsidP="00287B84">
      <w:pPr>
        <w:pStyle w:val="naisf"/>
        <w:ind w:left="284" w:firstLine="0"/>
        <w:rPr>
          <w:sz w:val="28"/>
          <w:szCs w:val="28"/>
        </w:rPr>
      </w:pPr>
      <w:r w:rsidRPr="0006745D">
        <w:rPr>
          <w:sz w:val="28"/>
          <w:szCs w:val="28"/>
        </w:rPr>
        <w:t>Kultūras ministre</w:t>
      </w:r>
      <w:r w:rsidRPr="0006745D">
        <w:rPr>
          <w:sz w:val="28"/>
          <w:szCs w:val="28"/>
        </w:rPr>
        <w:tab/>
      </w:r>
      <w:r w:rsidRPr="0006745D">
        <w:rPr>
          <w:sz w:val="28"/>
          <w:szCs w:val="28"/>
        </w:rPr>
        <w:tab/>
      </w:r>
      <w:r w:rsidRPr="0006745D">
        <w:rPr>
          <w:sz w:val="28"/>
          <w:szCs w:val="28"/>
        </w:rPr>
        <w:tab/>
      </w:r>
      <w:r w:rsidRPr="0006745D">
        <w:rPr>
          <w:sz w:val="28"/>
          <w:szCs w:val="28"/>
        </w:rPr>
        <w:tab/>
      </w:r>
      <w:r w:rsidRPr="0006745D">
        <w:rPr>
          <w:sz w:val="28"/>
          <w:szCs w:val="28"/>
        </w:rPr>
        <w:tab/>
      </w:r>
      <w:r w:rsidRPr="0006745D">
        <w:rPr>
          <w:sz w:val="28"/>
          <w:szCs w:val="28"/>
        </w:rPr>
        <w:tab/>
      </w:r>
      <w:r w:rsidR="00287B84">
        <w:rPr>
          <w:sz w:val="28"/>
          <w:szCs w:val="28"/>
        </w:rPr>
        <w:tab/>
      </w:r>
      <w:r w:rsidRPr="0006745D">
        <w:rPr>
          <w:sz w:val="28"/>
          <w:szCs w:val="28"/>
        </w:rPr>
        <w:t>S.Ēlerte</w:t>
      </w:r>
    </w:p>
    <w:p w:rsidR="002D7F58" w:rsidRPr="0006745D" w:rsidRDefault="008E1347" w:rsidP="00287B84">
      <w:pPr>
        <w:ind w:left="284"/>
        <w:jc w:val="both"/>
        <w:rPr>
          <w:sz w:val="28"/>
          <w:szCs w:val="28"/>
        </w:rPr>
      </w:pPr>
      <w:r w:rsidRPr="0006745D">
        <w:rPr>
          <w:sz w:val="28"/>
          <w:szCs w:val="28"/>
        </w:rPr>
        <w:t xml:space="preserve"> </w:t>
      </w:r>
    </w:p>
    <w:p w:rsidR="002D7F58" w:rsidRPr="0006745D" w:rsidRDefault="002D7F58" w:rsidP="00287B84">
      <w:pPr>
        <w:ind w:left="284"/>
        <w:jc w:val="both"/>
        <w:rPr>
          <w:sz w:val="28"/>
          <w:szCs w:val="28"/>
        </w:rPr>
      </w:pPr>
      <w:r w:rsidRPr="0006745D">
        <w:rPr>
          <w:sz w:val="28"/>
          <w:szCs w:val="28"/>
        </w:rPr>
        <w:t>Vīza: Valsts sekretār</w:t>
      </w:r>
      <w:r w:rsidR="008E1347" w:rsidRPr="0006745D">
        <w:rPr>
          <w:sz w:val="28"/>
          <w:szCs w:val="28"/>
        </w:rPr>
        <w:t>e</w:t>
      </w:r>
      <w:r w:rsidR="0006745D">
        <w:rPr>
          <w:sz w:val="28"/>
          <w:szCs w:val="28"/>
        </w:rPr>
        <w:tab/>
      </w:r>
      <w:r w:rsidR="0006745D">
        <w:rPr>
          <w:sz w:val="28"/>
          <w:szCs w:val="28"/>
        </w:rPr>
        <w:tab/>
      </w:r>
      <w:r w:rsidR="0006745D">
        <w:rPr>
          <w:sz w:val="28"/>
          <w:szCs w:val="28"/>
        </w:rPr>
        <w:tab/>
      </w:r>
      <w:r w:rsidR="00287B84">
        <w:rPr>
          <w:sz w:val="28"/>
          <w:szCs w:val="28"/>
        </w:rPr>
        <w:tab/>
        <w:t xml:space="preserve"> </w:t>
      </w:r>
      <w:r w:rsidR="00287B84">
        <w:rPr>
          <w:sz w:val="28"/>
          <w:szCs w:val="28"/>
        </w:rPr>
        <w:tab/>
      </w:r>
      <w:r w:rsidR="00287B84">
        <w:rPr>
          <w:sz w:val="28"/>
          <w:szCs w:val="28"/>
        </w:rPr>
        <w:tab/>
      </w:r>
      <w:r w:rsidR="00287B84">
        <w:rPr>
          <w:sz w:val="28"/>
          <w:szCs w:val="28"/>
        </w:rPr>
        <w:tab/>
        <w:t>S.</w:t>
      </w:r>
      <w:r w:rsidR="008E1347" w:rsidRPr="0006745D">
        <w:rPr>
          <w:sz w:val="28"/>
          <w:szCs w:val="28"/>
        </w:rPr>
        <w:t>Zvidriņa</w:t>
      </w:r>
    </w:p>
    <w:p w:rsidR="00D22A2A" w:rsidRPr="0006745D" w:rsidRDefault="00D22A2A" w:rsidP="0006745D">
      <w:pPr>
        <w:jc w:val="both"/>
        <w:rPr>
          <w:sz w:val="28"/>
          <w:szCs w:val="28"/>
        </w:rPr>
      </w:pPr>
    </w:p>
    <w:p w:rsidR="00C30286" w:rsidRDefault="00C30286" w:rsidP="008A2D80">
      <w:pPr>
        <w:jc w:val="center"/>
      </w:pPr>
    </w:p>
    <w:p w:rsidR="00287B84" w:rsidRDefault="00287B84" w:rsidP="0006745D">
      <w:pPr>
        <w:jc w:val="both"/>
      </w:pPr>
    </w:p>
    <w:p w:rsidR="00D22A2A" w:rsidRPr="00623AA8" w:rsidRDefault="00D22A2A" w:rsidP="0006745D">
      <w:pPr>
        <w:jc w:val="both"/>
        <w:rPr>
          <w:sz w:val="20"/>
          <w:szCs w:val="20"/>
        </w:rPr>
      </w:pPr>
    </w:p>
    <w:p w:rsidR="00287B84" w:rsidRPr="00287B84" w:rsidRDefault="00EA3801" w:rsidP="00287B84">
      <w:pPr>
        <w:jc w:val="both"/>
        <w:rPr>
          <w:sz w:val="22"/>
          <w:szCs w:val="22"/>
        </w:rPr>
      </w:pPr>
      <w:r>
        <w:rPr>
          <w:sz w:val="22"/>
          <w:szCs w:val="22"/>
        </w:rPr>
        <w:t>01.08</w:t>
      </w:r>
      <w:r w:rsidR="00287B84" w:rsidRPr="00287B84">
        <w:rPr>
          <w:sz w:val="22"/>
          <w:szCs w:val="22"/>
        </w:rPr>
        <w:t>.2011.</w:t>
      </w:r>
    </w:p>
    <w:p w:rsidR="00EA3801" w:rsidRDefault="00EA3801" w:rsidP="00EA3801">
      <w:pPr>
        <w:tabs>
          <w:tab w:val="center" w:pos="4535"/>
        </w:tabs>
        <w:jc w:val="both"/>
      </w:pPr>
      <w:fldSimple w:instr=" NUMWORDS   \* MERGEFORMAT ">
        <w:r>
          <w:rPr>
            <w:noProof/>
          </w:rPr>
          <w:t>344</w:t>
        </w:r>
      </w:fldSimple>
      <w:r>
        <w:tab/>
      </w:r>
    </w:p>
    <w:p w:rsidR="00287B84" w:rsidRPr="00287B84" w:rsidRDefault="00287B84" w:rsidP="00287B84">
      <w:pPr>
        <w:jc w:val="both"/>
        <w:rPr>
          <w:sz w:val="22"/>
          <w:szCs w:val="22"/>
        </w:rPr>
      </w:pPr>
      <w:r w:rsidRPr="00287B84">
        <w:rPr>
          <w:sz w:val="22"/>
          <w:szCs w:val="22"/>
        </w:rPr>
        <w:t>K.Siliņa</w:t>
      </w:r>
    </w:p>
    <w:p w:rsidR="00287B84" w:rsidRPr="00287B84" w:rsidRDefault="00287B84" w:rsidP="00287B84">
      <w:pPr>
        <w:jc w:val="both"/>
        <w:rPr>
          <w:sz w:val="22"/>
          <w:szCs w:val="22"/>
        </w:rPr>
      </w:pPr>
      <w:r w:rsidRPr="00287B84">
        <w:rPr>
          <w:sz w:val="22"/>
          <w:szCs w:val="22"/>
        </w:rPr>
        <w:t>Tālr. 67330284; fakss 67330293</w:t>
      </w:r>
    </w:p>
    <w:p w:rsidR="00287B84" w:rsidRPr="00287B84" w:rsidRDefault="00E257F8" w:rsidP="00287B84">
      <w:pPr>
        <w:jc w:val="both"/>
        <w:rPr>
          <w:sz w:val="22"/>
          <w:szCs w:val="22"/>
        </w:rPr>
      </w:pPr>
      <w:hyperlink r:id="rId8" w:history="1">
        <w:r w:rsidR="00287B84" w:rsidRPr="00287B84">
          <w:rPr>
            <w:rStyle w:val="Hipersaite"/>
            <w:sz w:val="22"/>
            <w:szCs w:val="22"/>
          </w:rPr>
          <w:t>Kristine.Silina@km.gov.lv</w:t>
        </w:r>
      </w:hyperlink>
    </w:p>
    <w:p w:rsidR="0099129F" w:rsidRPr="002C3C3D" w:rsidRDefault="0099129F" w:rsidP="00287B84">
      <w:pPr>
        <w:jc w:val="both"/>
        <w:rPr>
          <w:sz w:val="20"/>
          <w:szCs w:val="20"/>
        </w:rPr>
      </w:pPr>
    </w:p>
    <w:sectPr w:rsidR="0099129F" w:rsidRPr="002C3C3D" w:rsidSect="004D0446">
      <w:headerReference w:type="default" r:id="rId9"/>
      <w:footerReference w:type="default" r:id="rId10"/>
      <w:footerReference w:type="first" r:id="rId11"/>
      <w:pgSz w:w="11906" w:h="16838"/>
      <w:pgMar w:top="1418" w:right="1134" w:bottom="1134" w:left="1701"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E8" w:rsidRDefault="00D44FE8" w:rsidP="002D7F58">
      <w:r>
        <w:separator/>
      </w:r>
    </w:p>
  </w:endnote>
  <w:endnote w:type="continuationSeparator" w:id="0">
    <w:p w:rsidR="00D44FE8" w:rsidRDefault="00D44FE8" w:rsidP="002D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E8" w:rsidRPr="00DA58A6" w:rsidRDefault="00E257F8" w:rsidP="004D0446">
    <w:pPr>
      <w:pStyle w:val="naisc"/>
      <w:spacing w:before="0" w:after="0"/>
      <w:jc w:val="both"/>
      <w:rPr>
        <w:bCs/>
        <w:sz w:val="22"/>
        <w:szCs w:val="22"/>
      </w:rPr>
    </w:pPr>
    <w:fldSimple w:instr=" FILENAME   \* MERGEFORMAT ">
      <w:r w:rsidR="000453B8" w:rsidRPr="000453B8">
        <w:rPr>
          <w:noProof/>
          <w:sz w:val="22"/>
          <w:szCs w:val="22"/>
        </w:rPr>
        <w:t>KMAnot_010811_LNB_UP</w:t>
      </w:r>
    </w:fldSimple>
    <w:r w:rsidR="00D44FE8" w:rsidRPr="00DA58A6">
      <w:rPr>
        <w:sz w:val="22"/>
        <w:szCs w:val="22"/>
      </w:rPr>
      <w:t xml:space="preserve">; </w:t>
    </w:r>
    <w:r w:rsidR="00D44FE8" w:rsidRPr="00DA58A6">
      <w:rPr>
        <w:bCs/>
        <w:sz w:val="22"/>
        <w:szCs w:val="22"/>
      </w:rPr>
      <w:t xml:space="preserve">Ministru kabineta rīkojuma projekta „Grozījumi Ministru kabineta 2003.gada 15.jūlija rīkojumā Nr.442 „Par Latvijas Nacionālās bibliotēkas projekta īstenošanas uzraudzības padomes sastāvu”” </w:t>
    </w:r>
    <w:r w:rsidR="00D44FE8" w:rsidRPr="00DA58A6">
      <w:rPr>
        <w:sz w:val="22"/>
        <w:szCs w:val="22"/>
      </w:rPr>
      <w:t xml:space="preserve">sākotnējās ietekmes novērtējuma </w:t>
    </w:r>
    <w:smartTag w:uri="schemas-tilde-lv/tildestengine" w:element="veidnes">
      <w:smartTagPr>
        <w:attr w:name="id" w:val="-1"/>
        <w:attr w:name="baseform" w:val="ziņojums"/>
        <w:attr w:name="text" w:val="ziņojums"/>
      </w:smartTagPr>
      <w:r w:rsidR="00D44FE8" w:rsidRPr="00DA58A6">
        <w:rPr>
          <w:sz w:val="22"/>
          <w:szCs w:val="22"/>
        </w:rPr>
        <w:t>ziņojums</w:t>
      </w:r>
    </w:smartTag>
    <w:r w:rsidR="00D44FE8" w:rsidRPr="00DA58A6">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E8" w:rsidRPr="00DA58A6" w:rsidRDefault="00E257F8" w:rsidP="004D0446">
    <w:pPr>
      <w:pStyle w:val="naisc"/>
      <w:spacing w:before="0" w:after="0"/>
      <w:jc w:val="both"/>
      <w:rPr>
        <w:bCs/>
        <w:sz w:val="22"/>
        <w:szCs w:val="22"/>
      </w:rPr>
    </w:pPr>
    <w:fldSimple w:instr=" FILENAME   \* MERGEFORMAT ">
      <w:r w:rsidR="000453B8" w:rsidRPr="000453B8">
        <w:rPr>
          <w:noProof/>
          <w:sz w:val="22"/>
          <w:szCs w:val="22"/>
        </w:rPr>
        <w:t>KMAnot_010811_LNB_UP</w:t>
      </w:r>
    </w:fldSimple>
    <w:r w:rsidR="00D44FE8" w:rsidRPr="00DA58A6">
      <w:rPr>
        <w:sz w:val="22"/>
        <w:szCs w:val="22"/>
      </w:rPr>
      <w:t xml:space="preserve">; </w:t>
    </w:r>
    <w:r w:rsidR="00D44FE8" w:rsidRPr="00DA58A6">
      <w:rPr>
        <w:bCs/>
        <w:sz w:val="22"/>
        <w:szCs w:val="22"/>
      </w:rPr>
      <w:t xml:space="preserve">Ministru kabineta rīkojuma projekta „Grozījumi Ministru kabineta 2003.gada 15.jūlija rīkojumā Nr.442 „Par Latvijas Nacionālās bibliotēkas projekta īstenošanas uzraudzības padomes sastāvu”” </w:t>
    </w:r>
    <w:r w:rsidR="00D44FE8" w:rsidRPr="00DA58A6">
      <w:rPr>
        <w:sz w:val="22"/>
        <w:szCs w:val="22"/>
      </w:rPr>
      <w:t xml:space="preserve">sākotnējās ietekmes novērtējuma </w:t>
    </w:r>
    <w:smartTag w:uri="schemas-tilde-lv/tildestengine" w:element="veidnes">
      <w:smartTagPr>
        <w:attr w:name="id" w:val="-1"/>
        <w:attr w:name="baseform" w:val="ziņojums"/>
        <w:attr w:name="text" w:val="ziņojums"/>
      </w:smartTagPr>
      <w:r w:rsidR="00D44FE8" w:rsidRPr="00DA58A6">
        <w:rPr>
          <w:sz w:val="22"/>
          <w:szCs w:val="22"/>
        </w:rPr>
        <w:t>ziņojums</w:t>
      </w:r>
    </w:smartTag>
    <w:r w:rsidR="00D44FE8" w:rsidRPr="00DA58A6">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E8" w:rsidRDefault="00D44FE8" w:rsidP="002D7F58">
      <w:r>
        <w:separator/>
      </w:r>
    </w:p>
  </w:footnote>
  <w:footnote w:type="continuationSeparator" w:id="0">
    <w:p w:rsidR="00D44FE8" w:rsidRDefault="00D44FE8" w:rsidP="002D7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685"/>
      <w:docPartObj>
        <w:docPartGallery w:val="Page Numbers (Top of Page)"/>
        <w:docPartUnique/>
      </w:docPartObj>
    </w:sdtPr>
    <w:sdtEndPr>
      <w:rPr>
        <w:sz w:val="22"/>
        <w:szCs w:val="22"/>
      </w:rPr>
    </w:sdtEndPr>
    <w:sdtContent>
      <w:p w:rsidR="00D44FE8" w:rsidRPr="004D0446" w:rsidRDefault="00E257F8">
        <w:pPr>
          <w:pStyle w:val="Galvene"/>
          <w:jc w:val="center"/>
          <w:rPr>
            <w:sz w:val="22"/>
            <w:szCs w:val="22"/>
          </w:rPr>
        </w:pPr>
        <w:r w:rsidRPr="004D0446">
          <w:rPr>
            <w:sz w:val="22"/>
            <w:szCs w:val="22"/>
          </w:rPr>
          <w:fldChar w:fldCharType="begin"/>
        </w:r>
        <w:r w:rsidR="00D44FE8" w:rsidRPr="004D0446">
          <w:rPr>
            <w:sz w:val="22"/>
            <w:szCs w:val="22"/>
          </w:rPr>
          <w:instrText xml:space="preserve"> PAGE   \* MERGEFORMAT </w:instrText>
        </w:r>
        <w:r w:rsidRPr="004D0446">
          <w:rPr>
            <w:sz w:val="22"/>
            <w:szCs w:val="22"/>
          </w:rPr>
          <w:fldChar w:fldCharType="separate"/>
        </w:r>
        <w:r w:rsidR="000453B8">
          <w:rPr>
            <w:noProof/>
            <w:sz w:val="22"/>
            <w:szCs w:val="22"/>
          </w:rPr>
          <w:t>2</w:t>
        </w:r>
        <w:r w:rsidRPr="004D044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073EF"/>
    <w:rsid w:val="00021548"/>
    <w:rsid w:val="000453B8"/>
    <w:rsid w:val="00054C85"/>
    <w:rsid w:val="00056B8D"/>
    <w:rsid w:val="0006745D"/>
    <w:rsid w:val="00070E07"/>
    <w:rsid w:val="000B4DB9"/>
    <w:rsid w:val="000D064E"/>
    <w:rsid w:val="000E7781"/>
    <w:rsid w:val="000F6181"/>
    <w:rsid w:val="00105D82"/>
    <w:rsid w:val="00114D30"/>
    <w:rsid w:val="00160FA0"/>
    <w:rsid w:val="00163298"/>
    <w:rsid w:val="00174BE1"/>
    <w:rsid w:val="001A092B"/>
    <w:rsid w:val="001A6692"/>
    <w:rsid w:val="0021009D"/>
    <w:rsid w:val="00285950"/>
    <w:rsid w:val="00287B84"/>
    <w:rsid w:val="002C3C3D"/>
    <w:rsid w:val="002D7F58"/>
    <w:rsid w:val="00321F71"/>
    <w:rsid w:val="0039631B"/>
    <w:rsid w:val="003E267A"/>
    <w:rsid w:val="00400180"/>
    <w:rsid w:val="00465D2E"/>
    <w:rsid w:val="00485871"/>
    <w:rsid w:val="00495E75"/>
    <w:rsid w:val="004A0477"/>
    <w:rsid w:val="004B21B8"/>
    <w:rsid w:val="004D0446"/>
    <w:rsid w:val="004E1B3D"/>
    <w:rsid w:val="00544929"/>
    <w:rsid w:val="00560F42"/>
    <w:rsid w:val="00564624"/>
    <w:rsid w:val="005F4453"/>
    <w:rsid w:val="00610703"/>
    <w:rsid w:val="00623AA8"/>
    <w:rsid w:val="00692E8A"/>
    <w:rsid w:val="00751687"/>
    <w:rsid w:val="00787E8A"/>
    <w:rsid w:val="007A42B2"/>
    <w:rsid w:val="007C3BB1"/>
    <w:rsid w:val="00816B38"/>
    <w:rsid w:val="00881BD9"/>
    <w:rsid w:val="00885C3B"/>
    <w:rsid w:val="00895336"/>
    <w:rsid w:val="008A2D80"/>
    <w:rsid w:val="008E091C"/>
    <w:rsid w:val="008E1347"/>
    <w:rsid w:val="00902448"/>
    <w:rsid w:val="00922A69"/>
    <w:rsid w:val="00962A84"/>
    <w:rsid w:val="0099129F"/>
    <w:rsid w:val="009B1A6C"/>
    <w:rsid w:val="009B35D4"/>
    <w:rsid w:val="00A103A5"/>
    <w:rsid w:val="00A3139C"/>
    <w:rsid w:val="00A81F34"/>
    <w:rsid w:val="00AF2790"/>
    <w:rsid w:val="00BC3340"/>
    <w:rsid w:val="00C01305"/>
    <w:rsid w:val="00C30286"/>
    <w:rsid w:val="00C45663"/>
    <w:rsid w:val="00C7324A"/>
    <w:rsid w:val="00C96A70"/>
    <w:rsid w:val="00C97444"/>
    <w:rsid w:val="00C9759B"/>
    <w:rsid w:val="00CA122B"/>
    <w:rsid w:val="00CF11E8"/>
    <w:rsid w:val="00D22A2A"/>
    <w:rsid w:val="00D44FE8"/>
    <w:rsid w:val="00D81FE8"/>
    <w:rsid w:val="00DA5472"/>
    <w:rsid w:val="00DA58A6"/>
    <w:rsid w:val="00DB2216"/>
    <w:rsid w:val="00DC61A5"/>
    <w:rsid w:val="00DE7744"/>
    <w:rsid w:val="00E01EFE"/>
    <w:rsid w:val="00E257F8"/>
    <w:rsid w:val="00E3697E"/>
    <w:rsid w:val="00E60057"/>
    <w:rsid w:val="00EA3801"/>
    <w:rsid w:val="00EC058C"/>
    <w:rsid w:val="00EC2374"/>
    <w:rsid w:val="00EF1495"/>
    <w:rsid w:val="00EF4AC1"/>
    <w:rsid w:val="00F673D2"/>
    <w:rsid w:val="00F74DAA"/>
    <w:rsid w:val="00F8183D"/>
    <w:rsid w:val="00F81C16"/>
    <w:rsid w:val="00FA44CB"/>
    <w:rsid w:val="00FD092A"/>
    <w:rsid w:val="00FD2869"/>
    <w:rsid w:val="00FD78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uiPriority w:val="99"/>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Sil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E186-9A6C-4D68-8C28-DBF4FBEC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2762</Characters>
  <Application>Microsoft Office Word</Application>
  <DocSecurity>0</DocSecurity>
  <Lines>120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sākotnējās ietekmes novērtējuma ziņojums (anotācija)</vt:lpstr>
      <vt:lpstr>KMAnot_060111</vt:lpstr>
    </vt:vector>
  </TitlesOfParts>
  <Manager>S.Zvidriņa</Manager>
  <Company>Kultūras ministrija</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Ministru kabineta rīkojuma projekta „Grozījumi Ministru kabineta 2003.gada 15.jūlija rīkojumā Nr.442 „Par Latvijas Nacionālās bibliotēkas projekta īstenošanas uzraudzības padomes sastāvu”” sākotnējās ietekmes novērtējuma ziņojums (anotācija)</dc:subject>
  <dc:creator>K.Siliņa</dc:creator>
  <dc:description>K.Siliņa_x000d_
Tālr. 67330284; fakss 67330293_x000d_
Kristine.Silina@km.gov.lv</dc:description>
  <cp:lastModifiedBy>Kristinesi</cp:lastModifiedBy>
  <cp:revision>3</cp:revision>
  <cp:lastPrinted>2011-08-01T09:21:00Z</cp:lastPrinted>
  <dcterms:created xsi:type="dcterms:W3CDTF">2011-08-01T09:21:00Z</dcterms:created>
  <dcterms:modified xsi:type="dcterms:W3CDTF">2011-08-01T09:24:00Z</dcterms:modified>
</cp:coreProperties>
</file>