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0EC" w:rsidRDefault="00E170EC" w:rsidP="008420F6">
      <w:pPr>
        <w:pStyle w:val="naislab"/>
        <w:jc w:val="center"/>
        <w:outlineLvl w:val="0"/>
        <w:rPr>
          <w:b/>
          <w:sz w:val="28"/>
          <w:szCs w:val="28"/>
        </w:rPr>
      </w:pPr>
    </w:p>
    <w:p w:rsidR="008C5649" w:rsidRPr="00B339AC" w:rsidRDefault="008420F6" w:rsidP="008420F6">
      <w:pPr>
        <w:pStyle w:val="naislab"/>
        <w:jc w:val="center"/>
        <w:outlineLvl w:val="0"/>
        <w:rPr>
          <w:b/>
          <w:sz w:val="28"/>
          <w:szCs w:val="28"/>
        </w:rPr>
      </w:pPr>
      <w:r w:rsidRPr="00B339AC">
        <w:rPr>
          <w:b/>
          <w:sz w:val="28"/>
          <w:szCs w:val="28"/>
        </w:rPr>
        <w:t>Ministru kabineta noteikumu projekta „</w:t>
      </w:r>
      <w:r w:rsidR="00254600" w:rsidRPr="00254600">
        <w:rPr>
          <w:b/>
          <w:sz w:val="28"/>
          <w:szCs w:val="28"/>
        </w:rPr>
        <w:t>Grozījumi Ministru kabineta 2005.gada 10.maija noteikumos Nr.321 „Noteikumi par tukšo materiālo nesēju un reproducēšanai izmantojamo iekārtu atlīdzības lielumu un tās iekasēšanas, atmaksāšanas, sadales un izmaksas kārtību”</w:t>
      </w:r>
      <w:r w:rsidRPr="00B339AC">
        <w:rPr>
          <w:b/>
          <w:sz w:val="28"/>
          <w:szCs w:val="28"/>
        </w:rPr>
        <w:t>”</w:t>
      </w:r>
      <w:r w:rsidR="00852042" w:rsidRPr="00B339AC">
        <w:rPr>
          <w:b/>
          <w:sz w:val="28"/>
          <w:szCs w:val="28"/>
        </w:rPr>
        <w:t xml:space="preserve"> sākotnējā</w:t>
      </w:r>
      <w:r w:rsidR="002D3306" w:rsidRPr="00B339AC">
        <w:rPr>
          <w:b/>
          <w:sz w:val="28"/>
          <w:szCs w:val="28"/>
        </w:rPr>
        <w:t>s</w:t>
      </w:r>
      <w:r w:rsidR="00852042" w:rsidRPr="00B339AC">
        <w:rPr>
          <w:b/>
          <w:sz w:val="28"/>
          <w:szCs w:val="28"/>
        </w:rPr>
        <w:t xml:space="preserve"> ietekmes novērtējuma </w:t>
      </w:r>
      <w:smartTag w:uri="schemas-tilde-lv/tildestengine" w:element="veidnes">
        <w:smartTagPr>
          <w:attr w:name="text" w:val="ziņojums"/>
          <w:attr w:name="baseform" w:val="ziņojums"/>
          <w:attr w:name="id" w:val="-1"/>
        </w:smartTagPr>
        <w:r w:rsidR="00852042" w:rsidRPr="00B339AC">
          <w:rPr>
            <w:b/>
            <w:sz w:val="28"/>
            <w:szCs w:val="28"/>
          </w:rPr>
          <w:t>ziņojums</w:t>
        </w:r>
      </w:smartTag>
      <w:r w:rsidR="00852042" w:rsidRPr="00B339AC">
        <w:rPr>
          <w:b/>
          <w:sz w:val="28"/>
          <w:szCs w:val="28"/>
        </w:rPr>
        <w:t xml:space="preserve"> (anotācija)</w:t>
      </w: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4"/>
        <w:gridCol w:w="1874"/>
        <w:gridCol w:w="6693"/>
      </w:tblGrid>
      <w:tr w:rsidR="00852042" w:rsidRPr="00B339AC" w:rsidTr="00FF5A9A">
        <w:tc>
          <w:tcPr>
            <w:tcW w:w="5000" w:type="pct"/>
            <w:gridSpan w:val="3"/>
            <w:vAlign w:val="center"/>
          </w:tcPr>
          <w:p w:rsidR="00852042" w:rsidRPr="00B339AC" w:rsidRDefault="00852042" w:rsidP="006C4607">
            <w:pPr>
              <w:pStyle w:val="naisnod"/>
              <w:spacing w:before="0" w:after="0"/>
              <w:rPr>
                <w:sz w:val="28"/>
                <w:szCs w:val="28"/>
              </w:rPr>
            </w:pPr>
            <w:r w:rsidRPr="00B339AC">
              <w:rPr>
                <w:sz w:val="28"/>
                <w:szCs w:val="28"/>
              </w:rPr>
              <w:t>I</w:t>
            </w:r>
            <w:r w:rsidR="000941C5" w:rsidRPr="00B339AC">
              <w:rPr>
                <w:sz w:val="28"/>
                <w:szCs w:val="28"/>
              </w:rPr>
              <w:t>.</w:t>
            </w:r>
            <w:r w:rsidRPr="00B339AC">
              <w:rPr>
                <w:sz w:val="28"/>
                <w:szCs w:val="28"/>
              </w:rPr>
              <w:t xml:space="preserve"> Tiesību akta </w:t>
            </w:r>
            <w:r w:rsidR="002E3FF4" w:rsidRPr="00B339AC">
              <w:rPr>
                <w:sz w:val="28"/>
                <w:szCs w:val="28"/>
              </w:rPr>
              <w:t xml:space="preserve">projekta </w:t>
            </w:r>
            <w:r w:rsidRPr="00B339AC">
              <w:rPr>
                <w:sz w:val="28"/>
                <w:szCs w:val="28"/>
              </w:rPr>
              <w:t>izstrādes nepieciešamība</w:t>
            </w:r>
          </w:p>
        </w:tc>
      </w:tr>
      <w:tr w:rsidR="00262E2B" w:rsidRPr="00B339AC" w:rsidTr="00FF5A9A">
        <w:trPr>
          <w:trHeight w:val="630"/>
        </w:trPr>
        <w:tc>
          <w:tcPr>
            <w:tcW w:w="283" w:type="pct"/>
          </w:tcPr>
          <w:p w:rsidR="00262E2B" w:rsidRPr="00B339AC" w:rsidRDefault="00262E2B" w:rsidP="006C4607">
            <w:pPr>
              <w:pStyle w:val="naiskr"/>
              <w:spacing w:before="0" w:after="0"/>
              <w:rPr>
                <w:sz w:val="28"/>
                <w:szCs w:val="28"/>
              </w:rPr>
            </w:pPr>
            <w:r w:rsidRPr="00B339AC">
              <w:rPr>
                <w:sz w:val="28"/>
                <w:szCs w:val="28"/>
              </w:rPr>
              <w:t>1.</w:t>
            </w:r>
          </w:p>
        </w:tc>
        <w:tc>
          <w:tcPr>
            <w:tcW w:w="1032" w:type="pct"/>
          </w:tcPr>
          <w:p w:rsidR="00262E2B" w:rsidRPr="00B339AC" w:rsidRDefault="002D7F54" w:rsidP="006C4607">
            <w:pPr>
              <w:pStyle w:val="naiskr"/>
              <w:spacing w:before="0" w:after="0"/>
              <w:ind w:hanging="10"/>
              <w:rPr>
                <w:sz w:val="28"/>
                <w:szCs w:val="28"/>
              </w:rPr>
            </w:pPr>
            <w:r w:rsidRPr="00B339AC">
              <w:rPr>
                <w:sz w:val="28"/>
                <w:szCs w:val="28"/>
              </w:rPr>
              <w:t>Pamatojums</w:t>
            </w:r>
          </w:p>
        </w:tc>
        <w:tc>
          <w:tcPr>
            <w:tcW w:w="3685" w:type="pct"/>
          </w:tcPr>
          <w:p w:rsidR="00262E2B" w:rsidRPr="004B0DAB" w:rsidRDefault="00AE2CE1" w:rsidP="00FF5A9A">
            <w:pPr>
              <w:pStyle w:val="naiskr"/>
              <w:spacing w:before="0" w:after="0"/>
              <w:ind w:hanging="5"/>
              <w:jc w:val="both"/>
              <w:rPr>
                <w:iCs/>
                <w:sz w:val="28"/>
                <w:szCs w:val="28"/>
              </w:rPr>
            </w:pPr>
            <w:r w:rsidRPr="00B339AC">
              <w:rPr>
                <w:iCs/>
                <w:sz w:val="28"/>
                <w:szCs w:val="28"/>
              </w:rPr>
              <w:tab/>
            </w:r>
            <w:r w:rsidR="004B0DAB">
              <w:rPr>
                <w:iCs/>
                <w:sz w:val="28"/>
                <w:szCs w:val="28"/>
              </w:rPr>
              <w:tab/>
            </w:r>
            <w:r w:rsidR="004B0DAB" w:rsidRPr="00B339AC">
              <w:rPr>
                <w:iCs/>
                <w:sz w:val="28"/>
                <w:szCs w:val="28"/>
              </w:rPr>
              <w:t>Ministru kabineta noteikumu projekts</w:t>
            </w:r>
            <w:r w:rsidR="004B0DAB">
              <w:rPr>
                <w:iCs/>
                <w:sz w:val="28"/>
                <w:szCs w:val="28"/>
              </w:rPr>
              <w:t xml:space="preserve"> „</w:t>
            </w:r>
            <w:r w:rsidR="004B0DAB" w:rsidRPr="004B0DAB">
              <w:rPr>
                <w:iCs/>
                <w:sz w:val="28"/>
                <w:szCs w:val="28"/>
              </w:rPr>
              <w:t>Grozījumi Ministru kabineta 2005.gada 10.maija noteikumos Nr.321 „Noteikumi par tukšo materiālo nesēju un reproducēšanai izmantojamo iekārtu atlīdzības lielumu un tās iekasēšanas, atmaksāšanas, sadales un izmaksas kārtību”</w:t>
            </w:r>
            <w:r w:rsidR="004B0DAB">
              <w:rPr>
                <w:iCs/>
                <w:sz w:val="28"/>
                <w:szCs w:val="28"/>
              </w:rPr>
              <w:t xml:space="preserve">” </w:t>
            </w:r>
            <w:r w:rsidR="004B0DAB" w:rsidRPr="00B339AC">
              <w:rPr>
                <w:iCs/>
                <w:sz w:val="28"/>
                <w:szCs w:val="28"/>
              </w:rPr>
              <w:t>(turpmāk – noteikumu projekts) izstrādāts, pamatojoties uz Autortiesību likuma</w:t>
            </w:r>
            <w:r w:rsidR="004B0DAB">
              <w:rPr>
                <w:iCs/>
                <w:sz w:val="28"/>
                <w:szCs w:val="28"/>
              </w:rPr>
              <w:t xml:space="preserve"> 34.panta septīto daļu</w:t>
            </w:r>
            <w:r w:rsidR="00BC412F">
              <w:rPr>
                <w:iCs/>
                <w:sz w:val="28"/>
                <w:szCs w:val="28"/>
              </w:rPr>
              <w:t xml:space="preserve">, </w:t>
            </w:r>
            <w:r w:rsidR="004B0DAB">
              <w:rPr>
                <w:iCs/>
                <w:sz w:val="28"/>
                <w:szCs w:val="28"/>
              </w:rPr>
              <w:t>Satversmes tiesas</w:t>
            </w:r>
            <w:r w:rsidR="00507A7D">
              <w:rPr>
                <w:iCs/>
                <w:sz w:val="28"/>
                <w:szCs w:val="28"/>
              </w:rPr>
              <w:t xml:space="preserve"> (</w:t>
            </w:r>
            <w:r w:rsidR="00E75F70">
              <w:rPr>
                <w:iCs/>
                <w:sz w:val="28"/>
                <w:szCs w:val="28"/>
              </w:rPr>
              <w:t xml:space="preserve">turpmāk </w:t>
            </w:r>
            <w:r w:rsidR="00E75F70" w:rsidRPr="00B339AC">
              <w:rPr>
                <w:iCs/>
                <w:sz w:val="28"/>
                <w:szCs w:val="28"/>
              </w:rPr>
              <w:t>–</w:t>
            </w:r>
            <w:r w:rsidR="00E75F70">
              <w:rPr>
                <w:iCs/>
                <w:sz w:val="28"/>
                <w:szCs w:val="28"/>
              </w:rPr>
              <w:t xml:space="preserve"> </w:t>
            </w:r>
            <w:r w:rsidR="00507A7D">
              <w:rPr>
                <w:iCs/>
                <w:sz w:val="28"/>
                <w:szCs w:val="28"/>
              </w:rPr>
              <w:t>ST)</w:t>
            </w:r>
            <w:r w:rsidR="004B0DAB">
              <w:rPr>
                <w:iCs/>
                <w:sz w:val="28"/>
                <w:szCs w:val="28"/>
              </w:rPr>
              <w:t xml:space="preserve"> 2012.gada 2.maija spriedumu lietā Nr.</w:t>
            </w:r>
            <w:r w:rsidR="004B0DAB">
              <w:t xml:space="preserve"> </w:t>
            </w:r>
            <w:r w:rsidR="004B0DAB" w:rsidRPr="00254600">
              <w:rPr>
                <w:iCs/>
                <w:sz w:val="28"/>
                <w:szCs w:val="28"/>
              </w:rPr>
              <w:t>2011-17-03</w:t>
            </w:r>
            <w:r w:rsidR="004B0DAB">
              <w:rPr>
                <w:iCs/>
                <w:sz w:val="28"/>
                <w:szCs w:val="28"/>
              </w:rPr>
              <w:t xml:space="preserve"> „</w:t>
            </w:r>
            <w:r w:rsidR="004B0DAB" w:rsidRPr="00254600">
              <w:rPr>
                <w:iCs/>
                <w:sz w:val="28"/>
                <w:szCs w:val="28"/>
              </w:rPr>
              <w:t xml:space="preserve">Par Ministru kabineta 2005.gada 10.maija noteikumu Nr.321 </w:t>
            </w:r>
            <w:r w:rsidR="004B0DAB">
              <w:rPr>
                <w:iCs/>
                <w:sz w:val="28"/>
                <w:szCs w:val="28"/>
              </w:rPr>
              <w:t>„</w:t>
            </w:r>
            <w:r w:rsidR="004B0DAB" w:rsidRPr="00254600">
              <w:rPr>
                <w:iCs/>
                <w:sz w:val="28"/>
                <w:szCs w:val="28"/>
              </w:rPr>
              <w:t>Noteikumi par tukšo materiālo nesēju un reproducēšanai izmantojamo iekārtu atlīdzības lielumu un tās iekasēšanas, atmaksāšanas, sadales un izmaksas kārtību</w:t>
            </w:r>
            <w:r w:rsidR="004B0DAB">
              <w:rPr>
                <w:iCs/>
                <w:sz w:val="28"/>
                <w:szCs w:val="28"/>
              </w:rPr>
              <w:t>”</w:t>
            </w:r>
            <w:r w:rsidR="004B0DAB" w:rsidRPr="00254600">
              <w:rPr>
                <w:iCs/>
                <w:sz w:val="28"/>
                <w:szCs w:val="28"/>
              </w:rPr>
              <w:t xml:space="preserve"> 3. un 4.punkta atbilstību Latvijas Republikas Satversmes 64., 105. un 113.pantam</w:t>
            </w:r>
            <w:r w:rsidR="004B0DAB">
              <w:rPr>
                <w:iCs/>
                <w:sz w:val="28"/>
                <w:szCs w:val="28"/>
              </w:rPr>
              <w:t>”</w:t>
            </w:r>
            <w:r w:rsidR="00507A7D">
              <w:rPr>
                <w:iCs/>
                <w:sz w:val="28"/>
                <w:szCs w:val="28"/>
              </w:rPr>
              <w:t xml:space="preserve"> (turpmāk – ST spriedums)</w:t>
            </w:r>
            <w:r w:rsidR="00B44B00">
              <w:rPr>
                <w:iCs/>
                <w:sz w:val="28"/>
                <w:szCs w:val="28"/>
              </w:rPr>
              <w:t xml:space="preserve"> un </w:t>
            </w:r>
            <w:r w:rsidR="008F3628">
              <w:rPr>
                <w:iCs/>
                <w:sz w:val="28"/>
                <w:szCs w:val="28"/>
              </w:rPr>
              <w:t xml:space="preserve">Ministru prezidenta 2012.gada </w:t>
            </w:r>
            <w:r w:rsidR="00BC412F">
              <w:rPr>
                <w:iCs/>
                <w:sz w:val="28"/>
                <w:szCs w:val="28"/>
              </w:rPr>
              <w:t xml:space="preserve">15.maija </w:t>
            </w:r>
            <w:r w:rsidR="008F3628">
              <w:rPr>
                <w:iCs/>
                <w:sz w:val="28"/>
                <w:szCs w:val="28"/>
              </w:rPr>
              <w:t>rezolūciju Nr.</w:t>
            </w:r>
            <w:r w:rsidR="00BC412F">
              <w:rPr>
                <w:iCs/>
                <w:sz w:val="28"/>
                <w:szCs w:val="28"/>
              </w:rPr>
              <w:t>111-1/36</w:t>
            </w:r>
            <w:r w:rsidR="00FF5A9A">
              <w:rPr>
                <w:iCs/>
                <w:sz w:val="28"/>
                <w:szCs w:val="28"/>
              </w:rPr>
              <w:t>, kurā Kultūras ministrijai dots uzdevums</w:t>
            </w:r>
            <w:r w:rsidR="00BC412F">
              <w:rPr>
                <w:iCs/>
                <w:sz w:val="28"/>
                <w:szCs w:val="28"/>
              </w:rPr>
              <w:t xml:space="preserve"> attiecīgo tiesību akta projektu iesniegt izskatīšanai Ministru kabinetā līdz 2012.gada 1.oktobrim.</w:t>
            </w:r>
          </w:p>
        </w:tc>
      </w:tr>
      <w:tr w:rsidR="00262E2B" w:rsidRPr="00B339AC" w:rsidTr="00FF5A9A">
        <w:trPr>
          <w:trHeight w:val="472"/>
        </w:trPr>
        <w:tc>
          <w:tcPr>
            <w:tcW w:w="283" w:type="pct"/>
          </w:tcPr>
          <w:p w:rsidR="00262E2B" w:rsidRPr="00B339AC" w:rsidRDefault="00262E2B" w:rsidP="006C4607">
            <w:pPr>
              <w:pStyle w:val="naiskr"/>
              <w:spacing w:before="0" w:after="0"/>
              <w:rPr>
                <w:sz w:val="28"/>
                <w:szCs w:val="28"/>
              </w:rPr>
            </w:pPr>
            <w:r w:rsidRPr="00B339AC">
              <w:rPr>
                <w:sz w:val="28"/>
                <w:szCs w:val="28"/>
              </w:rPr>
              <w:t>2.</w:t>
            </w:r>
          </w:p>
        </w:tc>
        <w:tc>
          <w:tcPr>
            <w:tcW w:w="1032" w:type="pct"/>
          </w:tcPr>
          <w:p w:rsidR="00262E2B" w:rsidRPr="00B339AC" w:rsidRDefault="00262E2B" w:rsidP="006C4607">
            <w:pPr>
              <w:pStyle w:val="naiskr"/>
              <w:tabs>
                <w:tab w:val="left" w:pos="170"/>
              </w:tabs>
              <w:spacing w:before="0" w:after="0"/>
              <w:rPr>
                <w:sz w:val="28"/>
                <w:szCs w:val="28"/>
              </w:rPr>
            </w:pPr>
            <w:r w:rsidRPr="00B339AC">
              <w:rPr>
                <w:sz w:val="28"/>
                <w:szCs w:val="28"/>
              </w:rPr>
              <w:t>Pašreizējā situācija</w:t>
            </w:r>
            <w:r w:rsidR="001F5CD6" w:rsidRPr="00B339AC">
              <w:rPr>
                <w:sz w:val="28"/>
                <w:szCs w:val="28"/>
              </w:rPr>
              <w:t xml:space="preserve"> un problēmas</w:t>
            </w:r>
          </w:p>
        </w:tc>
        <w:tc>
          <w:tcPr>
            <w:tcW w:w="3685" w:type="pct"/>
          </w:tcPr>
          <w:p w:rsidR="00B03288" w:rsidRDefault="00AE2CE1" w:rsidP="00B03288">
            <w:pPr>
              <w:pStyle w:val="naiskr"/>
              <w:spacing w:before="0" w:after="0"/>
              <w:jc w:val="both"/>
              <w:rPr>
                <w:iCs/>
                <w:sz w:val="28"/>
                <w:szCs w:val="28"/>
              </w:rPr>
            </w:pPr>
            <w:r w:rsidRPr="00B339AC">
              <w:rPr>
                <w:iCs/>
                <w:sz w:val="28"/>
                <w:szCs w:val="28"/>
              </w:rPr>
              <w:tab/>
            </w:r>
            <w:r w:rsidR="00B03288">
              <w:rPr>
                <w:iCs/>
                <w:sz w:val="28"/>
                <w:szCs w:val="28"/>
              </w:rPr>
              <w:t>Autortiesību likuma 34.panta pirmā daļa nosaka, ka b</w:t>
            </w:r>
            <w:r w:rsidR="00B03288" w:rsidRPr="00B03288">
              <w:rPr>
                <w:iCs/>
                <w:sz w:val="28"/>
                <w:szCs w:val="28"/>
              </w:rPr>
              <w:t>ez autora piekrišanas fiziskajai personai atļauts darbus, kas iekļauti tiesiski iegūtā filmā vai fonogrammā vai</w:t>
            </w:r>
            <w:r w:rsidR="00B03288">
              <w:rPr>
                <w:iCs/>
                <w:sz w:val="28"/>
                <w:szCs w:val="28"/>
              </w:rPr>
              <w:t xml:space="preserve"> </w:t>
            </w:r>
            <w:r w:rsidR="00B03288" w:rsidRPr="00B03288">
              <w:rPr>
                <w:iCs/>
                <w:sz w:val="28"/>
                <w:szCs w:val="28"/>
              </w:rPr>
              <w:t>arī citā aizsargājamā darba izpausmes formā, kā arī vizuālos darbus reproducēt (tai skaitā ciparu formātā) vienā</w:t>
            </w:r>
            <w:r w:rsidR="00B03288">
              <w:rPr>
                <w:iCs/>
                <w:sz w:val="28"/>
                <w:szCs w:val="28"/>
              </w:rPr>
              <w:t xml:space="preserve"> </w:t>
            </w:r>
            <w:r w:rsidR="00B03288" w:rsidRPr="00B03288">
              <w:rPr>
                <w:iCs/>
                <w:sz w:val="28"/>
                <w:szCs w:val="28"/>
              </w:rPr>
              <w:t>kopijā personiskai lietošanai bez tieša vai netieša komerciāla nolūka. Šādas kopijas izgatavošanā nedrīkst iesaistīt</w:t>
            </w:r>
            <w:r w:rsidR="00B03288">
              <w:rPr>
                <w:iCs/>
                <w:sz w:val="28"/>
                <w:szCs w:val="28"/>
              </w:rPr>
              <w:t xml:space="preserve"> </w:t>
            </w:r>
            <w:r w:rsidR="00B03288" w:rsidRPr="00B03288">
              <w:rPr>
                <w:iCs/>
                <w:sz w:val="28"/>
                <w:szCs w:val="28"/>
              </w:rPr>
              <w:t>citas personas. Autori ir tiesīgi saņemt taisnīgu atlīdzību par šādas kopijas izgatavošanu (nesēja atlīdzība)</w:t>
            </w:r>
            <w:r w:rsidR="00B03288">
              <w:rPr>
                <w:iCs/>
                <w:sz w:val="28"/>
                <w:szCs w:val="28"/>
              </w:rPr>
              <w:t xml:space="preserve">. Saskaņā ar </w:t>
            </w:r>
            <w:r w:rsidR="00B03288" w:rsidRPr="00B03288">
              <w:rPr>
                <w:iCs/>
                <w:sz w:val="28"/>
                <w:szCs w:val="28"/>
              </w:rPr>
              <w:t xml:space="preserve">Autortiesību likuma 34.panta </w:t>
            </w:r>
            <w:r w:rsidR="00B03288">
              <w:rPr>
                <w:iCs/>
                <w:sz w:val="28"/>
                <w:szCs w:val="28"/>
              </w:rPr>
              <w:t xml:space="preserve">septīto daļu </w:t>
            </w:r>
            <w:r w:rsidR="00B03288">
              <w:t>n</w:t>
            </w:r>
            <w:r w:rsidR="00B03288" w:rsidRPr="00B03288">
              <w:rPr>
                <w:iCs/>
                <w:sz w:val="28"/>
                <w:szCs w:val="28"/>
              </w:rPr>
              <w:t>esēja atlīdzības lielumu, iekasēšanas, atmaksāšanas un izmaksāšanas kārtību, kā arī proporcionālo sadali starp</w:t>
            </w:r>
            <w:r w:rsidR="00B03288">
              <w:rPr>
                <w:iCs/>
                <w:sz w:val="28"/>
                <w:szCs w:val="28"/>
              </w:rPr>
              <w:t xml:space="preserve"> </w:t>
            </w:r>
            <w:r w:rsidR="00B03288" w:rsidRPr="00B03288">
              <w:rPr>
                <w:iCs/>
                <w:sz w:val="28"/>
                <w:szCs w:val="28"/>
              </w:rPr>
              <w:t>autoriem, izpildītājiem un fonogrammu un filmu producentiem nosaka Ministru kabinets</w:t>
            </w:r>
            <w:r w:rsidR="00B03288">
              <w:rPr>
                <w:iCs/>
                <w:sz w:val="28"/>
                <w:szCs w:val="28"/>
              </w:rPr>
              <w:t>.</w:t>
            </w:r>
          </w:p>
          <w:p w:rsidR="00B03288" w:rsidRDefault="00B03288" w:rsidP="00AE2CE1">
            <w:pPr>
              <w:pStyle w:val="naiskr"/>
              <w:spacing w:before="0" w:after="0"/>
              <w:jc w:val="both"/>
              <w:rPr>
                <w:iCs/>
                <w:sz w:val="28"/>
                <w:szCs w:val="28"/>
              </w:rPr>
            </w:pPr>
            <w:r>
              <w:rPr>
                <w:sz w:val="28"/>
                <w:szCs w:val="28"/>
              </w:rPr>
              <w:tab/>
            </w:r>
            <w:r w:rsidR="00B03186" w:rsidRPr="00B339AC">
              <w:rPr>
                <w:sz w:val="28"/>
                <w:szCs w:val="28"/>
              </w:rPr>
              <w:t xml:space="preserve">Minētā deleģējuma izpildei </w:t>
            </w:r>
            <w:r>
              <w:rPr>
                <w:sz w:val="28"/>
                <w:szCs w:val="28"/>
              </w:rPr>
              <w:t xml:space="preserve">Ministru kabinets </w:t>
            </w:r>
            <w:r w:rsidR="006E2D06">
              <w:rPr>
                <w:sz w:val="28"/>
                <w:szCs w:val="28"/>
              </w:rPr>
              <w:t>izdevis</w:t>
            </w:r>
            <w:r w:rsidR="00FF5A9A">
              <w:rPr>
                <w:sz w:val="28"/>
                <w:szCs w:val="28"/>
              </w:rPr>
              <w:t xml:space="preserve"> </w:t>
            </w:r>
            <w:r>
              <w:rPr>
                <w:iCs/>
                <w:sz w:val="28"/>
                <w:szCs w:val="28"/>
              </w:rPr>
              <w:t>2005.gada 10.maija noteikumu</w:t>
            </w:r>
            <w:r w:rsidRPr="004B0DAB">
              <w:rPr>
                <w:iCs/>
                <w:sz w:val="28"/>
                <w:szCs w:val="28"/>
              </w:rPr>
              <w:t xml:space="preserve">s Nr.321 „Noteikumi par tukšo materiālo nesēju un reproducēšanai </w:t>
            </w:r>
            <w:r w:rsidRPr="004B0DAB">
              <w:rPr>
                <w:iCs/>
                <w:sz w:val="28"/>
                <w:szCs w:val="28"/>
              </w:rPr>
              <w:lastRenderedPageBreak/>
              <w:t>izmantojamo iekārtu atlīdzības lielumu un tās iekasēšanas, atmaksāšanas, sadales un izmaksas kārtību”</w:t>
            </w:r>
            <w:r w:rsidR="006E2D06">
              <w:rPr>
                <w:iCs/>
                <w:sz w:val="28"/>
                <w:szCs w:val="28"/>
              </w:rPr>
              <w:t xml:space="preserve"> (turpmāk – noteikumi)</w:t>
            </w:r>
            <w:r>
              <w:rPr>
                <w:iCs/>
                <w:sz w:val="28"/>
                <w:szCs w:val="28"/>
              </w:rPr>
              <w:t>.</w:t>
            </w:r>
          </w:p>
          <w:p w:rsidR="006E2D06" w:rsidRDefault="006E2D06" w:rsidP="006E2D06">
            <w:pPr>
              <w:pStyle w:val="naiskr"/>
              <w:spacing w:before="0" w:after="0"/>
              <w:jc w:val="both"/>
              <w:rPr>
                <w:iCs/>
                <w:sz w:val="28"/>
                <w:szCs w:val="28"/>
              </w:rPr>
            </w:pPr>
            <w:r>
              <w:rPr>
                <w:iCs/>
                <w:sz w:val="28"/>
                <w:szCs w:val="28"/>
              </w:rPr>
              <w:tab/>
              <w:t>N</w:t>
            </w:r>
            <w:r w:rsidRPr="006E2D06">
              <w:rPr>
                <w:iCs/>
                <w:sz w:val="28"/>
                <w:szCs w:val="28"/>
              </w:rPr>
              <w:t>oteikumu 3. un 4.punktā ir uzskaitīti</w:t>
            </w:r>
            <w:r>
              <w:rPr>
                <w:iCs/>
                <w:sz w:val="28"/>
                <w:szCs w:val="28"/>
              </w:rPr>
              <w:t xml:space="preserve"> </w:t>
            </w:r>
            <w:r w:rsidRPr="006E2D06">
              <w:rPr>
                <w:iCs/>
                <w:sz w:val="28"/>
                <w:szCs w:val="28"/>
              </w:rPr>
              <w:t>tukšie materiālie nesēji un reproducēšanai izmantojamās iekārtas (turpmāk –</w:t>
            </w:r>
            <w:r w:rsidR="00FF5A9A">
              <w:rPr>
                <w:iCs/>
                <w:sz w:val="28"/>
                <w:szCs w:val="28"/>
              </w:rPr>
              <w:t xml:space="preserve"> </w:t>
            </w:r>
            <w:r w:rsidRPr="006E2D06">
              <w:rPr>
                <w:iCs/>
                <w:sz w:val="28"/>
                <w:szCs w:val="28"/>
              </w:rPr>
              <w:t xml:space="preserve">nesēji un iekārtas), par kuriem maksājama </w:t>
            </w:r>
            <w:r>
              <w:rPr>
                <w:iCs/>
                <w:sz w:val="28"/>
                <w:szCs w:val="28"/>
              </w:rPr>
              <w:t xml:space="preserve">nesēja </w:t>
            </w:r>
            <w:r w:rsidRPr="006E2D06">
              <w:rPr>
                <w:iCs/>
                <w:sz w:val="28"/>
                <w:szCs w:val="28"/>
              </w:rPr>
              <w:t>atlīdzība,</w:t>
            </w:r>
            <w:r>
              <w:rPr>
                <w:iCs/>
                <w:sz w:val="28"/>
                <w:szCs w:val="28"/>
              </w:rPr>
              <w:t xml:space="preserve"> </w:t>
            </w:r>
            <w:r w:rsidRPr="006E2D06">
              <w:rPr>
                <w:iCs/>
                <w:sz w:val="28"/>
                <w:szCs w:val="28"/>
              </w:rPr>
              <w:t>kā arī noteikts nesēja atlīdzības apmērs par vienu vienību</w:t>
            </w:r>
            <w:r>
              <w:rPr>
                <w:iCs/>
                <w:sz w:val="28"/>
                <w:szCs w:val="28"/>
              </w:rPr>
              <w:t>.</w:t>
            </w:r>
          </w:p>
          <w:p w:rsidR="003824D2" w:rsidRDefault="006E2D06" w:rsidP="009C2F74">
            <w:pPr>
              <w:pStyle w:val="naiskr"/>
              <w:spacing w:before="0" w:after="0"/>
              <w:jc w:val="both"/>
              <w:rPr>
                <w:sz w:val="28"/>
                <w:szCs w:val="28"/>
              </w:rPr>
            </w:pPr>
            <w:r>
              <w:rPr>
                <w:iCs/>
                <w:sz w:val="28"/>
                <w:szCs w:val="28"/>
              </w:rPr>
              <w:tab/>
            </w:r>
            <w:r w:rsidR="003824D2">
              <w:rPr>
                <w:sz w:val="28"/>
                <w:szCs w:val="28"/>
              </w:rPr>
              <w:t xml:space="preserve">Minētās normas nosaka: </w:t>
            </w:r>
          </w:p>
          <w:p w:rsidR="009C2F74" w:rsidRPr="009C2F74" w:rsidRDefault="009C2F74" w:rsidP="009C2F74">
            <w:pPr>
              <w:pStyle w:val="naiskr"/>
              <w:spacing w:before="0" w:after="0"/>
              <w:jc w:val="both"/>
              <w:rPr>
                <w:iCs/>
                <w:sz w:val="28"/>
                <w:szCs w:val="28"/>
              </w:rPr>
            </w:pPr>
            <w:r w:rsidRPr="009C2F74">
              <w:rPr>
                <w:iCs/>
                <w:sz w:val="28"/>
                <w:szCs w:val="28"/>
              </w:rPr>
              <w:t>„3. Atlīdzību par tukšajiem materiālajiem nesējiem maksā šādā apmērā</w:t>
            </w:r>
            <w:r w:rsidR="003824D2">
              <w:rPr>
                <w:iCs/>
                <w:sz w:val="28"/>
                <w:szCs w:val="28"/>
              </w:rPr>
              <w:t xml:space="preserve"> </w:t>
            </w:r>
            <w:r w:rsidRPr="009C2F74">
              <w:rPr>
                <w:iCs/>
                <w:sz w:val="28"/>
                <w:szCs w:val="28"/>
              </w:rPr>
              <w:t>(atlīdzības lielumu nosaka kā individuālu likmi par vienu vienību):</w:t>
            </w:r>
          </w:p>
          <w:p w:rsidR="009C2F74" w:rsidRPr="009C2F74" w:rsidRDefault="009C2F74" w:rsidP="009C2F74">
            <w:pPr>
              <w:pStyle w:val="naiskr"/>
              <w:spacing w:before="0" w:after="0"/>
              <w:jc w:val="both"/>
              <w:rPr>
                <w:iCs/>
                <w:sz w:val="28"/>
                <w:szCs w:val="28"/>
              </w:rPr>
            </w:pPr>
            <w:r w:rsidRPr="009C2F74">
              <w:rPr>
                <w:iCs/>
                <w:sz w:val="28"/>
                <w:szCs w:val="28"/>
              </w:rPr>
              <w:t xml:space="preserve">3.1. audiokasetes – 0,03 lati; </w:t>
            </w:r>
          </w:p>
          <w:p w:rsidR="009C2F74" w:rsidRPr="009C2F74" w:rsidRDefault="009C2F74" w:rsidP="009C2F74">
            <w:pPr>
              <w:pStyle w:val="naiskr"/>
              <w:spacing w:before="0" w:after="0"/>
              <w:jc w:val="both"/>
              <w:rPr>
                <w:iCs/>
                <w:sz w:val="28"/>
                <w:szCs w:val="28"/>
              </w:rPr>
            </w:pPr>
            <w:r w:rsidRPr="009C2F74">
              <w:rPr>
                <w:iCs/>
                <w:sz w:val="28"/>
                <w:szCs w:val="28"/>
              </w:rPr>
              <w:t xml:space="preserve">3.2. videokasetes – 0,06 lati; </w:t>
            </w:r>
          </w:p>
          <w:p w:rsidR="009C2F74" w:rsidRPr="009C2F74" w:rsidRDefault="009C2F74" w:rsidP="009C2F74">
            <w:pPr>
              <w:pStyle w:val="naiskr"/>
              <w:spacing w:before="0" w:after="0"/>
              <w:jc w:val="both"/>
              <w:rPr>
                <w:iCs/>
                <w:sz w:val="28"/>
                <w:szCs w:val="28"/>
              </w:rPr>
            </w:pPr>
            <w:r w:rsidRPr="009C2F74">
              <w:rPr>
                <w:iCs/>
                <w:sz w:val="28"/>
                <w:szCs w:val="28"/>
              </w:rPr>
              <w:t xml:space="preserve">3.3. minidiski (MD) – 0,03 lati; </w:t>
            </w:r>
          </w:p>
          <w:p w:rsidR="009C2F74" w:rsidRPr="009C2F74" w:rsidRDefault="009C2F74" w:rsidP="009C2F74">
            <w:pPr>
              <w:pStyle w:val="naiskr"/>
              <w:spacing w:before="0" w:after="0"/>
              <w:jc w:val="both"/>
              <w:rPr>
                <w:iCs/>
                <w:sz w:val="28"/>
                <w:szCs w:val="28"/>
              </w:rPr>
            </w:pPr>
            <w:r w:rsidRPr="009C2F74">
              <w:rPr>
                <w:iCs/>
                <w:sz w:val="28"/>
                <w:szCs w:val="28"/>
              </w:rPr>
              <w:t xml:space="preserve">3.4. CD-R, CD-RW – 0,10 latu; </w:t>
            </w:r>
          </w:p>
          <w:p w:rsidR="009C2F74" w:rsidRPr="009C2F74" w:rsidRDefault="009C2F74" w:rsidP="009C2F74">
            <w:pPr>
              <w:pStyle w:val="naiskr"/>
              <w:spacing w:before="0" w:after="0"/>
              <w:jc w:val="both"/>
              <w:rPr>
                <w:iCs/>
                <w:sz w:val="28"/>
                <w:szCs w:val="28"/>
              </w:rPr>
            </w:pPr>
            <w:r w:rsidRPr="009C2F74">
              <w:rPr>
                <w:iCs/>
                <w:sz w:val="28"/>
                <w:szCs w:val="28"/>
              </w:rPr>
              <w:t>3.5. DVD-R, DVD-RW – 0,20 latu.</w:t>
            </w:r>
          </w:p>
          <w:p w:rsidR="009C2F74" w:rsidRPr="009C2F74" w:rsidRDefault="009C2F74" w:rsidP="009C2F74">
            <w:pPr>
              <w:pStyle w:val="naiskr"/>
              <w:spacing w:before="0" w:after="0"/>
              <w:jc w:val="both"/>
              <w:rPr>
                <w:iCs/>
                <w:sz w:val="28"/>
                <w:szCs w:val="28"/>
              </w:rPr>
            </w:pPr>
            <w:r w:rsidRPr="009C2F74">
              <w:rPr>
                <w:iCs/>
                <w:sz w:val="28"/>
                <w:szCs w:val="28"/>
              </w:rPr>
              <w:t>4. Atlīdzību par reproducēšanai izmantojamām iekārtām maksā šādā apmērā</w:t>
            </w:r>
            <w:r w:rsidR="003824D2">
              <w:rPr>
                <w:iCs/>
                <w:sz w:val="28"/>
                <w:szCs w:val="28"/>
              </w:rPr>
              <w:t xml:space="preserve"> </w:t>
            </w:r>
            <w:r w:rsidRPr="009C2F74">
              <w:rPr>
                <w:iCs/>
                <w:sz w:val="28"/>
                <w:szCs w:val="28"/>
              </w:rPr>
              <w:t>(atlīdzības lielumu nosaka kā individuālu likmi par vienu vienību):</w:t>
            </w:r>
          </w:p>
          <w:p w:rsidR="009C2F74" w:rsidRPr="009C2F74" w:rsidRDefault="009C2F74" w:rsidP="009C2F74">
            <w:pPr>
              <w:pStyle w:val="naiskr"/>
              <w:spacing w:before="0" w:after="0"/>
              <w:jc w:val="both"/>
              <w:rPr>
                <w:iCs/>
                <w:sz w:val="28"/>
                <w:szCs w:val="28"/>
              </w:rPr>
            </w:pPr>
            <w:r w:rsidRPr="009C2F74">
              <w:rPr>
                <w:iCs/>
                <w:sz w:val="28"/>
                <w:szCs w:val="28"/>
              </w:rPr>
              <w:t>4.1. audiomagnetofons ar audiokasešu ieraksta funkciju, radio ar audiokasešu</w:t>
            </w:r>
            <w:r w:rsidR="003824D2">
              <w:rPr>
                <w:iCs/>
                <w:sz w:val="28"/>
                <w:szCs w:val="28"/>
              </w:rPr>
              <w:t xml:space="preserve"> </w:t>
            </w:r>
            <w:r w:rsidRPr="009C2F74">
              <w:rPr>
                <w:iCs/>
                <w:sz w:val="28"/>
                <w:szCs w:val="28"/>
              </w:rPr>
              <w:t>ieraksta funkciju, audiomagnetofons ar audiokasešu un CD ieraksta funkciju,</w:t>
            </w:r>
            <w:r w:rsidR="003824D2">
              <w:rPr>
                <w:iCs/>
                <w:sz w:val="28"/>
                <w:szCs w:val="28"/>
              </w:rPr>
              <w:t xml:space="preserve"> </w:t>
            </w:r>
            <w:r w:rsidRPr="009C2F74">
              <w:rPr>
                <w:iCs/>
                <w:sz w:val="28"/>
                <w:szCs w:val="28"/>
              </w:rPr>
              <w:t>radio ar audiokasešu un CD ieraksta funkciju, radio ar CD ieraksta funkciju, radio ar MD ieraksta funkciju, CD atskaņotājs ar ieraksta funkciju, MD</w:t>
            </w:r>
          </w:p>
          <w:p w:rsidR="009C2F74" w:rsidRPr="009C2F74" w:rsidRDefault="009C2F74" w:rsidP="009C2F74">
            <w:pPr>
              <w:pStyle w:val="naiskr"/>
              <w:spacing w:before="0" w:after="0"/>
              <w:jc w:val="both"/>
              <w:rPr>
                <w:iCs/>
                <w:sz w:val="28"/>
                <w:szCs w:val="28"/>
              </w:rPr>
            </w:pPr>
            <w:r w:rsidRPr="009C2F74">
              <w:rPr>
                <w:iCs/>
                <w:sz w:val="28"/>
                <w:szCs w:val="28"/>
              </w:rPr>
              <w:t xml:space="preserve">atskaņotājs ar ieraksta funkciju, MP3 atskaņotājs ar integrētu cieto disku – 1 lats; </w:t>
            </w:r>
          </w:p>
          <w:p w:rsidR="009C2F74" w:rsidRPr="009C2F74" w:rsidRDefault="009C2F74" w:rsidP="009C2F74">
            <w:pPr>
              <w:pStyle w:val="naiskr"/>
              <w:spacing w:before="0" w:after="0"/>
              <w:jc w:val="both"/>
              <w:rPr>
                <w:iCs/>
                <w:sz w:val="28"/>
                <w:szCs w:val="28"/>
              </w:rPr>
            </w:pPr>
            <w:r w:rsidRPr="009C2F74">
              <w:rPr>
                <w:iCs/>
                <w:sz w:val="28"/>
                <w:szCs w:val="28"/>
              </w:rPr>
              <w:t>4.2. videomagnetofons ar videokasešu ieraksta funkciju, televizors ar</w:t>
            </w:r>
            <w:r w:rsidR="003824D2">
              <w:rPr>
                <w:iCs/>
                <w:sz w:val="28"/>
                <w:szCs w:val="28"/>
              </w:rPr>
              <w:t xml:space="preserve"> </w:t>
            </w:r>
            <w:r w:rsidRPr="009C2F74">
              <w:rPr>
                <w:iCs/>
                <w:sz w:val="28"/>
                <w:szCs w:val="28"/>
              </w:rPr>
              <w:t xml:space="preserve">videokasešu ieraksta funkciju – 1 lats; </w:t>
            </w:r>
          </w:p>
          <w:p w:rsidR="009C2F74" w:rsidRPr="009C2F74" w:rsidRDefault="009C2F74" w:rsidP="009C2F74">
            <w:pPr>
              <w:pStyle w:val="naiskr"/>
              <w:spacing w:before="0" w:after="0"/>
              <w:jc w:val="both"/>
              <w:rPr>
                <w:iCs/>
                <w:sz w:val="28"/>
                <w:szCs w:val="28"/>
              </w:rPr>
            </w:pPr>
            <w:r w:rsidRPr="009C2F74">
              <w:rPr>
                <w:iCs/>
                <w:sz w:val="28"/>
                <w:szCs w:val="28"/>
              </w:rPr>
              <w:t>4.3. DVD atskaņotājs ar ieraksta funkciju, televizors ar DV</w:t>
            </w:r>
            <w:r w:rsidR="003824D2">
              <w:rPr>
                <w:iCs/>
                <w:sz w:val="28"/>
                <w:szCs w:val="28"/>
              </w:rPr>
              <w:t xml:space="preserve">D ieraksta </w:t>
            </w:r>
            <w:r w:rsidRPr="009C2F74">
              <w:rPr>
                <w:iCs/>
                <w:sz w:val="28"/>
                <w:szCs w:val="28"/>
              </w:rPr>
              <w:t xml:space="preserve">funkciju – 1 lats; </w:t>
            </w:r>
          </w:p>
          <w:p w:rsidR="009C2F74" w:rsidRPr="009C2F74" w:rsidRDefault="009C2F74" w:rsidP="009C2F74">
            <w:pPr>
              <w:pStyle w:val="naiskr"/>
              <w:spacing w:before="0" w:after="0"/>
              <w:jc w:val="both"/>
              <w:rPr>
                <w:iCs/>
                <w:sz w:val="28"/>
                <w:szCs w:val="28"/>
              </w:rPr>
            </w:pPr>
            <w:r w:rsidRPr="009C2F74">
              <w:rPr>
                <w:iCs/>
                <w:sz w:val="28"/>
                <w:szCs w:val="28"/>
              </w:rPr>
              <w:t xml:space="preserve">4.4. satelītu uztvērējs ar datu ieraksta iespējām – 1 lats; </w:t>
            </w:r>
          </w:p>
          <w:p w:rsidR="009C2F74" w:rsidRPr="009C2F74" w:rsidRDefault="009C2F74" w:rsidP="009C2F74">
            <w:pPr>
              <w:pStyle w:val="naiskr"/>
              <w:spacing w:before="0" w:after="0"/>
              <w:jc w:val="both"/>
              <w:rPr>
                <w:iCs/>
                <w:sz w:val="28"/>
                <w:szCs w:val="28"/>
              </w:rPr>
            </w:pPr>
            <w:r w:rsidRPr="009C2F74">
              <w:rPr>
                <w:iCs/>
                <w:sz w:val="28"/>
                <w:szCs w:val="28"/>
              </w:rPr>
              <w:t xml:space="preserve">4.5. jebkurš CD rakstītājs, kas pievienojams datoram, – 1 lats; </w:t>
            </w:r>
          </w:p>
          <w:p w:rsidR="006E2D06" w:rsidRDefault="009C2F74" w:rsidP="009C2F74">
            <w:pPr>
              <w:pStyle w:val="naiskr"/>
              <w:spacing w:before="0" w:after="0"/>
              <w:jc w:val="both"/>
              <w:rPr>
                <w:iCs/>
                <w:sz w:val="28"/>
                <w:szCs w:val="28"/>
              </w:rPr>
            </w:pPr>
            <w:r w:rsidRPr="009C2F74">
              <w:rPr>
                <w:iCs/>
                <w:sz w:val="28"/>
                <w:szCs w:val="28"/>
              </w:rPr>
              <w:t>4.6. jebkurš DVD rakstītājs, kas pievienojams datoram, – 1 lats.”</w:t>
            </w:r>
          </w:p>
          <w:p w:rsidR="00162A41" w:rsidRDefault="006E2D06" w:rsidP="002C034C">
            <w:pPr>
              <w:pStyle w:val="naiskr"/>
              <w:spacing w:before="0" w:after="0"/>
              <w:jc w:val="both"/>
              <w:rPr>
                <w:iCs/>
                <w:sz w:val="28"/>
                <w:szCs w:val="28"/>
              </w:rPr>
            </w:pPr>
            <w:r>
              <w:rPr>
                <w:iCs/>
                <w:sz w:val="28"/>
                <w:szCs w:val="28"/>
              </w:rPr>
              <w:tab/>
            </w:r>
            <w:r w:rsidR="00D61172" w:rsidRPr="00FF549C">
              <w:rPr>
                <w:iCs/>
                <w:sz w:val="28"/>
                <w:szCs w:val="28"/>
              </w:rPr>
              <w:t>2011.gada 11.augustā</w:t>
            </w:r>
            <w:r w:rsidR="008F3628">
              <w:rPr>
                <w:iCs/>
                <w:sz w:val="28"/>
                <w:szCs w:val="28"/>
              </w:rPr>
              <w:t xml:space="preserve"> </w:t>
            </w:r>
            <w:r w:rsidR="00FD705F" w:rsidRPr="00FD705F">
              <w:rPr>
                <w:iCs/>
                <w:sz w:val="28"/>
                <w:szCs w:val="28"/>
              </w:rPr>
              <w:t>biedrīb</w:t>
            </w:r>
            <w:r w:rsidR="00FD705F">
              <w:rPr>
                <w:iCs/>
                <w:sz w:val="28"/>
                <w:szCs w:val="28"/>
              </w:rPr>
              <w:t>as</w:t>
            </w:r>
            <w:r w:rsidR="00FD705F" w:rsidRPr="00FD705F">
              <w:rPr>
                <w:iCs/>
                <w:sz w:val="28"/>
                <w:szCs w:val="28"/>
              </w:rPr>
              <w:t xml:space="preserve"> „Latvijas Izpildītāju un producentu apvienība”</w:t>
            </w:r>
            <w:r w:rsidR="00FD705F">
              <w:rPr>
                <w:iCs/>
                <w:sz w:val="28"/>
                <w:szCs w:val="28"/>
              </w:rPr>
              <w:t xml:space="preserve"> (LaIPA), </w:t>
            </w:r>
            <w:r w:rsidR="00FD705F" w:rsidRPr="00FD705F">
              <w:rPr>
                <w:iCs/>
                <w:sz w:val="28"/>
                <w:szCs w:val="28"/>
              </w:rPr>
              <w:t>„Autortiesību un komunicēšanās konsultāciju aģentūra / Latvijas Autoru apvienība”</w:t>
            </w:r>
            <w:r w:rsidR="00FD705F">
              <w:rPr>
                <w:iCs/>
                <w:sz w:val="28"/>
                <w:szCs w:val="28"/>
              </w:rPr>
              <w:t xml:space="preserve"> (AKKA/LAA),</w:t>
            </w:r>
            <w:r w:rsidR="00FD705F">
              <w:t xml:space="preserve"> </w:t>
            </w:r>
            <w:r w:rsidR="00FD705F" w:rsidRPr="00FD705F">
              <w:rPr>
                <w:iCs/>
                <w:sz w:val="28"/>
                <w:szCs w:val="28"/>
              </w:rPr>
              <w:t>„Latvijas</w:t>
            </w:r>
            <w:r w:rsidR="00FD705F">
              <w:rPr>
                <w:iCs/>
                <w:sz w:val="28"/>
                <w:szCs w:val="28"/>
              </w:rPr>
              <w:t xml:space="preserve"> </w:t>
            </w:r>
            <w:r w:rsidR="00FD705F" w:rsidRPr="00FD705F">
              <w:rPr>
                <w:iCs/>
                <w:sz w:val="28"/>
                <w:szCs w:val="28"/>
              </w:rPr>
              <w:t>Kinoproducentu asociācija”</w:t>
            </w:r>
            <w:r w:rsidR="00FD705F">
              <w:rPr>
                <w:iCs/>
                <w:sz w:val="28"/>
                <w:szCs w:val="28"/>
              </w:rPr>
              <w:t xml:space="preserve"> un </w:t>
            </w:r>
            <w:r w:rsidR="00FD705F" w:rsidRPr="00FD705F">
              <w:rPr>
                <w:iCs/>
                <w:sz w:val="28"/>
                <w:szCs w:val="28"/>
              </w:rPr>
              <w:t>„Latvijas Profesionālo aktieru apvienība”</w:t>
            </w:r>
            <w:r w:rsidR="00FD705F">
              <w:rPr>
                <w:iCs/>
                <w:sz w:val="28"/>
                <w:szCs w:val="28"/>
              </w:rPr>
              <w:t xml:space="preserve"> </w:t>
            </w:r>
            <w:r w:rsidR="00FD705F">
              <w:rPr>
                <w:iCs/>
                <w:sz w:val="28"/>
                <w:szCs w:val="28"/>
              </w:rPr>
              <w:lastRenderedPageBreak/>
              <w:t xml:space="preserve">vērsās </w:t>
            </w:r>
            <w:r w:rsidR="002C034C">
              <w:rPr>
                <w:iCs/>
                <w:sz w:val="28"/>
                <w:szCs w:val="28"/>
              </w:rPr>
              <w:t>ST</w:t>
            </w:r>
            <w:r w:rsidR="00FD705F">
              <w:rPr>
                <w:iCs/>
                <w:sz w:val="28"/>
                <w:szCs w:val="28"/>
              </w:rPr>
              <w:t xml:space="preserve"> ar konstitucionālo sūdzību, </w:t>
            </w:r>
            <w:r w:rsidR="00FD705F" w:rsidRPr="00FD705F">
              <w:rPr>
                <w:iCs/>
                <w:sz w:val="28"/>
                <w:szCs w:val="28"/>
              </w:rPr>
              <w:t>lūdz</w:t>
            </w:r>
            <w:r w:rsidR="00FD705F">
              <w:rPr>
                <w:iCs/>
                <w:sz w:val="28"/>
                <w:szCs w:val="28"/>
              </w:rPr>
              <w:t>ot</w:t>
            </w:r>
            <w:r w:rsidR="00FD705F" w:rsidRPr="00FD705F">
              <w:rPr>
                <w:iCs/>
                <w:sz w:val="28"/>
                <w:szCs w:val="28"/>
              </w:rPr>
              <w:t xml:space="preserve"> </w:t>
            </w:r>
            <w:r w:rsidR="002C034C">
              <w:rPr>
                <w:iCs/>
                <w:sz w:val="28"/>
                <w:szCs w:val="28"/>
              </w:rPr>
              <w:t>ST</w:t>
            </w:r>
            <w:r w:rsidR="00FD705F" w:rsidRPr="00FD705F">
              <w:rPr>
                <w:iCs/>
                <w:sz w:val="28"/>
                <w:szCs w:val="28"/>
              </w:rPr>
              <w:t xml:space="preserve"> izvērtēt apstrīdēto normu</w:t>
            </w:r>
            <w:r w:rsidR="00FD705F">
              <w:rPr>
                <w:iCs/>
                <w:sz w:val="28"/>
                <w:szCs w:val="28"/>
              </w:rPr>
              <w:t xml:space="preserve"> </w:t>
            </w:r>
            <w:r w:rsidR="00FD705F" w:rsidRPr="00FD705F">
              <w:rPr>
                <w:iCs/>
                <w:sz w:val="28"/>
                <w:szCs w:val="28"/>
              </w:rPr>
              <w:t xml:space="preserve">atbilstību Latvijas Republikas Satversmes 64., 105. </w:t>
            </w:r>
            <w:r w:rsidR="00FD705F">
              <w:rPr>
                <w:iCs/>
                <w:sz w:val="28"/>
                <w:szCs w:val="28"/>
              </w:rPr>
              <w:t xml:space="preserve">un </w:t>
            </w:r>
            <w:r w:rsidR="00FD705F" w:rsidRPr="00FD705F">
              <w:rPr>
                <w:iCs/>
                <w:sz w:val="28"/>
                <w:szCs w:val="28"/>
              </w:rPr>
              <w:t>113.pantam</w:t>
            </w:r>
            <w:r w:rsidR="00FD705F">
              <w:rPr>
                <w:iCs/>
                <w:sz w:val="28"/>
                <w:szCs w:val="28"/>
              </w:rPr>
              <w:t xml:space="preserve">. </w:t>
            </w:r>
          </w:p>
          <w:p w:rsidR="002C034C" w:rsidRDefault="00162A41" w:rsidP="002C034C">
            <w:pPr>
              <w:pStyle w:val="naiskr"/>
              <w:spacing w:before="0" w:after="0"/>
              <w:jc w:val="both"/>
              <w:rPr>
                <w:iCs/>
                <w:sz w:val="28"/>
                <w:szCs w:val="28"/>
              </w:rPr>
            </w:pPr>
            <w:r>
              <w:rPr>
                <w:iCs/>
                <w:sz w:val="28"/>
                <w:szCs w:val="28"/>
              </w:rPr>
              <w:tab/>
            </w:r>
            <w:r w:rsidR="002C034C">
              <w:rPr>
                <w:iCs/>
                <w:sz w:val="28"/>
                <w:szCs w:val="28"/>
              </w:rPr>
              <w:t>ST nosprieda:</w:t>
            </w:r>
          </w:p>
          <w:p w:rsidR="00B03288" w:rsidRPr="00FD705F" w:rsidRDefault="00FA6356" w:rsidP="002C034C">
            <w:pPr>
              <w:pStyle w:val="naiskr"/>
              <w:spacing w:before="0" w:after="0"/>
              <w:jc w:val="both"/>
              <w:rPr>
                <w:iCs/>
                <w:sz w:val="28"/>
                <w:szCs w:val="28"/>
              </w:rPr>
            </w:pPr>
            <w:r>
              <w:rPr>
                <w:iCs/>
                <w:sz w:val="28"/>
                <w:szCs w:val="28"/>
              </w:rPr>
              <w:tab/>
            </w:r>
            <w:r w:rsidR="002C034C">
              <w:rPr>
                <w:iCs/>
                <w:sz w:val="28"/>
                <w:szCs w:val="28"/>
              </w:rPr>
              <w:t>„</w:t>
            </w:r>
            <w:r w:rsidR="002C034C" w:rsidRPr="002C034C">
              <w:rPr>
                <w:iCs/>
                <w:sz w:val="28"/>
                <w:szCs w:val="28"/>
              </w:rPr>
              <w:t>atzīt Ministru kabineta 2005.g</w:t>
            </w:r>
            <w:r w:rsidR="002C034C">
              <w:rPr>
                <w:iCs/>
                <w:sz w:val="28"/>
                <w:szCs w:val="28"/>
              </w:rPr>
              <w:t xml:space="preserve">ada 10.maija noteikumu Nr. 321 </w:t>
            </w:r>
            <w:r w:rsidR="002C034C" w:rsidRPr="002C034C">
              <w:rPr>
                <w:iCs/>
                <w:sz w:val="28"/>
                <w:szCs w:val="28"/>
              </w:rPr>
              <w:t>„Noteikumi par tukšo materiālo nesēju un reproducēšanai izmantojamo</w:t>
            </w:r>
            <w:r>
              <w:rPr>
                <w:iCs/>
                <w:sz w:val="28"/>
                <w:szCs w:val="28"/>
              </w:rPr>
              <w:t xml:space="preserve"> </w:t>
            </w:r>
            <w:r w:rsidR="002C034C" w:rsidRPr="002C034C">
              <w:rPr>
                <w:iCs/>
                <w:sz w:val="28"/>
                <w:szCs w:val="28"/>
              </w:rPr>
              <w:t>iekārtu atlīdzības lielumu un tās iekasēšanas, atmaksāšanas, sadales un</w:t>
            </w:r>
            <w:r>
              <w:rPr>
                <w:iCs/>
                <w:sz w:val="28"/>
                <w:szCs w:val="28"/>
              </w:rPr>
              <w:t xml:space="preserve"> </w:t>
            </w:r>
            <w:r w:rsidR="002C034C" w:rsidRPr="002C034C">
              <w:rPr>
                <w:iCs/>
                <w:sz w:val="28"/>
                <w:szCs w:val="28"/>
              </w:rPr>
              <w:t>izmaksas kārtību” 3. un 4.punktu par neatbilstošu Latvijas Republikas</w:t>
            </w:r>
            <w:r>
              <w:rPr>
                <w:iCs/>
                <w:sz w:val="28"/>
                <w:szCs w:val="28"/>
              </w:rPr>
              <w:t xml:space="preserve"> </w:t>
            </w:r>
            <w:r w:rsidR="002C034C" w:rsidRPr="002C034C">
              <w:rPr>
                <w:iCs/>
                <w:sz w:val="28"/>
                <w:szCs w:val="28"/>
              </w:rPr>
              <w:t>Satversmes 113.pantam un spēkā neesošu no 2012.gada 1.novembra, ja</w:t>
            </w:r>
            <w:r>
              <w:rPr>
                <w:iCs/>
                <w:sz w:val="28"/>
                <w:szCs w:val="28"/>
              </w:rPr>
              <w:t xml:space="preserve"> </w:t>
            </w:r>
            <w:r w:rsidR="002C034C" w:rsidRPr="002C034C">
              <w:rPr>
                <w:iCs/>
                <w:sz w:val="28"/>
                <w:szCs w:val="28"/>
              </w:rPr>
              <w:t>Ministru kabinets nepārvērtē nesēju un iekārtu saraksta atbilstību</w:t>
            </w:r>
            <w:r>
              <w:rPr>
                <w:iCs/>
                <w:sz w:val="28"/>
                <w:szCs w:val="28"/>
              </w:rPr>
              <w:t xml:space="preserve"> </w:t>
            </w:r>
            <w:r w:rsidR="002C034C" w:rsidRPr="002C034C">
              <w:rPr>
                <w:iCs/>
                <w:sz w:val="28"/>
                <w:szCs w:val="28"/>
              </w:rPr>
              <w:t>Autortiesību likuma 34.pantā ietvertajam deleģējumam saistībā ar</w:t>
            </w:r>
            <w:r>
              <w:rPr>
                <w:iCs/>
                <w:sz w:val="28"/>
                <w:szCs w:val="28"/>
              </w:rPr>
              <w:t xml:space="preserve"> </w:t>
            </w:r>
            <w:r w:rsidR="002C034C" w:rsidRPr="002C034C">
              <w:rPr>
                <w:iCs/>
                <w:sz w:val="28"/>
                <w:szCs w:val="28"/>
              </w:rPr>
              <w:t>tehnoloģiju attīstības radītajām pārmaiņām</w:t>
            </w:r>
            <w:r w:rsidR="002C034C">
              <w:rPr>
                <w:iCs/>
                <w:sz w:val="28"/>
                <w:szCs w:val="28"/>
              </w:rPr>
              <w:t>”</w:t>
            </w:r>
            <w:r w:rsidR="006A22B4">
              <w:rPr>
                <w:iCs/>
                <w:sz w:val="28"/>
                <w:szCs w:val="28"/>
              </w:rPr>
              <w:t xml:space="preserve"> (ST sprieduma 28.lpp.)</w:t>
            </w:r>
            <w:r>
              <w:rPr>
                <w:iCs/>
                <w:sz w:val="28"/>
                <w:szCs w:val="28"/>
              </w:rPr>
              <w:t>.</w:t>
            </w:r>
          </w:p>
          <w:p w:rsidR="00C43EA1" w:rsidRDefault="00FA6356" w:rsidP="002F22B7">
            <w:pPr>
              <w:pStyle w:val="naiskr"/>
              <w:spacing w:before="0" w:after="0"/>
              <w:jc w:val="both"/>
              <w:rPr>
                <w:sz w:val="28"/>
                <w:szCs w:val="28"/>
              </w:rPr>
            </w:pPr>
            <w:r>
              <w:rPr>
                <w:sz w:val="28"/>
                <w:szCs w:val="28"/>
              </w:rPr>
              <w:tab/>
            </w:r>
            <w:r w:rsidR="00082CD8">
              <w:rPr>
                <w:sz w:val="28"/>
                <w:szCs w:val="28"/>
              </w:rPr>
              <w:t xml:space="preserve">ST ir norādījusi, ka </w:t>
            </w:r>
            <w:r w:rsidR="008B4533">
              <w:rPr>
                <w:iCs/>
                <w:sz w:val="28"/>
                <w:szCs w:val="28"/>
              </w:rPr>
              <w:t>n</w:t>
            </w:r>
            <w:r w:rsidR="00082CD8" w:rsidRPr="009C2F74">
              <w:rPr>
                <w:iCs/>
                <w:sz w:val="28"/>
                <w:szCs w:val="28"/>
              </w:rPr>
              <w:t xml:space="preserve">oteikumu 3. un </w:t>
            </w:r>
            <w:r w:rsidR="00082CD8">
              <w:rPr>
                <w:iCs/>
                <w:sz w:val="28"/>
                <w:szCs w:val="28"/>
              </w:rPr>
              <w:t xml:space="preserve">4.punktam ir jānodrošina taisnīga atlīdzība par autortiesību subjektu mantisko tiesību ierobežojumu (ST sprieduma 20.lpp.). Ministru kabinetam (MK) ir tiesības un pienākums, balstoties uz skaidri definētiem kritērijiem, iekļaut konkrētus nesējus un iekārtas </w:t>
            </w:r>
            <w:r w:rsidR="008B4533">
              <w:rPr>
                <w:iCs/>
                <w:sz w:val="28"/>
                <w:szCs w:val="28"/>
              </w:rPr>
              <w:t>n</w:t>
            </w:r>
            <w:r w:rsidR="00082CD8">
              <w:rPr>
                <w:iCs/>
                <w:sz w:val="28"/>
                <w:szCs w:val="28"/>
              </w:rPr>
              <w:t xml:space="preserve">oteikumu 3. un 4.punktā (ST sprieduma 23.lpp.). Tāpat ST ir norādījusi, ka </w:t>
            </w:r>
            <w:r w:rsidR="00DC2E58">
              <w:rPr>
                <w:iCs/>
                <w:sz w:val="28"/>
                <w:szCs w:val="28"/>
              </w:rPr>
              <w:t xml:space="preserve">MK var izdarīt tiesībpolitisku izšķiršanos par konkrētu nesēju un iekārtu iekļaušanu nesēju un iekārtu sarakstā, pamatojoties uz Eiropas Savienības Tiesas 2010.gada 21.oktobra spriedumā lietā Nr.C-467/08 minētajiem kritērijiem vai jebkuriem citiem skaidri definētiem kritērijiem, kuru piemērošanu Ministru kabinets atzīst par tiesiski pamatotu (ST sprieduma 23.lpp.). </w:t>
            </w:r>
            <w:r w:rsidR="00717CD2">
              <w:rPr>
                <w:iCs/>
                <w:sz w:val="28"/>
                <w:szCs w:val="28"/>
              </w:rPr>
              <w:t>ST arī norādīja, ka „</w:t>
            </w:r>
            <w:r w:rsidR="00F74E7B">
              <w:t>i</w:t>
            </w:r>
            <w:r w:rsidR="00717CD2" w:rsidRPr="00717CD2">
              <w:rPr>
                <w:iCs/>
                <w:sz w:val="28"/>
                <w:szCs w:val="28"/>
              </w:rPr>
              <w:t>r iespējami tādi tiesiski apsvērumi, saskaņā ar kuriem</w:t>
            </w:r>
            <w:r w:rsidR="00717CD2">
              <w:rPr>
                <w:iCs/>
                <w:sz w:val="28"/>
                <w:szCs w:val="28"/>
              </w:rPr>
              <w:t xml:space="preserve"> </w:t>
            </w:r>
            <w:r w:rsidR="00717CD2" w:rsidRPr="00717CD2">
              <w:rPr>
                <w:iCs/>
                <w:sz w:val="28"/>
                <w:szCs w:val="28"/>
              </w:rPr>
              <w:t>Ministru kabinets kādu nesēju vai iekārtu var arī neietvert apstrīdētajās normās.</w:t>
            </w:r>
            <w:r w:rsidR="00717CD2">
              <w:rPr>
                <w:iCs/>
                <w:sz w:val="28"/>
                <w:szCs w:val="28"/>
              </w:rPr>
              <w:t xml:space="preserve"> </w:t>
            </w:r>
            <w:r w:rsidR="00717CD2" w:rsidRPr="00717CD2">
              <w:rPr>
                <w:iCs/>
                <w:sz w:val="28"/>
                <w:szCs w:val="28"/>
              </w:rPr>
              <w:t>Tādējādi tiesiskais pamats nesēja atlīdzības iekasēšanai par konkrētiem nesējiem</w:t>
            </w:r>
            <w:r w:rsidR="00717CD2">
              <w:rPr>
                <w:iCs/>
                <w:sz w:val="28"/>
                <w:szCs w:val="28"/>
              </w:rPr>
              <w:t xml:space="preserve"> </w:t>
            </w:r>
            <w:r w:rsidR="00717CD2" w:rsidRPr="00717CD2">
              <w:rPr>
                <w:iCs/>
                <w:sz w:val="28"/>
                <w:szCs w:val="28"/>
              </w:rPr>
              <w:t>un iekārtām var tikt radīts vienīgi ar Ministru kabineta noteikumiem</w:t>
            </w:r>
            <w:r w:rsidR="00717CD2">
              <w:rPr>
                <w:iCs/>
                <w:sz w:val="28"/>
                <w:szCs w:val="28"/>
              </w:rPr>
              <w:t>”</w:t>
            </w:r>
            <w:r w:rsidR="008B4533">
              <w:rPr>
                <w:iCs/>
                <w:sz w:val="28"/>
                <w:szCs w:val="28"/>
              </w:rPr>
              <w:t xml:space="preserve"> (ST sprieduma 27.lpp.).</w:t>
            </w:r>
            <w:r w:rsidR="00FF5A9A">
              <w:rPr>
                <w:sz w:val="28"/>
                <w:szCs w:val="28"/>
              </w:rPr>
              <w:t xml:space="preserve"> </w:t>
            </w:r>
            <w:r w:rsidR="00C43EA1">
              <w:rPr>
                <w:sz w:val="28"/>
                <w:szCs w:val="28"/>
              </w:rPr>
              <w:t>Nesēju un iekārtu saraksta pārvērtēšanai piemērojamos kritērijus Kultūras ministrija noteica, balstoties uz:</w:t>
            </w:r>
          </w:p>
          <w:p w:rsidR="00C43EA1" w:rsidRDefault="00C43EA1" w:rsidP="006C2D86">
            <w:pPr>
              <w:pStyle w:val="naiskr"/>
              <w:numPr>
                <w:ilvl w:val="0"/>
                <w:numId w:val="17"/>
              </w:numPr>
              <w:spacing w:before="0" w:after="0"/>
              <w:jc w:val="both"/>
              <w:rPr>
                <w:sz w:val="28"/>
                <w:szCs w:val="28"/>
              </w:rPr>
            </w:pPr>
            <w:r>
              <w:rPr>
                <w:sz w:val="28"/>
                <w:szCs w:val="28"/>
              </w:rPr>
              <w:t>nesēja</w:t>
            </w:r>
            <w:r w:rsidRPr="00C43EA1">
              <w:rPr>
                <w:sz w:val="28"/>
                <w:szCs w:val="28"/>
              </w:rPr>
              <w:t xml:space="preserve"> atlīdzības </w:t>
            </w:r>
            <w:r>
              <w:rPr>
                <w:sz w:val="28"/>
                <w:szCs w:val="28"/>
              </w:rPr>
              <w:t>regulējuma noteikšanā un interpretēšanā</w:t>
            </w:r>
            <w:r w:rsidRPr="00C43EA1">
              <w:rPr>
                <w:sz w:val="28"/>
                <w:szCs w:val="28"/>
              </w:rPr>
              <w:t xml:space="preserve"> nozīmīgo normatīvo tiesību aktu, tostarp LR Satversmes, Eiropas Parlamenta un Padomes 2001.gada 22.maija direktīvas 2001/29/EK par dažu autortiesību un</w:t>
            </w:r>
            <w:r>
              <w:rPr>
                <w:sz w:val="28"/>
                <w:szCs w:val="28"/>
              </w:rPr>
              <w:t xml:space="preserve"> </w:t>
            </w:r>
            <w:r w:rsidRPr="00C43EA1">
              <w:rPr>
                <w:sz w:val="28"/>
                <w:szCs w:val="28"/>
              </w:rPr>
              <w:t>blakustiesību aspektu saskaņošanu informācijas sabiedrībā</w:t>
            </w:r>
            <w:r>
              <w:rPr>
                <w:sz w:val="28"/>
                <w:szCs w:val="28"/>
              </w:rPr>
              <w:t>, Autortiesību likuma,</w:t>
            </w:r>
            <w:r w:rsidRPr="00C43EA1">
              <w:rPr>
                <w:sz w:val="28"/>
                <w:szCs w:val="28"/>
              </w:rPr>
              <w:t xml:space="preserve"> analīzi</w:t>
            </w:r>
            <w:r>
              <w:rPr>
                <w:sz w:val="28"/>
                <w:szCs w:val="28"/>
              </w:rPr>
              <w:t>;</w:t>
            </w:r>
          </w:p>
          <w:p w:rsidR="00C43EA1" w:rsidRPr="006C2D86" w:rsidRDefault="006C2D86" w:rsidP="006C2D86">
            <w:pPr>
              <w:pStyle w:val="naiskr"/>
              <w:numPr>
                <w:ilvl w:val="0"/>
                <w:numId w:val="17"/>
              </w:numPr>
              <w:spacing w:before="0" w:after="0"/>
              <w:jc w:val="both"/>
              <w:rPr>
                <w:sz w:val="28"/>
                <w:szCs w:val="28"/>
              </w:rPr>
            </w:pPr>
            <w:r>
              <w:rPr>
                <w:sz w:val="28"/>
                <w:szCs w:val="28"/>
              </w:rPr>
              <w:t xml:space="preserve">ST spriedumā un </w:t>
            </w:r>
            <w:r>
              <w:rPr>
                <w:iCs/>
                <w:sz w:val="28"/>
                <w:szCs w:val="28"/>
              </w:rPr>
              <w:t xml:space="preserve">Eiropas Savienības Tiesas (turpmāk – EST) 2010.gada 21.oktobra spriedumā lietā Nr.C-467/08 </w:t>
            </w:r>
            <w:r w:rsidR="001320DC">
              <w:rPr>
                <w:iCs/>
                <w:sz w:val="28"/>
                <w:szCs w:val="28"/>
              </w:rPr>
              <w:t xml:space="preserve">Padawan SL v SGAE </w:t>
            </w:r>
            <w:r>
              <w:rPr>
                <w:iCs/>
                <w:sz w:val="28"/>
                <w:szCs w:val="28"/>
              </w:rPr>
              <w:t>(turpmāk – EST spriedums) paustajām atziņām;</w:t>
            </w:r>
          </w:p>
          <w:p w:rsidR="006C2D86" w:rsidRPr="006C2D86" w:rsidRDefault="006C2D86" w:rsidP="006C2D86">
            <w:pPr>
              <w:pStyle w:val="naiskr"/>
              <w:numPr>
                <w:ilvl w:val="0"/>
                <w:numId w:val="17"/>
              </w:numPr>
              <w:spacing w:before="0" w:after="0"/>
              <w:jc w:val="both"/>
              <w:rPr>
                <w:sz w:val="28"/>
                <w:szCs w:val="28"/>
              </w:rPr>
            </w:pPr>
            <w:r>
              <w:rPr>
                <w:iCs/>
                <w:sz w:val="28"/>
                <w:szCs w:val="28"/>
              </w:rPr>
              <w:t>sabiedrības līdzdalības procesa ietvaros uzklausītajiem viedokļiem;</w:t>
            </w:r>
          </w:p>
          <w:p w:rsidR="006C2D86" w:rsidRPr="006C2D86" w:rsidRDefault="006C2D86" w:rsidP="006C2D86">
            <w:pPr>
              <w:pStyle w:val="naiskr"/>
              <w:numPr>
                <w:ilvl w:val="0"/>
                <w:numId w:val="17"/>
              </w:numPr>
              <w:spacing w:before="0" w:after="0"/>
              <w:jc w:val="both"/>
              <w:rPr>
                <w:sz w:val="28"/>
                <w:szCs w:val="28"/>
              </w:rPr>
            </w:pPr>
            <w:r>
              <w:rPr>
                <w:iCs/>
                <w:sz w:val="28"/>
                <w:szCs w:val="28"/>
              </w:rPr>
              <w:t>nesē</w:t>
            </w:r>
            <w:r w:rsidR="00D929CA">
              <w:rPr>
                <w:iCs/>
                <w:sz w:val="28"/>
                <w:szCs w:val="28"/>
              </w:rPr>
              <w:t>ja atlīdzības normatīvi tiesisk</w:t>
            </w:r>
            <w:r w:rsidR="00F86630">
              <w:rPr>
                <w:iCs/>
                <w:sz w:val="28"/>
                <w:szCs w:val="28"/>
              </w:rPr>
              <w:t>ā</w:t>
            </w:r>
            <w:r w:rsidR="00D929CA">
              <w:rPr>
                <w:iCs/>
                <w:sz w:val="28"/>
                <w:szCs w:val="28"/>
              </w:rPr>
              <w:t xml:space="preserve"> regulējuma</w:t>
            </w:r>
            <w:r>
              <w:rPr>
                <w:iCs/>
                <w:sz w:val="28"/>
                <w:szCs w:val="28"/>
              </w:rPr>
              <w:t xml:space="preserve"> </w:t>
            </w:r>
            <w:r w:rsidR="00F86630">
              <w:rPr>
                <w:iCs/>
                <w:sz w:val="28"/>
                <w:szCs w:val="28"/>
              </w:rPr>
              <w:t>Eiropas Savienības dalībvalst</w:t>
            </w:r>
            <w:r w:rsidR="006A6123">
              <w:rPr>
                <w:iCs/>
                <w:sz w:val="28"/>
                <w:szCs w:val="28"/>
              </w:rPr>
              <w:t>īs</w:t>
            </w:r>
            <w:r w:rsidR="005C7DD0">
              <w:rPr>
                <w:iCs/>
                <w:sz w:val="28"/>
                <w:szCs w:val="28"/>
              </w:rPr>
              <w:t>, tostarp Lietuvā un Igaunijā,</w:t>
            </w:r>
            <w:r w:rsidR="00D929CA">
              <w:rPr>
                <w:iCs/>
                <w:sz w:val="28"/>
                <w:szCs w:val="28"/>
              </w:rPr>
              <w:t xml:space="preserve"> analīzi</w:t>
            </w:r>
            <w:r>
              <w:rPr>
                <w:iCs/>
                <w:sz w:val="28"/>
                <w:szCs w:val="28"/>
              </w:rPr>
              <w:t>;</w:t>
            </w:r>
          </w:p>
          <w:p w:rsidR="006C2D86" w:rsidRPr="006C2D86" w:rsidRDefault="00D929CA" w:rsidP="006C2D86">
            <w:pPr>
              <w:pStyle w:val="naiskr"/>
              <w:numPr>
                <w:ilvl w:val="0"/>
                <w:numId w:val="17"/>
              </w:numPr>
              <w:spacing w:before="0" w:after="0"/>
              <w:jc w:val="both"/>
              <w:rPr>
                <w:sz w:val="28"/>
                <w:szCs w:val="28"/>
              </w:rPr>
            </w:pPr>
            <w:r>
              <w:rPr>
                <w:iCs/>
                <w:sz w:val="28"/>
                <w:szCs w:val="28"/>
              </w:rPr>
              <w:t>autor</w:t>
            </w:r>
            <w:r w:rsidR="006C2D86">
              <w:rPr>
                <w:iCs/>
                <w:sz w:val="28"/>
                <w:szCs w:val="28"/>
              </w:rPr>
              <w:t>tiesību doktrīnas atziņām.</w:t>
            </w:r>
          </w:p>
          <w:p w:rsidR="00C95079" w:rsidRDefault="00292AFB" w:rsidP="003950D6">
            <w:pPr>
              <w:pStyle w:val="naiskr"/>
              <w:spacing w:before="0" w:after="0"/>
              <w:jc w:val="both"/>
              <w:rPr>
                <w:sz w:val="28"/>
                <w:szCs w:val="28"/>
              </w:rPr>
            </w:pPr>
            <w:r>
              <w:rPr>
                <w:sz w:val="28"/>
                <w:szCs w:val="28"/>
              </w:rPr>
              <w:tab/>
            </w:r>
            <w:r w:rsidR="003950D6">
              <w:rPr>
                <w:sz w:val="28"/>
                <w:szCs w:val="28"/>
              </w:rPr>
              <w:t xml:space="preserve">2012.gada 6.augustā </w:t>
            </w:r>
            <w:r w:rsidR="006A6123">
              <w:rPr>
                <w:sz w:val="28"/>
                <w:szCs w:val="28"/>
              </w:rPr>
              <w:t xml:space="preserve">Kultūras ministrija </w:t>
            </w:r>
            <w:r w:rsidR="003950D6">
              <w:rPr>
                <w:sz w:val="28"/>
                <w:szCs w:val="28"/>
              </w:rPr>
              <w:t xml:space="preserve">pasūtīja pētījumu </w:t>
            </w:r>
            <w:r w:rsidR="003950D6" w:rsidRPr="003950D6">
              <w:rPr>
                <w:sz w:val="28"/>
                <w:szCs w:val="28"/>
              </w:rPr>
              <w:t>par Latvijas iedzīvotāju paradumiem attiecībā uz tiesiski iegūtu autortiesību darbu reproducēšanu personiskai lietošanai</w:t>
            </w:r>
            <w:r w:rsidR="003950D6">
              <w:rPr>
                <w:sz w:val="28"/>
                <w:szCs w:val="28"/>
              </w:rPr>
              <w:t xml:space="preserve"> (turpmāk – privātkopēšanas pētījums). Privātkopēšanas pētījuma veicējs aptaujāja 1039 respondentus </w:t>
            </w:r>
            <w:r w:rsidR="003950D6" w:rsidRPr="003950D6">
              <w:rPr>
                <w:sz w:val="28"/>
                <w:szCs w:val="28"/>
              </w:rPr>
              <w:t xml:space="preserve">vecumā no 15 līdz 74 gadiem </w:t>
            </w:r>
            <w:r w:rsidR="003950D6">
              <w:rPr>
                <w:sz w:val="28"/>
                <w:szCs w:val="28"/>
              </w:rPr>
              <w:t>visos Latvijas reģionos. Atbilstoši minētajam pētījumam likumīgi iegūtus</w:t>
            </w:r>
            <w:r w:rsidR="004C5D4F">
              <w:rPr>
                <w:sz w:val="28"/>
                <w:szCs w:val="28"/>
              </w:rPr>
              <w:t>,</w:t>
            </w:r>
            <w:r w:rsidR="003950D6">
              <w:rPr>
                <w:sz w:val="28"/>
                <w:szCs w:val="28"/>
              </w:rPr>
              <w:t xml:space="preserve"> ar autortiesībām aizsargātus darbus savai personiskai lietošanai šī gada laikā ir </w:t>
            </w:r>
            <w:r w:rsidR="004C5D4F">
              <w:rPr>
                <w:sz w:val="28"/>
                <w:szCs w:val="28"/>
              </w:rPr>
              <w:t>reproducējuši (</w:t>
            </w:r>
            <w:r w:rsidR="003950D6">
              <w:rPr>
                <w:sz w:val="28"/>
                <w:szCs w:val="28"/>
              </w:rPr>
              <w:t>kopējuši</w:t>
            </w:r>
            <w:r w:rsidR="004C5D4F">
              <w:rPr>
                <w:sz w:val="28"/>
                <w:szCs w:val="28"/>
              </w:rPr>
              <w:t>)</w:t>
            </w:r>
            <w:r w:rsidR="003950D6">
              <w:rPr>
                <w:sz w:val="28"/>
                <w:szCs w:val="28"/>
              </w:rPr>
              <w:t xml:space="preserve"> </w:t>
            </w:r>
            <w:r w:rsidR="003950D6" w:rsidRPr="00C95079">
              <w:rPr>
                <w:b/>
                <w:sz w:val="28"/>
                <w:szCs w:val="28"/>
              </w:rPr>
              <w:t>13% respondentu</w:t>
            </w:r>
            <w:r w:rsidR="003950D6">
              <w:rPr>
                <w:sz w:val="28"/>
                <w:szCs w:val="28"/>
              </w:rPr>
              <w:t xml:space="preserve"> </w:t>
            </w:r>
            <w:r w:rsidR="004C5D4F">
              <w:rPr>
                <w:sz w:val="28"/>
                <w:szCs w:val="28"/>
              </w:rPr>
              <w:t>(</w:t>
            </w:r>
            <w:r w:rsidR="003950D6">
              <w:rPr>
                <w:sz w:val="28"/>
                <w:szCs w:val="28"/>
              </w:rPr>
              <w:t>129 respondenti</w:t>
            </w:r>
            <w:r w:rsidR="000A4ACA">
              <w:rPr>
                <w:sz w:val="28"/>
                <w:szCs w:val="28"/>
              </w:rPr>
              <w:t xml:space="preserve"> no 1039</w:t>
            </w:r>
            <w:r w:rsidR="004C5D4F">
              <w:rPr>
                <w:sz w:val="28"/>
                <w:szCs w:val="28"/>
              </w:rPr>
              <w:t>)</w:t>
            </w:r>
            <w:r w:rsidR="003950D6">
              <w:rPr>
                <w:sz w:val="28"/>
                <w:szCs w:val="28"/>
              </w:rPr>
              <w:t xml:space="preserve">. Turpretim 85% respondentu šādas darbības nav veikuši. 2% respondentu </w:t>
            </w:r>
            <w:r w:rsidR="003950D6" w:rsidRPr="003950D6">
              <w:rPr>
                <w:sz w:val="28"/>
                <w:szCs w:val="28"/>
              </w:rPr>
              <w:t>bija grūti sniegt konkrētu atbildi</w:t>
            </w:r>
            <w:r w:rsidR="003950D6">
              <w:rPr>
                <w:sz w:val="28"/>
                <w:szCs w:val="28"/>
              </w:rPr>
              <w:t xml:space="preserve">. </w:t>
            </w:r>
          </w:p>
          <w:p w:rsidR="00292AFB" w:rsidRDefault="00C95079" w:rsidP="003950D6">
            <w:pPr>
              <w:pStyle w:val="naiskr"/>
              <w:spacing w:before="0" w:after="0"/>
              <w:jc w:val="both"/>
              <w:rPr>
                <w:sz w:val="28"/>
                <w:szCs w:val="28"/>
              </w:rPr>
            </w:pPr>
            <w:r>
              <w:rPr>
                <w:sz w:val="28"/>
                <w:szCs w:val="28"/>
              </w:rPr>
              <w:tab/>
            </w:r>
            <w:r w:rsidR="003950D6">
              <w:rPr>
                <w:sz w:val="28"/>
                <w:szCs w:val="28"/>
              </w:rPr>
              <w:t xml:space="preserve">42% no respondentiem, kuri ir veikuši iepriekš norādīto kopēšanu, ir kopējuši no viena līdz desmit darbiem, 18% respondentu – 11-20 darbus, 9% respondentu – 21-30 darbus. 20% minēto respondentu </w:t>
            </w:r>
            <w:r w:rsidR="003950D6" w:rsidRPr="003950D6">
              <w:rPr>
                <w:sz w:val="28"/>
                <w:szCs w:val="28"/>
              </w:rPr>
              <w:t>bija grūti sniegt konkrētu atbildi</w:t>
            </w:r>
            <w:r w:rsidR="003950D6">
              <w:rPr>
                <w:sz w:val="28"/>
                <w:szCs w:val="28"/>
              </w:rPr>
              <w:t>.</w:t>
            </w:r>
          </w:p>
          <w:p w:rsidR="00C95079" w:rsidRDefault="00C95079" w:rsidP="002F22B7">
            <w:pPr>
              <w:pStyle w:val="naiskr"/>
              <w:spacing w:before="0" w:after="0"/>
              <w:jc w:val="both"/>
              <w:rPr>
                <w:sz w:val="28"/>
                <w:szCs w:val="28"/>
              </w:rPr>
            </w:pPr>
            <w:r>
              <w:rPr>
                <w:sz w:val="28"/>
                <w:szCs w:val="28"/>
              </w:rPr>
              <w:tab/>
            </w:r>
            <w:r w:rsidR="002F22B7">
              <w:rPr>
                <w:sz w:val="28"/>
                <w:szCs w:val="28"/>
              </w:rPr>
              <w:t>Pētījumā aptaujātie respon</w:t>
            </w:r>
            <w:r w:rsidR="00FF5A9A">
              <w:rPr>
                <w:sz w:val="28"/>
                <w:szCs w:val="28"/>
              </w:rPr>
              <w:t xml:space="preserve">denti, kuri šī gada laikā bija </w:t>
            </w:r>
            <w:r w:rsidR="002F22B7">
              <w:rPr>
                <w:sz w:val="28"/>
                <w:szCs w:val="28"/>
              </w:rPr>
              <w:t>kopējuši likumīgi iegūtus ar autortiesībām aizsargātus darbus savai personiskai lietošanai, visbiežāk tos kopēja u</w:t>
            </w:r>
            <w:r w:rsidR="00436670">
              <w:rPr>
                <w:sz w:val="28"/>
                <w:szCs w:val="28"/>
              </w:rPr>
              <w:t>z šādiem nesējiem – datora cietā diska</w:t>
            </w:r>
            <w:r w:rsidR="002F22B7">
              <w:rPr>
                <w:sz w:val="28"/>
                <w:szCs w:val="28"/>
              </w:rPr>
              <w:t xml:space="preserve"> </w:t>
            </w:r>
            <w:r w:rsidR="00436670">
              <w:rPr>
                <w:sz w:val="28"/>
                <w:szCs w:val="28"/>
              </w:rPr>
              <w:t>(56% respondentu), USB zibatmiņas</w:t>
            </w:r>
            <w:r w:rsidR="002F22B7">
              <w:rPr>
                <w:sz w:val="28"/>
                <w:szCs w:val="28"/>
              </w:rPr>
              <w:t xml:space="preserve"> (44% respondentu), CD disk</w:t>
            </w:r>
            <w:r w:rsidR="00436670">
              <w:rPr>
                <w:sz w:val="28"/>
                <w:szCs w:val="28"/>
              </w:rPr>
              <w:t>a (32% respondentu), DVD diska</w:t>
            </w:r>
            <w:r w:rsidR="002F22B7">
              <w:rPr>
                <w:sz w:val="28"/>
                <w:szCs w:val="28"/>
              </w:rPr>
              <w:t xml:space="preserve"> (32% respondentu). Pārējos nesējus kopēšanai izmantoja mazāk nekā 25% no minētajiem respondentiem.</w:t>
            </w:r>
          </w:p>
          <w:p w:rsidR="002F22B7" w:rsidRDefault="002F22B7" w:rsidP="005F3EDD">
            <w:pPr>
              <w:pStyle w:val="naiskr"/>
              <w:spacing w:before="0" w:after="0"/>
              <w:jc w:val="both"/>
              <w:rPr>
                <w:sz w:val="28"/>
                <w:szCs w:val="28"/>
              </w:rPr>
            </w:pPr>
            <w:r>
              <w:rPr>
                <w:sz w:val="28"/>
                <w:szCs w:val="28"/>
              </w:rPr>
              <w:tab/>
              <w:t xml:space="preserve">Pētījumā aptaujātie respondenti, </w:t>
            </w:r>
            <w:r w:rsidR="0023079F">
              <w:rPr>
                <w:sz w:val="28"/>
                <w:szCs w:val="28"/>
              </w:rPr>
              <w:t xml:space="preserve">kas iepriekš minētajai kopēšanai izmantojuši iekārtas, 2012.gadā visbiežāk </w:t>
            </w:r>
            <w:r>
              <w:rPr>
                <w:sz w:val="28"/>
                <w:szCs w:val="28"/>
              </w:rPr>
              <w:t xml:space="preserve">kopēšanu </w:t>
            </w:r>
            <w:r w:rsidR="0023079F">
              <w:rPr>
                <w:sz w:val="28"/>
                <w:szCs w:val="28"/>
              </w:rPr>
              <w:t>veikuši</w:t>
            </w:r>
            <w:r>
              <w:rPr>
                <w:sz w:val="28"/>
                <w:szCs w:val="28"/>
              </w:rPr>
              <w:t xml:space="preserve"> ar datora palīdzību (89% respondentu). Pārējās iekārtas izmanto</w:t>
            </w:r>
            <w:r w:rsidR="0023079F">
              <w:rPr>
                <w:sz w:val="28"/>
                <w:szCs w:val="28"/>
              </w:rPr>
              <w:t>ja</w:t>
            </w:r>
            <w:r>
              <w:rPr>
                <w:sz w:val="28"/>
                <w:szCs w:val="28"/>
              </w:rPr>
              <w:t xml:space="preserve"> mazāk nekā 25% respondentu.</w:t>
            </w:r>
          </w:p>
          <w:p w:rsidR="005F3EDD" w:rsidRDefault="005F3EDD" w:rsidP="005F3EDD">
            <w:pPr>
              <w:pStyle w:val="naiskr"/>
              <w:spacing w:before="0" w:after="0"/>
              <w:jc w:val="both"/>
              <w:rPr>
                <w:sz w:val="28"/>
                <w:szCs w:val="28"/>
              </w:rPr>
            </w:pPr>
            <w:r>
              <w:rPr>
                <w:sz w:val="28"/>
                <w:szCs w:val="28"/>
              </w:rPr>
              <w:tab/>
              <w:t xml:space="preserve"> Nesēju un iekārtu saraksta pārvērtēšanai Kultūras ministrija piemēroja turpmāk norādītos kritērijus.</w:t>
            </w:r>
          </w:p>
          <w:p w:rsidR="005F3EDD" w:rsidRDefault="00215D4C" w:rsidP="00DD6503">
            <w:pPr>
              <w:pStyle w:val="naiskr"/>
              <w:spacing w:before="0" w:after="0"/>
              <w:jc w:val="both"/>
              <w:rPr>
                <w:sz w:val="28"/>
                <w:szCs w:val="28"/>
              </w:rPr>
            </w:pPr>
            <w:r>
              <w:rPr>
                <w:b/>
                <w:sz w:val="28"/>
                <w:szCs w:val="28"/>
              </w:rPr>
              <w:tab/>
            </w:r>
            <w:r w:rsidR="00DD6503">
              <w:rPr>
                <w:b/>
                <w:sz w:val="28"/>
                <w:szCs w:val="28"/>
              </w:rPr>
              <w:t>1. </w:t>
            </w:r>
            <w:r>
              <w:rPr>
                <w:b/>
                <w:sz w:val="28"/>
                <w:szCs w:val="28"/>
              </w:rPr>
              <w:t>A</w:t>
            </w:r>
            <w:r w:rsidR="005F3EDD" w:rsidRPr="005F3EDD">
              <w:rPr>
                <w:b/>
                <w:sz w:val="28"/>
                <w:szCs w:val="28"/>
              </w:rPr>
              <w:t>utortiesību un blakustiesību subjektu tiesību aizskāruma smaguma pakāpe</w:t>
            </w:r>
            <w:r w:rsidR="005F3EDD">
              <w:rPr>
                <w:sz w:val="28"/>
                <w:szCs w:val="28"/>
              </w:rPr>
              <w:t xml:space="preserve">. </w:t>
            </w:r>
          </w:p>
          <w:p w:rsidR="00DD6503" w:rsidRDefault="00DD6503" w:rsidP="00DD6503">
            <w:pPr>
              <w:pStyle w:val="naiskr"/>
              <w:spacing w:before="0" w:after="0"/>
              <w:jc w:val="both"/>
              <w:rPr>
                <w:sz w:val="28"/>
                <w:szCs w:val="28"/>
              </w:rPr>
            </w:pPr>
            <w:r>
              <w:rPr>
                <w:sz w:val="28"/>
                <w:szCs w:val="28"/>
              </w:rPr>
              <w:tab/>
              <w:t xml:space="preserve">Autortiesību un blakustiesību subjektiem (turpmāk kopā – autortiesību subjekti) ir tiesības saņemt kompensāciju par savu tiesību atļaut darbu un blakustiesību objektu reproducēšanu ierobežojumu. Minētajai atlīdzībai ir jābūt taisnīgai (Autortiesību likuma 34.panta pirmā daļa). Autortiesību subjektu tiesību aizskāruma smaguma pakāpe vērtējama, ņemot vērā, </w:t>
            </w:r>
            <w:r w:rsidR="00FE4F8C">
              <w:rPr>
                <w:sz w:val="28"/>
                <w:szCs w:val="28"/>
              </w:rPr>
              <w:t xml:space="preserve">kāda </w:t>
            </w:r>
            <w:r>
              <w:rPr>
                <w:sz w:val="28"/>
                <w:szCs w:val="28"/>
              </w:rPr>
              <w:t xml:space="preserve">autortiesību subjektiem </w:t>
            </w:r>
            <w:r w:rsidR="00FE4F8C">
              <w:rPr>
                <w:sz w:val="28"/>
                <w:szCs w:val="28"/>
              </w:rPr>
              <w:t>būtu</w:t>
            </w:r>
            <w:r>
              <w:rPr>
                <w:sz w:val="28"/>
                <w:szCs w:val="28"/>
              </w:rPr>
              <w:t xml:space="preserve"> iespēja </w:t>
            </w:r>
            <w:r w:rsidR="00FE4F8C">
              <w:rPr>
                <w:sz w:val="28"/>
                <w:szCs w:val="28"/>
              </w:rPr>
              <w:t>gūt ienākumus</w:t>
            </w:r>
            <w:r>
              <w:rPr>
                <w:sz w:val="28"/>
                <w:szCs w:val="28"/>
              </w:rPr>
              <w:t>, ja Autortiesību likums neparedz</w:t>
            </w:r>
            <w:r w:rsidR="00457030">
              <w:rPr>
                <w:sz w:val="28"/>
                <w:szCs w:val="28"/>
              </w:rPr>
              <w:t>ētu reproducēšanas tiesību ierobežojumu, kas jākompensē ar nesēja atlīdzības palīdzību. Minētais vērtējums ir atkarīgs no tā, cik lielā mērā sabiedrība veic likumīgi iegūtu ar autortiesībām aizsargātu darbu reproducēšanu personiskai lietošanai. Privātkopēšanas pētījuma rezultāti norāda uz to, ka tikai 13% iedzīvotāju veic iepriekš minēto reproducēšanu. Turklāt</w:t>
            </w:r>
            <w:r w:rsidR="00436670">
              <w:rPr>
                <w:sz w:val="28"/>
                <w:szCs w:val="28"/>
              </w:rPr>
              <w:t>,</w:t>
            </w:r>
            <w:r w:rsidR="00215D4C">
              <w:rPr>
                <w:sz w:val="28"/>
                <w:szCs w:val="28"/>
              </w:rPr>
              <w:t xml:space="preserve"> kā liecina minētā pētījuma rezultāti</w:t>
            </w:r>
            <w:r w:rsidR="00436670">
              <w:rPr>
                <w:sz w:val="28"/>
                <w:szCs w:val="28"/>
              </w:rPr>
              <w:t>,</w:t>
            </w:r>
            <w:r w:rsidR="00457030">
              <w:rPr>
                <w:sz w:val="28"/>
                <w:szCs w:val="28"/>
              </w:rPr>
              <w:t xml:space="preserve"> arī attiecīgā autortiesību ierobežojuma izmantošanas intensitāte </w:t>
            </w:r>
            <w:r w:rsidR="0036669B">
              <w:rPr>
                <w:sz w:val="28"/>
                <w:szCs w:val="28"/>
              </w:rPr>
              <w:t xml:space="preserve">(kopēto darbu daudzums) </w:t>
            </w:r>
            <w:r w:rsidR="00457030">
              <w:rPr>
                <w:sz w:val="28"/>
                <w:szCs w:val="28"/>
              </w:rPr>
              <w:t>ir neliela.</w:t>
            </w:r>
            <w:r w:rsidR="00215D4C">
              <w:rPr>
                <w:sz w:val="28"/>
                <w:szCs w:val="28"/>
              </w:rPr>
              <w:t xml:space="preserve"> Līdz ar to secināms, ka autortiesību subjektu mantiskajām interesēm ar Autortiesību likuma 34.pantā paredzēto autortiesību ierobežojumu tiek nodarīts nebūtisks kaitējums.</w:t>
            </w:r>
          </w:p>
          <w:p w:rsidR="005F3EDD" w:rsidRPr="00215D4C" w:rsidRDefault="00215D4C" w:rsidP="00DD6503">
            <w:pPr>
              <w:pStyle w:val="naiskr"/>
              <w:spacing w:before="0" w:after="0"/>
              <w:jc w:val="both"/>
              <w:rPr>
                <w:b/>
                <w:sz w:val="28"/>
                <w:szCs w:val="28"/>
              </w:rPr>
            </w:pPr>
            <w:r>
              <w:rPr>
                <w:b/>
                <w:sz w:val="28"/>
                <w:szCs w:val="28"/>
              </w:rPr>
              <w:tab/>
            </w:r>
            <w:r w:rsidR="00DD6503" w:rsidRPr="00215D4C">
              <w:rPr>
                <w:b/>
                <w:sz w:val="28"/>
                <w:szCs w:val="28"/>
              </w:rPr>
              <w:t xml:space="preserve">2. </w:t>
            </w:r>
            <w:r w:rsidR="006807F4">
              <w:rPr>
                <w:b/>
                <w:sz w:val="28"/>
                <w:szCs w:val="28"/>
              </w:rPr>
              <w:t>S</w:t>
            </w:r>
            <w:r w:rsidR="005F3EDD" w:rsidRPr="00215D4C">
              <w:rPr>
                <w:b/>
                <w:sz w:val="28"/>
                <w:szCs w:val="28"/>
              </w:rPr>
              <w:t>amērī</w:t>
            </w:r>
            <w:r w:rsidR="00DD6503" w:rsidRPr="00215D4C">
              <w:rPr>
                <w:b/>
                <w:sz w:val="28"/>
                <w:szCs w:val="28"/>
              </w:rPr>
              <w:t>gums ar sabiedrības interesēm.</w:t>
            </w:r>
          </w:p>
          <w:p w:rsidR="00343A51" w:rsidRDefault="00215D4C" w:rsidP="00DD6503">
            <w:pPr>
              <w:pStyle w:val="naiskr"/>
              <w:spacing w:before="0" w:after="0"/>
              <w:jc w:val="both"/>
              <w:rPr>
                <w:sz w:val="28"/>
                <w:szCs w:val="28"/>
              </w:rPr>
            </w:pPr>
            <w:r>
              <w:rPr>
                <w:sz w:val="28"/>
                <w:szCs w:val="28"/>
              </w:rPr>
              <w:tab/>
            </w:r>
            <w:r w:rsidR="006807F4">
              <w:rPr>
                <w:sz w:val="28"/>
                <w:szCs w:val="28"/>
              </w:rPr>
              <w:t>Nosakot nesējus un iekārtas, par kurām ir maksājama nesēja atlīdzība</w:t>
            </w:r>
            <w:r w:rsidR="007A76C3">
              <w:rPr>
                <w:sz w:val="28"/>
                <w:szCs w:val="28"/>
              </w:rPr>
              <w:t>,</w:t>
            </w:r>
            <w:r w:rsidR="006807F4">
              <w:rPr>
                <w:sz w:val="28"/>
                <w:szCs w:val="28"/>
              </w:rPr>
              <w:t xml:space="preserve"> un </w:t>
            </w:r>
            <w:r w:rsidR="002934B5">
              <w:rPr>
                <w:sz w:val="28"/>
                <w:szCs w:val="28"/>
              </w:rPr>
              <w:t>attiecīgās atlīdzības</w:t>
            </w:r>
            <w:r w:rsidR="006807F4">
              <w:rPr>
                <w:sz w:val="28"/>
                <w:szCs w:val="28"/>
              </w:rPr>
              <w:t xml:space="preserve"> lielumu, jāņem vērā</w:t>
            </w:r>
            <w:r w:rsidR="00326552">
              <w:rPr>
                <w:sz w:val="28"/>
                <w:szCs w:val="28"/>
              </w:rPr>
              <w:t xml:space="preserve">, </w:t>
            </w:r>
            <w:r w:rsidR="003E38C4">
              <w:rPr>
                <w:sz w:val="28"/>
                <w:szCs w:val="28"/>
              </w:rPr>
              <w:t>ka</w:t>
            </w:r>
            <w:r w:rsidR="00326552">
              <w:rPr>
                <w:sz w:val="28"/>
                <w:szCs w:val="28"/>
              </w:rPr>
              <w:t xml:space="preserve"> ar nesēja atlīdzības palīdzību sabiedrībai uz</w:t>
            </w:r>
            <w:r w:rsidR="003E38C4">
              <w:rPr>
                <w:sz w:val="28"/>
                <w:szCs w:val="28"/>
              </w:rPr>
              <w:t>liktajam ekonomiskajam</w:t>
            </w:r>
            <w:r w:rsidR="00326552">
              <w:rPr>
                <w:sz w:val="28"/>
                <w:szCs w:val="28"/>
              </w:rPr>
              <w:t xml:space="preserve"> slog</w:t>
            </w:r>
            <w:r w:rsidR="003E38C4">
              <w:rPr>
                <w:sz w:val="28"/>
                <w:szCs w:val="28"/>
              </w:rPr>
              <w:t>am</w:t>
            </w:r>
            <w:r w:rsidR="00326552">
              <w:rPr>
                <w:sz w:val="28"/>
                <w:szCs w:val="28"/>
              </w:rPr>
              <w:t xml:space="preserve"> ir </w:t>
            </w:r>
            <w:r w:rsidR="003E38C4">
              <w:rPr>
                <w:sz w:val="28"/>
                <w:szCs w:val="28"/>
              </w:rPr>
              <w:t xml:space="preserve">jābūt </w:t>
            </w:r>
            <w:r w:rsidR="00326552">
              <w:rPr>
                <w:sz w:val="28"/>
                <w:szCs w:val="28"/>
              </w:rPr>
              <w:t>samērīg</w:t>
            </w:r>
            <w:r w:rsidR="003E38C4">
              <w:rPr>
                <w:sz w:val="28"/>
                <w:szCs w:val="28"/>
              </w:rPr>
              <w:t>am</w:t>
            </w:r>
            <w:r w:rsidR="00326552">
              <w:rPr>
                <w:sz w:val="28"/>
                <w:szCs w:val="28"/>
              </w:rPr>
              <w:t xml:space="preserve"> ar sabiedrības </w:t>
            </w:r>
            <w:r w:rsidR="003E38C4">
              <w:rPr>
                <w:sz w:val="28"/>
                <w:szCs w:val="28"/>
              </w:rPr>
              <w:t>ieguvumu</w:t>
            </w:r>
            <w:r w:rsidR="00326552">
              <w:rPr>
                <w:sz w:val="28"/>
                <w:szCs w:val="28"/>
              </w:rPr>
              <w:t xml:space="preserve"> no attiecīgā autortiesību ierobežojuma</w:t>
            </w:r>
            <w:r w:rsidR="003E38C4">
              <w:rPr>
                <w:sz w:val="28"/>
                <w:szCs w:val="28"/>
              </w:rPr>
              <w:t xml:space="preserve"> izmantošanas</w:t>
            </w:r>
            <w:r w:rsidR="00775205">
              <w:rPr>
                <w:sz w:val="28"/>
                <w:szCs w:val="28"/>
              </w:rPr>
              <w:t>. Jāņem vērā</w:t>
            </w:r>
            <w:r w:rsidR="00326552">
              <w:rPr>
                <w:sz w:val="28"/>
                <w:szCs w:val="28"/>
              </w:rPr>
              <w:t xml:space="preserve">, ka </w:t>
            </w:r>
            <w:r w:rsidR="003E38C4">
              <w:rPr>
                <w:sz w:val="28"/>
                <w:szCs w:val="28"/>
              </w:rPr>
              <w:t>minētais autortiesību ierobežojums tiek izmantots nebūtiskā apmērā</w:t>
            </w:r>
            <w:r w:rsidR="00F74E7B">
              <w:rPr>
                <w:sz w:val="28"/>
                <w:szCs w:val="28"/>
              </w:rPr>
              <w:t>,</w:t>
            </w:r>
            <w:r w:rsidR="003E38C4">
              <w:rPr>
                <w:sz w:val="28"/>
                <w:szCs w:val="28"/>
              </w:rPr>
              <w:t xml:space="preserve"> un tas</w:t>
            </w:r>
            <w:r w:rsidR="00F74E7B">
              <w:rPr>
                <w:sz w:val="28"/>
                <w:szCs w:val="28"/>
              </w:rPr>
              <w:t>,</w:t>
            </w:r>
            <w:r w:rsidR="003E38C4">
              <w:rPr>
                <w:sz w:val="28"/>
                <w:szCs w:val="28"/>
              </w:rPr>
              <w:t xml:space="preserve"> ka nesēji un iek</w:t>
            </w:r>
            <w:r w:rsidR="00F74E7B">
              <w:rPr>
                <w:sz w:val="28"/>
                <w:szCs w:val="28"/>
              </w:rPr>
              <w:t>ārtas var tikt izmantoti citu</w:t>
            </w:r>
            <w:r w:rsidR="003E38C4">
              <w:rPr>
                <w:sz w:val="28"/>
                <w:szCs w:val="28"/>
              </w:rPr>
              <w:t>, ar autortiesību ierobežojuma izmantošanu nesaistītu mērķu sasniegšanai, piemēram, savu darbu ierakstīšanai un uzglabāšanai</w:t>
            </w:r>
            <w:r w:rsidR="00775205">
              <w:rPr>
                <w:sz w:val="28"/>
                <w:szCs w:val="28"/>
              </w:rPr>
              <w:t>.</w:t>
            </w:r>
            <w:r w:rsidR="005F027B">
              <w:rPr>
                <w:sz w:val="28"/>
                <w:szCs w:val="28"/>
              </w:rPr>
              <w:t xml:space="preserve"> </w:t>
            </w:r>
          </w:p>
          <w:p w:rsidR="00B058D2" w:rsidRDefault="00343A51" w:rsidP="00DD6503">
            <w:pPr>
              <w:pStyle w:val="naiskr"/>
              <w:spacing w:before="0" w:after="0"/>
              <w:jc w:val="both"/>
              <w:rPr>
                <w:sz w:val="28"/>
                <w:szCs w:val="28"/>
              </w:rPr>
            </w:pPr>
            <w:r>
              <w:rPr>
                <w:sz w:val="28"/>
                <w:szCs w:val="28"/>
              </w:rPr>
              <w:tab/>
            </w:r>
            <w:r w:rsidR="005C7DD0">
              <w:rPr>
                <w:sz w:val="28"/>
                <w:szCs w:val="28"/>
              </w:rPr>
              <w:t xml:space="preserve">Tāpat jāņem vērā, ka atbilstoši </w:t>
            </w:r>
            <w:proofErr w:type="spellStart"/>
            <w:r w:rsidR="005C7DD0">
              <w:rPr>
                <w:sz w:val="28"/>
                <w:szCs w:val="28"/>
              </w:rPr>
              <w:t>privātkopēšanas</w:t>
            </w:r>
            <w:proofErr w:type="spellEnd"/>
            <w:r w:rsidR="005C7DD0">
              <w:rPr>
                <w:sz w:val="28"/>
                <w:szCs w:val="28"/>
              </w:rPr>
              <w:t xml:space="preserve"> pētījuma datiem </w:t>
            </w:r>
            <w:r w:rsidR="00B058D2">
              <w:rPr>
                <w:sz w:val="28"/>
                <w:szCs w:val="28"/>
              </w:rPr>
              <w:t>85% iedzīvotāju</w:t>
            </w:r>
            <w:r w:rsidR="00FF7897">
              <w:rPr>
                <w:sz w:val="28"/>
                <w:szCs w:val="28"/>
              </w:rPr>
              <w:t xml:space="preserve"> neveic ar autortiesībām aizsargātu darbu reproducēšanu personiskai lietošanai. Tas nozīmē, ka nesēja atlīdzības radītais ekonomiskais slogs tiek attiecināts uz lielāko sabiedrības daļu, kas negūst labumu no minētā autortiesību ierobežojuma.</w:t>
            </w:r>
          </w:p>
          <w:p w:rsidR="00BD108A" w:rsidRDefault="00B058D2" w:rsidP="00DD6503">
            <w:pPr>
              <w:pStyle w:val="naiskr"/>
              <w:spacing w:before="0" w:after="0"/>
              <w:jc w:val="both"/>
              <w:rPr>
                <w:sz w:val="28"/>
                <w:szCs w:val="28"/>
              </w:rPr>
            </w:pPr>
            <w:r>
              <w:rPr>
                <w:sz w:val="28"/>
                <w:szCs w:val="28"/>
              </w:rPr>
              <w:tab/>
            </w:r>
            <w:r w:rsidR="005F027B">
              <w:rPr>
                <w:sz w:val="28"/>
                <w:szCs w:val="28"/>
              </w:rPr>
              <w:t>Par nesamērīgu atzīstama nesēja atlīdzības paredzēšana par tādiem nesējiem un iekārtām, kas tiek izmantoti likumīgi ieg</w:t>
            </w:r>
            <w:r w:rsidR="00901D63">
              <w:rPr>
                <w:sz w:val="28"/>
                <w:szCs w:val="28"/>
              </w:rPr>
              <w:t>ūtu</w:t>
            </w:r>
            <w:r w:rsidR="005F027B">
              <w:rPr>
                <w:sz w:val="28"/>
                <w:szCs w:val="28"/>
              </w:rPr>
              <w:t xml:space="preserve"> ar autortiesībām aizsargātu darbu reproducēšanai personiskai lieto</w:t>
            </w:r>
            <w:r w:rsidR="00BD108A">
              <w:rPr>
                <w:sz w:val="28"/>
                <w:szCs w:val="28"/>
              </w:rPr>
              <w:t xml:space="preserve">šanai, taču </w:t>
            </w:r>
            <w:r w:rsidR="00822E94">
              <w:rPr>
                <w:sz w:val="28"/>
                <w:szCs w:val="28"/>
              </w:rPr>
              <w:t>kuru</w:t>
            </w:r>
            <w:r w:rsidR="00BD108A">
              <w:rPr>
                <w:sz w:val="28"/>
                <w:szCs w:val="28"/>
              </w:rPr>
              <w:t xml:space="preserve"> izmantojums nodara minimālu kaitējumu autortiesību subjektu mantiskajām interesēm. </w:t>
            </w:r>
            <w:r w:rsidR="00165868">
              <w:rPr>
                <w:sz w:val="28"/>
                <w:szCs w:val="28"/>
              </w:rPr>
              <w:t xml:space="preserve">Līdz ar to nesēju un iekārtu sarakstā nebūtu iekļaujami tie nesēji un iekārtas, kurus iepriekš minētai reproducēšanai izmanto mazāk nekā 3% no visiem respondentiem, kas tika aptaujāti </w:t>
            </w:r>
            <w:r w:rsidR="00520B51">
              <w:rPr>
                <w:sz w:val="28"/>
                <w:szCs w:val="28"/>
              </w:rPr>
              <w:t>p</w:t>
            </w:r>
            <w:r w:rsidR="00165868">
              <w:rPr>
                <w:sz w:val="28"/>
                <w:szCs w:val="28"/>
              </w:rPr>
              <w:t>rivātkopēšanas pētījuma ietvaros</w:t>
            </w:r>
            <w:r w:rsidR="00B07D4C">
              <w:rPr>
                <w:sz w:val="28"/>
                <w:szCs w:val="28"/>
              </w:rPr>
              <w:t>, jeb ~25% no respondentiem, kas veic</w:t>
            </w:r>
            <w:r w:rsidR="00B07D4C">
              <w:t xml:space="preserve"> </w:t>
            </w:r>
            <w:r w:rsidR="00B07D4C" w:rsidRPr="00B07D4C">
              <w:rPr>
                <w:sz w:val="28"/>
                <w:szCs w:val="28"/>
              </w:rPr>
              <w:t>likumīgi iegūtu ar autortiesībām aizsargātu</w:t>
            </w:r>
            <w:r w:rsidR="00B07D4C">
              <w:rPr>
                <w:sz w:val="28"/>
                <w:szCs w:val="28"/>
              </w:rPr>
              <w:t xml:space="preserve"> darbu reproducēšanu</w:t>
            </w:r>
            <w:r w:rsidR="00B07D4C" w:rsidRPr="00B07D4C">
              <w:rPr>
                <w:sz w:val="28"/>
                <w:szCs w:val="28"/>
              </w:rPr>
              <w:t xml:space="preserve"> personiskai lietošanai</w:t>
            </w:r>
            <w:r w:rsidR="00165868">
              <w:rPr>
                <w:sz w:val="28"/>
                <w:szCs w:val="28"/>
              </w:rPr>
              <w:t xml:space="preserve">.  </w:t>
            </w:r>
          </w:p>
          <w:p w:rsidR="005F3EDD" w:rsidRPr="00326552" w:rsidRDefault="00326552" w:rsidP="00DD6503">
            <w:pPr>
              <w:pStyle w:val="naiskr"/>
              <w:spacing w:before="0" w:after="0"/>
              <w:jc w:val="both"/>
              <w:rPr>
                <w:b/>
                <w:sz w:val="28"/>
                <w:szCs w:val="28"/>
              </w:rPr>
            </w:pPr>
            <w:r>
              <w:rPr>
                <w:b/>
                <w:sz w:val="28"/>
                <w:szCs w:val="28"/>
              </w:rPr>
              <w:tab/>
            </w:r>
            <w:r w:rsidR="00DD6503" w:rsidRPr="00326552">
              <w:rPr>
                <w:b/>
                <w:sz w:val="28"/>
                <w:szCs w:val="28"/>
              </w:rPr>
              <w:t>3. </w:t>
            </w:r>
            <w:r w:rsidRPr="00326552">
              <w:rPr>
                <w:b/>
                <w:sz w:val="28"/>
                <w:szCs w:val="28"/>
              </w:rPr>
              <w:t>A</w:t>
            </w:r>
            <w:r w:rsidR="005F3EDD" w:rsidRPr="00326552">
              <w:rPr>
                <w:b/>
                <w:sz w:val="28"/>
                <w:szCs w:val="28"/>
              </w:rPr>
              <w:t>utoru iespējas citos veidos gūt ma</w:t>
            </w:r>
            <w:r w:rsidR="00DD6503" w:rsidRPr="00326552">
              <w:rPr>
                <w:b/>
                <w:sz w:val="28"/>
                <w:szCs w:val="28"/>
              </w:rPr>
              <w:t>ntisku labumu no reproducēšanas.</w:t>
            </w:r>
          </w:p>
          <w:p w:rsidR="00326552" w:rsidRDefault="00326552" w:rsidP="00DD6503">
            <w:pPr>
              <w:pStyle w:val="naiskr"/>
              <w:spacing w:before="0" w:after="0"/>
              <w:jc w:val="both"/>
              <w:rPr>
                <w:sz w:val="28"/>
                <w:szCs w:val="28"/>
              </w:rPr>
            </w:pPr>
            <w:r>
              <w:rPr>
                <w:sz w:val="28"/>
                <w:szCs w:val="28"/>
              </w:rPr>
              <w:tab/>
            </w:r>
            <w:r w:rsidR="00571F11">
              <w:rPr>
                <w:sz w:val="28"/>
                <w:szCs w:val="28"/>
              </w:rPr>
              <w:t xml:space="preserve">Pārvērtējot nesēju un iekārtu sarakstus, jāņem vērā, ka autortiesību subjektiem ir iespēja saņemt taisnīgu atlīdzību par savu darbu reproducēšanai personiskai lietošanai, ietverot minēto atlīdzību atsavināmā darba eksemplāra cenā. </w:t>
            </w:r>
            <w:r w:rsidR="002324AA">
              <w:rPr>
                <w:sz w:val="28"/>
                <w:szCs w:val="28"/>
              </w:rPr>
              <w:t>Šāda iespēja tiek nereti izmantota arī praksē, piemēram, atsavinot mūzikas darbus dažādos interneta veikalos (</w:t>
            </w:r>
            <w:hyperlink r:id="rId8" w:history="1">
              <w:r w:rsidR="002324AA" w:rsidRPr="0071007D">
                <w:rPr>
                  <w:rStyle w:val="Hipersaite"/>
                  <w:sz w:val="28"/>
                  <w:szCs w:val="28"/>
                </w:rPr>
                <w:t>www.itunes.com</w:t>
              </w:r>
            </w:hyperlink>
            <w:r w:rsidR="002324AA">
              <w:rPr>
                <w:sz w:val="28"/>
                <w:szCs w:val="28"/>
              </w:rPr>
              <w:t xml:space="preserve">, </w:t>
            </w:r>
            <w:hyperlink r:id="rId9" w:history="1">
              <w:r w:rsidR="002324AA" w:rsidRPr="0071007D">
                <w:rPr>
                  <w:rStyle w:val="Hipersaite"/>
                  <w:sz w:val="28"/>
                  <w:szCs w:val="28"/>
                </w:rPr>
                <w:t>www.spotify.com</w:t>
              </w:r>
            </w:hyperlink>
            <w:r w:rsidR="002324AA">
              <w:rPr>
                <w:sz w:val="28"/>
                <w:szCs w:val="28"/>
              </w:rPr>
              <w:t xml:space="preserve"> u.c.). </w:t>
            </w:r>
          </w:p>
          <w:p w:rsidR="005F3EDD" w:rsidRPr="007A76C3" w:rsidRDefault="00AE7840" w:rsidP="007A76C3">
            <w:pPr>
              <w:pStyle w:val="naiskr"/>
              <w:spacing w:before="0" w:after="0"/>
              <w:rPr>
                <w:b/>
                <w:sz w:val="28"/>
                <w:szCs w:val="28"/>
              </w:rPr>
            </w:pPr>
            <w:r>
              <w:rPr>
                <w:sz w:val="28"/>
                <w:szCs w:val="28"/>
              </w:rPr>
              <w:t xml:space="preserve">          </w:t>
            </w:r>
            <w:r w:rsidRPr="007A76C3">
              <w:rPr>
                <w:b/>
                <w:sz w:val="28"/>
                <w:szCs w:val="28"/>
              </w:rPr>
              <w:t>4</w:t>
            </w:r>
            <w:r w:rsidR="00DD6503" w:rsidRPr="007A76C3">
              <w:rPr>
                <w:b/>
                <w:sz w:val="28"/>
                <w:szCs w:val="28"/>
              </w:rPr>
              <w:t>. </w:t>
            </w:r>
            <w:r w:rsidRPr="007A76C3">
              <w:rPr>
                <w:b/>
                <w:sz w:val="28"/>
                <w:szCs w:val="28"/>
              </w:rPr>
              <w:t>D</w:t>
            </w:r>
            <w:r w:rsidR="005F3EDD" w:rsidRPr="007A76C3">
              <w:rPr>
                <w:b/>
                <w:sz w:val="28"/>
                <w:szCs w:val="28"/>
              </w:rPr>
              <w:t>ubultas aplikšanas nepieļaujamība.</w:t>
            </w:r>
          </w:p>
          <w:p w:rsidR="005F3EDD" w:rsidRDefault="00AE7840" w:rsidP="005F3EDD">
            <w:pPr>
              <w:pStyle w:val="naiskr"/>
              <w:spacing w:before="0" w:after="0"/>
              <w:jc w:val="both"/>
              <w:rPr>
                <w:sz w:val="28"/>
                <w:szCs w:val="28"/>
              </w:rPr>
            </w:pPr>
            <w:r>
              <w:rPr>
                <w:sz w:val="28"/>
                <w:szCs w:val="28"/>
              </w:rPr>
              <w:t xml:space="preserve">          Nesēju un iekārtu saraksta pārvērtēšanā abi saraksti </w:t>
            </w:r>
            <w:r w:rsidR="00A31BB1">
              <w:rPr>
                <w:sz w:val="28"/>
                <w:szCs w:val="28"/>
              </w:rPr>
              <w:t xml:space="preserve">(noteikumu 3.un 4.punkts) </w:t>
            </w:r>
            <w:r>
              <w:rPr>
                <w:sz w:val="28"/>
                <w:szCs w:val="28"/>
              </w:rPr>
              <w:t xml:space="preserve">ir skatāmi kopsakarā, lai novērstu nesēju un iekārtu dubultas aplikšanas risku. Atbilstoši </w:t>
            </w:r>
            <w:r w:rsidR="00520B51">
              <w:rPr>
                <w:sz w:val="28"/>
                <w:szCs w:val="28"/>
              </w:rPr>
              <w:t>p</w:t>
            </w:r>
            <w:r>
              <w:rPr>
                <w:sz w:val="28"/>
                <w:szCs w:val="28"/>
              </w:rPr>
              <w:t>rivātkopēšanas pētījuma rezultātiem</w:t>
            </w:r>
            <w:r w:rsidR="00B670EF">
              <w:rPr>
                <w:sz w:val="28"/>
                <w:szCs w:val="28"/>
              </w:rPr>
              <w:t xml:space="preserve"> </w:t>
            </w:r>
            <w:r w:rsidR="000A4ACA">
              <w:rPr>
                <w:sz w:val="28"/>
                <w:szCs w:val="28"/>
              </w:rPr>
              <w:t xml:space="preserve">par nesēju izmantošanu reproducēšanai, </w:t>
            </w:r>
            <w:r w:rsidR="00B670EF">
              <w:rPr>
                <w:sz w:val="28"/>
                <w:szCs w:val="28"/>
              </w:rPr>
              <w:t>likumīgi ieg</w:t>
            </w:r>
            <w:r w:rsidR="00901D63">
              <w:rPr>
                <w:sz w:val="28"/>
                <w:szCs w:val="28"/>
              </w:rPr>
              <w:t>ūti</w:t>
            </w:r>
            <w:r w:rsidR="000A4ACA">
              <w:rPr>
                <w:sz w:val="28"/>
                <w:szCs w:val="28"/>
              </w:rPr>
              <w:t>,</w:t>
            </w:r>
            <w:r w:rsidR="00B670EF">
              <w:rPr>
                <w:sz w:val="28"/>
                <w:szCs w:val="28"/>
              </w:rPr>
              <w:t xml:space="preserve"> ar autortiesībām aizsargāti darbi personiskai lietošanai visvairāk tiek kopēti uz datoru cietajiem diskiem (</w:t>
            </w:r>
            <w:r w:rsidR="00F3798E">
              <w:rPr>
                <w:sz w:val="28"/>
                <w:szCs w:val="28"/>
              </w:rPr>
              <w:t>56% respondentu).</w:t>
            </w:r>
            <w:r w:rsidR="009162B5">
              <w:rPr>
                <w:sz w:val="28"/>
                <w:szCs w:val="28"/>
              </w:rPr>
              <w:t xml:space="preserve"> </w:t>
            </w:r>
            <w:r w:rsidR="00F3798E">
              <w:rPr>
                <w:sz w:val="28"/>
                <w:szCs w:val="28"/>
              </w:rPr>
              <w:t>Savukārt</w:t>
            </w:r>
            <w:r w:rsidR="000A4ACA">
              <w:rPr>
                <w:sz w:val="28"/>
                <w:szCs w:val="28"/>
              </w:rPr>
              <w:t>,</w:t>
            </w:r>
            <w:r w:rsidR="00F3798E">
              <w:rPr>
                <w:sz w:val="28"/>
                <w:szCs w:val="28"/>
              </w:rPr>
              <w:t xml:space="preserve"> </w:t>
            </w:r>
            <w:r w:rsidR="000A4ACA">
              <w:rPr>
                <w:sz w:val="28"/>
                <w:szCs w:val="28"/>
              </w:rPr>
              <w:t xml:space="preserve">no iekārtu saraksta visbiežāk kopēšanai tiek izmantoti </w:t>
            </w:r>
            <w:r w:rsidR="00F3798E">
              <w:rPr>
                <w:sz w:val="28"/>
                <w:szCs w:val="28"/>
              </w:rPr>
              <w:t>datori</w:t>
            </w:r>
            <w:r w:rsidR="00520B51">
              <w:rPr>
                <w:sz w:val="28"/>
                <w:szCs w:val="28"/>
              </w:rPr>
              <w:t xml:space="preserve"> </w:t>
            </w:r>
            <w:r w:rsidR="009162B5">
              <w:rPr>
                <w:sz w:val="28"/>
                <w:szCs w:val="28"/>
              </w:rPr>
              <w:t xml:space="preserve">(89% respondentu). </w:t>
            </w:r>
            <w:r w:rsidR="00EE3480">
              <w:rPr>
                <w:sz w:val="28"/>
                <w:szCs w:val="28"/>
              </w:rPr>
              <w:t>Tādējādi</w:t>
            </w:r>
            <w:r w:rsidR="00F3798E">
              <w:rPr>
                <w:sz w:val="28"/>
                <w:szCs w:val="28"/>
              </w:rPr>
              <w:t>,</w:t>
            </w:r>
            <w:r w:rsidR="00EE3480">
              <w:rPr>
                <w:sz w:val="28"/>
                <w:szCs w:val="28"/>
              </w:rPr>
              <w:t xml:space="preserve"> novēršot nesēju un iekārtu dubulto aplikšanu</w:t>
            </w:r>
            <w:r w:rsidR="00F3798E">
              <w:rPr>
                <w:sz w:val="28"/>
                <w:szCs w:val="28"/>
              </w:rPr>
              <w:t>,</w:t>
            </w:r>
            <w:r w:rsidR="00EE3480">
              <w:rPr>
                <w:sz w:val="28"/>
                <w:szCs w:val="28"/>
              </w:rPr>
              <w:t xml:space="preserve"> nesēja atlīdzība būtu maksājama tikai par datoriem. </w:t>
            </w:r>
          </w:p>
          <w:p w:rsidR="00533D41" w:rsidRPr="00B339AC" w:rsidRDefault="00533D41" w:rsidP="003F2544">
            <w:pPr>
              <w:pStyle w:val="naiskr"/>
              <w:spacing w:before="0" w:after="0"/>
              <w:jc w:val="both"/>
              <w:rPr>
                <w:sz w:val="28"/>
                <w:szCs w:val="28"/>
              </w:rPr>
            </w:pPr>
            <w:r>
              <w:rPr>
                <w:sz w:val="28"/>
                <w:szCs w:val="28"/>
              </w:rPr>
              <w:t>Pašreiz noteikumi paredz nesēja atlīdzību kā fiksētu likmi. Šāds regulējums nenodrošina nesēj</w:t>
            </w:r>
            <w:r w:rsidR="00AD4B18">
              <w:rPr>
                <w:sz w:val="28"/>
                <w:szCs w:val="28"/>
              </w:rPr>
              <w:t>a</w:t>
            </w:r>
            <w:r>
              <w:rPr>
                <w:sz w:val="28"/>
                <w:szCs w:val="28"/>
              </w:rPr>
              <w:t xml:space="preserve"> atlīdzības pielāgošanos nesēju un iekārtu cenu izmaiņām. Tādējādi rodas risks, ka nesēja atlīdzības </w:t>
            </w:r>
            <w:r w:rsidR="002E0D3C">
              <w:rPr>
                <w:sz w:val="28"/>
                <w:szCs w:val="28"/>
              </w:rPr>
              <w:t>īpatsvars attiec</w:t>
            </w:r>
            <w:r w:rsidR="00901D63">
              <w:rPr>
                <w:sz w:val="28"/>
                <w:szCs w:val="28"/>
              </w:rPr>
              <w:t>īgo</w:t>
            </w:r>
            <w:r w:rsidR="002E0D3C">
              <w:rPr>
                <w:sz w:val="28"/>
                <w:szCs w:val="28"/>
              </w:rPr>
              <w:t xml:space="preserve"> nesēju un iekārtu cenās kļūst nesamērīgi liels. T</w:t>
            </w:r>
            <w:r w:rsidR="00D73704">
              <w:rPr>
                <w:sz w:val="28"/>
                <w:szCs w:val="28"/>
              </w:rPr>
              <w:t>as</w:t>
            </w:r>
            <w:r w:rsidR="002E0D3C">
              <w:rPr>
                <w:sz w:val="28"/>
                <w:szCs w:val="28"/>
              </w:rPr>
              <w:t xml:space="preserve"> savuk</w:t>
            </w:r>
            <w:r w:rsidR="00D73704">
              <w:rPr>
                <w:sz w:val="28"/>
                <w:szCs w:val="28"/>
              </w:rPr>
              <w:t>ārt</w:t>
            </w:r>
            <w:r w:rsidR="002E0D3C">
              <w:rPr>
                <w:sz w:val="28"/>
                <w:szCs w:val="28"/>
              </w:rPr>
              <w:t xml:space="preserve"> negatīvi ietekmē nesēju un iekārtu tirgu Latvijā. </w:t>
            </w:r>
            <w:r w:rsidR="00D73704">
              <w:rPr>
                <w:sz w:val="28"/>
                <w:szCs w:val="28"/>
              </w:rPr>
              <w:t xml:space="preserve">Iepriekš minēto pašreizējā regulējuma trūkumu novēršanai noteikumu projekts paredz nesēju atlīdzību noteikt kā procentuālu likmi no nesēju un iekārtu </w:t>
            </w:r>
            <w:r w:rsidR="009B658C">
              <w:rPr>
                <w:sz w:val="28"/>
                <w:szCs w:val="28"/>
              </w:rPr>
              <w:t>pirmās atsavināšanas cenas Latvijas teritorijā</w:t>
            </w:r>
            <w:r w:rsidR="00D73704">
              <w:rPr>
                <w:sz w:val="28"/>
                <w:szCs w:val="28"/>
              </w:rPr>
              <w:t xml:space="preserve">. </w:t>
            </w:r>
            <w:r w:rsidR="00736F65">
              <w:rPr>
                <w:sz w:val="28"/>
                <w:szCs w:val="28"/>
              </w:rPr>
              <w:t>Nosakot nesēju atlīdzības procentuālo likmi, jāņem vērā attiecīgo nesēju un iekārtu izmantošanas mērķis.</w:t>
            </w:r>
            <w:r w:rsidR="00515914">
              <w:rPr>
                <w:sz w:val="28"/>
                <w:szCs w:val="28"/>
              </w:rPr>
              <w:t xml:space="preserve"> Tāpat jāņem vērā, cik intensīvi attiecīgie nesēji un iekārtas tiek izmantoti</w:t>
            </w:r>
            <w:r w:rsidR="00E70FE9">
              <w:rPr>
                <w:sz w:val="28"/>
                <w:szCs w:val="28"/>
              </w:rPr>
              <w:t xml:space="preserve"> likumīgi ieg</w:t>
            </w:r>
            <w:r w:rsidR="00901D63">
              <w:rPr>
                <w:sz w:val="28"/>
                <w:szCs w:val="28"/>
              </w:rPr>
              <w:t>ūtu</w:t>
            </w:r>
            <w:r w:rsidR="00E70FE9">
              <w:rPr>
                <w:sz w:val="28"/>
                <w:szCs w:val="28"/>
              </w:rPr>
              <w:t xml:space="preserve"> ar autortiesībām aizsarg</w:t>
            </w:r>
            <w:r w:rsidR="00960F1F">
              <w:rPr>
                <w:sz w:val="28"/>
                <w:szCs w:val="28"/>
              </w:rPr>
              <w:t>ātu</w:t>
            </w:r>
            <w:r w:rsidR="00E70FE9">
              <w:rPr>
                <w:sz w:val="28"/>
                <w:szCs w:val="28"/>
              </w:rPr>
              <w:t xml:space="preserve"> darbu reproducēšanai personiskai lietošanai.</w:t>
            </w:r>
          </w:p>
        </w:tc>
      </w:tr>
      <w:tr w:rsidR="00262E2B" w:rsidRPr="00B339AC" w:rsidTr="00FF5A9A">
        <w:trPr>
          <w:trHeight w:val="1071"/>
        </w:trPr>
        <w:tc>
          <w:tcPr>
            <w:tcW w:w="283" w:type="pct"/>
          </w:tcPr>
          <w:p w:rsidR="00262E2B" w:rsidRPr="00B339AC" w:rsidRDefault="00262E2B" w:rsidP="006C4607">
            <w:pPr>
              <w:pStyle w:val="naiskr"/>
              <w:spacing w:before="0" w:after="0"/>
              <w:rPr>
                <w:sz w:val="28"/>
                <w:szCs w:val="28"/>
              </w:rPr>
            </w:pPr>
            <w:r w:rsidRPr="00B339AC">
              <w:rPr>
                <w:sz w:val="28"/>
                <w:szCs w:val="28"/>
              </w:rPr>
              <w:lastRenderedPageBreak/>
              <w:t>3.</w:t>
            </w:r>
          </w:p>
        </w:tc>
        <w:tc>
          <w:tcPr>
            <w:tcW w:w="1032" w:type="pct"/>
          </w:tcPr>
          <w:p w:rsidR="00262E2B" w:rsidRPr="00B339AC" w:rsidRDefault="00420870" w:rsidP="006C4607">
            <w:pPr>
              <w:pStyle w:val="naiskr"/>
              <w:spacing w:before="0" w:after="0"/>
              <w:rPr>
                <w:sz w:val="28"/>
                <w:szCs w:val="28"/>
              </w:rPr>
            </w:pPr>
            <w:r w:rsidRPr="00B339AC">
              <w:rPr>
                <w:sz w:val="28"/>
                <w:szCs w:val="28"/>
              </w:rPr>
              <w:t>S</w:t>
            </w:r>
            <w:r w:rsidR="000B69CF" w:rsidRPr="00B339AC">
              <w:rPr>
                <w:sz w:val="28"/>
                <w:szCs w:val="28"/>
              </w:rPr>
              <w:t xml:space="preserve">aistītie </w:t>
            </w:r>
            <w:r w:rsidR="001A6AE4" w:rsidRPr="00B339AC">
              <w:rPr>
                <w:sz w:val="28"/>
                <w:szCs w:val="28"/>
              </w:rPr>
              <w:t>politikas ietekmes novērtējumi</w:t>
            </w:r>
            <w:r w:rsidR="00CB0247" w:rsidRPr="00B339AC">
              <w:rPr>
                <w:sz w:val="28"/>
                <w:szCs w:val="28"/>
              </w:rPr>
              <w:t xml:space="preserve"> un</w:t>
            </w:r>
            <w:r w:rsidR="001A6AE4" w:rsidRPr="00B339AC">
              <w:rPr>
                <w:sz w:val="28"/>
                <w:szCs w:val="28"/>
              </w:rPr>
              <w:t xml:space="preserve"> </w:t>
            </w:r>
            <w:r w:rsidR="000B69CF" w:rsidRPr="00B339AC">
              <w:rPr>
                <w:sz w:val="28"/>
                <w:szCs w:val="28"/>
              </w:rPr>
              <w:t>pētījumi</w:t>
            </w:r>
          </w:p>
        </w:tc>
        <w:tc>
          <w:tcPr>
            <w:tcW w:w="3685" w:type="pct"/>
          </w:tcPr>
          <w:p w:rsidR="00D20FF4" w:rsidRPr="00B339AC" w:rsidRDefault="008420F6" w:rsidP="00AE2CE1">
            <w:pPr>
              <w:pStyle w:val="Vresteksts"/>
              <w:jc w:val="both"/>
              <w:rPr>
                <w:sz w:val="28"/>
                <w:szCs w:val="28"/>
              </w:rPr>
            </w:pPr>
            <w:r w:rsidRPr="00B339AC">
              <w:rPr>
                <w:iCs/>
                <w:sz w:val="28"/>
                <w:szCs w:val="28"/>
              </w:rPr>
              <w:t>Projekts šo jomu neskar</w:t>
            </w:r>
            <w:r w:rsidR="00056EB0" w:rsidRPr="00B339AC">
              <w:rPr>
                <w:iCs/>
                <w:sz w:val="28"/>
                <w:szCs w:val="28"/>
              </w:rPr>
              <w:t>.</w:t>
            </w:r>
          </w:p>
        </w:tc>
      </w:tr>
      <w:tr w:rsidR="00262E2B" w:rsidRPr="00B339AC" w:rsidTr="00FF5A9A">
        <w:trPr>
          <w:trHeight w:val="384"/>
        </w:trPr>
        <w:tc>
          <w:tcPr>
            <w:tcW w:w="283" w:type="pct"/>
          </w:tcPr>
          <w:p w:rsidR="00262E2B" w:rsidRPr="00B339AC" w:rsidRDefault="00262E2B" w:rsidP="006C4607">
            <w:pPr>
              <w:pStyle w:val="naiskr"/>
              <w:spacing w:before="0" w:after="0"/>
              <w:rPr>
                <w:sz w:val="28"/>
                <w:szCs w:val="28"/>
              </w:rPr>
            </w:pPr>
            <w:r w:rsidRPr="00B339AC">
              <w:rPr>
                <w:sz w:val="28"/>
                <w:szCs w:val="28"/>
              </w:rPr>
              <w:t>4.</w:t>
            </w:r>
          </w:p>
        </w:tc>
        <w:tc>
          <w:tcPr>
            <w:tcW w:w="1032" w:type="pct"/>
          </w:tcPr>
          <w:p w:rsidR="00262E2B" w:rsidRPr="00B339AC" w:rsidRDefault="000C790C" w:rsidP="006C4607">
            <w:pPr>
              <w:pStyle w:val="naiskr"/>
              <w:spacing w:before="0" w:after="0"/>
              <w:rPr>
                <w:sz w:val="28"/>
                <w:szCs w:val="28"/>
              </w:rPr>
            </w:pPr>
            <w:r w:rsidRPr="00B339AC">
              <w:rPr>
                <w:sz w:val="28"/>
                <w:szCs w:val="28"/>
              </w:rPr>
              <w:t>Tiesiskā r</w:t>
            </w:r>
            <w:r w:rsidR="00400032" w:rsidRPr="00B339AC">
              <w:rPr>
                <w:sz w:val="28"/>
                <w:szCs w:val="28"/>
              </w:rPr>
              <w:t xml:space="preserve">egulējuma </w:t>
            </w:r>
            <w:r w:rsidR="00262E2B" w:rsidRPr="00B339AC">
              <w:rPr>
                <w:sz w:val="28"/>
                <w:szCs w:val="28"/>
              </w:rPr>
              <w:t>mērķis un būtība</w:t>
            </w:r>
          </w:p>
        </w:tc>
        <w:tc>
          <w:tcPr>
            <w:tcW w:w="3685" w:type="pct"/>
          </w:tcPr>
          <w:p w:rsidR="005A2F94" w:rsidRDefault="008C47FF" w:rsidP="003813DB">
            <w:pPr>
              <w:pStyle w:val="naiskr"/>
              <w:spacing w:before="0" w:after="0"/>
              <w:jc w:val="both"/>
              <w:rPr>
                <w:sz w:val="28"/>
                <w:szCs w:val="28"/>
              </w:rPr>
            </w:pPr>
            <w:r>
              <w:rPr>
                <w:sz w:val="28"/>
                <w:szCs w:val="28"/>
              </w:rPr>
              <w:t>Noteikumu projekts paredz grozīt noteikumu 3. un 4.punktu</w:t>
            </w:r>
            <w:r w:rsidR="00A31BB1">
              <w:rPr>
                <w:sz w:val="28"/>
                <w:szCs w:val="28"/>
              </w:rPr>
              <w:t>, lai nodrošinātu</w:t>
            </w:r>
            <w:r>
              <w:rPr>
                <w:sz w:val="28"/>
                <w:szCs w:val="28"/>
              </w:rPr>
              <w:t xml:space="preserve"> nesēju </w:t>
            </w:r>
            <w:r w:rsidRPr="008C47FF">
              <w:rPr>
                <w:sz w:val="28"/>
                <w:szCs w:val="28"/>
              </w:rPr>
              <w:t>un iekārtu saraksta atbilstīb</w:t>
            </w:r>
            <w:r w:rsidR="00A31BB1">
              <w:rPr>
                <w:sz w:val="28"/>
                <w:szCs w:val="28"/>
              </w:rPr>
              <w:t>u</w:t>
            </w:r>
            <w:r w:rsidR="00FF5A9A">
              <w:rPr>
                <w:sz w:val="28"/>
                <w:szCs w:val="28"/>
              </w:rPr>
              <w:t xml:space="preserve"> Autortiesību likuma 34.</w:t>
            </w:r>
            <w:r w:rsidRPr="008C47FF">
              <w:rPr>
                <w:sz w:val="28"/>
                <w:szCs w:val="28"/>
              </w:rPr>
              <w:t>pantā ietvertajam deleģējumam saistībā ar tehnoloģiju attīstības radītajām pārmaiņām</w:t>
            </w:r>
            <w:r>
              <w:rPr>
                <w:sz w:val="28"/>
                <w:szCs w:val="28"/>
              </w:rPr>
              <w:t>.</w:t>
            </w:r>
            <w:r w:rsidR="00960F1F">
              <w:rPr>
                <w:sz w:val="28"/>
                <w:szCs w:val="28"/>
              </w:rPr>
              <w:t xml:space="preserve"> Tiesiskā regulējuma mērķis ir nodrošināt tādu nesēja atlīdzības sistēmas darbību, kura būtu balstīta uz iepriekš minēto kritēriju izvērtējumu.</w:t>
            </w:r>
            <w:r w:rsidR="00AE6DCA">
              <w:rPr>
                <w:sz w:val="28"/>
                <w:szCs w:val="28"/>
              </w:rPr>
              <w:t xml:space="preserve"> </w:t>
            </w:r>
          </w:p>
          <w:p w:rsidR="00753D64" w:rsidRDefault="00AE6DCA" w:rsidP="003813DB">
            <w:pPr>
              <w:pStyle w:val="naiskr"/>
              <w:spacing w:before="0" w:after="0"/>
              <w:jc w:val="both"/>
              <w:rPr>
                <w:sz w:val="28"/>
                <w:szCs w:val="28"/>
              </w:rPr>
            </w:pPr>
            <w:r>
              <w:rPr>
                <w:sz w:val="28"/>
                <w:szCs w:val="28"/>
              </w:rPr>
              <w:t>Tāpat</w:t>
            </w:r>
            <w:r w:rsidR="00EA2FA7">
              <w:rPr>
                <w:sz w:val="28"/>
                <w:szCs w:val="28"/>
              </w:rPr>
              <w:t>, ņemot vērā paredzētos grozī</w:t>
            </w:r>
            <w:r w:rsidR="005A2F94">
              <w:rPr>
                <w:sz w:val="28"/>
                <w:szCs w:val="28"/>
              </w:rPr>
              <w:t>jumus noteikumu 3. un 4.punktā,</w:t>
            </w:r>
            <w:r>
              <w:rPr>
                <w:sz w:val="28"/>
                <w:szCs w:val="28"/>
              </w:rPr>
              <w:t xml:space="preserve"> </w:t>
            </w:r>
            <w:r w:rsidR="00EA2FA7">
              <w:rPr>
                <w:sz w:val="28"/>
                <w:szCs w:val="28"/>
              </w:rPr>
              <w:t xml:space="preserve">noteikumu projekts paredz </w:t>
            </w:r>
            <w:r>
              <w:rPr>
                <w:sz w:val="28"/>
                <w:szCs w:val="28"/>
              </w:rPr>
              <w:t>groz</w:t>
            </w:r>
            <w:r w:rsidR="00EA2FA7">
              <w:rPr>
                <w:sz w:val="28"/>
                <w:szCs w:val="28"/>
              </w:rPr>
              <w:t>īt 6.1.apakšpunktu, svītrot 7.</w:t>
            </w:r>
            <w:r w:rsidR="00F3283E">
              <w:rPr>
                <w:sz w:val="28"/>
                <w:szCs w:val="28"/>
              </w:rPr>
              <w:t>, 21. un 22.</w:t>
            </w:r>
            <w:r w:rsidR="00EA2FA7">
              <w:rPr>
                <w:sz w:val="28"/>
                <w:szCs w:val="28"/>
              </w:rPr>
              <w:t>punktu</w:t>
            </w:r>
            <w:r w:rsidR="00F3283E">
              <w:rPr>
                <w:sz w:val="28"/>
                <w:szCs w:val="28"/>
              </w:rPr>
              <w:t xml:space="preserve">, kā arī izteikt 20.punktu jaunā redakcijā. </w:t>
            </w:r>
          </w:p>
          <w:p w:rsidR="005A2F94" w:rsidRDefault="00F3283E" w:rsidP="003813DB">
            <w:pPr>
              <w:pStyle w:val="naiskr"/>
              <w:spacing w:before="0" w:after="0"/>
              <w:jc w:val="both"/>
              <w:rPr>
                <w:sz w:val="28"/>
                <w:szCs w:val="28"/>
              </w:rPr>
            </w:pPr>
            <w:r>
              <w:rPr>
                <w:sz w:val="28"/>
                <w:szCs w:val="28"/>
              </w:rPr>
              <w:t xml:space="preserve">Noteikumu </w:t>
            </w:r>
            <w:r w:rsidR="00753D64">
              <w:rPr>
                <w:sz w:val="28"/>
                <w:szCs w:val="28"/>
              </w:rPr>
              <w:t xml:space="preserve">projekta </w:t>
            </w:r>
            <w:r>
              <w:rPr>
                <w:sz w:val="28"/>
                <w:szCs w:val="28"/>
              </w:rPr>
              <w:t xml:space="preserve">6.1.apakšpunktā </w:t>
            </w:r>
            <w:r w:rsidR="0031652A">
              <w:rPr>
                <w:sz w:val="28"/>
                <w:szCs w:val="28"/>
              </w:rPr>
              <w:t xml:space="preserve">paredzēts ietvert </w:t>
            </w:r>
            <w:r w:rsidR="0031652A" w:rsidRPr="0031652A">
              <w:rPr>
                <w:sz w:val="28"/>
                <w:szCs w:val="28"/>
              </w:rPr>
              <w:t xml:space="preserve">tukšo materiālo nesēju un reproducēšanai </w:t>
            </w:r>
            <w:r w:rsidR="0031652A">
              <w:rPr>
                <w:sz w:val="28"/>
                <w:szCs w:val="28"/>
              </w:rPr>
              <w:t>izmantojamo iekārtu izgatavotāju</w:t>
            </w:r>
            <w:r w:rsidR="00AE6DCA">
              <w:rPr>
                <w:sz w:val="28"/>
                <w:szCs w:val="28"/>
              </w:rPr>
              <w:t xml:space="preserve"> </w:t>
            </w:r>
            <w:r w:rsidR="0031652A">
              <w:rPr>
                <w:sz w:val="28"/>
                <w:szCs w:val="28"/>
              </w:rPr>
              <w:t xml:space="preserve">un </w:t>
            </w:r>
            <w:r w:rsidR="0031652A" w:rsidRPr="0031652A">
              <w:rPr>
                <w:sz w:val="28"/>
                <w:szCs w:val="28"/>
              </w:rPr>
              <w:t>komersantu, kas ieved Latvijā tukšos materiālos nesējus vai reproducēšanai izmantojamās iekārtas</w:t>
            </w:r>
            <w:r w:rsidR="0031652A">
              <w:rPr>
                <w:sz w:val="28"/>
                <w:szCs w:val="28"/>
              </w:rPr>
              <w:t>,</w:t>
            </w:r>
            <w:r w:rsidR="0031652A" w:rsidRPr="0031652A">
              <w:rPr>
                <w:sz w:val="28"/>
                <w:szCs w:val="28"/>
              </w:rPr>
              <w:t xml:space="preserve"> </w:t>
            </w:r>
            <w:r w:rsidR="0031652A">
              <w:rPr>
                <w:sz w:val="28"/>
                <w:szCs w:val="28"/>
              </w:rPr>
              <w:t>pienākumu sniegt nesēja atlīdz</w:t>
            </w:r>
            <w:r w:rsidR="007D30F5">
              <w:rPr>
                <w:sz w:val="28"/>
                <w:szCs w:val="28"/>
              </w:rPr>
              <w:t>ību administrējošajai organizācijai informāciju par</w:t>
            </w:r>
            <w:r w:rsidR="007D30F5" w:rsidRPr="003E2852">
              <w:rPr>
                <w:sz w:val="28"/>
                <w:szCs w:val="28"/>
              </w:rPr>
              <w:t xml:space="preserve"> izgatavoto vai ievesto tukšo materiālo nesēju un reproducēšanai izmantojamo iekārtu</w:t>
            </w:r>
            <w:r w:rsidR="007D30F5">
              <w:rPr>
                <w:sz w:val="28"/>
                <w:szCs w:val="28"/>
              </w:rPr>
              <w:t xml:space="preserve"> pirmās </w:t>
            </w:r>
            <w:r w:rsidR="0048286D">
              <w:rPr>
                <w:sz w:val="28"/>
                <w:szCs w:val="28"/>
              </w:rPr>
              <w:t>atsavināšanas</w:t>
            </w:r>
            <w:r w:rsidR="007D30F5">
              <w:rPr>
                <w:sz w:val="28"/>
                <w:szCs w:val="28"/>
              </w:rPr>
              <w:t xml:space="preserve"> cenu Latvijas teritorijā. M</w:t>
            </w:r>
            <w:r w:rsidR="005A2F94">
              <w:rPr>
                <w:sz w:val="28"/>
                <w:szCs w:val="28"/>
              </w:rPr>
              <w:t>inētā informācija</w:t>
            </w:r>
            <w:r w:rsidR="00753D64">
              <w:rPr>
                <w:sz w:val="28"/>
                <w:szCs w:val="28"/>
              </w:rPr>
              <w:t xml:space="preserve"> </w:t>
            </w:r>
            <w:r w:rsidR="0048286D">
              <w:rPr>
                <w:sz w:val="28"/>
                <w:szCs w:val="28"/>
              </w:rPr>
              <w:t>nepieciešama</w:t>
            </w:r>
            <w:r w:rsidR="007D30F5">
              <w:rPr>
                <w:sz w:val="28"/>
                <w:szCs w:val="28"/>
              </w:rPr>
              <w:t xml:space="preserve"> </w:t>
            </w:r>
            <w:r w:rsidR="00981CB7">
              <w:rPr>
                <w:sz w:val="28"/>
                <w:szCs w:val="28"/>
              </w:rPr>
              <w:t xml:space="preserve">iekasējamās atlīdzības lieluma noteikšanai. </w:t>
            </w:r>
          </w:p>
          <w:p w:rsidR="005A2F94" w:rsidRDefault="00981CB7" w:rsidP="003813DB">
            <w:pPr>
              <w:pStyle w:val="naiskr"/>
              <w:spacing w:before="0" w:after="0"/>
              <w:jc w:val="both"/>
              <w:rPr>
                <w:sz w:val="28"/>
                <w:szCs w:val="28"/>
              </w:rPr>
            </w:pPr>
            <w:r>
              <w:rPr>
                <w:sz w:val="28"/>
                <w:szCs w:val="28"/>
              </w:rPr>
              <w:t>Noteikumu</w:t>
            </w:r>
            <w:r w:rsidR="00743E39">
              <w:rPr>
                <w:sz w:val="28"/>
                <w:szCs w:val="28"/>
              </w:rPr>
              <w:t xml:space="preserve"> </w:t>
            </w:r>
            <w:r w:rsidR="005A2F94">
              <w:rPr>
                <w:sz w:val="28"/>
                <w:szCs w:val="28"/>
              </w:rPr>
              <w:t xml:space="preserve">projekts </w:t>
            </w:r>
            <w:r w:rsidR="00743E39">
              <w:rPr>
                <w:sz w:val="28"/>
                <w:szCs w:val="28"/>
              </w:rPr>
              <w:t>paredz svītrot</w:t>
            </w:r>
            <w:r>
              <w:rPr>
                <w:sz w:val="28"/>
                <w:szCs w:val="28"/>
              </w:rPr>
              <w:t xml:space="preserve"> </w:t>
            </w:r>
            <w:r w:rsidR="00743E39">
              <w:rPr>
                <w:sz w:val="28"/>
                <w:szCs w:val="28"/>
              </w:rPr>
              <w:t xml:space="preserve">noteikumu </w:t>
            </w:r>
            <w:r>
              <w:rPr>
                <w:sz w:val="28"/>
                <w:szCs w:val="28"/>
              </w:rPr>
              <w:t xml:space="preserve">7.punktu, jo tas attiecas uz noteikumu 4.5. un 4.6.apakšpunktā minētajām reproducēšanai izmantojamajām </w:t>
            </w:r>
            <w:r w:rsidR="00753D64">
              <w:rPr>
                <w:sz w:val="28"/>
                <w:szCs w:val="28"/>
              </w:rPr>
              <w:t xml:space="preserve">iekārtām, kuras </w:t>
            </w:r>
            <w:r w:rsidR="00743E39">
              <w:rPr>
                <w:sz w:val="28"/>
                <w:szCs w:val="28"/>
              </w:rPr>
              <w:t xml:space="preserve"> tiek izslēgtas no </w:t>
            </w:r>
            <w:r w:rsidR="00743E39" w:rsidRPr="00635702">
              <w:rPr>
                <w:sz w:val="28"/>
                <w:szCs w:val="28"/>
              </w:rPr>
              <w:t>reproducēšanai izmantojam</w:t>
            </w:r>
            <w:r w:rsidR="00743E39">
              <w:rPr>
                <w:sz w:val="28"/>
                <w:szCs w:val="28"/>
              </w:rPr>
              <w:t>o</w:t>
            </w:r>
            <w:r w:rsidR="00743E39" w:rsidRPr="00635702">
              <w:rPr>
                <w:sz w:val="28"/>
                <w:szCs w:val="28"/>
              </w:rPr>
              <w:t xml:space="preserve"> iekārt</w:t>
            </w:r>
            <w:r w:rsidR="00743E39">
              <w:rPr>
                <w:sz w:val="28"/>
                <w:szCs w:val="28"/>
              </w:rPr>
              <w:t xml:space="preserve">u saraksta. </w:t>
            </w:r>
          </w:p>
          <w:p w:rsidR="005A2F94" w:rsidRDefault="00743E39" w:rsidP="003813DB">
            <w:pPr>
              <w:pStyle w:val="naiskr"/>
              <w:spacing w:before="0" w:after="0"/>
              <w:jc w:val="both"/>
              <w:rPr>
                <w:sz w:val="28"/>
                <w:szCs w:val="28"/>
              </w:rPr>
            </w:pPr>
            <w:r>
              <w:rPr>
                <w:sz w:val="28"/>
                <w:szCs w:val="28"/>
              </w:rPr>
              <w:t xml:space="preserve">Ņemot vērā noteikumu projektā paredzētos grozījumus noteikumu 3. un 4.punktā, nepieciešams grozīt noteikumu 20.punktu, izsakot to jaunā redakcijā. Minētajā punktā tiek noteikts iekasētās atlīdzības sadalījums autortiesību un blakustiesību subjektu grupām. Sadalījuma proporcija ir saglabāta </w:t>
            </w:r>
            <w:r w:rsidR="00992888">
              <w:rPr>
                <w:sz w:val="28"/>
                <w:szCs w:val="28"/>
              </w:rPr>
              <w:t xml:space="preserve">iepriekšējā līmenī, ņemot vērā, ka par USB </w:t>
            </w:r>
            <w:proofErr w:type="spellStart"/>
            <w:r w:rsidR="00992888">
              <w:rPr>
                <w:sz w:val="28"/>
                <w:szCs w:val="28"/>
              </w:rPr>
              <w:t>zibatmiņām</w:t>
            </w:r>
            <w:proofErr w:type="spellEnd"/>
            <w:r w:rsidR="00992888">
              <w:rPr>
                <w:sz w:val="28"/>
                <w:szCs w:val="28"/>
              </w:rPr>
              <w:t xml:space="preserve"> iekasētā atlīdzība sadalāma līdzīgi kā atlīdzība, kas iekasēta par CD un DVD (noteikumu 22.punkts). Tāpat sadalāma atlīdzība par personālajiem datoriem, ņemot vērā to plašā pielietojuma raksturu.</w:t>
            </w:r>
            <w:r w:rsidR="000E224F">
              <w:rPr>
                <w:sz w:val="28"/>
                <w:szCs w:val="28"/>
              </w:rPr>
              <w:t xml:space="preserve"> Saistībā ar</w:t>
            </w:r>
            <w:r w:rsidR="00992888">
              <w:rPr>
                <w:sz w:val="28"/>
                <w:szCs w:val="28"/>
              </w:rPr>
              <w:t xml:space="preserve"> grozījumiem noteikumu 20.punktā paredzēts svītrot noteikumu</w:t>
            </w:r>
            <w:r w:rsidR="008C5BEF">
              <w:rPr>
                <w:sz w:val="28"/>
                <w:szCs w:val="28"/>
              </w:rPr>
              <w:t xml:space="preserve"> 21. un 22.punktu. </w:t>
            </w:r>
          </w:p>
          <w:p w:rsidR="00942DAD" w:rsidRPr="00B339AC" w:rsidRDefault="000E224F" w:rsidP="003813DB">
            <w:pPr>
              <w:pStyle w:val="naiskr"/>
              <w:spacing w:before="0" w:after="0"/>
              <w:jc w:val="both"/>
              <w:rPr>
                <w:sz w:val="28"/>
                <w:szCs w:val="28"/>
              </w:rPr>
            </w:pPr>
            <w:r>
              <w:rPr>
                <w:sz w:val="28"/>
                <w:szCs w:val="28"/>
              </w:rPr>
              <w:t>Ņemot vērā</w:t>
            </w:r>
            <w:r w:rsidR="008C5BEF">
              <w:rPr>
                <w:sz w:val="28"/>
                <w:szCs w:val="28"/>
              </w:rPr>
              <w:t xml:space="preserve"> ST spriedumā noteikto termiņu tā izpildei, noteikumu projekts paredz </w:t>
            </w:r>
            <w:r w:rsidR="003813DB">
              <w:rPr>
                <w:sz w:val="28"/>
                <w:szCs w:val="28"/>
              </w:rPr>
              <w:t>tā spēkā stāšanos 2012.gada 1.novembrī.</w:t>
            </w:r>
          </w:p>
        </w:tc>
      </w:tr>
      <w:tr w:rsidR="00262E2B" w:rsidRPr="00B339AC" w:rsidTr="00FF5A9A">
        <w:trPr>
          <w:trHeight w:val="476"/>
        </w:trPr>
        <w:tc>
          <w:tcPr>
            <w:tcW w:w="283" w:type="pct"/>
          </w:tcPr>
          <w:p w:rsidR="00262E2B" w:rsidRPr="00B339AC" w:rsidRDefault="00262E2B" w:rsidP="006C4607">
            <w:pPr>
              <w:pStyle w:val="naiskr"/>
              <w:spacing w:before="0" w:after="0"/>
              <w:rPr>
                <w:sz w:val="28"/>
                <w:szCs w:val="28"/>
              </w:rPr>
            </w:pPr>
            <w:r w:rsidRPr="00B339AC">
              <w:rPr>
                <w:sz w:val="28"/>
                <w:szCs w:val="28"/>
              </w:rPr>
              <w:t>5.</w:t>
            </w:r>
          </w:p>
        </w:tc>
        <w:tc>
          <w:tcPr>
            <w:tcW w:w="1032" w:type="pct"/>
          </w:tcPr>
          <w:p w:rsidR="00262E2B" w:rsidRPr="00B339AC" w:rsidRDefault="001A4066" w:rsidP="006C4607">
            <w:pPr>
              <w:pStyle w:val="naiskr"/>
              <w:spacing w:before="0" w:after="0"/>
              <w:rPr>
                <w:sz w:val="28"/>
                <w:szCs w:val="28"/>
              </w:rPr>
            </w:pPr>
            <w:r w:rsidRPr="00B339AC">
              <w:rPr>
                <w:sz w:val="28"/>
                <w:szCs w:val="28"/>
              </w:rPr>
              <w:t>Projekta i</w:t>
            </w:r>
            <w:r w:rsidR="00262E2B" w:rsidRPr="00B339AC">
              <w:rPr>
                <w:sz w:val="28"/>
                <w:szCs w:val="28"/>
              </w:rPr>
              <w:t>zstrād</w:t>
            </w:r>
            <w:r w:rsidR="00420870" w:rsidRPr="00B339AC">
              <w:rPr>
                <w:sz w:val="28"/>
                <w:szCs w:val="28"/>
              </w:rPr>
              <w:t xml:space="preserve">ē </w:t>
            </w:r>
            <w:r w:rsidR="00262E2B" w:rsidRPr="00B339AC">
              <w:rPr>
                <w:sz w:val="28"/>
                <w:szCs w:val="28"/>
              </w:rPr>
              <w:t>iesaistītās institūcijas</w:t>
            </w:r>
          </w:p>
        </w:tc>
        <w:tc>
          <w:tcPr>
            <w:tcW w:w="3685" w:type="pct"/>
          </w:tcPr>
          <w:p w:rsidR="00262E2B" w:rsidRPr="00B339AC" w:rsidRDefault="008420F6" w:rsidP="00D33374">
            <w:pPr>
              <w:pStyle w:val="naiskr"/>
              <w:spacing w:before="0" w:after="0"/>
              <w:jc w:val="both"/>
              <w:rPr>
                <w:iCs/>
                <w:sz w:val="28"/>
                <w:szCs w:val="28"/>
              </w:rPr>
            </w:pPr>
            <w:r w:rsidRPr="00FF5A9A">
              <w:rPr>
                <w:iCs/>
                <w:sz w:val="28"/>
                <w:szCs w:val="28"/>
              </w:rPr>
              <w:t>Kultūras ministrija</w:t>
            </w:r>
            <w:r w:rsidR="00BE75ED" w:rsidRPr="00B339AC">
              <w:rPr>
                <w:iCs/>
                <w:sz w:val="28"/>
                <w:szCs w:val="28"/>
              </w:rPr>
              <w:t xml:space="preserve">, ar kultūras ministra </w:t>
            </w:r>
            <w:r w:rsidR="003275C6" w:rsidRPr="003275C6">
              <w:rPr>
                <w:iCs/>
                <w:sz w:val="28"/>
                <w:szCs w:val="28"/>
              </w:rPr>
              <w:t xml:space="preserve">2005.gada 22.septembra rīkojumu Nr.172 </w:t>
            </w:r>
            <w:r w:rsidR="00BE75ED" w:rsidRPr="00B339AC">
              <w:rPr>
                <w:iCs/>
                <w:sz w:val="28"/>
                <w:szCs w:val="28"/>
              </w:rPr>
              <w:t xml:space="preserve">izveidotā darba grupa </w:t>
            </w:r>
            <w:r w:rsidR="003275C6" w:rsidRPr="003275C6">
              <w:rPr>
                <w:iCs/>
                <w:sz w:val="28"/>
                <w:szCs w:val="28"/>
              </w:rPr>
              <w:t>Ministru kabineta 2005.gada 10.maija noteikumu Nr.321 „Noteikumi par tukšo materiālo nesēju un reproducēšanai izmantojamo iekārtu atlīdzības lielumu un tās iekasēšanas, atmaksāšanas, sadales un izmaksas kārtību” 3. un 4.punkta izvērtēšanai</w:t>
            </w:r>
            <w:r w:rsidR="006C349E" w:rsidRPr="00B339AC">
              <w:rPr>
                <w:iCs/>
                <w:sz w:val="28"/>
                <w:szCs w:val="28"/>
              </w:rPr>
              <w:t>.</w:t>
            </w:r>
          </w:p>
        </w:tc>
      </w:tr>
      <w:tr w:rsidR="00262E2B" w:rsidRPr="00B339AC" w:rsidTr="00FF5A9A">
        <w:trPr>
          <w:trHeight w:val="1340"/>
        </w:trPr>
        <w:tc>
          <w:tcPr>
            <w:tcW w:w="283" w:type="pct"/>
          </w:tcPr>
          <w:p w:rsidR="00262E2B" w:rsidRPr="00B339AC" w:rsidRDefault="00262E2B" w:rsidP="006C4607">
            <w:pPr>
              <w:pStyle w:val="naiskr"/>
              <w:spacing w:before="0" w:after="0"/>
              <w:rPr>
                <w:sz w:val="28"/>
                <w:szCs w:val="28"/>
              </w:rPr>
            </w:pPr>
            <w:r w:rsidRPr="00B339AC">
              <w:rPr>
                <w:sz w:val="28"/>
                <w:szCs w:val="28"/>
              </w:rPr>
              <w:t>6.</w:t>
            </w:r>
          </w:p>
        </w:tc>
        <w:tc>
          <w:tcPr>
            <w:tcW w:w="1032" w:type="pct"/>
          </w:tcPr>
          <w:p w:rsidR="00262E2B" w:rsidRPr="00B339AC" w:rsidRDefault="00BB7C94" w:rsidP="006C4607">
            <w:pPr>
              <w:pStyle w:val="naiskr"/>
              <w:spacing w:before="0" w:after="0"/>
              <w:rPr>
                <w:i/>
                <w:sz w:val="28"/>
                <w:szCs w:val="28"/>
                <w:highlight w:val="yellow"/>
              </w:rPr>
            </w:pPr>
            <w:r w:rsidRPr="00B339AC">
              <w:rPr>
                <w:sz w:val="28"/>
                <w:szCs w:val="28"/>
              </w:rPr>
              <w:t xml:space="preserve">Iemesli, kādēļ netika nodrošināta </w:t>
            </w:r>
            <w:r w:rsidR="00262E2B" w:rsidRPr="00B339AC">
              <w:rPr>
                <w:sz w:val="28"/>
                <w:szCs w:val="28"/>
              </w:rPr>
              <w:t xml:space="preserve">sabiedrības </w:t>
            </w:r>
            <w:r w:rsidRPr="00B339AC">
              <w:rPr>
                <w:sz w:val="28"/>
                <w:szCs w:val="28"/>
              </w:rPr>
              <w:t>līdzdalība</w:t>
            </w:r>
          </w:p>
        </w:tc>
        <w:tc>
          <w:tcPr>
            <w:tcW w:w="3685" w:type="pct"/>
          </w:tcPr>
          <w:p w:rsidR="00D20FF4" w:rsidRPr="00B339AC" w:rsidRDefault="00CB0ADB" w:rsidP="001070DC">
            <w:pPr>
              <w:pStyle w:val="Vresteksts"/>
              <w:jc w:val="both"/>
              <w:rPr>
                <w:sz w:val="28"/>
                <w:szCs w:val="28"/>
              </w:rPr>
            </w:pPr>
            <w:r w:rsidRPr="00CB0ADB">
              <w:rPr>
                <w:iCs/>
                <w:sz w:val="28"/>
                <w:szCs w:val="28"/>
              </w:rPr>
              <w:t>Projekts šo jomu neskar</w:t>
            </w:r>
            <w:r w:rsidRPr="00FF5A9A">
              <w:rPr>
                <w:b/>
                <w:iCs/>
                <w:sz w:val="28"/>
                <w:szCs w:val="28"/>
              </w:rPr>
              <w:t>.</w:t>
            </w:r>
          </w:p>
        </w:tc>
      </w:tr>
      <w:tr w:rsidR="00262E2B" w:rsidRPr="00B339AC" w:rsidTr="000E224F">
        <w:trPr>
          <w:trHeight w:val="393"/>
        </w:trPr>
        <w:tc>
          <w:tcPr>
            <w:tcW w:w="283" w:type="pct"/>
          </w:tcPr>
          <w:p w:rsidR="00262E2B" w:rsidRPr="00B339AC" w:rsidRDefault="00262E2B" w:rsidP="006C4607">
            <w:pPr>
              <w:pStyle w:val="naiskr"/>
              <w:spacing w:before="0" w:after="0"/>
              <w:rPr>
                <w:sz w:val="28"/>
                <w:szCs w:val="28"/>
              </w:rPr>
            </w:pPr>
            <w:r w:rsidRPr="00B339AC">
              <w:rPr>
                <w:sz w:val="28"/>
                <w:szCs w:val="28"/>
              </w:rPr>
              <w:t>7.</w:t>
            </w:r>
          </w:p>
        </w:tc>
        <w:tc>
          <w:tcPr>
            <w:tcW w:w="1032" w:type="pct"/>
          </w:tcPr>
          <w:p w:rsidR="00262E2B" w:rsidRPr="00B339AC" w:rsidRDefault="00262E2B" w:rsidP="006C4607">
            <w:pPr>
              <w:pStyle w:val="naiskr"/>
              <w:spacing w:before="0" w:after="0"/>
              <w:rPr>
                <w:sz w:val="28"/>
                <w:szCs w:val="28"/>
              </w:rPr>
            </w:pPr>
            <w:r w:rsidRPr="00B339AC">
              <w:rPr>
                <w:sz w:val="28"/>
                <w:szCs w:val="28"/>
              </w:rPr>
              <w:t>Cita informācija</w:t>
            </w:r>
          </w:p>
        </w:tc>
        <w:tc>
          <w:tcPr>
            <w:tcW w:w="3685" w:type="pct"/>
          </w:tcPr>
          <w:p w:rsidR="00262E2B" w:rsidRPr="00B339AC" w:rsidRDefault="00262E2B" w:rsidP="006C4607">
            <w:pPr>
              <w:pStyle w:val="naiskr"/>
              <w:spacing w:before="0" w:after="0"/>
              <w:rPr>
                <w:sz w:val="28"/>
                <w:szCs w:val="28"/>
              </w:rPr>
            </w:pPr>
            <w:r w:rsidRPr="00B339AC">
              <w:rPr>
                <w:sz w:val="28"/>
                <w:szCs w:val="28"/>
              </w:rPr>
              <w:t>Nav</w:t>
            </w:r>
            <w:r w:rsidR="00056EB0" w:rsidRPr="00B339AC">
              <w:rPr>
                <w:sz w:val="28"/>
                <w:szCs w:val="28"/>
              </w:rPr>
              <w:t>.</w:t>
            </w:r>
          </w:p>
        </w:tc>
      </w:tr>
    </w:tbl>
    <w:p w:rsidR="00852042" w:rsidRPr="000E224F" w:rsidRDefault="00852042" w:rsidP="006C4607">
      <w:pPr>
        <w:pStyle w:val="naisf"/>
        <w:spacing w:before="0" w:after="0"/>
        <w:rPr>
          <w:sz w:val="16"/>
          <w:szCs w:val="16"/>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2"/>
        <w:gridCol w:w="1847"/>
        <w:gridCol w:w="6702"/>
      </w:tblGrid>
      <w:tr w:rsidR="0062298A" w:rsidRPr="00B339AC" w:rsidTr="00FF5A9A">
        <w:tc>
          <w:tcPr>
            <w:tcW w:w="5000" w:type="pct"/>
            <w:gridSpan w:val="3"/>
            <w:vAlign w:val="center"/>
          </w:tcPr>
          <w:p w:rsidR="0062298A" w:rsidRPr="00B339AC" w:rsidRDefault="0062298A" w:rsidP="006C4607">
            <w:pPr>
              <w:pStyle w:val="naisnod"/>
              <w:spacing w:before="0" w:after="0"/>
              <w:rPr>
                <w:sz w:val="28"/>
                <w:szCs w:val="28"/>
              </w:rPr>
            </w:pPr>
            <w:r w:rsidRPr="00B339AC">
              <w:rPr>
                <w:sz w:val="28"/>
                <w:szCs w:val="28"/>
              </w:rPr>
              <w:t>II</w:t>
            </w:r>
            <w:r w:rsidR="000941C5" w:rsidRPr="00B339AC">
              <w:rPr>
                <w:sz w:val="28"/>
                <w:szCs w:val="28"/>
              </w:rPr>
              <w:t>.</w:t>
            </w:r>
            <w:r w:rsidRPr="00B339AC">
              <w:rPr>
                <w:sz w:val="28"/>
                <w:szCs w:val="28"/>
              </w:rPr>
              <w:t xml:space="preserve"> Tiesību akta projekta ietekme uz sabiedrību</w:t>
            </w:r>
          </w:p>
        </w:tc>
      </w:tr>
      <w:tr w:rsidR="0062298A" w:rsidRPr="00B339AC" w:rsidTr="00FF5A9A">
        <w:trPr>
          <w:trHeight w:val="467"/>
        </w:trPr>
        <w:tc>
          <w:tcPr>
            <w:tcW w:w="293" w:type="pct"/>
          </w:tcPr>
          <w:p w:rsidR="0062298A" w:rsidRPr="00B339AC" w:rsidRDefault="0062298A" w:rsidP="006C4607">
            <w:pPr>
              <w:pStyle w:val="naiskr"/>
              <w:spacing w:before="0" w:after="0"/>
              <w:rPr>
                <w:sz w:val="28"/>
                <w:szCs w:val="28"/>
              </w:rPr>
            </w:pPr>
            <w:r w:rsidRPr="00B339AC">
              <w:rPr>
                <w:sz w:val="28"/>
                <w:szCs w:val="28"/>
              </w:rPr>
              <w:t>1.</w:t>
            </w:r>
          </w:p>
        </w:tc>
        <w:tc>
          <w:tcPr>
            <w:tcW w:w="1017" w:type="pct"/>
          </w:tcPr>
          <w:p w:rsidR="0062298A" w:rsidRPr="00B339AC" w:rsidRDefault="00C27A08" w:rsidP="006C4607">
            <w:pPr>
              <w:pStyle w:val="naiskr"/>
              <w:spacing w:before="0" w:after="0"/>
              <w:rPr>
                <w:sz w:val="28"/>
                <w:szCs w:val="28"/>
              </w:rPr>
            </w:pPr>
            <w:r w:rsidRPr="00B339AC">
              <w:rPr>
                <w:sz w:val="28"/>
                <w:szCs w:val="28"/>
              </w:rPr>
              <w:t>Sabiedrības mērķgrupa</w:t>
            </w:r>
          </w:p>
        </w:tc>
        <w:tc>
          <w:tcPr>
            <w:tcW w:w="3690" w:type="pct"/>
          </w:tcPr>
          <w:p w:rsidR="00CF434A" w:rsidRPr="00B339AC" w:rsidRDefault="009E12D7" w:rsidP="001070DC">
            <w:pPr>
              <w:pStyle w:val="naiskr"/>
              <w:spacing w:before="0" w:after="0"/>
              <w:ind w:hanging="57"/>
              <w:jc w:val="both"/>
              <w:rPr>
                <w:iCs/>
                <w:sz w:val="28"/>
                <w:szCs w:val="28"/>
              </w:rPr>
            </w:pPr>
            <w:r w:rsidRPr="00B339AC">
              <w:rPr>
                <w:iCs/>
                <w:sz w:val="28"/>
                <w:szCs w:val="28"/>
              </w:rPr>
              <w:t> </w:t>
            </w:r>
            <w:r w:rsidR="00CF434A" w:rsidRPr="00B339AC">
              <w:rPr>
                <w:iCs/>
                <w:sz w:val="28"/>
                <w:szCs w:val="28"/>
              </w:rPr>
              <w:tab/>
            </w:r>
            <w:r w:rsidR="00C04DC8" w:rsidRPr="00B339AC">
              <w:rPr>
                <w:iCs/>
                <w:sz w:val="28"/>
                <w:szCs w:val="28"/>
              </w:rPr>
              <w:t>Sabiedrības mērķgrupa</w:t>
            </w:r>
            <w:r w:rsidR="006C349E" w:rsidRPr="00B339AC">
              <w:rPr>
                <w:iCs/>
                <w:sz w:val="28"/>
                <w:szCs w:val="28"/>
              </w:rPr>
              <w:t>s</w:t>
            </w:r>
            <w:r w:rsidR="00C04DC8" w:rsidRPr="00B339AC">
              <w:rPr>
                <w:iCs/>
                <w:sz w:val="28"/>
                <w:szCs w:val="28"/>
              </w:rPr>
              <w:t xml:space="preserve"> ir</w:t>
            </w:r>
            <w:r w:rsidR="00CF434A" w:rsidRPr="00B339AC">
              <w:rPr>
                <w:iCs/>
                <w:sz w:val="28"/>
                <w:szCs w:val="28"/>
              </w:rPr>
              <w:t>:</w:t>
            </w:r>
          </w:p>
          <w:p w:rsidR="0062298A" w:rsidRPr="00B339AC" w:rsidRDefault="00C04DC8" w:rsidP="003275C6">
            <w:pPr>
              <w:pStyle w:val="naiskr"/>
              <w:numPr>
                <w:ilvl w:val="0"/>
                <w:numId w:val="14"/>
              </w:numPr>
              <w:spacing w:before="0" w:after="0"/>
              <w:jc w:val="both"/>
              <w:rPr>
                <w:sz w:val="28"/>
                <w:szCs w:val="28"/>
              </w:rPr>
            </w:pPr>
            <w:r w:rsidRPr="00B339AC">
              <w:rPr>
                <w:iCs/>
                <w:sz w:val="28"/>
                <w:szCs w:val="28"/>
              </w:rPr>
              <w:t>ar autortiesībām aizsargātu darbu autori, kā arī blakustiesību īpašnieki</w:t>
            </w:r>
            <w:r w:rsidR="003275C6">
              <w:rPr>
                <w:iCs/>
                <w:sz w:val="28"/>
                <w:szCs w:val="28"/>
              </w:rPr>
              <w:t xml:space="preserve"> (izpildītāji,</w:t>
            </w:r>
            <w:r w:rsidR="003275C6" w:rsidRPr="003275C6">
              <w:rPr>
                <w:iCs/>
                <w:sz w:val="28"/>
                <w:szCs w:val="28"/>
              </w:rPr>
              <w:t xml:space="preserve"> fonogrammu</w:t>
            </w:r>
            <w:r w:rsidR="003275C6">
              <w:rPr>
                <w:iCs/>
                <w:sz w:val="28"/>
                <w:szCs w:val="28"/>
              </w:rPr>
              <w:t xml:space="preserve"> un filmu producenti);</w:t>
            </w:r>
          </w:p>
          <w:p w:rsidR="00E3057F" w:rsidRPr="001D3CF6" w:rsidRDefault="003275C6" w:rsidP="005C31AA">
            <w:pPr>
              <w:pStyle w:val="naiskr"/>
              <w:numPr>
                <w:ilvl w:val="0"/>
                <w:numId w:val="14"/>
              </w:numPr>
              <w:spacing w:before="0" w:after="0"/>
              <w:jc w:val="both"/>
              <w:rPr>
                <w:sz w:val="28"/>
                <w:szCs w:val="28"/>
              </w:rPr>
            </w:pPr>
            <w:r w:rsidRPr="003275C6">
              <w:rPr>
                <w:sz w:val="28"/>
                <w:szCs w:val="28"/>
              </w:rPr>
              <w:t xml:space="preserve">nesēju un iekārtu izgatavotāji un komersanti, kas ieved Latvijā nesējus </w:t>
            </w:r>
            <w:r>
              <w:rPr>
                <w:sz w:val="28"/>
                <w:szCs w:val="28"/>
              </w:rPr>
              <w:t xml:space="preserve">vai </w:t>
            </w:r>
            <w:r w:rsidRPr="003275C6">
              <w:rPr>
                <w:sz w:val="28"/>
                <w:szCs w:val="28"/>
              </w:rPr>
              <w:t>iekārtas</w:t>
            </w:r>
          </w:p>
        </w:tc>
      </w:tr>
      <w:tr w:rsidR="0062298A" w:rsidRPr="00B339AC" w:rsidTr="00FF5A9A">
        <w:trPr>
          <w:trHeight w:val="523"/>
        </w:trPr>
        <w:tc>
          <w:tcPr>
            <w:tcW w:w="293" w:type="pct"/>
          </w:tcPr>
          <w:p w:rsidR="0062298A" w:rsidRPr="00B339AC" w:rsidRDefault="0062298A" w:rsidP="006C4607">
            <w:pPr>
              <w:pStyle w:val="naiskr"/>
              <w:spacing w:before="0" w:after="0"/>
              <w:rPr>
                <w:sz w:val="28"/>
                <w:szCs w:val="28"/>
              </w:rPr>
            </w:pPr>
            <w:r w:rsidRPr="00B339AC">
              <w:rPr>
                <w:sz w:val="28"/>
                <w:szCs w:val="28"/>
              </w:rPr>
              <w:t>2.</w:t>
            </w:r>
          </w:p>
        </w:tc>
        <w:tc>
          <w:tcPr>
            <w:tcW w:w="1017" w:type="pct"/>
          </w:tcPr>
          <w:p w:rsidR="00C1133D" w:rsidRPr="00B339AC" w:rsidRDefault="00C27A08" w:rsidP="006C4607">
            <w:pPr>
              <w:pStyle w:val="naiskr"/>
              <w:spacing w:before="0" w:after="0"/>
              <w:rPr>
                <w:sz w:val="28"/>
                <w:szCs w:val="28"/>
              </w:rPr>
            </w:pPr>
            <w:r w:rsidRPr="00B339AC">
              <w:rPr>
                <w:sz w:val="28"/>
                <w:szCs w:val="28"/>
              </w:rPr>
              <w:t>Citas sabiedrības grupas (bez mērķgrupas), kuras tiesiskais regulējums arī ietekmē vai varētu ietekmēt</w:t>
            </w:r>
          </w:p>
        </w:tc>
        <w:tc>
          <w:tcPr>
            <w:tcW w:w="3690" w:type="pct"/>
          </w:tcPr>
          <w:p w:rsidR="0062298A" w:rsidRPr="00B339AC" w:rsidRDefault="002369F5" w:rsidP="002369F5">
            <w:pPr>
              <w:pStyle w:val="naiskr"/>
              <w:spacing w:before="0" w:after="0"/>
              <w:jc w:val="both"/>
              <w:rPr>
                <w:sz w:val="28"/>
                <w:szCs w:val="28"/>
              </w:rPr>
            </w:pPr>
            <w:r w:rsidRPr="00B339AC">
              <w:rPr>
                <w:iCs/>
                <w:sz w:val="28"/>
                <w:szCs w:val="28"/>
              </w:rPr>
              <w:t>Projekts ietekmē sabiedrību kopumā.</w:t>
            </w:r>
            <w:r w:rsidR="007226C1" w:rsidRPr="00B339AC">
              <w:rPr>
                <w:iCs/>
                <w:sz w:val="28"/>
                <w:szCs w:val="28"/>
              </w:rPr>
              <w:t xml:space="preserve"> </w:t>
            </w:r>
          </w:p>
        </w:tc>
      </w:tr>
      <w:tr w:rsidR="0062298A" w:rsidRPr="00B339AC" w:rsidTr="00FF5A9A">
        <w:trPr>
          <w:trHeight w:val="517"/>
        </w:trPr>
        <w:tc>
          <w:tcPr>
            <w:tcW w:w="293" w:type="pct"/>
          </w:tcPr>
          <w:p w:rsidR="0062298A" w:rsidRPr="00B339AC" w:rsidRDefault="0062298A" w:rsidP="006C4607">
            <w:pPr>
              <w:pStyle w:val="naiskr"/>
              <w:spacing w:before="0" w:after="0"/>
              <w:rPr>
                <w:sz w:val="28"/>
                <w:szCs w:val="28"/>
              </w:rPr>
            </w:pPr>
            <w:r w:rsidRPr="00B339AC">
              <w:rPr>
                <w:sz w:val="28"/>
                <w:szCs w:val="28"/>
              </w:rPr>
              <w:t>3.</w:t>
            </w:r>
          </w:p>
        </w:tc>
        <w:tc>
          <w:tcPr>
            <w:tcW w:w="1017" w:type="pct"/>
          </w:tcPr>
          <w:p w:rsidR="00C1133D" w:rsidRPr="00B339AC" w:rsidRDefault="000C790C" w:rsidP="006C4607">
            <w:pPr>
              <w:pStyle w:val="naiskr"/>
              <w:spacing w:before="0" w:after="0"/>
              <w:rPr>
                <w:sz w:val="28"/>
                <w:szCs w:val="28"/>
              </w:rPr>
            </w:pPr>
            <w:r w:rsidRPr="00B339AC">
              <w:rPr>
                <w:sz w:val="28"/>
                <w:szCs w:val="28"/>
              </w:rPr>
              <w:t>Tiesiskā r</w:t>
            </w:r>
            <w:r w:rsidR="003D21FF" w:rsidRPr="00B339AC">
              <w:rPr>
                <w:sz w:val="28"/>
                <w:szCs w:val="28"/>
              </w:rPr>
              <w:t>egulējuma</w:t>
            </w:r>
            <w:r w:rsidR="00C27A08" w:rsidRPr="00B339AC">
              <w:rPr>
                <w:sz w:val="28"/>
                <w:szCs w:val="28"/>
              </w:rPr>
              <w:t xml:space="preserve"> finansiālā ietekme</w:t>
            </w:r>
          </w:p>
        </w:tc>
        <w:tc>
          <w:tcPr>
            <w:tcW w:w="3690" w:type="pct"/>
          </w:tcPr>
          <w:p w:rsidR="006C349E" w:rsidRPr="00B339AC" w:rsidRDefault="00D03C1A" w:rsidP="00D03C1A">
            <w:pPr>
              <w:pStyle w:val="naiskr"/>
              <w:spacing w:before="0" w:after="0"/>
              <w:jc w:val="both"/>
              <w:rPr>
                <w:iCs/>
                <w:sz w:val="28"/>
                <w:szCs w:val="28"/>
              </w:rPr>
            </w:pPr>
            <w:r w:rsidRPr="00B339AC">
              <w:rPr>
                <w:iCs/>
                <w:sz w:val="28"/>
                <w:szCs w:val="28"/>
              </w:rPr>
              <w:tab/>
            </w:r>
            <w:r w:rsidR="00074F1F">
              <w:rPr>
                <w:iCs/>
                <w:sz w:val="28"/>
                <w:szCs w:val="28"/>
              </w:rPr>
              <w:t>Noteikumu projekts s</w:t>
            </w:r>
            <w:r w:rsidR="001D3CF6">
              <w:rPr>
                <w:iCs/>
                <w:sz w:val="28"/>
                <w:szCs w:val="28"/>
              </w:rPr>
              <w:t>abiedrības mērķgrupas</w:t>
            </w:r>
            <w:r w:rsidR="006C349E" w:rsidRPr="00B339AC">
              <w:rPr>
                <w:iCs/>
                <w:sz w:val="28"/>
                <w:szCs w:val="28"/>
              </w:rPr>
              <w:t xml:space="preserve"> finansiāli </w:t>
            </w:r>
            <w:r w:rsidR="001D3CF6">
              <w:rPr>
                <w:iCs/>
                <w:sz w:val="28"/>
                <w:szCs w:val="28"/>
              </w:rPr>
              <w:t xml:space="preserve">ietekmēs tieši, jo prognozējamas iekasētās nesēja atlīdzības summas izmaiņas. </w:t>
            </w:r>
          </w:p>
          <w:p w:rsidR="00401991" w:rsidRPr="00B339AC" w:rsidRDefault="006C349E" w:rsidP="00705E42">
            <w:pPr>
              <w:pStyle w:val="naiskr"/>
              <w:spacing w:before="0" w:after="0"/>
              <w:jc w:val="both"/>
              <w:rPr>
                <w:sz w:val="28"/>
                <w:szCs w:val="28"/>
              </w:rPr>
            </w:pPr>
            <w:r w:rsidRPr="00B339AC">
              <w:rPr>
                <w:iCs/>
                <w:sz w:val="28"/>
                <w:szCs w:val="28"/>
              </w:rPr>
              <w:tab/>
            </w:r>
            <w:r w:rsidR="002369F5" w:rsidRPr="00B339AC">
              <w:rPr>
                <w:iCs/>
                <w:sz w:val="28"/>
                <w:szCs w:val="28"/>
              </w:rPr>
              <w:t>Pārēj</w:t>
            </w:r>
            <w:r w:rsidR="001D3CF6">
              <w:rPr>
                <w:iCs/>
                <w:sz w:val="28"/>
                <w:szCs w:val="28"/>
              </w:rPr>
              <w:t xml:space="preserve">o sabiedrības daļu projekts finansiāli </w:t>
            </w:r>
            <w:r w:rsidR="002369F5" w:rsidRPr="00B339AC">
              <w:rPr>
                <w:iCs/>
                <w:sz w:val="28"/>
                <w:szCs w:val="28"/>
              </w:rPr>
              <w:t>ietekmē</w:t>
            </w:r>
            <w:r w:rsidR="001D3CF6">
              <w:rPr>
                <w:iCs/>
                <w:sz w:val="28"/>
                <w:szCs w:val="28"/>
              </w:rPr>
              <w:t>s netieši, ja nesēja atlīdzības un nesēju un iekārtu saraksta izmaiņu rezultātā attiecīgi tiks grozītas nesēju un iekārtu mazumtirdzniecības cenas</w:t>
            </w:r>
            <w:r w:rsidR="002369F5" w:rsidRPr="00B339AC">
              <w:rPr>
                <w:iCs/>
                <w:sz w:val="28"/>
                <w:szCs w:val="28"/>
              </w:rPr>
              <w:t>.</w:t>
            </w:r>
          </w:p>
        </w:tc>
      </w:tr>
      <w:tr w:rsidR="00C27A08" w:rsidRPr="00B339AC" w:rsidTr="00FF5A9A">
        <w:trPr>
          <w:trHeight w:val="517"/>
        </w:trPr>
        <w:tc>
          <w:tcPr>
            <w:tcW w:w="293" w:type="pct"/>
          </w:tcPr>
          <w:p w:rsidR="00C27A08" w:rsidRPr="00B339AC" w:rsidRDefault="00C27A08" w:rsidP="006C4607">
            <w:pPr>
              <w:pStyle w:val="naiskr"/>
              <w:spacing w:before="0" w:after="0"/>
              <w:rPr>
                <w:sz w:val="28"/>
                <w:szCs w:val="28"/>
              </w:rPr>
            </w:pPr>
            <w:r w:rsidRPr="00B339AC">
              <w:rPr>
                <w:sz w:val="28"/>
                <w:szCs w:val="28"/>
              </w:rPr>
              <w:t>4.</w:t>
            </w:r>
          </w:p>
        </w:tc>
        <w:tc>
          <w:tcPr>
            <w:tcW w:w="1017" w:type="pct"/>
          </w:tcPr>
          <w:p w:rsidR="00C27A08" w:rsidRPr="00B339AC" w:rsidRDefault="00C27A08" w:rsidP="006C4607">
            <w:pPr>
              <w:pStyle w:val="naiskr"/>
              <w:spacing w:before="0" w:after="0"/>
              <w:rPr>
                <w:sz w:val="28"/>
                <w:szCs w:val="28"/>
              </w:rPr>
            </w:pPr>
            <w:r w:rsidRPr="00B339AC">
              <w:rPr>
                <w:sz w:val="28"/>
                <w:szCs w:val="28"/>
              </w:rPr>
              <w:t>Tiesiskā regulējuma nefinansiālā ietekme</w:t>
            </w:r>
          </w:p>
        </w:tc>
        <w:tc>
          <w:tcPr>
            <w:tcW w:w="3690" w:type="pct"/>
          </w:tcPr>
          <w:p w:rsidR="00106496" w:rsidRDefault="00BF6253" w:rsidP="00D03C1A">
            <w:pPr>
              <w:pStyle w:val="naiskr"/>
              <w:spacing w:before="0" w:after="0"/>
              <w:jc w:val="both"/>
              <w:rPr>
                <w:iCs/>
                <w:sz w:val="28"/>
                <w:szCs w:val="28"/>
              </w:rPr>
            </w:pPr>
            <w:r w:rsidRPr="00B339AC">
              <w:rPr>
                <w:iCs/>
                <w:sz w:val="28"/>
                <w:szCs w:val="28"/>
              </w:rPr>
              <w:t>Projekts šo jomu neskar.</w:t>
            </w:r>
            <w:r w:rsidR="00D03C1A" w:rsidRPr="00B339AC">
              <w:rPr>
                <w:iCs/>
                <w:sz w:val="28"/>
                <w:szCs w:val="28"/>
              </w:rPr>
              <w:tab/>
            </w:r>
          </w:p>
          <w:p w:rsidR="00C27A08" w:rsidRPr="00B339AC" w:rsidRDefault="00C27A08" w:rsidP="00D03C1A">
            <w:pPr>
              <w:pStyle w:val="naiskr"/>
              <w:spacing w:before="0" w:after="0"/>
              <w:jc w:val="both"/>
              <w:rPr>
                <w:sz w:val="28"/>
                <w:szCs w:val="28"/>
              </w:rPr>
            </w:pPr>
          </w:p>
        </w:tc>
      </w:tr>
      <w:tr w:rsidR="0062298A" w:rsidRPr="00B339AC" w:rsidTr="00FF5A9A">
        <w:trPr>
          <w:trHeight w:val="531"/>
        </w:trPr>
        <w:tc>
          <w:tcPr>
            <w:tcW w:w="293" w:type="pct"/>
          </w:tcPr>
          <w:p w:rsidR="0062298A" w:rsidRPr="00B339AC" w:rsidRDefault="00C27A08" w:rsidP="006C4607">
            <w:pPr>
              <w:pStyle w:val="naiskr"/>
              <w:spacing w:before="0" w:after="0"/>
              <w:rPr>
                <w:sz w:val="28"/>
                <w:szCs w:val="28"/>
              </w:rPr>
            </w:pPr>
            <w:r w:rsidRPr="00B339AC">
              <w:rPr>
                <w:sz w:val="28"/>
                <w:szCs w:val="28"/>
              </w:rPr>
              <w:t>5</w:t>
            </w:r>
            <w:r w:rsidR="0062298A" w:rsidRPr="00B339AC">
              <w:rPr>
                <w:sz w:val="28"/>
                <w:szCs w:val="28"/>
              </w:rPr>
              <w:t>.</w:t>
            </w:r>
          </w:p>
        </w:tc>
        <w:tc>
          <w:tcPr>
            <w:tcW w:w="1017" w:type="pct"/>
          </w:tcPr>
          <w:p w:rsidR="00C1133D" w:rsidRPr="00B339AC" w:rsidRDefault="00C1133D" w:rsidP="006C4607">
            <w:pPr>
              <w:pStyle w:val="naiskr"/>
              <w:spacing w:before="0" w:after="0"/>
              <w:rPr>
                <w:sz w:val="28"/>
                <w:szCs w:val="28"/>
              </w:rPr>
            </w:pPr>
            <w:r w:rsidRPr="00B339AC">
              <w:rPr>
                <w:sz w:val="28"/>
                <w:szCs w:val="28"/>
              </w:rPr>
              <w:t>Administratīv</w:t>
            </w:r>
            <w:r w:rsidR="00C27A08" w:rsidRPr="00B339AC">
              <w:rPr>
                <w:sz w:val="28"/>
                <w:szCs w:val="28"/>
              </w:rPr>
              <w:t>ās</w:t>
            </w:r>
            <w:r w:rsidRPr="00B339AC">
              <w:rPr>
                <w:sz w:val="28"/>
                <w:szCs w:val="28"/>
              </w:rPr>
              <w:t xml:space="preserve"> procedūr</w:t>
            </w:r>
            <w:r w:rsidR="00965897" w:rsidRPr="00B339AC">
              <w:rPr>
                <w:sz w:val="28"/>
                <w:szCs w:val="28"/>
              </w:rPr>
              <w:t>a</w:t>
            </w:r>
            <w:r w:rsidRPr="00B339AC">
              <w:rPr>
                <w:sz w:val="28"/>
                <w:szCs w:val="28"/>
              </w:rPr>
              <w:t xml:space="preserve">s </w:t>
            </w:r>
            <w:r w:rsidR="00C27A08" w:rsidRPr="00B339AC">
              <w:rPr>
                <w:sz w:val="28"/>
                <w:szCs w:val="28"/>
              </w:rPr>
              <w:t>raksturojums</w:t>
            </w:r>
          </w:p>
        </w:tc>
        <w:tc>
          <w:tcPr>
            <w:tcW w:w="3690" w:type="pct"/>
          </w:tcPr>
          <w:p w:rsidR="0062298A" w:rsidRPr="00B339AC" w:rsidRDefault="003A0ADF" w:rsidP="006C4607">
            <w:pPr>
              <w:pStyle w:val="naiskr"/>
              <w:spacing w:before="0" w:after="0"/>
              <w:rPr>
                <w:sz w:val="28"/>
                <w:szCs w:val="28"/>
              </w:rPr>
            </w:pPr>
            <w:r w:rsidRPr="00B339AC">
              <w:rPr>
                <w:iCs/>
                <w:sz w:val="28"/>
                <w:szCs w:val="28"/>
              </w:rPr>
              <w:t>Projekts šo jomu neskar</w:t>
            </w:r>
            <w:r w:rsidR="00056EB0" w:rsidRPr="00B339AC">
              <w:rPr>
                <w:iCs/>
                <w:sz w:val="28"/>
                <w:szCs w:val="28"/>
              </w:rPr>
              <w:t>.</w:t>
            </w:r>
          </w:p>
        </w:tc>
      </w:tr>
      <w:tr w:rsidR="0062298A" w:rsidRPr="00B339AC" w:rsidTr="00FF5A9A">
        <w:trPr>
          <w:trHeight w:val="357"/>
        </w:trPr>
        <w:tc>
          <w:tcPr>
            <w:tcW w:w="293" w:type="pct"/>
          </w:tcPr>
          <w:p w:rsidR="0062298A" w:rsidRPr="00B339AC" w:rsidRDefault="00C27A08" w:rsidP="006C4607">
            <w:pPr>
              <w:pStyle w:val="naiskr"/>
              <w:spacing w:before="0" w:after="0"/>
              <w:rPr>
                <w:sz w:val="28"/>
                <w:szCs w:val="28"/>
              </w:rPr>
            </w:pPr>
            <w:r w:rsidRPr="00B339AC">
              <w:rPr>
                <w:sz w:val="28"/>
                <w:szCs w:val="28"/>
              </w:rPr>
              <w:t>6</w:t>
            </w:r>
            <w:r w:rsidR="0062298A" w:rsidRPr="00B339AC">
              <w:rPr>
                <w:sz w:val="28"/>
                <w:szCs w:val="28"/>
              </w:rPr>
              <w:t>.</w:t>
            </w:r>
          </w:p>
        </w:tc>
        <w:tc>
          <w:tcPr>
            <w:tcW w:w="1017" w:type="pct"/>
          </w:tcPr>
          <w:p w:rsidR="00AE5066" w:rsidRPr="00B339AC" w:rsidRDefault="00C27A08" w:rsidP="006C4607">
            <w:pPr>
              <w:pStyle w:val="naiskr"/>
              <w:spacing w:before="0" w:after="0"/>
              <w:rPr>
                <w:sz w:val="28"/>
                <w:szCs w:val="28"/>
              </w:rPr>
            </w:pPr>
            <w:r w:rsidRPr="00B339AC">
              <w:rPr>
                <w:sz w:val="28"/>
                <w:szCs w:val="28"/>
              </w:rPr>
              <w:t xml:space="preserve">Administratīvo izmaksu </w:t>
            </w:r>
            <w:r w:rsidR="00502374" w:rsidRPr="00B339AC">
              <w:rPr>
                <w:sz w:val="28"/>
                <w:szCs w:val="28"/>
              </w:rPr>
              <w:t xml:space="preserve">monetārs </w:t>
            </w:r>
            <w:r w:rsidRPr="00B339AC">
              <w:rPr>
                <w:sz w:val="28"/>
                <w:szCs w:val="28"/>
              </w:rPr>
              <w:t>novērtējums</w:t>
            </w:r>
          </w:p>
        </w:tc>
        <w:tc>
          <w:tcPr>
            <w:tcW w:w="3690" w:type="pct"/>
          </w:tcPr>
          <w:p w:rsidR="0062298A" w:rsidRPr="00B339AC" w:rsidRDefault="003A0ADF" w:rsidP="006C4607">
            <w:pPr>
              <w:pStyle w:val="naiskr"/>
              <w:spacing w:before="0" w:after="0"/>
              <w:rPr>
                <w:sz w:val="28"/>
                <w:szCs w:val="28"/>
              </w:rPr>
            </w:pPr>
            <w:r w:rsidRPr="00B339AC">
              <w:rPr>
                <w:iCs/>
                <w:sz w:val="28"/>
                <w:szCs w:val="28"/>
              </w:rPr>
              <w:t>Projekts šo jomu neskar</w:t>
            </w:r>
            <w:r w:rsidR="00056EB0" w:rsidRPr="00B339AC">
              <w:rPr>
                <w:iCs/>
                <w:sz w:val="28"/>
                <w:szCs w:val="28"/>
              </w:rPr>
              <w:t>.</w:t>
            </w:r>
          </w:p>
        </w:tc>
      </w:tr>
      <w:tr w:rsidR="0062298A" w:rsidRPr="00B339AC" w:rsidTr="00FF5A9A">
        <w:trPr>
          <w:trHeight w:val="392"/>
        </w:trPr>
        <w:tc>
          <w:tcPr>
            <w:tcW w:w="293" w:type="pct"/>
          </w:tcPr>
          <w:p w:rsidR="0062298A" w:rsidRPr="00B339AC" w:rsidRDefault="00C27A08" w:rsidP="006C4607">
            <w:pPr>
              <w:pStyle w:val="naiskr"/>
              <w:spacing w:before="0" w:after="0"/>
              <w:rPr>
                <w:sz w:val="28"/>
                <w:szCs w:val="28"/>
              </w:rPr>
            </w:pPr>
            <w:r w:rsidRPr="00B339AC">
              <w:rPr>
                <w:sz w:val="28"/>
                <w:szCs w:val="28"/>
              </w:rPr>
              <w:t>7</w:t>
            </w:r>
            <w:r w:rsidR="0062298A" w:rsidRPr="00B339AC">
              <w:rPr>
                <w:sz w:val="28"/>
                <w:szCs w:val="28"/>
              </w:rPr>
              <w:t>.</w:t>
            </w:r>
          </w:p>
        </w:tc>
        <w:tc>
          <w:tcPr>
            <w:tcW w:w="1017" w:type="pct"/>
          </w:tcPr>
          <w:p w:rsidR="0062298A" w:rsidRPr="00B339AC" w:rsidRDefault="009E12D7" w:rsidP="006C4607">
            <w:pPr>
              <w:pStyle w:val="naiskr"/>
              <w:spacing w:before="0" w:after="0"/>
              <w:rPr>
                <w:sz w:val="28"/>
                <w:szCs w:val="28"/>
              </w:rPr>
            </w:pPr>
            <w:r w:rsidRPr="00B339AC">
              <w:rPr>
                <w:sz w:val="28"/>
                <w:szCs w:val="28"/>
              </w:rPr>
              <w:t>Cita informācija</w:t>
            </w:r>
          </w:p>
        </w:tc>
        <w:tc>
          <w:tcPr>
            <w:tcW w:w="3690" w:type="pct"/>
          </w:tcPr>
          <w:p w:rsidR="0062298A" w:rsidRPr="00B339AC" w:rsidRDefault="0062298A" w:rsidP="006C4607">
            <w:pPr>
              <w:pStyle w:val="naiskr"/>
              <w:spacing w:before="0" w:after="0"/>
              <w:rPr>
                <w:sz w:val="28"/>
                <w:szCs w:val="28"/>
              </w:rPr>
            </w:pPr>
            <w:r w:rsidRPr="00B339AC">
              <w:rPr>
                <w:sz w:val="28"/>
                <w:szCs w:val="28"/>
              </w:rPr>
              <w:t>Nav</w:t>
            </w:r>
            <w:r w:rsidR="00056EB0" w:rsidRPr="00B339AC">
              <w:rPr>
                <w:sz w:val="28"/>
                <w:szCs w:val="28"/>
              </w:rPr>
              <w:t>.</w:t>
            </w:r>
          </w:p>
        </w:tc>
      </w:tr>
    </w:tbl>
    <w:p w:rsidR="008C5649" w:rsidRPr="00B339AC" w:rsidRDefault="008C5649" w:rsidP="006C4607">
      <w:pPr>
        <w:pStyle w:val="naisf"/>
        <w:spacing w:before="0" w:after="0"/>
        <w:rPr>
          <w:sz w:val="28"/>
          <w:szCs w:val="28"/>
        </w:rPr>
      </w:pPr>
    </w:p>
    <w:p w:rsidR="00E46559" w:rsidRPr="00B339AC" w:rsidRDefault="00E46559" w:rsidP="006C4607">
      <w:pPr>
        <w:pStyle w:val="naisf"/>
        <w:spacing w:before="0" w:after="0"/>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0"/>
        <w:gridCol w:w="2014"/>
        <w:gridCol w:w="6667"/>
      </w:tblGrid>
      <w:tr w:rsidR="00277929" w:rsidRPr="00B339AC" w:rsidTr="00FF5A9A">
        <w:trPr>
          <w:jc w:val="center"/>
        </w:trPr>
        <w:tc>
          <w:tcPr>
            <w:tcW w:w="5000" w:type="pct"/>
            <w:gridSpan w:val="3"/>
          </w:tcPr>
          <w:p w:rsidR="00277929" w:rsidRPr="00B339AC" w:rsidRDefault="00277929" w:rsidP="007D099D">
            <w:pPr>
              <w:pStyle w:val="naisnod"/>
              <w:spacing w:before="0" w:after="0"/>
              <w:ind w:left="57" w:right="57"/>
              <w:rPr>
                <w:sz w:val="28"/>
                <w:szCs w:val="28"/>
              </w:rPr>
            </w:pPr>
            <w:r w:rsidRPr="00B339AC">
              <w:rPr>
                <w:sz w:val="28"/>
                <w:szCs w:val="28"/>
              </w:rPr>
              <w:t>VI</w:t>
            </w:r>
            <w:r w:rsidR="000941C5" w:rsidRPr="00B339AC">
              <w:rPr>
                <w:sz w:val="28"/>
                <w:szCs w:val="28"/>
              </w:rPr>
              <w:t>.</w:t>
            </w:r>
            <w:r w:rsidRPr="00B339AC">
              <w:rPr>
                <w:sz w:val="28"/>
                <w:szCs w:val="28"/>
              </w:rPr>
              <w:t xml:space="preserve"> Sabiedrības līdzdalība un šīs līdzdalības rezultāti</w:t>
            </w:r>
          </w:p>
        </w:tc>
      </w:tr>
      <w:tr w:rsidR="00183CC2" w:rsidRPr="00B339AC" w:rsidTr="00365457">
        <w:trPr>
          <w:trHeight w:val="553"/>
          <w:jc w:val="center"/>
        </w:trPr>
        <w:tc>
          <w:tcPr>
            <w:tcW w:w="220" w:type="pct"/>
          </w:tcPr>
          <w:p w:rsidR="00183CC2" w:rsidRPr="00B339AC" w:rsidRDefault="00183CC2" w:rsidP="007D099D">
            <w:pPr>
              <w:pStyle w:val="naiskr"/>
              <w:spacing w:before="0" w:after="0"/>
              <w:ind w:left="57" w:right="57"/>
              <w:rPr>
                <w:bCs/>
                <w:sz w:val="28"/>
                <w:szCs w:val="28"/>
              </w:rPr>
            </w:pPr>
            <w:r w:rsidRPr="00B339AC">
              <w:rPr>
                <w:bCs/>
                <w:sz w:val="28"/>
                <w:szCs w:val="28"/>
              </w:rPr>
              <w:t>1.</w:t>
            </w:r>
          </w:p>
        </w:tc>
        <w:tc>
          <w:tcPr>
            <w:tcW w:w="1109" w:type="pct"/>
          </w:tcPr>
          <w:p w:rsidR="00183CC2" w:rsidRPr="00B339AC" w:rsidRDefault="00183CC2" w:rsidP="007D099D">
            <w:pPr>
              <w:pStyle w:val="naiskr"/>
              <w:tabs>
                <w:tab w:val="left" w:pos="170"/>
              </w:tabs>
              <w:spacing w:before="0" w:after="0"/>
              <w:ind w:left="57" w:right="57"/>
              <w:rPr>
                <w:sz w:val="28"/>
                <w:szCs w:val="28"/>
              </w:rPr>
            </w:pPr>
            <w:r w:rsidRPr="00B339AC">
              <w:rPr>
                <w:sz w:val="28"/>
                <w:szCs w:val="28"/>
              </w:rPr>
              <w:t>Sabiedrības informēšana par projekta izstrādes uzsākšanu</w:t>
            </w:r>
          </w:p>
        </w:tc>
        <w:tc>
          <w:tcPr>
            <w:tcW w:w="3670" w:type="pct"/>
          </w:tcPr>
          <w:p w:rsidR="00D33374" w:rsidRDefault="007E68A9" w:rsidP="007E68A9">
            <w:pPr>
              <w:pStyle w:val="naiskr"/>
              <w:spacing w:before="0" w:after="0"/>
              <w:ind w:left="57" w:right="57"/>
              <w:jc w:val="both"/>
              <w:rPr>
                <w:iCs/>
                <w:sz w:val="28"/>
                <w:szCs w:val="28"/>
              </w:rPr>
            </w:pPr>
            <w:r w:rsidRPr="00B339AC">
              <w:rPr>
                <w:iCs/>
                <w:sz w:val="28"/>
                <w:szCs w:val="28"/>
              </w:rPr>
              <w:tab/>
              <w:t>Noteikumu projekt</w:t>
            </w:r>
            <w:r w:rsidR="00F74E7B">
              <w:rPr>
                <w:iCs/>
                <w:sz w:val="28"/>
                <w:szCs w:val="28"/>
              </w:rPr>
              <w:t>a izstrādē vērtēti</w:t>
            </w:r>
            <w:r w:rsidR="00D33374">
              <w:rPr>
                <w:iCs/>
                <w:sz w:val="28"/>
                <w:szCs w:val="28"/>
              </w:rPr>
              <w:t xml:space="preserve"> </w:t>
            </w:r>
            <w:r w:rsidR="00D33374" w:rsidRPr="00B339AC">
              <w:rPr>
                <w:iCs/>
                <w:sz w:val="28"/>
                <w:szCs w:val="28"/>
              </w:rPr>
              <w:t xml:space="preserve">ar kultūras ministra </w:t>
            </w:r>
            <w:r w:rsidR="00D33374" w:rsidRPr="003275C6">
              <w:rPr>
                <w:iCs/>
                <w:sz w:val="28"/>
                <w:szCs w:val="28"/>
              </w:rPr>
              <w:t xml:space="preserve">2005.gada 22.septembra rīkojumu Nr.172 </w:t>
            </w:r>
            <w:r w:rsidR="00D33374" w:rsidRPr="00B339AC">
              <w:rPr>
                <w:iCs/>
                <w:sz w:val="28"/>
                <w:szCs w:val="28"/>
              </w:rPr>
              <w:t>izveidotā</w:t>
            </w:r>
            <w:r w:rsidR="00D33374">
              <w:rPr>
                <w:iCs/>
                <w:sz w:val="28"/>
                <w:szCs w:val="28"/>
              </w:rPr>
              <w:t>s</w:t>
            </w:r>
            <w:r w:rsidR="00D33374" w:rsidRPr="00B339AC">
              <w:rPr>
                <w:iCs/>
                <w:sz w:val="28"/>
                <w:szCs w:val="28"/>
              </w:rPr>
              <w:t xml:space="preserve"> darba grup</w:t>
            </w:r>
            <w:r w:rsidR="00D33374">
              <w:rPr>
                <w:iCs/>
                <w:sz w:val="28"/>
                <w:szCs w:val="28"/>
              </w:rPr>
              <w:t>as</w:t>
            </w:r>
            <w:r w:rsidR="00D33374" w:rsidRPr="00B339AC">
              <w:rPr>
                <w:iCs/>
                <w:sz w:val="28"/>
                <w:szCs w:val="28"/>
              </w:rPr>
              <w:t xml:space="preserve"> </w:t>
            </w:r>
            <w:r w:rsidR="00D33374" w:rsidRPr="003275C6">
              <w:rPr>
                <w:iCs/>
                <w:sz w:val="28"/>
                <w:szCs w:val="28"/>
              </w:rPr>
              <w:t>Ministru kabineta 2005.gada 10.maija noteikumu Nr.321 „Noteikumi par tukšo materiālo nesēju un reproducēšanai izmantojamo iekārtu atlīdzības lielumu un tās iekasēšanas, atmaksāšanas, sadales un izmaksas kārtību” 3. un 4.punkta izvērtēšanai</w:t>
            </w:r>
            <w:r w:rsidR="00D33374">
              <w:rPr>
                <w:iCs/>
                <w:sz w:val="28"/>
                <w:szCs w:val="28"/>
              </w:rPr>
              <w:t xml:space="preserve"> (turpmāk – darba grupa) sanāksmēs paustie darba grupas dalībnieku viedokļi. </w:t>
            </w:r>
          </w:p>
          <w:p w:rsidR="007E68A9" w:rsidRPr="00D33374" w:rsidRDefault="00D33374" w:rsidP="00D33374">
            <w:pPr>
              <w:pStyle w:val="naiskr"/>
              <w:spacing w:before="0" w:after="0"/>
              <w:ind w:left="57" w:right="57"/>
              <w:jc w:val="both"/>
              <w:rPr>
                <w:iCs/>
                <w:sz w:val="28"/>
                <w:szCs w:val="28"/>
              </w:rPr>
            </w:pPr>
            <w:r>
              <w:rPr>
                <w:iCs/>
                <w:sz w:val="28"/>
                <w:szCs w:val="28"/>
              </w:rPr>
              <w:tab/>
              <w:t>Tāpat vērtēti darba grupas dalībnieku viedokļi, kuri sniegti atsevišķi.</w:t>
            </w:r>
          </w:p>
        </w:tc>
      </w:tr>
      <w:tr w:rsidR="00277929" w:rsidRPr="00B339AC" w:rsidTr="00365457">
        <w:trPr>
          <w:trHeight w:val="339"/>
          <w:jc w:val="center"/>
        </w:trPr>
        <w:tc>
          <w:tcPr>
            <w:tcW w:w="220" w:type="pct"/>
          </w:tcPr>
          <w:p w:rsidR="00277929" w:rsidRPr="00B339AC" w:rsidRDefault="00183CC2" w:rsidP="007D099D">
            <w:pPr>
              <w:pStyle w:val="naiskr"/>
              <w:spacing w:before="0" w:after="0"/>
              <w:ind w:left="57" w:right="57"/>
              <w:rPr>
                <w:bCs/>
                <w:sz w:val="28"/>
                <w:szCs w:val="28"/>
              </w:rPr>
            </w:pPr>
            <w:r w:rsidRPr="00B339AC">
              <w:rPr>
                <w:bCs/>
                <w:sz w:val="28"/>
                <w:szCs w:val="28"/>
              </w:rPr>
              <w:t>2</w:t>
            </w:r>
            <w:r w:rsidR="00277929" w:rsidRPr="00B339AC">
              <w:rPr>
                <w:bCs/>
                <w:sz w:val="28"/>
                <w:szCs w:val="28"/>
              </w:rPr>
              <w:t>.</w:t>
            </w:r>
          </w:p>
        </w:tc>
        <w:tc>
          <w:tcPr>
            <w:tcW w:w="1109" w:type="pct"/>
          </w:tcPr>
          <w:p w:rsidR="00277929" w:rsidRPr="00B339AC" w:rsidRDefault="00E179CD" w:rsidP="007D099D">
            <w:pPr>
              <w:pStyle w:val="naiskr"/>
              <w:spacing w:before="0" w:after="0"/>
              <w:ind w:left="57" w:right="57"/>
              <w:rPr>
                <w:sz w:val="28"/>
                <w:szCs w:val="28"/>
              </w:rPr>
            </w:pPr>
            <w:r w:rsidRPr="00B339AC">
              <w:rPr>
                <w:sz w:val="28"/>
                <w:szCs w:val="28"/>
              </w:rPr>
              <w:t>S</w:t>
            </w:r>
            <w:r w:rsidR="00DB073B" w:rsidRPr="00B339AC">
              <w:rPr>
                <w:sz w:val="28"/>
                <w:szCs w:val="28"/>
              </w:rPr>
              <w:t>abiedrības</w:t>
            </w:r>
            <w:r w:rsidR="00B73166" w:rsidRPr="00B339AC">
              <w:rPr>
                <w:sz w:val="28"/>
                <w:szCs w:val="28"/>
              </w:rPr>
              <w:t xml:space="preserve"> </w:t>
            </w:r>
            <w:r w:rsidR="00DB073B" w:rsidRPr="00B339AC">
              <w:rPr>
                <w:sz w:val="28"/>
                <w:szCs w:val="28"/>
              </w:rPr>
              <w:t>līdzdalība</w:t>
            </w:r>
            <w:r w:rsidR="00B73166" w:rsidRPr="00B339AC">
              <w:rPr>
                <w:sz w:val="28"/>
                <w:szCs w:val="28"/>
              </w:rPr>
              <w:t xml:space="preserve"> </w:t>
            </w:r>
            <w:r w:rsidR="00AB2B1A" w:rsidRPr="00B339AC">
              <w:rPr>
                <w:sz w:val="28"/>
                <w:szCs w:val="28"/>
              </w:rPr>
              <w:t>projekta izstrādē</w:t>
            </w:r>
            <w:r w:rsidR="00DB073B" w:rsidRPr="00B339AC">
              <w:rPr>
                <w:sz w:val="28"/>
                <w:szCs w:val="28"/>
              </w:rPr>
              <w:t xml:space="preserve"> </w:t>
            </w:r>
          </w:p>
        </w:tc>
        <w:tc>
          <w:tcPr>
            <w:tcW w:w="3670" w:type="pct"/>
          </w:tcPr>
          <w:p w:rsidR="00D33374" w:rsidRPr="00B339AC" w:rsidRDefault="006D3CA1" w:rsidP="00D33374">
            <w:pPr>
              <w:pStyle w:val="naiskr"/>
              <w:spacing w:before="0" w:after="0"/>
              <w:ind w:left="57" w:right="57"/>
              <w:jc w:val="both"/>
              <w:rPr>
                <w:sz w:val="28"/>
                <w:szCs w:val="28"/>
              </w:rPr>
            </w:pPr>
            <w:r w:rsidRPr="00B339AC">
              <w:rPr>
                <w:sz w:val="28"/>
                <w:szCs w:val="28"/>
              </w:rPr>
              <w:tab/>
            </w:r>
            <w:r w:rsidR="007E68A9" w:rsidRPr="00B339AC">
              <w:rPr>
                <w:sz w:val="28"/>
                <w:szCs w:val="28"/>
              </w:rPr>
              <w:t xml:space="preserve">Darba grupā </w:t>
            </w:r>
            <w:r w:rsidR="00EA371C">
              <w:rPr>
                <w:sz w:val="28"/>
                <w:szCs w:val="28"/>
              </w:rPr>
              <w:t>piedalās</w:t>
            </w:r>
            <w:r w:rsidR="007E68A9" w:rsidRPr="00B339AC">
              <w:rPr>
                <w:sz w:val="28"/>
                <w:szCs w:val="28"/>
              </w:rPr>
              <w:t>:</w:t>
            </w:r>
          </w:p>
          <w:p w:rsidR="006D3CA1" w:rsidRDefault="00D33374" w:rsidP="00D33374">
            <w:pPr>
              <w:pStyle w:val="naiskr"/>
              <w:numPr>
                <w:ilvl w:val="0"/>
                <w:numId w:val="15"/>
              </w:numPr>
              <w:spacing w:before="0" w:after="0"/>
              <w:ind w:right="57"/>
              <w:jc w:val="both"/>
              <w:rPr>
                <w:sz w:val="28"/>
                <w:szCs w:val="28"/>
              </w:rPr>
            </w:pPr>
            <w:r>
              <w:rPr>
                <w:sz w:val="28"/>
                <w:szCs w:val="28"/>
              </w:rPr>
              <w:t>Kultūras ministrijas pārstāvji;</w:t>
            </w:r>
          </w:p>
          <w:p w:rsidR="00D33374" w:rsidRDefault="00D33374" w:rsidP="00D33374">
            <w:pPr>
              <w:pStyle w:val="naiskr"/>
              <w:numPr>
                <w:ilvl w:val="0"/>
                <w:numId w:val="15"/>
              </w:numPr>
              <w:spacing w:before="0" w:after="0"/>
              <w:ind w:right="57"/>
              <w:jc w:val="both"/>
              <w:rPr>
                <w:sz w:val="28"/>
                <w:szCs w:val="28"/>
              </w:rPr>
            </w:pPr>
            <w:r w:rsidRPr="00D33374">
              <w:rPr>
                <w:sz w:val="28"/>
                <w:szCs w:val="28"/>
              </w:rPr>
              <w:t>Ekonomikas ministrija</w:t>
            </w:r>
            <w:r>
              <w:rPr>
                <w:sz w:val="28"/>
                <w:szCs w:val="28"/>
              </w:rPr>
              <w:t>s pārstāvis;</w:t>
            </w:r>
          </w:p>
          <w:p w:rsidR="00D33374" w:rsidRDefault="00D33374" w:rsidP="00D33374">
            <w:pPr>
              <w:pStyle w:val="naiskr"/>
              <w:numPr>
                <w:ilvl w:val="0"/>
                <w:numId w:val="15"/>
              </w:numPr>
              <w:spacing w:before="0" w:after="0"/>
              <w:ind w:right="57"/>
              <w:jc w:val="both"/>
              <w:rPr>
                <w:sz w:val="28"/>
                <w:szCs w:val="28"/>
              </w:rPr>
            </w:pPr>
            <w:r>
              <w:rPr>
                <w:sz w:val="28"/>
                <w:szCs w:val="28"/>
              </w:rPr>
              <w:t>AKKA/LAA pārstāvis;</w:t>
            </w:r>
          </w:p>
          <w:p w:rsidR="00D33374" w:rsidRDefault="00D33374" w:rsidP="00D33374">
            <w:pPr>
              <w:pStyle w:val="naiskr"/>
              <w:numPr>
                <w:ilvl w:val="0"/>
                <w:numId w:val="15"/>
              </w:numPr>
              <w:spacing w:before="0" w:after="0"/>
              <w:ind w:right="57"/>
              <w:jc w:val="both"/>
              <w:rPr>
                <w:sz w:val="28"/>
                <w:szCs w:val="28"/>
              </w:rPr>
            </w:pPr>
            <w:r>
              <w:rPr>
                <w:sz w:val="28"/>
                <w:szCs w:val="28"/>
              </w:rPr>
              <w:t>LaIPA pārstāvis;</w:t>
            </w:r>
          </w:p>
          <w:p w:rsidR="00D33374" w:rsidRDefault="00D33374" w:rsidP="00D33374">
            <w:pPr>
              <w:pStyle w:val="naiskr"/>
              <w:numPr>
                <w:ilvl w:val="0"/>
                <w:numId w:val="15"/>
              </w:numPr>
              <w:spacing w:before="0" w:after="0"/>
              <w:ind w:right="57"/>
              <w:jc w:val="both"/>
              <w:rPr>
                <w:sz w:val="28"/>
                <w:szCs w:val="28"/>
              </w:rPr>
            </w:pPr>
            <w:r w:rsidRPr="00D33374">
              <w:rPr>
                <w:sz w:val="28"/>
                <w:szCs w:val="28"/>
              </w:rPr>
              <w:t>Latvijas Kinoproducentu asociācija</w:t>
            </w:r>
            <w:r>
              <w:rPr>
                <w:sz w:val="28"/>
                <w:szCs w:val="28"/>
              </w:rPr>
              <w:t>s pārstāvis;</w:t>
            </w:r>
          </w:p>
          <w:p w:rsidR="00D33374" w:rsidRDefault="00D33374" w:rsidP="00D33374">
            <w:pPr>
              <w:pStyle w:val="naiskr"/>
              <w:numPr>
                <w:ilvl w:val="0"/>
                <w:numId w:val="15"/>
              </w:numPr>
              <w:spacing w:before="0" w:after="0"/>
              <w:ind w:right="57"/>
              <w:jc w:val="both"/>
              <w:rPr>
                <w:sz w:val="28"/>
                <w:szCs w:val="28"/>
              </w:rPr>
            </w:pPr>
            <w:r w:rsidRPr="00D33374">
              <w:rPr>
                <w:sz w:val="28"/>
                <w:szCs w:val="28"/>
              </w:rPr>
              <w:t>Latvijas Profesionālo aktieru apvienība</w:t>
            </w:r>
            <w:r>
              <w:rPr>
                <w:sz w:val="28"/>
                <w:szCs w:val="28"/>
              </w:rPr>
              <w:t>s pārstāvis;</w:t>
            </w:r>
          </w:p>
          <w:p w:rsidR="00D33374" w:rsidRDefault="00D33374" w:rsidP="00D33374">
            <w:pPr>
              <w:pStyle w:val="naiskr"/>
              <w:numPr>
                <w:ilvl w:val="0"/>
                <w:numId w:val="15"/>
              </w:numPr>
              <w:spacing w:before="0" w:after="0"/>
              <w:ind w:right="57"/>
              <w:jc w:val="both"/>
              <w:rPr>
                <w:sz w:val="28"/>
                <w:szCs w:val="28"/>
              </w:rPr>
            </w:pPr>
            <w:r w:rsidRPr="00D33374">
              <w:rPr>
                <w:sz w:val="28"/>
                <w:szCs w:val="28"/>
              </w:rPr>
              <w:t>Latvijas Datortehnoloģiju asociācija</w:t>
            </w:r>
            <w:r>
              <w:rPr>
                <w:sz w:val="28"/>
                <w:szCs w:val="28"/>
              </w:rPr>
              <w:t>s pārstāvis;</w:t>
            </w:r>
          </w:p>
          <w:p w:rsidR="00D33374" w:rsidRDefault="00D33374" w:rsidP="00D33374">
            <w:pPr>
              <w:pStyle w:val="naiskr"/>
              <w:numPr>
                <w:ilvl w:val="0"/>
                <w:numId w:val="15"/>
              </w:numPr>
              <w:spacing w:before="0" w:after="0"/>
              <w:ind w:right="57"/>
              <w:jc w:val="both"/>
              <w:rPr>
                <w:sz w:val="28"/>
                <w:szCs w:val="28"/>
              </w:rPr>
            </w:pPr>
            <w:r w:rsidRPr="00D33374">
              <w:rPr>
                <w:sz w:val="28"/>
                <w:szCs w:val="28"/>
              </w:rPr>
              <w:t>Latvijas Elektrotehnikas un elektronikas rūpniecības asociācija</w:t>
            </w:r>
            <w:r>
              <w:rPr>
                <w:sz w:val="28"/>
                <w:szCs w:val="28"/>
              </w:rPr>
              <w:t>s</w:t>
            </w:r>
            <w:r w:rsidR="002628B6">
              <w:rPr>
                <w:sz w:val="28"/>
                <w:szCs w:val="28"/>
              </w:rPr>
              <w:t xml:space="preserve"> (turpmāk – LETERA)</w:t>
            </w:r>
            <w:r>
              <w:rPr>
                <w:sz w:val="28"/>
                <w:szCs w:val="28"/>
              </w:rPr>
              <w:t xml:space="preserve"> pārstāvis;</w:t>
            </w:r>
          </w:p>
          <w:p w:rsidR="00D33374" w:rsidRDefault="00D33374" w:rsidP="00D33374">
            <w:pPr>
              <w:pStyle w:val="naiskr"/>
              <w:numPr>
                <w:ilvl w:val="0"/>
                <w:numId w:val="15"/>
              </w:numPr>
              <w:spacing w:before="0" w:after="0"/>
              <w:ind w:right="57"/>
              <w:jc w:val="both"/>
              <w:rPr>
                <w:sz w:val="28"/>
                <w:szCs w:val="28"/>
              </w:rPr>
            </w:pPr>
            <w:r w:rsidRPr="00D33374">
              <w:rPr>
                <w:sz w:val="28"/>
                <w:szCs w:val="28"/>
              </w:rPr>
              <w:t>Latvijas Informācijas un komunikācijas tehnoloģijas asociācija</w:t>
            </w:r>
            <w:r>
              <w:rPr>
                <w:sz w:val="28"/>
                <w:szCs w:val="28"/>
              </w:rPr>
              <w:t>s pārstāvis</w:t>
            </w:r>
            <w:r w:rsidR="002628B6">
              <w:rPr>
                <w:sz w:val="28"/>
                <w:szCs w:val="28"/>
              </w:rPr>
              <w:t xml:space="preserve"> (turpmāk – LIKTA)</w:t>
            </w:r>
            <w:r>
              <w:rPr>
                <w:sz w:val="28"/>
                <w:szCs w:val="28"/>
              </w:rPr>
              <w:t>;</w:t>
            </w:r>
          </w:p>
          <w:p w:rsidR="00D33374" w:rsidRPr="00D33374" w:rsidRDefault="00D33374" w:rsidP="00D33374">
            <w:pPr>
              <w:pStyle w:val="naiskr"/>
              <w:numPr>
                <w:ilvl w:val="0"/>
                <w:numId w:val="15"/>
              </w:numPr>
              <w:spacing w:before="0" w:after="0"/>
              <w:ind w:right="57"/>
              <w:jc w:val="both"/>
              <w:rPr>
                <w:sz w:val="28"/>
                <w:szCs w:val="28"/>
              </w:rPr>
            </w:pPr>
            <w:r w:rsidRPr="00D33374">
              <w:rPr>
                <w:sz w:val="28"/>
                <w:szCs w:val="28"/>
              </w:rPr>
              <w:t>Latvijas Patērētāju interešu aizstāvības asociācija</w:t>
            </w:r>
            <w:r>
              <w:rPr>
                <w:sz w:val="28"/>
                <w:szCs w:val="28"/>
              </w:rPr>
              <w:t>s pārstāvis.</w:t>
            </w:r>
          </w:p>
        </w:tc>
      </w:tr>
      <w:tr w:rsidR="00277929" w:rsidRPr="00B339AC" w:rsidTr="00365457">
        <w:trPr>
          <w:trHeight w:val="375"/>
          <w:jc w:val="center"/>
        </w:trPr>
        <w:tc>
          <w:tcPr>
            <w:tcW w:w="220" w:type="pct"/>
          </w:tcPr>
          <w:p w:rsidR="00277929" w:rsidRPr="00B339AC" w:rsidRDefault="00183CC2" w:rsidP="007D099D">
            <w:pPr>
              <w:pStyle w:val="naiskr"/>
              <w:spacing w:before="0" w:after="0"/>
              <w:ind w:left="57" w:right="57"/>
              <w:rPr>
                <w:bCs/>
                <w:sz w:val="28"/>
                <w:szCs w:val="28"/>
              </w:rPr>
            </w:pPr>
            <w:r w:rsidRPr="00B339AC">
              <w:rPr>
                <w:bCs/>
                <w:sz w:val="28"/>
                <w:szCs w:val="28"/>
              </w:rPr>
              <w:t>3</w:t>
            </w:r>
            <w:r w:rsidR="00277929" w:rsidRPr="00B339AC">
              <w:rPr>
                <w:bCs/>
                <w:sz w:val="28"/>
                <w:szCs w:val="28"/>
              </w:rPr>
              <w:t>.</w:t>
            </w:r>
          </w:p>
        </w:tc>
        <w:tc>
          <w:tcPr>
            <w:tcW w:w="1109" w:type="pct"/>
          </w:tcPr>
          <w:p w:rsidR="00784422" w:rsidRPr="00B339AC" w:rsidRDefault="00DB78F0" w:rsidP="007D099D">
            <w:pPr>
              <w:pStyle w:val="naiskr"/>
              <w:spacing w:before="0" w:after="0"/>
              <w:ind w:left="57" w:right="57"/>
              <w:rPr>
                <w:sz w:val="28"/>
                <w:szCs w:val="28"/>
              </w:rPr>
            </w:pPr>
            <w:r w:rsidRPr="00B339AC">
              <w:rPr>
                <w:sz w:val="28"/>
                <w:szCs w:val="28"/>
              </w:rPr>
              <w:t xml:space="preserve">Sabiedrības līdzdalības rezultāti </w:t>
            </w:r>
          </w:p>
        </w:tc>
        <w:tc>
          <w:tcPr>
            <w:tcW w:w="3670" w:type="pct"/>
          </w:tcPr>
          <w:p w:rsidR="00277929" w:rsidRDefault="00074F1F" w:rsidP="009B658C">
            <w:pPr>
              <w:pStyle w:val="naiskr"/>
              <w:spacing w:before="0" w:after="0"/>
              <w:ind w:left="57" w:right="57"/>
              <w:jc w:val="both"/>
              <w:rPr>
                <w:sz w:val="28"/>
                <w:szCs w:val="28"/>
              </w:rPr>
            </w:pPr>
            <w:r>
              <w:rPr>
                <w:sz w:val="28"/>
                <w:szCs w:val="28"/>
              </w:rPr>
              <w:t xml:space="preserve">1. </w:t>
            </w:r>
            <w:r w:rsidR="009B658C">
              <w:rPr>
                <w:sz w:val="28"/>
                <w:szCs w:val="28"/>
              </w:rPr>
              <w:t>A</w:t>
            </w:r>
            <w:r w:rsidR="009B658C" w:rsidRPr="009B658C">
              <w:rPr>
                <w:sz w:val="28"/>
                <w:szCs w:val="28"/>
              </w:rPr>
              <w:t>r autor</w:t>
            </w:r>
            <w:r w:rsidR="009B658C">
              <w:rPr>
                <w:sz w:val="28"/>
                <w:szCs w:val="28"/>
              </w:rPr>
              <w:t>tiesībām aizsargātu darbu autorus, kā arī blakustiesību īpašniekus</w:t>
            </w:r>
            <w:r w:rsidR="009B658C" w:rsidRPr="009B658C">
              <w:rPr>
                <w:sz w:val="28"/>
                <w:szCs w:val="28"/>
              </w:rPr>
              <w:t xml:space="preserve"> </w:t>
            </w:r>
            <w:r w:rsidR="009B658C">
              <w:rPr>
                <w:sz w:val="28"/>
                <w:szCs w:val="28"/>
              </w:rPr>
              <w:t xml:space="preserve">pārstāvošās organizācijas (AKKA/LAA, </w:t>
            </w:r>
            <w:proofErr w:type="spellStart"/>
            <w:r w:rsidR="009B658C">
              <w:rPr>
                <w:sz w:val="28"/>
                <w:szCs w:val="28"/>
              </w:rPr>
              <w:t>LaIPA</w:t>
            </w:r>
            <w:proofErr w:type="spellEnd"/>
            <w:r w:rsidR="009B658C">
              <w:rPr>
                <w:sz w:val="28"/>
                <w:szCs w:val="28"/>
              </w:rPr>
              <w:t xml:space="preserve">) paudušas viedokli (AKKA/LAA 2012.gada 25.septembra vēstule Nr.2/5-211; </w:t>
            </w:r>
            <w:proofErr w:type="spellStart"/>
            <w:r w:rsidR="009B658C">
              <w:rPr>
                <w:sz w:val="28"/>
                <w:szCs w:val="28"/>
              </w:rPr>
              <w:t>LaIPA</w:t>
            </w:r>
            <w:proofErr w:type="spellEnd"/>
            <w:r w:rsidR="009B658C">
              <w:rPr>
                <w:sz w:val="28"/>
                <w:szCs w:val="28"/>
              </w:rPr>
              <w:t xml:space="preserve"> 2012.gada 25.septembra e-pasta vēstule), ka tām ir pamats uzskatīt, ka ST spriedums nav izpildīts</w:t>
            </w:r>
            <w:r w:rsidR="005A2F94">
              <w:rPr>
                <w:sz w:val="28"/>
                <w:szCs w:val="28"/>
              </w:rPr>
              <w:t xml:space="preserve"> un ka noteikumu projekts „nenodrošina tiesību īpašniekiem taisnīgu atlīdzību par viņu darbu kopēšanu personiskai lieto</w:t>
            </w:r>
            <w:r w:rsidR="00D9208C">
              <w:rPr>
                <w:sz w:val="28"/>
                <w:szCs w:val="28"/>
              </w:rPr>
              <w:t>šanai</w:t>
            </w:r>
            <w:r w:rsidR="005A2F94">
              <w:rPr>
                <w:sz w:val="28"/>
                <w:szCs w:val="28"/>
              </w:rPr>
              <w:t>.”</w:t>
            </w:r>
          </w:p>
          <w:p w:rsidR="00EB26C6" w:rsidRDefault="00EB26C6" w:rsidP="009B658C">
            <w:pPr>
              <w:pStyle w:val="naiskr"/>
              <w:spacing w:before="0" w:after="0"/>
              <w:ind w:left="57" w:right="57"/>
              <w:jc w:val="both"/>
              <w:rPr>
                <w:sz w:val="28"/>
                <w:szCs w:val="28"/>
              </w:rPr>
            </w:pPr>
            <w:r>
              <w:rPr>
                <w:sz w:val="28"/>
                <w:szCs w:val="28"/>
              </w:rPr>
              <w:tab/>
            </w:r>
            <w:r w:rsidR="00D9208C">
              <w:rPr>
                <w:sz w:val="28"/>
                <w:szCs w:val="28"/>
              </w:rPr>
              <w:t>Būtiskākais priekšlikums, kas tika ņemts vērā:</w:t>
            </w:r>
            <w:r>
              <w:rPr>
                <w:sz w:val="28"/>
                <w:szCs w:val="28"/>
              </w:rPr>
              <w:t xml:space="preserve"> atlīdzības noteikšanai izmantojamās bāzes</w:t>
            </w:r>
            <w:r w:rsidR="00D9208C">
              <w:rPr>
                <w:sz w:val="28"/>
                <w:szCs w:val="28"/>
              </w:rPr>
              <w:t xml:space="preserve"> -</w:t>
            </w:r>
            <w:r>
              <w:rPr>
                <w:sz w:val="28"/>
                <w:szCs w:val="28"/>
              </w:rPr>
              <w:t xml:space="preserve"> „izgatavošana</w:t>
            </w:r>
            <w:r w:rsidR="00D9208C">
              <w:rPr>
                <w:sz w:val="28"/>
                <w:szCs w:val="28"/>
              </w:rPr>
              <w:t>s vai ievešanas cena” - aizstāšana ar „pirmās atsavināšanas cenu</w:t>
            </w:r>
            <w:r>
              <w:rPr>
                <w:sz w:val="28"/>
                <w:szCs w:val="28"/>
              </w:rPr>
              <w:t xml:space="preserve"> Latvijas teritorijā”.</w:t>
            </w:r>
          </w:p>
          <w:p w:rsidR="00D9208C" w:rsidRDefault="00EB26C6" w:rsidP="009B658C">
            <w:pPr>
              <w:pStyle w:val="naiskr"/>
              <w:spacing w:before="0" w:after="0"/>
              <w:ind w:left="57" w:right="57"/>
              <w:jc w:val="both"/>
              <w:rPr>
                <w:sz w:val="28"/>
                <w:szCs w:val="28"/>
              </w:rPr>
            </w:pPr>
            <w:r>
              <w:rPr>
                <w:sz w:val="28"/>
                <w:szCs w:val="28"/>
              </w:rPr>
              <w:tab/>
              <w:t>Būtiskākie prie</w:t>
            </w:r>
            <w:r w:rsidR="00D9208C">
              <w:rPr>
                <w:sz w:val="28"/>
                <w:szCs w:val="28"/>
              </w:rPr>
              <w:t xml:space="preserve">kšlikumi, kas netika ņemti vērā: </w:t>
            </w:r>
          </w:p>
          <w:p w:rsidR="00EB26C6" w:rsidRDefault="00D9208C" w:rsidP="009B658C">
            <w:pPr>
              <w:pStyle w:val="naiskr"/>
              <w:spacing w:before="0" w:after="0"/>
              <w:ind w:left="57" w:right="57"/>
              <w:jc w:val="both"/>
              <w:rPr>
                <w:sz w:val="28"/>
                <w:szCs w:val="28"/>
              </w:rPr>
            </w:pPr>
            <w:r>
              <w:rPr>
                <w:sz w:val="28"/>
                <w:szCs w:val="28"/>
              </w:rPr>
              <w:t xml:space="preserve">- </w:t>
            </w:r>
            <w:r w:rsidR="00EB26C6">
              <w:rPr>
                <w:sz w:val="28"/>
                <w:szCs w:val="28"/>
              </w:rPr>
              <w:t xml:space="preserve">papildināt noteikumu 3.punktā uzskaitītos nesējus ar visa veida </w:t>
            </w:r>
            <w:proofErr w:type="spellStart"/>
            <w:r w:rsidR="00EB26C6">
              <w:rPr>
                <w:sz w:val="28"/>
                <w:szCs w:val="28"/>
              </w:rPr>
              <w:t>zibatmiņām</w:t>
            </w:r>
            <w:proofErr w:type="spellEnd"/>
            <w:r w:rsidR="00EB26C6">
              <w:rPr>
                <w:sz w:val="28"/>
                <w:szCs w:val="28"/>
              </w:rPr>
              <w:t xml:space="preserve"> un visa veida ārējiem cietiem diskie</w:t>
            </w:r>
            <w:r>
              <w:rPr>
                <w:sz w:val="28"/>
                <w:szCs w:val="28"/>
              </w:rPr>
              <w:t>m, kā arī papildināt noteikumu 4.punktā uzskaitītā</w:t>
            </w:r>
            <w:r w:rsidR="00EB26C6">
              <w:rPr>
                <w:sz w:val="28"/>
                <w:szCs w:val="28"/>
              </w:rPr>
              <w:t>s reproducēšanai izmantojamā</w:t>
            </w:r>
            <w:r>
              <w:rPr>
                <w:sz w:val="28"/>
                <w:szCs w:val="28"/>
              </w:rPr>
              <w:t>s</w:t>
            </w:r>
            <w:r w:rsidR="00EB26C6">
              <w:rPr>
                <w:sz w:val="28"/>
                <w:szCs w:val="28"/>
              </w:rPr>
              <w:t xml:space="preserve"> iekārtas ar citām iekārtām (ierīcēm ar CD ieraksta funkciju, datoram pievienojamiem CD un DVD rakstītājiem, mobilajiem tālruņiem u.c.). Priekšlikums netika ņemts vērā, jo </w:t>
            </w:r>
            <w:r w:rsidR="003F02D3">
              <w:rPr>
                <w:sz w:val="28"/>
                <w:szCs w:val="28"/>
              </w:rPr>
              <w:t>šādai papildināšanai</w:t>
            </w:r>
            <w:r w:rsidR="00C72783">
              <w:rPr>
                <w:sz w:val="28"/>
                <w:szCs w:val="28"/>
              </w:rPr>
              <w:t xml:space="preserve"> nav pamata, ņemot vērā iepriek</w:t>
            </w:r>
            <w:r w:rsidR="005307E9">
              <w:rPr>
                <w:sz w:val="28"/>
                <w:szCs w:val="28"/>
              </w:rPr>
              <w:t xml:space="preserve">š norādītos </w:t>
            </w:r>
            <w:r w:rsidR="00C72783">
              <w:rPr>
                <w:sz w:val="28"/>
                <w:szCs w:val="28"/>
              </w:rPr>
              <w:t>kritērijus u</w:t>
            </w:r>
            <w:r w:rsidR="003F02D3">
              <w:rPr>
                <w:sz w:val="28"/>
                <w:szCs w:val="28"/>
              </w:rPr>
              <w:t xml:space="preserve">n </w:t>
            </w:r>
            <w:proofErr w:type="spellStart"/>
            <w:r w:rsidR="003F02D3">
              <w:rPr>
                <w:sz w:val="28"/>
                <w:szCs w:val="28"/>
              </w:rPr>
              <w:t>privātkopēšanas</w:t>
            </w:r>
            <w:proofErr w:type="spellEnd"/>
            <w:r w:rsidR="003F02D3">
              <w:rPr>
                <w:sz w:val="28"/>
                <w:szCs w:val="28"/>
              </w:rPr>
              <w:t xml:space="preserve"> pētījuma rezultātus</w:t>
            </w:r>
            <w:r w:rsidR="00C72783">
              <w:rPr>
                <w:sz w:val="28"/>
                <w:szCs w:val="28"/>
              </w:rPr>
              <w:t>.</w:t>
            </w:r>
          </w:p>
          <w:p w:rsidR="00761939" w:rsidRDefault="003F02D3" w:rsidP="009B658C">
            <w:pPr>
              <w:pStyle w:val="naiskr"/>
              <w:spacing w:before="0" w:after="0"/>
              <w:ind w:left="57" w:right="57"/>
              <w:jc w:val="both"/>
              <w:rPr>
                <w:sz w:val="28"/>
                <w:szCs w:val="28"/>
              </w:rPr>
            </w:pPr>
            <w:r>
              <w:rPr>
                <w:sz w:val="28"/>
                <w:szCs w:val="28"/>
              </w:rPr>
              <w:t>-</w:t>
            </w:r>
            <w:r w:rsidR="00C72783">
              <w:rPr>
                <w:sz w:val="28"/>
                <w:szCs w:val="28"/>
              </w:rPr>
              <w:t xml:space="preserve"> grozīt noteikumu 5.punktu, kas paredz papildu pienākumu uzlikšanu nesēja atlīdzības maksātājiem. Minētais priekšlikums </w:t>
            </w:r>
            <w:r>
              <w:rPr>
                <w:sz w:val="28"/>
                <w:szCs w:val="28"/>
              </w:rPr>
              <w:t xml:space="preserve">nav saistīts ar ST sprieduma izpildi un ir </w:t>
            </w:r>
            <w:r w:rsidR="00C72783">
              <w:rPr>
                <w:sz w:val="28"/>
                <w:szCs w:val="28"/>
              </w:rPr>
              <w:t>jāvērtē</w:t>
            </w:r>
            <w:r>
              <w:rPr>
                <w:sz w:val="28"/>
                <w:szCs w:val="28"/>
              </w:rPr>
              <w:t xml:space="preserve"> darba grupā</w:t>
            </w:r>
            <w:r w:rsidR="00C72783">
              <w:rPr>
                <w:sz w:val="28"/>
                <w:szCs w:val="28"/>
              </w:rPr>
              <w:t xml:space="preserve">, noskaidrojot visu iesaistīto pušu viedokli, kā arī </w:t>
            </w:r>
            <w:r>
              <w:rPr>
                <w:sz w:val="28"/>
                <w:szCs w:val="28"/>
              </w:rPr>
              <w:t xml:space="preserve">izvērtējot iespēju </w:t>
            </w:r>
            <w:r w:rsidR="009A0DD8">
              <w:rPr>
                <w:sz w:val="28"/>
                <w:szCs w:val="28"/>
              </w:rPr>
              <w:t xml:space="preserve">to </w:t>
            </w:r>
            <w:r>
              <w:rPr>
                <w:sz w:val="28"/>
                <w:szCs w:val="28"/>
              </w:rPr>
              <w:t xml:space="preserve">iesniegt Ministru kabinetā atsevišķu </w:t>
            </w:r>
            <w:r w:rsidR="009A0DD8">
              <w:rPr>
                <w:sz w:val="28"/>
                <w:szCs w:val="28"/>
              </w:rPr>
              <w:t xml:space="preserve">noteikumu </w:t>
            </w:r>
            <w:r>
              <w:rPr>
                <w:sz w:val="28"/>
                <w:szCs w:val="28"/>
              </w:rPr>
              <w:t>grozījumu formā.</w:t>
            </w:r>
          </w:p>
          <w:p w:rsidR="00761939" w:rsidRDefault="00761939" w:rsidP="009B658C">
            <w:pPr>
              <w:pStyle w:val="naiskr"/>
              <w:spacing w:before="0" w:after="0"/>
              <w:ind w:left="57" w:right="57"/>
              <w:jc w:val="both"/>
              <w:rPr>
                <w:sz w:val="28"/>
                <w:szCs w:val="28"/>
              </w:rPr>
            </w:pPr>
          </w:p>
          <w:p w:rsidR="009A0DD8" w:rsidRDefault="00761939" w:rsidP="009B658C">
            <w:pPr>
              <w:pStyle w:val="naiskr"/>
              <w:spacing w:before="0" w:after="0"/>
              <w:ind w:left="57" w:right="57"/>
              <w:jc w:val="both"/>
              <w:rPr>
                <w:sz w:val="28"/>
                <w:szCs w:val="28"/>
              </w:rPr>
            </w:pPr>
            <w:r>
              <w:rPr>
                <w:sz w:val="28"/>
                <w:szCs w:val="28"/>
              </w:rPr>
              <w:t>2. N</w:t>
            </w:r>
            <w:r w:rsidRPr="003275C6">
              <w:rPr>
                <w:sz w:val="28"/>
                <w:szCs w:val="28"/>
              </w:rPr>
              <w:t>esēju un iekārtu izgatavotāj</w:t>
            </w:r>
            <w:r>
              <w:rPr>
                <w:sz w:val="28"/>
                <w:szCs w:val="28"/>
              </w:rPr>
              <w:t>u</w:t>
            </w:r>
            <w:r w:rsidRPr="003275C6">
              <w:rPr>
                <w:sz w:val="28"/>
                <w:szCs w:val="28"/>
              </w:rPr>
              <w:t xml:space="preserve"> un komersant</w:t>
            </w:r>
            <w:r>
              <w:rPr>
                <w:sz w:val="28"/>
                <w:szCs w:val="28"/>
              </w:rPr>
              <w:t>u</w:t>
            </w:r>
            <w:r w:rsidRPr="003275C6">
              <w:rPr>
                <w:sz w:val="28"/>
                <w:szCs w:val="28"/>
              </w:rPr>
              <w:t xml:space="preserve">, kas ieved Latvijā nesējus </w:t>
            </w:r>
            <w:r>
              <w:rPr>
                <w:sz w:val="28"/>
                <w:szCs w:val="28"/>
              </w:rPr>
              <w:t xml:space="preserve">vai </w:t>
            </w:r>
            <w:r w:rsidRPr="003275C6">
              <w:rPr>
                <w:sz w:val="28"/>
                <w:szCs w:val="28"/>
              </w:rPr>
              <w:t>iekārtas</w:t>
            </w:r>
            <w:r w:rsidR="002628B6">
              <w:rPr>
                <w:sz w:val="28"/>
                <w:szCs w:val="28"/>
              </w:rPr>
              <w:t xml:space="preserve">, interešu pārstāvji ir norādījuši, ka </w:t>
            </w:r>
            <w:r w:rsidR="009A0DD8">
              <w:rPr>
                <w:sz w:val="28"/>
                <w:szCs w:val="28"/>
              </w:rPr>
              <w:t xml:space="preserve">būtu </w:t>
            </w:r>
            <w:r w:rsidR="002628B6">
              <w:rPr>
                <w:sz w:val="28"/>
                <w:szCs w:val="28"/>
              </w:rPr>
              <w:t xml:space="preserve">vērtējama </w:t>
            </w:r>
            <w:r w:rsidR="009A0DD8">
              <w:rPr>
                <w:sz w:val="28"/>
                <w:szCs w:val="28"/>
              </w:rPr>
              <w:t>iespēja atcelt nesēja atlīdzību</w:t>
            </w:r>
            <w:r w:rsidR="002628B6">
              <w:rPr>
                <w:sz w:val="28"/>
                <w:szCs w:val="28"/>
              </w:rPr>
              <w:t xml:space="preserve">. </w:t>
            </w:r>
          </w:p>
          <w:p w:rsidR="00C72783" w:rsidRDefault="00DD01DE" w:rsidP="009B658C">
            <w:pPr>
              <w:pStyle w:val="naiskr"/>
              <w:spacing w:before="0" w:after="0"/>
              <w:ind w:left="57" w:right="57"/>
              <w:jc w:val="both"/>
              <w:rPr>
                <w:sz w:val="28"/>
                <w:szCs w:val="28"/>
              </w:rPr>
            </w:pPr>
            <w:r>
              <w:rPr>
                <w:sz w:val="28"/>
                <w:szCs w:val="28"/>
              </w:rPr>
              <w:t xml:space="preserve">            </w:t>
            </w:r>
            <w:r w:rsidR="009A0DD8">
              <w:rPr>
                <w:sz w:val="28"/>
                <w:szCs w:val="28"/>
              </w:rPr>
              <w:t>LIKTA</w:t>
            </w:r>
            <w:r w:rsidR="002628B6">
              <w:rPr>
                <w:sz w:val="28"/>
                <w:szCs w:val="28"/>
              </w:rPr>
              <w:t xml:space="preserve"> ir norādījusi, ka </w:t>
            </w:r>
            <w:r w:rsidR="00961242">
              <w:rPr>
                <w:sz w:val="28"/>
                <w:szCs w:val="28"/>
              </w:rPr>
              <w:t>noteikumu projekts nepamatoti palielina iekasējamās nesēja atlīdzības apmēru un „</w:t>
            </w:r>
            <w:r w:rsidR="00961242" w:rsidRPr="00961242">
              <w:rPr>
                <w:sz w:val="28"/>
                <w:szCs w:val="28"/>
              </w:rPr>
              <w:t>tas ir vērtējams, kā nesamērīgs ar reālo datu nesēju un iekārtu izlietojumu darbu kopēšanai privātām vajadzībām un var nostādīt Latvijas komersantus neizdevīgākā situācijā par citu Baltijas valstu komersantiem</w:t>
            </w:r>
            <w:r w:rsidR="00961242">
              <w:rPr>
                <w:sz w:val="28"/>
                <w:szCs w:val="28"/>
              </w:rPr>
              <w:t>”.</w:t>
            </w:r>
          </w:p>
          <w:p w:rsidR="00DD01DE" w:rsidRDefault="00961242" w:rsidP="009B658C">
            <w:pPr>
              <w:pStyle w:val="naiskr"/>
              <w:spacing w:before="0" w:after="0"/>
              <w:ind w:left="57" w:right="57"/>
              <w:jc w:val="both"/>
              <w:rPr>
                <w:sz w:val="28"/>
                <w:szCs w:val="28"/>
              </w:rPr>
            </w:pPr>
            <w:r>
              <w:rPr>
                <w:sz w:val="28"/>
                <w:szCs w:val="28"/>
              </w:rPr>
              <w:tab/>
            </w:r>
            <w:r w:rsidR="00DD01DE">
              <w:rPr>
                <w:sz w:val="28"/>
                <w:szCs w:val="28"/>
              </w:rPr>
              <w:t>B</w:t>
            </w:r>
            <w:r>
              <w:rPr>
                <w:sz w:val="28"/>
                <w:szCs w:val="28"/>
              </w:rPr>
              <w:t>ūtiskā</w:t>
            </w:r>
            <w:r w:rsidR="00DD01DE">
              <w:rPr>
                <w:sz w:val="28"/>
                <w:szCs w:val="28"/>
              </w:rPr>
              <w:t>kie</w:t>
            </w:r>
            <w:r>
              <w:rPr>
                <w:sz w:val="28"/>
                <w:szCs w:val="28"/>
              </w:rPr>
              <w:t xml:space="preserve"> priekšlikumi, kas netika ņemt</w:t>
            </w:r>
            <w:r w:rsidR="00DD01DE">
              <w:rPr>
                <w:sz w:val="28"/>
                <w:szCs w:val="28"/>
              </w:rPr>
              <w:t>i</w:t>
            </w:r>
            <w:r>
              <w:rPr>
                <w:sz w:val="28"/>
                <w:szCs w:val="28"/>
              </w:rPr>
              <w:t xml:space="preserve"> vērā</w:t>
            </w:r>
            <w:r w:rsidR="00DD01DE">
              <w:rPr>
                <w:sz w:val="28"/>
                <w:szCs w:val="28"/>
              </w:rPr>
              <w:t>:</w:t>
            </w:r>
          </w:p>
          <w:p w:rsidR="00961242" w:rsidRDefault="00DD01DE" w:rsidP="00DD01DE">
            <w:pPr>
              <w:pStyle w:val="naiskr"/>
              <w:spacing w:before="0" w:after="0"/>
              <w:ind w:right="57"/>
              <w:jc w:val="both"/>
              <w:rPr>
                <w:sz w:val="28"/>
                <w:szCs w:val="28"/>
              </w:rPr>
            </w:pPr>
            <w:r>
              <w:rPr>
                <w:sz w:val="28"/>
                <w:szCs w:val="28"/>
              </w:rPr>
              <w:t xml:space="preserve"> - </w:t>
            </w:r>
            <w:r w:rsidR="00961242">
              <w:rPr>
                <w:sz w:val="28"/>
                <w:szCs w:val="28"/>
              </w:rPr>
              <w:t>LETERA priekšlikums „</w:t>
            </w:r>
            <w:r w:rsidR="00961242" w:rsidRPr="00961242">
              <w:rPr>
                <w:sz w:val="28"/>
                <w:szCs w:val="28"/>
              </w:rPr>
              <w:t>noteikt, ka nesēja atlīdzību maksā komersanti, kas šīs iekārtas pārdod fiziskām personām (t.i. mazumtirdzniecībā)</w:t>
            </w:r>
            <w:r w:rsidR="00961242">
              <w:rPr>
                <w:sz w:val="28"/>
                <w:szCs w:val="28"/>
              </w:rPr>
              <w:t xml:space="preserve">”. </w:t>
            </w:r>
            <w:r w:rsidR="00FC35C3">
              <w:rPr>
                <w:sz w:val="28"/>
                <w:szCs w:val="28"/>
              </w:rPr>
              <w:t>P</w:t>
            </w:r>
            <w:r w:rsidR="00961242">
              <w:rPr>
                <w:sz w:val="28"/>
                <w:szCs w:val="28"/>
              </w:rPr>
              <w:t>riekšlikumu n</w:t>
            </w:r>
            <w:r w:rsidR="00FC35C3">
              <w:rPr>
                <w:sz w:val="28"/>
                <w:szCs w:val="28"/>
              </w:rPr>
              <w:t xml:space="preserve">eatbalsta AKKA/LAA, </w:t>
            </w:r>
            <w:proofErr w:type="spellStart"/>
            <w:r w:rsidR="00FC35C3">
              <w:rPr>
                <w:sz w:val="28"/>
                <w:szCs w:val="28"/>
              </w:rPr>
              <w:t>LaIPA</w:t>
            </w:r>
            <w:proofErr w:type="spellEnd"/>
            <w:r w:rsidR="00FC35C3">
              <w:rPr>
                <w:sz w:val="28"/>
                <w:szCs w:val="28"/>
              </w:rPr>
              <w:t>,</w:t>
            </w:r>
            <w:r w:rsidR="00961242">
              <w:rPr>
                <w:sz w:val="28"/>
                <w:szCs w:val="28"/>
              </w:rPr>
              <w:t xml:space="preserve"> LIKTA. Ņemot vērā vienp</w:t>
            </w:r>
            <w:r w:rsidR="00FC35C3">
              <w:rPr>
                <w:sz w:val="28"/>
                <w:szCs w:val="28"/>
              </w:rPr>
              <w:t>rātības trūkumu</w:t>
            </w:r>
            <w:r w:rsidR="00961242">
              <w:rPr>
                <w:sz w:val="28"/>
                <w:szCs w:val="28"/>
              </w:rPr>
              <w:t xml:space="preserve"> darba grupas dalībnieku starpā un to, ka piedāvātās izmaiņas būtiski ietekmē nesēja atlīdzības sistēmu, veicama to papildu izvērtēšana. Minētais priek</w:t>
            </w:r>
            <w:r w:rsidR="00FC35C3">
              <w:rPr>
                <w:sz w:val="28"/>
                <w:szCs w:val="28"/>
              </w:rPr>
              <w:t>šlikums nav saistīts ar ST sprieduma izpild</w:t>
            </w:r>
            <w:r w:rsidR="00961242">
              <w:rPr>
                <w:sz w:val="28"/>
                <w:szCs w:val="28"/>
              </w:rPr>
              <w:t xml:space="preserve">i. </w:t>
            </w:r>
          </w:p>
          <w:p w:rsidR="0027055C" w:rsidRDefault="00DD01DE" w:rsidP="009B658C">
            <w:pPr>
              <w:pStyle w:val="naiskr"/>
              <w:spacing w:before="0" w:after="0"/>
              <w:ind w:left="57" w:right="57"/>
              <w:jc w:val="both"/>
              <w:rPr>
                <w:sz w:val="28"/>
                <w:szCs w:val="28"/>
              </w:rPr>
            </w:pPr>
            <w:r>
              <w:rPr>
                <w:sz w:val="28"/>
                <w:szCs w:val="28"/>
              </w:rPr>
              <w:t xml:space="preserve">- </w:t>
            </w:r>
            <w:r w:rsidR="0027055C">
              <w:rPr>
                <w:sz w:val="28"/>
                <w:szCs w:val="28"/>
              </w:rPr>
              <w:t xml:space="preserve">LETERA priekšlikums </w:t>
            </w:r>
            <w:r w:rsidR="00961242">
              <w:rPr>
                <w:sz w:val="28"/>
                <w:szCs w:val="28"/>
              </w:rPr>
              <w:t>noteikt fiksētu likmi 1 LVL apmērā, kas maksājama par personālajiem datoriem. Nav atbalstāma atkāpšanās no nesēja atlīdzības noteikšanas procentu</w:t>
            </w:r>
            <w:r w:rsidR="0027055C">
              <w:rPr>
                <w:sz w:val="28"/>
                <w:szCs w:val="28"/>
              </w:rPr>
              <w:t>ālas likmes izteiksmē</w:t>
            </w:r>
            <w:r w:rsidR="00FC35C3">
              <w:rPr>
                <w:sz w:val="28"/>
                <w:szCs w:val="28"/>
              </w:rPr>
              <w:t>.</w:t>
            </w:r>
            <w:r w:rsidR="0027055C">
              <w:rPr>
                <w:sz w:val="28"/>
                <w:szCs w:val="28"/>
              </w:rPr>
              <w:t xml:space="preserve"> Procentu likmes piemērošana nodrošina nesēja atlīdzības pielāgošanos nesēju un iekārtu cenu izmaiņām.</w:t>
            </w:r>
          </w:p>
          <w:p w:rsidR="00961242" w:rsidRDefault="00DD01DE" w:rsidP="009B658C">
            <w:pPr>
              <w:pStyle w:val="naiskr"/>
              <w:spacing w:before="0" w:after="0"/>
              <w:ind w:left="57" w:right="57"/>
              <w:jc w:val="both"/>
              <w:rPr>
                <w:sz w:val="28"/>
                <w:szCs w:val="28"/>
              </w:rPr>
            </w:pPr>
            <w:r>
              <w:rPr>
                <w:sz w:val="28"/>
                <w:szCs w:val="28"/>
              </w:rPr>
              <w:t xml:space="preserve">- </w:t>
            </w:r>
            <w:r w:rsidR="0027055C">
              <w:rPr>
                <w:sz w:val="28"/>
                <w:szCs w:val="28"/>
              </w:rPr>
              <w:t>LIKTA priekšlikums veikt nesēja atlīdzības likmju b</w:t>
            </w:r>
            <w:r w:rsidR="00FC35C3">
              <w:rPr>
                <w:sz w:val="28"/>
                <w:szCs w:val="28"/>
              </w:rPr>
              <w:t>ūtisku samazināšanu. Piedāvātās</w:t>
            </w:r>
            <w:r w:rsidR="0027055C">
              <w:rPr>
                <w:sz w:val="28"/>
                <w:szCs w:val="28"/>
              </w:rPr>
              <w:t xml:space="preserve"> likmes ir noteiktas, ņemot vērā iepriekš norādītos nesēju un iekārtu saraksta pārvērtēšanai izmantotos kritērijus un informāciju par aktuālajām likmēm Lietuvā, kā arī vairākās citās Eiropas Savienības dalībvalstīs (Grieķija, Polija, Rumānija, Bulgārija, Igaunija u.c.). </w:t>
            </w:r>
          </w:p>
          <w:p w:rsidR="008E64BF" w:rsidRDefault="00717B43" w:rsidP="009B658C">
            <w:pPr>
              <w:pStyle w:val="naiskr"/>
              <w:spacing w:before="0" w:after="0"/>
              <w:ind w:left="57" w:right="57"/>
              <w:jc w:val="both"/>
              <w:rPr>
                <w:sz w:val="28"/>
                <w:szCs w:val="28"/>
              </w:rPr>
            </w:pPr>
            <w:r>
              <w:rPr>
                <w:sz w:val="28"/>
                <w:szCs w:val="28"/>
              </w:rPr>
              <w:t xml:space="preserve">- </w:t>
            </w:r>
            <w:r w:rsidR="008E64BF">
              <w:rPr>
                <w:sz w:val="28"/>
                <w:szCs w:val="28"/>
              </w:rPr>
              <w:t xml:space="preserve">LIKTA viedoklis, ka </w:t>
            </w:r>
            <w:r w:rsidR="00776437">
              <w:rPr>
                <w:sz w:val="28"/>
                <w:szCs w:val="28"/>
              </w:rPr>
              <w:t xml:space="preserve">nav pieļaujama vienlaicīga </w:t>
            </w:r>
            <w:r w:rsidR="008E64BF">
              <w:rPr>
                <w:sz w:val="28"/>
                <w:szCs w:val="28"/>
              </w:rPr>
              <w:t>datoru un USB zibatmiņu</w:t>
            </w:r>
            <w:r w:rsidR="00776437">
              <w:rPr>
                <w:sz w:val="28"/>
                <w:szCs w:val="28"/>
              </w:rPr>
              <w:t xml:space="preserve"> aplikšana ar nesēja atlīdzību. Atšķirībā no datoru cietajiem diskiem, kuri parasti ir neatņemama</w:t>
            </w:r>
            <w:r w:rsidR="00AD6E1B">
              <w:rPr>
                <w:sz w:val="28"/>
                <w:szCs w:val="28"/>
              </w:rPr>
              <w:t>s</w:t>
            </w:r>
            <w:r w:rsidR="00776437">
              <w:rPr>
                <w:sz w:val="28"/>
                <w:szCs w:val="28"/>
              </w:rPr>
              <w:t xml:space="preserve"> dator</w:t>
            </w:r>
            <w:r w:rsidR="00AD6E1B">
              <w:rPr>
                <w:sz w:val="28"/>
                <w:szCs w:val="28"/>
              </w:rPr>
              <w:t>u</w:t>
            </w:r>
            <w:r w:rsidR="00776437">
              <w:rPr>
                <w:sz w:val="28"/>
                <w:szCs w:val="28"/>
              </w:rPr>
              <w:t xml:space="preserve"> sastāvdaļa</w:t>
            </w:r>
            <w:r w:rsidR="00AD6E1B">
              <w:rPr>
                <w:sz w:val="28"/>
                <w:szCs w:val="28"/>
              </w:rPr>
              <w:t>s</w:t>
            </w:r>
            <w:r w:rsidR="00776437">
              <w:rPr>
                <w:sz w:val="28"/>
                <w:szCs w:val="28"/>
              </w:rPr>
              <w:t>, USB zibatmiņas ir papildu informācijas nesēj</w:t>
            </w:r>
            <w:r w:rsidR="00AD6E1B">
              <w:rPr>
                <w:sz w:val="28"/>
                <w:szCs w:val="28"/>
              </w:rPr>
              <w:t>i</w:t>
            </w:r>
            <w:r w:rsidR="00776437">
              <w:rPr>
                <w:sz w:val="28"/>
                <w:szCs w:val="28"/>
              </w:rPr>
              <w:t>, kuru iegāde tiek veikta neatkarīgi no dator</w:t>
            </w:r>
            <w:r w:rsidR="00AD6E1B">
              <w:rPr>
                <w:sz w:val="28"/>
                <w:szCs w:val="28"/>
              </w:rPr>
              <w:t xml:space="preserve">a iegādes. </w:t>
            </w:r>
            <w:r w:rsidR="00776437">
              <w:rPr>
                <w:sz w:val="28"/>
                <w:szCs w:val="28"/>
              </w:rPr>
              <w:t xml:space="preserve"> </w:t>
            </w:r>
          </w:p>
          <w:p w:rsidR="0087067A" w:rsidRDefault="00717B43" w:rsidP="00E55417">
            <w:pPr>
              <w:pStyle w:val="naiskr"/>
              <w:spacing w:before="0" w:after="0"/>
              <w:ind w:left="57" w:right="57"/>
              <w:jc w:val="both"/>
              <w:rPr>
                <w:sz w:val="28"/>
                <w:szCs w:val="28"/>
              </w:rPr>
            </w:pPr>
            <w:r>
              <w:rPr>
                <w:sz w:val="28"/>
                <w:szCs w:val="28"/>
              </w:rPr>
              <w:t xml:space="preserve">- </w:t>
            </w:r>
            <w:r w:rsidR="00AD6E1B">
              <w:rPr>
                <w:sz w:val="28"/>
                <w:szCs w:val="28"/>
              </w:rPr>
              <w:t>LIKTA</w:t>
            </w:r>
            <w:r w:rsidR="002B2857">
              <w:rPr>
                <w:sz w:val="28"/>
                <w:szCs w:val="28"/>
              </w:rPr>
              <w:t xml:space="preserve"> un Ekonomikas ministrijas</w:t>
            </w:r>
            <w:r w:rsidR="00AD6E1B">
              <w:rPr>
                <w:sz w:val="28"/>
                <w:szCs w:val="28"/>
              </w:rPr>
              <w:t xml:space="preserve"> priekšlikums veikt noteikumu grozījumus attiecībā uz profesionālo lietotāju reģistra uzturēšanu. N</w:t>
            </w:r>
            <w:r w:rsidR="00AD6E1B" w:rsidRPr="00AD6E1B">
              <w:rPr>
                <w:sz w:val="28"/>
                <w:szCs w:val="28"/>
              </w:rPr>
              <w:t xml:space="preserve">oteikumos paredzētais mehānisms juridisko personu atbrīvošanai no </w:t>
            </w:r>
            <w:r w:rsidR="00AD6E1B">
              <w:rPr>
                <w:sz w:val="28"/>
                <w:szCs w:val="28"/>
              </w:rPr>
              <w:t>nesēja</w:t>
            </w:r>
            <w:r w:rsidR="00AD6E1B" w:rsidRPr="00AD6E1B">
              <w:rPr>
                <w:sz w:val="28"/>
                <w:szCs w:val="28"/>
              </w:rPr>
              <w:t xml:space="preserve"> atlīdzības atbilst Autortiesību likuma 34.panta regulējumam</w:t>
            </w:r>
            <w:r w:rsidR="00AD6E1B">
              <w:rPr>
                <w:sz w:val="28"/>
                <w:szCs w:val="28"/>
              </w:rPr>
              <w:t>. L</w:t>
            </w:r>
            <w:r w:rsidR="00AD6E1B" w:rsidRPr="00AD6E1B">
              <w:rPr>
                <w:sz w:val="28"/>
                <w:szCs w:val="28"/>
              </w:rPr>
              <w:t>ai izvērtētu iespējas mazināt netiešo administratīvo slogu, kas rodas personām, kurām jāreģistrējas profesionālo lietotāju reģistrā un jāsniedz noteikumu 15.</w:t>
            </w:r>
            <w:r w:rsidR="00AD6E1B">
              <w:rPr>
                <w:sz w:val="28"/>
                <w:szCs w:val="28"/>
              </w:rPr>
              <w:t>punktā</w:t>
            </w:r>
            <w:r w:rsidR="00AD6E1B" w:rsidRPr="00AD6E1B">
              <w:rPr>
                <w:sz w:val="28"/>
                <w:szCs w:val="28"/>
              </w:rPr>
              <w:t xml:space="preserve"> norādītās atskaites</w:t>
            </w:r>
            <w:r w:rsidR="00E55417">
              <w:rPr>
                <w:sz w:val="28"/>
                <w:szCs w:val="28"/>
              </w:rPr>
              <w:t>, plānots veikt attiecīgu pētījumu.</w:t>
            </w:r>
          </w:p>
          <w:p w:rsidR="00545FF3" w:rsidRDefault="00545FF3" w:rsidP="00E55417">
            <w:pPr>
              <w:pStyle w:val="naiskr"/>
              <w:spacing w:before="0" w:after="0"/>
              <w:ind w:left="57" w:right="57"/>
              <w:jc w:val="both"/>
              <w:rPr>
                <w:sz w:val="28"/>
                <w:szCs w:val="28"/>
              </w:rPr>
            </w:pPr>
          </w:p>
          <w:p w:rsidR="00545FF3" w:rsidRDefault="00545FF3" w:rsidP="00545FF3">
            <w:pPr>
              <w:pStyle w:val="naiskr"/>
              <w:spacing w:before="0" w:after="0"/>
              <w:ind w:left="57" w:right="57"/>
              <w:jc w:val="both"/>
              <w:rPr>
                <w:sz w:val="28"/>
              </w:rPr>
            </w:pPr>
            <w:r>
              <w:rPr>
                <w:sz w:val="28"/>
                <w:szCs w:val="28"/>
              </w:rPr>
              <w:t xml:space="preserve">3. Ekonomikas ministrija ir </w:t>
            </w:r>
            <w:r>
              <w:rPr>
                <w:sz w:val="28"/>
              </w:rPr>
              <w:t>konceptuāli atbalstījusi noteikumu projekta tālāku virzību.</w:t>
            </w:r>
          </w:p>
          <w:p w:rsidR="002B2857" w:rsidRPr="00B339AC" w:rsidRDefault="00545FF3" w:rsidP="00E85A22">
            <w:pPr>
              <w:pStyle w:val="naiskr"/>
              <w:spacing w:before="0" w:after="0"/>
              <w:ind w:left="57" w:right="57"/>
              <w:jc w:val="both"/>
              <w:rPr>
                <w:sz w:val="28"/>
                <w:szCs w:val="28"/>
              </w:rPr>
            </w:pPr>
            <w:r>
              <w:rPr>
                <w:sz w:val="28"/>
                <w:szCs w:val="28"/>
              </w:rPr>
              <w:tab/>
            </w:r>
            <w:r w:rsidR="00FC35C3">
              <w:rPr>
                <w:sz w:val="28"/>
                <w:szCs w:val="28"/>
              </w:rPr>
              <w:t xml:space="preserve">Ņemts vērā </w:t>
            </w:r>
            <w:r>
              <w:rPr>
                <w:sz w:val="28"/>
                <w:szCs w:val="28"/>
              </w:rPr>
              <w:t>Ekonomikas ministrija</w:t>
            </w:r>
            <w:r w:rsidR="00FC35C3">
              <w:rPr>
                <w:sz w:val="28"/>
                <w:szCs w:val="28"/>
              </w:rPr>
              <w:t>s</w:t>
            </w:r>
            <w:r>
              <w:rPr>
                <w:sz w:val="28"/>
                <w:szCs w:val="28"/>
              </w:rPr>
              <w:t xml:space="preserve"> priekšlikums precizēt noteikumu projekta 4.punktā lietoto terminu „</w:t>
            </w:r>
            <w:r w:rsidR="00FC35C3">
              <w:rPr>
                <w:sz w:val="28"/>
                <w:szCs w:val="28"/>
              </w:rPr>
              <w:t>visa veida datori”, kā arī</w:t>
            </w:r>
            <w:r w:rsidR="002B2857">
              <w:rPr>
                <w:sz w:val="28"/>
              </w:rPr>
              <w:t xml:space="preserve"> veikt atbilstošus grozījumus noteikumu punktos, kuros ir sniegta atsauce uz noteikumu 4.punktu.</w:t>
            </w:r>
            <w:r w:rsidR="002B2857">
              <w:rPr>
                <w:sz w:val="28"/>
                <w:szCs w:val="28"/>
              </w:rPr>
              <w:t xml:space="preserve"> </w:t>
            </w:r>
          </w:p>
        </w:tc>
      </w:tr>
      <w:tr w:rsidR="00DE0B83" w:rsidRPr="00B339AC" w:rsidTr="00365457">
        <w:trPr>
          <w:trHeight w:val="397"/>
          <w:jc w:val="center"/>
        </w:trPr>
        <w:tc>
          <w:tcPr>
            <w:tcW w:w="220" w:type="pct"/>
          </w:tcPr>
          <w:p w:rsidR="00DE0B83" w:rsidRPr="00B339AC" w:rsidRDefault="00183CC2" w:rsidP="007D099D">
            <w:pPr>
              <w:pStyle w:val="naiskr"/>
              <w:spacing w:before="0" w:after="0"/>
              <w:ind w:left="57" w:right="57"/>
              <w:rPr>
                <w:bCs/>
                <w:sz w:val="28"/>
                <w:szCs w:val="28"/>
              </w:rPr>
            </w:pPr>
            <w:r w:rsidRPr="00B339AC">
              <w:rPr>
                <w:bCs/>
                <w:sz w:val="28"/>
                <w:szCs w:val="28"/>
              </w:rPr>
              <w:t>4</w:t>
            </w:r>
            <w:r w:rsidR="00DE0B83" w:rsidRPr="00B339AC">
              <w:rPr>
                <w:bCs/>
                <w:sz w:val="28"/>
                <w:szCs w:val="28"/>
              </w:rPr>
              <w:t>.</w:t>
            </w:r>
          </w:p>
        </w:tc>
        <w:tc>
          <w:tcPr>
            <w:tcW w:w="1109" w:type="pct"/>
          </w:tcPr>
          <w:p w:rsidR="00DE0B83" w:rsidRPr="00B339AC" w:rsidRDefault="00DE0B83" w:rsidP="007D099D">
            <w:pPr>
              <w:pStyle w:val="naiskr"/>
              <w:spacing w:before="0" w:after="0"/>
              <w:ind w:left="57" w:right="57"/>
              <w:rPr>
                <w:sz w:val="28"/>
                <w:szCs w:val="28"/>
              </w:rPr>
            </w:pPr>
            <w:r w:rsidRPr="00B339AC">
              <w:rPr>
                <w:sz w:val="28"/>
                <w:szCs w:val="28"/>
              </w:rPr>
              <w:t>Saeimas un ekspertu līdzdalība</w:t>
            </w:r>
          </w:p>
        </w:tc>
        <w:tc>
          <w:tcPr>
            <w:tcW w:w="3670" w:type="pct"/>
          </w:tcPr>
          <w:p w:rsidR="00DE0B83" w:rsidRPr="00B339AC" w:rsidRDefault="00BF6253" w:rsidP="0087067A">
            <w:pPr>
              <w:pStyle w:val="naiskr"/>
              <w:spacing w:before="0" w:after="0"/>
              <w:ind w:left="57" w:right="57"/>
              <w:jc w:val="both"/>
              <w:rPr>
                <w:sz w:val="28"/>
                <w:szCs w:val="28"/>
              </w:rPr>
            </w:pPr>
            <w:r w:rsidRPr="00B339AC">
              <w:rPr>
                <w:iCs/>
                <w:sz w:val="28"/>
                <w:szCs w:val="28"/>
              </w:rPr>
              <w:t>Projekts šo jomu neskar.</w:t>
            </w:r>
          </w:p>
        </w:tc>
      </w:tr>
      <w:tr w:rsidR="00277929" w:rsidRPr="00B339AC" w:rsidTr="00365457">
        <w:trPr>
          <w:trHeight w:val="476"/>
          <w:jc w:val="center"/>
        </w:trPr>
        <w:tc>
          <w:tcPr>
            <w:tcW w:w="220" w:type="pct"/>
          </w:tcPr>
          <w:p w:rsidR="00277929" w:rsidRPr="00B339AC" w:rsidRDefault="00183CC2" w:rsidP="007D099D">
            <w:pPr>
              <w:pStyle w:val="naiskr"/>
              <w:spacing w:before="0" w:after="0"/>
              <w:ind w:left="57" w:right="57"/>
              <w:rPr>
                <w:bCs/>
                <w:sz w:val="28"/>
                <w:szCs w:val="28"/>
              </w:rPr>
            </w:pPr>
            <w:r w:rsidRPr="00B339AC">
              <w:rPr>
                <w:bCs/>
                <w:sz w:val="28"/>
                <w:szCs w:val="28"/>
              </w:rPr>
              <w:t>5</w:t>
            </w:r>
            <w:r w:rsidR="00277929" w:rsidRPr="00B339AC">
              <w:rPr>
                <w:bCs/>
                <w:sz w:val="28"/>
                <w:szCs w:val="28"/>
              </w:rPr>
              <w:t>.</w:t>
            </w:r>
          </w:p>
        </w:tc>
        <w:tc>
          <w:tcPr>
            <w:tcW w:w="1109" w:type="pct"/>
          </w:tcPr>
          <w:p w:rsidR="00277929" w:rsidRPr="00B339AC" w:rsidRDefault="006C4607" w:rsidP="007D099D">
            <w:pPr>
              <w:pStyle w:val="naiskr"/>
              <w:spacing w:before="0" w:after="0"/>
              <w:ind w:left="57" w:right="57"/>
              <w:rPr>
                <w:sz w:val="28"/>
                <w:szCs w:val="28"/>
              </w:rPr>
            </w:pPr>
            <w:r w:rsidRPr="00B339AC">
              <w:rPr>
                <w:sz w:val="28"/>
                <w:szCs w:val="28"/>
              </w:rPr>
              <w:t>Cita informācija</w:t>
            </w:r>
          </w:p>
          <w:p w:rsidR="002F78C8" w:rsidRPr="00B339AC" w:rsidRDefault="002F78C8" w:rsidP="007D099D">
            <w:pPr>
              <w:pStyle w:val="naiskr"/>
              <w:spacing w:before="0" w:after="0"/>
              <w:ind w:left="57" w:right="57"/>
              <w:rPr>
                <w:sz w:val="28"/>
                <w:szCs w:val="28"/>
              </w:rPr>
            </w:pPr>
          </w:p>
        </w:tc>
        <w:tc>
          <w:tcPr>
            <w:tcW w:w="3670" w:type="pct"/>
          </w:tcPr>
          <w:p w:rsidR="00845811" w:rsidRPr="00B339AC" w:rsidRDefault="00BE209D" w:rsidP="00BE209D">
            <w:pPr>
              <w:pStyle w:val="naiskr"/>
              <w:spacing w:before="0" w:after="0"/>
              <w:ind w:left="57" w:right="57"/>
              <w:jc w:val="both"/>
              <w:rPr>
                <w:iCs/>
                <w:sz w:val="28"/>
                <w:szCs w:val="28"/>
              </w:rPr>
            </w:pPr>
            <w:r w:rsidRPr="00B339AC">
              <w:rPr>
                <w:iCs/>
                <w:sz w:val="28"/>
                <w:szCs w:val="28"/>
              </w:rPr>
              <w:tab/>
            </w:r>
            <w:r w:rsidR="000E224F">
              <w:rPr>
                <w:iCs/>
                <w:sz w:val="28"/>
                <w:szCs w:val="28"/>
              </w:rPr>
              <w:t xml:space="preserve">Pēc Kultūras ministrijas </w:t>
            </w:r>
            <w:r w:rsidR="000E224F">
              <w:rPr>
                <w:sz w:val="28"/>
                <w:szCs w:val="28"/>
              </w:rPr>
              <w:t xml:space="preserve">pasūtījuma tika veikts pētījums </w:t>
            </w:r>
            <w:r w:rsidR="000E224F" w:rsidRPr="003950D6">
              <w:rPr>
                <w:sz w:val="28"/>
                <w:szCs w:val="28"/>
              </w:rPr>
              <w:t>par Latvijas iedzīvotāju paradumiem attiecībā uz tiesiski iegūtu autortiesību darbu reproducēšanu personiskai lietošanai</w:t>
            </w:r>
            <w:r w:rsidR="000E224F">
              <w:rPr>
                <w:sz w:val="28"/>
                <w:szCs w:val="28"/>
              </w:rPr>
              <w:t>.</w:t>
            </w:r>
            <w:r w:rsidR="000E224F" w:rsidRPr="00B339AC">
              <w:rPr>
                <w:iCs/>
                <w:sz w:val="28"/>
                <w:szCs w:val="28"/>
              </w:rPr>
              <w:t xml:space="preserve"> </w:t>
            </w:r>
            <w:r w:rsidRPr="00B339AC">
              <w:rPr>
                <w:iCs/>
                <w:sz w:val="28"/>
                <w:szCs w:val="28"/>
              </w:rPr>
              <w:t xml:space="preserve">Pēc </w:t>
            </w:r>
            <w:r w:rsidR="00FF5A9A">
              <w:rPr>
                <w:iCs/>
                <w:sz w:val="28"/>
                <w:szCs w:val="28"/>
              </w:rPr>
              <w:t xml:space="preserve">noteikumu </w:t>
            </w:r>
            <w:r w:rsidRPr="00B339AC">
              <w:rPr>
                <w:iCs/>
                <w:sz w:val="28"/>
                <w:szCs w:val="28"/>
              </w:rPr>
              <w:t xml:space="preserve">projekta pieņemšanas plānots informēt </w:t>
            </w:r>
            <w:r w:rsidR="00F96249" w:rsidRPr="00B339AC">
              <w:rPr>
                <w:iCs/>
                <w:sz w:val="28"/>
                <w:szCs w:val="28"/>
              </w:rPr>
              <w:t xml:space="preserve">par to </w:t>
            </w:r>
            <w:r w:rsidRPr="00B339AC">
              <w:rPr>
                <w:iCs/>
                <w:sz w:val="28"/>
                <w:szCs w:val="28"/>
              </w:rPr>
              <w:t>sabiedrību Kultūras ministrijas mājas lapā</w:t>
            </w:r>
            <w:r w:rsidR="000E224F">
              <w:rPr>
                <w:iCs/>
                <w:sz w:val="28"/>
                <w:szCs w:val="28"/>
              </w:rPr>
              <w:t xml:space="preserve"> un ar ziņu aģentūru starpniecību.</w:t>
            </w:r>
          </w:p>
        </w:tc>
      </w:tr>
    </w:tbl>
    <w:p w:rsidR="0015060C" w:rsidRPr="00B339AC" w:rsidRDefault="0015060C" w:rsidP="006C4607">
      <w:pPr>
        <w:pStyle w:val="naisf"/>
        <w:spacing w:before="0" w:after="0"/>
        <w:rPr>
          <w:sz w:val="28"/>
          <w:szCs w:val="28"/>
        </w:rPr>
      </w:pPr>
    </w:p>
    <w:p w:rsidR="00BF6253" w:rsidRPr="00FF5A9A" w:rsidRDefault="00642ED0" w:rsidP="00BF6253">
      <w:pPr>
        <w:pStyle w:val="naisf"/>
        <w:tabs>
          <w:tab w:val="left" w:pos="5760"/>
        </w:tabs>
        <w:spacing w:before="0" w:after="0"/>
        <w:ind w:firstLine="0"/>
        <w:rPr>
          <w:i/>
          <w:sz w:val="28"/>
          <w:szCs w:val="28"/>
        </w:rPr>
      </w:pPr>
      <w:r w:rsidRPr="00FF5A9A">
        <w:rPr>
          <w:i/>
          <w:sz w:val="28"/>
          <w:szCs w:val="28"/>
        </w:rPr>
        <w:t>Anotācijas III, IV, V</w:t>
      </w:r>
      <w:r>
        <w:rPr>
          <w:i/>
          <w:sz w:val="28"/>
          <w:szCs w:val="28"/>
        </w:rPr>
        <w:t xml:space="preserve">, VII </w:t>
      </w:r>
      <w:r w:rsidRPr="00FF5A9A">
        <w:rPr>
          <w:i/>
          <w:sz w:val="28"/>
          <w:szCs w:val="28"/>
        </w:rPr>
        <w:t>sadaļa – projekts šīs jomas neskar.</w:t>
      </w:r>
    </w:p>
    <w:p w:rsidR="00BF40ED" w:rsidRDefault="00BF40ED" w:rsidP="009B7303">
      <w:pPr>
        <w:pStyle w:val="naisf"/>
        <w:tabs>
          <w:tab w:val="left" w:pos="6804"/>
        </w:tabs>
        <w:spacing w:before="0" w:after="0"/>
        <w:ind w:firstLine="0"/>
        <w:rPr>
          <w:sz w:val="28"/>
          <w:szCs w:val="28"/>
        </w:rPr>
      </w:pPr>
    </w:p>
    <w:p w:rsidR="00BF6253" w:rsidRPr="00B339AC" w:rsidRDefault="00BF6253" w:rsidP="009B7303">
      <w:pPr>
        <w:pStyle w:val="naisf"/>
        <w:tabs>
          <w:tab w:val="left" w:pos="6804"/>
        </w:tabs>
        <w:spacing w:before="0" w:after="0"/>
        <w:ind w:firstLine="0"/>
        <w:rPr>
          <w:sz w:val="28"/>
          <w:szCs w:val="28"/>
        </w:rPr>
      </w:pPr>
    </w:p>
    <w:p w:rsidR="00C267C0" w:rsidRPr="00B339AC" w:rsidRDefault="00C267C0" w:rsidP="00C267C0">
      <w:pPr>
        <w:pStyle w:val="ParastaisWeb"/>
        <w:spacing w:before="0" w:beforeAutospacing="0" w:after="0" w:afterAutospacing="0"/>
        <w:jc w:val="both"/>
        <w:rPr>
          <w:sz w:val="28"/>
          <w:szCs w:val="28"/>
        </w:rPr>
      </w:pPr>
      <w:r w:rsidRPr="00B339AC">
        <w:rPr>
          <w:sz w:val="28"/>
          <w:szCs w:val="28"/>
        </w:rPr>
        <w:t>Kultūras ministre</w:t>
      </w:r>
      <w:r w:rsidR="009B7303" w:rsidRPr="00B339AC">
        <w:rPr>
          <w:sz w:val="28"/>
          <w:szCs w:val="28"/>
        </w:rPr>
        <w:tab/>
      </w:r>
      <w:r w:rsidR="009B7303" w:rsidRPr="00B339AC">
        <w:rPr>
          <w:sz w:val="28"/>
          <w:szCs w:val="28"/>
        </w:rPr>
        <w:tab/>
      </w:r>
      <w:r w:rsidR="009B7303" w:rsidRPr="00B339AC">
        <w:rPr>
          <w:sz w:val="28"/>
          <w:szCs w:val="28"/>
        </w:rPr>
        <w:tab/>
      </w:r>
      <w:r w:rsidR="009B7303" w:rsidRPr="00B339AC">
        <w:rPr>
          <w:sz w:val="28"/>
          <w:szCs w:val="28"/>
        </w:rPr>
        <w:tab/>
      </w:r>
      <w:r w:rsidR="009B7303" w:rsidRPr="00B339AC">
        <w:rPr>
          <w:sz w:val="28"/>
          <w:szCs w:val="28"/>
        </w:rPr>
        <w:tab/>
      </w:r>
      <w:r w:rsidR="00FF5A9A">
        <w:rPr>
          <w:sz w:val="28"/>
          <w:szCs w:val="28"/>
        </w:rPr>
        <w:tab/>
        <w:t xml:space="preserve">Ž.Jaunzeme – </w:t>
      </w:r>
      <w:r w:rsidRPr="00B339AC">
        <w:rPr>
          <w:sz w:val="28"/>
          <w:szCs w:val="28"/>
        </w:rPr>
        <w:t>Grende</w:t>
      </w:r>
    </w:p>
    <w:p w:rsidR="00C267C0" w:rsidRPr="00B339AC" w:rsidRDefault="00C267C0" w:rsidP="00C267C0">
      <w:pPr>
        <w:pStyle w:val="ParastaisWeb"/>
        <w:spacing w:before="0" w:beforeAutospacing="0" w:after="0" w:afterAutospacing="0"/>
        <w:jc w:val="both"/>
        <w:rPr>
          <w:sz w:val="28"/>
          <w:szCs w:val="28"/>
        </w:rPr>
      </w:pPr>
    </w:p>
    <w:p w:rsidR="00C267C0" w:rsidRPr="00B339AC" w:rsidRDefault="00C267C0" w:rsidP="00C267C0">
      <w:pPr>
        <w:ind w:right="-6"/>
        <w:jc w:val="both"/>
        <w:rPr>
          <w:sz w:val="28"/>
          <w:szCs w:val="28"/>
        </w:rPr>
      </w:pPr>
      <w:r w:rsidRPr="00B339AC">
        <w:rPr>
          <w:sz w:val="28"/>
          <w:szCs w:val="28"/>
        </w:rPr>
        <w:t>Vīza:</w:t>
      </w:r>
      <w:r w:rsidR="001A1D12">
        <w:rPr>
          <w:sz w:val="28"/>
          <w:szCs w:val="28"/>
        </w:rPr>
        <w:t xml:space="preserve"> valsts sekretārs</w:t>
      </w:r>
      <w:r w:rsidR="001A1D12">
        <w:rPr>
          <w:sz w:val="28"/>
          <w:szCs w:val="28"/>
        </w:rPr>
        <w:tab/>
      </w:r>
      <w:r w:rsidR="001A1D12">
        <w:rPr>
          <w:sz w:val="28"/>
          <w:szCs w:val="28"/>
        </w:rPr>
        <w:tab/>
      </w:r>
      <w:r w:rsidR="001A1D12">
        <w:rPr>
          <w:sz w:val="28"/>
          <w:szCs w:val="28"/>
        </w:rPr>
        <w:tab/>
      </w:r>
      <w:r w:rsidR="001A1D12">
        <w:rPr>
          <w:sz w:val="28"/>
          <w:szCs w:val="28"/>
        </w:rPr>
        <w:tab/>
      </w:r>
      <w:r w:rsidR="001A1D12">
        <w:rPr>
          <w:sz w:val="28"/>
          <w:szCs w:val="28"/>
        </w:rPr>
        <w:tab/>
      </w:r>
      <w:r w:rsidR="009B7303" w:rsidRPr="00B339AC">
        <w:rPr>
          <w:sz w:val="28"/>
          <w:szCs w:val="28"/>
        </w:rPr>
        <w:t>G.</w:t>
      </w:r>
      <w:r w:rsidRPr="00B339AC">
        <w:rPr>
          <w:sz w:val="28"/>
          <w:szCs w:val="28"/>
        </w:rPr>
        <w:t>Puķītis</w:t>
      </w:r>
    </w:p>
    <w:p w:rsidR="00A23104" w:rsidRDefault="00A23104" w:rsidP="00C267C0">
      <w:pPr>
        <w:rPr>
          <w:sz w:val="28"/>
          <w:szCs w:val="28"/>
          <w:highlight w:val="cyan"/>
        </w:rPr>
      </w:pPr>
    </w:p>
    <w:p w:rsidR="005307E9" w:rsidRPr="00B339AC" w:rsidRDefault="005307E9" w:rsidP="00C267C0">
      <w:pPr>
        <w:rPr>
          <w:sz w:val="28"/>
          <w:szCs w:val="28"/>
          <w:highlight w:val="cyan"/>
        </w:rPr>
      </w:pPr>
    </w:p>
    <w:p w:rsidR="00D03C1A" w:rsidRPr="00FF5A9A" w:rsidRDefault="001D1DBC" w:rsidP="00C267C0">
      <w:pPr>
        <w:rPr>
          <w:sz w:val="22"/>
          <w:szCs w:val="22"/>
        </w:rPr>
      </w:pPr>
      <w:r w:rsidRPr="00FF5A9A">
        <w:rPr>
          <w:sz w:val="22"/>
          <w:szCs w:val="22"/>
        </w:rPr>
        <w:fldChar w:fldCharType="begin"/>
      </w:r>
      <w:r w:rsidR="00D03C1A" w:rsidRPr="00FF5A9A">
        <w:rPr>
          <w:sz w:val="22"/>
          <w:szCs w:val="22"/>
        </w:rPr>
        <w:instrText xml:space="preserve"> DATE  \@ "yyyy.MM.dd. H:mm"  \* MERGEFORMAT </w:instrText>
      </w:r>
      <w:r w:rsidRPr="00FF5A9A">
        <w:rPr>
          <w:sz w:val="22"/>
          <w:szCs w:val="22"/>
        </w:rPr>
        <w:fldChar w:fldCharType="separate"/>
      </w:r>
      <w:r w:rsidR="00A92F00">
        <w:rPr>
          <w:noProof/>
          <w:sz w:val="22"/>
          <w:szCs w:val="22"/>
        </w:rPr>
        <w:t>2012.10.04. 15:01</w:t>
      </w:r>
      <w:r w:rsidRPr="00FF5A9A">
        <w:rPr>
          <w:sz w:val="22"/>
          <w:szCs w:val="22"/>
        </w:rPr>
        <w:fldChar w:fldCharType="end"/>
      </w:r>
    </w:p>
    <w:p w:rsidR="00C267C0" w:rsidRPr="00FF5A9A" w:rsidRDefault="00642ED0" w:rsidP="00C267C0">
      <w:pPr>
        <w:rPr>
          <w:sz w:val="22"/>
          <w:szCs w:val="22"/>
        </w:rPr>
      </w:pPr>
      <w:r w:rsidRPr="00A23104">
        <w:rPr>
          <w:sz w:val="22"/>
          <w:szCs w:val="22"/>
        </w:rPr>
        <w:t>2</w:t>
      </w:r>
      <w:r>
        <w:rPr>
          <w:sz w:val="22"/>
          <w:szCs w:val="22"/>
        </w:rPr>
        <w:t>78</w:t>
      </w:r>
      <w:r w:rsidR="00A92F00">
        <w:rPr>
          <w:sz w:val="22"/>
          <w:szCs w:val="22"/>
        </w:rPr>
        <w:t>0</w:t>
      </w:r>
    </w:p>
    <w:p w:rsidR="00C267C0" w:rsidRPr="00FF5A9A" w:rsidRDefault="00C267C0" w:rsidP="00C267C0">
      <w:pPr>
        <w:rPr>
          <w:sz w:val="22"/>
          <w:szCs w:val="22"/>
        </w:rPr>
      </w:pPr>
      <w:bookmarkStart w:id="0" w:name="OLE_LINK1"/>
      <w:bookmarkStart w:id="1" w:name="OLE_LINK2"/>
      <w:r w:rsidRPr="00FF5A9A">
        <w:rPr>
          <w:sz w:val="22"/>
          <w:szCs w:val="22"/>
        </w:rPr>
        <w:t>R. Gulbis</w:t>
      </w:r>
    </w:p>
    <w:p w:rsidR="0015060C" w:rsidRPr="00B339AC" w:rsidRDefault="00C267C0" w:rsidP="00C26F49">
      <w:bookmarkStart w:id="2" w:name="OLE_LINK3"/>
      <w:bookmarkStart w:id="3" w:name="OLE_LINK4"/>
      <w:r w:rsidRPr="00FF5A9A">
        <w:rPr>
          <w:sz w:val="22"/>
          <w:szCs w:val="22"/>
        </w:rPr>
        <w:t>67330211</w:t>
      </w:r>
      <w:bookmarkEnd w:id="2"/>
      <w:bookmarkEnd w:id="3"/>
      <w:r w:rsidRPr="00FF5A9A">
        <w:rPr>
          <w:sz w:val="22"/>
          <w:szCs w:val="22"/>
        </w:rPr>
        <w:t xml:space="preserve">, </w:t>
      </w:r>
      <w:bookmarkStart w:id="4" w:name="OLE_LINK5"/>
      <w:bookmarkStart w:id="5" w:name="OLE_LINK6"/>
      <w:r w:rsidRPr="00FF5A9A">
        <w:rPr>
          <w:sz w:val="22"/>
          <w:szCs w:val="22"/>
        </w:rPr>
        <w:t>rihards.gulbis@km.gov.lv</w:t>
      </w:r>
      <w:bookmarkEnd w:id="0"/>
      <w:bookmarkEnd w:id="1"/>
      <w:bookmarkEnd w:id="4"/>
      <w:bookmarkEnd w:id="5"/>
    </w:p>
    <w:sectPr w:rsidR="0015060C" w:rsidRPr="00B339AC" w:rsidSect="00C31E36">
      <w:headerReference w:type="even" r:id="rId10"/>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C23" w:rsidRDefault="00497C23">
      <w:r>
        <w:separator/>
      </w:r>
    </w:p>
  </w:endnote>
  <w:endnote w:type="continuationSeparator" w:id="0">
    <w:p w:rsidR="00497C23" w:rsidRDefault="00497C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23" w:rsidRPr="003C449B" w:rsidRDefault="00497C23" w:rsidP="00FE2DC4">
    <w:pPr>
      <w:pStyle w:val="Kjene"/>
      <w:rPr>
        <w:sz w:val="16"/>
        <w:szCs w:val="16"/>
      </w:rPr>
    </w:pPr>
  </w:p>
  <w:p w:rsidR="00497C23" w:rsidRPr="00FF5A9A" w:rsidRDefault="00497C23" w:rsidP="00FF5A9A">
    <w:pPr>
      <w:pStyle w:val="Kjene"/>
      <w:jc w:val="both"/>
      <w:rPr>
        <w:sz w:val="22"/>
        <w:szCs w:val="22"/>
      </w:rPr>
    </w:pPr>
    <w:r w:rsidRPr="00FF5A9A">
      <w:rPr>
        <w:sz w:val="22"/>
        <w:szCs w:val="22"/>
      </w:rPr>
      <w:t>KMAnot_</w:t>
    </w:r>
    <w:r w:rsidR="00642ED0">
      <w:rPr>
        <w:sz w:val="22"/>
        <w:szCs w:val="22"/>
      </w:rPr>
      <w:t>0410</w:t>
    </w:r>
    <w:r w:rsidR="00642ED0" w:rsidRPr="00FF5A9A">
      <w:rPr>
        <w:sz w:val="22"/>
        <w:szCs w:val="22"/>
      </w:rPr>
      <w:t>12</w:t>
    </w:r>
    <w:r w:rsidRPr="00FF5A9A">
      <w:rPr>
        <w:sz w:val="22"/>
        <w:szCs w:val="22"/>
      </w:rPr>
      <w:t>_Groz321; Ministru kabineta noteikumu projekta „Grozījumi Ministru kabineta 2005.gada 10.maija noteikumos Nr.321 „Noteikumi par tukšo materiālo nesēju un reproducēšanai izmantojamo iekārtu atlīdzības lielumu un tās iekasēšanas, atmaksāšanas, sadales un izmaksas kārtību””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23" w:rsidRPr="00FF5A9A" w:rsidRDefault="00497C23" w:rsidP="00FF5A9A">
    <w:pPr>
      <w:pStyle w:val="Kjene"/>
      <w:jc w:val="both"/>
      <w:rPr>
        <w:sz w:val="22"/>
        <w:szCs w:val="22"/>
      </w:rPr>
    </w:pPr>
    <w:r w:rsidRPr="00FF5A9A">
      <w:rPr>
        <w:sz w:val="22"/>
        <w:szCs w:val="22"/>
      </w:rPr>
      <w:t>KMAnot_</w:t>
    </w:r>
    <w:r>
      <w:rPr>
        <w:sz w:val="22"/>
        <w:szCs w:val="22"/>
      </w:rPr>
      <w:t>0410</w:t>
    </w:r>
    <w:r w:rsidRPr="00FF5A9A">
      <w:rPr>
        <w:sz w:val="22"/>
        <w:szCs w:val="22"/>
      </w:rPr>
      <w:t>12_Groz321; Ministru kabineta noteikumu projekta „Grozījumi Ministru kabineta 2005.gada 10.maija noteikumos Nr.321 „Noteikumi par tukšo materiālo nesēju un reproducēšanai izmantojamo iekārtu atlīdzības lielumu un tās iekasēšanas, atmaksāšanas, sadales un izmaksas kārtību””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C23" w:rsidRDefault="00497C23">
      <w:r>
        <w:separator/>
      </w:r>
    </w:p>
  </w:footnote>
  <w:footnote w:type="continuationSeparator" w:id="0">
    <w:p w:rsidR="00497C23" w:rsidRDefault="00497C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23" w:rsidRDefault="001D1DBC" w:rsidP="003C449B">
    <w:pPr>
      <w:pStyle w:val="Galvene"/>
      <w:framePr w:wrap="around" w:vAnchor="text" w:hAnchor="margin" w:xAlign="center" w:y="1"/>
      <w:rPr>
        <w:rStyle w:val="Lappusesnumurs"/>
      </w:rPr>
    </w:pPr>
    <w:r>
      <w:rPr>
        <w:rStyle w:val="Lappusesnumurs"/>
      </w:rPr>
      <w:fldChar w:fldCharType="begin"/>
    </w:r>
    <w:r w:rsidR="00497C23">
      <w:rPr>
        <w:rStyle w:val="Lappusesnumurs"/>
      </w:rPr>
      <w:instrText xml:space="preserve">PAGE  </w:instrText>
    </w:r>
    <w:r>
      <w:rPr>
        <w:rStyle w:val="Lappusesnumurs"/>
      </w:rPr>
      <w:fldChar w:fldCharType="end"/>
    </w:r>
  </w:p>
  <w:p w:rsidR="00497C23" w:rsidRDefault="00497C23">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23" w:rsidRPr="00FF5A9A" w:rsidRDefault="001D1DBC" w:rsidP="003C449B">
    <w:pPr>
      <w:pStyle w:val="Galvene"/>
      <w:framePr w:wrap="around" w:vAnchor="text" w:hAnchor="margin" w:xAlign="center" w:y="1"/>
      <w:rPr>
        <w:rStyle w:val="Lappusesnumurs"/>
        <w:sz w:val="22"/>
        <w:szCs w:val="22"/>
      </w:rPr>
    </w:pPr>
    <w:r w:rsidRPr="00FF5A9A">
      <w:rPr>
        <w:rStyle w:val="Lappusesnumurs"/>
        <w:sz w:val="22"/>
        <w:szCs w:val="22"/>
      </w:rPr>
      <w:fldChar w:fldCharType="begin"/>
    </w:r>
    <w:r w:rsidR="00497C23" w:rsidRPr="00FF5A9A">
      <w:rPr>
        <w:rStyle w:val="Lappusesnumurs"/>
        <w:sz w:val="22"/>
        <w:szCs w:val="22"/>
      </w:rPr>
      <w:instrText xml:space="preserve">PAGE  </w:instrText>
    </w:r>
    <w:r w:rsidRPr="00FF5A9A">
      <w:rPr>
        <w:rStyle w:val="Lappusesnumurs"/>
        <w:sz w:val="22"/>
        <w:szCs w:val="22"/>
      </w:rPr>
      <w:fldChar w:fldCharType="separate"/>
    </w:r>
    <w:r w:rsidR="00A92F00">
      <w:rPr>
        <w:rStyle w:val="Lappusesnumurs"/>
        <w:noProof/>
        <w:sz w:val="22"/>
        <w:szCs w:val="22"/>
      </w:rPr>
      <w:t>12</w:t>
    </w:r>
    <w:r w:rsidRPr="00FF5A9A">
      <w:rPr>
        <w:rStyle w:val="Lappusesnumurs"/>
        <w:sz w:val="22"/>
        <w:szCs w:val="22"/>
      </w:rPr>
      <w:fldChar w:fldCharType="end"/>
    </w:r>
  </w:p>
  <w:p w:rsidR="00497C23" w:rsidRDefault="00497C2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D18"/>
    <w:multiLevelType w:val="hybridMultilevel"/>
    <w:tmpl w:val="9EA0CA9E"/>
    <w:lvl w:ilvl="0" w:tplc="727A220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nsid w:val="03063040"/>
    <w:multiLevelType w:val="hybridMultilevel"/>
    <w:tmpl w:val="5FC6A5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0611D7"/>
    <w:multiLevelType w:val="hybridMultilevel"/>
    <w:tmpl w:val="C512D262"/>
    <w:lvl w:ilvl="0" w:tplc="1CE25C98">
      <w:start w:val="2"/>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3F351542"/>
    <w:multiLevelType w:val="hybridMultilevel"/>
    <w:tmpl w:val="A40253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3A97F65"/>
    <w:multiLevelType w:val="hybridMultilevel"/>
    <w:tmpl w:val="F1B8D8B6"/>
    <w:lvl w:ilvl="0" w:tplc="DD00FFFC">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10">
    <w:nsid w:val="447C199C"/>
    <w:multiLevelType w:val="hybridMultilevel"/>
    <w:tmpl w:val="32CE72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88B47E6"/>
    <w:multiLevelType w:val="hybridMultilevel"/>
    <w:tmpl w:val="5BB6E9F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85124"/>
    <w:multiLevelType w:val="hybridMultilevel"/>
    <w:tmpl w:val="74F44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A2337EE"/>
    <w:multiLevelType w:val="hybridMultilevel"/>
    <w:tmpl w:val="1680A7C0"/>
    <w:lvl w:ilvl="0" w:tplc="C608D196">
      <w:start w:val="2"/>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9">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0"/>
  </w:num>
  <w:num w:numId="3">
    <w:abstractNumId w:val="6"/>
  </w:num>
  <w:num w:numId="4">
    <w:abstractNumId w:val="4"/>
  </w:num>
  <w:num w:numId="5">
    <w:abstractNumId w:val="2"/>
  </w:num>
  <w:num w:numId="6">
    <w:abstractNumId w:val="16"/>
  </w:num>
  <w:num w:numId="7">
    <w:abstractNumId w:val="21"/>
  </w:num>
  <w:num w:numId="8">
    <w:abstractNumId w:val="11"/>
  </w:num>
  <w:num w:numId="9">
    <w:abstractNumId w:val="5"/>
  </w:num>
  <w:num w:numId="10">
    <w:abstractNumId w:val="13"/>
  </w:num>
  <w:num w:numId="11">
    <w:abstractNumId w:val="15"/>
  </w:num>
  <w:num w:numId="12">
    <w:abstractNumId w:val="17"/>
  </w:num>
  <w:num w:numId="13">
    <w:abstractNumId w:val="19"/>
  </w:num>
  <w:num w:numId="14">
    <w:abstractNumId w:val="9"/>
  </w:num>
  <w:num w:numId="15">
    <w:abstractNumId w:val="0"/>
  </w:num>
  <w:num w:numId="16">
    <w:abstractNumId w:val="8"/>
  </w:num>
  <w:num w:numId="17">
    <w:abstractNumId w:val="14"/>
  </w:num>
  <w:num w:numId="18">
    <w:abstractNumId w:val="1"/>
  </w:num>
  <w:num w:numId="19">
    <w:abstractNumId w:val="10"/>
  </w:num>
  <w:num w:numId="20">
    <w:abstractNumId w:val="12"/>
  </w:num>
  <w:num w:numId="21">
    <w:abstractNumId w:val="1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13DD"/>
    <w:rsid w:val="0000258C"/>
    <w:rsid w:val="00005072"/>
    <w:rsid w:val="00005492"/>
    <w:rsid w:val="00007F92"/>
    <w:rsid w:val="00011D24"/>
    <w:rsid w:val="0001302F"/>
    <w:rsid w:val="00013FF4"/>
    <w:rsid w:val="00020FE1"/>
    <w:rsid w:val="00022E13"/>
    <w:rsid w:val="00032388"/>
    <w:rsid w:val="00035CE2"/>
    <w:rsid w:val="0005553B"/>
    <w:rsid w:val="00056EB0"/>
    <w:rsid w:val="000604D2"/>
    <w:rsid w:val="00074F1F"/>
    <w:rsid w:val="0007640C"/>
    <w:rsid w:val="000765D4"/>
    <w:rsid w:val="00082CD8"/>
    <w:rsid w:val="0009005E"/>
    <w:rsid w:val="000934C2"/>
    <w:rsid w:val="000941C5"/>
    <w:rsid w:val="000A4ACA"/>
    <w:rsid w:val="000A6451"/>
    <w:rsid w:val="000B064E"/>
    <w:rsid w:val="000B4977"/>
    <w:rsid w:val="000B4ED6"/>
    <w:rsid w:val="000B69CF"/>
    <w:rsid w:val="000B755A"/>
    <w:rsid w:val="000C39F6"/>
    <w:rsid w:val="000C790C"/>
    <w:rsid w:val="000D5A4F"/>
    <w:rsid w:val="000E224F"/>
    <w:rsid w:val="000E5474"/>
    <w:rsid w:val="000E5757"/>
    <w:rsid w:val="000F061D"/>
    <w:rsid w:val="000F4794"/>
    <w:rsid w:val="00106496"/>
    <w:rsid w:val="001070DC"/>
    <w:rsid w:val="00124F12"/>
    <w:rsid w:val="001320DC"/>
    <w:rsid w:val="001330E3"/>
    <w:rsid w:val="001362FA"/>
    <w:rsid w:val="00144E3A"/>
    <w:rsid w:val="0015060C"/>
    <w:rsid w:val="0016018A"/>
    <w:rsid w:val="00160D72"/>
    <w:rsid w:val="00161F0E"/>
    <w:rsid w:val="00162A41"/>
    <w:rsid w:val="00165868"/>
    <w:rsid w:val="00170E2A"/>
    <w:rsid w:val="00177394"/>
    <w:rsid w:val="00182C18"/>
    <w:rsid w:val="00183CC2"/>
    <w:rsid w:val="00184724"/>
    <w:rsid w:val="001874AA"/>
    <w:rsid w:val="001900E4"/>
    <w:rsid w:val="00190F88"/>
    <w:rsid w:val="001A1D12"/>
    <w:rsid w:val="001A4066"/>
    <w:rsid w:val="001A6AE4"/>
    <w:rsid w:val="001A7150"/>
    <w:rsid w:val="001B01FD"/>
    <w:rsid w:val="001B230D"/>
    <w:rsid w:val="001B4A71"/>
    <w:rsid w:val="001D1DBC"/>
    <w:rsid w:val="001D3CF6"/>
    <w:rsid w:val="001D5B54"/>
    <w:rsid w:val="001E1DBF"/>
    <w:rsid w:val="001E4639"/>
    <w:rsid w:val="001E4A7D"/>
    <w:rsid w:val="001F2C41"/>
    <w:rsid w:val="001F4209"/>
    <w:rsid w:val="001F43A8"/>
    <w:rsid w:val="001F5CD6"/>
    <w:rsid w:val="001F721C"/>
    <w:rsid w:val="002076E0"/>
    <w:rsid w:val="0021263D"/>
    <w:rsid w:val="00213820"/>
    <w:rsid w:val="00213F0C"/>
    <w:rsid w:val="00214094"/>
    <w:rsid w:val="0021592D"/>
    <w:rsid w:val="00215D4C"/>
    <w:rsid w:val="00222D76"/>
    <w:rsid w:val="00223EB1"/>
    <w:rsid w:val="0023079F"/>
    <w:rsid w:val="00231344"/>
    <w:rsid w:val="002324AA"/>
    <w:rsid w:val="0023436E"/>
    <w:rsid w:val="002347C0"/>
    <w:rsid w:val="002369F5"/>
    <w:rsid w:val="00241A6C"/>
    <w:rsid w:val="00242396"/>
    <w:rsid w:val="00242D2B"/>
    <w:rsid w:val="0024734B"/>
    <w:rsid w:val="002537E9"/>
    <w:rsid w:val="00254600"/>
    <w:rsid w:val="00254EC3"/>
    <w:rsid w:val="0026243F"/>
    <w:rsid w:val="002628B6"/>
    <w:rsid w:val="00262E2B"/>
    <w:rsid w:val="00267F84"/>
    <w:rsid w:val="00270429"/>
    <w:rsid w:val="0027055C"/>
    <w:rsid w:val="002723E9"/>
    <w:rsid w:val="00276620"/>
    <w:rsid w:val="00277929"/>
    <w:rsid w:val="00283B82"/>
    <w:rsid w:val="002846E9"/>
    <w:rsid w:val="00284C34"/>
    <w:rsid w:val="00286431"/>
    <w:rsid w:val="0029066C"/>
    <w:rsid w:val="00292AFB"/>
    <w:rsid w:val="002934B5"/>
    <w:rsid w:val="0029467A"/>
    <w:rsid w:val="00295CAA"/>
    <w:rsid w:val="002B2857"/>
    <w:rsid w:val="002B50DB"/>
    <w:rsid w:val="002B6623"/>
    <w:rsid w:val="002C034C"/>
    <w:rsid w:val="002C12AB"/>
    <w:rsid w:val="002C5ADA"/>
    <w:rsid w:val="002C7CAC"/>
    <w:rsid w:val="002D3306"/>
    <w:rsid w:val="002D48AA"/>
    <w:rsid w:val="002D7BAA"/>
    <w:rsid w:val="002D7F54"/>
    <w:rsid w:val="002E0325"/>
    <w:rsid w:val="002E0D3C"/>
    <w:rsid w:val="002E3FF4"/>
    <w:rsid w:val="002F22B7"/>
    <w:rsid w:val="002F61E2"/>
    <w:rsid w:val="002F71B3"/>
    <w:rsid w:val="002F75ED"/>
    <w:rsid w:val="002F78C8"/>
    <w:rsid w:val="00300B2D"/>
    <w:rsid w:val="00301CF3"/>
    <w:rsid w:val="00311CF5"/>
    <w:rsid w:val="0031652A"/>
    <w:rsid w:val="00326552"/>
    <w:rsid w:val="0032715C"/>
    <w:rsid w:val="003275C6"/>
    <w:rsid w:val="00337CA5"/>
    <w:rsid w:val="00343A51"/>
    <w:rsid w:val="00350FBF"/>
    <w:rsid w:val="00362478"/>
    <w:rsid w:val="00365457"/>
    <w:rsid w:val="0036669B"/>
    <w:rsid w:val="00371B8C"/>
    <w:rsid w:val="00375B25"/>
    <w:rsid w:val="00376488"/>
    <w:rsid w:val="0038132C"/>
    <w:rsid w:val="003813DB"/>
    <w:rsid w:val="003824D2"/>
    <w:rsid w:val="00394889"/>
    <w:rsid w:val="003950D6"/>
    <w:rsid w:val="00395C96"/>
    <w:rsid w:val="00395D7B"/>
    <w:rsid w:val="00396542"/>
    <w:rsid w:val="0039685B"/>
    <w:rsid w:val="003A0ADF"/>
    <w:rsid w:val="003A31A6"/>
    <w:rsid w:val="003A7F0C"/>
    <w:rsid w:val="003A7F79"/>
    <w:rsid w:val="003B6404"/>
    <w:rsid w:val="003B7810"/>
    <w:rsid w:val="003C449B"/>
    <w:rsid w:val="003C4601"/>
    <w:rsid w:val="003D21FF"/>
    <w:rsid w:val="003E38C4"/>
    <w:rsid w:val="003F0112"/>
    <w:rsid w:val="003F02D3"/>
    <w:rsid w:val="003F071A"/>
    <w:rsid w:val="003F160B"/>
    <w:rsid w:val="003F2544"/>
    <w:rsid w:val="00400032"/>
    <w:rsid w:val="00400B5B"/>
    <w:rsid w:val="00401991"/>
    <w:rsid w:val="004046E0"/>
    <w:rsid w:val="00405A00"/>
    <w:rsid w:val="00420870"/>
    <w:rsid w:val="004250BD"/>
    <w:rsid w:val="00432D0C"/>
    <w:rsid w:val="00433083"/>
    <w:rsid w:val="0043547D"/>
    <w:rsid w:val="00436670"/>
    <w:rsid w:val="0043791B"/>
    <w:rsid w:val="00441483"/>
    <w:rsid w:val="00441BCB"/>
    <w:rsid w:val="00442236"/>
    <w:rsid w:val="00442C23"/>
    <w:rsid w:val="0045176A"/>
    <w:rsid w:val="00456332"/>
    <w:rsid w:val="00457030"/>
    <w:rsid w:val="00461826"/>
    <w:rsid w:val="004800F9"/>
    <w:rsid w:val="0048286D"/>
    <w:rsid w:val="0049134A"/>
    <w:rsid w:val="00497C23"/>
    <w:rsid w:val="004A58CB"/>
    <w:rsid w:val="004B0DAB"/>
    <w:rsid w:val="004B1795"/>
    <w:rsid w:val="004B56DD"/>
    <w:rsid w:val="004C020F"/>
    <w:rsid w:val="004C1AFD"/>
    <w:rsid w:val="004C558B"/>
    <w:rsid w:val="004C5D4F"/>
    <w:rsid w:val="004D3F86"/>
    <w:rsid w:val="004D6300"/>
    <w:rsid w:val="004E2F3D"/>
    <w:rsid w:val="004F1F88"/>
    <w:rsid w:val="004F5F1B"/>
    <w:rsid w:val="00500E5F"/>
    <w:rsid w:val="005014CE"/>
    <w:rsid w:val="00502374"/>
    <w:rsid w:val="005060A1"/>
    <w:rsid w:val="00507A7D"/>
    <w:rsid w:val="00515914"/>
    <w:rsid w:val="00516072"/>
    <w:rsid w:val="00520B51"/>
    <w:rsid w:val="005307E9"/>
    <w:rsid w:val="005332EC"/>
    <w:rsid w:val="00533D41"/>
    <w:rsid w:val="00534418"/>
    <w:rsid w:val="005353AB"/>
    <w:rsid w:val="00545FF3"/>
    <w:rsid w:val="00547738"/>
    <w:rsid w:val="00555C86"/>
    <w:rsid w:val="005560BC"/>
    <w:rsid w:val="005573BE"/>
    <w:rsid w:val="00571F11"/>
    <w:rsid w:val="00572700"/>
    <w:rsid w:val="00580468"/>
    <w:rsid w:val="00582231"/>
    <w:rsid w:val="0058510D"/>
    <w:rsid w:val="0058603B"/>
    <w:rsid w:val="0059431B"/>
    <w:rsid w:val="005A2F94"/>
    <w:rsid w:val="005A39CC"/>
    <w:rsid w:val="005A4B1D"/>
    <w:rsid w:val="005B329B"/>
    <w:rsid w:val="005B4730"/>
    <w:rsid w:val="005C31AA"/>
    <w:rsid w:val="005C7DD0"/>
    <w:rsid w:val="005E05D7"/>
    <w:rsid w:val="005E35AE"/>
    <w:rsid w:val="005E41E7"/>
    <w:rsid w:val="005E450F"/>
    <w:rsid w:val="005F027B"/>
    <w:rsid w:val="005F3EDD"/>
    <w:rsid w:val="006223CA"/>
    <w:rsid w:val="0062298A"/>
    <w:rsid w:val="00622C12"/>
    <w:rsid w:val="00626514"/>
    <w:rsid w:val="00626589"/>
    <w:rsid w:val="0063181C"/>
    <w:rsid w:val="006321DE"/>
    <w:rsid w:val="006339A0"/>
    <w:rsid w:val="006413A8"/>
    <w:rsid w:val="00642E56"/>
    <w:rsid w:val="00642ED0"/>
    <w:rsid w:val="00651E00"/>
    <w:rsid w:val="006553DB"/>
    <w:rsid w:val="00673B8D"/>
    <w:rsid w:val="00674572"/>
    <w:rsid w:val="006773E1"/>
    <w:rsid w:val="006807F4"/>
    <w:rsid w:val="00684CF6"/>
    <w:rsid w:val="00687763"/>
    <w:rsid w:val="00692B0D"/>
    <w:rsid w:val="0069375B"/>
    <w:rsid w:val="00693E0E"/>
    <w:rsid w:val="006A1AE3"/>
    <w:rsid w:val="006A22B4"/>
    <w:rsid w:val="006A6123"/>
    <w:rsid w:val="006B74A3"/>
    <w:rsid w:val="006C2D86"/>
    <w:rsid w:val="006C30E1"/>
    <w:rsid w:val="006C349E"/>
    <w:rsid w:val="006C4607"/>
    <w:rsid w:val="006D3CA1"/>
    <w:rsid w:val="006D48F1"/>
    <w:rsid w:val="006E2D06"/>
    <w:rsid w:val="006F332A"/>
    <w:rsid w:val="006F45BE"/>
    <w:rsid w:val="006F7A2A"/>
    <w:rsid w:val="007004FC"/>
    <w:rsid w:val="00705E42"/>
    <w:rsid w:val="00706670"/>
    <w:rsid w:val="00711F59"/>
    <w:rsid w:val="00717B43"/>
    <w:rsid w:val="00717CD2"/>
    <w:rsid w:val="007221A0"/>
    <w:rsid w:val="007226C1"/>
    <w:rsid w:val="0072417C"/>
    <w:rsid w:val="007300EA"/>
    <w:rsid w:val="00734450"/>
    <w:rsid w:val="00736F65"/>
    <w:rsid w:val="00743E39"/>
    <w:rsid w:val="00745F67"/>
    <w:rsid w:val="0075039E"/>
    <w:rsid w:val="007503FC"/>
    <w:rsid w:val="00752D9D"/>
    <w:rsid w:val="00753D64"/>
    <w:rsid w:val="00754784"/>
    <w:rsid w:val="00755CEA"/>
    <w:rsid w:val="00757C6E"/>
    <w:rsid w:val="00761939"/>
    <w:rsid w:val="00762297"/>
    <w:rsid w:val="00762BDA"/>
    <w:rsid w:val="00764CDE"/>
    <w:rsid w:val="00775205"/>
    <w:rsid w:val="00776437"/>
    <w:rsid w:val="00777B8A"/>
    <w:rsid w:val="007805FD"/>
    <w:rsid w:val="00784422"/>
    <w:rsid w:val="007877D0"/>
    <w:rsid w:val="00794E5A"/>
    <w:rsid w:val="007976AC"/>
    <w:rsid w:val="007A13CF"/>
    <w:rsid w:val="007A76C3"/>
    <w:rsid w:val="007B3B54"/>
    <w:rsid w:val="007B3FA0"/>
    <w:rsid w:val="007C0F2C"/>
    <w:rsid w:val="007C2BCC"/>
    <w:rsid w:val="007C4EF0"/>
    <w:rsid w:val="007C4FA9"/>
    <w:rsid w:val="007D099D"/>
    <w:rsid w:val="007D30F5"/>
    <w:rsid w:val="007E2664"/>
    <w:rsid w:val="007E3ABF"/>
    <w:rsid w:val="007E5BFA"/>
    <w:rsid w:val="007E6689"/>
    <w:rsid w:val="007E68A9"/>
    <w:rsid w:val="007E731C"/>
    <w:rsid w:val="007F0A03"/>
    <w:rsid w:val="00810040"/>
    <w:rsid w:val="00815A15"/>
    <w:rsid w:val="0082023A"/>
    <w:rsid w:val="00821A7A"/>
    <w:rsid w:val="00822E94"/>
    <w:rsid w:val="0082334A"/>
    <w:rsid w:val="008253F8"/>
    <w:rsid w:val="008323DC"/>
    <w:rsid w:val="008325E4"/>
    <w:rsid w:val="00832A2B"/>
    <w:rsid w:val="008351A8"/>
    <w:rsid w:val="008365F5"/>
    <w:rsid w:val="00836814"/>
    <w:rsid w:val="008378BC"/>
    <w:rsid w:val="008420F6"/>
    <w:rsid w:val="00844308"/>
    <w:rsid w:val="00845811"/>
    <w:rsid w:val="00846308"/>
    <w:rsid w:val="00846994"/>
    <w:rsid w:val="00850451"/>
    <w:rsid w:val="00852042"/>
    <w:rsid w:val="008534C9"/>
    <w:rsid w:val="0085599D"/>
    <w:rsid w:val="008604D9"/>
    <w:rsid w:val="0087067A"/>
    <w:rsid w:val="0087510C"/>
    <w:rsid w:val="00881063"/>
    <w:rsid w:val="008968D2"/>
    <w:rsid w:val="0089738E"/>
    <w:rsid w:val="008B3DB1"/>
    <w:rsid w:val="008B4031"/>
    <w:rsid w:val="008B4533"/>
    <w:rsid w:val="008B5FDB"/>
    <w:rsid w:val="008C47FF"/>
    <w:rsid w:val="008C50F4"/>
    <w:rsid w:val="008C5649"/>
    <w:rsid w:val="008C5BEF"/>
    <w:rsid w:val="008E3C2D"/>
    <w:rsid w:val="008E44A2"/>
    <w:rsid w:val="008E64BF"/>
    <w:rsid w:val="008E697D"/>
    <w:rsid w:val="008F160D"/>
    <w:rsid w:val="008F3628"/>
    <w:rsid w:val="008F7F78"/>
    <w:rsid w:val="00901D63"/>
    <w:rsid w:val="00903263"/>
    <w:rsid w:val="00906A21"/>
    <w:rsid w:val="009079C3"/>
    <w:rsid w:val="00910462"/>
    <w:rsid w:val="00915AB1"/>
    <w:rsid w:val="009162B5"/>
    <w:rsid w:val="00917028"/>
    <w:rsid w:val="00917532"/>
    <w:rsid w:val="009235BA"/>
    <w:rsid w:val="00924023"/>
    <w:rsid w:val="00924CE2"/>
    <w:rsid w:val="00925B9F"/>
    <w:rsid w:val="00926DA2"/>
    <w:rsid w:val="00926EDC"/>
    <w:rsid w:val="00931AED"/>
    <w:rsid w:val="00942DAD"/>
    <w:rsid w:val="00946D22"/>
    <w:rsid w:val="009476A3"/>
    <w:rsid w:val="0095334F"/>
    <w:rsid w:val="009537D4"/>
    <w:rsid w:val="00960F1F"/>
    <w:rsid w:val="00961242"/>
    <w:rsid w:val="009647F2"/>
    <w:rsid w:val="00965897"/>
    <w:rsid w:val="0096765C"/>
    <w:rsid w:val="009727E4"/>
    <w:rsid w:val="009818C3"/>
    <w:rsid w:val="00981CB7"/>
    <w:rsid w:val="00992888"/>
    <w:rsid w:val="009934C5"/>
    <w:rsid w:val="0099407C"/>
    <w:rsid w:val="00994C0F"/>
    <w:rsid w:val="009A0DD8"/>
    <w:rsid w:val="009A1DC3"/>
    <w:rsid w:val="009A305B"/>
    <w:rsid w:val="009B22D7"/>
    <w:rsid w:val="009B658C"/>
    <w:rsid w:val="009B72ED"/>
    <w:rsid w:val="009B7303"/>
    <w:rsid w:val="009C2F74"/>
    <w:rsid w:val="009C3A49"/>
    <w:rsid w:val="009C6DEB"/>
    <w:rsid w:val="009D6504"/>
    <w:rsid w:val="009D7BA3"/>
    <w:rsid w:val="009E12D7"/>
    <w:rsid w:val="009E661A"/>
    <w:rsid w:val="009F50F9"/>
    <w:rsid w:val="009F7B70"/>
    <w:rsid w:val="00A06781"/>
    <w:rsid w:val="00A06BDA"/>
    <w:rsid w:val="00A074C3"/>
    <w:rsid w:val="00A1509C"/>
    <w:rsid w:val="00A23104"/>
    <w:rsid w:val="00A234E7"/>
    <w:rsid w:val="00A249B9"/>
    <w:rsid w:val="00A31BB1"/>
    <w:rsid w:val="00A34260"/>
    <w:rsid w:val="00A42A47"/>
    <w:rsid w:val="00A50192"/>
    <w:rsid w:val="00A70CFD"/>
    <w:rsid w:val="00A71997"/>
    <w:rsid w:val="00A72A0B"/>
    <w:rsid w:val="00A81E42"/>
    <w:rsid w:val="00A864FE"/>
    <w:rsid w:val="00A86F41"/>
    <w:rsid w:val="00A87D04"/>
    <w:rsid w:val="00A92F00"/>
    <w:rsid w:val="00A944BD"/>
    <w:rsid w:val="00A950C5"/>
    <w:rsid w:val="00A96C49"/>
    <w:rsid w:val="00AA1D25"/>
    <w:rsid w:val="00AA3B16"/>
    <w:rsid w:val="00AA40A5"/>
    <w:rsid w:val="00AB2B1A"/>
    <w:rsid w:val="00AB397F"/>
    <w:rsid w:val="00AB5832"/>
    <w:rsid w:val="00AC24B6"/>
    <w:rsid w:val="00AC350F"/>
    <w:rsid w:val="00AC51F2"/>
    <w:rsid w:val="00AD3269"/>
    <w:rsid w:val="00AD4B18"/>
    <w:rsid w:val="00AD6B90"/>
    <w:rsid w:val="00AD6E1B"/>
    <w:rsid w:val="00AE2CE1"/>
    <w:rsid w:val="00AE5066"/>
    <w:rsid w:val="00AE5E24"/>
    <w:rsid w:val="00AE61B7"/>
    <w:rsid w:val="00AE6CBA"/>
    <w:rsid w:val="00AE6DCA"/>
    <w:rsid w:val="00AE7840"/>
    <w:rsid w:val="00AE79AD"/>
    <w:rsid w:val="00AF35E4"/>
    <w:rsid w:val="00AF5CDE"/>
    <w:rsid w:val="00B00746"/>
    <w:rsid w:val="00B03186"/>
    <w:rsid w:val="00B03288"/>
    <w:rsid w:val="00B058D2"/>
    <w:rsid w:val="00B07D4C"/>
    <w:rsid w:val="00B11A57"/>
    <w:rsid w:val="00B211C3"/>
    <w:rsid w:val="00B25597"/>
    <w:rsid w:val="00B267B9"/>
    <w:rsid w:val="00B3206C"/>
    <w:rsid w:val="00B339AC"/>
    <w:rsid w:val="00B33E09"/>
    <w:rsid w:val="00B36009"/>
    <w:rsid w:val="00B44B00"/>
    <w:rsid w:val="00B50708"/>
    <w:rsid w:val="00B50C68"/>
    <w:rsid w:val="00B51293"/>
    <w:rsid w:val="00B52B1E"/>
    <w:rsid w:val="00B55481"/>
    <w:rsid w:val="00B56C32"/>
    <w:rsid w:val="00B57ACF"/>
    <w:rsid w:val="00B64BB1"/>
    <w:rsid w:val="00B670EF"/>
    <w:rsid w:val="00B70E81"/>
    <w:rsid w:val="00B73166"/>
    <w:rsid w:val="00B8426C"/>
    <w:rsid w:val="00B91B8D"/>
    <w:rsid w:val="00B9289E"/>
    <w:rsid w:val="00B94E90"/>
    <w:rsid w:val="00BB0A82"/>
    <w:rsid w:val="00BB4FE8"/>
    <w:rsid w:val="00BB7C94"/>
    <w:rsid w:val="00BC0A9D"/>
    <w:rsid w:val="00BC412F"/>
    <w:rsid w:val="00BD108A"/>
    <w:rsid w:val="00BE209D"/>
    <w:rsid w:val="00BE6D54"/>
    <w:rsid w:val="00BE75ED"/>
    <w:rsid w:val="00BF2B7A"/>
    <w:rsid w:val="00BF40ED"/>
    <w:rsid w:val="00BF5BC2"/>
    <w:rsid w:val="00BF6253"/>
    <w:rsid w:val="00C01EEF"/>
    <w:rsid w:val="00C03E74"/>
    <w:rsid w:val="00C04DC8"/>
    <w:rsid w:val="00C1133D"/>
    <w:rsid w:val="00C256DC"/>
    <w:rsid w:val="00C267C0"/>
    <w:rsid w:val="00C26F49"/>
    <w:rsid w:val="00C27A08"/>
    <w:rsid w:val="00C31312"/>
    <w:rsid w:val="00C31E36"/>
    <w:rsid w:val="00C326C6"/>
    <w:rsid w:val="00C35295"/>
    <w:rsid w:val="00C36ADD"/>
    <w:rsid w:val="00C36E74"/>
    <w:rsid w:val="00C40595"/>
    <w:rsid w:val="00C41621"/>
    <w:rsid w:val="00C43EA1"/>
    <w:rsid w:val="00C449FA"/>
    <w:rsid w:val="00C5384F"/>
    <w:rsid w:val="00C56964"/>
    <w:rsid w:val="00C62C6F"/>
    <w:rsid w:val="00C6315C"/>
    <w:rsid w:val="00C63691"/>
    <w:rsid w:val="00C64914"/>
    <w:rsid w:val="00C656D5"/>
    <w:rsid w:val="00C67103"/>
    <w:rsid w:val="00C71BB9"/>
    <w:rsid w:val="00C72783"/>
    <w:rsid w:val="00C72E85"/>
    <w:rsid w:val="00C805B8"/>
    <w:rsid w:val="00C94C28"/>
    <w:rsid w:val="00C95079"/>
    <w:rsid w:val="00CB0247"/>
    <w:rsid w:val="00CB06E3"/>
    <w:rsid w:val="00CB0ADB"/>
    <w:rsid w:val="00CB1489"/>
    <w:rsid w:val="00CB3440"/>
    <w:rsid w:val="00CB5A0A"/>
    <w:rsid w:val="00CC1692"/>
    <w:rsid w:val="00CD138B"/>
    <w:rsid w:val="00CD3E31"/>
    <w:rsid w:val="00CD74A3"/>
    <w:rsid w:val="00CE0527"/>
    <w:rsid w:val="00CE4134"/>
    <w:rsid w:val="00CE5B23"/>
    <w:rsid w:val="00CF434A"/>
    <w:rsid w:val="00CF70AD"/>
    <w:rsid w:val="00CF7729"/>
    <w:rsid w:val="00D00059"/>
    <w:rsid w:val="00D03C1A"/>
    <w:rsid w:val="00D107FA"/>
    <w:rsid w:val="00D12275"/>
    <w:rsid w:val="00D12766"/>
    <w:rsid w:val="00D12CE1"/>
    <w:rsid w:val="00D130A6"/>
    <w:rsid w:val="00D20FF4"/>
    <w:rsid w:val="00D24D2C"/>
    <w:rsid w:val="00D31AA8"/>
    <w:rsid w:val="00D33374"/>
    <w:rsid w:val="00D35881"/>
    <w:rsid w:val="00D5737F"/>
    <w:rsid w:val="00D61096"/>
    <w:rsid w:val="00D61172"/>
    <w:rsid w:val="00D73704"/>
    <w:rsid w:val="00D7571A"/>
    <w:rsid w:val="00D90347"/>
    <w:rsid w:val="00D9208C"/>
    <w:rsid w:val="00D929CA"/>
    <w:rsid w:val="00D941E3"/>
    <w:rsid w:val="00DA0E62"/>
    <w:rsid w:val="00DA7DA5"/>
    <w:rsid w:val="00DB073B"/>
    <w:rsid w:val="00DB78F0"/>
    <w:rsid w:val="00DB7AD2"/>
    <w:rsid w:val="00DB7BF9"/>
    <w:rsid w:val="00DC0CEA"/>
    <w:rsid w:val="00DC2E43"/>
    <w:rsid w:val="00DC2E58"/>
    <w:rsid w:val="00DD01DE"/>
    <w:rsid w:val="00DD095C"/>
    <w:rsid w:val="00DD1020"/>
    <w:rsid w:val="00DD1330"/>
    <w:rsid w:val="00DD1692"/>
    <w:rsid w:val="00DD6503"/>
    <w:rsid w:val="00DE0B83"/>
    <w:rsid w:val="00DE1A81"/>
    <w:rsid w:val="00DE1C13"/>
    <w:rsid w:val="00DE4E10"/>
    <w:rsid w:val="00DE7223"/>
    <w:rsid w:val="00DF0B0D"/>
    <w:rsid w:val="00DF7496"/>
    <w:rsid w:val="00E02ABF"/>
    <w:rsid w:val="00E036DF"/>
    <w:rsid w:val="00E14995"/>
    <w:rsid w:val="00E170EC"/>
    <w:rsid w:val="00E179CD"/>
    <w:rsid w:val="00E21019"/>
    <w:rsid w:val="00E23E8D"/>
    <w:rsid w:val="00E256FA"/>
    <w:rsid w:val="00E3057F"/>
    <w:rsid w:val="00E30BD2"/>
    <w:rsid w:val="00E311D4"/>
    <w:rsid w:val="00E37F98"/>
    <w:rsid w:val="00E46559"/>
    <w:rsid w:val="00E50074"/>
    <w:rsid w:val="00E55417"/>
    <w:rsid w:val="00E5655D"/>
    <w:rsid w:val="00E6670C"/>
    <w:rsid w:val="00E70FE9"/>
    <w:rsid w:val="00E75F70"/>
    <w:rsid w:val="00E776E8"/>
    <w:rsid w:val="00E85A22"/>
    <w:rsid w:val="00E87884"/>
    <w:rsid w:val="00E92C1F"/>
    <w:rsid w:val="00E936CB"/>
    <w:rsid w:val="00E94E80"/>
    <w:rsid w:val="00E95D4B"/>
    <w:rsid w:val="00E9736A"/>
    <w:rsid w:val="00EA2FA7"/>
    <w:rsid w:val="00EA371C"/>
    <w:rsid w:val="00EB199F"/>
    <w:rsid w:val="00EB26C6"/>
    <w:rsid w:val="00EC23F7"/>
    <w:rsid w:val="00EC4BD8"/>
    <w:rsid w:val="00EC63EB"/>
    <w:rsid w:val="00ED1BFF"/>
    <w:rsid w:val="00ED412F"/>
    <w:rsid w:val="00ED62C7"/>
    <w:rsid w:val="00ED7477"/>
    <w:rsid w:val="00EE3480"/>
    <w:rsid w:val="00EE766F"/>
    <w:rsid w:val="00EF31EE"/>
    <w:rsid w:val="00EF36B2"/>
    <w:rsid w:val="00F1246B"/>
    <w:rsid w:val="00F201EC"/>
    <w:rsid w:val="00F208A9"/>
    <w:rsid w:val="00F21AF4"/>
    <w:rsid w:val="00F3283E"/>
    <w:rsid w:val="00F3798E"/>
    <w:rsid w:val="00F41D75"/>
    <w:rsid w:val="00F438F5"/>
    <w:rsid w:val="00F5139D"/>
    <w:rsid w:val="00F53D46"/>
    <w:rsid w:val="00F60908"/>
    <w:rsid w:val="00F63DAC"/>
    <w:rsid w:val="00F642E2"/>
    <w:rsid w:val="00F7454F"/>
    <w:rsid w:val="00F74E7B"/>
    <w:rsid w:val="00F750C3"/>
    <w:rsid w:val="00F76C0A"/>
    <w:rsid w:val="00F77988"/>
    <w:rsid w:val="00F77F48"/>
    <w:rsid w:val="00F81D5F"/>
    <w:rsid w:val="00F86630"/>
    <w:rsid w:val="00F94E1A"/>
    <w:rsid w:val="00F96249"/>
    <w:rsid w:val="00FA6356"/>
    <w:rsid w:val="00FA7972"/>
    <w:rsid w:val="00FB30F1"/>
    <w:rsid w:val="00FB367B"/>
    <w:rsid w:val="00FB53E7"/>
    <w:rsid w:val="00FC35C3"/>
    <w:rsid w:val="00FC45FF"/>
    <w:rsid w:val="00FD2A8A"/>
    <w:rsid w:val="00FD705F"/>
    <w:rsid w:val="00FD7779"/>
    <w:rsid w:val="00FE1EE4"/>
    <w:rsid w:val="00FE2DC4"/>
    <w:rsid w:val="00FE4F8C"/>
    <w:rsid w:val="00FF549C"/>
    <w:rsid w:val="00FF5A9A"/>
    <w:rsid w:val="00FF789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HTMLiepriekformattais">
    <w:name w:val="HTML Preformatted"/>
    <w:basedOn w:val="Parastais"/>
    <w:link w:val="HTMLiepriekformattaisRakstz"/>
    <w:rsid w:val="00C2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rsid w:val="00C267C0"/>
    <w:rPr>
      <w:rFonts w:ascii="Courier New" w:hAnsi="Courier New" w:cs="Courier New"/>
    </w:rPr>
  </w:style>
  <w:style w:type="paragraph" w:styleId="ParastaisWeb">
    <w:name w:val="Normal (Web)"/>
    <w:basedOn w:val="Parastais"/>
    <w:uiPriority w:val="99"/>
    <w:unhideWhenUsed/>
    <w:rsid w:val="00C267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C564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5649"/>
    <w:pPr>
      <w:tabs>
        <w:tab w:val="center" w:pos="4153"/>
        <w:tab w:val="right" w:pos="8306"/>
      </w:tabs>
    </w:pPr>
  </w:style>
  <w:style w:type="character" w:styleId="Seitenzahl">
    <w:name w:val="page number"/>
    <w:basedOn w:val="Absatz-Standardschriftart"/>
    <w:rsid w:val="008C5649"/>
  </w:style>
  <w:style w:type="paragraph" w:customStyle="1" w:styleId="naisf">
    <w:name w:val="naisf"/>
    <w:basedOn w:val="Standard"/>
    <w:rsid w:val="008C5649"/>
    <w:pPr>
      <w:spacing w:before="75" w:after="75"/>
      <w:ind w:firstLine="375"/>
      <w:jc w:val="both"/>
    </w:pPr>
  </w:style>
  <w:style w:type="paragraph" w:customStyle="1" w:styleId="naisnod">
    <w:name w:val="naisnod"/>
    <w:basedOn w:val="Standard"/>
    <w:rsid w:val="008C5649"/>
    <w:pPr>
      <w:spacing w:before="150" w:after="150"/>
      <w:jc w:val="center"/>
    </w:pPr>
    <w:rPr>
      <w:b/>
      <w:bCs/>
    </w:rPr>
  </w:style>
  <w:style w:type="paragraph" w:customStyle="1" w:styleId="naislab">
    <w:name w:val="naislab"/>
    <w:basedOn w:val="Standard"/>
    <w:rsid w:val="008C5649"/>
    <w:pPr>
      <w:spacing w:before="75" w:after="75"/>
      <w:jc w:val="right"/>
    </w:pPr>
  </w:style>
  <w:style w:type="paragraph" w:customStyle="1" w:styleId="naiskr">
    <w:name w:val="naiskr"/>
    <w:basedOn w:val="Standard"/>
    <w:rsid w:val="008C5649"/>
    <w:pPr>
      <w:spacing w:before="75" w:after="75"/>
    </w:pPr>
  </w:style>
  <w:style w:type="paragraph" w:customStyle="1" w:styleId="naisc">
    <w:name w:val="naisc"/>
    <w:basedOn w:val="Standard"/>
    <w:rsid w:val="008C5649"/>
    <w:pPr>
      <w:spacing w:before="75" w:after="75"/>
      <w:jc w:val="center"/>
    </w:pPr>
  </w:style>
  <w:style w:type="character" w:customStyle="1" w:styleId="th1">
    <w:name w:val="th1"/>
    <w:basedOn w:val="Absatz-Standardschriftart"/>
    <w:rsid w:val="008C5649"/>
    <w:rPr>
      <w:b/>
      <w:bCs/>
      <w:color w:val="333333"/>
    </w:rPr>
  </w:style>
  <w:style w:type="character" w:styleId="Kommentarzeichen">
    <w:name w:val="annotation reference"/>
    <w:basedOn w:val="Absatz-Standardschriftart"/>
    <w:semiHidden/>
    <w:rsid w:val="008C5649"/>
    <w:rPr>
      <w:sz w:val="16"/>
      <w:szCs w:val="16"/>
    </w:rPr>
  </w:style>
  <w:style w:type="paragraph" w:styleId="Kommentartext">
    <w:name w:val="annotation text"/>
    <w:basedOn w:val="Standard"/>
    <w:link w:val="KommentartextZchn"/>
    <w:semiHidden/>
    <w:rsid w:val="008C5649"/>
    <w:rPr>
      <w:sz w:val="20"/>
      <w:szCs w:val="20"/>
    </w:rPr>
  </w:style>
  <w:style w:type="character" w:customStyle="1" w:styleId="KommentartextZchn">
    <w:name w:val="Kommentartext Zchn"/>
    <w:basedOn w:val="Absatz-Standardschriftart"/>
    <w:link w:val="Kommentartext"/>
    <w:semiHidden/>
    <w:rsid w:val="008C5649"/>
    <w:rPr>
      <w:lang w:val="lv-LV" w:eastAsia="lv-LV" w:bidi="ar-SA"/>
    </w:rPr>
  </w:style>
  <w:style w:type="paragraph" w:styleId="Sprechblasentext">
    <w:name w:val="Balloon Text"/>
    <w:basedOn w:val="Standard"/>
    <w:semiHidden/>
    <w:rsid w:val="008C5649"/>
    <w:rPr>
      <w:rFonts w:ascii="Tahoma" w:hAnsi="Tahoma" w:cs="Tahoma"/>
      <w:sz w:val="16"/>
      <w:szCs w:val="16"/>
    </w:rPr>
  </w:style>
  <w:style w:type="table" w:styleId="Tabellenraster">
    <w:name w:val="Table Grid"/>
    <w:basedOn w:val="NormaleTabelle"/>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semiHidden/>
    <w:rsid w:val="008C5649"/>
    <w:rPr>
      <w:sz w:val="20"/>
      <w:szCs w:val="20"/>
    </w:rPr>
  </w:style>
  <w:style w:type="character" w:styleId="Funotenzeichen">
    <w:name w:val="footnote reference"/>
    <w:basedOn w:val="Absatz-Standardschriftart"/>
    <w:semiHidden/>
    <w:rsid w:val="008C5649"/>
    <w:rPr>
      <w:vertAlign w:val="superscript"/>
    </w:rPr>
  </w:style>
  <w:style w:type="paragraph" w:styleId="Kommentarthema">
    <w:name w:val="annotation subject"/>
    <w:basedOn w:val="Kommentartext"/>
    <w:next w:val="Kommentartext"/>
    <w:semiHidden/>
    <w:rsid w:val="00262E2B"/>
    <w:rPr>
      <w:b/>
      <w:bCs/>
    </w:rPr>
  </w:style>
  <w:style w:type="paragraph" w:styleId="Fuzeile">
    <w:name w:val="footer"/>
    <w:basedOn w:val="Standard"/>
    <w:link w:val="FuzeileZchn"/>
    <w:rsid w:val="00262E2B"/>
    <w:pPr>
      <w:tabs>
        <w:tab w:val="center" w:pos="4153"/>
        <w:tab w:val="right" w:pos="8306"/>
      </w:tabs>
    </w:pPr>
  </w:style>
  <w:style w:type="character" w:customStyle="1" w:styleId="FuzeileZchn">
    <w:name w:val="Fußzeile Zchn"/>
    <w:basedOn w:val="Absatz-Standardschriftart"/>
    <w:link w:val="Fuzeile"/>
    <w:semiHidden/>
    <w:rsid w:val="00231344"/>
    <w:rPr>
      <w:sz w:val="24"/>
      <w:szCs w:val="24"/>
      <w:lang w:val="lv-LV" w:eastAsia="lv-LV" w:bidi="ar-SA"/>
    </w:rPr>
  </w:style>
  <w:style w:type="character" w:styleId="Hyperlink">
    <w:name w:val="Hyperlink"/>
    <w:basedOn w:val="Absatz-Standardschriftart"/>
    <w:rsid w:val="007004FC"/>
    <w:rPr>
      <w:color w:val="0000FF"/>
      <w:u w:val="single"/>
    </w:rPr>
  </w:style>
  <w:style w:type="paragraph" w:styleId="Dokumentstruktur">
    <w:name w:val="Document Map"/>
    <w:basedOn w:val="Standard"/>
    <w:semiHidden/>
    <w:rsid w:val="00846994"/>
    <w:pPr>
      <w:shd w:val="clear" w:color="auto" w:fill="000080"/>
    </w:pPr>
    <w:rPr>
      <w:rFonts w:ascii="Tahoma" w:hAnsi="Tahoma" w:cs="Tahoma"/>
      <w:sz w:val="20"/>
      <w:szCs w:val="20"/>
    </w:rPr>
  </w:style>
  <w:style w:type="paragraph" w:styleId="HTMLVorformatiert">
    <w:name w:val="HTML Preformatted"/>
    <w:basedOn w:val="Standard"/>
    <w:link w:val="HTMLVorformatiertZchn"/>
    <w:rsid w:val="00C2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rsid w:val="00C267C0"/>
    <w:rPr>
      <w:rFonts w:ascii="Courier New" w:hAnsi="Courier New" w:cs="Courier New"/>
    </w:rPr>
  </w:style>
  <w:style w:type="paragraph" w:styleId="StandardWeb">
    <w:name w:val="Normal (Web)"/>
    <w:basedOn w:val="Standard"/>
    <w:uiPriority w:val="99"/>
    <w:unhideWhenUsed/>
    <w:rsid w:val="00C267C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8854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n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otify.com"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F6789-45AC-485D-88E9-579B8DEF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2780</Words>
  <Characters>20103</Characters>
  <Application>Microsoft Office Word</Application>
  <DocSecurity>0</DocSecurity>
  <Lines>167</Lines>
  <Paragraphs>45</Paragraphs>
  <ScaleCrop>false</ScaleCrop>
  <HeadingPairs>
    <vt:vector size="6" baseType="variant">
      <vt:variant>
        <vt:lpstr>Nosaukums</vt:lpstr>
      </vt:variant>
      <vt:variant>
        <vt:i4>1</vt:i4>
      </vt:variant>
      <vt:variant>
        <vt:lpstr>Titel</vt:lpstr>
      </vt:variant>
      <vt:variant>
        <vt:i4>1</vt:i4>
      </vt:variant>
      <vt:variant>
        <vt:lpstr>Title</vt:lpstr>
      </vt:variant>
      <vt:variant>
        <vt:i4>1</vt:i4>
      </vt:variant>
    </vt:vector>
  </HeadingPairs>
  <TitlesOfParts>
    <vt:vector size="3" baseType="lpstr">
      <vt:lpstr>Ministru kabineta noteikumu projekta „Grozījumi Ministru kabineta 2005.gada 10.maija noteikumos Nr.321 „Noteikumi par tukšo materiālo nesēju un reproducēšanai izmantojamo iekārtu atlīdzības lielumu un tās iekasēšanas, atmaksāšanas, sadales un izmaksas kār</vt:lpstr>
      <vt:lpstr>Ministru kabineta noteikumu projekta „Grozījumi Ministru kabineta 2005.gada 10.maija noteikumos Nr.321 „Noteikumi par tukšo materiālo nesēju un reproducēšanai izmantojamo iekārtu atlīdzības lielumu un tās iekasēšanas, atmaksāšanas, sadales un izmaksas kār</vt:lpstr>
      <vt:lpstr>Ministru kabineta instrukcijas projekts “Tiesību akta projekta sākotnējās ietekmes izvērtēšanas kārtība”</vt:lpstr>
    </vt:vector>
  </TitlesOfParts>
  <Company>Valsts kanceleja, Politikas koordinācijas departaments</Company>
  <LinksUpToDate>false</LinksUpToDate>
  <CharactersWithSpaces>22838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10.maija noteikumos Nr.321 „Noteikumi par tukšo materiālo nesēju un reproducēšanai izmantojamo iekārtu atlīdzības lielumu un tās iekasēšanas, atmaksāšanas, sadales un izmaksas kārtību”” sākotnējās ietekmes novērtējuma ziņojums (anotācija)</dc:title>
  <dc:subject>KMAnot_041012_Groz321</dc:subject>
  <dc:creator>Kultūras ministrija</dc:creator>
  <dc:description>R. Gulbis
67330211, rihards.gulbis@km.gov.lv</dc:description>
  <cp:lastModifiedBy>RihardsGulbis</cp:lastModifiedBy>
  <cp:revision>6</cp:revision>
  <cp:lastPrinted>2012-10-04T11:36:00Z</cp:lastPrinted>
  <dcterms:created xsi:type="dcterms:W3CDTF">2012-10-04T08:06:00Z</dcterms:created>
  <dcterms:modified xsi:type="dcterms:W3CDTF">2012-10-04T12:01:00Z</dcterms:modified>
  <cp:category>MK noteikumu anotācija</cp:category>
</cp:coreProperties>
</file>