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36" w:rsidRDefault="00C974C1" w:rsidP="00951513">
      <w:pPr>
        <w:pStyle w:val="Parastais1"/>
        <w:spacing w:before="0" w:after="0" w:line="240" w:lineRule="auto"/>
        <w:ind w:firstLine="0"/>
        <w:jc w:val="center"/>
        <w:rPr>
          <w:b/>
          <w:bCs/>
          <w:sz w:val="24"/>
          <w:szCs w:val="24"/>
        </w:rPr>
      </w:pPr>
      <w:bookmarkStart w:id="0" w:name="OLE_LINK1"/>
      <w:bookmarkStart w:id="1" w:name="OLE_LINK2"/>
      <w:bookmarkStart w:id="2" w:name="OLE_LINK3"/>
      <w:bookmarkStart w:id="3" w:name="OLE_LINK4"/>
      <w:bookmarkStart w:id="4" w:name="OLE_LINK5"/>
      <w:r w:rsidRPr="00512A36">
        <w:rPr>
          <w:b/>
          <w:bCs/>
          <w:sz w:val="24"/>
          <w:szCs w:val="24"/>
        </w:rPr>
        <w:t xml:space="preserve">Ministru kabineta noteikumu </w:t>
      </w:r>
      <w:r w:rsidR="00512A36">
        <w:rPr>
          <w:b/>
          <w:bCs/>
          <w:sz w:val="24"/>
          <w:szCs w:val="24"/>
        </w:rPr>
        <w:t xml:space="preserve">projekta </w:t>
      </w:r>
    </w:p>
    <w:p w:rsidR="00512A36" w:rsidRDefault="00C974C1" w:rsidP="00951513">
      <w:pPr>
        <w:pStyle w:val="Parastais1"/>
        <w:spacing w:before="0" w:after="0" w:line="240" w:lineRule="auto"/>
        <w:ind w:firstLine="0"/>
        <w:jc w:val="center"/>
        <w:rPr>
          <w:b/>
          <w:bCs/>
          <w:sz w:val="24"/>
          <w:szCs w:val="24"/>
        </w:rPr>
      </w:pPr>
      <w:r w:rsidRPr="00512A36">
        <w:rPr>
          <w:b/>
          <w:bCs/>
          <w:sz w:val="24"/>
          <w:szCs w:val="24"/>
        </w:rPr>
        <w:t xml:space="preserve">„Grozījumi </w:t>
      </w:r>
      <w:r w:rsidR="00951513" w:rsidRPr="00512A36">
        <w:rPr>
          <w:b/>
          <w:bCs/>
          <w:sz w:val="24"/>
          <w:szCs w:val="24"/>
        </w:rPr>
        <w:t>Ministru kabineta 2013.gada 25.jūnija noteikum</w:t>
      </w:r>
      <w:r w:rsidRPr="00512A36">
        <w:rPr>
          <w:b/>
          <w:bCs/>
          <w:sz w:val="24"/>
          <w:szCs w:val="24"/>
        </w:rPr>
        <w:t>os</w:t>
      </w:r>
      <w:r w:rsidR="00951513" w:rsidRPr="00512A36">
        <w:rPr>
          <w:b/>
          <w:bCs/>
          <w:sz w:val="24"/>
          <w:szCs w:val="24"/>
        </w:rPr>
        <w:t xml:space="preserve"> Nr.347 </w:t>
      </w:r>
    </w:p>
    <w:p w:rsidR="00512A36" w:rsidRDefault="00951513" w:rsidP="00951513">
      <w:pPr>
        <w:pStyle w:val="Parastais1"/>
        <w:spacing w:before="0" w:after="0" w:line="240" w:lineRule="auto"/>
        <w:ind w:firstLine="0"/>
        <w:jc w:val="center"/>
        <w:rPr>
          <w:b/>
          <w:bCs/>
          <w:sz w:val="24"/>
          <w:szCs w:val="24"/>
        </w:rPr>
      </w:pPr>
      <w:r w:rsidRPr="00512A36">
        <w:rPr>
          <w:b/>
          <w:bCs/>
          <w:sz w:val="24"/>
          <w:szCs w:val="24"/>
        </w:rPr>
        <w:t xml:space="preserve">„Noteikumi par Eiropas Trešo valstu valstspiederīgo integrācijas fonda </w:t>
      </w:r>
    </w:p>
    <w:p w:rsidR="00951513" w:rsidRPr="00512A36" w:rsidRDefault="00951513" w:rsidP="00951513">
      <w:pPr>
        <w:pStyle w:val="Parastais1"/>
        <w:spacing w:before="0" w:after="0" w:line="240" w:lineRule="auto"/>
        <w:ind w:firstLine="0"/>
        <w:jc w:val="center"/>
        <w:rPr>
          <w:b/>
          <w:bCs/>
          <w:sz w:val="24"/>
          <w:szCs w:val="24"/>
        </w:rPr>
      </w:pPr>
      <w:r w:rsidRPr="00512A36">
        <w:rPr>
          <w:b/>
          <w:bCs/>
          <w:sz w:val="24"/>
          <w:szCs w:val="24"/>
        </w:rPr>
        <w:t>2012.gada programmas aktivitāšu īstenošanu”</w:t>
      </w:r>
      <w:r w:rsidR="00C974C1" w:rsidRPr="00512A36">
        <w:rPr>
          <w:b/>
          <w:bCs/>
          <w:sz w:val="24"/>
          <w:szCs w:val="24"/>
        </w:rPr>
        <w:t>”</w:t>
      </w:r>
      <w:r w:rsidRPr="00512A36">
        <w:rPr>
          <w:b/>
          <w:sz w:val="24"/>
          <w:szCs w:val="24"/>
        </w:rPr>
        <w:t xml:space="preserve"> </w:t>
      </w:r>
      <w:r w:rsidR="00C974C1" w:rsidRPr="00512A36">
        <w:rPr>
          <w:b/>
          <w:bCs/>
          <w:sz w:val="24"/>
          <w:szCs w:val="24"/>
        </w:rPr>
        <w:t>sākotnējās ietekmes novērtējuma ziņojums</w:t>
      </w:r>
      <w:r w:rsidRPr="00512A36">
        <w:rPr>
          <w:b/>
          <w:sz w:val="24"/>
          <w:szCs w:val="24"/>
        </w:rPr>
        <w:t xml:space="preserve"> </w:t>
      </w:r>
      <w:r w:rsidR="00512A36">
        <w:rPr>
          <w:b/>
          <w:sz w:val="24"/>
          <w:szCs w:val="24"/>
        </w:rPr>
        <w:t>(</w:t>
      </w:r>
      <w:r w:rsidRPr="00512A36">
        <w:rPr>
          <w:b/>
          <w:sz w:val="24"/>
          <w:szCs w:val="24"/>
        </w:rPr>
        <w:t>anotācija</w:t>
      </w:r>
      <w:r w:rsidR="00512A36">
        <w:rPr>
          <w:b/>
          <w:sz w:val="24"/>
          <w:szCs w:val="24"/>
        </w:rPr>
        <w:t>)</w:t>
      </w:r>
    </w:p>
    <w:bookmarkEnd w:id="0"/>
    <w:bookmarkEnd w:id="1"/>
    <w:bookmarkEnd w:id="2"/>
    <w:bookmarkEnd w:id="3"/>
    <w:bookmarkEnd w:id="4"/>
    <w:p w:rsidR="001003B5" w:rsidRPr="00512A36" w:rsidRDefault="001003B5" w:rsidP="00951513">
      <w:pPr>
        <w:pStyle w:val="naislab"/>
        <w:spacing w:before="0" w:after="0"/>
        <w:jc w:val="left"/>
        <w:outlineLvl w:val="0"/>
        <w:rPr>
          <w:b/>
        </w:rPr>
      </w:pPr>
    </w:p>
    <w:tbl>
      <w:tblPr>
        <w:tblStyle w:val="Reatabula"/>
        <w:tblpPr w:leftFromText="180" w:rightFromText="180" w:vertAnchor="text" w:tblpX="72" w:tblpY="1"/>
        <w:tblOverlap w:val="never"/>
        <w:tblW w:w="9039" w:type="dxa"/>
        <w:tblLook w:val="01E0"/>
      </w:tblPr>
      <w:tblGrid>
        <w:gridCol w:w="540"/>
        <w:gridCol w:w="2403"/>
        <w:gridCol w:w="6096"/>
      </w:tblGrid>
      <w:tr w:rsidR="001003B5" w:rsidRPr="00512A36" w:rsidTr="00512A36">
        <w:trPr>
          <w:trHeight w:val="416"/>
        </w:trPr>
        <w:tc>
          <w:tcPr>
            <w:tcW w:w="9039" w:type="dxa"/>
            <w:gridSpan w:val="3"/>
          </w:tcPr>
          <w:p w:rsidR="001003B5" w:rsidRPr="00512A36" w:rsidRDefault="001003B5" w:rsidP="009E1E79">
            <w:pPr>
              <w:pStyle w:val="naislab"/>
              <w:spacing w:before="0" w:after="0"/>
              <w:jc w:val="center"/>
              <w:outlineLvl w:val="0"/>
              <w:rPr>
                <w:b/>
              </w:rPr>
            </w:pPr>
            <w:r w:rsidRPr="00512A36">
              <w:t> </w:t>
            </w:r>
            <w:r w:rsidRPr="00512A36">
              <w:rPr>
                <w:b/>
              </w:rPr>
              <w:t>I Tiesību akta projekta izstrādes nepieciešamība</w:t>
            </w:r>
          </w:p>
        </w:tc>
      </w:tr>
      <w:tr w:rsidR="001003B5" w:rsidRPr="00512A36" w:rsidTr="00EA5495">
        <w:trPr>
          <w:trHeight w:val="557"/>
        </w:trPr>
        <w:tc>
          <w:tcPr>
            <w:tcW w:w="540" w:type="dxa"/>
          </w:tcPr>
          <w:p w:rsidR="001003B5" w:rsidRPr="00512A36" w:rsidRDefault="001003B5" w:rsidP="009E1E79">
            <w:pPr>
              <w:pStyle w:val="naislab"/>
              <w:numPr>
                <w:ilvl w:val="0"/>
                <w:numId w:val="1"/>
              </w:numPr>
              <w:tabs>
                <w:tab w:val="clear" w:pos="720"/>
                <w:tab w:val="num" w:pos="72"/>
              </w:tabs>
              <w:spacing w:before="0" w:after="0"/>
              <w:ind w:left="0" w:firstLine="0"/>
              <w:jc w:val="both"/>
              <w:outlineLvl w:val="0"/>
            </w:pPr>
          </w:p>
        </w:tc>
        <w:tc>
          <w:tcPr>
            <w:tcW w:w="2403" w:type="dxa"/>
          </w:tcPr>
          <w:p w:rsidR="001003B5" w:rsidRPr="00512A36" w:rsidRDefault="001003B5" w:rsidP="009E1E79">
            <w:pPr>
              <w:pStyle w:val="naislab"/>
              <w:spacing w:before="0" w:after="0"/>
              <w:jc w:val="both"/>
              <w:outlineLvl w:val="0"/>
              <w:rPr>
                <w:b/>
              </w:rPr>
            </w:pPr>
            <w:r w:rsidRPr="00512A36">
              <w:t>Pamatojums</w:t>
            </w:r>
          </w:p>
        </w:tc>
        <w:tc>
          <w:tcPr>
            <w:tcW w:w="6096" w:type="dxa"/>
          </w:tcPr>
          <w:p w:rsidR="00C40FD7" w:rsidRPr="00512A36" w:rsidRDefault="00A024CF" w:rsidP="0031693C">
            <w:pPr>
              <w:pStyle w:val="naiskr"/>
              <w:spacing w:before="0" w:after="0"/>
              <w:ind w:firstLine="301"/>
              <w:jc w:val="both"/>
            </w:pPr>
            <w:r w:rsidRPr="00512A36">
              <w:t>Saskaņā ar</w:t>
            </w:r>
            <w:r w:rsidR="002168EF" w:rsidRPr="00512A36">
              <w:t xml:space="preserve"> Eiropas Padomes 2007.gada 25.</w:t>
            </w:r>
            <w:r w:rsidRPr="00512A36">
              <w:t>jūnija lēmuma Nr. 2007/43</w:t>
            </w:r>
            <w:r w:rsidR="002168EF" w:rsidRPr="00512A36">
              <w:t>5/EK, ar ko laikposmam no 2007.</w:t>
            </w:r>
            <w:r w:rsidRPr="00512A36">
              <w:t>gada līdz 2013.gadam izveido Eiropas Trešo valstu valstspiederīgo integrācijas fondu kā daļu no Vispārīgās programmas „Solidaritāte un migrācijas plūsmu pārvaldība”</w:t>
            </w:r>
            <w:r w:rsidR="003A4349" w:rsidRPr="00512A36">
              <w:t>, attiecībā uz dalībvalstu pārvaldības un kontroles sistēmām, administratīvās un finanšu pārvaldības noteikumiem un Fonda līdzfinansēto projekta izdevumu atbilstību,</w:t>
            </w:r>
            <w:r w:rsidRPr="00512A36">
              <w:t xml:space="preserve"> 19</w:t>
            </w:r>
            <w:r w:rsidR="002168EF" w:rsidRPr="00512A36">
              <w:t>.</w:t>
            </w:r>
            <w:r w:rsidR="00AD290D" w:rsidRPr="00512A36">
              <w:t>p</w:t>
            </w:r>
            <w:r w:rsidRPr="00512A36">
              <w:t>antu, Eiropas Komisija ir apstiprinājusi Eiropas Trešo valstu valstspiederīgo integrācijas fonda 201</w:t>
            </w:r>
            <w:r w:rsidR="00C55788" w:rsidRPr="00512A36">
              <w:t>2</w:t>
            </w:r>
            <w:r w:rsidRPr="00512A36">
              <w:t>.gada programm</w:t>
            </w:r>
            <w:r w:rsidR="008135C0" w:rsidRPr="00512A36">
              <w:t>u</w:t>
            </w:r>
            <w:r w:rsidR="00C40FD7" w:rsidRPr="00512A36">
              <w:t>.</w:t>
            </w:r>
          </w:p>
          <w:p w:rsidR="001003B5" w:rsidRPr="00512A36" w:rsidRDefault="001003B5" w:rsidP="0031693C">
            <w:pPr>
              <w:pStyle w:val="naiskr"/>
              <w:spacing w:before="0" w:after="0"/>
              <w:ind w:firstLine="301"/>
              <w:jc w:val="both"/>
            </w:pPr>
            <w:r w:rsidRPr="00512A36">
              <w:t xml:space="preserve">Eiropas Komisijas </w:t>
            </w:r>
            <w:r w:rsidR="002168EF" w:rsidRPr="00512A36">
              <w:t>2008.gada 5.</w:t>
            </w:r>
            <w:r w:rsidRPr="00512A36">
              <w:t xml:space="preserve">marta </w:t>
            </w:r>
            <w:r w:rsidR="0014495F" w:rsidRPr="00512A36">
              <w:t xml:space="preserve">lēmuma </w:t>
            </w:r>
            <w:r w:rsidRPr="00512A36">
              <w:t>Nr. 2008/457/EK, kas nosaka kārtību, kādā īstenojams Padomes lēmums 2007/43</w:t>
            </w:r>
            <w:r w:rsidR="002168EF" w:rsidRPr="00512A36">
              <w:t>5/EK, ar ko laikposmam no 2007.</w:t>
            </w:r>
            <w:r w:rsidRPr="00512A36">
              <w:t>gada līdz 2013.gadam izveido Eiropas Trešo valstu valstspiederīgo integrācijas fondu kā daļu no Vispārīgās programmas „Solidaritāte un migrācijas plūsmu pārvaldība”,</w:t>
            </w:r>
            <w:r w:rsidR="003A4349" w:rsidRPr="00512A36">
              <w:t xml:space="preserve"> attiecībā uz dalībvalstu pārvaldības un kontroles sistēmām, administratīvās un finanšu pārvaldības noteikumiem un Fonda līdzfinansēto projekta izdevumu atbilstību</w:t>
            </w:r>
            <w:r w:rsidR="00BD3E63" w:rsidRPr="00512A36">
              <w:t xml:space="preserve"> (turpmāk – lēmums Nr. 2008/457/EK)</w:t>
            </w:r>
            <w:r w:rsidR="003A4349" w:rsidRPr="00512A36">
              <w:t>,</w:t>
            </w:r>
            <w:r w:rsidRPr="00512A36">
              <w:t xml:space="preserve"> </w:t>
            </w:r>
            <w:r w:rsidR="0014495F" w:rsidRPr="00512A36">
              <w:t>9.pants nosaka, ka dalībvalstīm jānosaka projektu</w:t>
            </w:r>
            <w:r w:rsidRPr="00512A36">
              <w:t xml:space="preserve"> atlases un </w:t>
            </w:r>
            <w:r w:rsidR="0014495F" w:rsidRPr="00512A36">
              <w:t xml:space="preserve">finansējuma </w:t>
            </w:r>
            <w:r w:rsidRPr="00512A36">
              <w:t>piešķiršanas procedūra.</w:t>
            </w:r>
          </w:p>
          <w:p w:rsidR="00B024D3" w:rsidRPr="00512A36" w:rsidRDefault="00535010" w:rsidP="0031693C">
            <w:pPr>
              <w:pStyle w:val="naiskr"/>
              <w:spacing w:before="0" w:after="0"/>
              <w:ind w:firstLine="301"/>
              <w:jc w:val="both"/>
            </w:pPr>
            <w:r>
              <w:t>Vispārīg</w:t>
            </w:r>
            <w:r w:rsidR="00AF0A44" w:rsidRPr="00512A36">
              <w:t>ās programmas „Solidaritāte un migrācijas plūsmu pārvaldība” ietvaros izveidot</w:t>
            </w:r>
            <w:r w:rsidR="00BD3E63" w:rsidRPr="00512A36">
              <w:t>ā</w:t>
            </w:r>
            <w:r w:rsidR="00AF0A44" w:rsidRPr="00512A36">
              <w:t xml:space="preserve"> fondu likuma</w:t>
            </w:r>
            <w:r w:rsidR="00BA35B1" w:rsidRPr="00512A36">
              <w:t xml:space="preserve"> 7.panta </w:t>
            </w:r>
            <w:r w:rsidR="0014487B" w:rsidRPr="00512A36">
              <w:t xml:space="preserve">otrās daļas 1.punkts nosaka, ka vadošās iestādes pienākums ir nodrošināt plānošanas dokumentu izstrādi, savukārt, </w:t>
            </w:r>
            <w:r w:rsidR="00AF0A44" w:rsidRPr="00512A36">
              <w:t xml:space="preserve">14.panta 3.punkts </w:t>
            </w:r>
            <w:r w:rsidR="00264EB9" w:rsidRPr="00512A36">
              <w:t>nosaka, ka Ministru k</w:t>
            </w:r>
            <w:r w:rsidR="00AF0A44" w:rsidRPr="00512A36">
              <w:t>abineta kompetence ir pieņemt lēmumu par</w:t>
            </w:r>
            <w:r w:rsidR="00B024D3" w:rsidRPr="00512A36">
              <w:t xml:space="preserve"> </w:t>
            </w:r>
            <w:r w:rsidR="00AF0A44" w:rsidRPr="00512A36">
              <w:t>fonda projektu konkursa organizēšanas kārtību, prasības fonda finansējuma saņēmējiem, fonda projektu iesniegumu sagatavošanas un iesniegšanas kārtību un to vērtēšanas kritērijus, fonda projektu atlases kārtību, granta līguma slēgšanas kārtību, kā arī tehniskās palīdzības aktivitātes īstenošanas kārtību.</w:t>
            </w:r>
            <w:r w:rsidR="00AF0A44" w:rsidRPr="00512A36" w:rsidDel="00AF0A44">
              <w:t xml:space="preserve"> </w:t>
            </w:r>
          </w:p>
          <w:p w:rsidR="00313FE0" w:rsidRPr="00512A36" w:rsidRDefault="004B1602" w:rsidP="0031693C">
            <w:pPr>
              <w:ind w:firstLine="301"/>
              <w:jc w:val="both"/>
            </w:pPr>
            <w:r w:rsidRPr="00512A36">
              <w:rPr>
                <w:bCs/>
              </w:rPr>
              <w:t xml:space="preserve">Ministru kabineta 2011.gada 22.februāra protokollēmuma Nr.11 41.§ 2.punkts paredz, ka Tieslietu ministrija nodod un Kultūras ministrija no 2011.gada 1.aprīļa pārņem Eiropas trešo valstu valstpiederīgo integrācijas vadošās iestādes funkciju īstenošanu. Atbilstoši šajā </w:t>
            </w:r>
            <w:proofErr w:type="spellStart"/>
            <w:r w:rsidRPr="00512A36">
              <w:rPr>
                <w:bCs/>
              </w:rPr>
              <w:t>protokollēmumā</w:t>
            </w:r>
            <w:proofErr w:type="spellEnd"/>
            <w:r w:rsidRPr="00512A36">
              <w:rPr>
                <w:bCs/>
              </w:rPr>
              <w:t xml:space="preserve"> noteiktajam 2011.gada 29.martā ir veikts grozījums Ministru kabineta 2003.gada 29.aprīļa noteikumos Nr.241 </w:t>
            </w:r>
            <w:r w:rsidR="00313FE0" w:rsidRPr="00512A36">
              <w:rPr>
                <w:bCs/>
              </w:rPr>
              <w:t>„</w:t>
            </w:r>
            <w:hyperlink r:id="rId9" w:tgtFrame="_blank" w:tooltip="Kultūras ministrijas nolikums /Spēkā esošs/" w:history="1">
              <w:r w:rsidRPr="00512A36">
                <w:rPr>
                  <w:bCs/>
                </w:rPr>
                <w:t>Kultūras ministrijas nolikums</w:t>
              </w:r>
            </w:hyperlink>
            <w:r w:rsidR="00313FE0" w:rsidRPr="00512A36">
              <w:rPr>
                <w:bCs/>
              </w:rPr>
              <w:t>”</w:t>
            </w:r>
            <w:r w:rsidRPr="00512A36">
              <w:rPr>
                <w:bCs/>
              </w:rPr>
              <w:t xml:space="preserve">, paredzot, ka Kultūras ministrija īsteno Eiropas Trešo valstu valstspiederīgo integrācijas fonda </w:t>
            </w:r>
            <w:r w:rsidRPr="00512A36">
              <w:rPr>
                <w:bCs/>
              </w:rPr>
              <w:lastRenderedPageBreak/>
              <w:t>pārraudzību.</w:t>
            </w:r>
            <w:r w:rsidR="00215C95" w:rsidRPr="00512A36">
              <w:t xml:space="preserve"> </w:t>
            </w:r>
            <w:r w:rsidR="0014487B" w:rsidRPr="00512A36">
              <w:t>Līdz</w:t>
            </w:r>
            <w:r w:rsidR="00313FE0" w:rsidRPr="00512A36">
              <w:t xml:space="preserve"> ar Ministru kabineta 2011.gada 4.oktobra noteikumiem Nr.765 „Grozījums Ministru kabineta 2010.gada 27.jūlija noteikumos Nr.676 „Vispārīgās programmas „Solidaritāte un migrācijas plūsmu pārvaldība” izveidoto fondu vadības un kontroles kārtība”” tika noteikts, ka Eiropas Trešo valstu valstspiederīgo integrācijas fonda (2007.–2013.gads) vadošā iestāde ir Kultūras ministrija.</w:t>
            </w:r>
          </w:p>
          <w:p w:rsidR="00AF0A44" w:rsidRPr="00512A36" w:rsidRDefault="00313FE0" w:rsidP="00512A36">
            <w:pPr>
              <w:ind w:firstLine="709"/>
              <w:jc w:val="both"/>
            </w:pPr>
            <w:r w:rsidRPr="00512A36">
              <w:rPr>
                <w:bCs/>
              </w:rPr>
              <w:t xml:space="preserve"> </w:t>
            </w:r>
            <w:r w:rsidR="008502B9" w:rsidRPr="00512A36">
              <w:rPr>
                <w:bCs/>
              </w:rPr>
              <w:t xml:space="preserve"> Saskaņā ar </w:t>
            </w:r>
            <w:r w:rsidR="008502B9" w:rsidRPr="00512A36">
              <w:t>Ministru kabineta 2011.gada 22.februāra protokollēmuma Nr.11 41</w:t>
            </w:r>
            <w:bookmarkStart w:id="5" w:name="41"/>
            <w:r w:rsidR="008502B9" w:rsidRPr="00512A36">
              <w:t>.</w:t>
            </w:r>
            <w:bookmarkEnd w:id="5"/>
            <w:r w:rsidR="008502B9" w:rsidRPr="00512A36">
              <w:t>§</w:t>
            </w:r>
            <w:r w:rsidR="008502B9" w:rsidRPr="00512A36">
              <w:rPr>
                <w:color w:val="AA1317"/>
              </w:rPr>
              <w:t xml:space="preserve"> „</w:t>
            </w:r>
            <w:r w:rsidR="008502B9" w:rsidRPr="00512A36">
              <w:t>Protokollēmuma projekts ”Par sabiedrības integrācijas funkcijām” 10.punktu, Kultūras ministrija kā Eiropas Trešo valstu valstspiederīgo integrācijas fonda vadošā iestāde izstrādāja un virzīja apstiprināšanai Ministru kabineta noteikumus, kurā tika definēti pasākumi un to uzraudzības rādītāji, kas ir atbalstāmi Eiropas Trešo valstu valstspiederīgo integrācijas fonda (turpmāk – fonds) 2012.gada programmas noteikto aktivitāšu ietvaros, kā arī tika noteikts katrai aktivitātei piešķiramais finansējums gada programmas ietvaros. 2013.gada 25.jūnijā tika pieņemti Ministru kabineta noteikumi Nr.347 „Noteikumi par Eiropas Trešo valstu valstspiederīgo integrācijas fonda 2012.gada programmas aktivitāšu īstenošanu” (turpmāk – noteikumi).</w:t>
            </w:r>
          </w:p>
        </w:tc>
      </w:tr>
      <w:tr w:rsidR="00512A36" w:rsidRPr="00512A36" w:rsidTr="00EA5495">
        <w:tc>
          <w:tcPr>
            <w:tcW w:w="540" w:type="dxa"/>
          </w:tcPr>
          <w:p w:rsidR="00512A36" w:rsidRPr="00512A36" w:rsidRDefault="00512A36" w:rsidP="009E1E79">
            <w:pPr>
              <w:pStyle w:val="naislab"/>
              <w:numPr>
                <w:ilvl w:val="0"/>
                <w:numId w:val="1"/>
              </w:numPr>
              <w:tabs>
                <w:tab w:val="clear" w:pos="720"/>
                <w:tab w:val="num" w:pos="72"/>
              </w:tabs>
              <w:spacing w:before="0" w:after="0"/>
              <w:ind w:left="0" w:firstLine="0"/>
              <w:jc w:val="both"/>
              <w:outlineLvl w:val="0"/>
            </w:pPr>
          </w:p>
        </w:tc>
        <w:tc>
          <w:tcPr>
            <w:tcW w:w="2403" w:type="dxa"/>
          </w:tcPr>
          <w:p w:rsidR="00512A36" w:rsidRPr="00780D24" w:rsidRDefault="00780D24" w:rsidP="009E1E79">
            <w:pPr>
              <w:pStyle w:val="naislab"/>
              <w:spacing w:before="0" w:after="0"/>
              <w:jc w:val="both"/>
              <w:outlineLvl w:val="0"/>
              <w:rPr>
                <w:b/>
              </w:rPr>
            </w:pPr>
            <w:r w:rsidRPr="00780D24">
              <w:t>Pašreizējā situācija un problēmas, kuru risināšanai tiesību akta projekts izstrādāts, tiesiskā regulējuma mērķis un būtība</w:t>
            </w:r>
          </w:p>
        </w:tc>
        <w:tc>
          <w:tcPr>
            <w:tcW w:w="6096" w:type="dxa"/>
          </w:tcPr>
          <w:p w:rsidR="00512A36" w:rsidRPr="00512A36" w:rsidRDefault="00512A36" w:rsidP="007643D6">
            <w:pPr>
              <w:autoSpaceDE w:val="0"/>
              <w:autoSpaceDN w:val="0"/>
              <w:ind w:firstLine="301"/>
              <w:jc w:val="both"/>
            </w:pPr>
            <w:r w:rsidRPr="00512A36">
              <w:t xml:space="preserve">Fonda kopējais pieejamais finansējums 2012.gada programmas ietvaros (kopā ar tehniskajai palīdzībai pieejamo finansējumu) sastāda </w:t>
            </w:r>
            <w:r w:rsidRPr="00512A36">
              <w:rPr>
                <w:color w:val="000000"/>
              </w:rPr>
              <w:t xml:space="preserve">2 298 304,59 </w:t>
            </w:r>
            <w:r w:rsidRPr="00512A36">
              <w:rPr>
                <w:i/>
                <w:iCs/>
                <w:color w:val="000000"/>
              </w:rPr>
              <w:t>euro</w:t>
            </w:r>
            <w:r w:rsidRPr="00512A36">
              <w:rPr>
                <w:color w:val="000000"/>
              </w:rPr>
              <w:t xml:space="preserve">, no kuriem 75% veido Eiropas Komisijas finansējums 75% apmērā – 1748 691,00 </w:t>
            </w:r>
            <w:r w:rsidR="00755EC6" w:rsidRPr="00755EC6">
              <w:rPr>
                <w:i/>
              </w:rPr>
              <w:t>euro</w:t>
            </w:r>
            <w:r w:rsidRPr="00512A36">
              <w:t xml:space="preserve"> un Valsts finansējums 25% apmērā - 549 613,59 </w:t>
            </w:r>
            <w:r w:rsidR="00755EC6" w:rsidRPr="00755EC6">
              <w:rPr>
                <w:i/>
              </w:rPr>
              <w:t>euro</w:t>
            </w:r>
            <w:r w:rsidRPr="00512A36">
              <w:t>.</w:t>
            </w:r>
          </w:p>
          <w:p w:rsidR="00512A36" w:rsidRPr="00512A36" w:rsidRDefault="00512A36" w:rsidP="007643D6">
            <w:pPr>
              <w:autoSpaceDE w:val="0"/>
              <w:autoSpaceDN w:val="0"/>
              <w:ind w:firstLine="301"/>
              <w:jc w:val="both"/>
            </w:pPr>
            <w:r w:rsidRPr="00512A36">
              <w:t>Kultūras mini</w:t>
            </w:r>
            <w:r w:rsidR="001F7CE0">
              <w:t xml:space="preserve">strija kā fonda vadošā iestāde </w:t>
            </w:r>
            <w:r w:rsidRPr="00512A36">
              <w:t xml:space="preserve">2013.gada 12.jūlijā Latvijas Republikas oficiālajā </w:t>
            </w:r>
            <w:r w:rsidR="001F7CE0">
              <w:t>izdevumā</w:t>
            </w:r>
            <w:r w:rsidR="001F7CE0" w:rsidRPr="00512A36">
              <w:t xml:space="preserve"> </w:t>
            </w:r>
            <w:r w:rsidRPr="00512A36">
              <w:t>„Latvijas Vēstnesis” izsludināja atklātas projektu iesniegumu atlases konkursu. Ierobežotajā projektu iesniegumu atlasē iespējamiem pretendentiem tika nosūtīti uzaicinājumi pieteikties dalībai projektu iesniegumu atlasē.</w:t>
            </w:r>
          </w:p>
          <w:p w:rsidR="00512A36" w:rsidRPr="00512A36" w:rsidRDefault="00512A36" w:rsidP="007643D6">
            <w:pPr>
              <w:autoSpaceDE w:val="0"/>
              <w:autoSpaceDN w:val="0"/>
              <w:ind w:firstLine="301"/>
              <w:jc w:val="both"/>
            </w:pPr>
            <w:r w:rsidRPr="00512A36">
              <w:t>Ierobežotā projektu iesnieguma atlasē - 1.”b” aktivitātē „Vienotas koordinējošas un informatīvās struktūras izveide trešo valstu pilsoņu integrācijas atbalstam” tika iesniegts 1 (viens) projekt</w:t>
            </w:r>
            <w:r w:rsidR="001F7CE0">
              <w:t>a</w:t>
            </w:r>
            <w:r w:rsidRPr="00512A36">
              <w:t xml:space="preserve"> iesniegums un 3.aktivitē „Palīdzība efektīvi funkcionējošas integrācijas politikas veidošanā, veicot pieredzes un labās prakses apmaiņu ar citām dalībvalstīm” tikai iesniegts arī 1 (viens) projekta iesniegums, savukārt, atklātajā projektu iesniegumu atlasē – 1.”a” aktivitātē</w:t>
            </w:r>
            <w:r w:rsidR="001F7CE0">
              <w:t xml:space="preserve"> </w:t>
            </w:r>
            <w:r w:rsidRPr="00512A36">
              <w:t>„Valodas un adaptācijas programmu attīstība trešo valstu pilsoņu integrācijai un saliedētas sabiedrības veidošanai” - 13 (trīspadsmit) projekt</w:t>
            </w:r>
            <w:r w:rsidR="001F7CE0">
              <w:t>u iesniegumi</w:t>
            </w:r>
            <w:r w:rsidRPr="00512A36">
              <w:t>, savukārt 2.aktivitātē</w:t>
            </w:r>
            <w:r w:rsidR="001F7CE0">
              <w:t xml:space="preserve"> </w:t>
            </w:r>
            <w:r w:rsidRPr="00512A36">
              <w:t xml:space="preserve">– 4 (četri) projektu iesniegumi. </w:t>
            </w:r>
          </w:p>
          <w:p w:rsidR="00512A36" w:rsidRPr="00512A36" w:rsidRDefault="00512A36" w:rsidP="007643D6">
            <w:pPr>
              <w:autoSpaceDE w:val="0"/>
              <w:autoSpaceDN w:val="0"/>
              <w:ind w:firstLine="301"/>
              <w:jc w:val="both"/>
            </w:pPr>
            <w:r w:rsidRPr="00512A36">
              <w:t>Fonda vērtēšanas komisija</w:t>
            </w:r>
            <w:r w:rsidR="001F7CE0">
              <w:t>,</w:t>
            </w:r>
            <w:r w:rsidRPr="00512A36">
              <w:t xml:space="preserve"> vērtējot ierobežotā</w:t>
            </w:r>
            <w:r w:rsidR="001F7CE0">
              <w:t>s atlases</w:t>
            </w:r>
            <w:r w:rsidRPr="00512A36">
              <w:t xml:space="preserve"> projektu iesniegumus 1. „b” un 3.aktivitē pēc visiem vērtēšanas kritērijiem</w:t>
            </w:r>
            <w:r w:rsidR="001F7CE0">
              <w:t>,</w:t>
            </w:r>
            <w:r w:rsidRPr="00512A36">
              <w:t xml:space="preserve"> atbalstīja 2 (divu) projekta </w:t>
            </w:r>
            <w:r w:rsidRPr="00512A36">
              <w:lastRenderedPageBreak/>
              <w:t>iesniegumu virzīšanu vadošajai iestādes vadītājam apstiprināšanai ar nosacījumu, savukārt atklātajā projektu iesniegumu atlasē – 1. „a” ak</w:t>
            </w:r>
            <w:r w:rsidR="001F7CE0">
              <w:t>tivitātē tikai apstiprināti 7 (</w:t>
            </w:r>
            <w:r w:rsidRPr="00512A36">
              <w:t xml:space="preserve">septiņi) projektu iesniegumi, 2.aktivitātē </w:t>
            </w:r>
            <w:r w:rsidRPr="00512A36">
              <w:rPr>
                <w:bCs/>
              </w:rPr>
              <w:t>„Valsts institūciju speciālistu sniegto pakalpojumu kvalitātes un savstarpējās koordinācijas uzlabošana”</w:t>
            </w:r>
            <w:r w:rsidRPr="00512A36">
              <w:t>– 3 (trīs) projektu iesniegumi.</w:t>
            </w:r>
          </w:p>
          <w:p w:rsidR="00512A36" w:rsidRPr="00512A36" w:rsidRDefault="00512A36" w:rsidP="007643D6">
            <w:pPr>
              <w:ind w:firstLine="301"/>
              <w:jc w:val="both"/>
            </w:pPr>
            <w:r w:rsidRPr="00512A36">
              <w:t xml:space="preserve">Vērtēšanas procesā tika konstatēts, </w:t>
            </w:r>
            <w:r w:rsidR="001F7CE0">
              <w:t xml:space="preserve">ka </w:t>
            </w:r>
            <w:r w:rsidRPr="00512A36">
              <w:t xml:space="preserve">1.”a” aktivitātes un 1.”b.” aktivitātes, 3.aktivitātes ietvaros iesniegti projektu iesniegumi ar finansējuma apjomu, kas ir mazāks par konkrētā aktivitātē pieejamo finansējumu, līdz ar to veidojas finansējuma atlikums, savukārt 2.aktivitē veidojās finansējuma iztrūkums, līdz ar </w:t>
            </w:r>
            <w:r w:rsidR="001F7CE0">
              <w:t xml:space="preserve">to </w:t>
            </w:r>
            <w:r w:rsidRPr="00512A36">
              <w:t xml:space="preserve">fonda Vadības komiteja rakstiskā procedūrā nolēma pārdalīt fonda 2012.gada programmas ietvaros pieejamo finansējumu 61 273,78 </w:t>
            </w:r>
            <w:r w:rsidR="00755EC6" w:rsidRPr="00755EC6">
              <w:rPr>
                <w:i/>
              </w:rPr>
              <w:t>eur</w:t>
            </w:r>
            <w:r w:rsidRPr="00512A36">
              <w:t xml:space="preserve">o apmērā uz 2.aktivitāti no sekojošām aktivitātēm - no 1.”b” aktivitātes 232,60 </w:t>
            </w:r>
            <w:r w:rsidR="00755EC6" w:rsidRPr="00755EC6">
              <w:rPr>
                <w:i/>
              </w:rPr>
              <w:t>euro</w:t>
            </w:r>
            <w:r w:rsidRPr="00512A36">
              <w:t xml:space="preserve"> apmērā; no 3.aktivitātes 550,65 </w:t>
            </w:r>
            <w:r w:rsidR="00755EC6" w:rsidRPr="00755EC6">
              <w:rPr>
                <w:i/>
              </w:rPr>
              <w:t>euro</w:t>
            </w:r>
            <w:r w:rsidRPr="00512A36">
              <w:t xml:space="preserve"> apmērā; no 1. „a” aktivitātes 60 490,54 </w:t>
            </w:r>
            <w:r w:rsidR="00755EC6" w:rsidRPr="00755EC6">
              <w:rPr>
                <w:i/>
              </w:rPr>
              <w:t>euro</w:t>
            </w:r>
            <w:r w:rsidRPr="00512A36">
              <w:t xml:space="preserve"> apmērā.</w:t>
            </w:r>
          </w:p>
          <w:p w:rsidR="00512A36" w:rsidRPr="00512A36" w:rsidRDefault="00512A36" w:rsidP="007643D6">
            <w:pPr>
              <w:ind w:firstLine="301"/>
              <w:jc w:val="both"/>
              <w:rPr>
                <w:color w:val="000000"/>
              </w:rPr>
            </w:pPr>
            <w:r w:rsidRPr="00512A36">
              <w:t>Pēc fonda vērtēšanas komisijas veiktā projektu iesniegumu vērtējuma, vadošās iestādes vadītājs pieņēma lēmumus par projektu iesniegumu apstiprināšanu ar nosacījumu 1.”a” aktivitātē par kopējo summu 788597</w:t>
            </w:r>
            <w:r w:rsidR="001F7CE0">
              <w:t>,</w:t>
            </w:r>
            <w:r w:rsidRPr="00512A36">
              <w:t xml:space="preserve">53 </w:t>
            </w:r>
            <w:proofErr w:type="spellStart"/>
            <w:r w:rsidR="00755EC6" w:rsidRPr="00755EC6">
              <w:rPr>
                <w:i/>
              </w:rPr>
              <w:t>euro</w:t>
            </w:r>
            <w:proofErr w:type="spellEnd"/>
            <w:r w:rsidRPr="00512A36">
              <w:t xml:space="preserve">  apmērā</w:t>
            </w:r>
            <w:r w:rsidRPr="00512A36">
              <w:rPr>
                <w:color w:val="000000"/>
              </w:rPr>
              <w:t xml:space="preserve">, </w:t>
            </w:r>
            <w:r w:rsidRPr="00512A36">
              <w:rPr>
                <w:color w:val="1F497D"/>
              </w:rPr>
              <w:t> </w:t>
            </w:r>
            <w:r w:rsidRPr="00512A36">
              <w:rPr>
                <w:color w:val="000000"/>
              </w:rPr>
              <w:t xml:space="preserve">tāpat arī pēc projektu iesniedzēju atsacīšanās īstenot projektus, kā arī pēc izvirzīto nosacījumu neizpildes, no aktivitātē kopējā pieejamā finansējuma 1 640 864,11 </w:t>
            </w:r>
            <w:r w:rsidRPr="00512A36">
              <w:rPr>
                <w:i/>
                <w:iCs/>
                <w:color w:val="000000"/>
              </w:rPr>
              <w:t xml:space="preserve">euro </w:t>
            </w:r>
            <w:r w:rsidRPr="00512A36">
              <w:rPr>
                <w:color w:val="000000"/>
              </w:rPr>
              <w:t>apmērā</w:t>
            </w:r>
            <w:r w:rsidRPr="00512A36">
              <w:rPr>
                <w:i/>
                <w:iCs/>
                <w:color w:val="000000"/>
              </w:rPr>
              <w:t xml:space="preserve"> </w:t>
            </w:r>
            <w:r w:rsidRPr="00512A36">
              <w:rPr>
                <w:color w:val="000000"/>
              </w:rPr>
              <w:t xml:space="preserve">veidojas pārpalikums </w:t>
            </w:r>
            <w:r w:rsidRPr="00512A36">
              <w:rPr>
                <w:b/>
                <w:bCs/>
              </w:rPr>
              <w:t>791</w:t>
            </w:r>
            <w:r w:rsidR="001F7CE0">
              <w:rPr>
                <w:b/>
                <w:bCs/>
              </w:rPr>
              <w:t> </w:t>
            </w:r>
            <w:r w:rsidRPr="00512A36">
              <w:rPr>
                <w:b/>
                <w:bCs/>
              </w:rPr>
              <w:t>776</w:t>
            </w:r>
            <w:r w:rsidR="001F7CE0">
              <w:rPr>
                <w:b/>
                <w:bCs/>
              </w:rPr>
              <w:t>,</w:t>
            </w:r>
            <w:r w:rsidRPr="00512A36">
              <w:rPr>
                <w:b/>
                <w:bCs/>
              </w:rPr>
              <w:t xml:space="preserve">04 </w:t>
            </w:r>
            <w:proofErr w:type="spellStart"/>
            <w:r w:rsidRPr="00512A36">
              <w:rPr>
                <w:b/>
                <w:bCs/>
                <w:i/>
                <w:iCs/>
              </w:rPr>
              <w:t>euro</w:t>
            </w:r>
            <w:proofErr w:type="spellEnd"/>
            <w:r w:rsidRPr="00512A36">
              <w:rPr>
                <w:color w:val="000000"/>
              </w:rPr>
              <w:t xml:space="preserve"> apmērā. </w:t>
            </w:r>
          </w:p>
          <w:p w:rsidR="00512A36" w:rsidRPr="00512A36" w:rsidRDefault="00512A36" w:rsidP="00D27D0E">
            <w:pPr>
              <w:ind w:firstLine="301"/>
              <w:jc w:val="both"/>
            </w:pPr>
            <w:r w:rsidRPr="00512A36">
              <w:t>Atbilstoši noteikumu 2.punktam finansējuma saņēmējs maksājumus fonda projekta ietvaros par izdevum</w:t>
            </w:r>
            <w:r w:rsidR="001F7CE0">
              <w:t>iem</w:t>
            </w:r>
            <w:r w:rsidRPr="00512A36">
              <w:t>, kas radušies līdz 2014.gada 30.jūnijam</w:t>
            </w:r>
            <w:r w:rsidR="001F7CE0">
              <w:t>,</w:t>
            </w:r>
            <w:r w:rsidRPr="00512A36">
              <w:t xml:space="preserve"> var veikt līdz 2014.gada 31.jūlijam. Līdz ar to fonda 2012.gada programmas ietvaros projektus ir iespējams īstenot līdz 2014.gada 30.jūnijam. Gadījumā, ja līdz minēta</w:t>
            </w:r>
            <w:r w:rsidR="001F7CE0">
              <w:t>ja</w:t>
            </w:r>
            <w:r w:rsidRPr="00512A36">
              <w:t xml:space="preserve">m termiņam netiks apstiprināti un īstenoti jauni projekti, fonda 2012.gada programmā veidosies finansējuma neapguve 791776,04 </w:t>
            </w:r>
            <w:r w:rsidR="00755EC6" w:rsidRPr="00755EC6">
              <w:rPr>
                <w:i/>
              </w:rPr>
              <w:t>euro</w:t>
            </w:r>
            <w:r w:rsidRPr="00512A36">
              <w:t xml:space="preserve"> apmērā.</w:t>
            </w:r>
          </w:p>
          <w:p w:rsidR="00512A36" w:rsidRPr="00512A36" w:rsidRDefault="00512A36" w:rsidP="00D27D0E">
            <w:pPr>
              <w:ind w:firstLine="301"/>
              <w:jc w:val="both"/>
            </w:pPr>
            <w:r w:rsidRPr="00512A36">
              <w:t>Pamatojoties uz vadības komitejas lēmumu</w:t>
            </w:r>
            <w:r w:rsidR="001F7CE0">
              <w:t>,</w:t>
            </w:r>
            <w:r w:rsidRPr="00512A36">
              <w:t xml:space="preserve"> vadoš</w:t>
            </w:r>
            <w:r w:rsidR="001F7CE0">
              <w:t>ā</w:t>
            </w:r>
            <w:r w:rsidRPr="00512A36">
              <w:t xml:space="preserve"> iestāde nolēma izsludināt 2012.g</w:t>
            </w:r>
            <w:r w:rsidR="001F7CE0">
              <w:t>ada</w:t>
            </w:r>
            <w:r w:rsidRPr="00512A36">
              <w:t xml:space="preserve"> fonda projektu iesniegumu atlases </w:t>
            </w:r>
            <w:r w:rsidRPr="00512A36">
              <w:rPr>
                <w:color w:val="000000"/>
              </w:rPr>
              <w:t>otru kārtu, vei</w:t>
            </w:r>
            <w:r w:rsidR="001F7CE0">
              <w:rPr>
                <w:color w:val="000000"/>
              </w:rPr>
              <w:t>kt</w:t>
            </w:r>
            <w:r w:rsidRPr="00512A36">
              <w:rPr>
                <w:color w:val="000000"/>
              </w:rPr>
              <w:t xml:space="preserve"> grozījumus noteikumos</w:t>
            </w:r>
            <w:r w:rsidR="001F7CE0">
              <w:rPr>
                <w:color w:val="000000"/>
              </w:rPr>
              <w:t>,</w:t>
            </w:r>
            <w:r w:rsidRPr="00512A36">
              <w:rPr>
                <w:color w:val="000000"/>
              </w:rPr>
              <w:t xml:space="preserve"> tajos paredzot projektu īstenošanu tikai 1.a aktivitātē </w:t>
            </w:r>
            <w:r w:rsidRPr="00512A36">
              <w:t>un izteikt 12.punktu šādā redakcijā:</w:t>
            </w:r>
          </w:p>
          <w:p w:rsidR="00512A36" w:rsidRPr="00512A36" w:rsidRDefault="00512A36" w:rsidP="003F1E5F">
            <w:pPr>
              <w:ind w:firstLine="360"/>
              <w:jc w:val="both"/>
              <w:rPr>
                <w:b/>
              </w:rPr>
            </w:pPr>
            <w:r w:rsidRPr="00512A36">
              <w:t xml:space="preserve">„12. Projektu iesniegumu atlasi vadošā iestāde var rīkot katrai aktivitātei atsevišķi, vienlaikus vairākām aktivitātēm vai vienlaikus visām aktivitātēm, vienā vai vairākās kārtās.”, papildināt noteikumus </w:t>
            </w:r>
            <w:r w:rsidR="001F7CE0">
              <w:t xml:space="preserve">ar </w:t>
            </w:r>
            <w:r w:rsidRPr="00512A36">
              <w:t>12.</w:t>
            </w:r>
            <w:r w:rsidRPr="00512A36">
              <w:rPr>
                <w:vertAlign w:val="superscript"/>
              </w:rPr>
              <w:t xml:space="preserve">1 </w:t>
            </w:r>
            <w:r w:rsidRPr="00512A36">
              <w:t>punktu: „12.</w:t>
            </w:r>
            <w:r w:rsidRPr="00512A36">
              <w:rPr>
                <w:vertAlign w:val="superscript"/>
              </w:rPr>
              <w:t>1</w:t>
            </w:r>
            <w:r w:rsidRPr="00512A36">
              <w:rPr>
                <w:b/>
              </w:rPr>
              <w:t xml:space="preserve"> </w:t>
            </w:r>
            <w:r w:rsidRPr="00512A36">
              <w:t xml:space="preserve">Ja projektu iesniegumu iesniegšanas kārtā netiek apgūts viss attiecīgajā kārtā pieejamais finansējums vai tiek piešķirts papildu finansējums, </w:t>
            </w:r>
            <w:r w:rsidR="001F7CE0">
              <w:t>vadošā</w:t>
            </w:r>
            <w:r w:rsidR="001F7CE0" w:rsidRPr="00512A36">
              <w:t xml:space="preserve"> </w:t>
            </w:r>
            <w:r w:rsidRPr="00512A36">
              <w:t>iestāde organizē papildu atlases kārtas par pieejamo finansējumu.”</w:t>
            </w:r>
          </w:p>
          <w:p w:rsidR="00D31B55" w:rsidRDefault="00512A36">
            <w:pPr>
              <w:ind w:firstLine="318"/>
              <w:jc w:val="both"/>
            </w:pPr>
            <w:r w:rsidRPr="00512A36">
              <w:t xml:space="preserve">Ņemot vērā projektu īstenošanai paredzēto laiku (10 nedēļas), grozījumi paredz samazināt pieejamo finansējumu viena projekta iesnieguma attiecināmo izmaksu segšanai, </w:t>
            </w:r>
            <w:r w:rsidRPr="00512A36">
              <w:lastRenderedPageBreak/>
              <w:t xml:space="preserve">samazinot maksimāli pieejamo finansējumu līdz 80 000 </w:t>
            </w:r>
            <w:r w:rsidRPr="00512A36">
              <w:rPr>
                <w:i/>
              </w:rPr>
              <w:t>euro</w:t>
            </w:r>
            <w:r w:rsidRPr="00512A36">
              <w:t>, grozīt 1.”a” aktivitātes ietvaros latviešu valodas un integrācijas kursa vai programmas minimālo apjomu no 120 akadēmiskām stundām uz 40 akadēmiskām stundām, k</w:t>
            </w:r>
            <w:r w:rsidR="001F7CE0">
              <w:t>ā</w:t>
            </w:r>
            <w:r w:rsidRPr="00512A36">
              <w:t xml:space="preserve"> arī izteikt 10.pielikuma 10.1.punktu šādā redakcijā: „10.1. Finansējuma saņēmējs ir spējīgs pats īstenot projekta pasākumus, tāpēc izmaksas par aprīkojuma iegādi nav attiecināmas” un svītrot 10.pielikuma 10.2., 10.3., 10.4., 10.5.</w:t>
            </w:r>
            <w:r w:rsidR="001F7CE0">
              <w:t xml:space="preserve"> un</w:t>
            </w:r>
            <w:r w:rsidRPr="00512A36">
              <w:t>10.6.punktu.</w:t>
            </w:r>
          </w:p>
          <w:p w:rsidR="00512A36" w:rsidRDefault="00512A36" w:rsidP="001F7CE0">
            <w:pPr>
              <w:autoSpaceDE w:val="0"/>
              <w:autoSpaceDN w:val="0"/>
              <w:ind w:firstLine="301"/>
              <w:jc w:val="both"/>
              <w:rPr>
                <w:color w:val="000000"/>
              </w:rPr>
            </w:pPr>
            <w:r w:rsidRPr="00512A36">
              <w:t>Līdz ar to Kultūras ministrija k</w:t>
            </w:r>
            <w:r w:rsidR="001F7CE0">
              <w:t>ā</w:t>
            </w:r>
            <w:r w:rsidRPr="00512A36">
              <w:t xml:space="preserve"> fonda vadoš</w:t>
            </w:r>
            <w:r w:rsidR="001F7CE0">
              <w:t>ā</w:t>
            </w:r>
            <w:r w:rsidRPr="00512A36">
              <w:t xml:space="preserve"> institūcija </w:t>
            </w:r>
            <w:r w:rsidR="001F7CE0">
              <w:t xml:space="preserve">ir sagatavojusi </w:t>
            </w:r>
            <w:r w:rsidRPr="00512A36">
              <w:t>noteikumu projektu, paredzot īstenot fonda projektu atlases otru kārtu</w:t>
            </w:r>
            <w:r w:rsidR="001F7CE0">
              <w:t xml:space="preserve"> un</w:t>
            </w:r>
            <w:r w:rsidRPr="00512A36">
              <w:t xml:space="preserve"> </w:t>
            </w:r>
            <w:r w:rsidR="001F7CE0">
              <w:t>nosakot</w:t>
            </w:r>
            <w:r w:rsidRPr="00512A36">
              <w:t xml:space="preserve"> projektu īstenošanu tikai 1.a aktivitātē ar šādiem sasniedzamiem uzraudzības rādītājiem – valodu un integrācijas kursos apmācīti un iesaistīti vismaz 500 trešo valstu pilsoņi; - kursos apmācīti un naturalizācijas eksāmena kārtošanai sagatavoti vismaz 300 trešo valstu pilsoņi, vienlaicīgi paredzot saīsinātu projektu iesniegšanas termiņu no konkursa izsludināšanas brīža.</w:t>
            </w:r>
            <w:r w:rsidRPr="00512A36">
              <w:rPr>
                <w:color w:val="000000"/>
              </w:rPr>
              <w:t xml:space="preserve"> </w:t>
            </w:r>
          </w:p>
          <w:p w:rsidR="007603B6" w:rsidRPr="00512A36" w:rsidRDefault="006F45BF" w:rsidP="006F45BF">
            <w:pPr>
              <w:autoSpaceDE w:val="0"/>
              <w:autoSpaceDN w:val="0"/>
              <w:ind w:firstLine="301"/>
              <w:jc w:val="both"/>
            </w:pPr>
            <w:r>
              <w:t>Noteikumu projekts neskar apstiprinātos projektus u</w:t>
            </w:r>
            <w:r w:rsidR="007603B6">
              <w:t>n</w:t>
            </w:r>
            <w:r>
              <w:t xml:space="preserve"> n</w:t>
            </w:r>
            <w:r w:rsidR="007603B6">
              <w:t>epārkāpj tiesiskās paļāvības principu.</w:t>
            </w:r>
          </w:p>
        </w:tc>
      </w:tr>
      <w:tr w:rsidR="00512A36" w:rsidRPr="00512A36" w:rsidTr="00EA5495">
        <w:tc>
          <w:tcPr>
            <w:tcW w:w="540" w:type="dxa"/>
          </w:tcPr>
          <w:p w:rsidR="00512A36" w:rsidRPr="00512A36" w:rsidRDefault="00512A36" w:rsidP="009E1E79">
            <w:pPr>
              <w:pStyle w:val="naislab"/>
              <w:numPr>
                <w:ilvl w:val="0"/>
                <w:numId w:val="1"/>
              </w:numPr>
              <w:tabs>
                <w:tab w:val="clear" w:pos="720"/>
                <w:tab w:val="num" w:pos="72"/>
              </w:tabs>
              <w:spacing w:before="0" w:after="0"/>
              <w:ind w:left="0" w:firstLine="0"/>
              <w:jc w:val="both"/>
              <w:outlineLvl w:val="0"/>
            </w:pPr>
          </w:p>
        </w:tc>
        <w:tc>
          <w:tcPr>
            <w:tcW w:w="2403" w:type="dxa"/>
          </w:tcPr>
          <w:p w:rsidR="00512A36" w:rsidRPr="00512A36" w:rsidRDefault="00512A36" w:rsidP="009E1E79">
            <w:pPr>
              <w:pStyle w:val="naislab"/>
              <w:spacing w:before="0" w:after="0"/>
              <w:jc w:val="both"/>
              <w:outlineLvl w:val="0"/>
              <w:rPr>
                <w:b/>
              </w:rPr>
            </w:pPr>
            <w:r w:rsidRPr="00512A36">
              <w:t>Projekta izstrādē iesaistītās institūcijas</w:t>
            </w:r>
          </w:p>
        </w:tc>
        <w:tc>
          <w:tcPr>
            <w:tcW w:w="6096" w:type="dxa"/>
          </w:tcPr>
          <w:p w:rsidR="00512A36" w:rsidRPr="00512A36" w:rsidRDefault="00512A36" w:rsidP="009E1E79">
            <w:pPr>
              <w:pStyle w:val="naislab"/>
              <w:spacing w:before="0" w:after="0"/>
              <w:jc w:val="both"/>
              <w:outlineLvl w:val="0"/>
              <w:rPr>
                <w:b/>
              </w:rPr>
            </w:pPr>
            <w:r w:rsidRPr="00512A36">
              <w:rPr>
                <w:iCs/>
              </w:rPr>
              <w:t>Kultūras ministrija.</w:t>
            </w:r>
          </w:p>
        </w:tc>
      </w:tr>
      <w:tr w:rsidR="00512A36" w:rsidRPr="00512A36" w:rsidTr="00AA673B">
        <w:trPr>
          <w:trHeight w:val="488"/>
        </w:trPr>
        <w:tc>
          <w:tcPr>
            <w:tcW w:w="540" w:type="dxa"/>
          </w:tcPr>
          <w:p w:rsidR="00512A36" w:rsidRPr="00512A36" w:rsidRDefault="00512A36" w:rsidP="009E1E79">
            <w:pPr>
              <w:pStyle w:val="naislab"/>
              <w:numPr>
                <w:ilvl w:val="0"/>
                <w:numId w:val="1"/>
              </w:numPr>
              <w:tabs>
                <w:tab w:val="clear" w:pos="720"/>
                <w:tab w:val="num" w:pos="72"/>
              </w:tabs>
              <w:spacing w:before="0" w:after="0"/>
              <w:ind w:left="0" w:firstLine="0"/>
              <w:jc w:val="both"/>
              <w:outlineLvl w:val="0"/>
            </w:pPr>
          </w:p>
        </w:tc>
        <w:tc>
          <w:tcPr>
            <w:tcW w:w="2403" w:type="dxa"/>
          </w:tcPr>
          <w:p w:rsidR="00512A36" w:rsidRPr="00512A36" w:rsidRDefault="00512A36" w:rsidP="009E1E79">
            <w:pPr>
              <w:pStyle w:val="naislab"/>
              <w:spacing w:before="0" w:after="0"/>
              <w:jc w:val="both"/>
              <w:outlineLvl w:val="0"/>
              <w:rPr>
                <w:b/>
              </w:rPr>
            </w:pPr>
            <w:r w:rsidRPr="00512A36">
              <w:t>Cita informācija</w:t>
            </w:r>
          </w:p>
        </w:tc>
        <w:tc>
          <w:tcPr>
            <w:tcW w:w="6096" w:type="dxa"/>
          </w:tcPr>
          <w:p w:rsidR="00512A36" w:rsidRPr="00512A36" w:rsidRDefault="00AA673B" w:rsidP="00AB731B">
            <w:pPr>
              <w:pStyle w:val="naisc"/>
              <w:spacing w:before="0" w:after="0"/>
              <w:jc w:val="both"/>
            </w:pPr>
            <w:r>
              <w:t>N</w:t>
            </w:r>
            <w:r w:rsidR="00512A36" w:rsidRPr="00512A36">
              <w:t>av</w:t>
            </w:r>
            <w:r>
              <w:t>.</w:t>
            </w:r>
          </w:p>
        </w:tc>
      </w:tr>
    </w:tbl>
    <w:p w:rsidR="00236867" w:rsidRPr="00512A36" w:rsidRDefault="00236867" w:rsidP="001003B5">
      <w:pPr>
        <w:pStyle w:val="naisf"/>
        <w:spacing w:before="0" w:after="0"/>
        <w:ind w:firstLine="0"/>
        <w:rPr>
          <w:i/>
        </w:rPr>
      </w:pPr>
    </w:p>
    <w:p w:rsidR="001003B5" w:rsidRPr="00512A36" w:rsidRDefault="00566767" w:rsidP="001003B5">
      <w:pPr>
        <w:pStyle w:val="naisf"/>
        <w:spacing w:before="0" w:after="0"/>
        <w:ind w:firstLine="0"/>
        <w:rPr>
          <w:i/>
        </w:rPr>
      </w:pPr>
      <w:r w:rsidRPr="00512A36">
        <w:rPr>
          <w:i/>
        </w:rPr>
        <w:t xml:space="preserve">Anotācijas II, </w:t>
      </w:r>
      <w:r w:rsidR="001003B5" w:rsidRPr="00512A36">
        <w:rPr>
          <w:i/>
        </w:rPr>
        <w:t xml:space="preserve">IV </w:t>
      </w:r>
      <w:r w:rsidR="002A12BC" w:rsidRPr="00512A36">
        <w:rPr>
          <w:i/>
        </w:rPr>
        <w:t xml:space="preserve">un VI </w:t>
      </w:r>
      <w:r w:rsidR="001003B5" w:rsidRPr="00512A36">
        <w:rPr>
          <w:i/>
        </w:rPr>
        <w:t xml:space="preserve">sadaļa – </w:t>
      </w:r>
      <w:r w:rsidR="00EA5495" w:rsidRPr="00512A36">
        <w:rPr>
          <w:i/>
        </w:rPr>
        <w:t xml:space="preserve">noteikumu </w:t>
      </w:r>
      <w:r w:rsidR="00D234EF" w:rsidRPr="00512A36">
        <w:rPr>
          <w:i/>
        </w:rPr>
        <w:t>projekts šīs jomas neskar</w:t>
      </w:r>
      <w:r w:rsidR="001003B5" w:rsidRPr="00512A36">
        <w:rPr>
          <w:i/>
        </w:rPr>
        <w:t>.</w:t>
      </w:r>
    </w:p>
    <w:p w:rsidR="00566767" w:rsidRPr="00512A36" w:rsidRDefault="00566767" w:rsidP="001003B5">
      <w:pPr>
        <w:pStyle w:val="naisf"/>
        <w:spacing w:before="0" w:after="0"/>
        <w:ind w:firstLine="0"/>
        <w:rPr>
          <w:i/>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C76106" w:rsidRPr="00C76106" w:rsidTr="007603B6">
        <w:tc>
          <w:tcPr>
            <w:tcW w:w="9356" w:type="dxa"/>
            <w:tcBorders>
              <w:top w:val="single" w:sz="4" w:space="0" w:color="auto"/>
              <w:left w:val="single" w:sz="4" w:space="0" w:color="auto"/>
              <w:bottom w:val="single" w:sz="4" w:space="0" w:color="auto"/>
              <w:right w:val="single" w:sz="4" w:space="0" w:color="auto"/>
            </w:tcBorders>
            <w:vAlign w:val="center"/>
            <w:hideMark/>
          </w:tcPr>
          <w:p w:rsidR="00C76106" w:rsidRPr="00C76106" w:rsidRDefault="00C76106" w:rsidP="00C76106">
            <w:pPr>
              <w:pStyle w:val="naisnod"/>
              <w:spacing w:before="0" w:after="0"/>
              <w:rPr>
                <w:lang w:eastAsia="en-US"/>
              </w:rPr>
            </w:pPr>
            <w:r w:rsidRPr="00C76106">
              <w:rPr>
                <w:lang w:eastAsia="en-US"/>
              </w:rPr>
              <w:t>III. Tiesību akta projekta ietekme uz valsts budžetu un pašvaldību budžetiem</w:t>
            </w:r>
          </w:p>
        </w:tc>
      </w:tr>
      <w:tr w:rsidR="00C76106" w:rsidRPr="00C76106" w:rsidTr="007603B6">
        <w:trPr>
          <w:trHeight w:val="283"/>
        </w:trPr>
        <w:tc>
          <w:tcPr>
            <w:tcW w:w="9356" w:type="dxa"/>
            <w:tcBorders>
              <w:top w:val="single" w:sz="4" w:space="0" w:color="auto"/>
              <w:left w:val="single" w:sz="4" w:space="0" w:color="auto"/>
              <w:bottom w:val="single" w:sz="4" w:space="0" w:color="auto"/>
              <w:right w:val="single" w:sz="4" w:space="0" w:color="auto"/>
            </w:tcBorders>
          </w:tcPr>
          <w:p w:rsidR="00C76106" w:rsidRPr="00C76106" w:rsidRDefault="00C76106" w:rsidP="00CA2456">
            <w:pPr>
              <w:tabs>
                <w:tab w:val="num" w:pos="0"/>
              </w:tabs>
              <w:jc w:val="center"/>
            </w:pPr>
            <w:r w:rsidRPr="00C76106">
              <w:t>Projekts šo jomu neskar</w:t>
            </w:r>
          </w:p>
        </w:tc>
      </w:tr>
    </w:tbl>
    <w:p w:rsidR="001003B5" w:rsidRPr="00512A36" w:rsidRDefault="001003B5" w:rsidP="001003B5">
      <w:pPr>
        <w:pStyle w:val="naisf"/>
        <w:spacing w:before="0" w:after="0"/>
        <w:ind w:firstLine="0"/>
        <w:rPr>
          <w:i/>
        </w:rPr>
      </w:pPr>
      <w:r w:rsidRPr="00512A36">
        <w:rPr>
          <w:i/>
        </w:rPr>
        <w:t xml:space="preserve"> </w:t>
      </w:r>
    </w:p>
    <w:tbl>
      <w:tblPr>
        <w:tblStyle w:val="Reatabula"/>
        <w:tblW w:w="0" w:type="auto"/>
        <w:tblLook w:val="04A0"/>
      </w:tblPr>
      <w:tblGrid>
        <w:gridCol w:w="9287"/>
      </w:tblGrid>
      <w:tr w:rsidR="001003B5" w:rsidRPr="00512A36" w:rsidTr="00512A36">
        <w:trPr>
          <w:trHeight w:val="421"/>
        </w:trPr>
        <w:tc>
          <w:tcPr>
            <w:tcW w:w="9287" w:type="dxa"/>
          </w:tcPr>
          <w:p w:rsidR="001003B5" w:rsidRPr="00512A36" w:rsidRDefault="001003B5" w:rsidP="00512A36">
            <w:pPr>
              <w:pStyle w:val="naisf"/>
              <w:spacing w:before="0" w:after="0"/>
              <w:ind w:firstLine="0"/>
              <w:jc w:val="center"/>
              <w:rPr>
                <w:i/>
              </w:rPr>
            </w:pPr>
            <w:r w:rsidRPr="00512A36">
              <w:rPr>
                <w:b/>
              </w:rPr>
              <w:t>V</w:t>
            </w:r>
            <w:r w:rsidR="00AA673B">
              <w:rPr>
                <w:b/>
              </w:rPr>
              <w:t>.</w:t>
            </w:r>
            <w:r w:rsidRPr="00512A36">
              <w:rPr>
                <w:b/>
              </w:rPr>
              <w:t xml:space="preserve"> Tiesību akta projekta atbilstība Latvijas Republikas starptautiskajām saistībām</w:t>
            </w:r>
          </w:p>
        </w:tc>
      </w:tr>
      <w:tr w:rsidR="00CA2456" w:rsidRPr="00512A36" w:rsidTr="00CA2456">
        <w:trPr>
          <w:trHeight w:val="199"/>
        </w:trPr>
        <w:tc>
          <w:tcPr>
            <w:tcW w:w="9287" w:type="dxa"/>
          </w:tcPr>
          <w:p w:rsidR="00CA2456" w:rsidRPr="00CA2456" w:rsidRDefault="00CA2456" w:rsidP="00CA2456">
            <w:pPr>
              <w:pStyle w:val="naisf"/>
              <w:spacing w:before="0" w:after="0"/>
              <w:ind w:firstLine="0"/>
              <w:jc w:val="center"/>
            </w:pPr>
            <w:r w:rsidRPr="00CA2456">
              <w:t>Projekts šo jomu neskar</w:t>
            </w:r>
          </w:p>
        </w:tc>
      </w:tr>
    </w:tbl>
    <w:p w:rsidR="001003B5" w:rsidRPr="00512A36" w:rsidRDefault="001003B5" w:rsidP="001003B5">
      <w:pPr>
        <w:pStyle w:val="naisf"/>
        <w:spacing w:before="0" w:after="0"/>
        <w:ind w:firstLine="0"/>
        <w:rPr>
          <w:i/>
        </w:rPr>
      </w:pPr>
    </w:p>
    <w:p w:rsidR="00236867" w:rsidRPr="00512A36" w:rsidRDefault="00236867" w:rsidP="001003B5">
      <w:pPr>
        <w:pStyle w:val="naisf"/>
        <w:tabs>
          <w:tab w:val="left" w:pos="5760"/>
        </w:tabs>
        <w:spacing w:before="0" w:after="0"/>
        <w:ind w:firstLine="0"/>
      </w:pPr>
    </w:p>
    <w:tbl>
      <w:tblPr>
        <w:tblStyle w:val="Reatabula"/>
        <w:tblpPr w:leftFromText="180" w:rightFromText="180" w:vertAnchor="text" w:tblpX="36" w:tblpY="1"/>
        <w:tblOverlap w:val="never"/>
        <w:tblW w:w="9322" w:type="dxa"/>
        <w:tblLayout w:type="fixed"/>
        <w:tblLook w:val="01E0"/>
      </w:tblPr>
      <w:tblGrid>
        <w:gridCol w:w="468"/>
        <w:gridCol w:w="3207"/>
        <w:gridCol w:w="5647"/>
      </w:tblGrid>
      <w:tr w:rsidR="001003B5" w:rsidRPr="00512A36" w:rsidTr="00512A36">
        <w:trPr>
          <w:trHeight w:val="420"/>
        </w:trPr>
        <w:tc>
          <w:tcPr>
            <w:tcW w:w="9322" w:type="dxa"/>
            <w:gridSpan w:val="3"/>
          </w:tcPr>
          <w:p w:rsidR="001003B5" w:rsidRPr="00512A36" w:rsidRDefault="001003B5" w:rsidP="001002F6">
            <w:pPr>
              <w:pStyle w:val="naisf"/>
              <w:spacing w:before="0" w:after="0"/>
              <w:ind w:firstLine="0"/>
              <w:jc w:val="center"/>
              <w:rPr>
                <w:b/>
              </w:rPr>
            </w:pPr>
            <w:r w:rsidRPr="00512A36">
              <w:rPr>
                <w:b/>
              </w:rPr>
              <w:t>VII Tiesību akta projekta izpildes nodrošināšana un tās ietekme uz institūcijām</w:t>
            </w:r>
          </w:p>
        </w:tc>
      </w:tr>
      <w:tr w:rsidR="001003B5" w:rsidRPr="00512A36" w:rsidTr="00BE7AA9">
        <w:tc>
          <w:tcPr>
            <w:tcW w:w="468" w:type="dxa"/>
          </w:tcPr>
          <w:p w:rsidR="001003B5" w:rsidRPr="00512A36" w:rsidRDefault="001003B5" w:rsidP="001002F6">
            <w:pPr>
              <w:pStyle w:val="naisf"/>
              <w:numPr>
                <w:ilvl w:val="0"/>
                <w:numId w:val="2"/>
              </w:numPr>
              <w:tabs>
                <w:tab w:val="clear" w:pos="720"/>
                <w:tab w:val="num" w:pos="0"/>
              </w:tabs>
              <w:spacing w:before="0" w:after="0"/>
              <w:ind w:left="0" w:hanging="568"/>
            </w:pPr>
            <w:r w:rsidRPr="00512A36">
              <w:t>1.</w:t>
            </w:r>
          </w:p>
        </w:tc>
        <w:tc>
          <w:tcPr>
            <w:tcW w:w="3207" w:type="dxa"/>
          </w:tcPr>
          <w:p w:rsidR="001003B5" w:rsidRPr="00512A36" w:rsidRDefault="001003B5" w:rsidP="001002F6">
            <w:pPr>
              <w:jc w:val="both"/>
            </w:pPr>
            <w:r w:rsidRPr="00512A36">
              <w:t xml:space="preserve">Projekta izpildē iesaistītās institūcijas </w:t>
            </w:r>
          </w:p>
        </w:tc>
        <w:tc>
          <w:tcPr>
            <w:tcW w:w="5647" w:type="dxa"/>
          </w:tcPr>
          <w:p w:rsidR="001003B5" w:rsidRPr="00512A36" w:rsidRDefault="001003B5" w:rsidP="001002F6">
            <w:pPr>
              <w:pStyle w:val="naisf"/>
              <w:spacing w:before="0" w:after="0"/>
              <w:ind w:firstLine="0"/>
            </w:pPr>
            <w:r w:rsidRPr="00512A36">
              <w:rPr>
                <w:iCs/>
              </w:rPr>
              <w:t>Kultūras ministrija.</w:t>
            </w:r>
          </w:p>
        </w:tc>
      </w:tr>
      <w:tr w:rsidR="001003B5" w:rsidRPr="00512A36" w:rsidTr="00BE7AA9">
        <w:tc>
          <w:tcPr>
            <w:tcW w:w="468" w:type="dxa"/>
          </w:tcPr>
          <w:p w:rsidR="001003B5" w:rsidRPr="00AA673B" w:rsidRDefault="001003B5" w:rsidP="001002F6">
            <w:pPr>
              <w:pStyle w:val="naisf"/>
              <w:numPr>
                <w:ilvl w:val="0"/>
                <w:numId w:val="2"/>
              </w:numPr>
              <w:spacing w:before="0" w:after="0"/>
              <w:ind w:left="0" w:hanging="720"/>
              <w:rPr>
                <w:color w:val="000000" w:themeColor="text1"/>
              </w:rPr>
            </w:pPr>
          </w:p>
          <w:p w:rsidR="001003B5" w:rsidRPr="00AA673B" w:rsidRDefault="001003B5" w:rsidP="001002F6">
            <w:pPr>
              <w:rPr>
                <w:color w:val="000000" w:themeColor="text1"/>
              </w:rPr>
            </w:pPr>
            <w:r w:rsidRPr="00AA673B">
              <w:rPr>
                <w:color w:val="000000" w:themeColor="text1"/>
              </w:rPr>
              <w:t>2.</w:t>
            </w:r>
          </w:p>
        </w:tc>
        <w:tc>
          <w:tcPr>
            <w:tcW w:w="3207" w:type="dxa"/>
          </w:tcPr>
          <w:p w:rsidR="00D31B55" w:rsidRDefault="00755EC6">
            <w:pPr>
              <w:jc w:val="both"/>
              <w:rPr>
                <w:color w:val="000000" w:themeColor="text1"/>
              </w:rPr>
            </w:pPr>
            <w:r w:rsidRPr="00755EC6">
              <w:rPr>
                <w:color w:val="000000" w:themeColor="text1"/>
              </w:rPr>
              <w:t xml:space="preserve">Projekta izpildes ietekme uz pārvaldes funkcijām un institucionālo struktūru. </w:t>
            </w:r>
          </w:p>
          <w:p w:rsidR="00D31B55" w:rsidRDefault="00755EC6">
            <w:pPr>
              <w:jc w:val="both"/>
              <w:rPr>
                <w:color w:val="000000" w:themeColor="text1"/>
              </w:rPr>
            </w:pPr>
            <w:r w:rsidRPr="00755EC6">
              <w:rPr>
                <w:color w:val="000000" w:themeColor="text1"/>
              </w:rPr>
              <w:t>Jaunu institūciju izveide, esošu institūciju likvidācija vai reorganizācija, to ietekme uz institūcijas cilvēkresursiem</w:t>
            </w:r>
          </w:p>
          <w:p w:rsidR="001003B5" w:rsidRPr="00AA673B" w:rsidRDefault="001003B5" w:rsidP="00AA673B">
            <w:pPr>
              <w:jc w:val="both"/>
              <w:rPr>
                <w:color w:val="000000" w:themeColor="text1"/>
              </w:rPr>
            </w:pPr>
          </w:p>
        </w:tc>
        <w:tc>
          <w:tcPr>
            <w:tcW w:w="5647" w:type="dxa"/>
          </w:tcPr>
          <w:p w:rsidR="001003B5" w:rsidRPr="00512A36" w:rsidRDefault="00AA673B" w:rsidP="001002F6">
            <w:pPr>
              <w:jc w:val="both"/>
            </w:pPr>
            <w:r w:rsidRPr="00512A36">
              <w:t>Noteikumu projekts šo jomu neskar.</w:t>
            </w:r>
          </w:p>
        </w:tc>
      </w:tr>
      <w:tr w:rsidR="001003B5" w:rsidRPr="00512A36" w:rsidTr="000623DE">
        <w:trPr>
          <w:trHeight w:val="226"/>
        </w:trPr>
        <w:tc>
          <w:tcPr>
            <w:tcW w:w="468" w:type="dxa"/>
          </w:tcPr>
          <w:p w:rsidR="001003B5" w:rsidRPr="00512A36" w:rsidRDefault="00AA673B" w:rsidP="00AA673B">
            <w:pPr>
              <w:pStyle w:val="naisf"/>
              <w:numPr>
                <w:ilvl w:val="0"/>
                <w:numId w:val="2"/>
              </w:numPr>
              <w:spacing w:before="0" w:after="0"/>
              <w:ind w:left="0" w:hanging="720"/>
              <w:jc w:val="left"/>
            </w:pPr>
            <w:r>
              <w:t>3</w:t>
            </w:r>
            <w:r w:rsidR="001003B5" w:rsidRPr="00512A36">
              <w:t>.</w:t>
            </w:r>
          </w:p>
        </w:tc>
        <w:tc>
          <w:tcPr>
            <w:tcW w:w="3207" w:type="dxa"/>
          </w:tcPr>
          <w:p w:rsidR="001003B5" w:rsidRPr="00512A36" w:rsidRDefault="001003B5" w:rsidP="001002F6">
            <w:pPr>
              <w:pStyle w:val="naisf"/>
              <w:spacing w:before="0" w:after="0"/>
              <w:ind w:firstLine="0"/>
            </w:pPr>
            <w:r w:rsidRPr="00512A36">
              <w:t>Cita informācija</w:t>
            </w:r>
          </w:p>
        </w:tc>
        <w:tc>
          <w:tcPr>
            <w:tcW w:w="5647" w:type="dxa"/>
          </w:tcPr>
          <w:p w:rsidR="001003B5" w:rsidRPr="00512A36" w:rsidRDefault="001003B5" w:rsidP="001002F6">
            <w:pPr>
              <w:pStyle w:val="naisf"/>
              <w:spacing w:before="0" w:after="0"/>
              <w:ind w:firstLine="0"/>
            </w:pPr>
            <w:r w:rsidRPr="00512A36">
              <w:t>Nav</w:t>
            </w:r>
          </w:p>
        </w:tc>
      </w:tr>
    </w:tbl>
    <w:p w:rsidR="00FE216A" w:rsidRPr="00512A36" w:rsidRDefault="00FE216A" w:rsidP="001003B5">
      <w:pPr>
        <w:pStyle w:val="naisf"/>
        <w:tabs>
          <w:tab w:val="left" w:pos="5760"/>
        </w:tabs>
        <w:spacing w:before="0" w:after="0"/>
        <w:ind w:firstLine="0"/>
      </w:pPr>
    </w:p>
    <w:p w:rsidR="003B1C77" w:rsidRDefault="003B1C77" w:rsidP="001003B5">
      <w:pPr>
        <w:pStyle w:val="naisf"/>
        <w:tabs>
          <w:tab w:val="left" w:pos="5760"/>
        </w:tabs>
        <w:spacing w:before="0" w:after="0"/>
        <w:ind w:firstLine="0"/>
      </w:pPr>
    </w:p>
    <w:p w:rsidR="00053A09" w:rsidRDefault="00847146" w:rsidP="00512A36">
      <w:pPr>
        <w:pStyle w:val="Bezatstarpm"/>
        <w:tabs>
          <w:tab w:val="right" w:pos="8931"/>
        </w:tabs>
        <w:ind w:left="567"/>
        <w:jc w:val="both"/>
        <w:rPr>
          <w:rFonts w:ascii="Times New Roman" w:hAnsi="Times New Roman"/>
          <w:sz w:val="24"/>
          <w:szCs w:val="24"/>
        </w:rPr>
      </w:pPr>
      <w:r w:rsidRPr="00512A36">
        <w:rPr>
          <w:rFonts w:ascii="Times New Roman" w:hAnsi="Times New Roman"/>
          <w:sz w:val="24"/>
          <w:szCs w:val="24"/>
        </w:rPr>
        <w:t>Kultūras ministre</w:t>
      </w:r>
      <w:r w:rsidR="00512A36" w:rsidRPr="00512A36">
        <w:rPr>
          <w:rFonts w:ascii="Times New Roman" w:hAnsi="Times New Roman"/>
          <w:sz w:val="24"/>
          <w:szCs w:val="24"/>
        </w:rPr>
        <w:t xml:space="preserve"> </w:t>
      </w:r>
      <w:r w:rsidR="00512A36">
        <w:rPr>
          <w:rFonts w:ascii="Times New Roman" w:hAnsi="Times New Roman"/>
          <w:sz w:val="24"/>
          <w:szCs w:val="24"/>
        </w:rPr>
        <w:tab/>
      </w:r>
      <w:proofErr w:type="spellStart"/>
      <w:r w:rsidR="00512A36">
        <w:rPr>
          <w:rFonts w:ascii="Times New Roman" w:hAnsi="Times New Roman"/>
          <w:sz w:val="24"/>
          <w:szCs w:val="24"/>
        </w:rPr>
        <w:t>D.</w:t>
      </w:r>
      <w:r w:rsidR="004D6BD3" w:rsidRPr="00512A36">
        <w:rPr>
          <w:rFonts w:ascii="Times New Roman" w:hAnsi="Times New Roman"/>
          <w:sz w:val="24"/>
          <w:szCs w:val="24"/>
        </w:rPr>
        <w:t>Melbārde</w:t>
      </w:r>
      <w:proofErr w:type="spellEnd"/>
    </w:p>
    <w:p w:rsidR="002F6B86" w:rsidRDefault="002F6B86" w:rsidP="00512A36">
      <w:pPr>
        <w:pStyle w:val="Bezatstarpm"/>
        <w:tabs>
          <w:tab w:val="right" w:pos="8931"/>
        </w:tabs>
        <w:ind w:left="567"/>
        <w:jc w:val="both"/>
        <w:rPr>
          <w:rFonts w:ascii="Times New Roman" w:hAnsi="Times New Roman"/>
          <w:sz w:val="24"/>
          <w:szCs w:val="24"/>
        </w:rPr>
      </w:pPr>
    </w:p>
    <w:p w:rsidR="002F6B86" w:rsidRPr="00512A36" w:rsidRDefault="002F6B86" w:rsidP="00512A36">
      <w:pPr>
        <w:pStyle w:val="Bezatstarpm"/>
        <w:tabs>
          <w:tab w:val="right" w:pos="8931"/>
        </w:tabs>
        <w:ind w:left="567"/>
        <w:jc w:val="both"/>
        <w:rPr>
          <w:rFonts w:ascii="Times New Roman" w:hAnsi="Times New Roman"/>
          <w:sz w:val="24"/>
          <w:szCs w:val="24"/>
        </w:rPr>
      </w:pPr>
    </w:p>
    <w:p w:rsidR="003128DA" w:rsidRPr="00512A36" w:rsidRDefault="003128DA" w:rsidP="00512A36">
      <w:pPr>
        <w:pStyle w:val="Bezatstarpm"/>
        <w:ind w:left="567"/>
        <w:jc w:val="both"/>
        <w:rPr>
          <w:rFonts w:ascii="Times New Roman" w:hAnsi="Times New Roman"/>
          <w:sz w:val="24"/>
          <w:szCs w:val="24"/>
        </w:rPr>
      </w:pPr>
    </w:p>
    <w:p w:rsidR="003128DA" w:rsidRPr="00512A36" w:rsidRDefault="003128DA" w:rsidP="00512A36">
      <w:pPr>
        <w:pStyle w:val="Bezatstarpm"/>
        <w:tabs>
          <w:tab w:val="right" w:pos="8647"/>
        </w:tabs>
        <w:ind w:left="567"/>
        <w:jc w:val="both"/>
        <w:rPr>
          <w:rFonts w:ascii="Times New Roman" w:hAnsi="Times New Roman"/>
          <w:sz w:val="24"/>
          <w:szCs w:val="24"/>
        </w:rPr>
      </w:pPr>
      <w:r w:rsidRPr="00512A36">
        <w:rPr>
          <w:rFonts w:ascii="Times New Roman" w:hAnsi="Times New Roman"/>
          <w:sz w:val="24"/>
          <w:szCs w:val="24"/>
        </w:rPr>
        <w:t>Vīza: Valsts sekretār</w:t>
      </w:r>
      <w:r w:rsidR="00512A36">
        <w:rPr>
          <w:rFonts w:ascii="Times New Roman" w:hAnsi="Times New Roman"/>
          <w:sz w:val="24"/>
          <w:szCs w:val="24"/>
        </w:rPr>
        <w:t>s</w:t>
      </w:r>
      <w:r w:rsidR="00512A36">
        <w:rPr>
          <w:rFonts w:ascii="Times New Roman" w:hAnsi="Times New Roman"/>
          <w:sz w:val="24"/>
          <w:szCs w:val="24"/>
        </w:rPr>
        <w:tab/>
      </w:r>
      <w:r w:rsidR="00450BBD" w:rsidRPr="00512A36">
        <w:rPr>
          <w:rFonts w:ascii="Times New Roman" w:hAnsi="Times New Roman"/>
          <w:sz w:val="24"/>
          <w:szCs w:val="24"/>
        </w:rPr>
        <w:t>G.Puķītis</w:t>
      </w:r>
    </w:p>
    <w:p w:rsidR="00512A36" w:rsidRDefault="00512A36" w:rsidP="00512A36">
      <w:pPr>
        <w:jc w:val="both"/>
        <w:rPr>
          <w:sz w:val="22"/>
          <w:szCs w:val="22"/>
        </w:rPr>
      </w:pPr>
    </w:p>
    <w:p w:rsidR="00512A36" w:rsidRDefault="00512A36" w:rsidP="00512A36">
      <w:pPr>
        <w:jc w:val="both"/>
        <w:rPr>
          <w:sz w:val="22"/>
          <w:szCs w:val="22"/>
        </w:rPr>
      </w:pPr>
    </w:p>
    <w:p w:rsidR="002F6B86" w:rsidRDefault="002F6B86" w:rsidP="00512A36">
      <w:pPr>
        <w:jc w:val="both"/>
        <w:rPr>
          <w:sz w:val="22"/>
          <w:szCs w:val="22"/>
        </w:rPr>
      </w:pPr>
    </w:p>
    <w:p w:rsidR="00512A36" w:rsidRPr="00427A26" w:rsidRDefault="006F45BF" w:rsidP="00512A36">
      <w:pPr>
        <w:jc w:val="both"/>
        <w:rPr>
          <w:sz w:val="22"/>
          <w:szCs w:val="22"/>
        </w:rPr>
      </w:pPr>
      <w:r>
        <w:rPr>
          <w:sz w:val="22"/>
          <w:szCs w:val="22"/>
        </w:rPr>
        <w:t>06</w:t>
      </w:r>
      <w:r w:rsidR="00512A36" w:rsidRPr="00427A26">
        <w:rPr>
          <w:sz w:val="22"/>
          <w:szCs w:val="22"/>
        </w:rPr>
        <w:t>.0</w:t>
      </w:r>
      <w:r>
        <w:rPr>
          <w:sz w:val="22"/>
          <w:szCs w:val="22"/>
        </w:rPr>
        <w:t>2</w:t>
      </w:r>
      <w:r w:rsidR="00512A36" w:rsidRPr="00427A26">
        <w:rPr>
          <w:sz w:val="22"/>
          <w:szCs w:val="22"/>
        </w:rPr>
        <w:t>.2014.</w:t>
      </w:r>
    </w:p>
    <w:p w:rsidR="00512A36" w:rsidRPr="00427A26" w:rsidRDefault="00512A36" w:rsidP="00512A36">
      <w:pPr>
        <w:jc w:val="both"/>
        <w:rPr>
          <w:sz w:val="22"/>
          <w:szCs w:val="22"/>
        </w:rPr>
      </w:pPr>
      <w:r>
        <w:t>1</w:t>
      </w:r>
      <w:r w:rsidR="006F45BF">
        <w:t xml:space="preserve"> 216</w:t>
      </w:r>
    </w:p>
    <w:p w:rsidR="00512A36" w:rsidRPr="00427A26" w:rsidRDefault="00512A36" w:rsidP="00512A36">
      <w:pPr>
        <w:jc w:val="both"/>
        <w:rPr>
          <w:sz w:val="22"/>
          <w:szCs w:val="22"/>
        </w:rPr>
      </w:pPr>
      <w:bookmarkStart w:id="6" w:name="_GoBack"/>
      <w:bookmarkStart w:id="7" w:name="OLE_LINK6"/>
      <w:bookmarkStart w:id="8" w:name="OLE_LINK7"/>
      <w:bookmarkEnd w:id="6"/>
      <w:r w:rsidRPr="00427A26">
        <w:rPr>
          <w:sz w:val="22"/>
          <w:szCs w:val="22"/>
        </w:rPr>
        <w:t>G.Preimanis</w:t>
      </w:r>
      <w:bookmarkEnd w:id="7"/>
      <w:bookmarkEnd w:id="8"/>
    </w:p>
    <w:p w:rsidR="00512A36" w:rsidRPr="00427A26" w:rsidRDefault="00512A36" w:rsidP="00512A36">
      <w:pPr>
        <w:jc w:val="both"/>
        <w:rPr>
          <w:sz w:val="22"/>
          <w:szCs w:val="22"/>
        </w:rPr>
      </w:pPr>
      <w:r w:rsidRPr="00427A26">
        <w:rPr>
          <w:sz w:val="22"/>
          <w:szCs w:val="22"/>
        </w:rPr>
        <w:t>Tālr.: 67330314, fakss 67227916</w:t>
      </w:r>
    </w:p>
    <w:p w:rsidR="00512A36" w:rsidRPr="00427A26" w:rsidRDefault="00FE5273" w:rsidP="00512A36">
      <w:pPr>
        <w:jc w:val="both"/>
        <w:rPr>
          <w:sz w:val="22"/>
          <w:szCs w:val="22"/>
        </w:rPr>
      </w:pPr>
      <w:hyperlink r:id="rId10" w:history="1">
        <w:r w:rsidR="00512A36" w:rsidRPr="00427A26">
          <w:rPr>
            <w:rStyle w:val="Hipersaite"/>
            <w:sz w:val="22"/>
            <w:szCs w:val="22"/>
          </w:rPr>
          <w:t>Gatis.Preimanis@km.gov.lv</w:t>
        </w:r>
      </w:hyperlink>
    </w:p>
    <w:p w:rsidR="003856F4" w:rsidRPr="00512A36" w:rsidRDefault="003856F4" w:rsidP="00512A36">
      <w:pPr>
        <w:pStyle w:val="naisf"/>
        <w:tabs>
          <w:tab w:val="left" w:pos="5760"/>
        </w:tabs>
        <w:spacing w:before="0" w:after="0"/>
        <w:ind w:firstLine="0"/>
      </w:pPr>
    </w:p>
    <w:sectPr w:rsidR="003856F4" w:rsidRPr="00512A36" w:rsidSect="00512A36">
      <w:headerReference w:type="even"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010" w:rsidRDefault="00535010" w:rsidP="001003B5">
      <w:r>
        <w:separator/>
      </w:r>
    </w:p>
  </w:endnote>
  <w:endnote w:type="continuationSeparator" w:id="0">
    <w:p w:rsidR="00535010" w:rsidRDefault="00535010" w:rsidP="0010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10" w:rsidRPr="00512A36" w:rsidRDefault="00535010" w:rsidP="00512A36">
    <w:pPr>
      <w:pStyle w:val="Parastais1"/>
      <w:spacing w:before="0" w:after="0" w:line="240" w:lineRule="auto"/>
      <w:ind w:firstLine="0"/>
      <w:rPr>
        <w:bCs/>
        <w:sz w:val="22"/>
        <w:szCs w:val="22"/>
      </w:rPr>
    </w:pPr>
    <w:r>
      <w:rPr>
        <w:sz w:val="22"/>
        <w:szCs w:val="22"/>
      </w:rPr>
      <w:t>KMAnot_2701</w:t>
    </w:r>
    <w:r w:rsidRPr="00512A36">
      <w:rPr>
        <w:sz w:val="22"/>
        <w:szCs w:val="22"/>
      </w:rPr>
      <w:t>14_</w:t>
    </w:r>
    <w:r>
      <w:rPr>
        <w:sz w:val="22"/>
        <w:szCs w:val="22"/>
      </w:rPr>
      <w:t>groz_</w:t>
    </w:r>
    <w:r w:rsidRPr="00512A36">
      <w:rPr>
        <w:sz w:val="22"/>
        <w:szCs w:val="22"/>
      </w:rPr>
      <w:t>ETVVIF_2012;</w:t>
    </w:r>
    <w:r w:rsidRPr="00512A36">
      <w:rPr>
        <w:b/>
        <w:bCs/>
        <w:sz w:val="22"/>
        <w:szCs w:val="22"/>
      </w:rPr>
      <w:t xml:space="preserve"> </w:t>
    </w:r>
    <w:r w:rsidRPr="00512A36">
      <w:rPr>
        <w:bCs/>
        <w:sz w:val="22"/>
        <w:szCs w:val="22"/>
      </w:rPr>
      <w:t xml:space="preserve">Ministru kabineta noteikumu </w:t>
    </w:r>
    <w:r>
      <w:rPr>
        <w:bCs/>
        <w:sz w:val="22"/>
        <w:szCs w:val="22"/>
      </w:rPr>
      <w:t xml:space="preserve">projekta </w:t>
    </w:r>
    <w:r w:rsidRPr="00512A36">
      <w:rPr>
        <w:bCs/>
        <w:sz w:val="22"/>
        <w:szCs w:val="22"/>
      </w:rPr>
      <w:t>„Grozījumi Ministru kabineta 2013.gada 25.jūnija noteikumos Nr.347 „Noteikumi par Eiropas Trešo valstu valstspiederīgo integrācijas fonda 2012.gada programmas aktivitāšu īstenošanu””</w:t>
    </w:r>
    <w:r w:rsidRPr="00512A36">
      <w:rPr>
        <w:sz w:val="22"/>
        <w:szCs w:val="22"/>
      </w:rPr>
      <w:t xml:space="preserve"> </w:t>
    </w:r>
    <w:r w:rsidRPr="00512A36">
      <w:rPr>
        <w:bCs/>
        <w:sz w:val="22"/>
        <w:szCs w:val="22"/>
      </w:rPr>
      <w:t>sākotnējās ietekmes novērtējuma ziņojums</w:t>
    </w:r>
    <w:r w:rsidRPr="00512A36">
      <w:rPr>
        <w:sz w:val="22"/>
        <w:szCs w:val="22"/>
      </w:rPr>
      <w:t xml:space="preserve"> </w:t>
    </w:r>
    <w:r>
      <w:rPr>
        <w:sz w:val="22"/>
        <w:szCs w:val="22"/>
      </w:rPr>
      <w:t>(</w:t>
    </w:r>
    <w:r w:rsidRPr="00512A36">
      <w:rPr>
        <w:sz w:val="22"/>
        <w:szCs w:val="22"/>
      </w:rPr>
      <w:t>anotācija</w:t>
    </w:r>
    <w:r>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10" w:rsidRPr="00512A36" w:rsidRDefault="00535010" w:rsidP="00512A36">
    <w:pPr>
      <w:pStyle w:val="Parastais1"/>
      <w:spacing w:before="0" w:after="0" w:line="240" w:lineRule="auto"/>
      <w:ind w:firstLine="0"/>
      <w:rPr>
        <w:bCs/>
        <w:sz w:val="22"/>
        <w:szCs w:val="22"/>
      </w:rPr>
    </w:pPr>
    <w:r>
      <w:rPr>
        <w:sz w:val="22"/>
        <w:szCs w:val="22"/>
      </w:rPr>
      <w:t>KMAnot_2701</w:t>
    </w:r>
    <w:r w:rsidRPr="00512A36">
      <w:rPr>
        <w:sz w:val="22"/>
        <w:szCs w:val="22"/>
      </w:rPr>
      <w:t>14_</w:t>
    </w:r>
    <w:r>
      <w:rPr>
        <w:sz w:val="22"/>
        <w:szCs w:val="22"/>
      </w:rPr>
      <w:t>groz_</w:t>
    </w:r>
    <w:r w:rsidRPr="00512A36">
      <w:rPr>
        <w:sz w:val="22"/>
        <w:szCs w:val="22"/>
      </w:rPr>
      <w:t>ETVVIF_2012;</w:t>
    </w:r>
    <w:r w:rsidRPr="00512A36">
      <w:rPr>
        <w:b/>
        <w:bCs/>
        <w:sz w:val="22"/>
        <w:szCs w:val="22"/>
      </w:rPr>
      <w:t xml:space="preserve"> </w:t>
    </w:r>
    <w:r w:rsidRPr="00512A36">
      <w:rPr>
        <w:bCs/>
        <w:sz w:val="22"/>
        <w:szCs w:val="22"/>
      </w:rPr>
      <w:t xml:space="preserve">Ministru kabineta noteikumu </w:t>
    </w:r>
    <w:r>
      <w:rPr>
        <w:bCs/>
        <w:sz w:val="22"/>
        <w:szCs w:val="22"/>
      </w:rPr>
      <w:t xml:space="preserve">projekta </w:t>
    </w:r>
    <w:r w:rsidRPr="00512A36">
      <w:rPr>
        <w:bCs/>
        <w:sz w:val="22"/>
        <w:szCs w:val="22"/>
      </w:rPr>
      <w:t>„Grozījumi Ministru kabineta 2013.gada 25.jūnija noteikumos Nr.347 „Noteikumi par Eiropas Trešo valstu valstspiederīgo integrācijas fonda 2012.gada programmas aktivitāšu īstenošanu””</w:t>
    </w:r>
    <w:r w:rsidRPr="00512A36">
      <w:rPr>
        <w:sz w:val="22"/>
        <w:szCs w:val="22"/>
      </w:rPr>
      <w:t xml:space="preserve"> </w:t>
    </w:r>
    <w:r w:rsidRPr="00512A36">
      <w:rPr>
        <w:bCs/>
        <w:sz w:val="22"/>
        <w:szCs w:val="22"/>
      </w:rPr>
      <w:t>sākotnējās ietekmes novērtējuma ziņojums</w:t>
    </w:r>
    <w:r w:rsidRPr="00512A36">
      <w:rPr>
        <w:sz w:val="22"/>
        <w:szCs w:val="22"/>
      </w:rPr>
      <w:t xml:space="preserve"> </w:t>
    </w:r>
    <w:r>
      <w:rPr>
        <w:sz w:val="22"/>
        <w:szCs w:val="22"/>
      </w:rPr>
      <w:t>(</w:t>
    </w:r>
    <w:r w:rsidRPr="00512A36">
      <w:rPr>
        <w:sz w:val="22"/>
        <w:szCs w:val="22"/>
      </w:rPr>
      <w:t>anotācija</w:t>
    </w:r>
    <w:r>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010" w:rsidRDefault="00535010" w:rsidP="001003B5">
      <w:r>
        <w:separator/>
      </w:r>
    </w:p>
  </w:footnote>
  <w:footnote w:type="continuationSeparator" w:id="0">
    <w:p w:rsidR="00535010" w:rsidRDefault="00535010" w:rsidP="00100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10" w:rsidRDefault="00FE5273" w:rsidP="001002F6">
    <w:pPr>
      <w:pStyle w:val="Galvene"/>
      <w:framePr w:wrap="around" w:vAnchor="text" w:hAnchor="margin" w:xAlign="center" w:y="1"/>
      <w:rPr>
        <w:rStyle w:val="Lappusesnumurs"/>
      </w:rPr>
    </w:pPr>
    <w:r>
      <w:rPr>
        <w:rStyle w:val="Lappusesnumurs"/>
      </w:rPr>
      <w:fldChar w:fldCharType="begin"/>
    </w:r>
    <w:r w:rsidR="00535010">
      <w:rPr>
        <w:rStyle w:val="Lappusesnumurs"/>
      </w:rPr>
      <w:instrText xml:space="preserve">PAGE  </w:instrText>
    </w:r>
    <w:r>
      <w:rPr>
        <w:rStyle w:val="Lappusesnumurs"/>
      </w:rPr>
      <w:fldChar w:fldCharType="end"/>
    </w:r>
  </w:p>
  <w:p w:rsidR="00535010" w:rsidRDefault="0053501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36C0"/>
    <w:multiLevelType w:val="hybridMultilevel"/>
    <w:tmpl w:val="9B047F16"/>
    <w:lvl w:ilvl="0" w:tplc="02827D9C">
      <w:start w:val="1"/>
      <w:numFmt w:val="decimal"/>
      <w:lvlText w:val="%1)"/>
      <w:lvlJc w:val="left"/>
      <w:pPr>
        <w:ind w:left="360" w:hanging="360"/>
      </w:pPr>
      <w:rPr>
        <w:rFonts w:ascii="Times New Roman" w:hAnsi="Times New Roman" w:cs="Times New Roman" w:hint="default"/>
        <w:b w:val="0"/>
      </w:rPr>
    </w:lvl>
    <w:lvl w:ilvl="1" w:tplc="04260019">
      <w:start w:val="1"/>
      <w:numFmt w:val="decimal"/>
      <w:lvlText w:val="%2."/>
      <w:lvlJc w:val="left"/>
      <w:pPr>
        <w:tabs>
          <w:tab w:val="num" w:pos="720"/>
        </w:tabs>
        <w:ind w:left="720" w:hanging="360"/>
      </w:pPr>
    </w:lvl>
    <w:lvl w:ilvl="2" w:tplc="0426001B">
      <w:start w:val="1"/>
      <w:numFmt w:val="decimal"/>
      <w:lvlText w:val="%3."/>
      <w:lvlJc w:val="left"/>
      <w:pPr>
        <w:tabs>
          <w:tab w:val="num" w:pos="1440"/>
        </w:tabs>
        <w:ind w:left="1440" w:hanging="360"/>
      </w:pPr>
    </w:lvl>
    <w:lvl w:ilvl="3" w:tplc="0426000F">
      <w:start w:val="1"/>
      <w:numFmt w:val="decimal"/>
      <w:lvlText w:val="%4."/>
      <w:lvlJc w:val="left"/>
      <w:pPr>
        <w:tabs>
          <w:tab w:val="num" w:pos="2160"/>
        </w:tabs>
        <w:ind w:left="2160" w:hanging="360"/>
      </w:pPr>
    </w:lvl>
    <w:lvl w:ilvl="4" w:tplc="04260019">
      <w:start w:val="1"/>
      <w:numFmt w:val="decimal"/>
      <w:lvlText w:val="%5."/>
      <w:lvlJc w:val="left"/>
      <w:pPr>
        <w:tabs>
          <w:tab w:val="num" w:pos="2880"/>
        </w:tabs>
        <w:ind w:left="2880" w:hanging="360"/>
      </w:pPr>
    </w:lvl>
    <w:lvl w:ilvl="5" w:tplc="0426001B">
      <w:start w:val="1"/>
      <w:numFmt w:val="decimal"/>
      <w:lvlText w:val="%6."/>
      <w:lvlJc w:val="left"/>
      <w:pPr>
        <w:tabs>
          <w:tab w:val="num" w:pos="3600"/>
        </w:tabs>
        <w:ind w:left="3600" w:hanging="360"/>
      </w:pPr>
    </w:lvl>
    <w:lvl w:ilvl="6" w:tplc="0426000F">
      <w:start w:val="1"/>
      <w:numFmt w:val="decimal"/>
      <w:lvlText w:val="%7."/>
      <w:lvlJc w:val="left"/>
      <w:pPr>
        <w:tabs>
          <w:tab w:val="num" w:pos="4320"/>
        </w:tabs>
        <w:ind w:left="4320" w:hanging="360"/>
      </w:pPr>
    </w:lvl>
    <w:lvl w:ilvl="7" w:tplc="04260019">
      <w:start w:val="1"/>
      <w:numFmt w:val="decimal"/>
      <w:lvlText w:val="%8."/>
      <w:lvlJc w:val="left"/>
      <w:pPr>
        <w:tabs>
          <w:tab w:val="num" w:pos="5040"/>
        </w:tabs>
        <w:ind w:left="5040" w:hanging="360"/>
      </w:pPr>
    </w:lvl>
    <w:lvl w:ilvl="8" w:tplc="0426001B">
      <w:start w:val="1"/>
      <w:numFmt w:val="decimal"/>
      <w:lvlText w:val="%9."/>
      <w:lvlJc w:val="left"/>
      <w:pPr>
        <w:tabs>
          <w:tab w:val="num" w:pos="5760"/>
        </w:tabs>
        <w:ind w:left="5760" w:hanging="360"/>
      </w:pPr>
    </w:lvl>
  </w:abstractNum>
  <w:abstractNum w:abstractNumId="1">
    <w:nsid w:val="0A49312C"/>
    <w:multiLevelType w:val="hybridMultilevel"/>
    <w:tmpl w:val="C28C04CA"/>
    <w:lvl w:ilvl="0" w:tplc="7C2035DC">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1116373E"/>
    <w:multiLevelType w:val="hybridMultilevel"/>
    <w:tmpl w:val="B7581C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B4E1C00"/>
    <w:multiLevelType w:val="hybridMultilevel"/>
    <w:tmpl w:val="4866E94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CFE50E7"/>
    <w:multiLevelType w:val="multilevel"/>
    <w:tmpl w:val="90DE1F4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E94117D"/>
    <w:multiLevelType w:val="hybridMultilevel"/>
    <w:tmpl w:val="23CA64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30236C8D"/>
    <w:multiLevelType w:val="hybridMultilevel"/>
    <w:tmpl w:val="45740A32"/>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34560AF4"/>
    <w:multiLevelType w:val="hybridMultilevel"/>
    <w:tmpl w:val="02584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4F774A"/>
    <w:multiLevelType w:val="hybridMultilevel"/>
    <w:tmpl w:val="334C75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7"/>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1003B5"/>
    <w:rsid w:val="00005C64"/>
    <w:rsid w:val="00032E0A"/>
    <w:rsid w:val="00033EE5"/>
    <w:rsid w:val="00037D9F"/>
    <w:rsid w:val="00044A05"/>
    <w:rsid w:val="00053A09"/>
    <w:rsid w:val="00055018"/>
    <w:rsid w:val="000623DE"/>
    <w:rsid w:val="00063A97"/>
    <w:rsid w:val="00071F83"/>
    <w:rsid w:val="00073892"/>
    <w:rsid w:val="000772D7"/>
    <w:rsid w:val="0008601B"/>
    <w:rsid w:val="00086734"/>
    <w:rsid w:val="0009343C"/>
    <w:rsid w:val="000A1B22"/>
    <w:rsid w:val="000B45FF"/>
    <w:rsid w:val="000C233F"/>
    <w:rsid w:val="000D15C2"/>
    <w:rsid w:val="000D3080"/>
    <w:rsid w:val="000F5A2D"/>
    <w:rsid w:val="001002F6"/>
    <w:rsid w:val="001003B5"/>
    <w:rsid w:val="00103631"/>
    <w:rsid w:val="00110AD7"/>
    <w:rsid w:val="00111701"/>
    <w:rsid w:val="00113704"/>
    <w:rsid w:val="00120886"/>
    <w:rsid w:val="00124780"/>
    <w:rsid w:val="00131CBA"/>
    <w:rsid w:val="00133EB2"/>
    <w:rsid w:val="00136C5A"/>
    <w:rsid w:val="0014487B"/>
    <w:rsid w:val="0014495F"/>
    <w:rsid w:val="00154196"/>
    <w:rsid w:val="00160813"/>
    <w:rsid w:val="00161A06"/>
    <w:rsid w:val="00161C3F"/>
    <w:rsid w:val="00176A53"/>
    <w:rsid w:val="001851F4"/>
    <w:rsid w:val="001D0F71"/>
    <w:rsid w:val="001D523A"/>
    <w:rsid w:val="001E63FF"/>
    <w:rsid w:val="001F0499"/>
    <w:rsid w:val="001F7CE0"/>
    <w:rsid w:val="002022FB"/>
    <w:rsid w:val="00205B73"/>
    <w:rsid w:val="00215C95"/>
    <w:rsid w:val="002168EF"/>
    <w:rsid w:val="00217A73"/>
    <w:rsid w:val="002331C1"/>
    <w:rsid w:val="002362FD"/>
    <w:rsid w:val="00236867"/>
    <w:rsid w:val="00250AE2"/>
    <w:rsid w:val="00250E2A"/>
    <w:rsid w:val="00253666"/>
    <w:rsid w:val="00264EB9"/>
    <w:rsid w:val="002670A0"/>
    <w:rsid w:val="00273172"/>
    <w:rsid w:val="00275636"/>
    <w:rsid w:val="00297393"/>
    <w:rsid w:val="002A117E"/>
    <w:rsid w:val="002A12BC"/>
    <w:rsid w:val="002A20D8"/>
    <w:rsid w:val="002A6994"/>
    <w:rsid w:val="002B14CA"/>
    <w:rsid w:val="002B31BA"/>
    <w:rsid w:val="002C233A"/>
    <w:rsid w:val="002C4CCE"/>
    <w:rsid w:val="002C5DC5"/>
    <w:rsid w:val="002D6C53"/>
    <w:rsid w:val="002E662C"/>
    <w:rsid w:val="002F0285"/>
    <w:rsid w:val="002F1AF5"/>
    <w:rsid w:val="002F3ADB"/>
    <w:rsid w:val="002F6B86"/>
    <w:rsid w:val="003128DA"/>
    <w:rsid w:val="003137E4"/>
    <w:rsid w:val="00313FE0"/>
    <w:rsid w:val="0031693C"/>
    <w:rsid w:val="003255E0"/>
    <w:rsid w:val="00330A53"/>
    <w:rsid w:val="00334E6F"/>
    <w:rsid w:val="003476E6"/>
    <w:rsid w:val="00350AC9"/>
    <w:rsid w:val="00374F67"/>
    <w:rsid w:val="003856F4"/>
    <w:rsid w:val="003977BA"/>
    <w:rsid w:val="003A2BA8"/>
    <w:rsid w:val="003A4349"/>
    <w:rsid w:val="003B1C77"/>
    <w:rsid w:val="003B5359"/>
    <w:rsid w:val="003C22E6"/>
    <w:rsid w:val="003C56F8"/>
    <w:rsid w:val="003D3897"/>
    <w:rsid w:val="003D6C63"/>
    <w:rsid w:val="003E09C5"/>
    <w:rsid w:val="003E1FFF"/>
    <w:rsid w:val="003E7AE7"/>
    <w:rsid w:val="003F0E6B"/>
    <w:rsid w:val="003F1E5F"/>
    <w:rsid w:val="003F64C6"/>
    <w:rsid w:val="00403249"/>
    <w:rsid w:val="004036EF"/>
    <w:rsid w:val="00404A62"/>
    <w:rsid w:val="00406ECB"/>
    <w:rsid w:val="0041513A"/>
    <w:rsid w:val="004264A9"/>
    <w:rsid w:val="0044394E"/>
    <w:rsid w:val="00444A29"/>
    <w:rsid w:val="00450BBD"/>
    <w:rsid w:val="00451888"/>
    <w:rsid w:val="00456AE3"/>
    <w:rsid w:val="00465CA8"/>
    <w:rsid w:val="004765DF"/>
    <w:rsid w:val="004858DB"/>
    <w:rsid w:val="004944B7"/>
    <w:rsid w:val="004B1602"/>
    <w:rsid w:val="004B2DBD"/>
    <w:rsid w:val="004D6BD3"/>
    <w:rsid w:val="004E31DB"/>
    <w:rsid w:val="004E4AAF"/>
    <w:rsid w:val="004F5993"/>
    <w:rsid w:val="00512A36"/>
    <w:rsid w:val="00514C16"/>
    <w:rsid w:val="0052641C"/>
    <w:rsid w:val="005308EB"/>
    <w:rsid w:val="00535010"/>
    <w:rsid w:val="005444B1"/>
    <w:rsid w:val="00546630"/>
    <w:rsid w:val="005471A3"/>
    <w:rsid w:val="0055148E"/>
    <w:rsid w:val="00566767"/>
    <w:rsid w:val="005737E5"/>
    <w:rsid w:val="005B3AE6"/>
    <w:rsid w:val="005D46AF"/>
    <w:rsid w:val="005E1700"/>
    <w:rsid w:val="005E3CEC"/>
    <w:rsid w:val="005F10DF"/>
    <w:rsid w:val="005F4DEB"/>
    <w:rsid w:val="00600C91"/>
    <w:rsid w:val="006054E7"/>
    <w:rsid w:val="00614AB0"/>
    <w:rsid w:val="0063592F"/>
    <w:rsid w:val="00636789"/>
    <w:rsid w:val="006373AF"/>
    <w:rsid w:val="00641441"/>
    <w:rsid w:val="00647939"/>
    <w:rsid w:val="00651A7A"/>
    <w:rsid w:val="00677A40"/>
    <w:rsid w:val="00677EBE"/>
    <w:rsid w:val="00685227"/>
    <w:rsid w:val="00687E70"/>
    <w:rsid w:val="00692AE2"/>
    <w:rsid w:val="006A0AB2"/>
    <w:rsid w:val="006A778F"/>
    <w:rsid w:val="006B76CF"/>
    <w:rsid w:val="006C3668"/>
    <w:rsid w:val="006D49F0"/>
    <w:rsid w:val="006F0116"/>
    <w:rsid w:val="006F45BF"/>
    <w:rsid w:val="00714443"/>
    <w:rsid w:val="007148D1"/>
    <w:rsid w:val="007252E9"/>
    <w:rsid w:val="0074576C"/>
    <w:rsid w:val="00753192"/>
    <w:rsid w:val="00753922"/>
    <w:rsid w:val="00755EC6"/>
    <w:rsid w:val="007603B6"/>
    <w:rsid w:val="007643D6"/>
    <w:rsid w:val="00764F36"/>
    <w:rsid w:val="0076668A"/>
    <w:rsid w:val="0077039B"/>
    <w:rsid w:val="00774703"/>
    <w:rsid w:val="00780D24"/>
    <w:rsid w:val="007811E9"/>
    <w:rsid w:val="00793EFD"/>
    <w:rsid w:val="00797BB6"/>
    <w:rsid w:val="007B4EF7"/>
    <w:rsid w:val="007B51A7"/>
    <w:rsid w:val="007B531C"/>
    <w:rsid w:val="007E050E"/>
    <w:rsid w:val="007E26FA"/>
    <w:rsid w:val="007E3B22"/>
    <w:rsid w:val="0081340D"/>
    <w:rsid w:val="008135C0"/>
    <w:rsid w:val="00817BFA"/>
    <w:rsid w:val="00825178"/>
    <w:rsid w:val="008361DE"/>
    <w:rsid w:val="008433A3"/>
    <w:rsid w:val="00843D75"/>
    <w:rsid w:val="00845749"/>
    <w:rsid w:val="00847146"/>
    <w:rsid w:val="008502B9"/>
    <w:rsid w:val="008505E4"/>
    <w:rsid w:val="00850BB8"/>
    <w:rsid w:val="00864390"/>
    <w:rsid w:val="00866ECA"/>
    <w:rsid w:val="00871DF2"/>
    <w:rsid w:val="00873141"/>
    <w:rsid w:val="00883E29"/>
    <w:rsid w:val="00884315"/>
    <w:rsid w:val="008940A3"/>
    <w:rsid w:val="00894386"/>
    <w:rsid w:val="00894F27"/>
    <w:rsid w:val="00897F9E"/>
    <w:rsid w:val="008A1470"/>
    <w:rsid w:val="008B0A1D"/>
    <w:rsid w:val="008B1D25"/>
    <w:rsid w:val="008B6E75"/>
    <w:rsid w:val="008C4630"/>
    <w:rsid w:val="008C5404"/>
    <w:rsid w:val="008C77CD"/>
    <w:rsid w:val="008D0ADB"/>
    <w:rsid w:val="008D24B9"/>
    <w:rsid w:val="008D3257"/>
    <w:rsid w:val="008E33B6"/>
    <w:rsid w:val="008F0EA7"/>
    <w:rsid w:val="008F1DB1"/>
    <w:rsid w:val="008F4228"/>
    <w:rsid w:val="008F6AFD"/>
    <w:rsid w:val="009076AD"/>
    <w:rsid w:val="009163E5"/>
    <w:rsid w:val="00930EDA"/>
    <w:rsid w:val="00932543"/>
    <w:rsid w:val="009337C7"/>
    <w:rsid w:val="00941040"/>
    <w:rsid w:val="0094106B"/>
    <w:rsid w:val="00943271"/>
    <w:rsid w:val="00945E01"/>
    <w:rsid w:val="00951513"/>
    <w:rsid w:val="00960922"/>
    <w:rsid w:val="0098047C"/>
    <w:rsid w:val="00992D15"/>
    <w:rsid w:val="009A3EC2"/>
    <w:rsid w:val="009A607E"/>
    <w:rsid w:val="009B3397"/>
    <w:rsid w:val="009B7D07"/>
    <w:rsid w:val="009C3488"/>
    <w:rsid w:val="009D7A52"/>
    <w:rsid w:val="009E1E79"/>
    <w:rsid w:val="009E248D"/>
    <w:rsid w:val="009F18A8"/>
    <w:rsid w:val="00A024CF"/>
    <w:rsid w:val="00A06853"/>
    <w:rsid w:val="00A113CF"/>
    <w:rsid w:val="00A15C35"/>
    <w:rsid w:val="00A25536"/>
    <w:rsid w:val="00A34D5D"/>
    <w:rsid w:val="00A35116"/>
    <w:rsid w:val="00A36280"/>
    <w:rsid w:val="00A42B57"/>
    <w:rsid w:val="00A5232B"/>
    <w:rsid w:val="00A74CD2"/>
    <w:rsid w:val="00A958F2"/>
    <w:rsid w:val="00AA012C"/>
    <w:rsid w:val="00AA5A5E"/>
    <w:rsid w:val="00AA673B"/>
    <w:rsid w:val="00AA6F4B"/>
    <w:rsid w:val="00AA79A7"/>
    <w:rsid w:val="00AB731B"/>
    <w:rsid w:val="00AD290D"/>
    <w:rsid w:val="00AE1D50"/>
    <w:rsid w:val="00AE67C6"/>
    <w:rsid w:val="00AF0A44"/>
    <w:rsid w:val="00B01D9C"/>
    <w:rsid w:val="00B024D3"/>
    <w:rsid w:val="00B100D1"/>
    <w:rsid w:val="00B13372"/>
    <w:rsid w:val="00B16C14"/>
    <w:rsid w:val="00B246A7"/>
    <w:rsid w:val="00B24FB3"/>
    <w:rsid w:val="00B2584C"/>
    <w:rsid w:val="00B26656"/>
    <w:rsid w:val="00B3061B"/>
    <w:rsid w:val="00B31808"/>
    <w:rsid w:val="00B3352F"/>
    <w:rsid w:val="00B35457"/>
    <w:rsid w:val="00B42433"/>
    <w:rsid w:val="00B42C26"/>
    <w:rsid w:val="00B4663C"/>
    <w:rsid w:val="00B64E4B"/>
    <w:rsid w:val="00B66F86"/>
    <w:rsid w:val="00B75BA8"/>
    <w:rsid w:val="00BA150A"/>
    <w:rsid w:val="00BA243A"/>
    <w:rsid w:val="00BA35B1"/>
    <w:rsid w:val="00BA55E6"/>
    <w:rsid w:val="00BB799C"/>
    <w:rsid w:val="00BD3E63"/>
    <w:rsid w:val="00BE190A"/>
    <w:rsid w:val="00BE1F81"/>
    <w:rsid w:val="00BE7AA9"/>
    <w:rsid w:val="00C00588"/>
    <w:rsid w:val="00C011DB"/>
    <w:rsid w:val="00C0242F"/>
    <w:rsid w:val="00C050FC"/>
    <w:rsid w:val="00C05D13"/>
    <w:rsid w:val="00C1223E"/>
    <w:rsid w:val="00C16267"/>
    <w:rsid w:val="00C34E7C"/>
    <w:rsid w:val="00C40FD7"/>
    <w:rsid w:val="00C417F8"/>
    <w:rsid w:val="00C55788"/>
    <w:rsid w:val="00C57EC2"/>
    <w:rsid w:val="00C73E2C"/>
    <w:rsid w:val="00C76106"/>
    <w:rsid w:val="00C94AC6"/>
    <w:rsid w:val="00C974C1"/>
    <w:rsid w:val="00CA2456"/>
    <w:rsid w:val="00CB3417"/>
    <w:rsid w:val="00CC10EB"/>
    <w:rsid w:val="00CD15F4"/>
    <w:rsid w:val="00CE113D"/>
    <w:rsid w:val="00CF14FE"/>
    <w:rsid w:val="00CF1B99"/>
    <w:rsid w:val="00D04339"/>
    <w:rsid w:val="00D06D5A"/>
    <w:rsid w:val="00D11C46"/>
    <w:rsid w:val="00D137BB"/>
    <w:rsid w:val="00D22615"/>
    <w:rsid w:val="00D234EF"/>
    <w:rsid w:val="00D27D0E"/>
    <w:rsid w:val="00D301DF"/>
    <w:rsid w:val="00D31B55"/>
    <w:rsid w:val="00D3339C"/>
    <w:rsid w:val="00D45E81"/>
    <w:rsid w:val="00D54735"/>
    <w:rsid w:val="00D71892"/>
    <w:rsid w:val="00D728B7"/>
    <w:rsid w:val="00D74840"/>
    <w:rsid w:val="00D865EF"/>
    <w:rsid w:val="00D87070"/>
    <w:rsid w:val="00D90D0A"/>
    <w:rsid w:val="00DA083E"/>
    <w:rsid w:val="00DA42DE"/>
    <w:rsid w:val="00DA7277"/>
    <w:rsid w:val="00DB76BA"/>
    <w:rsid w:val="00DC1540"/>
    <w:rsid w:val="00DC3B61"/>
    <w:rsid w:val="00DD5B42"/>
    <w:rsid w:val="00DE0F2A"/>
    <w:rsid w:val="00DE488F"/>
    <w:rsid w:val="00DF7DA0"/>
    <w:rsid w:val="00E0317F"/>
    <w:rsid w:val="00E03347"/>
    <w:rsid w:val="00E075BC"/>
    <w:rsid w:val="00E13F4E"/>
    <w:rsid w:val="00E205CA"/>
    <w:rsid w:val="00E2507A"/>
    <w:rsid w:val="00E364CA"/>
    <w:rsid w:val="00E459C8"/>
    <w:rsid w:val="00E5023A"/>
    <w:rsid w:val="00E53C08"/>
    <w:rsid w:val="00E71984"/>
    <w:rsid w:val="00E732B3"/>
    <w:rsid w:val="00E80070"/>
    <w:rsid w:val="00E831BE"/>
    <w:rsid w:val="00E87EF5"/>
    <w:rsid w:val="00E928BF"/>
    <w:rsid w:val="00EA0201"/>
    <w:rsid w:val="00EA0E82"/>
    <w:rsid w:val="00EA5495"/>
    <w:rsid w:val="00EA58CA"/>
    <w:rsid w:val="00EA5D49"/>
    <w:rsid w:val="00EA5F09"/>
    <w:rsid w:val="00EC2224"/>
    <w:rsid w:val="00EC2A76"/>
    <w:rsid w:val="00ED2174"/>
    <w:rsid w:val="00ED7861"/>
    <w:rsid w:val="00EE5131"/>
    <w:rsid w:val="00EE6D02"/>
    <w:rsid w:val="00EE7290"/>
    <w:rsid w:val="00EE7D06"/>
    <w:rsid w:val="00EF01F8"/>
    <w:rsid w:val="00EF0C31"/>
    <w:rsid w:val="00F13B77"/>
    <w:rsid w:val="00F161ED"/>
    <w:rsid w:val="00F26FC5"/>
    <w:rsid w:val="00F271EF"/>
    <w:rsid w:val="00F33AC4"/>
    <w:rsid w:val="00F37087"/>
    <w:rsid w:val="00F537EB"/>
    <w:rsid w:val="00F54434"/>
    <w:rsid w:val="00F609F6"/>
    <w:rsid w:val="00F65572"/>
    <w:rsid w:val="00F6701C"/>
    <w:rsid w:val="00F90479"/>
    <w:rsid w:val="00F91236"/>
    <w:rsid w:val="00FA057D"/>
    <w:rsid w:val="00FB6D0C"/>
    <w:rsid w:val="00FD0B82"/>
    <w:rsid w:val="00FE1E22"/>
    <w:rsid w:val="00FE216A"/>
    <w:rsid w:val="00FE236E"/>
    <w:rsid w:val="00FE5273"/>
    <w:rsid w:val="00FE598F"/>
    <w:rsid w:val="00FE71D8"/>
    <w:rsid w:val="00FE788C"/>
    <w:rsid w:val="00FF1B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003B5"/>
    <w:pPr>
      <w:spacing w:after="0" w:line="240" w:lineRule="auto"/>
    </w:pPr>
    <w:rPr>
      <w:rFonts w:ascii="Times New Roman" w:eastAsia="Times New Roman" w:hAnsi="Times New Roman" w:cs="Times New Roman"/>
      <w:sz w:val="24"/>
      <w:szCs w:val="24"/>
      <w:lang w:eastAsia="lv-LV"/>
    </w:rPr>
  </w:style>
  <w:style w:type="paragraph" w:styleId="Virsraksts5">
    <w:name w:val="heading 5"/>
    <w:basedOn w:val="Parastais"/>
    <w:next w:val="Parastais"/>
    <w:link w:val="Virsraksts5Rakstz"/>
    <w:uiPriority w:val="9"/>
    <w:semiHidden/>
    <w:unhideWhenUsed/>
    <w:qFormat/>
    <w:rsid w:val="00ED2174"/>
    <w:pPr>
      <w:spacing w:before="240" w:after="60"/>
      <w:outlineLvl w:val="4"/>
    </w:pPr>
    <w:rPr>
      <w:b/>
      <w:bCs/>
      <w:i/>
      <w:iCs/>
      <w:sz w:val="26"/>
      <w:szCs w:val="26"/>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1003B5"/>
    <w:pPr>
      <w:tabs>
        <w:tab w:val="center" w:pos="4153"/>
        <w:tab w:val="right" w:pos="8306"/>
      </w:tabs>
    </w:pPr>
  </w:style>
  <w:style w:type="character" w:customStyle="1" w:styleId="GalveneRakstz">
    <w:name w:val="Galvene Rakstz."/>
    <w:basedOn w:val="Noklusjumarindkopasfonts"/>
    <w:link w:val="Galvene"/>
    <w:rsid w:val="001003B5"/>
    <w:rPr>
      <w:rFonts w:ascii="Times New Roman" w:eastAsia="Times New Roman" w:hAnsi="Times New Roman" w:cs="Times New Roman"/>
      <w:sz w:val="24"/>
      <w:szCs w:val="24"/>
      <w:lang w:eastAsia="lv-LV"/>
    </w:rPr>
  </w:style>
  <w:style w:type="character" w:styleId="Lappusesnumurs">
    <w:name w:val="page number"/>
    <w:basedOn w:val="Noklusjumarindkopasfonts"/>
    <w:rsid w:val="001003B5"/>
  </w:style>
  <w:style w:type="paragraph" w:customStyle="1" w:styleId="naisf">
    <w:name w:val="naisf"/>
    <w:basedOn w:val="Parastais"/>
    <w:rsid w:val="001003B5"/>
    <w:pPr>
      <w:spacing w:before="75" w:after="75"/>
      <w:ind w:firstLine="375"/>
      <w:jc w:val="both"/>
    </w:pPr>
  </w:style>
  <w:style w:type="paragraph" w:customStyle="1" w:styleId="naislab">
    <w:name w:val="naislab"/>
    <w:basedOn w:val="Parastais"/>
    <w:rsid w:val="001003B5"/>
    <w:pPr>
      <w:spacing w:before="75" w:after="75"/>
      <w:jc w:val="right"/>
    </w:pPr>
  </w:style>
  <w:style w:type="paragraph" w:customStyle="1" w:styleId="naiskr">
    <w:name w:val="naiskr"/>
    <w:basedOn w:val="Parastais"/>
    <w:rsid w:val="001003B5"/>
    <w:pPr>
      <w:spacing w:before="75" w:after="75"/>
    </w:pPr>
  </w:style>
  <w:style w:type="table" w:styleId="Reatabula">
    <w:name w:val="Table Grid"/>
    <w:basedOn w:val="Parastatabula"/>
    <w:rsid w:val="001003B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basedOn w:val="Noklusjumarindkopasfonts"/>
    <w:uiPriority w:val="22"/>
    <w:qFormat/>
    <w:rsid w:val="001003B5"/>
    <w:rPr>
      <w:b/>
      <w:bCs/>
    </w:rPr>
  </w:style>
  <w:style w:type="character" w:styleId="Hipersaite">
    <w:name w:val="Hyperlink"/>
    <w:basedOn w:val="Noklusjumarindkopasfonts"/>
    <w:rsid w:val="001003B5"/>
    <w:rPr>
      <w:color w:val="0000FF"/>
      <w:u w:val="single"/>
    </w:rPr>
  </w:style>
  <w:style w:type="paragraph" w:styleId="Kjene">
    <w:name w:val="footer"/>
    <w:basedOn w:val="Parastais"/>
    <w:link w:val="KjeneRakstz"/>
    <w:uiPriority w:val="99"/>
    <w:semiHidden/>
    <w:unhideWhenUsed/>
    <w:rsid w:val="001003B5"/>
    <w:pPr>
      <w:tabs>
        <w:tab w:val="center" w:pos="4153"/>
        <w:tab w:val="right" w:pos="8306"/>
      </w:tabs>
    </w:pPr>
  </w:style>
  <w:style w:type="character" w:customStyle="1" w:styleId="KjeneRakstz">
    <w:name w:val="Kājene Rakstz."/>
    <w:basedOn w:val="Noklusjumarindkopasfonts"/>
    <w:link w:val="Kjene"/>
    <w:uiPriority w:val="99"/>
    <w:semiHidden/>
    <w:rsid w:val="001003B5"/>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215C9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C95"/>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C94AC6"/>
    <w:rPr>
      <w:sz w:val="16"/>
      <w:szCs w:val="16"/>
    </w:rPr>
  </w:style>
  <w:style w:type="paragraph" w:styleId="Komentrateksts">
    <w:name w:val="annotation text"/>
    <w:basedOn w:val="Parastais"/>
    <w:link w:val="KomentratekstsRakstz"/>
    <w:uiPriority w:val="99"/>
    <w:semiHidden/>
    <w:unhideWhenUsed/>
    <w:rsid w:val="00C94AC6"/>
    <w:rPr>
      <w:sz w:val="20"/>
      <w:szCs w:val="20"/>
    </w:rPr>
  </w:style>
  <w:style w:type="character" w:customStyle="1" w:styleId="KomentratekstsRakstz">
    <w:name w:val="Komentāra teksts Rakstz."/>
    <w:basedOn w:val="Noklusjumarindkopasfonts"/>
    <w:link w:val="Komentrateksts"/>
    <w:uiPriority w:val="99"/>
    <w:semiHidden/>
    <w:rsid w:val="00C94AC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94AC6"/>
    <w:rPr>
      <w:b/>
      <w:bCs/>
    </w:rPr>
  </w:style>
  <w:style w:type="character" w:customStyle="1" w:styleId="KomentratmaRakstz">
    <w:name w:val="Komentāra tēma Rakstz."/>
    <w:basedOn w:val="KomentratekstsRakstz"/>
    <w:link w:val="Komentratma"/>
    <w:uiPriority w:val="99"/>
    <w:semiHidden/>
    <w:rsid w:val="00C94AC6"/>
    <w:rPr>
      <w:b/>
      <w:bCs/>
    </w:rPr>
  </w:style>
  <w:style w:type="paragraph" w:styleId="Bezatstarpm">
    <w:name w:val="No Spacing"/>
    <w:uiPriority w:val="1"/>
    <w:qFormat/>
    <w:rsid w:val="00C94AC6"/>
    <w:pPr>
      <w:spacing w:after="0" w:line="240" w:lineRule="auto"/>
    </w:pPr>
    <w:rPr>
      <w:rFonts w:ascii="Calibri" w:eastAsia="Calibri" w:hAnsi="Calibri" w:cs="Times New Roman"/>
    </w:rPr>
  </w:style>
  <w:style w:type="paragraph" w:customStyle="1" w:styleId="tvhtml">
    <w:name w:val="tv_html"/>
    <w:basedOn w:val="Parastais"/>
    <w:rsid w:val="009E1E79"/>
    <w:pPr>
      <w:spacing w:before="100" w:beforeAutospacing="1" w:after="100" w:afterAutospacing="1"/>
    </w:pPr>
    <w:rPr>
      <w:rFonts w:ascii="Verdana" w:hAnsi="Verdana"/>
      <w:sz w:val="18"/>
      <w:szCs w:val="18"/>
    </w:rPr>
  </w:style>
  <w:style w:type="paragraph" w:customStyle="1" w:styleId="NChar1CharCharCharCharCharChar">
    <w:name w:val="N Char1 Char Char Char Char Char Char"/>
    <w:basedOn w:val="Parastais"/>
    <w:autoRedefine/>
    <w:rsid w:val="008C5404"/>
    <w:pPr>
      <w:tabs>
        <w:tab w:val="right" w:pos="9781"/>
      </w:tabs>
      <w:jc w:val="both"/>
    </w:pPr>
  </w:style>
  <w:style w:type="paragraph" w:customStyle="1" w:styleId="naisnod">
    <w:name w:val="naisnod"/>
    <w:basedOn w:val="Parastais"/>
    <w:rsid w:val="00825178"/>
    <w:pPr>
      <w:spacing w:before="150" w:after="150"/>
      <w:jc w:val="center"/>
    </w:pPr>
    <w:rPr>
      <w:b/>
      <w:bCs/>
    </w:rPr>
  </w:style>
  <w:style w:type="character" w:customStyle="1" w:styleId="Virsraksts5Rakstz">
    <w:name w:val="Virsraksts 5 Rakstz."/>
    <w:basedOn w:val="Noklusjumarindkopasfonts"/>
    <w:link w:val="Virsraksts5"/>
    <w:uiPriority w:val="9"/>
    <w:semiHidden/>
    <w:rsid w:val="00ED2174"/>
    <w:rPr>
      <w:rFonts w:ascii="Times New Roman" w:eastAsia="Times New Roman" w:hAnsi="Times New Roman" w:cs="Times New Roman"/>
      <w:b/>
      <w:bCs/>
      <w:i/>
      <w:iCs/>
      <w:sz w:val="26"/>
      <w:szCs w:val="26"/>
      <w:lang w:val="en-GB"/>
    </w:rPr>
  </w:style>
  <w:style w:type="paragraph" w:customStyle="1" w:styleId="naisc">
    <w:name w:val="naisc"/>
    <w:basedOn w:val="Parastais"/>
    <w:rsid w:val="00ED2174"/>
    <w:pPr>
      <w:spacing w:before="75" w:after="75"/>
      <w:jc w:val="center"/>
    </w:pPr>
    <w:rPr>
      <w:rFonts w:eastAsia="Calibri"/>
    </w:rPr>
  </w:style>
  <w:style w:type="paragraph" w:styleId="Sarakstarindkopa">
    <w:name w:val="List Paragraph"/>
    <w:basedOn w:val="Parastais"/>
    <w:uiPriority w:val="34"/>
    <w:qFormat/>
    <w:rsid w:val="000B45FF"/>
    <w:pPr>
      <w:spacing w:after="200" w:line="276" w:lineRule="auto"/>
      <w:ind w:left="720"/>
    </w:pPr>
    <w:rPr>
      <w:rFonts w:ascii="Calibri" w:eastAsiaTheme="minorHAnsi" w:hAnsi="Calibri"/>
      <w:sz w:val="22"/>
      <w:szCs w:val="22"/>
    </w:rPr>
  </w:style>
  <w:style w:type="character" w:styleId="Vietturateksts">
    <w:name w:val="Placeholder Text"/>
    <w:basedOn w:val="Noklusjumarindkopasfonts"/>
    <w:uiPriority w:val="99"/>
    <w:semiHidden/>
    <w:rsid w:val="003D6C63"/>
    <w:rPr>
      <w:color w:val="808080"/>
    </w:rPr>
  </w:style>
  <w:style w:type="paragraph" w:customStyle="1" w:styleId="Parastais1">
    <w:name w:val="Parastais1"/>
    <w:qFormat/>
    <w:rsid w:val="00951513"/>
    <w:pPr>
      <w:widowControl w:val="0"/>
      <w:spacing w:before="60" w:after="60" w:line="360" w:lineRule="auto"/>
      <w:ind w:firstLine="720"/>
      <w:jc w:val="both"/>
    </w:pPr>
    <w:rPr>
      <w:rFonts w:ascii="Times New Roman" w:eastAsia="Times New Roman" w:hAnsi="Times New Roman" w:cs="Times New Roman"/>
      <w:sz w:val="26"/>
      <w:szCs w:val="20"/>
    </w:rPr>
  </w:style>
  <w:style w:type="character" w:styleId="Izmantotahipersaite">
    <w:name w:val="FollowedHyperlink"/>
    <w:basedOn w:val="Noklusjumarindkopasfonts"/>
    <w:uiPriority w:val="99"/>
    <w:semiHidden/>
    <w:unhideWhenUsed/>
    <w:rsid w:val="00D137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25745">
      <w:bodyDiv w:val="1"/>
      <w:marLeft w:val="0"/>
      <w:marRight w:val="0"/>
      <w:marTop w:val="0"/>
      <w:marBottom w:val="0"/>
      <w:divBdr>
        <w:top w:val="none" w:sz="0" w:space="0" w:color="auto"/>
        <w:left w:val="none" w:sz="0" w:space="0" w:color="auto"/>
        <w:bottom w:val="none" w:sz="0" w:space="0" w:color="auto"/>
        <w:right w:val="none" w:sz="0" w:space="0" w:color="auto"/>
      </w:divBdr>
    </w:div>
    <w:div w:id="110712804">
      <w:bodyDiv w:val="1"/>
      <w:marLeft w:val="0"/>
      <w:marRight w:val="0"/>
      <w:marTop w:val="0"/>
      <w:marBottom w:val="0"/>
      <w:divBdr>
        <w:top w:val="none" w:sz="0" w:space="0" w:color="auto"/>
        <w:left w:val="none" w:sz="0" w:space="0" w:color="auto"/>
        <w:bottom w:val="none" w:sz="0" w:space="0" w:color="auto"/>
        <w:right w:val="none" w:sz="0" w:space="0" w:color="auto"/>
      </w:divBdr>
    </w:div>
    <w:div w:id="520433707">
      <w:bodyDiv w:val="1"/>
      <w:marLeft w:val="0"/>
      <w:marRight w:val="0"/>
      <w:marTop w:val="0"/>
      <w:marBottom w:val="0"/>
      <w:divBdr>
        <w:top w:val="none" w:sz="0" w:space="0" w:color="auto"/>
        <w:left w:val="none" w:sz="0" w:space="0" w:color="auto"/>
        <w:bottom w:val="none" w:sz="0" w:space="0" w:color="auto"/>
        <w:right w:val="none" w:sz="0" w:space="0" w:color="auto"/>
      </w:divBdr>
    </w:div>
    <w:div w:id="676155282">
      <w:bodyDiv w:val="1"/>
      <w:marLeft w:val="0"/>
      <w:marRight w:val="0"/>
      <w:marTop w:val="0"/>
      <w:marBottom w:val="0"/>
      <w:divBdr>
        <w:top w:val="none" w:sz="0" w:space="0" w:color="auto"/>
        <w:left w:val="none" w:sz="0" w:space="0" w:color="auto"/>
        <w:bottom w:val="none" w:sz="0" w:space="0" w:color="auto"/>
        <w:right w:val="none" w:sz="0" w:space="0" w:color="auto"/>
      </w:divBdr>
    </w:div>
    <w:div w:id="686715924">
      <w:bodyDiv w:val="1"/>
      <w:marLeft w:val="0"/>
      <w:marRight w:val="0"/>
      <w:marTop w:val="0"/>
      <w:marBottom w:val="0"/>
      <w:divBdr>
        <w:top w:val="none" w:sz="0" w:space="0" w:color="auto"/>
        <w:left w:val="none" w:sz="0" w:space="0" w:color="auto"/>
        <w:bottom w:val="none" w:sz="0" w:space="0" w:color="auto"/>
        <w:right w:val="none" w:sz="0" w:space="0" w:color="auto"/>
      </w:divBdr>
    </w:div>
    <w:div w:id="850876373">
      <w:bodyDiv w:val="1"/>
      <w:marLeft w:val="0"/>
      <w:marRight w:val="0"/>
      <w:marTop w:val="0"/>
      <w:marBottom w:val="0"/>
      <w:divBdr>
        <w:top w:val="none" w:sz="0" w:space="0" w:color="auto"/>
        <w:left w:val="none" w:sz="0" w:space="0" w:color="auto"/>
        <w:bottom w:val="none" w:sz="0" w:space="0" w:color="auto"/>
        <w:right w:val="none" w:sz="0" w:space="0" w:color="auto"/>
      </w:divBdr>
    </w:div>
    <w:div w:id="1019963962">
      <w:bodyDiv w:val="1"/>
      <w:marLeft w:val="0"/>
      <w:marRight w:val="0"/>
      <w:marTop w:val="0"/>
      <w:marBottom w:val="0"/>
      <w:divBdr>
        <w:top w:val="none" w:sz="0" w:space="0" w:color="auto"/>
        <w:left w:val="none" w:sz="0" w:space="0" w:color="auto"/>
        <w:bottom w:val="none" w:sz="0" w:space="0" w:color="auto"/>
        <w:right w:val="none" w:sz="0" w:space="0" w:color="auto"/>
      </w:divBdr>
    </w:div>
    <w:div w:id="1401633310">
      <w:bodyDiv w:val="1"/>
      <w:marLeft w:val="0"/>
      <w:marRight w:val="0"/>
      <w:marTop w:val="0"/>
      <w:marBottom w:val="0"/>
      <w:divBdr>
        <w:top w:val="none" w:sz="0" w:space="0" w:color="auto"/>
        <w:left w:val="none" w:sz="0" w:space="0" w:color="auto"/>
        <w:bottom w:val="none" w:sz="0" w:space="0" w:color="auto"/>
        <w:right w:val="none" w:sz="0" w:space="0" w:color="auto"/>
      </w:divBdr>
    </w:div>
    <w:div w:id="1487278971">
      <w:bodyDiv w:val="1"/>
      <w:marLeft w:val="0"/>
      <w:marRight w:val="0"/>
      <w:marTop w:val="0"/>
      <w:marBottom w:val="0"/>
      <w:divBdr>
        <w:top w:val="none" w:sz="0" w:space="0" w:color="auto"/>
        <w:left w:val="none" w:sz="0" w:space="0" w:color="auto"/>
        <w:bottom w:val="none" w:sz="0" w:space="0" w:color="auto"/>
        <w:right w:val="none" w:sz="0" w:space="0" w:color="auto"/>
      </w:divBdr>
    </w:div>
    <w:div w:id="1507935596">
      <w:bodyDiv w:val="1"/>
      <w:marLeft w:val="0"/>
      <w:marRight w:val="0"/>
      <w:marTop w:val="0"/>
      <w:marBottom w:val="0"/>
      <w:divBdr>
        <w:top w:val="none" w:sz="0" w:space="0" w:color="auto"/>
        <w:left w:val="none" w:sz="0" w:space="0" w:color="auto"/>
        <w:bottom w:val="none" w:sz="0" w:space="0" w:color="auto"/>
        <w:right w:val="none" w:sz="0" w:space="0" w:color="auto"/>
      </w:divBdr>
    </w:div>
    <w:div w:id="1638876159">
      <w:bodyDiv w:val="1"/>
      <w:marLeft w:val="53"/>
      <w:marRight w:val="53"/>
      <w:marTop w:val="105"/>
      <w:marBottom w:val="105"/>
      <w:divBdr>
        <w:top w:val="none" w:sz="0" w:space="0" w:color="auto"/>
        <w:left w:val="none" w:sz="0" w:space="0" w:color="auto"/>
        <w:bottom w:val="none" w:sz="0" w:space="0" w:color="auto"/>
        <w:right w:val="none" w:sz="0" w:space="0" w:color="auto"/>
      </w:divBdr>
      <w:divsChild>
        <w:div w:id="1272736017">
          <w:marLeft w:val="0"/>
          <w:marRight w:val="0"/>
          <w:marTop w:val="0"/>
          <w:marBottom w:val="567"/>
          <w:divBdr>
            <w:top w:val="none" w:sz="0" w:space="0" w:color="auto"/>
            <w:left w:val="none" w:sz="0" w:space="0" w:color="auto"/>
            <w:bottom w:val="none" w:sz="0" w:space="0" w:color="auto"/>
            <w:right w:val="none" w:sz="0" w:space="0" w:color="auto"/>
          </w:divBdr>
        </w:div>
      </w:divsChild>
    </w:div>
    <w:div w:id="1650551736">
      <w:bodyDiv w:val="1"/>
      <w:marLeft w:val="0"/>
      <w:marRight w:val="0"/>
      <w:marTop w:val="0"/>
      <w:marBottom w:val="0"/>
      <w:divBdr>
        <w:top w:val="none" w:sz="0" w:space="0" w:color="auto"/>
        <w:left w:val="none" w:sz="0" w:space="0" w:color="auto"/>
        <w:bottom w:val="none" w:sz="0" w:space="0" w:color="auto"/>
        <w:right w:val="none" w:sz="0" w:space="0" w:color="auto"/>
      </w:divBdr>
    </w:div>
    <w:div w:id="1754548908">
      <w:bodyDiv w:val="1"/>
      <w:marLeft w:val="0"/>
      <w:marRight w:val="0"/>
      <w:marTop w:val="0"/>
      <w:marBottom w:val="0"/>
      <w:divBdr>
        <w:top w:val="none" w:sz="0" w:space="0" w:color="auto"/>
        <w:left w:val="none" w:sz="0" w:space="0" w:color="auto"/>
        <w:bottom w:val="none" w:sz="0" w:space="0" w:color="auto"/>
        <w:right w:val="none" w:sz="0" w:space="0" w:color="auto"/>
      </w:divBdr>
    </w:div>
    <w:div w:id="1873837033">
      <w:bodyDiv w:val="1"/>
      <w:marLeft w:val="0"/>
      <w:marRight w:val="0"/>
      <w:marTop w:val="0"/>
      <w:marBottom w:val="0"/>
      <w:divBdr>
        <w:top w:val="none" w:sz="0" w:space="0" w:color="auto"/>
        <w:left w:val="none" w:sz="0" w:space="0" w:color="auto"/>
        <w:bottom w:val="none" w:sz="0" w:space="0" w:color="auto"/>
        <w:right w:val="none" w:sz="0" w:space="0" w:color="auto"/>
      </w:divBdr>
    </w:div>
    <w:div w:id="1884251291">
      <w:bodyDiv w:val="1"/>
      <w:marLeft w:val="0"/>
      <w:marRight w:val="0"/>
      <w:marTop w:val="0"/>
      <w:marBottom w:val="0"/>
      <w:divBdr>
        <w:top w:val="none" w:sz="0" w:space="0" w:color="auto"/>
        <w:left w:val="none" w:sz="0" w:space="0" w:color="auto"/>
        <w:bottom w:val="none" w:sz="0" w:space="0" w:color="auto"/>
        <w:right w:val="none" w:sz="0" w:space="0" w:color="auto"/>
      </w:divBdr>
    </w:div>
    <w:div w:id="1907571621">
      <w:bodyDiv w:val="1"/>
      <w:marLeft w:val="0"/>
      <w:marRight w:val="0"/>
      <w:marTop w:val="0"/>
      <w:marBottom w:val="0"/>
      <w:divBdr>
        <w:top w:val="none" w:sz="0" w:space="0" w:color="auto"/>
        <w:left w:val="none" w:sz="0" w:space="0" w:color="auto"/>
        <w:bottom w:val="none" w:sz="0" w:space="0" w:color="auto"/>
        <w:right w:val="none" w:sz="0" w:space="0" w:color="auto"/>
      </w:divBdr>
    </w:div>
    <w:div w:id="1930919430">
      <w:bodyDiv w:val="1"/>
      <w:marLeft w:val="0"/>
      <w:marRight w:val="0"/>
      <w:marTop w:val="0"/>
      <w:marBottom w:val="0"/>
      <w:divBdr>
        <w:top w:val="none" w:sz="0" w:space="0" w:color="auto"/>
        <w:left w:val="none" w:sz="0" w:space="0" w:color="auto"/>
        <w:bottom w:val="none" w:sz="0" w:space="0" w:color="auto"/>
        <w:right w:val="none" w:sz="0" w:space="0" w:color="auto"/>
      </w:divBdr>
    </w:div>
    <w:div w:id="2071615998">
      <w:bodyDiv w:val="1"/>
      <w:marLeft w:val="0"/>
      <w:marRight w:val="0"/>
      <w:marTop w:val="0"/>
      <w:marBottom w:val="0"/>
      <w:divBdr>
        <w:top w:val="none" w:sz="0" w:space="0" w:color="auto"/>
        <w:left w:val="none" w:sz="0" w:space="0" w:color="auto"/>
        <w:bottom w:val="none" w:sz="0" w:space="0" w:color="auto"/>
        <w:right w:val="none" w:sz="0" w:space="0" w:color="auto"/>
      </w:divBdr>
    </w:div>
    <w:div w:id="2085060152">
      <w:bodyDiv w:val="1"/>
      <w:marLeft w:val="45"/>
      <w:marRight w:val="45"/>
      <w:marTop w:val="90"/>
      <w:marBottom w:val="90"/>
      <w:divBdr>
        <w:top w:val="none" w:sz="0" w:space="0" w:color="auto"/>
        <w:left w:val="none" w:sz="0" w:space="0" w:color="auto"/>
        <w:bottom w:val="none" w:sz="0" w:space="0" w:color="auto"/>
        <w:right w:val="none" w:sz="0" w:space="0" w:color="auto"/>
      </w:divBdr>
      <w:divsChild>
        <w:div w:id="199251934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atis.Preimanis@km.gov.lv" TargetMode="External"/><Relationship Id="rId4" Type="http://schemas.openxmlformats.org/officeDocument/2006/relationships/styles" Target="styles.xml"/><Relationship Id="rId9" Type="http://schemas.openxmlformats.org/officeDocument/2006/relationships/hyperlink" Target="http://www.likumi.lv/doc.php?id=74750"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B5BEE7-9E9C-4227-814C-A21F8E2D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6587</Words>
  <Characters>3756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Ministru kabineta noteikumu projekta „Noteikumi par Eiropas Trešo valstu valstspiederīgo integrācijas fonda 2010.gada programmas aktivitāšu īstenošanu” sākotnējās ietekmes novērtējuma ziņojums (anotācija)</vt:lpstr>
    </vt:vector>
  </TitlesOfParts>
  <Company>LR Kultūras Ministrija</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25.jūnija noteikumos Nr.347 „Noteikumi par Eiropas Trešo valstu valstspiederīgo integrācijas fonda 2012.gada programmas aktivitāšu īstenošanu”” sākotnējās ietekmes novērtējuma ziņojums (anotācija)</dc:title>
  <dc:subject>anotācija</dc:subject>
  <dc:creator>G.Preimanis</dc:creator>
  <dc:description>Tālr.: 67330314, fakss 67227916
Gatis.Preimanis@km.gov.lv</dc:description>
  <cp:lastModifiedBy>Dzintra Rozīte</cp:lastModifiedBy>
  <cp:revision>8</cp:revision>
  <cp:lastPrinted>2014-01-27T08:52:00Z</cp:lastPrinted>
  <dcterms:created xsi:type="dcterms:W3CDTF">2014-01-28T09:06:00Z</dcterms:created>
  <dcterms:modified xsi:type="dcterms:W3CDTF">2014-02-07T10:48:00Z</dcterms:modified>
</cp:coreProperties>
</file>