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B9" w:rsidRDefault="003B603B" w:rsidP="008443B9">
      <w:pPr>
        <w:jc w:val="center"/>
        <w:outlineLvl w:val="0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  <w:r w:rsidRPr="00737A94">
        <w:rPr>
          <w:b/>
          <w:sz w:val="28"/>
          <w:szCs w:val="28"/>
        </w:rPr>
        <w:t>Ministru kabineta rīkojuma projekta</w:t>
      </w:r>
      <w:r w:rsidR="008443B9">
        <w:rPr>
          <w:b/>
          <w:sz w:val="28"/>
          <w:szCs w:val="28"/>
        </w:rPr>
        <w:t xml:space="preserve"> </w:t>
      </w:r>
      <w:r w:rsidR="008443B9" w:rsidRPr="008443B9">
        <w:rPr>
          <w:b/>
          <w:sz w:val="28"/>
          <w:szCs w:val="28"/>
        </w:rPr>
        <w:t xml:space="preserve">„Par Ministru kabineta </w:t>
      </w:r>
    </w:p>
    <w:p w:rsidR="00A5365D" w:rsidRDefault="008443B9" w:rsidP="008443B9">
      <w:pPr>
        <w:jc w:val="center"/>
        <w:outlineLvl w:val="0"/>
        <w:rPr>
          <w:sz w:val="28"/>
          <w:szCs w:val="28"/>
        </w:rPr>
      </w:pPr>
      <w:r w:rsidRPr="008443B9">
        <w:rPr>
          <w:b/>
          <w:sz w:val="28"/>
          <w:szCs w:val="28"/>
        </w:rPr>
        <w:t>2009.gada 2.aprīļa rīkojuma Nr.223 „Par Kultūras centru darbības attīstības programmu 2009. – 2013.gadam” atzīšanu par spēku zaudējušu”</w:t>
      </w:r>
      <w:r w:rsidRPr="008443B9">
        <w:rPr>
          <w:b/>
          <w:bCs/>
          <w:sz w:val="28"/>
          <w:szCs w:val="28"/>
        </w:rPr>
        <w:t xml:space="preserve"> </w:t>
      </w:r>
      <w:r w:rsidRPr="00633EEE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￲ojums"/>
          <w:attr w:name="id" w:val="-1"/>
        </w:smartTagPr>
        <w:r w:rsidRPr="00633EEE">
          <w:rPr>
            <w:b/>
            <w:bCs/>
            <w:sz w:val="28"/>
            <w:szCs w:val="28"/>
          </w:rPr>
          <w:t>ziņojums</w:t>
        </w:r>
      </w:smartTag>
      <w:r w:rsidRPr="00633EEE">
        <w:rPr>
          <w:b/>
          <w:bCs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976"/>
        <w:gridCol w:w="5674"/>
      </w:tblGrid>
      <w:tr w:rsidR="003B603B" w:rsidRPr="00737A94" w:rsidTr="009549EC">
        <w:tc>
          <w:tcPr>
            <w:tcW w:w="0" w:type="auto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3B603B" w:rsidRPr="00737A94" w:rsidRDefault="003B603B" w:rsidP="00A5365D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737A94">
              <w:rPr>
                <w:bCs w:val="0"/>
                <w:color w:val="000000"/>
                <w:sz w:val="28"/>
                <w:szCs w:val="28"/>
              </w:rPr>
              <w:t>I. Tiesību akta projekta izstrādes nepieciešamība</w:t>
            </w:r>
          </w:p>
        </w:tc>
      </w:tr>
      <w:tr w:rsidR="003B603B" w:rsidRPr="00737A94" w:rsidTr="009549EC">
        <w:trPr>
          <w:trHeight w:val="630"/>
        </w:trPr>
        <w:tc>
          <w:tcPr>
            <w:tcW w:w="431" w:type="dxa"/>
          </w:tcPr>
          <w:p w:rsidR="003B603B" w:rsidRPr="00737A94" w:rsidRDefault="003B603B" w:rsidP="00A5365D">
            <w:pPr>
              <w:jc w:val="both"/>
              <w:rPr>
                <w:color w:val="000000"/>
                <w:sz w:val="28"/>
                <w:szCs w:val="28"/>
              </w:rPr>
            </w:pPr>
            <w:r w:rsidRPr="00737A9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3B603B" w:rsidRPr="00737A94" w:rsidRDefault="003B603B" w:rsidP="00A5365D">
            <w:pPr>
              <w:jc w:val="both"/>
              <w:rPr>
                <w:color w:val="000000"/>
                <w:sz w:val="28"/>
                <w:szCs w:val="28"/>
              </w:rPr>
            </w:pPr>
            <w:r w:rsidRPr="00737A94">
              <w:rPr>
                <w:color w:val="000000"/>
                <w:sz w:val="28"/>
                <w:szCs w:val="28"/>
              </w:rPr>
              <w:t>Pamatojums</w:t>
            </w:r>
          </w:p>
        </w:tc>
        <w:tc>
          <w:tcPr>
            <w:tcW w:w="5674" w:type="dxa"/>
            <w:vAlign w:val="center"/>
          </w:tcPr>
          <w:p w:rsidR="009549EC" w:rsidRPr="009549EC" w:rsidRDefault="009549EC" w:rsidP="00117E74">
            <w:pPr>
              <w:ind w:left="6" w:right="147" w:firstLine="567"/>
              <w:jc w:val="both"/>
              <w:outlineLvl w:val="0"/>
              <w:rPr>
                <w:sz w:val="28"/>
                <w:szCs w:val="28"/>
              </w:rPr>
            </w:pPr>
            <w:r w:rsidRPr="009549EC">
              <w:rPr>
                <w:sz w:val="28"/>
                <w:szCs w:val="28"/>
              </w:rPr>
              <w:t>Ministru kabineta rīkojuma projekt</w:t>
            </w:r>
            <w:r>
              <w:rPr>
                <w:sz w:val="28"/>
                <w:szCs w:val="28"/>
              </w:rPr>
              <w:t>s</w:t>
            </w:r>
            <w:r w:rsidRPr="009549EC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</w:rPr>
              <w:t xml:space="preserve">Par Ministru kabineta </w:t>
            </w:r>
            <w:r w:rsidRPr="009549EC">
              <w:rPr>
                <w:sz w:val="28"/>
                <w:szCs w:val="28"/>
              </w:rPr>
              <w:t>2009.gada 2.aprīļa rīkojuma Nr.223 „Par Kultūras centru darbības attīstības programmu 2009. – 2013.gadam” atzīšanu par spēku zaudējušu”</w:t>
            </w:r>
            <w:r w:rsidRPr="009549EC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turpmāk – Projekts</w:t>
            </w:r>
            <w:r w:rsidRPr="009549EC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>sagatavots s</w:t>
            </w:r>
            <w:r w:rsidR="00A5365D" w:rsidRPr="009549EC">
              <w:rPr>
                <w:sz w:val="28"/>
                <w:szCs w:val="28"/>
              </w:rPr>
              <w:t xml:space="preserve">askaņā </w:t>
            </w:r>
            <w:r w:rsidR="00117E74">
              <w:rPr>
                <w:sz w:val="28"/>
                <w:szCs w:val="28"/>
              </w:rPr>
              <w:t xml:space="preserve">Ministru kabineta 2011.gada 5.jūlija </w:t>
            </w:r>
            <w:proofErr w:type="spellStart"/>
            <w:r w:rsidR="00117E74">
              <w:rPr>
                <w:sz w:val="28"/>
                <w:szCs w:val="28"/>
              </w:rPr>
              <w:t>protokollēmuma</w:t>
            </w:r>
            <w:proofErr w:type="spellEnd"/>
            <w:r w:rsidR="00117E74">
              <w:rPr>
                <w:sz w:val="28"/>
                <w:szCs w:val="28"/>
              </w:rPr>
              <w:t xml:space="preserve"> Nr.41.</w:t>
            </w:r>
            <w:r w:rsidR="00A5365D" w:rsidRPr="009549EC">
              <w:rPr>
                <w:sz w:val="28"/>
                <w:szCs w:val="28"/>
              </w:rPr>
              <w:t xml:space="preserve"> </w:t>
            </w:r>
            <w:r w:rsidR="00117E74">
              <w:rPr>
                <w:sz w:val="28"/>
                <w:szCs w:val="28"/>
              </w:rPr>
              <w:t>44</w:t>
            </w:r>
            <w:r w:rsidR="00A5365D" w:rsidRPr="009549EC">
              <w:rPr>
                <w:sz w:val="28"/>
                <w:szCs w:val="28"/>
              </w:rPr>
              <w:t>.§ „Informatīvais ziņojums par Kultūras centru darbības attīstības programmas 2009. – 2013.gadam īstenošanas gaitu” 2.punkt</w:t>
            </w:r>
            <w:r>
              <w:rPr>
                <w:sz w:val="28"/>
                <w:szCs w:val="28"/>
              </w:rPr>
              <w:t xml:space="preserve">ā Kultūras ministrijai doto uzdevumu un ievērojot </w:t>
            </w:r>
            <w:r w:rsidRPr="009549EC">
              <w:rPr>
                <w:sz w:val="28"/>
                <w:szCs w:val="28"/>
              </w:rPr>
              <w:t>Ministru kabineta 2010.gada 14.aprīļa rīkojuma Nr.209 „</w:t>
            </w:r>
            <w:r w:rsidRPr="009549EC">
              <w:rPr>
                <w:bCs/>
                <w:sz w:val="28"/>
                <w:szCs w:val="28"/>
              </w:rPr>
              <w:t>Par aktualitāti zaudējušajiem attīstības plānošanas dokumentiem un Ministru kabineta rīkojumiem</w:t>
            </w:r>
            <w:r>
              <w:rPr>
                <w:sz w:val="28"/>
                <w:szCs w:val="28"/>
              </w:rPr>
              <w:t>” 2.punktā noteikto.</w:t>
            </w:r>
            <w:r w:rsidRPr="009549EC">
              <w:rPr>
                <w:sz w:val="28"/>
                <w:szCs w:val="28"/>
              </w:rPr>
              <w:t xml:space="preserve"> </w:t>
            </w:r>
          </w:p>
        </w:tc>
      </w:tr>
      <w:tr w:rsidR="003B603B" w:rsidRPr="00737A94" w:rsidTr="009549EC">
        <w:trPr>
          <w:trHeight w:val="472"/>
        </w:trPr>
        <w:tc>
          <w:tcPr>
            <w:tcW w:w="431" w:type="dxa"/>
          </w:tcPr>
          <w:p w:rsidR="003B603B" w:rsidRPr="00737A94" w:rsidRDefault="003B603B" w:rsidP="00A5365D">
            <w:pPr>
              <w:jc w:val="both"/>
              <w:rPr>
                <w:color w:val="000000"/>
                <w:sz w:val="28"/>
                <w:szCs w:val="28"/>
              </w:rPr>
            </w:pPr>
            <w:r w:rsidRPr="00737A9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3B603B" w:rsidRPr="00737A94" w:rsidRDefault="003B603B" w:rsidP="00A5365D">
            <w:pPr>
              <w:jc w:val="both"/>
              <w:rPr>
                <w:color w:val="000000"/>
                <w:sz w:val="28"/>
                <w:szCs w:val="28"/>
              </w:rPr>
            </w:pPr>
            <w:r w:rsidRPr="00737A94">
              <w:rPr>
                <w:color w:val="000000"/>
                <w:sz w:val="28"/>
                <w:szCs w:val="28"/>
              </w:rPr>
              <w:t>Pašreizējā situācija un problēmas</w:t>
            </w:r>
          </w:p>
        </w:tc>
        <w:tc>
          <w:tcPr>
            <w:tcW w:w="5674" w:type="dxa"/>
          </w:tcPr>
          <w:p w:rsidR="009549EC" w:rsidRDefault="00835F65" w:rsidP="00CE49CA">
            <w:pPr>
              <w:pStyle w:val="Pamattekstaatkpe2"/>
              <w:spacing w:after="0" w:line="240" w:lineRule="auto"/>
              <w:ind w:left="0" w:firstLine="567"/>
              <w:jc w:val="both"/>
              <w:outlineLvl w:val="0"/>
              <w:rPr>
                <w:sz w:val="28"/>
                <w:szCs w:val="28"/>
              </w:rPr>
            </w:pPr>
            <w:r w:rsidRPr="00835F65">
              <w:rPr>
                <w:sz w:val="28"/>
                <w:szCs w:val="28"/>
              </w:rPr>
              <w:t>Laikā līdz 2011.gada 1.maijam, kad noteiktā</w:t>
            </w:r>
            <w:r w:rsidR="00BC6EDE">
              <w:rPr>
                <w:sz w:val="28"/>
                <w:szCs w:val="28"/>
              </w:rPr>
              <w:t xml:space="preserve"> kārtībā Ministru kabinetam tika</w:t>
            </w:r>
            <w:r w:rsidRPr="00835F65">
              <w:rPr>
                <w:sz w:val="28"/>
                <w:szCs w:val="28"/>
              </w:rPr>
              <w:t xml:space="preserve"> sagatavots un iesniegts informatīvais ziņojums par Kultūras centru darbības attīstības programmas 2009. – 2013.gadam (turpmāk – programma) īstenošanas gaitu, programmā ietverto uzdevumu izpilde ir</w:t>
            </w:r>
            <w:r w:rsidR="00BC6EDE">
              <w:rPr>
                <w:sz w:val="28"/>
                <w:szCs w:val="28"/>
              </w:rPr>
              <w:t xml:space="preserve"> tikusi</w:t>
            </w:r>
            <w:r w:rsidRPr="00835F65">
              <w:rPr>
                <w:sz w:val="28"/>
                <w:szCs w:val="28"/>
              </w:rPr>
              <w:t xml:space="preserve"> īstenota esošo valsts budžeta līdzekļu ietvaros, papildus līdzekļi šim nolūkam nav piešķirti. Tāpēc programmā iekļautajiem uzdevumiem, kuriem nepieciešams papildus finansējums, pašreizējā valsts ekonomiskajā situācijā tiek meklēti alternatīvi risinājumi.</w:t>
            </w:r>
            <w:r w:rsidR="009549EC">
              <w:rPr>
                <w:sz w:val="28"/>
                <w:szCs w:val="28"/>
              </w:rPr>
              <w:t xml:space="preserve"> </w:t>
            </w:r>
          </w:p>
          <w:p w:rsidR="00835F65" w:rsidRDefault="00835F65" w:rsidP="00CE49CA">
            <w:pPr>
              <w:pStyle w:val="Pamattekstaatkpe2"/>
              <w:spacing w:after="0" w:line="240" w:lineRule="auto"/>
              <w:ind w:left="0" w:firstLine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395315">
              <w:rPr>
                <w:sz w:val="28"/>
                <w:szCs w:val="28"/>
              </w:rPr>
              <w:t>askaņā ar Ministru kabineta 2010.gada 14.aprīļa rīkojuma Nr.209 „</w:t>
            </w:r>
            <w:r w:rsidRPr="00395315">
              <w:rPr>
                <w:bCs/>
                <w:sz w:val="28"/>
                <w:szCs w:val="28"/>
              </w:rPr>
              <w:t>Par aktualitāti zaudējušajiem attīstības plānošanas dokumentiem un Ministru kabineta rīkojumiem</w:t>
            </w:r>
            <w:r w:rsidRPr="00395315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>2.punktu v</w:t>
            </w:r>
            <w:r w:rsidRPr="00395315">
              <w:rPr>
                <w:sz w:val="28"/>
                <w:szCs w:val="28"/>
              </w:rPr>
              <w:t xml:space="preserve">isām ministrijām </w:t>
            </w:r>
            <w:r>
              <w:rPr>
                <w:sz w:val="28"/>
                <w:szCs w:val="28"/>
              </w:rPr>
              <w:t xml:space="preserve">tika dots uzdevums </w:t>
            </w:r>
            <w:r w:rsidRPr="00395315">
              <w:rPr>
                <w:sz w:val="28"/>
                <w:szCs w:val="28"/>
              </w:rPr>
              <w:t>iz</w:t>
            </w:r>
            <w:r>
              <w:rPr>
                <w:sz w:val="28"/>
                <w:szCs w:val="28"/>
              </w:rPr>
              <w:t>vērtēt</w:t>
            </w:r>
            <w:r w:rsidRPr="00395315">
              <w:rPr>
                <w:sz w:val="28"/>
                <w:szCs w:val="28"/>
              </w:rPr>
              <w:t xml:space="preserve"> attīstības plānošanas </w:t>
            </w:r>
            <w:r w:rsidRPr="00580CF5">
              <w:rPr>
                <w:sz w:val="28"/>
                <w:szCs w:val="28"/>
              </w:rPr>
              <w:t xml:space="preserve">dokumentu optimizācijas iespējas un ministriem, ja nepieciešams, līdz 2010.gada 1.augustam </w:t>
            </w:r>
            <w:r>
              <w:rPr>
                <w:sz w:val="28"/>
                <w:szCs w:val="28"/>
              </w:rPr>
              <w:t>iesniegt</w:t>
            </w:r>
            <w:r w:rsidRPr="00580CF5">
              <w:rPr>
                <w:sz w:val="28"/>
                <w:szCs w:val="28"/>
              </w:rPr>
              <w:t xml:space="preserve"> noteiktā kārtībā Ministru kabinetā aktualizētos attīstības plānošanas dokumentu projektus. Kultūras </w:t>
            </w:r>
            <w:r w:rsidRPr="00C8149C">
              <w:rPr>
                <w:sz w:val="28"/>
                <w:szCs w:val="28"/>
              </w:rPr>
              <w:t xml:space="preserve">ministrija, atbilstoši dotajam uzdevumam, izvērtēja </w:t>
            </w:r>
            <w:r w:rsidRPr="00C8149C">
              <w:rPr>
                <w:sz w:val="28"/>
                <w:szCs w:val="28"/>
              </w:rPr>
              <w:lastRenderedPageBreak/>
              <w:t>programmu un</w:t>
            </w:r>
            <w:r>
              <w:rPr>
                <w:sz w:val="28"/>
                <w:szCs w:val="28"/>
              </w:rPr>
              <w:t>,</w:t>
            </w:r>
            <w:r w:rsidRPr="00C8149C">
              <w:rPr>
                <w:sz w:val="28"/>
                <w:szCs w:val="28"/>
              </w:rPr>
              <w:t xml:space="preserve"> ņemot vērā to, ka:</w:t>
            </w:r>
          </w:p>
          <w:p w:rsidR="00835F65" w:rsidRPr="00835F65" w:rsidRDefault="00835F65" w:rsidP="00835F65">
            <w:pPr>
              <w:pStyle w:val="Sarakstarindkopa"/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bCs/>
                <w:sz w:val="28"/>
                <w:szCs w:val="28"/>
              </w:rPr>
            </w:pPr>
            <w:r w:rsidRPr="00835F65">
              <w:rPr>
                <w:bCs/>
                <w:sz w:val="28"/>
                <w:szCs w:val="28"/>
              </w:rPr>
              <w:t xml:space="preserve">saskaņā ar Ministru kabineta </w:t>
            </w:r>
            <w:r w:rsidRPr="00835F65">
              <w:rPr>
                <w:sz w:val="28"/>
                <w:szCs w:val="28"/>
              </w:rPr>
              <w:t xml:space="preserve">2003.gada 29.aprīļa </w:t>
            </w:r>
            <w:r w:rsidRPr="00835F65">
              <w:rPr>
                <w:bCs/>
                <w:sz w:val="28"/>
                <w:szCs w:val="28"/>
              </w:rPr>
              <w:t>noteikumiem Nr.241</w:t>
            </w:r>
            <w:r w:rsidRPr="00835F65">
              <w:rPr>
                <w:sz w:val="28"/>
                <w:szCs w:val="28"/>
              </w:rPr>
              <w:t xml:space="preserve"> „</w:t>
            </w:r>
            <w:r w:rsidRPr="00835F65">
              <w:rPr>
                <w:bCs/>
                <w:sz w:val="28"/>
                <w:szCs w:val="28"/>
              </w:rPr>
              <w:t xml:space="preserve">Kultūras ministrijas nolikums” 5.3.punktu Kultūras ministrijas kompetencē ir </w:t>
            </w:r>
            <w:r w:rsidRPr="00835F65">
              <w:rPr>
                <w:sz w:val="28"/>
                <w:szCs w:val="28"/>
              </w:rPr>
              <w:t>sniegt metodisko palīdzību Latvijas kultūras institūcijām;</w:t>
            </w:r>
          </w:p>
          <w:p w:rsidR="00835F65" w:rsidRDefault="00835F65" w:rsidP="00835F65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sz w:val="28"/>
                <w:szCs w:val="28"/>
              </w:rPr>
            </w:pPr>
            <w:r w:rsidRPr="00AB685C">
              <w:rPr>
                <w:sz w:val="28"/>
                <w:szCs w:val="28"/>
              </w:rPr>
              <w:t>saskaņā ar Ministru kabineta 2010.gada 14.decembra noteikum</w:t>
            </w:r>
            <w:r>
              <w:rPr>
                <w:sz w:val="28"/>
                <w:szCs w:val="28"/>
              </w:rPr>
              <w:t>u</w:t>
            </w:r>
            <w:r w:rsidRPr="00AB685C">
              <w:rPr>
                <w:sz w:val="28"/>
                <w:szCs w:val="28"/>
              </w:rPr>
              <w:t xml:space="preserve"> Nr.1129 „Kultūrizglītības un nemateriālā mantojuma centra nolikums” </w:t>
            </w:r>
            <w:r>
              <w:rPr>
                <w:sz w:val="28"/>
                <w:szCs w:val="28"/>
              </w:rPr>
              <w:t>4.4. un 4.15.punktu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549EC" w:rsidRPr="00AB685C">
              <w:rPr>
                <w:sz w:val="28"/>
                <w:szCs w:val="28"/>
              </w:rPr>
              <w:t xml:space="preserve"> </w:t>
            </w:r>
            <w:proofErr w:type="gramEnd"/>
            <w:r w:rsidR="009549EC" w:rsidRPr="00AB685C">
              <w:rPr>
                <w:sz w:val="28"/>
                <w:szCs w:val="28"/>
              </w:rPr>
              <w:t xml:space="preserve">Kultūrizglītības un nemateriālā mantojuma centra </w:t>
            </w:r>
            <w:r w:rsidRPr="00AB685C">
              <w:rPr>
                <w:sz w:val="28"/>
                <w:szCs w:val="28"/>
              </w:rPr>
              <w:t xml:space="preserve"> kompetencē ir sniegt pakalpojumus un sadarboties ar valsts </w:t>
            </w:r>
            <w:r>
              <w:rPr>
                <w:sz w:val="28"/>
                <w:szCs w:val="28"/>
              </w:rPr>
              <w:t>institūcijām</w:t>
            </w:r>
            <w:r w:rsidRPr="00AB685C">
              <w:rPr>
                <w:sz w:val="28"/>
                <w:szCs w:val="28"/>
              </w:rPr>
              <w:t>, pašvaldībām un to iestādēm, nevalstiskajām organizācijām, kā arī privātpersonām nemateriālā kultūras mantojuma un ar to</w:t>
            </w:r>
            <w:r>
              <w:rPr>
                <w:sz w:val="28"/>
                <w:szCs w:val="28"/>
              </w:rPr>
              <w:t xml:space="preserve"> saistītajā </w:t>
            </w:r>
            <w:proofErr w:type="spellStart"/>
            <w:r>
              <w:rPr>
                <w:sz w:val="28"/>
                <w:szCs w:val="28"/>
              </w:rPr>
              <w:t>amatiermākslas</w:t>
            </w:r>
            <w:proofErr w:type="spellEnd"/>
            <w:r>
              <w:rPr>
                <w:sz w:val="28"/>
                <w:szCs w:val="28"/>
              </w:rPr>
              <w:t xml:space="preserve"> jomā un </w:t>
            </w:r>
            <w:r w:rsidRPr="00AB685C">
              <w:rPr>
                <w:sz w:val="28"/>
                <w:szCs w:val="28"/>
              </w:rPr>
              <w:t xml:space="preserve">kultūras un </w:t>
            </w:r>
            <w:r>
              <w:rPr>
                <w:sz w:val="28"/>
                <w:szCs w:val="28"/>
              </w:rPr>
              <w:t xml:space="preserve">radošās industrijas izglītības jomā, koordinēt un organizēt mūžizglītības projektus </w:t>
            </w:r>
            <w:r w:rsidRPr="000A4158">
              <w:rPr>
                <w:sz w:val="28"/>
                <w:szCs w:val="28"/>
              </w:rPr>
              <w:t>kultūras jomas speciālistiem</w:t>
            </w:r>
            <w:r>
              <w:rPr>
                <w:sz w:val="28"/>
                <w:szCs w:val="28"/>
              </w:rPr>
              <w:t>;</w:t>
            </w:r>
          </w:p>
          <w:p w:rsidR="00835F65" w:rsidRPr="00304DE1" w:rsidRDefault="00835F65" w:rsidP="00835F65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sz w:val="28"/>
                <w:szCs w:val="28"/>
              </w:rPr>
            </w:pPr>
            <w:r w:rsidRPr="000A4158">
              <w:rPr>
                <w:sz w:val="28"/>
                <w:szCs w:val="28"/>
              </w:rPr>
              <w:t xml:space="preserve">ilgtermiņa politikas pamatnostādnēs </w:t>
            </w:r>
            <w:r w:rsidRPr="000A4158">
              <w:rPr>
                <w:bCs/>
                <w:sz w:val="28"/>
                <w:szCs w:val="28"/>
              </w:rPr>
              <w:t>“Valsts kultūrpolitikas vadlīnijas 2006.–2015.gadam. Nacionāla valsts”</w:t>
            </w:r>
            <w:r w:rsidRPr="000A41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8149C">
              <w:rPr>
                <w:iCs/>
                <w:sz w:val="28"/>
                <w:szCs w:val="28"/>
              </w:rPr>
              <w:t>apstiprinātas ar Ministru kabineta 2006.gada 18.aprīļa rīkojumu Nr.264</w:t>
            </w:r>
            <w:r>
              <w:rPr>
                <w:sz w:val="28"/>
                <w:szCs w:val="28"/>
              </w:rPr>
              <w:t xml:space="preserve">) </w:t>
            </w:r>
            <w:r w:rsidRPr="000A4158">
              <w:rPr>
                <w:sz w:val="28"/>
                <w:szCs w:val="28"/>
              </w:rPr>
              <w:t>ir iestrādāti</w:t>
            </w:r>
            <w:r w:rsidRPr="000A415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principi, lai sekmētu</w:t>
            </w:r>
            <w:r w:rsidRPr="00304DE1">
              <w:rPr>
                <w:sz w:val="28"/>
                <w:szCs w:val="28"/>
              </w:rPr>
              <w:t xml:space="preserve"> kultūras centru darbības pilnveidošanu, cilvēkresursu kvalitātes uzlabošanu un infrastruktūras</w:t>
            </w:r>
            <w:r>
              <w:rPr>
                <w:sz w:val="28"/>
                <w:szCs w:val="28"/>
              </w:rPr>
              <w:t xml:space="preserve"> pilnveidi, veicinot kvalitatīvu un daudzveidīgu</w:t>
            </w:r>
            <w:r w:rsidRPr="00304DE1">
              <w:rPr>
                <w:sz w:val="28"/>
                <w:szCs w:val="28"/>
              </w:rPr>
              <w:t xml:space="preserve"> pakalpojum</w:t>
            </w:r>
            <w:r>
              <w:rPr>
                <w:sz w:val="28"/>
                <w:szCs w:val="28"/>
              </w:rPr>
              <w:t>u izveidi kultūras centros;</w:t>
            </w:r>
          </w:p>
          <w:p w:rsidR="00835F65" w:rsidRPr="00304DE1" w:rsidRDefault="00835F65" w:rsidP="003D52F2">
            <w:pPr>
              <w:numPr>
                <w:ilvl w:val="0"/>
                <w:numId w:val="1"/>
              </w:numPr>
              <w:jc w:val="both"/>
            </w:pPr>
            <w:r w:rsidRPr="000A4158">
              <w:rPr>
                <w:sz w:val="28"/>
                <w:szCs w:val="28"/>
              </w:rPr>
              <w:t>programmas īstenošanai, t.sk. kultūras centru akreditācijai</w:t>
            </w:r>
            <w:r>
              <w:rPr>
                <w:sz w:val="28"/>
                <w:szCs w:val="28"/>
              </w:rPr>
              <w:t>,</w:t>
            </w:r>
            <w:r w:rsidRPr="000A4158">
              <w:rPr>
                <w:sz w:val="28"/>
                <w:szCs w:val="28"/>
              </w:rPr>
              <w:t xml:space="preserve"> nav pietiekamu valsts finanšu līdzekļu, </w:t>
            </w:r>
          </w:p>
          <w:p w:rsidR="003B603B" w:rsidRPr="00737A94" w:rsidRDefault="00835F65" w:rsidP="00835F65">
            <w:pPr>
              <w:jc w:val="both"/>
              <w:rPr>
                <w:sz w:val="28"/>
                <w:szCs w:val="28"/>
              </w:rPr>
            </w:pPr>
            <w:r w:rsidRPr="00304DE1">
              <w:rPr>
                <w:sz w:val="28"/>
                <w:szCs w:val="28"/>
              </w:rPr>
              <w:t xml:space="preserve">Kultūras ministrija uzskata, ka </w:t>
            </w:r>
            <w:r>
              <w:rPr>
                <w:sz w:val="28"/>
                <w:szCs w:val="28"/>
              </w:rPr>
              <w:t>optimālais</w:t>
            </w:r>
            <w:r w:rsidRPr="00304DE1">
              <w:rPr>
                <w:sz w:val="28"/>
                <w:szCs w:val="28"/>
              </w:rPr>
              <w:t xml:space="preserve"> risinājums ir </w:t>
            </w:r>
            <w:r>
              <w:rPr>
                <w:sz w:val="28"/>
                <w:szCs w:val="28"/>
              </w:rPr>
              <w:t xml:space="preserve">turpmāk atteikties no programmas īstenošanas un programmā iekļautos uzdevumus īstenot, nodrošinot pašvaldībām un kultūras centriem nepieciešamo metodisko atbalstu, kas konkrēti īstenojams, izstrādājot </w:t>
            </w:r>
            <w:r w:rsidRPr="00C8149C">
              <w:rPr>
                <w:sz w:val="28"/>
                <w:szCs w:val="28"/>
              </w:rPr>
              <w:t>metodiskos materiālus, koordinējot un organizējot tālākizglītību</w:t>
            </w:r>
            <w:r>
              <w:rPr>
                <w:sz w:val="28"/>
                <w:szCs w:val="28"/>
              </w:rPr>
              <w:t>, sadarbojoties Dziesmu un deju svētku procesa nodrošināšanā un citos jautājumos</w:t>
            </w:r>
            <w:r w:rsidRPr="00C8149C">
              <w:rPr>
                <w:sz w:val="28"/>
                <w:szCs w:val="28"/>
              </w:rPr>
              <w:t>.</w:t>
            </w:r>
          </w:p>
        </w:tc>
      </w:tr>
      <w:tr w:rsidR="003B603B" w:rsidRPr="00737A94" w:rsidTr="009549EC">
        <w:trPr>
          <w:trHeight w:val="655"/>
        </w:trPr>
        <w:tc>
          <w:tcPr>
            <w:tcW w:w="431" w:type="dxa"/>
          </w:tcPr>
          <w:p w:rsidR="003B603B" w:rsidRPr="00737A94" w:rsidRDefault="003B603B" w:rsidP="00A5365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</w:tcPr>
          <w:p w:rsidR="003B603B" w:rsidRPr="00737A94" w:rsidRDefault="003B603B" w:rsidP="00A5365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5674" w:type="dxa"/>
          </w:tcPr>
          <w:p w:rsidR="003B603B" w:rsidRPr="00737A94" w:rsidRDefault="009549EC" w:rsidP="00A5365D">
            <w:pPr>
              <w:pStyle w:val="Vresteksts"/>
              <w:tabs>
                <w:tab w:val="left" w:pos="5070"/>
              </w:tabs>
              <w:ind w:left="141" w:righ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attiecināms.</w:t>
            </w:r>
          </w:p>
        </w:tc>
      </w:tr>
      <w:tr w:rsidR="003B603B" w:rsidRPr="00737A94" w:rsidTr="009549EC">
        <w:trPr>
          <w:trHeight w:val="384"/>
        </w:trPr>
        <w:tc>
          <w:tcPr>
            <w:tcW w:w="431" w:type="dxa"/>
          </w:tcPr>
          <w:p w:rsidR="003B603B" w:rsidRPr="00737A94" w:rsidRDefault="003B603B" w:rsidP="00A5365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3B603B" w:rsidRPr="00737A94" w:rsidRDefault="003B603B" w:rsidP="00A5365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674" w:type="dxa"/>
          </w:tcPr>
          <w:p w:rsidR="002B3EE5" w:rsidRDefault="003C33D5" w:rsidP="008F31B5">
            <w:pPr>
              <w:pStyle w:val="naisf"/>
              <w:tabs>
                <w:tab w:val="left" w:pos="5070"/>
              </w:tabs>
              <w:spacing w:before="0" w:after="0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Ņemot vērā to, ka</w:t>
            </w:r>
            <w:r w:rsidR="002B3EE5">
              <w:rPr>
                <w:iCs/>
                <w:sz w:val="28"/>
                <w:szCs w:val="28"/>
              </w:rPr>
              <w:t>:</w:t>
            </w:r>
          </w:p>
          <w:p w:rsidR="002B3EE5" w:rsidRDefault="003D52F2" w:rsidP="008F31B5">
            <w:pPr>
              <w:pStyle w:val="naisf"/>
              <w:numPr>
                <w:ilvl w:val="0"/>
                <w:numId w:val="1"/>
              </w:numPr>
              <w:tabs>
                <w:tab w:val="left" w:pos="5070"/>
                <w:tab w:val="left" w:pos="5674"/>
              </w:tabs>
              <w:spacing w:before="0" w:after="0"/>
              <w:ind w:left="357" w:hanging="215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 </w:t>
            </w:r>
            <w:r w:rsidRPr="00B069A3">
              <w:rPr>
                <w:sz w:val="28"/>
                <w:szCs w:val="28"/>
              </w:rPr>
              <w:t xml:space="preserve">Ministru kabineta </w:t>
            </w:r>
            <w:r w:rsidR="009549EC">
              <w:rPr>
                <w:sz w:val="28"/>
                <w:szCs w:val="28"/>
              </w:rPr>
              <w:t xml:space="preserve">2009.gada 2.aprīļa </w:t>
            </w:r>
            <w:r>
              <w:rPr>
                <w:sz w:val="28"/>
                <w:szCs w:val="28"/>
              </w:rPr>
              <w:t>rīkojumu</w:t>
            </w:r>
            <w:r w:rsidRPr="00B069A3">
              <w:rPr>
                <w:sz w:val="28"/>
                <w:szCs w:val="28"/>
              </w:rPr>
              <w:t xml:space="preserve"> Nr.223 „Par programmu „Kultūras centru darbības attīstības programma 2009. – 2013.gadam”</w:t>
            </w:r>
            <w:r>
              <w:rPr>
                <w:sz w:val="28"/>
                <w:szCs w:val="28"/>
              </w:rPr>
              <w:t xml:space="preserve"> </w:t>
            </w:r>
            <w:r w:rsidR="009549EC">
              <w:rPr>
                <w:sz w:val="28"/>
                <w:szCs w:val="28"/>
              </w:rPr>
              <w:t>apstiprinātajai</w:t>
            </w:r>
            <w:r w:rsidR="00301A1E" w:rsidRPr="00B069A3">
              <w:rPr>
                <w:sz w:val="28"/>
                <w:szCs w:val="28"/>
              </w:rPr>
              <w:t xml:space="preserve"> Kultūras centr</w:t>
            </w:r>
            <w:r w:rsidR="00301A1E">
              <w:rPr>
                <w:sz w:val="28"/>
                <w:szCs w:val="28"/>
              </w:rPr>
              <w:t xml:space="preserve">u darbības attīstības programmas </w:t>
            </w:r>
            <w:r w:rsidR="00301A1E" w:rsidRPr="00B069A3">
              <w:rPr>
                <w:sz w:val="28"/>
                <w:szCs w:val="28"/>
              </w:rPr>
              <w:t>2009. – 2013.gadam</w:t>
            </w:r>
            <w:r w:rsidR="00301A1E">
              <w:rPr>
                <w:iCs/>
                <w:sz w:val="28"/>
                <w:szCs w:val="28"/>
              </w:rPr>
              <w:t>īstenošanai nav piešķirti nepiec</w:t>
            </w:r>
            <w:r w:rsidR="002B3EE5">
              <w:rPr>
                <w:iCs/>
                <w:sz w:val="28"/>
                <w:szCs w:val="28"/>
              </w:rPr>
              <w:t>iešamie papildus līdzekļi;</w:t>
            </w:r>
          </w:p>
          <w:p w:rsidR="002B3EE5" w:rsidRDefault="002B3EE5" w:rsidP="008F31B5">
            <w:pPr>
              <w:pStyle w:val="naisf"/>
              <w:numPr>
                <w:ilvl w:val="0"/>
                <w:numId w:val="1"/>
              </w:numPr>
              <w:tabs>
                <w:tab w:val="left" w:pos="5070"/>
              </w:tabs>
              <w:spacing w:before="0" w:after="0"/>
              <w:ind w:left="357" w:hanging="215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 sagatavoti priekšlikumi alternatīvai </w:t>
            </w:r>
            <w:r w:rsidR="003C33D5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rogrammā iekļauto uzdevumu īstenošanai;</w:t>
            </w:r>
          </w:p>
          <w:p w:rsidR="002B3EE5" w:rsidRPr="002B3EE5" w:rsidRDefault="002B3EE5" w:rsidP="008F31B5">
            <w:pPr>
              <w:pStyle w:val="naisf"/>
              <w:numPr>
                <w:ilvl w:val="0"/>
                <w:numId w:val="1"/>
              </w:numPr>
              <w:tabs>
                <w:tab w:val="left" w:pos="5070"/>
              </w:tabs>
              <w:spacing w:before="0" w:after="0"/>
              <w:ind w:left="357" w:right="145" w:hanging="215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ar </w:t>
            </w:r>
            <w:r w:rsidRPr="00395315">
              <w:rPr>
                <w:sz w:val="28"/>
                <w:szCs w:val="28"/>
              </w:rPr>
              <w:t>Ministru kabin</w:t>
            </w:r>
            <w:r>
              <w:rPr>
                <w:sz w:val="28"/>
                <w:szCs w:val="28"/>
              </w:rPr>
              <w:t>eta 2010.gada 14.aprīļa rīkojuma</w:t>
            </w:r>
            <w:r w:rsidRPr="00395315">
              <w:rPr>
                <w:sz w:val="28"/>
                <w:szCs w:val="28"/>
              </w:rPr>
              <w:t xml:space="preserve"> Nr.209 „</w:t>
            </w:r>
            <w:r w:rsidRPr="00395315">
              <w:rPr>
                <w:bCs/>
                <w:sz w:val="28"/>
                <w:szCs w:val="28"/>
              </w:rPr>
              <w:t>Par aktualitāti zaudējušajiem attīstības plānošanas dokumentiem un Ministru kabineta rīkojumiem</w:t>
            </w:r>
            <w:r w:rsidRPr="00395315">
              <w:rPr>
                <w:sz w:val="28"/>
                <w:szCs w:val="28"/>
              </w:rPr>
              <w:t xml:space="preserve">” </w:t>
            </w:r>
            <w:r w:rsidR="003C33D5">
              <w:rPr>
                <w:sz w:val="28"/>
                <w:szCs w:val="28"/>
              </w:rPr>
              <w:t>2.punktu ir izvērtētas p</w:t>
            </w:r>
            <w:r w:rsidRPr="00600946">
              <w:rPr>
                <w:sz w:val="28"/>
                <w:szCs w:val="28"/>
              </w:rPr>
              <w:t>rogrammas optimizācijas iespējas</w:t>
            </w:r>
            <w:r>
              <w:rPr>
                <w:sz w:val="28"/>
                <w:szCs w:val="28"/>
              </w:rPr>
              <w:t>,</w:t>
            </w:r>
          </w:p>
          <w:p w:rsidR="003B603B" w:rsidRPr="003C33D5" w:rsidRDefault="003C33D5" w:rsidP="008F31B5">
            <w:pPr>
              <w:spacing w:after="100" w:afterAutospacing="1"/>
              <w:jc w:val="both"/>
              <w:outlineLvl w:val="0"/>
              <w:rPr>
                <w:sz w:val="28"/>
                <w:szCs w:val="28"/>
              </w:rPr>
            </w:pPr>
            <w:r w:rsidRPr="003C33D5">
              <w:rPr>
                <w:sz w:val="28"/>
                <w:szCs w:val="28"/>
              </w:rPr>
              <w:t xml:space="preserve">Kultūras ministrija ir sagatavojusi Projektu, kas paredz ar 2012.gada 1.janvāri </w:t>
            </w:r>
            <w:r w:rsidR="00F03C8A" w:rsidRPr="003C33D5">
              <w:rPr>
                <w:sz w:val="28"/>
                <w:szCs w:val="28"/>
              </w:rPr>
              <w:t xml:space="preserve">atzīt par spēku </w:t>
            </w:r>
            <w:r w:rsidR="00F03C8A" w:rsidRPr="003C33D5">
              <w:rPr>
                <w:iCs/>
                <w:sz w:val="28"/>
                <w:szCs w:val="28"/>
              </w:rPr>
              <w:t>z</w:t>
            </w:r>
            <w:r w:rsidR="003D52F2" w:rsidRPr="003C33D5">
              <w:rPr>
                <w:iCs/>
                <w:sz w:val="28"/>
                <w:szCs w:val="28"/>
              </w:rPr>
              <w:t>audējušu</w:t>
            </w:r>
            <w:r w:rsidRPr="003C33D5">
              <w:rPr>
                <w:iCs/>
                <w:sz w:val="28"/>
                <w:szCs w:val="28"/>
              </w:rPr>
              <w:t xml:space="preserve"> </w:t>
            </w:r>
            <w:r w:rsidRPr="003C33D5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>2009.gada 2.aprīļa rīkojumu</w:t>
            </w:r>
            <w:r w:rsidRPr="003C33D5">
              <w:rPr>
                <w:sz w:val="28"/>
                <w:szCs w:val="28"/>
              </w:rPr>
              <w:t xml:space="preserve"> Nr.223 „Par Kultūras centru darbības attīstības programmu 2009. – 2013.gadam</w:t>
            </w:r>
            <w:r w:rsidR="003305F5">
              <w:rPr>
                <w:sz w:val="28"/>
                <w:szCs w:val="28"/>
              </w:rPr>
              <w:t>”</w:t>
            </w:r>
            <w:r w:rsidRPr="003C33D5">
              <w:rPr>
                <w:sz w:val="28"/>
                <w:szCs w:val="28"/>
              </w:rPr>
              <w:t>.</w:t>
            </w:r>
          </w:p>
        </w:tc>
      </w:tr>
      <w:tr w:rsidR="003B603B" w:rsidRPr="00737A94" w:rsidTr="009549EC">
        <w:trPr>
          <w:trHeight w:val="476"/>
        </w:trPr>
        <w:tc>
          <w:tcPr>
            <w:tcW w:w="431" w:type="dxa"/>
          </w:tcPr>
          <w:p w:rsidR="003B603B" w:rsidRPr="00737A94" w:rsidRDefault="003B603B" w:rsidP="00A5365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3B603B" w:rsidRPr="00737A94" w:rsidRDefault="003B603B" w:rsidP="00A5365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674" w:type="dxa"/>
          </w:tcPr>
          <w:p w:rsidR="003B603B" w:rsidRPr="00737A94" w:rsidRDefault="009549EC" w:rsidP="009549EC">
            <w:pPr>
              <w:tabs>
                <w:tab w:val="left" w:pos="5070"/>
              </w:tabs>
              <w:ind w:righ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Kultūras ministrija.</w:t>
            </w:r>
          </w:p>
        </w:tc>
      </w:tr>
      <w:tr w:rsidR="003B603B" w:rsidRPr="00737A94" w:rsidTr="009549EC">
        <w:trPr>
          <w:trHeight w:val="759"/>
        </w:trPr>
        <w:tc>
          <w:tcPr>
            <w:tcW w:w="431" w:type="dxa"/>
          </w:tcPr>
          <w:p w:rsidR="003B603B" w:rsidRPr="00737A94" w:rsidRDefault="003B603B" w:rsidP="00A5365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3B603B" w:rsidRPr="00737A94" w:rsidRDefault="003B603B" w:rsidP="00A5365D">
            <w:pPr>
              <w:pStyle w:val="naiskr"/>
              <w:spacing w:before="0" w:after="0"/>
              <w:rPr>
                <w:i/>
                <w:sz w:val="28"/>
                <w:szCs w:val="28"/>
                <w:highlight w:val="yellow"/>
              </w:rPr>
            </w:pPr>
            <w:r w:rsidRPr="00737A94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5674" w:type="dxa"/>
          </w:tcPr>
          <w:p w:rsidR="003B603B" w:rsidRPr="007103CD" w:rsidRDefault="007103CD" w:rsidP="008F31B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Programmā iekļauto uzdevumu alternatīvais risinājums paredz turpmāku sadarbību ar mērķgrupu – kultūras centru vadītājiem, darbiniekiem, t.sk. nevalstisko sektoru, kurš pārstāv kultūras centra intereses. </w:t>
            </w:r>
            <w:r w:rsidR="003C33D5">
              <w:rPr>
                <w:bCs/>
                <w:color w:val="000000"/>
                <w:sz w:val="28"/>
                <w:szCs w:val="28"/>
              </w:rPr>
              <w:t>P</w:t>
            </w:r>
            <w:r>
              <w:rPr>
                <w:bCs/>
                <w:color w:val="000000"/>
                <w:sz w:val="28"/>
                <w:szCs w:val="28"/>
              </w:rPr>
              <w:t>rojekts attiecas uz valsts pārvaldes iekšējo darbību, kas neskar sabiedrības intereses.</w:t>
            </w:r>
          </w:p>
        </w:tc>
      </w:tr>
      <w:tr w:rsidR="003B603B" w:rsidRPr="00737A94" w:rsidTr="009549EC">
        <w:tc>
          <w:tcPr>
            <w:tcW w:w="431" w:type="dxa"/>
          </w:tcPr>
          <w:p w:rsidR="003B603B" w:rsidRPr="00737A94" w:rsidRDefault="003B603B" w:rsidP="00A5365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3B603B" w:rsidRPr="00737A94" w:rsidRDefault="003B603B" w:rsidP="00A5365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t>Cita informācija</w:t>
            </w:r>
          </w:p>
        </w:tc>
        <w:tc>
          <w:tcPr>
            <w:tcW w:w="5674" w:type="dxa"/>
          </w:tcPr>
          <w:p w:rsidR="003B603B" w:rsidRPr="00737A94" w:rsidRDefault="009549EC" w:rsidP="009549EC">
            <w:pPr>
              <w:pStyle w:val="naiskr"/>
              <w:tabs>
                <w:tab w:val="left" w:pos="5070"/>
              </w:tabs>
              <w:spacing w:before="0" w:after="0"/>
              <w:ind w:righ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03B" w:rsidRPr="00737A94">
              <w:rPr>
                <w:sz w:val="28"/>
                <w:szCs w:val="28"/>
              </w:rPr>
              <w:t>Nav</w:t>
            </w:r>
          </w:p>
        </w:tc>
      </w:tr>
    </w:tbl>
    <w:p w:rsidR="003B603B" w:rsidRDefault="003B603B" w:rsidP="003B603B">
      <w:pPr>
        <w:rPr>
          <w:sz w:val="28"/>
          <w:szCs w:val="28"/>
        </w:rPr>
      </w:pPr>
    </w:p>
    <w:p w:rsidR="00960819" w:rsidRPr="001B4CBC" w:rsidRDefault="001B4CBC" w:rsidP="003B603B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Anotācijas II – VII </w:t>
      </w:r>
      <w:r w:rsidR="00960819" w:rsidRPr="00960819">
        <w:rPr>
          <w:bCs/>
          <w:i/>
          <w:sz w:val="28"/>
          <w:szCs w:val="28"/>
        </w:rPr>
        <w:t>sadaļa – nav attiecināms</w:t>
      </w:r>
      <w:r w:rsidR="00960819">
        <w:rPr>
          <w:bCs/>
          <w:i/>
          <w:sz w:val="28"/>
          <w:szCs w:val="28"/>
        </w:rPr>
        <w:t>.</w:t>
      </w:r>
    </w:p>
    <w:p w:rsidR="003B603B" w:rsidRPr="00737A94" w:rsidRDefault="003B603B" w:rsidP="003B603B"/>
    <w:p w:rsidR="003B603B" w:rsidRPr="00737A94" w:rsidRDefault="00451FE9" w:rsidP="008443B9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Kultūras </w:t>
      </w:r>
      <w:r w:rsidR="003B603B" w:rsidRPr="00737A94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 w:rsidR="003B603B">
        <w:rPr>
          <w:sz w:val="28"/>
          <w:szCs w:val="28"/>
        </w:rPr>
        <w:tab/>
      </w:r>
      <w:r w:rsidR="003B603B">
        <w:rPr>
          <w:sz w:val="28"/>
          <w:szCs w:val="28"/>
        </w:rPr>
        <w:tab/>
      </w:r>
      <w:r w:rsidR="003B603B">
        <w:rPr>
          <w:sz w:val="28"/>
          <w:szCs w:val="28"/>
        </w:rPr>
        <w:tab/>
      </w:r>
      <w:r w:rsidR="003B603B">
        <w:rPr>
          <w:sz w:val="28"/>
          <w:szCs w:val="28"/>
        </w:rPr>
        <w:tab/>
      </w:r>
      <w:r w:rsidR="003B603B">
        <w:rPr>
          <w:sz w:val="28"/>
          <w:szCs w:val="28"/>
        </w:rPr>
        <w:tab/>
      </w:r>
      <w:r w:rsidR="003B60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43B9">
        <w:rPr>
          <w:sz w:val="28"/>
          <w:szCs w:val="28"/>
        </w:rPr>
        <w:t xml:space="preserve"> </w:t>
      </w:r>
      <w:r w:rsidR="008443B9">
        <w:rPr>
          <w:sz w:val="28"/>
          <w:szCs w:val="28"/>
        </w:rPr>
        <w:tab/>
      </w:r>
      <w:r>
        <w:rPr>
          <w:sz w:val="28"/>
          <w:szCs w:val="28"/>
        </w:rPr>
        <w:t>S.Ēlerte</w:t>
      </w:r>
    </w:p>
    <w:p w:rsidR="00F03C8A" w:rsidRDefault="00F03C8A" w:rsidP="003B603B">
      <w:pPr>
        <w:tabs>
          <w:tab w:val="left" w:pos="6804"/>
        </w:tabs>
        <w:rPr>
          <w:sz w:val="28"/>
          <w:szCs w:val="28"/>
        </w:rPr>
      </w:pPr>
    </w:p>
    <w:p w:rsidR="003B603B" w:rsidRPr="00737A94" w:rsidRDefault="008443B9" w:rsidP="003B603B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Vīza</w:t>
      </w:r>
      <w:r w:rsidR="003B603B" w:rsidRPr="00737A94">
        <w:rPr>
          <w:sz w:val="28"/>
          <w:szCs w:val="28"/>
        </w:rPr>
        <w:t>:</w:t>
      </w:r>
      <w:r>
        <w:rPr>
          <w:sz w:val="28"/>
          <w:szCs w:val="28"/>
        </w:rPr>
        <w:t xml:space="preserve"> V</w:t>
      </w:r>
      <w:r w:rsidR="008F728B">
        <w:rPr>
          <w:sz w:val="28"/>
          <w:szCs w:val="28"/>
        </w:rPr>
        <w:t xml:space="preserve">alsts sekretāra </w:t>
      </w:r>
      <w:proofErr w:type="spellStart"/>
      <w:r w:rsidR="008F728B">
        <w:rPr>
          <w:sz w:val="28"/>
          <w:szCs w:val="28"/>
        </w:rPr>
        <w:t>p.i</w:t>
      </w:r>
      <w:proofErr w:type="spellEnd"/>
      <w:r w:rsidR="008F728B">
        <w:rPr>
          <w:sz w:val="28"/>
          <w:szCs w:val="28"/>
        </w:rPr>
        <w:t>.</w:t>
      </w:r>
      <w:r w:rsidR="00451F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28B">
        <w:rPr>
          <w:sz w:val="28"/>
          <w:szCs w:val="28"/>
        </w:rPr>
        <w:t>U.Lielpēters</w:t>
      </w:r>
    </w:p>
    <w:p w:rsidR="003B603B" w:rsidRPr="008F31B5" w:rsidRDefault="003B603B" w:rsidP="003B603B">
      <w:pPr>
        <w:pStyle w:val="Atpakaadreseuzaploksnes"/>
        <w:spacing w:before="0"/>
        <w:rPr>
          <w:sz w:val="20"/>
          <w:lang w:val="lv-LV"/>
        </w:rPr>
      </w:pPr>
    </w:p>
    <w:p w:rsidR="00391A11" w:rsidRPr="008F31B5" w:rsidRDefault="00117E74" w:rsidP="00391A11">
      <w:pPr>
        <w:pStyle w:val="naisf"/>
        <w:spacing w:before="0" w:after="0"/>
        <w:ind w:firstLine="0"/>
        <w:rPr>
          <w:sz w:val="18"/>
          <w:szCs w:val="18"/>
        </w:rPr>
      </w:pPr>
      <w:r>
        <w:rPr>
          <w:sz w:val="18"/>
          <w:szCs w:val="18"/>
        </w:rPr>
        <w:t>12.07</w:t>
      </w:r>
      <w:r w:rsidR="00391A11" w:rsidRPr="008F31B5">
        <w:rPr>
          <w:sz w:val="18"/>
          <w:szCs w:val="18"/>
        </w:rPr>
        <w:t>.2011</w:t>
      </w:r>
      <w:r>
        <w:rPr>
          <w:sz w:val="18"/>
          <w:szCs w:val="18"/>
        </w:rPr>
        <w:t>.</w:t>
      </w:r>
      <w:r w:rsidR="00391A11" w:rsidRPr="008F31B5">
        <w:rPr>
          <w:sz w:val="18"/>
          <w:szCs w:val="18"/>
        </w:rPr>
        <w:t xml:space="preserve"> 13:02</w:t>
      </w:r>
    </w:p>
    <w:p w:rsidR="00391A11" w:rsidRPr="008F31B5" w:rsidRDefault="008F728B" w:rsidP="00391A11">
      <w:pPr>
        <w:pStyle w:val="naisf"/>
        <w:spacing w:before="0" w:after="0"/>
        <w:ind w:firstLine="0"/>
        <w:rPr>
          <w:sz w:val="18"/>
          <w:szCs w:val="18"/>
        </w:rPr>
      </w:pPr>
      <w:r>
        <w:rPr>
          <w:sz w:val="18"/>
          <w:szCs w:val="18"/>
        </w:rPr>
        <w:t>603</w:t>
      </w:r>
    </w:p>
    <w:p w:rsidR="00391A11" w:rsidRPr="008F31B5" w:rsidRDefault="00391A11" w:rsidP="00391A11">
      <w:pPr>
        <w:rPr>
          <w:sz w:val="18"/>
          <w:szCs w:val="18"/>
        </w:rPr>
      </w:pPr>
      <w:r w:rsidRPr="008F31B5">
        <w:rPr>
          <w:sz w:val="18"/>
          <w:szCs w:val="18"/>
        </w:rPr>
        <w:t>S.Pujāte</w:t>
      </w:r>
    </w:p>
    <w:p w:rsidR="00391A11" w:rsidRPr="008F31B5" w:rsidRDefault="00391A11" w:rsidP="00391A11">
      <w:pPr>
        <w:pStyle w:val="Galvene"/>
        <w:rPr>
          <w:sz w:val="18"/>
          <w:szCs w:val="18"/>
        </w:rPr>
      </w:pPr>
      <w:r w:rsidRPr="008F31B5">
        <w:rPr>
          <w:sz w:val="18"/>
          <w:szCs w:val="18"/>
        </w:rPr>
        <w:t>Tālr.</w:t>
      </w:r>
      <w:fldSimple w:instr=" COMMENTS   \* MERGEFORMAT ">
        <w:r w:rsidRPr="008F31B5">
          <w:rPr>
            <w:sz w:val="18"/>
            <w:szCs w:val="18"/>
          </w:rPr>
          <w:t xml:space="preserve">67330239; fakss </w:t>
        </w:r>
      </w:fldSimple>
      <w:r w:rsidRPr="008F31B5">
        <w:rPr>
          <w:sz w:val="18"/>
          <w:szCs w:val="18"/>
        </w:rPr>
        <w:t>67330293</w:t>
      </w:r>
    </w:p>
    <w:p w:rsidR="00391A11" w:rsidRPr="008F31B5" w:rsidRDefault="00F31A94" w:rsidP="00391A11">
      <w:pPr>
        <w:pStyle w:val="Galvene"/>
        <w:rPr>
          <w:sz w:val="18"/>
          <w:szCs w:val="18"/>
        </w:rPr>
      </w:pPr>
      <w:hyperlink r:id="rId7" w:history="1">
        <w:r w:rsidR="00391A11" w:rsidRPr="008F31B5">
          <w:rPr>
            <w:rStyle w:val="Hipersaite"/>
            <w:sz w:val="18"/>
            <w:szCs w:val="18"/>
          </w:rPr>
          <w:t>Signe.Pujate@km.gov.lv</w:t>
        </w:r>
      </w:hyperlink>
      <w:r w:rsidR="00391A11" w:rsidRPr="008F31B5">
        <w:rPr>
          <w:sz w:val="18"/>
          <w:szCs w:val="18"/>
        </w:rPr>
        <w:t xml:space="preserve"> </w:t>
      </w:r>
    </w:p>
    <w:sectPr w:rsidR="00391A11" w:rsidRPr="008F31B5" w:rsidSect="008F31B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97" w:rsidRDefault="003B1597" w:rsidP="0094128C">
      <w:r>
        <w:separator/>
      </w:r>
    </w:p>
  </w:endnote>
  <w:endnote w:type="continuationSeparator" w:id="0">
    <w:p w:rsidR="003B1597" w:rsidRDefault="003B1597" w:rsidP="0094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CA" w:rsidRPr="004D0E5F" w:rsidRDefault="00CE49CA" w:rsidP="008443B9">
    <w:pPr>
      <w:jc w:val="both"/>
      <w:outlineLvl w:val="0"/>
      <w:rPr>
        <w:szCs w:val="20"/>
      </w:rPr>
    </w:pPr>
    <w:bookmarkStart w:id="6" w:name="OLE_LINK5"/>
    <w:bookmarkStart w:id="7" w:name="OLE_LINK6"/>
    <w:r w:rsidRPr="008443B9">
      <w:rPr>
        <w:sz w:val="22"/>
        <w:szCs w:val="22"/>
      </w:rPr>
      <w:t>KMAnot_</w:t>
    </w:r>
    <w:r w:rsidR="00117E74">
      <w:rPr>
        <w:sz w:val="22"/>
        <w:szCs w:val="22"/>
      </w:rPr>
      <w:t>1207</w:t>
    </w:r>
    <w:r w:rsidRPr="008443B9">
      <w:rPr>
        <w:sz w:val="22"/>
        <w:szCs w:val="22"/>
      </w:rPr>
      <w:t>11_KC_progr</w:t>
    </w:r>
    <w:bookmarkEnd w:id="6"/>
    <w:bookmarkEnd w:id="7"/>
    <w:r w:rsidRPr="008443B9">
      <w:rPr>
        <w:sz w:val="22"/>
        <w:szCs w:val="22"/>
      </w:rPr>
      <w:t xml:space="preserve">; </w:t>
    </w:r>
    <w:bookmarkStart w:id="8" w:name="OLE_LINK9"/>
    <w:bookmarkStart w:id="9" w:name="OLE_LINK10"/>
    <w:bookmarkStart w:id="10" w:name="_Hlk298227717"/>
    <w:r w:rsidRPr="008443B9">
      <w:rPr>
        <w:sz w:val="22"/>
        <w:szCs w:val="22"/>
      </w:rPr>
      <w:t>Ministru kabineta rīkojuma projekta „Par Ministru kabineta 2009.gada 2.aprīļa rīkojuma Nr.223 „Par Kultūras centru darbības attīstības programmu 2009. – 2013.gadam” atzīšanu par spēku zaudējušu”</w:t>
    </w:r>
    <w:r w:rsidRPr="008443B9">
      <w:rPr>
        <w:bCs/>
        <w:sz w:val="22"/>
        <w:szCs w:val="22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￲ojums"/>
        <w:attr w:name="id" w:val="-1"/>
      </w:smartTagPr>
      <w:r w:rsidRPr="008443B9">
        <w:rPr>
          <w:bCs/>
          <w:sz w:val="22"/>
          <w:szCs w:val="22"/>
        </w:rPr>
        <w:t>ziņojums</w:t>
      </w:r>
    </w:smartTag>
    <w:r w:rsidRPr="008443B9">
      <w:rPr>
        <w:bCs/>
        <w:sz w:val="22"/>
        <w:szCs w:val="22"/>
      </w:rPr>
      <w:t xml:space="preserve"> (anotācija)</w:t>
    </w:r>
    <w:bookmarkEnd w:id="8"/>
    <w:bookmarkEnd w:id="9"/>
    <w:bookmarkEnd w:id="1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CA" w:rsidRPr="00BC6EDE" w:rsidRDefault="00662D6C" w:rsidP="008443B9">
    <w:pPr>
      <w:jc w:val="both"/>
      <w:outlineLvl w:val="0"/>
    </w:pPr>
    <w:r>
      <w:rPr>
        <w:sz w:val="22"/>
        <w:szCs w:val="22"/>
      </w:rPr>
      <w:t>KMAnot_1207</w:t>
    </w:r>
    <w:r w:rsidR="00CE49CA" w:rsidRPr="008443B9">
      <w:rPr>
        <w:sz w:val="22"/>
        <w:szCs w:val="22"/>
      </w:rPr>
      <w:t>11_KC_progr; Ministru kabineta rīkojuma projekta „Par Ministru kabineta 2009.gada 2.aprīļa rīkojuma Nr.223 „Par Kultūras centru darbības attīstības programmu 2009. – 2013.gadam” atzīšanu par spēku zaudējušu”</w:t>
    </w:r>
    <w:r w:rsidR="00CE49CA" w:rsidRPr="008443B9">
      <w:rPr>
        <w:bCs/>
        <w:sz w:val="22"/>
        <w:szCs w:val="22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￲ojums"/>
        <w:attr w:name="id" w:val="-1"/>
      </w:smartTagPr>
      <w:r w:rsidR="00CE49CA" w:rsidRPr="008443B9">
        <w:rPr>
          <w:bCs/>
          <w:sz w:val="22"/>
          <w:szCs w:val="22"/>
        </w:rPr>
        <w:t>ziņojums</w:t>
      </w:r>
    </w:smartTag>
    <w:r w:rsidR="00CE49CA" w:rsidRPr="008443B9">
      <w:rPr>
        <w:bCs/>
        <w:sz w:val="22"/>
        <w:szCs w:val="22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97" w:rsidRDefault="003B1597" w:rsidP="0094128C">
      <w:r>
        <w:separator/>
      </w:r>
    </w:p>
  </w:footnote>
  <w:footnote w:type="continuationSeparator" w:id="0">
    <w:p w:rsidR="003B1597" w:rsidRDefault="003B1597" w:rsidP="00941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CA" w:rsidRDefault="00F31A94" w:rsidP="00A5365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E49C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E49CA" w:rsidRDefault="00CE49C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CA" w:rsidRPr="008443B9" w:rsidRDefault="00F31A94" w:rsidP="00A5365D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8443B9">
      <w:rPr>
        <w:rStyle w:val="Lappusesnumurs"/>
        <w:sz w:val="22"/>
        <w:szCs w:val="22"/>
      </w:rPr>
      <w:fldChar w:fldCharType="begin"/>
    </w:r>
    <w:r w:rsidR="00CE49CA" w:rsidRPr="008443B9">
      <w:rPr>
        <w:rStyle w:val="Lappusesnumurs"/>
        <w:sz w:val="22"/>
        <w:szCs w:val="22"/>
      </w:rPr>
      <w:instrText xml:space="preserve">PAGE  </w:instrText>
    </w:r>
    <w:r w:rsidRPr="008443B9">
      <w:rPr>
        <w:rStyle w:val="Lappusesnumurs"/>
        <w:sz w:val="22"/>
        <w:szCs w:val="22"/>
      </w:rPr>
      <w:fldChar w:fldCharType="separate"/>
    </w:r>
    <w:r w:rsidR="008F728B">
      <w:rPr>
        <w:rStyle w:val="Lappusesnumurs"/>
        <w:noProof/>
        <w:sz w:val="22"/>
        <w:szCs w:val="22"/>
      </w:rPr>
      <w:t>3</w:t>
    </w:r>
    <w:r w:rsidRPr="008443B9">
      <w:rPr>
        <w:rStyle w:val="Lappusesnumurs"/>
        <w:sz w:val="22"/>
        <w:szCs w:val="22"/>
      </w:rPr>
      <w:fldChar w:fldCharType="end"/>
    </w:r>
  </w:p>
  <w:p w:rsidR="00CE49CA" w:rsidRDefault="00CE49CA" w:rsidP="008443B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2D5"/>
    <w:multiLevelType w:val="hybridMultilevel"/>
    <w:tmpl w:val="60588D6A"/>
    <w:lvl w:ilvl="0" w:tplc="5600B9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3B"/>
    <w:rsid w:val="00117E74"/>
    <w:rsid w:val="001245C2"/>
    <w:rsid w:val="001B4CBC"/>
    <w:rsid w:val="001B6876"/>
    <w:rsid w:val="002B3EE5"/>
    <w:rsid w:val="002D1932"/>
    <w:rsid w:val="00301A1E"/>
    <w:rsid w:val="003305F5"/>
    <w:rsid w:val="00391A11"/>
    <w:rsid w:val="003B1597"/>
    <w:rsid w:val="003B603B"/>
    <w:rsid w:val="003C33D5"/>
    <w:rsid w:val="003D52F2"/>
    <w:rsid w:val="00451FE9"/>
    <w:rsid w:val="004747A9"/>
    <w:rsid w:val="00662D6C"/>
    <w:rsid w:val="007103CD"/>
    <w:rsid w:val="00835F65"/>
    <w:rsid w:val="008443B9"/>
    <w:rsid w:val="008F31B5"/>
    <w:rsid w:val="008F728B"/>
    <w:rsid w:val="00913000"/>
    <w:rsid w:val="0094128C"/>
    <w:rsid w:val="009549EC"/>
    <w:rsid w:val="00960819"/>
    <w:rsid w:val="009C05BB"/>
    <w:rsid w:val="009C69DE"/>
    <w:rsid w:val="00A43CDF"/>
    <w:rsid w:val="00A50660"/>
    <w:rsid w:val="00A5365D"/>
    <w:rsid w:val="00A549F4"/>
    <w:rsid w:val="00AE7BA7"/>
    <w:rsid w:val="00BC6EDE"/>
    <w:rsid w:val="00CE49CA"/>
    <w:rsid w:val="00D86B1D"/>
    <w:rsid w:val="00DD400A"/>
    <w:rsid w:val="00E05724"/>
    <w:rsid w:val="00E25C00"/>
    <w:rsid w:val="00EF108C"/>
    <w:rsid w:val="00F03C8A"/>
    <w:rsid w:val="00F3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60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ais"/>
    <w:next w:val="Parastais"/>
    <w:link w:val="Virsraksts3Rakstz"/>
    <w:qFormat/>
    <w:rsid w:val="003B60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B603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Galvene">
    <w:name w:val="header"/>
    <w:basedOn w:val="Parastais"/>
    <w:link w:val="GalveneRakstz"/>
    <w:rsid w:val="003B60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6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3B603B"/>
  </w:style>
  <w:style w:type="paragraph" w:customStyle="1" w:styleId="naisf">
    <w:name w:val="naisf"/>
    <w:basedOn w:val="Parastais"/>
    <w:rsid w:val="003B603B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3B603B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ais"/>
    <w:rsid w:val="003B603B"/>
    <w:pPr>
      <w:spacing w:before="75" w:after="75"/>
    </w:pPr>
  </w:style>
  <w:style w:type="paragraph" w:styleId="Vresteksts">
    <w:name w:val="footnote text"/>
    <w:basedOn w:val="Parastais"/>
    <w:link w:val="VrestekstsRakstz"/>
    <w:semiHidden/>
    <w:rsid w:val="003B603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3B603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ais"/>
    <w:link w:val="KjeneRakstz"/>
    <w:rsid w:val="003B60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B6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rsid w:val="003B603B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3B603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3B60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MK">
    <w:name w:val="Normal MK"/>
    <w:basedOn w:val="Parastais"/>
    <w:rsid w:val="003B603B"/>
    <w:rPr>
      <w:rFonts w:ascii="RimTimes" w:hAnsi="RimTimes"/>
      <w:sz w:val="28"/>
      <w:szCs w:val="20"/>
      <w:lang w:eastAsia="en-US"/>
    </w:rPr>
  </w:style>
  <w:style w:type="paragraph" w:styleId="Atpakaadreseuzaploksnes">
    <w:name w:val="envelope return"/>
    <w:basedOn w:val="Parastais"/>
    <w:rsid w:val="003B603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Pamattekstaatkpe2">
    <w:name w:val="Body Text Indent 2"/>
    <w:basedOn w:val="Parastais"/>
    <w:link w:val="Pamattekstaatkpe2Rakstz"/>
    <w:uiPriority w:val="99"/>
    <w:unhideWhenUsed/>
    <w:rsid w:val="00835F6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835F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835F65"/>
    <w:pPr>
      <w:ind w:left="720"/>
      <w:contextualSpacing/>
    </w:pPr>
  </w:style>
  <w:style w:type="paragraph" w:customStyle="1" w:styleId="naisc">
    <w:name w:val="naisc"/>
    <w:basedOn w:val="Parastais"/>
    <w:rsid w:val="008443B9"/>
    <w:pPr>
      <w:spacing w:before="75" w:after="75"/>
      <w:jc w:val="center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ne.Pujate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3436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KMAnot_120711_KC_progr</dc:title>
  <dc:subject>Ministru kabineta rīkojuma projekta „Par Ministru kabineta 2009.gada 2.aprīļa rīkojuma Nr.223 „Par Kultūras centru darbības attīstības programmu 2009. – 2013.gadam” atzīšanu par spēku zaudējušu” sākotnējās ietekmes novērtējuma ziņojums (anotācija)</dc:subject>
  <dc:creator>Signe Pujāte</dc:creator>
  <cp:keywords>Anotācija</cp:keywords>
  <dc:description>Signe Pujāte
Tālr.67330239; fakss 67330293
Signe.Pujate@km.gov.lv </dc:description>
  <cp:lastModifiedBy>Signe Pujāte</cp:lastModifiedBy>
  <cp:revision>21</cp:revision>
  <cp:lastPrinted>2011-07-12T07:08:00Z</cp:lastPrinted>
  <dcterms:created xsi:type="dcterms:W3CDTF">2011-06-22T07:56:00Z</dcterms:created>
  <dcterms:modified xsi:type="dcterms:W3CDTF">2011-08-15T13:05:00Z</dcterms:modified>
</cp:coreProperties>
</file>