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2FF" w:rsidRPr="002142FF" w:rsidRDefault="002142FF" w:rsidP="0039066E">
      <w:pPr>
        <w:pStyle w:val="naisnod"/>
        <w:spacing w:before="0" w:beforeAutospacing="0" w:after="0" w:afterAutospacing="0"/>
        <w:jc w:val="center"/>
        <w:rPr>
          <w:b/>
        </w:rPr>
      </w:pPr>
      <w:bookmarkStart w:id="0" w:name="OLE_LINK13"/>
      <w:bookmarkStart w:id="1" w:name="OLE_LINK14"/>
      <w:r w:rsidRPr="002142FF">
        <w:rPr>
          <w:b/>
        </w:rPr>
        <w:t xml:space="preserve">Ministru kabineta noteikumu projekts </w:t>
      </w:r>
    </w:p>
    <w:p w:rsidR="002142FF" w:rsidRPr="002142FF" w:rsidRDefault="002142FF" w:rsidP="0039066E">
      <w:pPr>
        <w:pStyle w:val="naisnod"/>
        <w:spacing w:before="0" w:beforeAutospacing="0" w:after="0" w:afterAutospacing="0"/>
        <w:jc w:val="center"/>
        <w:rPr>
          <w:b/>
        </w:rPr>
      </w:pPr>
      <w:r w:rsidRPr="002142FF">
        <w:rPr>
          <w:b/>
        </w:rPr>
        <w:t>„Kultūras informācijas sistēmu centra nolikums”</w:t>
      </w:r>
    </w:p>
    <w:p w:rsidR="0039066E" w:rsidRPr="002142FF" w:rsidRDefault="002142FF" w:rsidP="0039066E">
      <w:pPr>
        <w:pStyle w:val="naisnod"/>
        <w:spacing w:before="0" w:beforeAutospacing="0" w:after="0" w:afterAutospacing="0"/>
        <w:jc w:val="center"/>
        <w:rPr>
          <w:b/>
          <w:bCs/>
        </w:rPr>
      </w:pPr>
      <w:r w:rsidRPr="002142FF">
        <w:t xml:space="preserve"> </w:t>
      </w:r>
      <w:r w:rsidR="0039066E" w:rsidRPr="002142FF">
        <w:rPr>
          <w:b/>
        </w:rPr>
        <w:t xml:space="preserve">sākotnējās ietekmes novērtējuma ziņojums </w:t>
      </w:r>
      <w:r w:rsidR="0039066E" w:rsidRPr="002142FF">
        <w:rPr>
          <w:b/>
          <w:bCs/>
        </w:rPr>
        <w:t>(anotācija)</w:t>
      </w:r>
    </w:p>
    <w:p w:rsidR="00995D65" w:rsidRDefault="00995D65" w:rsidP="0039066E">
      <w:pPr>
        <w:pStyle w:val="naisnod"/>
        <w:spacing w:before="0" w:beforeAutospacing="0" w:after="0" w:afterAutospacing="0"/>
        <w:jc w:val="center"/>
        <w:rPr>
          <w:b/>
          <w:bC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6"/>
        <w:gridCol w:w="2637"/>
        <w:gridCol w:w="5968"/>
      </w:tblGrid>
      <w:tr w:rsidR="0039066E" w:rsidRPr="00222E4E" w:rsidTr="00C0375B">
        <w:trPr>
          <w:trHeight w:val="434"/>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bookmarkEnd w:id="0"/>
          <w:bookmarkEnd w:id="1"/>
          <w:p w:rsidR="00A13BD6" w:rsidRDefault="0039066E" w:rsidP="00A13BD6">
            <w:pPr>
              <w:pStyle w:val="naisc"/>
              <w:jc w:val="center"/>
            </w:pPr>
            <w:r w:rsidRPr="00222E4E">
              <w:rPr>
                <w:b/>
                <w:bCs/>
              </w:rPr>
              <w:t>I. Tiesību akta projekta izstrādes nepieciešamība</w:t>
            </w:r>
          </w:p>
        </w:tc>
      </w:tr>
      <w:tr w:rsidR="0039066E" w:rsidRPr="00222E4E" w:rsidTr="00C0375B">
        <w:trPr>
          <w:trHeight w:val="630"/>
          <w:tblCellSpacing w:w="0" w:type="dxa"/>
        </w:trPr>
        <w:tc>
          <w:tcPr>
            <w:tcW w:w="272"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1.</w:t>
            </w:r>
          </w:p>
        </w:tc>
        <w:tc>
          <w:tcPr>
            <w:tcW w:w="1449"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lab"/>
            </w:pPr>
            <w:r w:rsidRPr="00222E4E">
              <w:t> Pamatojums</w:t>
            </w:r>
          </w:p>
        </w:tc>
        <w:tc>
          <w:tcPr>
            <w:tcW w:w="3279" w:type="pct"/>
            <w:tcBorders>
              <w:top w:val="outset" w:sz="6" w:space="0" w:color="auto"/>
              <w:left w:val="outset" w:sz="6" w:space="0" w:color="auto"/>
              <w:bottom w:val="outset" w:sz="6" w:space="0" w:color="auto"/>
              <w:right w:val="outset" w:sz="6" w:space="0" w:color="auto"/>
            </w:tcBorders>
          </w:tcPr>
          <w:p w:rsidR="0039066E" w:rsidRPr="00222E4E" w:rsidRDefault="0039066E" w:rsidP="0009399C">
            <w:pPr>
              <w:pStyle w:val="Pamattekstaatkpe2"/>
              <w:spacing w:after="0" w:line="240" w:lineRule="auto"/>
              <w:ind w:left="0" w:right="-1" w:firstLine="318"/>
              <w:jc w:val="both"/>
            </w:pPr>
            <w:r w:rsidRPr="00222E4E">
              <w:t>Valsts pārvaldes iekārtas likuma 1</w:t>
            </w:r>
            <w:r>
              <w:t>6</w:t>
            </w:r>
            <w:r w:rsidRPr="00222E4E">
              <w:t>.pant</w:t>
            </w:r>
            <w:r>
              <w:t xml:space="preserve">a pirmā daļa, </w:t>
            </w:r>
            <w:r w:rsidRPr="00222E4E">
              <w:t xml:space="preserve">Publisko aģentūru likuma pārejas noteikumu </w:t>
            </w:r>
            <w:r>
              <w:t>2.</w:t>
            </w:r>
            <w:r w:rsidRPr="00222E4E">
              <w:t>punkts</w:t>
            </w:r>
            <w:r>
              <w:t xml:space="preserve">, </w:t>
            </w:r>
            <w:r w:rsidRPr="009517F5">
              <w:t xml:space="preserve">Valsts sekretāru 2012.gada 28.jūnija sanāksmes (protokola Nr.26 52.§) </w:t>
            </w:r>
            <w:r w:rsidR="004B7FCF">
              <w:t>protokol</w:t>
            </w:r>
            <w:r w:rsidRPr="009517F5">
              <w:t>lēmums.</w:t>
            </w:r>
          </w:p>
        </w:tc>
      </w:tr>
      <w:tr w:rsidR="0039066E" w:rsidRPr="00222E4E" w:rsidTr="00C0375B">
        <w:trPr>
          <w:trHeight w:val="472"/>
          <w:tblCellSpacing w:w="0" w:type="dxa"/>
        </w:trPr>
        <w:tc>
          <w:tcPr>
            <w:tcW w:w="272"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2.</w:t>
            </w:r>
          </w:p>
        </w:tc>
        <w:tc>
          <w:tcPr>
            <w:tcW w:w="1449"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Pašreizējā situācija un problēmas</w:t>
            </w:r>
          </w:p>
        </w:tc>
        <w:tc>
          <w:tcPr>
            <w:tcW w:w="3279" w:type="pct"/>
            <w:tcBorders>
              <w:top w:val="outset" w:sz="6" w:space="0" w:color="auto"/>
              <w:left w:val="outset" w:sz="6" w:space="0" w:color="auto"/>
              <w:bottom w:val="outset" w:sz="6" w:space="0" w:color="auto"/>
              <w:right w:val="outset" w:sz="6" w:space="0" w:color="auto"/>
            </w:tcBorders>
          </w:tcPr>
          <w:p w:rsidR="0039066E" w:rsidRDefault="0039066E" w:rsidP="0039066E">
            <w:pPr>
              <w:ind w:firstLine="442"/>
              <w:jc w:val="both"/>
            </w:pPr>
            <w:r>
              <w:t>Publisko aģentūru likuma (</w:t>
            </w:r>
            <w:r w:rsidRPr="001A4101">
              <w:t xml:space="preserve">stājies spēkā </w:t>
            </w:r>
            <w:r>
              <w:t>2010.gada 1.janvārī)</w:t>
            </w:r>
            <w:r w:rsidRPr="001A4101">
              <w:t xml:space="preserve"> pārejas noteikumu 1.punktā ir noteikts, ka ar šā likuma spēkā stāšanos spēku zaudē Publisko aģentūru likums (Latvijas Republikas Saeimas un Ministru Kabineta Ziņotājs, 2001, 10.nr.; 2002, 23.nr.; 2005, 6.nr.; 2008, 1.nr.; 2009, 1., 2., 6.nr.).</w:t>
            </w:r>
          </w:p>
          <w:p w:rsidR="0039066E" w:rsidRPr="00A35CF9" w:rsidRDefault="0039066E" w:rsidP="0039066E">
            <w:pPr>
              <w:ind w:firstLine="442"/>
              <w:jc w:val="both"/>
            </w:pPr>
            <w:r w:rsidRPr="001A4101">
              <w:t>Saskaņā ar Publisko aģentūru likuma pārejas noteikumu 2.punktu ministrijām ir jāizvērtē valsts aģentūru darbības atbilstīb</w:t>
            </w:r>
            <w:r w:rsidR="004B7FCF">
              <w:t>a</w:t>
            </w:r>
            <w:r w:rsidRPr="001A4101">
              <w:t xml:space="preserve"> šā likuma prasībām, un Ministru kabinetam līdz 2013.</w:t>
            </w:r>
            <w:r w:rsidRPr="00A35CF9">
              <w:t>gada 1.janvārim jāpieņem lēmumu par attiecīgās aģentūras darbības turpināšanu, aģentūras likvidēšanu vai reorganizēšanu, ievērojot Valsts pārvaldes iekārtas likuma 15.pantā noteiktās prasības.</w:t>
            </w:r>
          </w:p>
          <w:p w:rsidR="00296E93" w:rsidRPr="00A35CF9" w:rsidRDefault="0039066E" w:rsidP="00863F0B">
            <w:pPr>
              <w:ind w:firstLine="442"/>
              <w:jc w:val="both"/>
              <w:rPr>
                <w:highlight w:val="yellow"/>
              </w:rPr>
            </w:pPr>
            <w:r w:rsidRPr="00A35CF9">
              <w:t xml:space="preserve">Ņemot vērā iepriekš minēto, ir nepieciešams veikt </w:t>
            </w:r>
            <w:r w:rsidR="00A35CF9" w:rsidRPr="00A35CF9">
              <w:t>valsts aģentūras „Kultūras informācijas sistēmas”</w:t>
            </w:r>
            <w:r w:rsidR="001E0692" w:rsidRPr="00A35CF9">
              <w:rPr>
                <w:b/>
              </w:rPr>
              <w:t xml:space="preserve"> </w:t>
            </w:r>
            <w:r w:rsidRPr="00A35CF9">
              <w:t>darbības izvērtējumu un apstiprināt jaunu nolikumu, jo pašreiz spēk</w:t>
            </w:r>
            <w:r w:rsidR="00EC3CF5" w:rsidRPr="00A35CF9">
              <w:t xml:space="preserve">ā esošie </w:t>
            </w:r>
            <w:r w:rsidR="00A35CF9" w:rsidRPr="00A35CF9">
              <w:t xml:space="preserve">Ministru kabineta 2004.gada 29.jūnija noteikumus Nr.559 „Valsts aģentūras "Kultūras informācijas sistēmas" nolikums” (Latvijas Vēstnesis, 2004, 103.nr.) </w:t>
            </w:r>
            <w:r w:rsidRPr="00A35CF9">
              <w:t>ir izdoti saskaņā ar spēku zaudējušā Publisko aģentūru likuma 8.panta trešo daļu un atbilstoši jaunā Publisko aģentūra likuma pārejas noteikumu 5.punktam ir piemērojami ne ilgāk kā līdz 2013.gada 1.janvārim.</w:t>
            </w:r>
          </w:p>
          <w:p w:rsidR="00296E93" w:rsidRPr="00A35CF9" w:rsidRDefault="004C0C51" w:rsidP="004C0C51">
            <w:pPr>
              <w:jc w:val="both"/>
            </w:pPr>
            <w:r w:rsidRPr="00A35CF9">
              <w:t xml:space="preserve">       </w:t>
            </w:r>
            <w:r w:rsidR="00296E93" w:rsidRPr="00A35CF9">
              <w:t>Publisko aģentūru likuma un tā pārejas noteikumu mērķis ir valsts aģentūru statusu saglabāt tikai tām aģentūrām, kuras darbojas uz saimnieciskā aprēķina principiem (</w:t>
            </w:r>
            <w:r w:rsidR="00296E93" w:rsidRPr="00A35CF9">
              <w:rPr>
                <w:i/>
              </w:rPr>
              <w:t>sk.</w:t>
            </w:r>
            <w:r w:rsidR="00296E93" w:rsidRPr="00A35CF9">
              <w:t xml:space="preserve"> </w:t>
            </w:r>
            <w:r w:rsidR="00296E93" w:rsidRPr="00A35CF9">
              <w:rPr>
                <w:i/>
              </w:rPr>
              <w:t>likumprojekta „Publisko aģentūru likums” anotācijas I sadaļas 2.punkt</w:t>
            </w:r>
            <w:r w:rsidR="004B7FCF" w:rsidRPr="00A35CF9">
              <w:rPr>
                <w:i/>
              </w:rPr>
              <w:t>u</w:t>
            </w:r>
            <w:r w:rsidR="00296E93" w:rsidRPr="00A35CF9">
              <w:t xml:space="preserve">). </w:t>
            </w:r>
          </w:p>
          <w:p w:rsidR="00296E93" w:rsidRPr="00EC0B29" w:rsidRDefault="00433F80" w:rsidP="00296E93">
            <w:pPr>
              <w:jc w:val="both"/>
            </w:pPr>
            <w:r>
              <w:t xml:space="preserve">       </w:t>
            </w:r>
            <w:r w:rsidR="00296E93" w:rsidRPr="00EC0B29">
              <w:t>Atbilstoši Publisko aģentūru likumam ir izšķiramas divas būtiskas aģentūras pazīmes:</w:t>
            </w:r>
          </w:p>
          <w:p w:rsidR="00296E93" w:rsidRPr="00EC0B29" w:rsidRDefault="004C0C51" w:rsidP="00296E93">
            <w:pPr>
              <w:jc w:val="both"/>
            </w:pPr>
            <w:r>
              <w:t xml:space="preserve">        </w:t>
            </w:r>
            <w:r w:rsidR="00296E93" w:rsidRPr="00EC0B29">
              <w:t>1) aģentūrai ir noteikta kompetence publisko maksas pakalpojumu sniegšanas jomā (likuma 4.panta pirmā daļa);</w:t>
            </w:r>
          </w:p>
          <w:p w:rsidR="00296E93" w:rsidRDefault="004C0C51" w:rsidP="00296E93">
            <w:pPr>
              <w:jc w:val="both"/>
            </w:pPr>
            <w:r>
              <w:t xml:space="preserve">        </w:t>
            </w:r>
            <w:r w:rsidR="00296E93" w:rsidRPr="00EC0B29">
              <w:t>2) aģentūras budžetu galvenokārt veido tās ieņēmumi par sniegtajiem maksas pakalpojumiem, citi pašu ieņēmumi, dāvinājumi</w:t>
            </w:r>
            <w:r w:rsidR="00296E93" w:rsidRPr="000B7D3A">
              <w:rPr>
                <w:color w:val="FF0000"/>
              </w:rPr>
              <w:t xml:space="preserve"> </w:t>
            </w:r>
            <w:r w:rsidR="00296E93" w:rsidRPr="00EC0B29">
              <w:t>un ziedojumi, kā arī ārvalstu finanšu palīdzība (likuma 13.panta pirmā daļa). Aģentūra var saņemt dotāciju no vispārējiem ieņēmumiem (likuma 13.panta otrā daļa), taču atbilstoši likuma mērķim šīs dotācijas īpatsvaram jābūt nelielam, aģentūrai ir jānodrošina sava darbība patstāvīgi.</w:t>
            </w:r>
          </w:p>
          <w:p w:rsidR="001A5545" w:rsidRDefault="0039066E" w:rsidP="00BD730E">
            <w:pPr>
              <w:ind w:firstLine="442"/>
              <w:jc w:val="both"/>
            </w:pPr>
            <w:r>
              <w:t xml:space="preserve">Ņemot vērā minēto, Kultūras ministrija ir veikusi </w:t>
            </w:r>
            <w:r>
              <w:lastRenderedPageBreak/>
              <w:t xml:space="preserve">Kultūras ministrijas padotībā esošās valsts </w:t>
            </w:r>
            <w:r w:rsidRPr="009517F5">
              <w:t>aģentūras „</w:t>
            </w:r>
            <w:r w:rsidR="00A35CF9" w:rsidRPr="00A35CF9">
              <w:t>Kultūras informācijas sistēmas</w:t>
            </w:r>
            <w:r w:rsidRPr="009517F5">
              <w:t>” darbības un finansēšanas</w:t>
            </w:r>
            <w:r>
              <w:t xml:space="preserve"> izvērtējumu</w:t>
            </w:r>
            <w:r w:rsidRPr="001A4101">
              <w:t xml:space="preserve"> </w:t>
            </w:r>
            <w:r>
              <w:t>atbilstoši Publisko aģentūru likumā noteiktajiem valsts aģentūru darbības principiem un finansēšanas modelim.</w:t>
            </w:r>
          </w:p>
          <w:p w:rsidR="008F567E" w:rsidRDefault="00EC3CF5" w:rsidP="00EC3CF5">
            <w:pPr>
              <w:ind w:firstLine="442"/>
              <w:jc w:val="both"/>
            </w:pPr>
            <w:r w:rsidRPr="000E2385">
              <w:t>Valsts aģentūra „</w:t>
            </w:r>
            <w:r w:rsidR="00A35CF9" w:rsidRPr="000E2385">
              <w:t>Kultūras informācijas sistēmas</w:t>
            </w:r>
            <w:r w:rsidRPr="000E2385">
              <w:t xml:space="preserve">” šobrīd faktiski darbojas kā </w:t>
            </w:r>
            <w:r w:rsidR="004B7FCF" w:rsidRPr="000E2385">
              <w:t xml:space="preserve">tiešās pārvaldes </w:t>
            </w:r>
            <w:r w:rsidRPr="000E2385">
              <w:t>iestāde, jo tās darbība pamatā tiek nodrošinā</w:t>
            </w:r>
            <w:r w:rsidR="008F567E">
              <w:t xml:space="preserve">ta no valsts budžeta dotācijas. </w:t>
            </w:r>
            <w:r w:rsidR="00730174" w:rsidRPr="00730174">
              <w:t>Faktiskā pašu ieņēmumu daļa procentuāli veido tikai daļu no kopējā budžeta, piemēram, 2010.gadā faktiskie pašu ieņēmumi sastādīja 274 480 LVL, jeb  </w:t>
            </w:r>
            <w:r w:rsidR="00730174">
              <w:t>8,</w:t>
            </w:r>
            <w:r w:rsidR="00730174" w:rsidRPr="00730174">
              <w:t>18 % no kopējiem aģentūras resursiem un 2011.gadā – 352 436</w:t>
            </w:r>
            <w:r w:rsidR="00730174">
              <w:t xml:space="preserve"> LVL</w:t>
            </w:r>
            <w:r w:rsidR="00730174" w:rsidRPr="00730174">
              <w:t xml:space="preserve"> jeb  </w:t>
            </w:r>
            <w:r w:rsidR="00730174">
              <w:t>13,</w:t>
            </w:r>
            <w:r w:rsidR="00730174" w:rsidRPr="00730174">
              <w:t>44%.</w:t>
            </w:r>
            <w:r w:rsidR="00730174" w:rsidRPr="00EC3CF5">
              <w:t xml:space="preserve"> </w:t>
            </w:r>
            <w:r w:rsidRPr="00EC3CF5">
              <w:t>Tādējādi, kaut gan valsts aģentūra „</w:t>
            </w:r>
            <w:r w:rsidR="005E608C" w:rsidRPr="00A35CF9">
              <w:t>Kultūras informācijas sistēmas</w:t>
            </w:r>
            <w:r w:rsidRPr="00EC3CF5">
              <w:t xml:space="preserve">” sniedz maksas pakalpojumus saskaņā ar maksas pakalpojumu cenrādi, iegūtie finanšu līdzekļi no šiem pakalpojumiem veido vien daļu no valsts aģentūras </w:t>
            </w:r>
            <w:r w:rsidR="000E2385" w:rsidRPr="000E2385">
              <w:t>„Kultūras informācijas sistēmas</w:t>
            </w:r>
            <w:r w:rsidRPr="00EC3CF5">
              <w:t xml:space="preserve">” budžeta līdzekļiem un pamatā tiek izmantoti </w:t>
            </w:r>
            <w:r w:rsidR="008F567E">
              <w:t>aģentūras</w:t>
            </w:r>
            <w:r w:rsidRPr="00EC3CF5">
              <w:t xml:space="preserve"> sniegto maksas pakalpojumu faktisko izmaksu segšanai. </w:t>
            </w:r>
          </w:p>
          <w:p w:rsidR="00EC3CF5" w:rsidRPr="00EC3CF5" w:rsidRDefault="00EC3CF5" w:rsidP="00EC3CF5">
            <w:pPr>
              <w:ind w:firstLine="442"/>
              <w:jc w:val="both"/>
            </w:pPr>
            <w:r w:rsidRPr="00EC3CF5">
              <w:t>Lielāko finansējuma daļu valsts aģentūra „</w:t>
            </w:r>
            <w:r w:rsidR="008F567E" w:rsidRPr="000E2385">
              <w:t>Kultūras informācijas sistēmas</w:t>
            </w:r>
            <w:r w:rsidRPr="00EC3CF5">
              <w:t>” s</w:t>
            </w:r>
            <w:r w:rsidR="008F567E">
              <w:t>aņem no valsts budžeta dotācijas</w:t>
            </w:r>
            <w:r w:rsidRPr="00EC3CF5">
              <w:t xml:space="preserve"> no vispārējiem ieņēmumiem</w:t>
            </w:r>
            <w:r w:rsidR="008F567E">
              <w:t xml:space="preserve">, </w:t>
            </w:r>
            <w:r w:rsidR="008F567E" w:rsidRPr="000E2385">
              <w:rPr>
                <w:color w:val="000000"/>
              </w:rPr>
              <w:t>ārvalstu finanšu palīdzības līdzekļi</w:t>
            </w:r>
            <w:r w:rsidR="008F567E">
              <w:rPr>
                <w:color w:val="000000"/>
              </w:rPr>
              <w:t>em</w:t>
            </w:r>
            <w:r w:rsidR="008F567E" w:rsidRPr="000E2385">
              <w:rPr>
                <w:color w:val="000000"/>
              </w:rPr>
              <w:t>, kas piešķirti projektu realizācijai, kā arī Eiropas Savienības struktūrfondu piešķirtais finansējums</w:t>
            </w:r>
            <w:r w:rsidR="008F567E">
              <w:rPr>
                <w:color w:val="000000"/>
              </w:rPr>
              <w:t xml:space="preserve">. </w:t>
            </w:r>
            <w:r w:rsidRPr="00EC3CF5">
              <w:t>Līdz ar to, valsts aģentūras „</w:t>
            </w:r>
            <w:r w:rsidR="008F567E" w:rsidRPr="000E2385">
              <w:t>Kultūras informācijas sistēmas</w:t>
            </w:r>
            <w:r w:rsidRPr="00EC3CF5">
              <w:t>” finansējums neatbilst Publisko aģentūru likumā noteiktajam valsts aģentūru finansēšanas modelim.</w:t>
            </w:r>
          </w:p>
          <w:p w:rsidR="001E0692" w:rsidRPr="008F567E" w:rsidRDefault="001E0692" w:rsidP="001E0692">
            <w:pPr>
              <w:pStyle w:val="naiskr"/>
              <w:spacing w:before="0" w:beforeAutospacing="0" w:after="0" w:afterAutospacing="0"/>
              <w:ind w:firstLine="567"/>
              <w:jc w:val="both"/>
            </w:pPr>
            <w:r w:rsidRPr="009517F5">
              <w:t xml:space="preserve">Atbilstoši </w:t>
            </w:r>
            <w:r w:rsidR="008F567E" w:rsidRPr="00A35CF9">
              <w:t>Ministru kabinet</w:t>
            </w:r>
            <w:r w:rsidR="008F567E">
              <w:t>a 2004.gada 29.jūnija noteikumu</w:t>
            </w:r>
            <w:r w:rsidR="008F567E" w:rsidRPr="00A35CF9">
              <w:t xml:space="preserve"> Nr.559 „Valsts aģentūras "Kultūras informācijas </w:t>
            </w:r>
            <w:r w:rsidR="008F567E" w:rsidRPr="008F567E">
              <w:t xml:space="preserve">sistēmas" nolikums” </w:t>
            </w:r>
            <w:r w:rsidRPr="008F567E">
              <w:t>3.punktam aģentūrai ir šādas funkcijas:</w:t>
            </w:r>
          </w:p>
          <w:p w:rsidR="008F567E" w:rsidRPr="008F567E" w:rsidRDefault="008F567E" w:rsidP="008F567E">
            <w:pPr>
              <w:pStyle w:val="tv2131"/>
              <w:spacing w:before="0" w:line="240" w:lineRule="auto"/>
              <w:rPr>
                <w:rFonts w:ascii="Times New Roman" w:hAnsi="Times New Roman"/>
                <w:sz w:val="24"/>
                <w:szCs w:val="24"/>
              </w:rPr>
            </w:pPr>
            <w:r>
              <w:rPr>
                <w:rFonts w:ascii="Times New Roman" w:hAnsi="Times New Roman"/>
                <w:sz w:val="24"/>
                <w:szCs w:val="24"/>
              </w:rPr>
              <w:t>1. </w:t>
            </w:r>
            <w:r w:rsidRPr="008F567E">
              <w:rPr>
                <w:rFonts w:ascii="Times New Roman" w:hAnsi="Times New Roman"/>
                <w:sz w:val="24"/>
                <w:szCs w:val="24"/>
              </w:rPr>
              <w:t>attīstīt bibliotēku, arhīvu, muzeju un citu kultūras</w:t>
            </w:r>
            <w:r>
              <w:rPr>
                <w:rFonts w:ascii="Times New Roman" w:hAnsi="Times New Roman"/>
                <w:sz w:val="24"/>
                <w:szCs w:val="24"/>
              </w:rPr>
              <w:t xml:space="preserve"> iestāžu informācijas sistēmas</w:t>
            </w:r>
            <w:r w:rsidRPr="008F567E">
              <w:rPr>
                <w:rFonts w:ascii="Times New Roman" w:hAnsi="Times New Roman"/>
                <w:sz w:val="24"/>
                <w:szCs w:val="24"/>
              </w:rPr>
              <w:t xml:space="preserve">; </w:t>
            </w:r>
          </w:p>
          <w:p w:rsidR="008F567E" w:rsidRPr="008F567E" w:rsidRDefault="008F567E" w:rsidP="008F567E">
            <w:pPr>
              <w:pStyle w:val="tv2131"/>
              <w:spacing w:before="0" w:line="240" w:lineRule="auto"/>
              <w:rPr>
                <w:rFonts w:ascii="Times New Roman" w:hAnsi="Times New Roman"/>
                <w:sz w:val="24"/>
                <w:szCs w:val="24"/>
              </w:rPr>
            </w:pPr>
            <w:r>
              <w:rPr>
                <w:rFonts w:ascii="Times New Roman" w:hAnsi="Times New Roman"/>
                <w:sz w:val="24"/>
                <w:szCs w:val="24"/>
              </w:rPr>
              <w:t>2. </w:t>
            </w:r>
            <w:r w:rsidRPr="008F567E">
              <w:rPr>
                <w:rFonts w:ascii="Times New Roman" w:hAnsi="Times New Roman"/>
                <w:sz w:val="24"/>
                <w:szCs w:val="24"/>
              </w:rPr>
              <w:t>nodrošināt bibliotēkās koncentrētās informācijas apstrādi, uzkrāšanu un izplatīšanu.</w:t>
            </w:r>
          </w:p>
          <w:p w:rsidR="00744A98" w:rsidRPr="004138CE" w:rsidRDefault="001A5545" w:rsidP="00744A98">
            <w:pPr>
              <w:ind w:firstLine="442"/>
              <w:jc w:val="both"/>
            </w:pPr>
            <w:r w:rsidRPr="00EC0B29">
              <w:t xml:space="preserve">Tikai </w:t>
            </w:r>
            <w:r w:rsidR="006861A5">
              <w:t xml:space="preserve">neliela </w:t>
            </w:r>
            <w:r w:rsidRPr="00EC0B29">
              <w:t xml:space="preserve">daļa </w:t>
            </w:r>
            <w:r w:rsidR="008D712D">
              <w:t xml:space="preserve">no </w:t>
            </w:r>
            <w:r w:rsidR="008F567E">
              <w:t>aģentūras</w:t>
            </w:r>
            <w:r w:rsidRPr="00EC0B29">
              <w:t xml:space="preserve"> </w:t>
            </w:r>
            <w:r w:rsidR="00B64F5C">
              <w:t xml:space="preserve">funkcijām ir </w:t>
            </w:r>
            <w:r w:rsidR="00023406">
              <w:t xml:space="preserve">saistītas ar </w:t>
            </w:r>
            <w:r w:rsidR="00B64F5C">
              <w:t>maksas pakalpojumi</w:t>
            </w:r>
            <w:r w:rsidR="00023406">
              <w:t>em</w:t>
            </w:r>
            <w:r w:rsidR="00B64F5C">
              <w:t>.</w:t>
            </w:r>
            <w:r w:rsidR="00730174">
              <w:t> </w:t>
            </w:r>
            <w:r w:rsidR="00744A98" w:rsidRPr="004138CE">
              <w:t xml:space="preserve">Lai </w:t>
            </w:r>
            <w:r w:rsidR="008F567E" w:rsidRPr="004138CE">
              <w:t xml:space="preserve">aģentūra </w:t>
            </w:r>
            <w:r w:rsidR="005C743E">
              <w:t xml:space="preserve">nodrošinātu </w:t>
            </w:r>
            <w:r w:rsidR="006861A5" w:rsidRPr="004138CE">
              <w:t xml:space="preserve">maksas </w:t>
            </w:r>
            <w:r w:rsidR="005C743E">
              <w:t>pakalpojumu sniegšanu</w:t>
            </w:r>
            <w:r w:rsidR="006861A5" w:rsidRPr="004138CE">
              <w:t>, tai</w:t>
            </w:r>
            <w:r w:rsidR="00744A98" w:rsidRPr="004138CE">
              <w:t xml:space="preserve"> </w:t>
            </w:r>
            <w:r w:rsidR="005C743E">
              <w:t xml:space="preserve">papildus tiešajam pakalpojumu sniegšanas procesam </w:t>
            </w:r>
            <w:r w:rsidR="00744A98" w:rsidRPr="004138CE">
              <w:t xml:space="preserve">ir jāveic </w:t>
            </w:r>
            <w:r w:rsidR="00242A27" w:rsidRPr="004138CE">
              <w:t xml:space="preserve">bibliotēku </w:t>
            </w:r>
            <w:r w:rsidR="004138CE" w:rsidRPr="004138CE">
              <w:t>informācijas sistēmu attīstīšana,</w:t>
            </w:r>
            <w:r w:rsidR="00744A98" w:rsidRPr="004138CE">
              <w:t xml:space="preserve"> atbilstošo materiālu</w:t>
            </w:r>
            <w:r w:rsidR="004138CE" w:rsidRPr="004138CE">
              <w:t xml:space="preserve"> un iekārtu</w:t>
            </w:r>
            <w:r w:rsidR="00744A98" w:rsidRPr="004138CE">
              <w:t xml:space="preserve"> </w:t>
            </w:r>
            <w:r w:rsidR="004138CE" w:rsidRPr="004138CE">
              <w:t>iegāde</w:t>
            </w:r>
            <w:r w:rsidR="00744A98" w:rsidRPr="004138CE">
              <w:t xml:space="preserve">, </w:t>
            </w:r>
            <w:r w:rsidR="004138CE" w:rsidRPr="004138CE">
              <w:t xml:space="preserve">kā arī </w:t>
            </w:r>
            <w:r w:rsidR="00744A98" w:rsidRPr="004138CE">
              <w:t xml:space="preserve">jānodrošina šo materiālu uzskaite un pārvaldība. </w:t>
            </w:r>
            <w:r w:rsidR="005C743E">
              <w:t>Ieņēmumi tikai no m</w:t>
            </w:r>
            <w:r w:rsidR="00744A98" w:rsidRPr="004138CE">
              <w:t>aksas pakalpojum</w:t>
            </w:r>
            <w:r w:rsidR="005C743E">
              <w:t>iem</w:t>
            </w:r>
            <w:r w:rsidR="00744A98" w:rsidRPr="004138CE">
              <w:t xml:space="preserve"> nav pietiekami </w:t>
            </w:r>
            <w:r w:rsidR="004138CE" w:rsidRPr="004138CE">
              <w:t>visu</w:t>
            </w:r>
            <w:r w:rsidR="00744A98" w:rsidRPr="004138CE">
              <w:t xml:space="preserve"> </w:t>
            </w:r>
            <w:r w:rsidR="006861A5" w:rsidRPr="004138CE">
              <w:t>aģentūras</w:t>
            </w:r>
            <w:r w:rsidR="00744A98" w:rsidRPr="004138CE">
              <w:t xml:space="preserve"> </w:t>
            </w:r>
            <w:r w:rsidR="006861A5" w:rsidRPr="004138CE">
              <w:t>funkciju</w:t>
            </w:r>
            <w:r w:rsidR="00744A98" w:rsidRPr="004138CE">
              <w:t xml:space="preserve"> nodrošināšanai.</w:t>
            </w:r>
          </w:p>
          <w:p w:rsidR="0039066E" w:rsidRPr="00222E4E" w:rsidRDefault="001A5545" w:rsidP="005C743E">
            <w:pPr>
              <w:ind w:firstLine="442"/>
              <w:jc w:val="both"/>
            </w:pPr>
            <w:r w:rsidRPr="004138CE">
              <w:t>Ņemot vērā</w:t>
            </w:r>
            <w:r w:rsidR="00700547" w:rsidRPr="004138CE">
              <w:t xml:space="preserve"> to</w:t>
            </w:r>
            <w:r w:rsidRPr="004138CE">
              <w:t>, ka</w:t>
            </w:r>
            <w:r w:rsidR="00242A27" w:rsidRPr="004138CE">
              <w:t xml:space="preserve">, aģentūras </w:t>
            </w:r>
            <w:r w:rsidR="006861A5" w:rsidRPr="004138CE">
              <w:t>spēkā esošajā nolikumā noteiktās funkcijas</w:t>
            </w:r>
            <w:r w:rsidR="00242A27" w:rsidRPr="004138CE">
              <w:t xml:space="preserve"> lielākoties </w:t>
            </w:r>
            <w:r w:rsidR="00046341" w:rsidRPr="004138CE">
              <w:t>nav saistītas ar maksas pakalpojumiem</w:t>
            </w:r>
            <w:r w:rsidR="00023406" w:rsidRPr="004138CE">
              <w:t xml:space="preserve">, </w:t>
            </w:r>
            <w:r w:rsidR="00242A27" w:rsidRPr="004138CE">
              <w:t>un</w:t>
            </w:r>
            <w:r w:rsidR="00046341" w:rsidRPr="004138CE">
              <w:t xml:space="preserve"> </w:t>
            </w:r>
            <w:r w:rsidR="006861A5" w:rsidRPr="004138CE">
              <w:t>aģentūras</w:t>
            </w:r>
            <w:r w:rsidR="00046341" w:rsidRPr="004138CE">
              <w:t xml:space="preserve"> sniegtie maksas pakalpojumi </w:t>
            </w:r>
            <w:r w:rsidR="00023406" w:rsidRPr="004138CE">
              <w:t xml:space="preserve">ir pakārtotas, no </w:t>
            </w:r>
            <w:r w:rsidR="006861A5" w:rsidRPr="004138CE">
              <w:t>aģentūras</w:t>
            </w:r>
            <w:r w:rsidR="00023406" w:rsidRPr="004138CE">
              <w:t xml:space="preserve"> funkcijām izrietošas darbības,</w:t>
            </w:r>
            <w:r w:rsidR="00023406">
              <w:t xml:space="preserve"> kā arī to, ka</w:t>
            </w:r>
            <w:r w:rsidRPr="00EC0B29">
              <w:t xml:space="preserve"> </w:t>
            </w:r>
            <w:r w:rsidR="008F567E">
              <w:t>aģentūra</w:t>
            </w:r>
            <w:r w:rsidR="003318F5">
              <w:t>s</w:t>
            </w:r>
            <w:r w:rsidR="00023406">
              <w:t xml:space="preserve"> </w:t>
            </w:r>
            <w:r w:rsidRPr="00EC0B29">
              <w:t xml:space="preserve">budžeta resursu sadalījumā lielāko daļu veido līdzekļi, kas tiek saņemti </w:t>
            </w:r>
            <w:r w:rsidR="005C743E">
              <w:t xml:space="preserve">kā </w:t>
            </w:r>
            <w:r w:rsidRPr="00EC0B29">
              <w:t>valsts budžeta</w:t>
            </w:r>
            <w:r w:rsidR="005C743E">
              <w:t xml:space="preserve"> dotācija, </w:t>
            </w:r>
            <w:r w:rsidR="00E8006F">
              <w:t>Eiropas Savienības</w:t>
            </w:r>
            <w:r w:rsidR="005C743E">
              <w:t xml:space="preserve"> fondu līdzekļi un ārvalstu finanšu palīdzības </w:t>
            </w:r>
            <w:r w:rsidR="00E8006F">
              <w:t>līdzekļi</w:t>
            </w:r>
            <w:r w:rsidRPr="009517F5">
              <w:t xml:space="preserve">, </w:t>
            </w:r>
            <w:r w:rsidR="008F567E" w:rsidRPr="00EC3CF5">
              <w:t xml:space="preserve">valsts aģentūra </w:t>
            </w:r>
            <w:r w:rsidR="008F567E" w:rsidRPr="000E2385">
              <w:t xml:space="preserve">„Kultūras informācijas </w:t>
            </w:r>
            <w:r w:rsidR="008F567E" w:rsidRPr="000E2385">
              <w:lastRenderedPageBreak/>
              <w:t>sistēmas</w:t>
            </w:r>
            <w:r w:rsidR="008F567E" w:rsidRPr="00EC3CF5">
              <w:t xml:space="preserve">” </w:t>
            </w:r>
            <w:r w:rsidRPr="00EC0B29">
              <w:t xml:space="preserve">neatbilst Publisko aģentūru likumā </w:t>
            </w:r>
            <w:r w:rsidR="00023406">
              <w:t>paredzētajam aģentūras statusam</w:t>
            </w:r>
            <w:r w:rsidR="009517F5">
              <w:t xml:space="preserve"> </w:t>
            </w:r>
            <w:r w:rsidR="00023406">
              <w:t>un</w:t>
            </w:r>
            <w:r w:rsidRPr="00EC0B29">
              <w:t xml:space="preserve"> ir pārveidojam</w:t>
            </w:r>
            <w:r w:rsidR="008F567E">
              <w:t>a</w:t>
            </w:r>
            <w:r w:rsidRPr="00EC0B29">
              <w:t xml:space="preserve"> par tiešās pārvaldes iestādi.</w:t>
            </w:r>
          </w:p>
        </w:tc>
      </w:tr>
      <w:tr w:rsidR="0039066E" w:rsidRPr="00222E4E" w:rsidTr="00C0375B">
        <w:trPr>
          <w:trHeight w:val="339"/>
          <w:tblCellSpacing w:w="0" w:type="dxa"/>
        </w:trPr>
        <w:tc>
          <w:tcPr>
            <w:tcW w:w="272"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lastRenderedPageBreak/>
              <w:t> 3.</w:t>
            </w:r>
          </w:p>
        </w:tc>
        <w:tc>
          <w:tcPr>
            <w:tcW w:w="1449"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Saistītie politikas ietekmes novērtējumi un pētījumi</w:t>
            </w:r>
          </w:p>
        </w:tc>
        <w:tc>
          <w:tcPr>
            <w:tcW w:w="3279"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ind w:firstLine="159"/>
            </w:pPr>
            <w:r>
              <w:t>Projekts</w:t>
            </w:r>
            <w:r w:rsidRPr="008507D8">
              <w:t xml:space="preserve"> šo jomu neskar.</w:t>
            </w:r>
          </w:p>
        </w:tc>
      </w:tr>
      <w:tr w:rsidR="0039066E" w:rsidRPr="00222E4E" w:rsidTr="00C0375B">
        <w:trPr>
          <w:trHeight w:val="830"/>
          <w:tblCellSpacing w:w="0" w:type="dxa"/>
        </w:trPr>
        <w:tc>
          <w:tcPr>
            <w:tcW w:w="272"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4.</w:t>
            </w:r>
          </w:p>
        </w:tc>
        <w:tc>
          <w:tcPr>
            <w:tcW w:w="1449"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Tiesiskā regulējuma mērķis un būtība</w:t>
            </w:r>
          </w:p>
        </w:tc>
        <w:tc>
          <w:tcPr>
            <w:tcW w:w="3279" w:type="pct"/>
            <w:tcBorders>
              <w:top w:val="outset" w:sz="6" w:space="0" w:color="auto"/>
              <w:left w:val="outset" w:sz="6" w:space="0" w:color="auto"/>
              <w:bottom w:val="outset" w:sz="6" w:space="0" w:color="auto"/>
              <w:right w:val="outset" w:sz="6" w:space="0" w:color="auto"/>
            </w:tcBorders>
          </w:tcPr>
          <w:p w:rsidR="005D43D5" w:rsidRPr="001C06A1" w:rsidRDefault="001C06A1" w:rsidP="008F567E">
            <w:pPr>
              <w:pStyle w:val="naiskr"/>
              <w:spacing w:before="0" w:beforeAutospacing="0" w:after="0" w:afterAutospacing="0"/>
              <w:ind w:right="-1"/>
              <w:jc w:val="both"/>
            </w:pPr>
            <w:r w:rsidRPr="001C06A1">
              <w:t xml:space="preserve">       </w:t>
            </w:r>
            <w:r w:rsidR="005D43D5" w:rsidRPr="001C06A1">
              <w:t xml:space="preserve">Noteikumu projekta mērķis ir mainīt publiskās aģentūras statusu </w:t>
            </w:r>
            <w:r w:rsidR="003318F5" w:rsidRPr="00EC3CF5">
              <w:t>valsts aģentūra</w:t>
            </w:r>
            <w:r w:rsidR="003318F5">
              <w:t>i</w:t>
            </w:r>
            <w:r w:rsidR="003318F5" w:rsidRPr="00EC3CF5">
              <w:t xml:space="preserve"> </w:t>
            </w:r>
            <w:r w:rsidR="003318F5" w:rsidRPr="000E2385">
              <w:t>„Kultūras informācijas sistēmas</w:t>
            </w:r>
            <w:r w:rsidR="003318F5" w:rsidRPr="00EC3CF5">
              <w:t>”</w:t>
            </w:r>
            <w:r w:rsidR="005D43D5" w:rsidRPr="001C06A1">
              <w:t xml:space="preserve">, izdodot jaunu tiešās pārvaldes iestādes nolikumu, pamatojoties uz Valsts pārvaldes iekārtas likuma 16.panta pirmo daļu. </w:t>
            </w:r>
          </w:p>
          <w:p w:rsidR="007B55CD" w:rsidRDefault="001C06A1" w:rsidP="003318F5">
            <w:pPr>
              <w:pStyle w:val="naiskr"/>
              <w:spacing w:before="0" w:beforeAutospacing="0" w:after="0" w:afterAutospacing="0"/>
              <w:jc w:val="both"/>
            </w:pPr>
            <w:r w:rsidRPr="001C06A1">
              <w:t xml:space="preserve">       </w:t>
            </w:r>
            <w:r w:rsidR="005D43D5" w:rsidRPr="001C06A1">
              <w:t xml:space="preserve">Noteikumu projektā tiek saglabātas </w:t>
            </w:r>
            <w:r w:rsidR="003318F5">
              <w:t>līdzšinējās</w:t>
            </w:r>
            <w:r w:rsidR="005D43D5" w:rsidRPr="001C06A1">
              <w:t xml:space="preserve"> </w:t>
            </w:r>
            <w:r w:rsidR="003318F5" w:rsidRPr="00EC3CF5">
              <w:t>valsts aģentūra</w:t>
            </w:r>
            <w:r w:rsidR="003318F5">
              <w:t>s</w:t>
            </w:r>
            <w:r w:rsidR="003318F5" w:rsidRPr="00EC3CF5">
              <w:t xml:space="preserve"> </w:t>
            </w:r>
            <w:r w:rsidR="003318F5" w:rsidRPr="000E2385">
              <w:t>„Kultūras informācijas sistēmas</w:t>
            </w:r>
            <w:r w:rsidR="003318F5" w:rsidRPr="00EC3CF5">
              <w:t xml:space="preserve">” </w:t>
            </w:r>
            <w:r w:rsidR="005D43D5" w:rsidRPr="001C06A1">
              <w:t>funkcijas</w:t>
            </w:r>
            <w:r w:rsidR="003318F5">
              <w:t xml:space="preserve"> un</w:t>
            </w:r>
            <w:r w:rsidR="005D43D5" w:rsidRPr="001C06A1">
              <w:t xml:space="preserve"> uzdevumi</w:t>
            </w:r>
            <w:r w:rsidR="003318F5">
              <w:t>, veicot turpmāk norādītos precizējumus</w:t>
            </w:r>
            <w:r w:rsidR="005D43D5" w:rsidRPr="001C06A1">
              <w:t>.</w:t>
            </w:r>
          </w:p>
          <w:p w:rsidR="003318F5" w:rsidRPr="00A729B2" w:rsidRDefault="00C0375B" w:rsidP="00A729B2">
            <w:pPr>
              <w:pStyle w:val="naiskr"/>
              <w:spacing w:before="0" w:beforeAutospacing="0" w:after="0" w:afterAutospacing="0"/>
              <w:ind w:firstLine="411"/>
              <w:jc w:val="both"/>
            </w:pPr>
            <w:r>
              <w:t xml:space="preserve">Sakarā ar statusa maiņu </w:t>
            </w:r>
            <w:r w:rsidR="001F1135">
              <w:t xml:space="preserve">uz </w:t>
            </w:r>
            <w:r w:rsidR="001F1135" w:rsidRPr="00EC0B29">
              <w:t>tiešās pārvaldes iestādi</w:t>
            </w:r>
            <w:r w:rsidR="001F1135">
              <w:t xml:space="preserve"> </w:t>
            </w:r>
            <w:r>
              <w:t xml:space="preserve">noteikumu projektā precizēts </w:t>
            </w:r>
            <w:r w:rsidRPr="00EC3CF5">
              <w:t>valsts aģentūra</w:t>
            </w:r>
            <w:r>
              <w:t>s</w:t>
            </w:r>
            <w:r w:rsidRPr="00EC3CF5">
              <w:t xml:space="preserve"> </w:t>
            </w:r>
            <w:r w:rsidRPr="000E2385">
              <w:t>„Kultūras informācijas sistēmas</w:t>
            </w:r>
            <w:r w:rsidRPr="00EC3CF5">
              <w:t>”</w:t>
            </w:r>
            <w:r>
              <w:t xml:space="preserve"> nosaukums – </w:t>
            </w:r>
            <w:r w:rsidRPr="00FD33EE">
              <w:rPr>
                <w:sz w:val="22"/>
                <w:szCs w:val="22"/>
              </w:rPr>
              <w:t>Kultūras informācijas sistēmu centr</w:t>
            </w:r>
            <w:r>
              <w:rPr>
                <w:sz w:val="22"/>
                <w:szCs w:val="22"/>
              </w:rPr>
              <w:t>s</w:t>
            </w:r>
            <w:r w:rsidR="00A729B2">
              <w:rPr>
                <w:sz w:val="22"/>
                <w:szCs w:val="22"/>
              </w:rPr>
              <w:t xml:space="preserve"> (turpmāk – Centrs)</w:t>
            </w:r>
            <w:r>
              <w:rPr>
                <w:sz w:val="22"/>
                <w:szCs w:val="22"/>
              </w:rPr>
              <w:t>.</w:t>
            </w:r>
            <w:r>
              <w:t xml:space="preserve"> </w:t>
            </w:r>
          </w:p>
          <w:p w:rsidR="009765B8" w:rsidRDefault="001F1135" w:rsidP="009765B8">
            <w:pPr>
              <w:pStyle w:val="naiskr"/>
              <w:spacing w:before="0" w:beforeAutospacing="0" w:after="0" w:afterAutospacing="0"/>
              <w:ind w:firstLine="411"/>
              <w:jc w:val="both"/>
            </w:pPr>
            <w:r>
              <w:t>N</w:t>
            </w:r>
            <w:r w:rsidRPr="008A3164">
              <w:t>oteikumu projekt</w:t>
            </w:r>
            <w:r w:rsidR="008A3164" w:rsidRPr="008A3164">
              <w:t>s</w:t>
            </w:r>
            <w:r w:rsidRPr="008A3164">
              <w:t xml:space="preserve"> papildināts ar </w:t>
            </w:r>
            <w:r w:rsidR="00A729B2">
              <w:t>Centra</w:t>
            </w:r>
            <w:r w:rsidR="008A3164" w:rsidRPr="008A3164">
              <w:t xml:space="preserve"> tiesībām saņemt ziedojumus, dāvinājumus, ārvalstu finanšu palīdzību, piedalīties projektu konkursos finanšu līdzekļu pie</w:t>
            </w:r>
            <w:r w:rsidR="008A3164" w:rsidRPr="008A3164">
              <w:softHyphen/>
              <w:t>saistei;</w:t>
            </w:r>
            <w:r w:rsidR="008A3164">
              <w:t xml:space="preserve"> </w:t>
            </w:r>
            <w:r w:rsidR="008A3164" w:rsidRPr="008A3164">
              <w:t>atbilstoši kompetencei sadarboties ar valsts un pašvaldību institūcijām, nevalstiskajām organizācijām, privātpersonām, kā arī starptautiskajām institūcijām centra darbības jautājumos;</w:t>
            </w:r>
            <w:r w:rsidR="008A3164">
              <w:t xml:space="preserve"> </w:t>
            </w:r>
            <w:r w:rsidR="008A3164" w:rsidRPr="008A3164">
              <w:t>veidot komisijas, padomes un darba grupas centra kompetencē esošo uzdevumu veikšanai.</w:t>
            </w:r>
            <w:r w:rsidR="009765B8">
              <w:t xml:space="preserve"> </w:t>
            </w:r>
            <w:r w:rsidR="008A3164">
              <w:t xml:space="preserve">No noteikumu projekta svītrotas tiesības pieaicināt ekspertus un slēgt ar viņiem līgumus, lai veiktu ar </w:t>
            </w:r>
            <w:r w:rsidR="00A729B2">
              <w:t>Centra</w:t>
            </w:r>
            <w:r w:rsidR="009765B8">
              <w:t xml:space="preserve"> darbību saistītos uzdevumus, jo minētos jautājumus regulē likums „Par valsts un pašvaldību finanšu līdzekļu un mantas izšķērdēšanas novēršanu”.</w:t>
            </w:r>
          </w:p>
          <w:p w:rsidR="005D43D5" w:rsidRDefault="007B55CD" w:rsidP="008F567E">
            <w:pPr>
              <w:pStyle w:val="naiskr"/>
              <w:spacing w:before="0" w:beforeAutospacing="0" w:after="0" w:afterAutospacing="0"/>
              <w:ind w:right="-1"/>
              <w:jc w:val="both"/>
            </w:pPr>
            <w:r>
              <w:t xml:space="preserve">       </w:t>
            </w:r>
            <w:r w:rsidR="009765B8">
              <w:t xml:space="preserve">No noteikumu projekta svītrots regulējums par konsultatīvo padomi, kas uz nolikuma pieņemšanas brīdi tika izveidota atbilstoši </w:t>
            </w:r>
            <w:r w:rsidR="009765B8" w:rsidRPr="001A4101">
              <w:t>spēku zaudē</w:t>
            </w:r>
            <w:r w:rsidR="009765B8">
              <w:t>jušā Publisko aģentūru likuma prasībām.</w:t>
            </w:r>
          </w:p>
          <w:p w:rsidR="001C06A1" w:rsidRPr="001C06A1" w:rsidRDefault="009765B8" w:rsidP="008F567E">
            <w:pPr>
              <w:pStyle w:val="Bezatstarpm"/>
              <w:ind w:right="-1" w:firstLine="425"/>
              <w:jc w:val="both"/>
              <w:rPr>
                <w:rFonts w:ascii="Times New Roman" w:hAnsi="Times New Roman"/>
                <w:sz w:val="24"/>
                <w:szCs w:val="24"/>
                <w:lang w:eastAsia="lv-LV"/>
              </w:rPr>
            </w:pPr>
            <w:r>
              <w:rPr>
                <w:rFonts w:ascii="Times New Roman" w:hAnsi="Times New Roman"/>
                <w:sz w:val="24"/>
                <w:szCs w:val="24"/>
                <w:lang w:eastAsia="lv-LV"/>
              </w:rPr>
              <w:t>Noteikumu projektā</w:t>
            </w:r>
            <w:r w:rsidR="002D4D2B">
              <w:rPr>
                <w:rFonts w:ascii="Times New Roman" w:hAnsi="Times New Roman"/>
                <w:sz w:val="24"/>
                <w:szCs w:val="24"/>
                <w:lang w:eastAsia="lv-LV"/>
              </w:rPr>
              <w:t xml:space="preserve"> no</w:t>
            </w:r>
            <w:r w:rsidR="001C06A1" w:rsidRPr="001C06A1">
              <w:rPr>
                <w:rFonts w:ascii="Times New Roman" w:hAnsi="Times New Roman"/>
                <w:sz w:val="24"/>
                <w:szCs w:val="24"/>
                <w:lang w:eastAsia="lv-LV"/>
              </w:rPr>
              <w:t>t</w:t>
            </w:r>
            <w:r w:rsidR="002D4D2B">
              <w:rPr>
                <w:rFonts w:ascii="Times New Roman" w:hAnsi="Times New Roman"/>
                <w:sz w:val="24"/>
                <w:szCs w:val="24"/>
                <w:lang w:eastAsia="lv-LV"/>
              </w:rPr>
              <w:t>eikts</w:t>
            </w:r>
            <w:r w:rsidR="001C06A1" w:rsidRPr="001C06A1">
              <w:rPr>
                <w:rFonts w:ascii="Times New Roman" w:hAnsi="Times New Roman"/>
                <w:sz w:val="24"/>
                <w:szCs w:val="24"/>
                <w:lang w:eastAsia="lv-LV"/>
              </w:rPr>
              <w:t xml:space="preserve">, ka </w:t>
            </w:r>
            <w:r w:rsidR="00A729B2">
              <w:rPr>
                <w:rFonts w:ascii="Times New Roman" w:hAnsi="Times New Roman"/>
                <w:sz w:val="24"/>
                <w:szCs w:val="24"/>
                <w:lang w:eastAsia="lv-LV"/>
              </w:rPr>
              <w:t>Centrs</w:t>
            </w:r>
            <w:r w:rsidR="001C06A1" w:rsidRPr="001C06A1">
              <w:rPr>
                <w:rFonts w:ascii="Times New Roman" w:hAnsi="Times New Roman"/>
                <w:sz w:val="24"/>
                <w:szCs w:val="24"/>
                <w:lang w:eastAsia="lv-LV"/>
              </w:rPr>
              <w:t xml:space="preserve"> </w:t>
            </w:r>
            <w:r w:rsidRPr="009765B8">
              <w:rPr>
                <w:rFonts w:ascii="Times New Roman" w:hAnsi="Times New Roman"/>
                <w:sz w:val="24"/>
                <w:szCs w:val="24"/>
                <w:lang w:eastAsia="lv-LV"/>
              </w:rPr>
              <w:t xml:space="preserve">ne retāk kā reizi gadā sniedz Kultūras ministrijai pārskatu par </w:t>
            </w:r>
            <w:r>
              <w:rPr>
                <w:rFonts w:ascii="Times New Roman" w:hAnsi="Times New Roman"/>
                <w:sz w:val="24"/>
                <w:szCs w:val="24"/>
                <w:lang w:eastAsia="lv-LV"/>
              </w:rPr>
              <w:t xml:space="preserve">iestādes </w:t>
            </w:r>
            <w:r w:rsidRPr="009765B8">
              <w:rPr>
                <w:rFonts w:ascii="Times New Roman" w:hAnsi="Times New Roman"/>
                <w:sz w:val="24"/>
                <w:szCs w:val="24"/>
                <w:lang w:eastAsia="lv-LV"/>
              </w:rPr>
              <w:t xml:space="preserve">funkciju pildīšanu </w:t>
            </w:r>
            <w:r>
              <w:rPr>
                <w:rFonts w:ascii="Times New Roman" w:hAnsi="Times New Roman"/>
                <w:sz w:val="24"/>
                <w:szCs w:val="24"/>
                <w:lang w:eastAsia="lv-LV"/>
              </w:rPr>
              <w:t>un finanšu līdzekļu izlietošanu un</w:t>
            </w:r>
            <w:r w:rsidRPr="009765B8">
              <w:rPr>
                <w:rFonts w:ascii="Times New Roman" w:hAnsi="Times New Roman"/>
                <w:sz w:val="24"/>
                <w:szCs w:val="24"/>
                <w:lang w:eastAsia="lv-LV"/>
              </w:rPr>
              <w:t xml:space="preserve"> </w:t>
            </w:r>
            <w:r w:rsidR="001C06A1" w:rsidRPr="001C06A1">
              <w:rPr>
                <w:rFonts w:ascii="Times New Roman" w:hAnsi="Times New Roman"/>
                <w:sz w:val="24"/>
                <w:szCs w:val="24"/>
                <w:lang w:eastAsia="lv-LV"/>
              </w:rPr>
              <w:t>pēc Kultūras ministrijas pieprasījuma sniedz informāciju par tā</w:t>
            </w:r>
            <w:r>
              <w:rPr>
                <w:rFonts w:ascii="Times New Roman" w:hAnsi="Times New Roman"/>
                <w:sz w:val="24"/>
                <w:szCs w:val="24"/>
                <w:lang w:eastAsia="lv-LV"/>
              </w:rPr>
              <w:t>s</w:t>
            </w:r>
            <w:r w:rsidR="001C06A1" w:rsidRPr="001C06A1">
              <w:rPr>
                <w:rFonts w:ascii="Times New Roman" w:hAnsi="Times New Roman"/>
                <w:sz w:val="24"/>
                <w:szCs w:val="24"/>
                <w:lang w:eastAsia="lv-LV"/>
              </w:rPr>
              <w:t xml:space="preserve"> darbību un finanšu līdzekļu izlietojumu.</w:t>
            </w:r>
          </w:p>
          <w:p w:rsidR="005D43D5" w:rsidRPr="001C06A1" w:rsidRDefault="001C06A1" w:rsidP="008F567E">
            <w:pPr>
              <w:pStyle w:val="naiskr"/>
              <w:spacing w:before="0" w:beforeAutospacing="0" w:after="0" w:afterAutospacing="0"/>
              <w:ind w:right="-1"/>
              <w:jc w:val="both"/>
            </w:pPr>
            <w:r w:rsidRPr="001C06A1">
              <w:t xml:space="preserve">       Ar noteikumu projekta pieņemšanu tiks izpildīts Publisko aģentūru likuma pārejas noteikumos 2.punktā ietvertais Ministru kabineta uzdevums.</w:t>
            </w:r>
          </w:p>
          <w:p w:rsidR="0039066E" w:rsidRPr="001C06A1" w:rsidRDefault="001C06A1" w:rsidP="008F567E">
            <w:pPr>
              <w:pStyle w:val="naiskr"/>
              <w:spacing w:before="0" w:beforeAutospacing="0" w:after="0" w:afterAutospacing="0"/>
              <w:ind w:right="-1"/>
              <w:jc w:val="both"/>
              <w:rPr>
                <w:highlight w:val="green"/>
              </w:rPr>
            </w:pPr>
            <w:r w:rsidRPr="001C06A1">
              <w:t xml:space="preserve">       Paredzēts, ka noteikumu projekts stāsies spēkā ar 2013.gada 1.janvāri, ņemot vērā </w:t>
            </w:r>
            <w:r w:rsidR="004B7FCF">
              <w:t>V</w:t>
            </w:r>
            <w:r w:rsidRPr="001C06A1">
              <w:t xml:space="preserve">alsts sekretāru </w:t>
            </w:r>
            <w:r w:rsidR="004B7FCF" w:rsidRPr="001C06A1">
              <w:t xml:space="preserve">2012.gada 28.jūnija </w:t>
            </w:r>
            <w:r w:rsidR="00C0375B">
              <w:t>sanāksmes protokollēmumā</w:t>
            </w:r>
            <w:r w:rsidRPr="001C06A1">
              <w:t xml:space="preserve"> (prot. Nr. 26, 52. §) noteikto.</w:t>
            </w:r>
          </w:p>
        </w:tc>
      </w:tr>
      <w:tr w:rsidR="0039066E" w:rsidRPr="00222E4E" w:rsidTr="00C0375B">
        <w:trPr>
          <w:trHeight w:val="476"/>
          <w:tblCellSpacing w:w="0" w:type="dxa"/>
        </w:trPr>
        <w:tc>
          <w:tcPr>
            <w:tcW w:w="272"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5.</w:t>
            </w:r>
          </w:p>
        </w:tc>
        <w:tc>
          <w:tcPr>
            <w:tcW w:w="1449"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Projekta izstrādē iesaistītās institūcijas</w:t>
            </w:r>
          </w:p>
        </w:tc>
        <w:tc>
          <w:tcPr>
            <w:tcW w:w="3279" w:type="pct"/>
            <w:tcBorders>
              <w:top w:val="outset" w:sz="6" w:space="0" w:color="auto"/>
              <w:left w:val="outset" w:sz="6" w:space="0" w:color="auto"/>
              <w:bottom w:val="outset" w:sz="6" w:space="0" w:color="auto"/>
              <w:right w:val="outset" w:sz="6" w:space="0" w:color="auto"/>
            </w:tcBorders>
          </w:tcPr>
          <w:p w:rsidR="00A13BD6" w:rsidRDefault="004A43CC" w:rsidP="003318F5">
            <w:pPr>
              <w:pStyle w:val="naiskr"/>
              <w:spacing w:before="0" w:after="0"/>
              <w:ind w:right="-1"/>
              <w:jc w:val="both"/>
              <w:rPr>
                <w:iCs/>
              </w:rPr>
            </w:pPr>
            <w:r>
              <w:rPr>
                <w:iCs/>
              </w:rPr>
              <w:t>Kultūras ministrija</w:t>
            </w:r>
            <w:r w:rsidR="003318F5">
              <w:rPr>
                <w:iCs/>
              </w:rPr>
              <w:t xml:space="preserve">, </w:t>
            </w:r>
            <w:r w:rsidR="003318F5" w:rsidRPr="00EC3CF5">
              <w:t xml:space="preserve">valsts aģentūra </w:t>
            </w:r>
            <w:r w:rsidR="003318F5" w:rsidRPr="000E2385">
              <w:t>„Kultūras informācijas sistēmas</w:t>
            </w:r>
            <w:r w:rsidR="003318F5" w:rsidRPr="00EC3CF5">
              <w:t>”</w:t>
            </w:r>
            <w:r w:rsidRPr="00175FCC">
              <w:t>”.</w:t>
            </w:r>
          </w:p>
        </w:tc>
      </w:tr>
      <w:tr w:rsidR="0039066E" w:rsidRPr="00222E4E" w:rsidTr="00C0375B">
        <w:trPr>
          <w:trHeight w:val="1111"/>
          <w:tblCellSpacing w:w="0" w:type="dxa"/>
        </w:trPr>
        <w:tc>
          <w:tcPr>
            <w:tcW w:w="272"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lastRenderedPageBreak/>
              <w:t> 6.</w:t>
            </w:r>
          </w:p>
        </w:tc>
        <w:tc>
          <w:tcPr>
            <w:tcW w:w="1449"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Iemesli, kādēļ netika nodrošināta sabiedrības līdzdalība</w:t>
            </w:r>
          </w:p>
        </w:tc>
        <w:tc>
          <w:tcPr>
            <w:tcW w:w="3279" w:type="pct"/>
            <w:tcBorders>
              <w:top w:val="outset" w:sz="6" w:space="0" w:color="auto"/>
              <w:left w:val="outset" w:sz="6" w:space="0" w:color="auto"/>
              <w:bottom w:val="outset" w:sz="6" w:space="0" w:color="auto"/>
              <w:right w:val="outset" w:sz="6" w:space="0" w:color="auto"/>
            </w:tcBorders>
          </w:tcPr>
          <w:p w:rsidR="0039066E" w:rsidRPr="0027227B" w:rsidRDefault="0039066E" w:rsidP="009765B8">
            <w:pPr>
              <w:pStyle w:val="Vresteksts"/>
              <w:ind w:right="-1"/>
              <w:jc w:val="both"/>
              <w:rPr>
                <w:sz w:val="24"/>
                <w:szCs w:val="24"/>
              </w:rPr>
            </w:pPr>
            <w:r>
              <w:rPr>
                <w:sz w:val="24"/>
                <w:szCs w:val="24"/>
              </w:rPr>
              <w:t xml:space="preserve">Projekta ietvaros netiek mainītas valsts pārvaldes funkcijas un uzdevumi, un to </w:t>
            </w:r>
            <w:r w:rsidR="009765B8">
              <w:rPr>
                <w:sz w:val="24"/>
                <w:szCs w:val="24"/>
              </w:rPr>
              <w:t>īstenošanas</w:t>
            </w:r>
            <w:r>
              <w:rPr>
                <w:sz w:val="24"/>
                <w:szCs w:val="24"/>
              </w:rPr>
              <w:t xml:space="preserve"> modelis, kas skartu sabiedrības intereses, to iespējamo ierobežošanu vai paplašināšanu.</w:t>
            </w:r>
          </w:p>
        </w:tc>
      </w:tr>
      <w:tr w:rsidR="0039066E" w:rsidRPr="00222E4E" w:rsidTr="00C0375B">
        <w:trPr>
          <w:tblCellSpacing w:w="0" w:type="dxa"/>
        </w:trPr>
        <w:tc>
          <w:tcPr>
            <w:tcW w:w="272"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7.</w:t>
            </w:r>
          </w:p>
        </w:tc>
        <w:tc>
          <w:tcPr>
            <w:tcW w:w="1449"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Cita informācija</w:t>
            </w:r>
          </w:p>
        </w:tc>
        <w:tc>
          <w:tcPr>
            <w:tcW w:w="3279" w:type="pct"/>
            <w:tcBorders>
              <w:top w:val="outset" w:sz="6" w:space="0" w:color="auto"/>
              <w:left w:val="outset" w:sz="6" w:space="0" w:color="auto"/>
              <w:bottom w:val="outset" w:sz="6" w:space="0" w:color="auto"/>
              <w:right w:val="outset" w:sz="6" w:space="0" w:color="auto"/>
            </w:tcBorders>
          </w:tcPr>
          <w:p w:rsidR="0039066E" w:rsidRPr="00222E4E" w:rsidRDefault="004A43CC" w:rsidP="00C0375B">
            <w:pPr>
              <w:pStyle w:val="naiskr"/>
              <w:jc w:val="both"/>
            </w:pPr>
            <w:r>
              <w:t xml:space="preserve">Nav </w:t>
            </w:r>
          </w:p>
        </w:tc>
      </w:tr>
    </w:tbl>
    <w:p w:rsidR="00C0375B" w:rsidRDefault="00C0375B" w:rsidP="00C0375B">
      <w:pPr>
        <w:pStyle w:val="naisf"/>
        <w:tabs>
          <w:tab w:val="left" w:pos="5760"/>
        </w:tabs>
        <w:spacing w:before="0" w:beforeAutospacing="0" w:after="0" w:afterAutospacing="0"/>
        <w:rPr>
          <w:i/>
        </w:rPr>
      </w:pPr>
    </w:p>
    <w:p w:rsidR="00A33356" w:rsidRPr="004A43CC" w:rsidRDefault="00A33356" w:rsidP="00C0375B">
      <w:pPr>
        <w:pStyle w:val="naisf"/>
        <w:tabs>
          <w:tab w:val="left" w:pos="5760"/>
        </w:tabs>
        <w:spacing w:before="0" w:beforeAutospacing="0" w:after="0" w:afterAutospacing="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
        <w:gridCol w:w="2693"/>
        <w:gridCol w:w="6061"/>
      </w:tblGrid>
      <w:tr w:rsidR="00C0375B" w:rsidRPr="009C5D61" w:rsidTr="00C0375B">
        <w:trPr>
          <w:trHeight w:val="499"/>
        </w:trPr>
        <w:tc>
          <w:tcPr>
            <w:tcW w:w="5000" w:type="pct"/>
            <w:gridSpan w:val="3"/>
          </w:tcPr>
          <w:p w:rsidR="00C0375B" w:rsidRDefault="00C0375B" w:rsidP="00A13BD6">
            <w:pPr>
              <w:pStyle w:val="naisc"/>
              <w:spacing w:before="0" w:after="0"/>
              <w:jc w:val="center"/>
            </w:pPr>
            <w:r w:rsidRPr="009C5D61">
              <w:rPr>
                <w:b/>
                <w:bCs/>
              </w:rPr>
              <w:t>II. Tiesību akta projekta ietekme uz sabiedrību</w:t>
            </w:r>
          </w:p>
        </w:tc>
      </w:tr>
      <w:tr w:rsidR="00C0375B" w:rsidRPr="009C5D61" w:rsidTr="00A33356">
        <w:trPr>
          <w:trHeight w:val="405"/>
        </w:trPr>
        <w:tc>
          <w:tcPr>
            <w:tcW w:w="287" w:type="pct"/>
          </w:tcPr>
          <w:p w:rsidR="00C0375B" w:rsidRPr="009C5D61" w:rsidRDefault="00C0375B" w:rsidP="004A43CC">
            <w:pPr>
              <w:pStyle w:val="naiskr"/>
            </w:pPr>
            <w:r w:rsidRPr="009C5D61">
              <w:t>1. </w:t>
            </w:r>
          </w:p>
        </w:tc>
        <w:tc>
          <w:tcPr>
            <w:tcW w:w="1450" w:type="pct"/>
          </w:tcPr>
          <w:p w:rsidR="00C0375B" w:rsidRPr="009C5D61" w:rsidRDefault="00C0375B" w:rsidP="004A43CC">
            <w:pPr>
              <w:pStyle w:val="naiskr"/>
            </w:pPr>
            <w:r w:rsidRPr="009C5D61">
              <w:t>Sabiedrības mērķgrupa</w:t>
            </w:r>
          </w:p>
        </w:tc>
        <w:tc>
          <w:tcPr>
            <w:tcW w:w="3263" w:type="pct"/>
          </w:tcPr>
          <w:p w:rsidR="00C0375B" w:rsidRPr="009C5D61" w:rsidRDefault="00C0375B" w:rsidP="004A43CC">
            <w:pPr>
              <w:pStyle w:val="naiskr"/>
              <w:spacing w:before="0" w:after="0"/>
              <w:jc w:val="both"/>
              <w:rPr>
                <w:highlight w:val="yellow"/>
              </w:rPr>
            </w:pPr>
            <w:r w:rsidRPr="00CC5231">
              <w:t>Sabiedrība kopumā.</w:t>
            </w:r>
          </w:p>
        </w:tc>
      </w:tr>
      <w:tr w:rsidR="00C0375B" w:rsidRPr="009C5D61" w:rsidTr="00A33356">
        <w:tc>
          <w:tcPr>
            <w:tcW w:w="287" w:type="pct"/>
          </w:tcPr>
          <w:p w:rsidR="00C0375B" w:rsidRPr="009C5D61" w:rsidRDefault="00C0375B" w:rsidP="004A43CC">
            <w:pPr>
              <w:pStyle w:val="naiskr"/>
              <w:spacing w:before="0" w:after="0"/>
            </w:pPr>
            <w:r w:rsidRPr="009C5D61">
              <w:t>2.</w:t>
            </w:r>
          </w:p>
        </w:tc>
        <w:tc>
          <w:tcPr>
            <w:tcW w:w="1450" w:type="pct"/>
          </w:tcPr>
          <w:p w:rsidR="00C0375B" w:rsidRPr="009C5D61" w:rsidRDefault="00C0375B" w:rsidP="004A43CC">
            <w:pPr>
              <w:pStyle w:val="naiskr"/>
              <w:spacing w:before="0" w:after="0"/>
            </w:pPr>
            <w:r w:rsidRPr="009C5D61">
              <w:t xml:space="preserve">Citas sabiedrības grupas (bez mērķgrupas) kuras tiesiskais regulējums arī ietekmē vai varētu ietekmēt </w:t>
            </w:r>
          </w:p>
        </w:tc>
        <w:tc>
          <w:tcPr>
            <w:tcW w:w="3263" w:type="pct"/>
          </w:tcPr>
          <w:p w:rsidR="00C0375B" w:rsidRPr="00EC0B29" w:rsidRDefault="00C0375B" w:rsidP="004A43CC">
            <w:pPr>
              <w:pStyle w:val="naiskr"/>
              <w:spacing w:before="0" w:after="0"/>
              <w:jc w:val="both"/>
            </w:pPr>
            <w:r>
              <w:t>V</w:t>
            </w:r>
            <w:r w:rsidRPr="00EC3CF5">
              <w:t>alsts aģentūra</w:t>
            </w:r>
            <w:r>
              <w:t>s</w:t>
            </w:r>
            <w:r w:rsidRPr="00EC3CF5">
              <w:t xml:space="preserve"> </w:t>
            </w:r>
            <w:r w:rsidRPr="000E2385">
              <w:t>„Kultūras informācijas sistēmas</w:t>
            </w:r>
            <w:r w:rsidRPr="00EC3CF5">
              <w:t>”</w:t>
            </w:r>
            <w:r>
              <w:t xml:space="preserve"> </w:t>
            </w:r>
            <w:r w:rsidRPr="00EC0B29">
              <w:t>darbinieki un sadarbības partneri.</w:t>
            </w:r>
          </w:p>
          <w:p w:rsidR="00C0375B" w:rsidRPr="00EC0B29" w:rsidRDefault="00C0375B" w:rsidP="004A43CC">
            <w:pPr>
              <w:tabs>
                <w:tab w:val="left" w:pos="720"/>
              </w:tabs>
              <w:jc w:val="both"/>
            </w:pPr>
          </w:p>
        </w:tc>
      </w:tr>
      <w:tr w:rsidR="00C0375B" w:rsidRPr="009C5D61" w:rsidTr="00A33356">
        <w:tc>
          <w:tcPr>
            <w:tcW w:w="287" w:type="pct"/>
          </w:tcPr>
          <w:p w:rsidR="00C0375B" w:rsidRPr="008C19BE" w:rsidRDefault="00C0375B" w:rsidP="004A43CC">
            <w:pPr>
              <w:pStyle w:val="ParastaisWeb"/>
              <w:spacing w:before="0" w:beforeAutospacing="0" w:after="0" w:afterAutospacing="0"/>
              <w:jc w:val="both"/>
            </w:pPr>
            <w:r w:rsidRPr="008C19BE">
              <w:t>3.</w:t>
            </w:r>
          </w:p>
        </w:tc>
        <w:tc>
          <w:tcPr>
            <w:tcW w:w="1450" w:type="pct"/>
          </w:tcPr>
          <w:p w:rsidR="00C0375B" w:rsidRPr="008C19BE" w:rsidRDefault="00C0375B" w:rsidP="004A43CC">
            <w:pPr>
              <w:pStyle w:val="ParastaisWeb"/>
              <w:spacing w:before="0" w:beforeAutospacing="0" w:after="0" w:afterAutospacing="0"/>
              <w:jc w:val="both"/>
            </w:pPr>
            <w:r w:rsidRPr="008C19BE">
              <w:t>Tiesiskā regulējuma finansiālā ietekme</w:t>
            </w:r>
          </w:p>
        </w:tc>
        <w:tc>
          <w:tcPr>
            <w:tcW w:w="3263" w:type="pct"/>
          </w:tcPr>
          <w:p w:rsidR="00C0375B" w:rsidRPr="00EC0B29" w:rsidRDefault="00C0375B" w:rsidP="00C0375B">
            <w:pPr>
              <w:jc w:val="both"/>
            </w:pPr>
            <w:r w:rsidRPr="00EC0B29">
              <w:t xml:space="preserve">Noteikumu projektā paredzēts, ka tiešās pārvaldes iestāde ir attiecīgās aģentūras funkciju, tiesību, saistību, prasību, bilancē esošās mantas, lietvedības un arhīva pārņēmēja, līdz ar to ietekme nebūs jūtama.   </w:t>
            </w:r>
          </w:p>
        </w:tc>
      </w:tr>
      <w:tr w:rsidR="00C0375B" w:rsidRPr="009C5D61" w:rsidTr="00A33356">
        <w:tc>
          <w:tcPr>
            <w:tcW w:w="287" w:type="pct"/>
          </w:tcPr>
          <w:p w:rsidR="00C0375B" w:rsidRPr="008C19BE" w:rsidRDefault="00C0375B" w:rsidP="004A43CC">
            <w:pPr>
              <w:pStyle w:val="ParastaisWeb"/>
              <w:spacing w:before="0" w:beforeAutospacing="0" w:after="0" w:afterAutospacing="0"/>
              <w:jc w:val="both"/>
            </w:pPr>
            <w:r w:rsidRPr="008C19BE">
              <w:t>4.</w:t>
            </w:r>
          </w:p>
        </w:tc>
        <w:tc>
          <w:tcPr>
            <w:tcW w:w="1450" w:type="pct"/>
          </w:tcPr>
          <w:p w:rsidR="00C0375B" w:rsidRPr="008C19BE" w:rsidRDefault="00C0375B" w:rsidP="004A43CC">
            <w:pPr>
              <w:pStyle w:val="ParastaisWeb"/>
              <w:spacing w:before="0" w:beforeAutospacing="0" w:after="0" w:afterAutospacing="0"/>
              <w:jc w:val="both"/>
            </w:pPr>
            <w:r w:rsidRPr="008C19BE">
              <w:t>Tiesiskā regulējuma nefinansiālā ietekme</w:t>
            </w:r>
          </w:p>
        </w:tc>
        <w:tc>
          <w:tcPr>
            <w:tcW w:w="3263" w:type="pct"/>
          </w:tcPr>
          <w:p w:rsidR="00C0375B" w:rsidRPr="00EC0B29" w:rsidRDefault="00C0375B" w:rsidP="00C0375B">
            <w:pPr>
              <w:jc w:val="both"/>
            </w:pPr>
            <w:r w:rsidRPr="00EC0B29">
              <w:t>Noteikumu projektā paredzēts, ka tiešās pārvaldes iestāde ir attiecīgās aģentūras funkciju, tiesību, saistību, prasību, bilancē esošās mantas, lietvedības un arhīva pārņēmēja, līdz ar to ietekme nebūs jūtama.</w:t>
            </w:r>
          </w:p>
        </w:tc>
      </w:tr>
      <w:tr w:rsidR="00C0375B" w:rsidRPr="009C5D61" w:rsidTr="00A33356">
        <w:trPr>
          <w:trHeight w:val="483"/>
        </w:trPr>
        <w:tc>
          <w:tcPr>
            <w:tcW w:w="287" w:type="pct"/>
          </w:tcPr>
          <w:p w:rsidR="00C0375B" w:rsidRDefault="00C0375B" w:rsidP="004A43CC">
            <w:pPr>
              <w:pStyle w:val="ParastaisWeb"/>
              <w:spacing w:before="0" w:beforeAutospacing="0" w:after="0" w:afterAutospacing="0"/>
              <w:jc w:val="both"/>
            </w:pPr>
            <w:r>
              <w:t>5.</w:t>
            </w:r>
          </w:p>
        </w:tc>
        <w:tc>
          <w:tcPr>
            <w:tcW w:w="1450" w:type="pct"/>
          </w:tcPr>
          <w:p w:rsidR="00C0375B" w:rsidRPr="009C5D61" w:rsidRDefault="00C0375B" w:rsidP="004A43CC">
            <w:pPr>
              <w:pStyle w:val="ParastaisWeb"/>
              <w:spacing w:before="0" w:beforeAutospacing="0" w:after="0" w:afterAutospacing="0"/>
              <w:jc w:val="both"/>
            </w:pPr>
            <w:r w:rsidRPr="009C5D61">
              <w:t>Administratīvās procedūras raksturojums</w:t>
            </w:r>
          </w:p>
        </w:tc>
        <w:tc>
          <w:tcPr>
            <w:tcW w:w="3263" w:type="pct"/>
          </w:tcPr>
          <w:p w:rsidR="00C0375B" w:rsidRPr="009C5D61" w:rsidRDefault="00C0375B" w:rsidP="00C0375B">
            <w:pPr>
              <w:jc w:val="both"/>
            </w:pPr>
            <w:r>
              <w:t>Projekts šo jomu neskar.</w:t>
            </w:r>
          </w:p>
        </w:tc>
      </w:tr>
      <w:tr w:rsidR="00C0375B" w:rsidRPr="009C5D61" w:rsidTr="00A33356">
        <w:tc>
          <w:tcPr>
            <w:tcW w:w="287" w:type="pct"/>
          </w:tcPr>
          <w:p w:rsidR="00C0375B" w:rsidRPr="009C5D61" w:rsidRDefault="00C0375B" w:rsidP="004A43CC">
            <w:pPr>
              <w:pStyle w:val="naiskr"/>
              <w:spacing w:before="0" w:after="0"/>
            </w:pPr>
            <w:r w:rsidRPr="009C5D61">
              <w:t>6.</w:t>
            </w:r>
          </w:p>
        </w:tc>
        <w:tc>
          <w:tcPr>
            <w:tcW w:w="1450" w:type="pct"/>
          </w:tcPr>
          <w:p w:rsidR="00C0375B" w:rsidRPr="009C5D61" w:rsidRDefault="00C0375B" w:rsidP="004A43CC">
            <w:pPr>
              <w:pStyle w:val="naiskr"/>
              <w:spacing w:before="0" w:after="0"/>
            </w:pPr>
            <w:r w:rsidRPr="009C5D61">
              <w:t>Administratīvo izmaksu monetārs novērtējums</w:t>
            </w:r>
          </w:p>
        </w:tc>
        <w:tc>
          <w:tcPr>
            <w:tcW w:w="3263" w:type="pct"/>
          </w:tcPr>
          <w:p w:rsidR="00C0375B" w:rsidRPr="009C5D61" w:rsidRDefault="00C0375B" w:rsidP="00C0375B">
            <w:r>
              <w:t>Projekts šo jomu neskar.</w:t>
            </w:r>
          </w:p>
        </w:tc>
      </w:tr>
      <w:tr w:rsidR="00C0375B" w:rsidRPr="009C5D61" w:rsidTr="00A33356">
        <w:trPr>
          <w:trHeight w:val="353"/>
        </w:trPr>
        <w:tc>
          <w:tcPr>
            <w:tcW w:w="287" w:type="pct"/>
            <w:tcBorders>
              <w:bottom w:val="single" w:sz="4" w:space="0" w:color="auto"/>
            </w:tcBorders>
          </w:tcPr>
          <w:p w:rsidR="00C0375B" w:rsidRPr="009C5D61" w:rsidRDefault="00C0375B" w:rsidP="004A43CC">
            <w:pPr>
              <w:pStyle w:val="naiskr"/>
            </w:pPr>
            <w:r w:rsidRPr="009C5D61">
              <w:t> 7.</w:t>
            </w:r>
          </w:p>
        </w:tc>
        <w:tc>
          <w:tcPr>
            <w:tcW w:w="1450" w:type="pct"/>
            <w:tcBorders>
              <w:bottom w:val="single" w:sz="4" w:space="0" w:color="auto"/>
            </w:tcBorders>
          </w:tcPr>
          <w:p w:rsidR="00C0375B" w:rsidRPr="009C5D61" w:rsidRDefault="00C0375B" w:rsidP="004A43CC">
            <w:pPr>
              <w:pStyle w:val="naiskr"/>
            </w:pPr>
            <w:r w:rsidRPr="009C5D61">
              <w:t>Cita ietekme</w:t>
            </w:r>
          </w:p>
        </w:tc>
        <w:tc>
          <w:tcPr>
            <w:tcW w:w="3263" w:type="pct"/>
            <w:tcBorders>
              <w:bottom w:val="single" w:sz="4" w:space="0" w:color="auto"/>
            </w:tcBorders>
          </w:tcPr>
          <w:p w:rsidR="00C0375B" w:rsidRPr="009C5D61" w:rsidRDefault="00C0375B" w:rsidP="00C0375B">
            <w:r w:rsidRPr="009C5D61">
              <w:t>Nav</w:t>
            </w:r>
          </w:p>
        </w:tc>
      </w:tr>
    </w:tbl>
    <w:p w:rsidR="00C0375B" w:rsidRDefault="00C0375B" w:rsidP="00C0375B">
      <w:pPr>
        <w:pStyle w:val="naisf"/>
        <w:tabs>
          <w:tab w:val="left" w:pos="5760"/>
        </w:tabs>
        <w:spacing w:before="0" w:beforeAutospacing="0" w:after="0" w:afterAutospacing="0"/>
        <w:rPr>
          <w:i/>
        </w:rPr>
      </w:pPr>
    </w:p>
    <w:p w:rsidR="00A33356" w:rsidRDefault="00A33356" w:rsidP="00C0375B">
      <w:pPr>
        <w:pStyle w:val="naisf"/>
        <w:tabs>
          <w:tab w:val="left" w:pos="5760"/>
        </w:tabs>
        <w:spacing w:before="0" w:beforeAutospacing="0" w:after="0" w:afterAutospacing="0"/>
        <w:rPr>
          <w:i/>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59"/>
        <w:gridCol w:w="1154"/>
        <w:gridCol w:w="1405"/>
        <w:gridCol w:w="1240"/>
        <w:gridCol w:w="1240"/>
        <w:gridCol w:w="1503"/>
      </w:tblGrid>
      <w:tr w:rsidR="004B7FCF" w:rsidRPr="00D3767B" w:rsidTr="002142FF">
        <w:trPr>
          <w:trHeight w:val="652"/>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100" w:after="100"/>
              <w:jc w:val="center"/>
              <w:rPr>
                <w:b/>
                <w:bCs/>
              </w:rPr>
            </w:pPr>
            <w:r w:rsidRPr="00D3767B">
              <w:rPr>
                <w:b/>
                <w:bCs/>
              </w:rPr>
              <w:t>III. Tiesību akta projekta ietekme uz valsts budžetu un pašvaldību budžetiem</w:t>
            </w:r>
          </w:p>
        </w:tc>
      </w:tr>
      <w:tr w:rsidR="004B7FCF" w:rsidRPr="00D3767B" w:rsidTr="002142FF">
        <w:trPr>
          <w:tblCellSpacing w:w="0" w:type="dxa"/>
        </w:trPr>
        <w:tc>
          <w:tcPr>
            <w:tcW w:w="1406" w:type="pct"/>
            <w:vMerge w:val="restar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50" w:after="50"/>
              <w:jc w:val="center"/>
            </w:pPr>
            <w:r w:rsidRPr="00D3767B">
              <w:t> </w:t>
            </w:r>
            <w:r w:rsidRPr="00D3767B">
              <w:rPr>
                <w:b/>
                <w:bCs/>
              </w:rPr>
              <w:t>Rādītāji</w:t>
            </w:r>
          </w:p>
        </w:tc>
        <w:tc>
          <w:tcPr>
            <w:tcW w:w="1406" w:type="pct"/>
            <w:gridSpan w:val="2"/>
            <w:vMerge w:val="restar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50" w:after="50"/>
              <w:jc w:val="center"/>
            </w:pPr>
            <w:r w:rsidRPr="00D3767B">
              <w:t> </w:t>
            </w:r>
            <w:r>
              <w:rPr>
                <w:b/>
                <w:bCs/>
              </w:rPr>
              <w:t>n-tais gads</w:t>
            </w:r>
          </w:p>
        </w:tc>
        <w:tc>
          <w:tcPr>
            <w:tcW w:w="2188" w:type="pct"/>
            <w:gridSpan w:val="3"/>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jc w:val="center"/>
            </w:pPr>
            <w:r w:rsidRPr="00D3767B">
              <w:t> Turpmākie trīs gadi (tūkst. latu)</w:t>
            </w:r>
          </w:p>
        </w:tc>
      </w:tr>
      <w:tr w:rsidR="004B7FCF" w:rsidRPr="00D3767B" w:rsidTr="002142FF">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tc>
        <w:tc>
          <w:tcPr>
            <w:tcW w:w="1406" w:type="pct"/>
            <w:gridSpan w:val="2"/>
            <w:vMerge/>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tc>
        <w:tc>
          <w:tcPr>
            <w:tcW w:w="681" w:type="pc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100" w:after="100"/>
              <w:jc w:val="center"/>
              <w:rPr>
                <w:b/>
                <w:bCs/>
              </w:rPr>
            </w:pPr>
            <w:r>
              <w:rPr>
                <w:b/>
                <w:bCs/>
              </w:rPr>
              <w:t>n+1</w:t>
            </w:r>
          </w:p>
        </w:tc>
        <w:tc>
          <w:tcPr>
            <w:tcW w:w="681" w:type="pc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100" w:after="100"/>
              <w:jc w:val="center"/>
              <w:rPr>
                <w:b/>
                <w:bCs/>
              </w:rPr>
            </w:pPr>
            <w:r>
              <w:rPr>
                <w:b/>
                <w:bCs/>
              </w:rPr>
              <w:t>n+2</w:t>
            </w:r>
          </w:p>
        </w:tc>
        <w:tc>
          <w:tcPr>
            <w:tcW w:w="826" w:type="pc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100" w:after="100"/>
              <w:jc w:val="center"/>
              <w:rPr>
                <w:b/>
                <w:bCs/>
              </w:rPr>
            </w:pPr>
            <w:r>
              <w:rPr>
                <w:b/>
                <w:bCs/>
              </w:rPr>
              <w:t>n+2</w:t>
            </w:r>
          </w:p>
        </w:tc>
      </w:tr>
      <w:tr w:rsidR="004B7FCF" w:rsidRPr="00D3767B" w:rsidTr="002142FF">
        <w:trPr>
          <w:trHeight w:val="65"/>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Saskaņā ar valsts budžetu kārtējam gadam</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Izmaiņas kārtējā gadā, salīdzinot ar budžetu kārtējam gadam</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Izmaiņas, salīdzinot ar kārtējo (n) gadu</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Izmaiņas, salīdzinot ar kārtējo (n) gadu</w:t>
            </w:r>
          </w:p>
        </w:tc>
        <w:tc>
          <w:tcPr>
            <w:tcW w:w="826" w:type="pc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50" w:after="50"/>
              <w:jc w:val="center"/>
            </w:pPr>
            <w:r w:rsidRPr="00D3767B">
              <w:t> Izmaiņas, salīdzinot ar kārtējo (n) gadu</w:t>
            </w:r>
          </w:p>
        </w:tc>
      </w:tr>
      <w:tr w:rsidR="004B7FCF" w:rsidRPr="00D3767B" w:rsidTr="002142FF">
        <w:trPr>
          <w:tblCellSpacing w:w="0" w:type="dxa"/>
        </w:trPr>
        <w:tc>
          <w:tcPr>
            <w:tcW w:w="1406" w:type="pc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50" w:after="50"/>
              <w:jc w:val="center"/>
            </w:pPr>
            <w:r w:rsidRPr="00D3767B">
              <w:t> 1</w:t>
            </w:r>
          </w:p>
        </w:tc>
        <w:tc>
          <w:tcPr>
            <w:tcW w:w="634" w:type="pc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50" w:after="50"/>
              <w:jc w:val="center"/>
            </w:pPr>
            <w:r w:rsidRPr="00D3767B">
              <w:t> 2</w:t>
            </w:r>
          </w:p>
        </w:tc>
        <w:tc>
          <w:tcPr>
            <w:tcW w:w="772" w:type="pc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50" w:after="50"/>
              <w:jc w:val="center"/>
            </w:pPr>
            <w:r w:rsidRPr="00D3767B">
              <w:t> 3</w:t>
            </w:r>
          </w:p>
        </w:tc>
        <w:tc>
          <w:tcPr>
            <w:tcW w:w="681" w:type="pc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50" w:after="50"/>
              <w:jc w:val="center"/>
            </w:pPr>
            <w:r w:rsidRPr="00D3767B">
              <w:t> 4</w:t>
            </w:r>
          </w:p>
        </w:tc>
        <w:tc>
          <w:tcPr>
            <w:tcW w:w="681" w:type="pc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50" w:after="50"/>
              <w:jc w:val="center"/>
            </w:pPr>
            <w:r w:rsidRPr="00D3767B">
              <w:t> 5</w:t>
            </w:r>
          </w:p>
        </w:tc>
        <w:tc>
          <w:tcPr>
            <w:tcW w:w="826" w:type="pc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50" w:after="50"/>
              <w:jc w:val="center"/>
            </w:pPr>
            <w:r w:rsidRPr="00D3767B">
              <w:t> 6</w:t>
            </w:r>
          </w:p>
        </w:tc>
      </w:tr>
      <w:tr w:rsidR="004B7FCF" w:rsidRPr="00D3767B" w:rsidTr="002142F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1. Budžeta ieņēmumi:</w:t>
            </w:r>
          </w:p>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t>0</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t>0</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t>0</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t>0</w:t>
            </w:r>
          </w:p>
        </w:tc>
        <w:tc>
          <w:tcPr>
            <w:tcW w:w="82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t>0</w:t>
            </w:r>
          </w:p>
        </w:tc>
      </w:tr>
      <w:tr w:rsidR="004B7FCF" w:rsidRPr="00D3767B" w:rsidTr="002142F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1.1. valsts pamatbudžets, tai sk</w:t>
            </w:r>
            <w:r>
              <w:t>aitā ieņēmumi no maksas pakalpo</w:t>
            </w:r>
            <w:r w:rsidRPr="00D3767B">
              <w:t xml:space="preserve">jumiem </w:t>
            </w:r>
            <w:r w:rsidRPr="00D3767B">
              <w:lastRenderedPageBreak/>
              <w:t>un citi pašu ieņēmumi</w:t>
            </w:r>
          </w:p>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p>
        </w:tc>
        <w:tc>
          <w:tcPr>
            <w:tcW w:w="82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p>
        </w:tc>
      </w:tr>
      <w:tr w:rsidR="004B7FCF" w:rsidRPr="00D3767B" w:rsidTr="002142F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lastRenderedPageBreak/>
              <w:t> 1.2. valsts speciālais budžets</w:t>
            </w:r>
          </w:p>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2142F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1.3. pašvaldību budžets</w:t>
            </w:r>
          </w:p>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2142F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2. Budžeta izdevumi:</w:t>
            </w:r>
          </w:p>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t>0</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t>0</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r>
              <w:t>0</w:t>
            </w:r>
          </w:p>
        </w:tc>
        <w:tc>
          <w:tcPr>
            <w:tcW w:w="82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r>
              <w:t>0</w:t>
            </w:r>
          </w:p>
        </w:tc>
      </w:tr>
      <w:tr w:rsidR="004B7FCF" w:rsidRPr="00D3767B" w:rsidTr="002142F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2.1. valsts pamatbudžets</w:t>
            </w:r>
          </w:p>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2142F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2.2. valsts speciālais budžets</w:t>
            </w:r>
          </w:p>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2142F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2.3. pašvaldību budžets</w:t>
            </w:r>
          </w:p>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2142F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3. Finansiālā ietekme:</w:t>
            </w:r>
          </w:p>
        </w:tc>
        <w:tc>
          <w:tcPr>
            <w:tcW w:w="634" w:type="pct"/>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pPr>
              <w:spacing w:before="50" w:after="50"/>
              <w:jc w:val="center"/>
            </w:pPr>
            <w:r>
              <w:t>0</w:t>
            </w:r>
            <w:r w:rsidRPr="00D3767B">
              <w:t>  </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t>0</w:t>
            </w:r>
            <w:r w:rsidRPr="00D3767B">
              <w:t>  </w:t>
            </w:r>
          </w:p>
        </w:tc>
        <w:tc>
          <w:tcPr>
            <w:tcW w:w="82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r>
              <w:t>0</w:t>
            </w:r>
          </w:p>
        </w:tc>
      </w:tr>
      <w:tr w:rsidR="004B7FCF" w:rsidRPr="00D3767B" w:rsidTr="002142F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3.1. valsts pamatbudžets</w:t>
            </w:r>
          </w:p>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2142F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3.2. speciālais budžets</w:t>
            </w:r>
          </w:p>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2142F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3.3. pašvaldību budžets</w:t>
            </w:r>
          </w:p>
        </w:tc>
        <w:tc>
          <w:tcPr>
            <w:tcW w:w="634"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2142FF">
        <w:trPr>
          <w:tblCellSpacing w:w="0" w:type="dxa"/>
        </w:trPr>
        <w:tc>
          <w:tcPr>
            <w:tcW w:w="1406" w:type="pct"/>
            <w:vMerge w:val="restar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4</w:t>
            </w:r>
            <w:r>
              <w:t>. Finanšu līdzekļi papildu izde</w:t>
            </w:r>
            <w:r w:rsidRPr="00D3767B">
              <w:t>vumu finansēšanai (kompensējošu izdevumu samazinājumu norāda ar "+" zīmi)</w:t>
            </w:r>
          </w:p>
        </w:tc>
        <w:tc>
          <w:tcPr>
            <w:tcW w:w="634" w:type="pct"/>
            <w:vMerge w:val="restar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jc w:val="center"/>
            </w:pPr>
            <w:r w:rsidRPr="00D3767B">
              <w:t> X</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t>0</w:t>
            </w: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r>
              <w:t>0</w:t>
            </w:r>
          </w:p>
        </w:tc>
        <w:tc>
          <w:tcPr>
            <w:tcW w:w="82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r>
              <w:t>0</w:t>
            </w:r>
          </w:p>
        </w:tc>
      </w:tr>
      <w:tr w:rsidR="004B7FCF" w:rsidRPr="00D3767B" w:rsidTr="002142FF">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tc>
        <w:tc>
          <w:tcPr>
            <w:tcW w:w="634" w:type="pct"/>
            <w:vMerge/>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2142FF">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tc>
        <w:tc>
          <w:tcPr>
            <w:tcW w:w="634" w:type="pct"/>
            <w:vMerge/>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2142F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5. Precizēta finansiālā ietekme:</w:t>
            </w:r>
          </w:p>
        </w:tc>
        <w:tc>
          <w:tcPr>
            <w:tcW w:w="634" w:type="pct"/>
            <w:vMerge w:val="restar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jc w:val="center"/>
            </w:pPr>
            <w:r w:rsidRPr="00D3767B">
              <w:t> X</w:t>
            </w:r>
          </w:p>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t>0</w:t>
            </w: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t>0</w:t>
            </w: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r>
              <w:t>0</w:t>
            </w:r>
          </w:p>
        </w:tc>
        <w:tc>
          <w:tcPr>
            <w:tcW w:w="82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r>
              <w:t>0</w:t>
            </w:r>
          </w:p>
        </w:tc>
      </w:tr>
      <w:tr w:rsidR="004B7FCF" w:rsidRPr="00D3767B" w:rsidTr="002142F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5.1. valsts pamatbudžets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2142F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5.2. speciālais 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2142F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5.3. pašvaldību 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4B7FCF" w:rsidRPr="00D3767B" w:rsidRDefault="004B7FCF" w:rsidP="00CC1AE5"/>
        </w:tc>
        <w:tc>
          <w:tcPr>
            <w:tcW w:w="772"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c>
          <w:tcPr>
            <w:tcW w:w="82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ind w:firstLine="250"/>
              <w:jc w:val="both"/>
            </w:pPr>
            <w:r w:rsidRPr="00D3767B">
              <w:t>  </w:t>
            </w:r>
          </w:p>
        </w:tc>
      </w:tr>
      <w:tr w:rsidR="004B7FCF" w:rsidRPr="00D3767B" w:rsidTr="002142F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6. Detalizēts ieņēmumu un izdevu</w:t>
            </w:r>
            <w:r w:rsidRPr="00D3767B">
              <w:softHyphen/>
              <w:t>mu aprēķins (ja nepieciešams, detalizētu ieņēmumu un izdevumu aprēķinu var pievienot anotācijas pielikumā):</w:t>
            </w:r>
          </w:p>
        </w:tc>
        <w:tc>
          <w:tcPr>
            <w:tcW w:w="3594" w:type="pct"/>
            <w:gridSpan w:val="5"/>
            <w:vMerge w:val="restart"/>
            <w:tcBorders>
              <w:top w:val="outset" w:sz="6" w:space="0" w:color="auto"/>
              <w:left w:val="outset" w:sz="6" w:space="0" w:color="auto"/>
              <w:right w:val="outset" w:sz="6" w:space="0" w:color="auto"/>
            </w:tcBorders>
            <w:vAlign w:val="center"/>
          </w:tcPr>
          <w:p w:rsidR="004B7FCF" w:rsidRPr="00D3767B" w:rsidRDefault="004B7FCF" w:rsidP="00CC1AE5">
            <w:pPr>
              <w:spacing w:before="50" w:after="50"/>
              <w:ind w:firstLine="250"/>
              <w:jc w:val="both"/>
            </w:pPr>
            <w:r w:rsidRPr="00D3767B">
              <w:t>  </w:t>
            </w:r>
            <w:r>
              <w:t xml:space="preserve"> </w:t>
            </w:r>
          </w:p>
        </w:tc>
      </w:tr>
      <w:tr w:rsidR="004B7FCF" w:rsidRPr="00D3767B" w:rsidTr="002142F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6.1. detalizēts ieņēmumu aprēķins</w:t>
            </w:r>
          </w:p>
        </w:tc>
        <w:tc>
          <w:tcPr>
            <w:tcW w:w="3594" w:type="pct"/>
            <w:gridSpan w:val="5"/>
            <w:vMerge/>
            <w:tcBorders>
              <w:left w:val="outset" w:sz="6" w:space="0" w:color="auto"/>
              <w:right w:val="outset" w:sz="6" w:space="0" w:color="auto"/>
            </w:tcBorders>
            <w:vAlign w:val="center"/>
          </w:tcPr>
          <w:p w:rsidR="004B7FCF" w:rsidRPr="00D3767B" w:rsidRDefault="004B7FCF" w:rsidP="00CC1AE5"/>
        </w:tc>
      </w:tr>
      <w:tr w:rsidR="004B7FCF" w:rsidRPr="00D3767B" w:rsidTr="002142F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6.2. detalizēts izdevumu aprēķins</w:t>
            </w:r>
          </w:p>
        </w:tc>
        <w:tc>
          <w:tcPr>
            <w:tcW w:w="3594" w:type="pct"/>
            <w:gridSpan w:val="5"/>
            <w:vMerge/>
            <w:tcBorders>
              <w:left w:val="outset" w:sz="6" w:space="0" w:color="auto"/>
              <w:bottom w:val="outset" w:sz="6" w:space="0" w:color="auto"/>
              <w:right w:val="outset" w:sz="6" w:space="0" w:color="auto"/>
            </w:tcBorders>
            <w:vAlign w:val="center"/>
          </w:tcPr>
          <w:p w:rsidR="004B7FCF" w:rsidRPr="00D3767B" w:rsidRDefault="004B7FCF" w:rsidP="00CC1AE5"/>
        </w:tc>
      </w:tr>
      <w:tr w:rsidR="004B7FCF" w:rsidRPr="00EC0B29" w:rsidTr="002142FF">
        <w:trPr>
          <w:tblCellSpacing w:w="0" w:type="dxa"/>
        </w:trPr>
        <w:tc>
          <w:tcPr>
            <w:tcW w:w="1406" w:type="pct"/>
            <w:tcBorders>
              <w:top w:val="outset" w:sz="6" w:space="0" w:color="auto"/>
              <w:left w:val="outset" w:sz="6" w:space="0" w:color="auto"/>
              <w:bottom w:val="outset" w:sz="6" w:space="0" w:color="auto"/>
              <w:right w:val="outset" w:sz="6" w:space="0" w:color="auto"/>
            </w:tcBorders>
          </w:tcPr>
          <w:p w:rsidR="004B7FCF" w:rsidRPr="00D3767B" w:rsidRDefault="004B7FCF" w:rsidP="00CC1AE5">
            <w:pPr>
              <w:spacing w:before="50" w:after="50"/>
            </w:pPr>
            <w:r w:rsidRPr="00D3767B">
              <w:t> 7. Cita informācija</w:t>
            </w:r>
          </w:p>
        </w:tc>
        <w:tc>
          <w:tcPr>
            <w:tcW w:w="3594" w:type="pct"/>
            <w:gridSpan w:val="5"/>
            <w:tcBorders>
              <w:top w:val="outset" w:sz="6" w:space="0" w:color="auto"/>
              <w:left w:val="outset" w:sz="6" w:space="0" w:color="auto"/>
              <w:bottom w:val="outset" w:sz="6" w:space="0" w:color="auto"/>
              <w:right w:val="outset" w:sz="6" w:space="0" w:color="auto"/>
            </w:tcBorders>
          </w:tcPr>
          <w:p w:rsidR="004B7FCF" w:rsidRPr="00EC0B29" w:rsidRDefault="0057020E" w:rsidP="00CC1AE5">
            <w:pPr>
              <w:spacing w:before="50" w:after="50"/>
              <w:jc w:val="both"/>
            </w:pPr>
            <w:r w:rsidRPr="00CC5231">
              <w:t>Note</w:t>
            </w:r>
            <w:r w:rsidR="00A33356">
              <w:t>ikumu projekta īstenošana 2013.</w:t>
            </w:r>
            <w:r w:rsidRPr="00CC5231">
              <w:t xml:space="preserve">gadā un turpmākajos gados tiks nodrošināta esošo </w:t>
            </w:r>
            <w:r w:rsidR="00A33356" w:rsidRPr="00EC3CF5">
              <w:t>valsts aģentūra</w:t>
            </w:r>
            <w:r w:rsidR="00A33356">
              <w:t>s</w:t>
            </w:r>
            <w:r w:rsidR="00A33356" w:rsidRPr="00EC3CF5">
              <w:t xml:space="preserve"> </w:t>
            </w:r>
            <w:r w:rsidR="00A33356" w:rsidRPr="000E2385">
              <w:t>„Kultūras informācijas sistēmas</w:t>
            </w:r>
            <w:r w:rsidR="00A33356" w:rsidRPr="00EC3CF5">
              <w:t>”</w:t>
            </w:r>
            <w:r w:rsidR="00A33356">
              <w:t xml:space="preserve"> </w:t>
            </w:r>
            <w:r w:rsidR="00D879C5" w:rsidRPr="00CC5231">
              <w:t xml:space="preserve">budžeta </w:t>
            </w:r>
            <w:r w:rsidRPr="00CC5231">
              <w:t>līdzekļu ietvaros.</w:t>
            </w:r>
          </w:p>
        </w:tc>
      </w:tr>
    </w:tbl>
    <w:p w:rsidR="004B7FCF" w:rsidRDefault="004B7FCF" w:rsidP="004B7FCF">
      <w:pPr>
        <w:pStyle w:val="naiskr"/>
        <w:tabs>
          <w:tab w:val="left" w:pos="2628"/>
        </w:tabs>
        <w:spacing w:before="0" w:beforeAutospacing="0" w:after="0" w:afterAutospacing="0"/>
        <w:rPr>
          <w:i/>
        </w:rPr>
      </w:pPr>
    </w:p>
    <w:p w:rsidR="00C0375B" w:rsidRDefault="00C0375B" w:rsidP="00C0375B">
      <w:pPr>
        <w:pStyle w:val="naisf"/>
        <w:tabs>
          <w:tab w:val="left" w:pos="5760"/>
        </w:tabs>
        <w:spacing w:before="0" w:beforeAutospacing="0" w:after="0" w:afterAutospacing="0"/>
        <w:rPr>
          <w:i/>
        </w:rPr>
      </w:pPr>
      <w:r w:rsidRPr="004A43CC">
        <w:rPr>
          <w:i/>
        </w:rPr>
        <w:t>Anotācijas V un VI sadaļa – projekts šīs jomas neskar.</w:t>
      </w:r>
    </w:p>
    <w:p w:rsidR="00C0375B" w:rsidRDefault="00C0375B" w:rsidP="00C0375B">
      <w:pPr>
        <w:pStyle w:val="naisf"/>
        <w:tabs>
          <w:tab w:val="left" w:pos="5760"/>
        </w:tabs>
        <w:spacing w:before="0" w:beforeAutospacing="0" w:after="0" w:afterAutospacing="0"/>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3011"/>
        <w:gridCol w:w="5743"/>
      </w:tblGrid>
      <w:tr w:rsidR="004A43CC" w:rsidRPr="00FE313F" w:rsidTr="002142FF">
        <w:trPr>
          <w:trHeight w:val="438"/>
          <w:jc w:val="center"/>
        </w:trPr>
        <w:tc>
          <w:tcPr>
            <w:tcW w:w="5000" w:type="pct"/>
            <w:gridSpan w:val="3"/>
          </w:tcPr>
          <w:p w:rsidR="00A13BD6" w:rsidRPr="00A13BD6" w:rsidRDefault="00A13BD6" w:rsidP="002142FF">
            <w:pPr>
              <w:pStyle w:val="naisnod"/>
              <w:jc w:val="center"/>
              <w:rPr>
                <w:b/>
              </w:rPr>
            </w:pPr>
            <w:r w:rsidRPr="00A13BD6">
              <w:rPr>
                <w:b/>
              </w:rPr>
              <w:lastRenderedPageBreak/>
              <w:t>IV. Tiesību akta projekta ietekme uz spēkā esošo tiesību normu sistēmu</w:t>
            </w:r>
          </w:p>
        </w:tc>
      </w:tr>
      <w:tr w:rsidR="004A43CC" w:rsidRPr="00FE313F" w:rsidTr="00A35CF9">
        <w:trPr>
          <w:jc w:val="center"/>
        </w:trPr>
        <w:tc>
          <w:tcPr>
            <w:tcW w:w="287" w:type="pct"/>
          </w:tcPr>
          <w:p w:rsidR="004A43CC" w:rsidRPr="00FE313F" w:rsidRDefault="004A43CC" w:rsidP="002142FF">
            <w:pPr>
              <w:pStyle w:val="naiskr"/>
              <w:tabs>
                <w:tab w:val="left" w:pos="2628"/>
              </w:tabs>
              <w:jc w:val="both"/>
              <w:rPr>
                <w:iCs/>
              </w:rPr>
            </w:pPr>
            <w:r w:rsidRPr="00FE313F">
              <w:rPr>
                <w:iCs/>
              </w:rPr>
              <w:t>1.</w:t>
            </w:r>
          </w:p>
        </w:tc>
        <w:tc>
          <w:tcPr>
            <w:tcW w:w="1621" w:type="pct"/>
          </w:tcPr>
          <w:p w:rsidR="004A43CC" w:rsidRPr="00FE313F" w:rsidRDefault="004A43CC" w:rsidP="002142FF">
            <w:pPr>
              <w:pStyle w:val="naiskr"/>
              <w:tabs>
                <w:tab w:val="left" w:pos="2628"/>
              </w:tabs>
              <w:jc w:val="both"/>
              <w:rPr>
                <w:iCs/>
              </w:rPr>
            </w:pPr>
            <w:r w:rsidRPr="00FE313F">
              <w:t>Nepieciešamie saistītie tiesību aktu projekti</w:t>
            </w:r>
          </w:p>
        </w:tc>
        <w:tc>
          <w:tcPr>
            <w:tcW w:w="3092" w:type="pct"/>
          </w:tcPr>
          <w:p w:rsidR="004B3F92" w:rsidRDefault="004B7FCF" w:rsidP="00A33356">
            <w:pPr>
              <w:pStyle w:val="naiskr"/>
              <w:tabs>
                <w:tab w:val="left" w:pos="2628"/>
              </w:tabs>
              <w:jc w:val="both"/>
            </w:pPr>
            <w:r>
              <w:t xml:space="preserve">Kultūras ministrija līdz </w:t>
            </w:r>
            <w:r w:rsidRPr="00CC5231">
              <w:t>2012.gada 1</w:t>
            </w:r>
            <w:r w:rsidR="00721030" w:rsidRPr="00CC5231">
              <w:t>4</w:t>
            </w:r>
            <w:r w:rsidRPr="00CC5231">
              <w:t>.decembrim iesniegs izskatīšanai Ministru kabinetā attiecīgus grozījumus Ministru kabineta 2003.gada 29.aprīļa noteikumos Nr.241 „Kultūras ministrijas nolikums”.</w:t>
            </w:r>
          </w:p>
          <w:p w:rsidR="004B3F92" w:rsidRDefault="00116090" w:rsidP="00A33356">
            <w:pPr>
              <w:pStyle w:val="naiskr"/>
              <w:tabs>
                <w:tab w:val="left" w:pos="2628"/>
              </w:tabs>
              <w:jc w:val="both"/>
            </w:pPr>
            <w:r w:rsidRPr="00CC5231">
              <w:t xml:space="preserve">Ņemot vērā to, ka </w:t>
            </w:r>
            <w:r w:rsidR="00A33356" w:rsidRPr="00EC3CF5">
              <w:t xml:space="preserve">valsts aģentūra </w:t>
            </w:r>
            <w:r w:rsidR="00A33356" w:rsidRPr="000E2385">
              <w:t>„Kultūras informācijas sistēmas</w:t>
            </w:r>
            <w:r w:rsidR="00A33356" w:rsidRPr="00EC3CF5">
              <w:t>”</w:t>
            </w:r>
            <w:r w:rsidRPr="00CC5231">
              <w:t xml:space="preserve"> cenrādī ietveramie pakalpojumi papildus ir jāizvērtē arī pēc būtības, pēc </w:t>
            </w:r>
            <w:r w:rsidR="00A33356">
              <w:t>noteikumu projekta</w:t>
            </w:r>
            <w:r w:rsidRPr="00CC5231">
              <w:t xml:space="preserve"> apstiprināšanas Kultūras ministrija izvērtēs </w:t>
            </w:r>
            <w:r w:rsidR="00A33356" w:rsidRPr="00EC3CF5">
              <w:t xml:space="preserve">valsts aģentūra </w:t>
            </w:r>
            <w:r w:rsidR="00A33356" w:rsidRPr="000E2385">
              <w:t>„Kultūras informācijas sistēmas</w:t>
            </w:r>
            <w:r w:rsidR="00A33356" w:rsidRPr="00EC3CF5">
              <w:t>”</w:t>
            </w:r>
            <w:r w:rsidRPr="00CC5231">
              <w:t xml:space="preserve"> sniegtos pakalpojumus un sagatavos attiecīgu Ministru kabineta tiesību akta projektu, kurā citu starpā tiks ietverti arī jautājumi, kas saistīti ar </w:t>
            </w:r>
            <w:r w:rsidR="00A33356">
              <w:t>aģentūras</w:t>
            </w:r>
            <w:r w:rsidRPr="00CC5231">
              <w:t xml:space="preserve"> statusu maiņu.</w:t>
            </w:r>
            <w:r w:rsidR="004B3F92" w:rsidRPr="00175FCC">
              <w:t xml:space="preserve"> </w:t>
            </w:r>
          </w:p>
          <w:p w:rsidR="000D5FC6" w:rsidRPr="00116090" w:rsidRDefault="004B3F92" w:rsidP="00A33356">
            <w:pPr>
              <w:pStyle w:val="naiskr"/>
              <w:tabs>
                <w:tab w:val="left" w:pos="2628"/>
              </w:tabs>
              <w:jc w:val="both"/>
            </w:pPr>
            <w:r w:rsidRPr="00175FCC">
              <w:t xml:space="preserve">Noteikumu projekta pieņemšanas gadījumā spēku zaudēs </w:t>
            </w:r>
            <w:r w:rsidRPr="00A35CF9">
              <w:t>Ministru kabinet</w:t>
            </w:r>
            <w:r>
              <w:t>a 2004.gada 29.jūnija noteikumi</w:t>
            </w:r>
            <w:r w:rsidRPr="00A35CF9">
              <w:t xml:space="preserve"> Nr.559 „Valsts aģentūras "Kultūras informācijas </w:t>
            </w:r>
            <w:r w:rsidRPr="008F567E">
              <w:t>sistēmas" nolikums”</w:t>
            </w:r>
            <w:r>
              <w:t>.</w:t>
            </w:r>
          </w:p>
        </w:tc>
      </w:tr>
      <w:tr w:rsidR="004A43CC" w:rsidRPr="00FE313F" w:rsidTr="004B3F92">
        <w:trPr>
          <w:trHeight w:val="395"/>
          <w:jc w:val="center"/>
        </w:trPr>
        <w:tc>
          <w:tcPr>
            <w:tcW w:w="287" w:type="pct"/>
          </w:tcPr>
          <w:p w:rsidR="004A43CC" w:rsidRPr="00FE313F" w:rsidRDefault="004A43CC" w:rsidP="002142FF">
            <w:pPr>
              <w:pStyle w:val="naiskr"/>
              <w:tabs>
                <w:tab w:val="left" w:pos="2628"/>
              </w:tabs>
              <w:jc w:val="both"/>
              <w:rPr>
                <w:iCs/>
              </w:rPr>
            </w:pPr>
            <w:r w:rsidRPr="00FE313F">
              <w:rPr>
                <w:iCs/>
              </w:rPr>
              <w:t>2.</w:t>
            </w:r>
          </w:p>
        </w:tc>
        <w:tc>
          <w:tcPr>
            <w:tcW w:w="1621" w:type="pct"/>
          </w:tcPr>
          <w:p w:rsidR="004A43CC" w:rsidRPr="00FE313F" w:rsidRDefault="004A43CC" w:rsidP="002142FF">
            <w:pPr>
              <w:pStyle w:val="naiskr"/>
              <w:tabs>
                <w:tab w:val="left" w:pos="2628"/>
              </w:tabs>
              <w:jc w:val="both"/>
              <w:rPr>
                <w:iCs/>
              </w:rPr>
            </w:pPr>
            <w:r w:rsidRPr="00FE313F">
              <w:t>Cita informācija</w:t>
            </w:r>
          </w:p>
        </w:tc>
        <w:tc>
          <w:tcPr>
            <w:tcW w:w="3092" w:type="pct"/>
          </w:tcPr>
          <w:p w:rsidR="004A43CC" w:rsidRPr="00FE313F" w:rsidRDefault="004B3F92" w:rsidP="00A33356">
            <w:pPr>
              <w:pStyle w:val="naiskr"/>
              <w:tabs>
                <w:tab w:val="left" w:pos="2628"/>
              </w:tabs>
              <w:spacing w:before="0" w:beforeAutospacing="0" w:after="0" w:afterAutospacing="0"/>
              <w:jc w:val="both"/>
              <w:rPr>
                <w:iCs/>
              </w:rPr>
            </w:pPr>
            <w:r>
              <w:rPr>
                <w:iCs/>
              </w:rPr>
              <w:t>Nav</w:t>
            </w:r>
          </w:p>
        </w:tc>
      </w:tr>
    </w:tbl>
    <w:p w:rsidR="004A43CC" w:rsidRDefault="004A43CC" w:rsidP="00A33356">
      <w:pPr>
        <w:ind w:firstLine="720"/>
        <w:jc w:val="both"/>
      </w:pPr>
    </w:p>
    <w:p w:rsidR="00A33356" w:rsidRPr="00FE313F" w:rsidRDefault="00A33356" w:rsidP="00A33356">
      <w:pPr>
        <w:ind w:firstLine="7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5"/>
        <w:gridCol w:w="4034"/>
        <w:gridCol w:w="4638"/>
      </w:tblGrid>
      <w:tr w:rsidR="004A43CC" w:rsidRPr="00FE313F" w:rsidTr="002142FF">
        <w:trPr>
          <w:trHeight w:val="382"/>
        </w:trPr>
        <w:tc>
          <w:tcPr>
            <w:tcW w:w="5000" w:type="pct"/>
            <w:gridSpan w:val="3"/>
            <w:tcBorders>
              <w:top w:val="single" w:sz="4" w:space="0" w:color="auto"/>
            </w:tcBorders>
          </w:tcPr>
          <w:p w:rsidR="00A13BD6" w:rsidRPr="00A13BD6" w:rsidRDefault="00A13BD6" w:rsidP="00A13BD6">
            <w:pPr>
              <w:pStyle w:val="naisnod"/>
              <w:spacing w:before="0" w:after="0"/>
              <w:ind w:left="57" w:right="57"/>
              <w:jc w:val="center"/>
              <w:rPr>
                <w:b/>
              </w:rPr>
            </w:pPr>
            <w:r w:rsidRPr="00A13BD6">
              <w:rPr>
                <w:b/>
              </w:rPr>
              <w:t>VII. Tiesību akta projekta izpildes nodrošināšana un tās ietekme uz institūcijām</w:t>
            </w:r>
          </w:p>
        </w:tc>
      </w:tr>
      <w:tr w:rsidR="004A43CC" w:rsidRPr="00FE313F" w:rsidTr="00A35CF9">
        <w:trPr>
          <w:trHeight w:val="427"/>
        </w:trPr>
        <w:tc>
          <w:tcPr>
            <w:tcW w:w="249" w:type="pct"/>
          </w:tcPr>
          <w:p w:rsidR="004A43CC" w:rsidRPr="004B7FCF" w:rsidRDefault="00A13BD6" w:rsidP="004A43CC">
            <w:pPr>
              <w:pStyle w:val="naisnod"/>
              <w:spacing w:before="0" w:after="0"/>
              <w:ind w:left="57" w:right="57"/>
            </w:pPr>
            <w:r w:rsidRPr="00A13BD6">
              <w:t>1.</w:t>
            </w:r>
          </w:p>
        </w:tc>
        <w:tc>
          <w:tcPr>
            <w:tcW w:w="2210" w:type="pct"/>
          </w:tcPr>
          <w:p w:rsidR="004A43CC" w:rsidRPr="00FE313F" w:rsidRDefault="004A43CC" w:rsidP="004A43CC">
            <w:pPr>
              <w:pStyle w:val="naisf"/>
              <w:spacing w:before="0" w:after="0"/>
              <w:ind w:left="57" w:right="57"/>
            </w:pPr>
            <w:r w:rsidRPr="00FE313F">
              <w:t xml:space="preserve">Projekta izpildē iesaistītās institūcijas </w:t>
            </w:r>
          </w:p>
        </w:tc>
        <w:tc>
          <w:tcPr>
            <w:tcW w:w="2541" w:type="pct"/>
          </w:tcPr>
          <w:p w:rsidR="004A43CC" w:rsidRPr="00FE313F" w:rsidRDefault="00A33356" w:rsidP="00A35CF9">
            <w:pPr>
              <w:pStyle w:val="naisnod"/>
              <w:spacing w:before="0" w:after="0"/>
              <w:ind w:left="57" w:right="57"/>
              <w:jc w:val="both"/>
              <w:rPr>
                <w:b/>
              </w:rPr>
            </w:pPr>
            <w:r>
              <w:t>V</w:t>
            </w:r>
            <w:r w:rsidRPr="00EC3CF5">
              <w:t xml:space="preserve">alsts aģentūra </w:t>
            </w:r>
            <w:r w:rsidRPr="000E2385">
              <w:t>„Kultūras informācijas sistēmas</w:t>
            </w:r>
            <w:r w:rsidRPr="00EC3CF5">
              <w:t>”</w:t>
            </w:r>
            <w:r w:rsidR="004A43CC" w:rsidRPr="00175FCC">
              <w:rPr>
                <w:iCs/>
              </w:rPr>
              <w:t xml:space="preserve">, </w:t>
            </w:r>
            <w:r w:rsidR="00875E31" w:rsidRPr="00175FCC">
              <w:rPr>
                <w:iCs/>
              </w:rPr>
              <w:t>Kultūras ministrija</w:t>
            </w:r>
            <w:r w:rsidR="004A43CC" w:rsidRPr="00A35CF9">
              <w:rPr>
                <w:iCs/>
              </w:rPr>
              <w:t>.</w:t>
            </w:r>
          </w:p>
        </w:tc>
      </w:tr>
      <w:tr w:rsidR="004A43CC" w:rsidRPr="00FE313F" w:rsidTr="00A35CF9">
        <w:trPr>
          <w:trHeight w:val="463"/>
        </w:trPr>
        <w:tc>
          <w:tcPr>
            <w:tcW w:w="249" w:type="pct"/>
          </w:tcPr>
          <w:p w:rsidR="004A43CC" w:rsidRPr="004B7FCF" w:rsidRDefault="00A13BD6" w:rsidP="004A43CC">
            <w:pPr>
              <w:pStyle w:val="naisnod"/>
              <w:spacing w:before="0" w:after="0"/>
              <w:ind w:left="57" w:right="57"/>
            </w:pPr>
            <w:r w:rsidRPr="00A13BD6">
              <w:t>2.</w:t>
            </w:r>
          </w:p>
        </w:tc>
        <w:tc>
          <w:tcPr>
            <w:tcW w:w="2210" w:type="pct"/>
          </w:tcPr>
          <w:p w:rsidR="004A43CC" w:rsidRPr="00FE313F" w:rsidRDefault="004A43CC" w:rsidP="004A43CC">
            <w:pPr>
              <w:pStyle w:val="naisf"/>
              <w:spacing w:before="0" w:after="0"/>
              <w:ind w:left="57" w:right="57"/>
            </w:pPr>
            <w:r w:rsidRPr="00FE313F">
              <w:t xml:space="preserve">Projekta izpildes ietekme uz pārvaldes funkcijām </w:t>
            </w:r>
          </w:p>
        </w:tc>
        <w:tc>
          <w:tcPr>
            <w:tcW w:w="2541" w:type="pct"/>
          </w:tcPr>
          <w:p w:rsidR="004A43CC" w:rsidRPr="00875E31" w:rsidRDefault="00A33356" w:rsidP="00A33356">
            <w:pPr>
              <w:pStyle w:val="naisnod"/>
              <w:spacing w:before="0" w:beforeAutospacing="0" w:after="0" w:afterAutospacing="0"/>
              <w:ind w:left="57" w:right="57"/>
              <w:jc w:val="both"/>
              <w:rPr>
                <w:color w:val="008000"/>
              </w:rPr>
            </w:pPr>
            <w:r>
              <w:t>V</w:t>
            </w:r>
            <w:r w:rsidRPr="00EC3CF5">
              <w:t>alsts aģentūra</w:t>
            </w:r>
            <w:r>
              <w:t>i</w:t>
            </w:r>
            <w:r w:rsidRPr="00EC3CF5">
              <w:t xml:space="preserve"> </w:t>
            </w:r>
            <w:r w:rsidRPr="000E2385">
              <w:t>„Kultūras informācijas sistēmas</w:t>
            </w:r>
            <w:r w:rsidRPr="00875E31">
              <w:rPr>
                <w:iCs/>
              </w:rPr>
              <w:t xml:space="preserve"> </w:t>
            </w:r>
            <w:r w:rsidR="004A43CC" w:rsidRPr="00875E31">
              <w:rPr>
                <w:iCs/>
              </w:rPr>
              <w:t xml:space="preserve">tiks </w:t>
            </w:r>
            <w:r w:rsidR="00E8006F">
              <w:rPr>
                <w:iCs/>
              </w:rPr>
              <w:t>mainīts</w:t>
            </w:r>
            <w:r w:rsidR="004A43CC" w:rsidRPr="00875E31">
              <w:rPr>
                <w:iCs/>
              </w:rPr>
              <w:t xml:space="preserve"> statuss</w:t>
            </w:r>
            <w:r w:rsidR="00E8006F">
              <w:rPr>
                <w:iCs/>
              </w:rPr>
              <w:t xml:space="preserve"> uz</w:t>
            </w:r>
            <w:r w:rsidR="004A43CC" w:rsidRPr="00875E31">
              <w:rPr>
                <w:iCs/>
              </w:rPr>
              <w:t xml:space="preserve"> tiešās pārvaldes iestādes statusu. Esošās p</w:t>
            </w:r>
            <w:r w:rsidR="004A43CC" w:rsidRPr="00875E31">
              <w:t>ārvaldes funkcijas nemainīsies.</w:t>
            </w:r>
          </w:p>
          <w:p w:rsidR="004A43CC" w:rsidRPr="00875E31" w:rsidRDefault="00875E31" w:rsidP="00A33356">
            <w:pPr>
              <w:pStyle w:val="naisnod"/>
              <w:spacing w:before="0" w:beforeAutospacing="0" w:after="0" w:afterAutospacing="0"/>
              <w:ind w:left="57" w:right="57"/>
              <w:jc w:val="both"/>
            </w:pPr>
            <w:r w:rsidRPr="00875E31">
              <w:t xml:space="preserve">Kultūras ministrija </w:t>
            </w:r>
            <w:r w:rsidR="004A43CC" w:rsidRPr="00875E31">
              <w:t xml:space="preserve">arī turpmāk īstenos </w:t>
            </w:r>
            <w:r w:rsidR="00A33356">
              <w:t>v</w:t>
            </w:r>
            <w:r w:rsidR="00A33356" w:rsidRPr="00EC3CF5">
              <w:t>alsts aģentūra</w:t>
            </w:r>
            <w:r w:rsidR="00A33356">
              <w:t>s</w:t>
            </w:r>
            <w:r w:rsidR="00A33356" w:rsidRPr="00EC3CF5">
              <w:t xml:space="preserve"> </w:t>
            </w:r>
            <w:r w:rsidR="00A33356" w:rsidRPr="000E2385">
              <w:t>„Kultūras informācijas sistēmas</w:t>
            </w:r>
            <w:r w:rsidR="00A33356" w:rsidRPr="00875E31">
              <w:t xml:space="preserve"> </w:t>
            </w:r>
            <w:r w:rsidR="004A43CC" w:rsidRPr="00875E31">
              <w:t xml:space="preserve">padotību. Padotība turpmāk tiks īstenota pakļautības formā (iepriekš – pārraudzības formā), līdz ar to </w:t>
            </w:r>
            <w:r w:rsidR="00A33356">
              <w:t xml:space="preserve">Kultūras </w:t>
            </w:r>
            <w:r w:rsidR="004A43CC" w:rsidRPr="00875E31">
              <w:t xml:space="preserve">ministrijai būs plašākas pilnvaras padotības īstenošanā.  </w:t>
            </w:r>
          </w:p>
        </w:tc>
      </w:tr>
      <w:tr w:rsidR="004A43CC" w:rsidRPr="00FE313F" w:rsidTr="00A35CF9">
        <w:trPr>
          <w:trHeight w:val="725"/>
        </w:trPr>
        <w:tc>
          <w:tcPr>
            <w:tcW w:w="249" w:type="pct"/>
          </w:tcPr>
          <w:p w:rsidR="004A43CC" w:rsidRPr="004B7FCF" w:rsidRDefault="00A13BD6" w:rsidP="004A43CC">
            <w:pPr>
              <w:pStyle w:val="naisnod"/>
              <w:spacing w:before="0" w:after="0"/>
              <w:ind w:left="57" w:right="57"/>
            </w:pPr>
            <w:r w:rsidRPr="00A13BD6">
              <w:t>3.</w:t>
            </w:r>
          </w:p>
        </w:tc>
        <w:tc>
          <w:tcPr>
            <w:tcW w:w="2210" w:type="pct"/>
          </w:tcPr>
          <w:p w:rsidR="004A43CC" w:rsidRPr="00FE313F" w:rsidRDefault="004A43CC" w:rsidP="004A43CC">
            <w:pPr>
              <w:pStyle w:val="naisf"/>
              <w:spacing w:before="0" w:after="0"/>
              <w:ind w:left="57" w:right="57"/>
            </w:pPr>
            <w:r w:rsidRPr="00FE313F">
              <w:t>Projekta izpildes ietekme uz pārvaldes institucionālo struktūru.</w:t>
            </w:r>
          </w:p>
          <w:p w:rsidR="004A43CC" w:rsidRPr="00FE313F" w:rsidRDefault="004A43CC" w:rsidP="004A43CC">
            <w:pPr>
              <w:pStyle w:val="naisf"/>
              <w:spacing w:before="0" w:after="0"/>
              <w:ind w:left="57" w:right="57"/>
            </w:pPr>
            <w:r w:rsidRPr="00FE313F">
              <w:t>Jaunu institūciju izveide</w:t>
            </w:r>
          </w:p>
        </w:tc>
        <w:tc>
          <w:tcPr>
            <w:tcW w:w="2541" w:type="pct"/>
          </w:tcPr>
          <w:p w:rsidR="00A13BD6" w:rsidRDefault="004A43CC" w:rsidP="00A13BD6">
            <w:pPr>
              <w:pStyle w:val="naisnod"/>
              <w:spacing w:before="0" w:after="0"/>
              <w:ind w:right="57"/>
            </w:pPr>
            <w:r w:rsidRPr="00875E31">
              <w:rPr>
                <w:iCs/>
              </w:rPr>
              <w:t>Projekts šo jomu neskar</w:t>
            </w:r>
            <w:r w:rsidR="004B7FCF">
              <w:rPr>
                <w:iCs/>
              </w:rPr>
              <w:t>.</w:t>
            </w:r>
          </w:p>
        </w:tc>
      </w:tr>
      <w:tr w:rsidR="004A43CC" w:rsidRPr="00FE313F" w:rsidTr="00A35CF9">
        <w:trPr>
          <w:trHeight w:val="780"/>
        </w:trPr>
        <w:tc>
          <w:tcPr>
            <w:tcW w:w="249" w:type="pct"/>
          </w:tcPr>
          <w:p w:rsidR="004A43CC" w:rsidRPr="004B7FCF" w:rsidRDefault="00A13BD6" w:rsidP="004A43CC">
            <w:pPr>
              <w:pStyle w:val="naisnod"/>
              <w:spacing w:before="0" w:after="0"/>
              <w:ind w:left="57" w:right="57"/>
            </w:pPr>
            <w:r w:rsidRPr="00A13BD6">
              <w:t>4.</w:t>
            </w:r>
          </w:p>
        </w:tc>
        <w:tc>
          <w:tcPr>
            <w:tcW w:w="2210" w:type="pct"/>
          </w:tcPr>
          <w:p w:rsidR="004A43CC" w:rsidRPr="00FE313F" w:rsidRDefault="004A43CC" w:rsidP="004A43CC">
            <w:pPr>
              <w:pStyle w:val="naisf"/>
              <w:spacing w:before="0" w:after="0"/>
              <w:ind w:left="57" w:right="57"/>
            </w:pPr>
            <w:r w:rsidRPr="00FE313F">
              <w:t>Projekta izpildes ietekme uz pārvaldes institucionālo struktūru.</w:t>
            </w:r>
          </w:p>
          <w:p w:rsidR="004A43CC" w:rsidRPr="00FE313F" w:rsidRDefault="004A43CC" w:rsidP="004A43CC">
            <w:pPr>
              <w:pStyle w:val="naisf"/>
              <w:spacing w:before="0" w:after="0"/>
              <w:ind w:left="57" w:right="57"/>
            </w:pPr>
            <w:r w:rsidRPr="00FE313F">
              <w:t>Esošu institūciju likvidācija</w:t>
            </w:r>
          </w:p>
        </w:tc>
        <w:tc>
          <w:tcPr>
            <w:tcW w:w="2541" w:type="pct"/>
          </w:tcPr>
          <w:p w:rsidR="00A13BD6" w:rsidRDefault="004A43CC" w:rsidP="00A13BD6">
            <w:pPr>
              <w:pStyle w:val="naisnod"/>
              <w:spacing w:before="0" w:after="0"/>
              <w:ind w:right="57"/>
            </w:pPr>
            <w:r w:rsidRPr="00875E31">
              <w:rPr>
                <w:iCs/>
              </w:rPr>
              <w:t>Projekts šo jomu neskar</w:t>
            </w:r>
            <w:r w:rsidR="004B7FCF">
              <w:rPr>
                <w:iCs/>
              </w:rPr>
              <w:t>.</w:t>
            </w:r>
          </w:p>
        </w:tc>
      </w:tr>
      <w:tr w:rsidR="004A43CC" w:rsidRPr="00FE313F" w:rsidTr="00A35CF9">
        <w:trPr>
          <w:trHeight w:val="703"/>
        </w:trPr>
        <w:tc>
          <w:tcPr>
            <w:tcW w:w="249" w:type="pct"/>
          </w:tcPr>
          <w:p w:rsidR="004A43CC" w:rsidRPr="004B7FCF" w:rsidRDefault="00A13BD6" w:rsidP="004A43CC">
            <w:pPr>
              <w:pStyle w:val="naisnod"/>
              <w:spacing w:before="0" w:after="0"/>
              <w:ind w:left="57" w:right="57"/>
            </w:pPr>
            <w:r w:rsidRPr="00A13BD6">
              <w:t>5.</w:t>
            </w:r>
          </w:p>
        </w:tc>
        <w:tc>
          <w:tcPr>
            <w:tcW w:w="2210" w:type="pct"/>
          </w:tcPr>
          <w:p w:rsidR="004A43CC" w:rsidRPr="00FE313F" w:rsidRDefault="004A43CC" w:rsidP="004A43CC">
            <w:pPr>
              <w:pStyle w:val="naisf"/>
              <w:spacing w:before="0" w:after="0"/>
              <w:ind w:left="57" w:right="57"/>
            </w:pPr>
            <w:r w:rsidRPr="00FE313F">
              <w:t>Projekta izpildes ietekme uz pārvaldes institucionālo struktūru.</w:t>
            </w:r>
          </w:p>
          <w:p w:rsidR="004A43CC" w:rsidRPr="00FE313F" w:rsidRDefault="004A43CC" w:rsidP="004A43CC">
            <w:pPr>
              <w:pStyle w:val="naisf"/>
              <w:spacing w:before="0" w:after="0"/>
              <w:ind w:left="57" w:right="57"/>
            </w:pPr>
            <w:r w:rsidRPr="00FE313F">
              <w:t>Esošu institūciju reorganizācija</w:t>
            </w:r>
          </w:p>
        </w:tc>
        <w:tc>
          <w:tcPr>
            <w:tcW w:w="2541" w:type="pct"/>
          </w:tcPr>
          <w:p w:rsidR="004A43CC" w:rsidRPr="00875E31" w:rsidRDefault="004B7FCF" w:rsidP="004A43CC">
            <w:pPr>
              <w:pStyle w:val="naisnod"/>
              <w:spacing w:before="0" w:after="0"/>
              <w:ind w:right="57"/>
              <w:jc w:val="both"/>
            </w:pPr>
            <w:r>
              <w:rPr>
                <w:iCs/>
              </w:rPr>
              <w:t xml:space="preserve"> </w:t>
            </w:r>
            <w:r w:rsidR="004A43CC" w:rsidRPr="00875E31">
              <w:rPr>
                <w:iCs/>
              </w:rPr>
              <w:t>Projekts šo jomu neskar</w:t>
            </w:r>
            <w:r>
              <w:rPr>
                <w:iCs/>
              </w:rPr>
              <w:t>.</w:t>
            </w:r>
          </w:p>
        </w:tc>
      </w:tr>
      <w:tr w:rsidR="004A43CC" w:rsidRPr="00FE313F" w:rsidTr="00A35CF9">
        <w:trPr>
          <w:trHeight w:val="476"/>
        </w:trPr>
        <w:tc>
          <w:tcPr>
            <w:tcW w:w="249" w:type="pct"/>
          </w:tcPr>
          <w:p w:rsidR="004A43CC" w:rsidRPr="00FE313F" w:rsidRDefault="004A43CC" w:rsidP="004A43CC">
            <w:pPr>
              <w:pStyle w:val="naiskr"/>
              <w:spacing w:before="0" w:after="0"/>
              <w:ind w:left="57" w:right="57"/>
            </w:pPr>
            <w:r w:rsidRPr="00FE313F">
              <w:lastRenderedPageBreak/>
              <w:t>6.</w:t>
            </w:r>
          </w:p>
        </w:tc>
        <w:tc>
          <w:tcPr>
            <w:tcW w:w="2210" w:type="pct"/>
          </w:tcPr>
          <w:p w:rsidR="004A43CC" w:rsidRPr="00FE313F" w:rsidRDefault="004A43CC" w:rsidP="004A43CC">
            <w:pPr>
              <w:pStyle w:val="naiskr"/>
              <w:spacing w:before="0" w:after="0"/>
              <w:ind w:left="57" w:right="57"/>
            </w:pPr>
            <w:r w:rsidRPr="00FE313F">
              <w:t>Cita informācija</w:t>
            </w:r>
          </w:p>
        </w:tc>
        <w:tc>
          <w:tcPr>
            <w:tcW w:w="2541" w:type="pct"/>
          </w:tcPr>
          <w:p w:rsidR="004A43CC" w:rsidRPr="00F10440" w:rsidRDefault="004A43CC" w:rsidP="004A43CC">
            <w:pPr>
              <w:pStyle w:val="naiskr"/>
              <w:spacing w:before="0" w:after="0"/>
              <w:ind w:right="57"/>
            </w:pPr>
            <w:r>
              <w:t xml:space="preserve"> </w:t>
            </w:r>
            <w:r w:rsidRPr="00F10440">
              <w:t>Nav</w:t>
            </w:r>
          </w:p>
        </w:tc>
      </w:tr>
    </w:tbl>
    <w:p w:rsidR="00875E31" w:rsidRDefault="00875E31" w:rsidP="00875E31">
      <w:pPr>
        <w:rPr>
          <w:sz w:val="28"/>
          <w:szCs w:val="28"/>
        </w:rPr>
      </w:pPr>
    </w:p>
    <w:p w:rsidR="00875E31" w:rsidRDefault="00875E31" w:rsidP="00875E31">
      <w:pPr>
        <w:rPr>
          <w:sz w:val="28"/>
          <w:szCs w:val="28"/>
        </w:rPr>
      </w:pPr>
    </w:p>
    <w:p w:rsidR="00875E31" w:rsidRPr="004B7FCF" w:rsidRDefault="00875E31" w:rsidP="00875E31">
      <w:r w:rsidRPr="004B7FCF">
        <w:t>Kult</w:t>
      </w:r>
      <w:r w:rsidR="00A35CF9">
        <w:t>ūras ministre</w:t>
      </w:r>
      <w:r w:rsidR="00A35CF9">
        <w:tab/>
      </w:r>
      <w:r w:rsidR="00A35CF9">
        <w:tab/>
      </w:r>
      <w:r w:rsidR="00A35CF9">
        <w:tab/>
      </w:r>
      <w:r w:rsidR="00A35CF9">
        <w:tab/>
      </w:r>
      <w:r w:rsidR="00A35CF9">
        <w:tab/>
      </w:r>
      <w:r w:rsidR="00A35CF9">
        <w:tab/>
      </w:r>
      <w:r w:rsidR="00A35CF9">
        <w:tab/>
        <w:t xml:space="preserve">Ž.Jaunzeme – </w:t>
      </w:r>
      <w:r w:rsidRPr="004B7FCF">
        <w:t>Grende</w:t>
      </w:r>
    </w:p>
    <w:p w:rsidR="00875E31" w:rsidRPr="004B7FCF" w:rsidRDefault="00875E31" w:rsidP="00875E31"/>
    <w:p w:rsidR="00875E31" w:rsidRPr="004B7FCF" w:rsidRDefault="00004BBD" w:rsidP="00875E31">
      <w:r>
        <w:t>Vīza: Valsts sekretārs</w:t>
      </w:r>
      <w:r w:rsidR="00821C96">
        <w:t xml:space="preserve"> </w:t>
      </w:r>
      <w:r w:rsidR="00875E31" w:rsidRPr="004B7FCF">
        <w:tab/>
      </w:r>
      <w:r w:rsidR="00875E31" w:rsidRPr="004B7FCF">
        <w:tab/>
      </w:r>
      <w:r w:rsidR="00875E31" w:rsidRPr="004B7FCF">
        <w:tab/>
      </w:r>
      <w:r w:rsidR="00875E31" w:rsidRPr="004B7FCF">
        <w:tab/>
      </w:r>
      <w:r w:rsidR="00875E31" w:rsidRPr="004B7FCF">
        <w:tab/>
      </w:r>
      <w:r w:rsidR="00875E31" w:rsidRPr="004B7FCF">
        <w:tab/>
      </w:r>
      <w:r w:rsidR="004B7FCF">
        <w:tab/>
      </w:r>
      <w:r>
        <w:t>G.Puķītis</w:t>
      </w:r>
    </w:p>
    <w:p w:rsidR="00875E31" w:rsidRDefault="00875E31" w:rsidP="00875E31"/>
    <w:p w:rsidR="00875E31" w:rsidRDefault="00875E31" w:rsidP="00875E31"/>
    <w:p w:rsidR="00A35CF9" w:rsidRDefault="00A35CF9" w:rsidP="00875E31"/>
    <w:p w:rsidR="00A35CF9" w:rsidRDefault="00A35CF9" w:rsidP="00875E31"/>
    <w:p w:rsidR="00A35CF9" w:rsidRDefault="00A35CF9" w:rsidP="00875E31"/>
    <w:p w:rsidR="00A35CF9" w:rsidRPr="008470B4" w:rsidRDefault="002A78CF" w:rsidP="00A35CF9">
      <w:pPr>
        <w:pStyle w:val="Galvene"/>
        <w:tabs>
          <w:tab w:val="clear" w:pos="4153"/>
          <w:tab w:val="clear" w:pos="8306"/>
        </w:tabs>
        <w:rPr>
          <w:sz w:val="22"/>
          <w:szCs w:val="22"/>
        </w:rPr>
      </w:pPr>
      <w:r w:rsidRPr="008470B4">
        <w:rPr>
          <w:sz w:val="22"/>
          <w:szCs w:val="22"/>
        </w:rPr>
        <w:fldChar w:fldCharType="begin"/>
      </w:r>
      <w:r w:rsidR="00A35CF9" w:rsidRPr="008470B4">
        <w:rPr>
          <w:sz w:val="22"/>
          <w:szCs w:val="22"/>
        </w:rPr>
        <w:instrText xml:space="preserve"> DATE  \@ "yyyy.MM.dd. H:mm"  \* MERGEFORMAT </w:instrText>
      </w:r>
      <w:r w:rsidRPr="008470B4">
        <w:rPr>
          <w:sz w:val="22"/>
          <w:szCs w:val="22"/>
        </w:rPr>
        <w:fldChar w:fldCharType="separate"/>
      </w:r>
      <w:r w:rsidR="006B4357">
        <w:rPr>
          <w:noProof/>
          <w:sz w:val="22"/>
          <w:szCs w:val="22"/>
        </w:rPr>
        <w:t>2012.12.14. 8:46</w:t>
      </w:r>
      <w:r w:rsidRPr="008470B4">
        <w:rPr>
          <w:sz w:val="22"/>
          <w:szCs w:val="22"/>
        </w:rPr>
        <w:fldChar w:fldCharType="end"/>
      </w:r>
    </w:p>
    <w:p w:rsidR="00A35CF9" w:rsidRPr="008470B4" w:rsidRDefault="002A78CF" w:rsidP="00A35CF9">
      <w:pPr>
        <w:pStyle w:val="Pamattekstaatkpe2"/>
        <w:spacing w:after="0" w:line="240" w:lineRule="auto"/>
        <w:ind w:left="0"/>
        <w:jc w:val="both"/>
      </w:pPr>
      <w:fldSimple w:instr=" DOCPROPERTY  Words  \* MERGEFORMAT ">
        <w:r w:rsidR="002C2710">
          <w:t>1549</w:t>
        </w:r>
      </w:fldSimple>
    </w:p>
    <w:p w:rsidR="00A35CF9" w:rsidRPr="008470B4" w:rsidRDefault="00A35CF9" w:rsidP="00A35CF9">
      <w:pPr>
        <w:rPr>
          <w:sz w:val="22"/>
          <w:szCs w:val="22"/>
        </w:rPr>
      </w:pPr>
      <w:r>
        <w:rPr>
          <w:sz w:val="22"/>
          <w:szCs w:val="22"/>
        </w:rPr>
        <w:t>A</w:t>
      </w:r>
      <w:r w:rsidRPr="008470B4">
        <w:rPr>
          <w:sz w:val="22"/>
          <w:szCs w:val="22"/>
        </w:rPr>
        <w:t>.</w:t>
      </w:r>
      <w:r>
        <w:rPr>
          <w:sz w:val="22"/>
          <w:szCs w:val="22"/>
        </w:rPr>
        <w:t>Magone</w:t>
      </w:r>
      <w:r w:rsidRPr="008470B4">
        <w:rPr>
          <w:sz w:val="22"/>
          <w:szCs w:val="22"/>
        </w:rPr>
        <w:t xml:space="preserve">, </w:t>
      </w:r>
      <w:bookmarkStart w:id="2" w:name="OLE_LINK15"/>
      <w:bookmarkStart w:id="3" w:name="OLE_LINK16"/>
      <w:r w:rsidRPr="008470B4">
        <w:rPr>
          <w:sz w:val="22"/>
          <w:szCs w:val="22"/>
        </w:rPr>
        <w:t>67843084</w:t>
      </w:r>
    </w:p>
    <w:p w:rsidR="00A35CF9" w:rsidRPr="008470B4" w:rsidRDefault="002A78CF" w:rsidP="00A35CF9">
      <w:pPr>
        <w:rPr>
          <w:sz w:val="22"/>
          <w:szCs w:val="22"/>
        </w:rPr>
      </w:pPr>
      <w:hyperlink r:id="rId8" w:history="1">
        <w:r w:rsidR="00A35CF9">
          <w:rPr>
            <w:rStyle w:val="Hipersaite"/>
            <w:sz w:val="22"/>
            <w:szCs w:val="22"/>
          </w:rPr>
          <w:t>Armands.Magone</w:t>
        </w:r>
        <w:r w:rsidR="00A35CF9" w:rsidRPr="008470B4">
          <w:rPr>
            <w:rStyle w:val="Hipersaite"/>
            <w:sz w:val="22"/>
            <w:szCs w:val="22"/>
          </w:rPr>
          <w:t>@kis.gov.lv</w:t>
        </w:r>
      </w:hyperlink>
      <w:r w:rsidR="00A35CF9" w:rsidRPr="008470B4">
        <w:rPr>
          <w:sz w:val="22"/>
          <w:szCs w:val="22"/>
        </w:rPr>
        <w:t xml:space="preserve"> </w:t>
      </w:r>
    </w:p>
    <w:bookmarkEnd w:id="2"/>
    <w:bookmarkEnd w:id="3"/>
    <w:p w:rsidR="00EF7ABF" w:rsidRPr="00095E52" w:rsidRDefault="00EF7ABF" w:rsidP="00A35CF9">
      <w:pPr>
        <w:pStyle w:val="Galvene"/>
        <w:tabs>
          <w:tab w:val="clear" w:pos="4153"/>
          <w:tab w:val="clear" w:pos="8306"/>
        </w:tabs>
        <w:rPr>
          <w:sz w:val="22"/>
          <w:szCs w:val="22"/>
        </w:rPr>
      </w:pPr>
    </w:p>
    <w:sectPr w:rsidR="00EF7ABF" w:rsidRPr="00095E52" w:rsidSect="004B3F92">
      <w:headerReference w:type="even" r:id="rId9"/>
      <w:headerReference w:type="default" r:id="rId10"/>
      <w:footerReference w:type="default" r:id="rId11"/>
      <w:footerReference w:type="first" r:id="rId12"/>
      <w:pgSz w:w="11906" w:h="16838"/>
      <w:pgMar w:top="1418" w:right="1134"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F92" w:rsidRDefault="004B3F92" w:rsidP="00DC2266">
      <w:r>
        <w:separator/>
      </w:r>
    </w:p>
  </w:endnote>
  <w:endnote w:type="continuationSeparator" w:id="0">
    <w:p w:rsidR="004B3F92" w:rsidRDefault="004B3F92" w:rsidP="00DC2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92" w:rsidRPr="004B7FCF" w:rsidRDefault="004B3F92" w:rsidP="00A35CF9">
    <w:pPr>
      <w:pStyle w:val="Kjene"/>
      <w:jc w:val="both"/>
      <w:rPr>
        <w:sz w:val="22"/>
        <w:szCs w:val="22"/>
      </w:rPr>
    </w:pPr>
    <w:r>
      <w:rPr>
        <w:sz w:val="22"/>
        <w:szCs w:val="22"/>
      </w:rPr>
      <w:t>KMAnot_1</w:t>
    </w:r>
    <w:r w:rsidRPr="00FD33EE">
      <w:rPr>
        <w:sz w:val="22"/>
        <w:szCs w:val="22"/>
      </w:rPr>
      <w:t>31212_KIS_nolikums; Ministru kabineta noteikumu projekt</w:t>
    </w:r>
    <w:r>
      <w:rPr>
        <w:sz w:val="22"/>
        <w:szCs w:val="22"/>
      </w:rPr>
      <w:t>a</w:t>
    </w:r>
    <w:r w:rsidRPr="00FD33EE">
      <w:rPr>
        <w:sz w:val="22"/>
        <w:szCs w:val="22"/>
      </w:rPr>
      <w:t xml:space="preserve"> „Kultūras informācijas sistēmu centra nolikums” </w:t>
    </w:r>
    <w:r w:rsidRPr="004B7FCF">
      <w:rPr>
        <w:bCs/>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92" w:rsidRDefault="004B3F92" w:rsidP="00A35CF9">
    <w:pPr>
      <w:pStyle w:val="Kjene"/>
      <w:jc w:val="both"/>
      <w:rPr>
        <w:bCs/>
        <w:sz w:val="22"/>
        <w:szCs w:val="22"/>
      </w:rPr>
    </w:pPr>
    <w:r>
      <w:rPr>
        <w:sz w:val="22"/>
        <w:szCs w:val="22"/>
      </w:rPr>
      <w:t>KMAnot_1</w:t>
    </w:r>
    <w:r w:rsidRPr="00FD33EE">
      <w:rPr>
        <w:sz w:val="22"/>
        <w:szCs w:val="22"/>
      </w:rPr>
      <w:t>31212_KIS_nolikums; Ministru kabineta noteikumu projekt</w:t>
    </w:r>
    <w:r>
      <w:rPr>
        <w:sz w:val="22"/>
        <w:szCs w:val="22"/>
      </w:rPr>
      <w:t>a</w:t>
    </w:r>
    <w:r w:rsidRPr="00FD33EE">
      <w:rPr>
        <w:sz w:val="22"/>
        <w:szCs w:val="22"/>
      </w:rPr>
      <w:t xml:space="preserve"> „Kultūras informācijas sistēmu centra nolikums” </w:t>
    </w:r>
    <w:r w:rsidRPr="004B7FCF">
      <w:rPr>
        <w:bCs/>
        <w:sz w:val="22"/>
        <w:szCs w:val="22"/>
      </w:rPr>
      <w:t>sākotnējās ietekmes novērtējuma ziņojums (anotācija)</w:t>
    </w:r>
  </w:p>
  <w:p w:rsidR="004B3F92" w:rsidRPr="004B7FCF" w:rsidRDefault="004B3F92" w:rsidP="00A35CF9">
    <w:pPr>
      <w:pStyle w:val="Kjene"/>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F92" w:rsidRDefault="004B3F92" w:rsidP="00DC2266">
      <w:r>
        <w:separator/>
      </w:r>
    </w:p>
  </w:footnote>
  <w:footnote w:type="continuationSeparator" w:id="0">
    <w:p w:rsidR="004B3F92" w:rsidRDefault="004B3F92" w:rsidP="00DC2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92" w:rsidRDefault="002A78CF" w:rsidP="0039066E">
    <w:pPr>
      <w:pStyle w:val="Galvene"/>
      <w:framePr w:wrap="around" w:vAnchor="text" w:hAnchor="margin" w:xAlign="center" w:y="1"/>
      <w:rPr>
        <w:rStyle w:val="Lappusesnumurs"/>
      </w:rPr>
    </w:pPr>
    <w:r>
      <w:rPr>
        <w:rStyle w:val="Lappusesnumurs"/>
      </w:rPr>
      <w:fldChar w:fldCharType="begin"/>
    </w:r>
    <w:r w:rsidR="004B3F92">
      <w:rPr>
        <w:rStyle w:val="Lappusesnumurs"/>
      </w:rPr>
      <w:instrText xml:space="preserve">PAGE  </w:instrText>
    </w:r>
    <w:r>
      <w:rPr>
        <w:rStyle w:val="Lappusesnumurs"/>
      </w:rPr>
      <w:fldChar w:fldCharType="separate"/>
    </w:r>
    <w:r w:rsidR="004B3F92">
      <w:rPr>
        <w:rStyle w:val="Lappusesnumurs"/>
        <w:noProof/>
      </w:rPr>
      <w:t>3</w:t>
    </w:r>
    <w:r>
      <w:rPr>
        <w:rStyle w:val="Lappusesnumurs"/>
      </w:rPr>
      <w:fldChar w:fldCharType="end"/>
    </w:r>
  </w:p>
  <w:p w:rsidR="004B3F92" w:rsidRDefault="004B3F9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92" w:rsidRPr="004B7FCF" w:rsidRDefault="002A78CF" w:rsidP="0039066E">
    <w:pPr>
      <w:pStyle w:val="Galvene"/>
      <w:framePr w:wrap="around" w:vAnchor="text" w:hAnchor="margin" w:xAlign="center" w:y="1"/>
      <w:rPr>
        <w:rStyle w:val="Lappusesnumurs"/>
        <w:sz w:val="22"/>
        <w:szCs w:val="22"/>
      </w:rPr>
    </w:pPr>
    <w:r w:rsidRPr="004B7FCF">
      <w:rPr>
        <w:rStyle w:val="Lappusesnumurs"/>
        <w:sz w:val="22"/>
        <w:szCs w:val="22"/>
      </w:rPr>
      <w:fldChar w:fldCharType="begin"/>
    </w:r>
    <w:r w:rsidR="004B3F92" w:rsidRPr="004B7FCF">
      <w:rPr>
        <w:rStyle w:val="Lappusesnumurs"/>
        <w:sz w:val="22"/>
        <w:szCs w:val="22"/>
      </w:rPr>
      <w:instrText xml:space="preserve">PAGE  </w:instrText>
    </w:r>
    <w:r w:rsidRPr="004B7FCF">
      <w:rPr>
        <w:rStyle w:val="Lappusesnumurs"/>
        <w:sz w:val="22"/>
        <w:szCs w:val="22"/>
      </w:rPr>
      <w:fldChar w:fldCharType="separate"/>
    </w:r>
    <w:r w:rsidR="006B4357">
      <w:rPr>
        <w:rStyle w:val="Lappusesnumurs"/>
        <w:noProof/>
        <w:sz w:val="22"/>
        <w:szCs w:val="22"/>
      </w:rPr>
      <w:t>7</w:t>
    </w:r>
    <w:r w:rsidRPr="004B7FCF">
      <w:rPr>
        <w:rStyle w:val="Lappusesnumurs"/>
        <w:sz w:val="22"/>
        <w:szCs w:val="22"/>
      </w:rPr>
      <w:fldChar w:fldCharType="end"/>
    </w:r>
  </w:p>
  <w:p w:rsidR="004B3F92" w:rsidRDefault="004B3F9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863"/>
    <w:multiLevelType w:val="hybridMultilevel"/>
    <w:tmpl w:val="A04E4E56"/>
    <w:lvl w:ilvl="0" w:tplc="7E5E7DC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460273CD"/>
    <w:multiLevelType w:val="hybridMultilevel"/>
    <w:tmpl w:val="E7122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39066E"/>
    <w:rsid w:val="000040BC"/>
    <w:rsid w:val="00004BBD"/>
    <w:rsid w:val="00023406"/>
    <w:rsid w:val="00046341"/>
    <w:rsid w:val="00051A56"/>
    <w:rsid w:val="00051B63"/>
    <w:rsid w:val="0009399C"/>
    <w:rsid w:val="00095E52"/>
    <w:rsid w:val="000A4884"/>
    <w:rsid w:val="000D5FC6"/>
    <w:rsid w:val="000E2385"/>
    <w:rsid w:val="001023E0"/>
    <w:rsid w:val="00116090"/>
    <w:rsid w:val="00130E2D"/>
    <w:rsid w:val="00175FCC"/>
    <w:rsid w:val="001A5545"/>
    <w:rsid w:val="001C06A1"/>
    <w:rsid w:val="001E0692"/>
    <w:rsid w:val="001F1135"/>
    <w:rsid w:val="0021170F"/>
    <w:rsid w:val="002142FF"/>
    <w:rsid w:val="00233C06"/>
    <w:rsid w:val="00242A27"/>
    <w:rsid w:val="00296E93"/>
    <w:rsid w:val="002A78CF"/>
    <w:rsid w:val="002C2710"/>
    <w:rsid w:val="002C41A0"/>
    <w:rsid w:val="002D4D2B"/>
    <w:rsid w:val="002E6496"/>
    <w:rsid w:val="003318F5"/>
    <w:rsid w:val="00355DD7"/>
    <w:rsid w:val="0039066E"/>
    <w:rsid w:val="003B1356"/>
    <w:rsid w:val="003E3055"/>
    <w:rsid w:val="003E4A9B"/>
    <w:rsid w:val="003F62EA"/>
    <w:rsid w:val="004138CE"/>
    <w:rsid w:val="00433F80"/>
    <w:rsid w:val="00491E39"/>
    <w:rsid w:val="004962E6"/>
    <w:rsid w:val="004A0AF4"/>
    <w:rsid w:val="004A0B35"/>
    <w:rsid w:val="004A43CC"/>
    <w:rsid w:val="004B3F92"/>
    <w:rsid w:val="004B7FCF"/>
    <w:rsid w:val="004C0C51"/>
    <w:rsid w:val="004E3C26"/>
    <w:rsid w:val="00551E3F"/>
    <w:rsid w:val="0057020E"/>
    <w:rsid w:val="005C743E"/>
    <w:rsid w:val="005D43D5"/>
    <w:rsid w:val="005D65B0"/>
    <w:rsid w:val="005E608C"/>
    <w:rsid w:val="0061738C"/>
    <w:rsid w:val="00664054"/>
    <w:rsid w:val="0068172B"/>
    <w:rsid w:val="006861A5"/>
    <w:rsid w:val="006B4357"/>
    <w:rsid w:val="006D068B"/>
    <w:rsid w:val="00700547"/>
    <w:rsid w:val="007010DC"/>
    <w:rsid w:val="0071761E"/>
    <w:rsid w:val="00721030"/>
    <w:rsid w:val="00730174"/>
    <w:rsid w:val="00744A98"/>
    <w:rsid w:val="00765C12"/>
    <w:rsid w:val="00784045"/>
    <w:rsid w:val="007B55CD"/>
    <w:rsid w:val="007C6782"/>
    <w:rsid w:val="00811FFF"/>
    <w:rsid w:val="00821C96"/>
    <w:rsid w:val="008224F7"/>
    <w:rsid w:val="0085024B"/>
    <w:rsid w:val="00863F0B"/>
    <w:rsid w:val="00875E31"/>
    <w:rsid w:val="00880F51"/>
    <w:rsid w:val="00891734"/>
    <w:rsid w:val="008A3164"/>
    <w:rsid w:val="008B7909"/>
    <w:rsid w:val="008D712D"/>
    <w:rsid w:val="008E63B5"/>
    <w:rsid w:val="008F567E"/>
    <w:rsid w:val="008F7C81"/>
    <w:rsid w:val="00931EBC"/>
    <w:rsid w:val="009517F5"/>
    <w:rsid w:val="009765B8"/>
    <w:rsid w:val="00995D65"/>
    <w:rsid w:val="009A39F2"/>
    <w:rsid w:val="009D352E"/>
    <w:rsid w:val="00A13BD6"/>
    <w:rsid w:val="00A1642D"/>
    <w:rsid w:val="00A27185"/>
    <w:rsid w:val="00A33356"/>
    <w:rsid w:val="00A35CF9"/>
    <w:rsid w:val="00A729B2"/>
    <w:rsid w:val="00AE5C76"/>
    <w:rsid w:val="00B26413"/>
    <w:rsid w:val="00B6364C"/>
    <w:rsid w:val="00B64F5C"/>
    <w:rsid w:val="00B7404D"/>
    <w:rsid w:val="00BC3689"/>
    <w:rsid w:val="00BD730E"/>
    <w:rsid w:val="00BF0776"/>
    <w:rsid w:val="00C0375B"/>
    <w:rsid w:val="00CA46C9"/>
    <w:rsid w:val="00CC1AE5"/>
    <w:rsid w:val="00CC5231"/>
    <w:rsid w:val="00D165D5"/>
    <w:rsid w:val="00D64FC5"/>
    <w:rsid w:val="00D738EF"/>
    <w:rsid w:val="00D879C5"/>
    <w:rsid w:val="00D90A5B"/>
    <w:rsid w:val="00D947CA"/>
    <w:rsid w:val="00DA5A22"/>
    <w:rsid w:val="00DA77E2"/>
    <w:rsid w:val="00DB43C1"/>
    <w:rsid w:val="00DC2266"/>
    <w:rsid w:val="00DD0326"/>
    <w:rsid w:val="00DF0973"/>
    <w:rsid w:val="00E328D4"/>
    <w:rsid w:val="00E8006F"/>
    <w:rsid w:val="00EC3CF5"/>
    <w:rsid w:val="00EC51B5"/>
    <w:rsid w:val="00ED3911"/>
    <w:rsid w:val="00EF7ABF"/>
    <w:rsid w:val="00F656BE"/>
    <w:rsid w:val="00F70B08"/>
    <w:rsid w:val="00F82ECE"/>
    <w:rsid w:val="00F83430"/>
    <w:rsid w:val="00FD54A6"/>
    <w:rsid w:val="00FF1299"/>
    <w:rsid w:val="00FF41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06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ais"/>
    <w:rsid w:val="0039066E"/>
    <w:pPr>
      <w:spacing w:before="100" w:beforeAutospacing="1" w:after="100" w:afterAutospacing="1"/>
    </w:pPr>
  </w:style>
  <w:style w:type="paragraph" w:customStyle="1" w:styleId="naisc">
    <w:name w:val="naisc"/>
    <w:basedOn w:val="Parastais"/>
    <w:rsid w:val="0039066E"/>
    <w:pPr>
      <w:spacing w:before="100" w:beforeAutospacing="1" w:after="100" w:afterAutospacing="1"/>
    </w:pPr>
  </w:style>
  <w:style w:type="paragraph" w:customStyle="1" w:styleId="naiskr">
    <w:name w:val="naiskr"/>
    <w:basedOn w:val="Parastais"/>
    <w:rsid w:val="0039066E"/>
    <w:pPr>
      <w:spacing w:before="100" w:beforeAutospacing="1" w:after="100" w:afterAutospacing="1"/>
    </w:pPr>
  </w:style>
  <w:style w:type="paragraph" w:customStyle="1" w:styleId="naislab">
    <w:name w:val="naislab"/>
    <w:basedOn w:val="Parastais"/>
    <w:rsid w:val="0039066E"/>
    <w:pPr>
      <w:spacing w:before="100" w:beforeAutospacing="1" w:after="100" w:afterAutospacing="1"/>
    </w:pPr>
  </w:style>
  <w:style w:type="paragraph" w:customStyle="1" w:styleId="naisf">
    <w:name w:val="naisf"/>
    <w:basedOn w:val="Parastais"/>
    <w:rsid w:val="0039066E"/>
    <w:pPr>
      <w:spacing w:before="100" w:beforeAutospacing="1" w:after="100" w:afterAutospacing="1"/>
    </w:pPr>
  </w:style>
  <w:style w:type="paragraph" w:styleId="Pamattekstaatkpe2">
    <w:name w:val="Body Text Indent 2"/>
    <w:basedOn w:val="Parastais"/>
    <w:link w:val="Pamattekstaatkpe2Rakstz"/>
    <w:rsid w:val="0039066E"/>
    <w:pPr>
      <w:spacing w:after="120" w:line="480" w:lineRule="auto"/>
      <w:ind w:left="360"/>
    </w:pPr>
  </w:style>
  <w:style w:type="character" w:customStyle="1" w:styleId="Pamattekstaatkpe2Rakstz">
    <w:name w:val="Pamatteksta atkāpe 2 Rakstz."/>
    <w:basedOn w:val="Noklusjumarindkopasfonts"/>
    <w:link w:val="Pamattekstaatkpe2"/>
    <w:rsid w:val="0039066E"/>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rsid w:val="0039066E"/>
    <w:pPr>
      <w:tabs>
        <w:tab w:val="center" w:pos="4153"/>
        <w:tab w:val="right" w:pos="8306"/>
      </w:tabs>
    </w:pPr>
  </w:style>
  <w:style w:type="character" w:customStyle="1" w:styleId="GalveneRakstz">
    <w:name w:val="Galvene Rakstz."/>
    <w:basedOn w:val="Noklusjumarindkopasfonts"/>
    <w:link w:val="Galvene"/>
    <w:uiPriority w:val="99"/>
    <w:rsid w:val="0039066E"/>
    <w:rPr>
      <w:rFonts w:ascii="Times New Roman" w:eastAsia="Times New Roman" w:hAnsi="Times New Roman" w:cs="Times New Roman"/>
      <w:sz w:val="24"/>
      <w:szCs w:val="24"/>
      <w:lang w:eastAsia="lv-LV"/>
    </w:rPr>
  </w:style>
  <w:style w:type="character" w:styleId="Lappusesnumurs">
    <w:name w:val="page number"/>
    <w:basedOn w:val="Noklusjumarindkopasfonts"/>
    <w:rsid w:val="0039066E"/>
  </w:style>
  <w:style w:type="paragraph" w:styleId="Vresteksts">
    <w:name w:val="footnote text"/>
    <w:basedOn w:val="Parastais"/>
    <w:link w:val="VrestekstsRakstz"/>
    <w:rsid w:val="0039066E"/>
    <w:rPr>
      <w:sz w:val="20"/>
      <w:szCs w:val="20"/>
    </w:rPr>
  </w:style>
  <w:style w:type="character" w:customStyle="1" w:styleId="VrestekstsRakstz">
    <w:name w:val="Vēres teksts Rakstz."/>
    <w:basedOn w:val="Noklusjumarindkopasfonts"/>
    <w:link w:val="Vresteksts"/>
    <w:rsid w:val="0039066E"/>
    <w:rPr>
      <w:rFonts w:ascii="Times New Roman" w:eastAsia="Times New Roman" w:hAnsi="Times New Roman" w:cs="Times New Roman"/>
      <w:sz w:val="20"/>
      <w:szCs w:val="20"/>
      <w:lang w:eastAsia="lv-LV"/>
    </w:rPr>
  </w:style>
  <w:style w:type="character" w:styleId="Hipersaite">
    <w:name w:val="Hyperlink"/>
    <w:uiPriority w:val="99"/>
    <w:unhideWhenUsed/>
    <w:rsid w:val="0039066E"/>
    <w:rPr>
      <w:color w:val="0000FF"/>
      <w:u w:val="single"/>
    </w:rPr>
  </w:style>
  <w:style w:type="paragraph" w:styleId="Kjene">
    <w:name w:val="footer"/>
    <w:basedOn w:val="Parastais"/>
    <w:link w:val="KjeneRakstz"/>
    <w:uiPriority w:val="99"/>
    <w:unhideWhenUsed/>
    <w:rsid w:val="00DC2266"/>
    <w:pPr>
      <w:tabs>
        <w:tab w:val="center" w:pos="4153"/>
        <w:tab w:val="right" w:pos="8306"/>
      </w:tabs>
    </w:pPr>
  </w:style>
  <w:style w:type="character" w:customStyle="1" w:styleId="KjeneRakstz">
    <w:name w:val="Kājene Rakstz."/>
    <w:basedOn w:val="Noklusjumarindkopasfonts"/>
    <w:link w:val="Kjene"/>
    <w:uiPriority w:val="99"/>
    <w:rsid w:val="00DC2266"/>
    <w:rPr>
      <w:rFonts w:ascii="Times New Roman" w:eastAsia="Times New Roman" w:hAnsi="Times New Roman" w:cs="Times New Roman"/>
      <w:sz w:val="24"/>
      <w:szCs w:val="24"/>
      <w:lang w:eastAsia="lv-LV"/>
    </w:rPr>
  </w:style>
  <w:style w:type="paragraph" w:styleId="ParastaisWeb">
    <w:name w:val="Normal (Web)"/>
    <w:basedOn w:val="Parastais"/>
    <w:rsid w:val="004A43CC"/>
    <w:pPr>
      <w:spacing w:before="100" w:beforeAutospacing="1" w:after="100" w:afterAutospacing="1"/>
    </w:pPr>
  </w:style>
  <w:style w:type="paragraph" w:styleId="Bezatstarpm">
    <w:name w:val="No Spacing"/>
    <w:uiPriority w:val="99"/>
    <w:qFormat/>
    <w:rsid w:val="005D43D5"/>
    <w:pPr>
      <w:spacing w:after="0" w:line="240" w:lineRule="auto"/>
    </w:pPr>
    <w:rPr>
      <w:rFonts w:ascii="Calibri" w:eastAsia="Calibri" w:hAnsi="Calibri" w:cs="Times New Roman"/>
    </w:rPr>
  </w:style>
  <w:style w:type="paragraph" w:styleId="Balonteksts">
    <w:name w:val="Balloon Text"/>
    <w:basedOn w:val="Parastais"/>
    <w:link w:val="BalontekstsRakstz"/>
    <w:uiPriority w:val="99"/>
    <w:semiHidden/>
    <w:unhideWhenUsed/>
    <w:rsid w:val="009517F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17F5"/>
    <w:rPr>
      <w:rFonts w:ascii="Tahoma" w:eastAsia="Times New Roman" w:hAnsi="Tahoma" w:cs="Tahoma"/>
      <w:sz w:val="16"/>
      <w:szCs w:val="16"/>
      <w:lang w:eastAsia="lv-LV"/>
    </w:rPr>
  </w:style>
  <w:style w:type="paragraph" w:customStyle="1" w:styleId="tv2131">
    <w:name w:val="tv2131"/>
    <w:basedOn w:val="Parastais"/>
    <w:rsid w:val="00EC3CF5"/>
    <w:pPr>
      <w:spacing w:before="240" w:line="360" w:lineRule="auto"/>
      <w:ind w:firstLine="300"/>
      <w:jc w:val="both"/>
    </w:pPr>
    <w:rPr>
      <w:rFonts w:ascii="Verdana" w:hAnsi="Verdana"/>
      <w:sz w:val="18"/>
      <w:szCs w:val="18"/>
    </w:rPr>
  </w:style>
  <w:style w:type="character" w:styleId="Komentraatsauce">
    <w:name w:val="annotation reference"/>
    <w:basedOn w:val="Noklusjumarindkopasfonts"/>
    <w:uiPriority w:val="99"/>
    <w:semiHidden/>
    <w:unhideWhenUsed/>
    <w:rsid w:val="00730174"/>
    <w:rPr>
      <w:sz w:val="16"/>
      <w:szCs w:val="16"/>
    </w:rPr>
  </w:style>
  <w:style w:type="paragraph" w:styleId="Komentrateksts">
    <w:name w:val="annotation text"/>
    <w:basedOn w:val="Parastais"/>
    <w:link w:val="KomentratekstsRakstz"/>
    <w:uiPriority w:val="99"/>
    <w:semiHidden/>
    <w:unhideWhenUsed/>
    <w:rsid w:val="00730174"/>
    <w:rPr>
      <w:sz w:val="20"/>
      <w:szCs w:val="20"/>
    </w:rPr>
  </w:style>
  <w:style w:type="character" w:customStyle="1" w:styleId="KomentratekstsRakstz">
    <w:name w:val="Komentāra teksts Rakstz."/>
    <w:basedOn w:val="Noklusjumarindkopasfonts"/>
    <w:link w:val="Komentrateksts"/>
    <w:uiPriority w:val="99"/>
    <w:semiHidden/>
    <w:rsid w:val="0073017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30174"/>
    <w:rPr>
      <w:b/>
      <w:bCs/>
    </w:rPr>
  </w:style>
  <w:style w:type="character" w:customStyle="1" w:styleId="KomentratmaRakstz">
    <w:name w:val="Komentāra tēma Rakstz."/>
    <w:basedOn w:val="KomentratekstsRakstz"/>
    <w:link w:val="Komentratma"/>
    <w:uiPriority w:val="99"/>
    <w:semiHidden/>
    <w:rsid w:val="00730174"/>
    <w:rPr>
      <w:b/>
      <w:bCs/>
    </w:rPr>
  </w:style>
</w:styles>
</file>

<file path=word/webSettings.xml><?xml version="1.0" encoding="utf-8"?>
<w:webSettings xmlns:r="http://schemas.openxmlformats.org/officeDocument/2006/relationships" xmlns:w="http://schemas.openxmlformats.org/wordprocessingml/2006/main">
  <w:divs>
    <w:div w:id="16135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Ozolina@k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97908-2462-49E2-90C6-75A3E59E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8275</Words>
  <Characters>4717</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„Kultūras informācijas sistēmu centra nolikums” sākotnējās ietekmes novērtējuma ziņojums (anotācija) </dc:title>
  <dc:subject>KMAnot_131212_KIS_nolikums</dc:subject>
  <dc:creator>A.Magone</dc:creator>
  <dc:description>67843084
Armands.Magone@kis.gov.lv </dc:description>
  <cp:lastModifiedBy>Dzintra Rozīte</cp:lastModifiedBy>
  <cp:revision>7</cp:revision>
  <cp:lastPrinted>2012-12-02T15:12:00Z</cp:lastPrinted>
  <dcterms:created xsi:type="dcterms:W3CDTF">2012-12-05T09:09:00Z</dcterms:created>
  <dcterms:modified xsi:type="dcterms:W3CDTF">2012-12-14T06:47:00Z</dcterms:modified>
</cp:coreProperties>
</file>