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58" w:rsidRDefault="002D7F58" w:rsidP="002D7F58">
      <w:pPr>
        <w:pStyle w:val="Pamatteksts"/>
        <w:rPr>
          <w:sz w:val="24"/>
          <w:szCs w:val="24"/>
        </w:rPr>
      </w:pPr>
      <w:bookmarkStart w:id="0" w:name="OLE_LINK1"/>
      <w:bookmarkStart w:id="1" w:name="OLE_LINK2"/>
      <w:r w:rsidRPr="0048110F">
        <w:rPr>
          <w:sz w:val="24"/>
          <w:szCs w:val="24"/>
        </w:rPr>
        <w:t xml:space="preserve">Ministru kabineta </w:t>
      </w:r>
      <w:r>
        <w:rPr>
          <w:sz w:val="24"/>
          <w:szCs w:val="24"/>
        </w:rPr>
        <w:t xml:space="preserve">rīkojuma </w:t>
      </w:r>
      <w:r w:rsidRPr="0048110F">
        <w:rPr>
          <w:sz w:val="24"/>
          <w:szCs w:val="24"/>
        </w:rPr>
        <w:t xml:space="preserve">„Par </w:t>
      </w:r>
      <w:proofErr w:type="spellStart"/>
      <w:r>
        <w:rPr>
          <w:sz w:val="24"/>
          <w:szCs w:val="24"/>
        </w:rPr>
        <w:t>M.Sprūdžu</w:t>
      </w:r>
      <w:proofErr w:type="spellEnd"/>
      <w:r>
        <w:rPr>
          <w:sz w:val="24"/>
          <w:szCs w:val="24"/>
        </w:rPr>
        <w:t xml:space="preserve">” </w:t>
      </w:r>
      <w:r w:rsidRPr="0048110F">
        <w:rPr>
          <w:sz w:val="24"/>
          <w:szCs w:val="24"/>
        </w:rPr>
        <w:t>projekta anotācija</w:t>
      </w:r>
    </w:p>
    <w:bookmarkEnd w:id="0"/>
    <w:bookmarkEnd w:id="1"/>
    <w:p w:rsidR="00FD092A" w:rsidRPr="0048110F" w:rsidRDefault="00FD092A" w:rsidP="002D7F58">
      <w:pPr>
        <w:pStyle w:val="Pamatteksts"/>
        <w:rPr>
          <w:sz w:val="24"/>
          <w:szCs w:val="24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4323"/>
        <w:gridCol w:w="4750"/>
      </w:tblGrid>
      <w:tr w:rsidR="002D7F58" w:rsidTr="00820FF6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58" w:rsidRDefault="002D7F58" w:rsidP="00820FF6">
            <w:pPr>
              <w:pStyle w:val="naisc"/>
            </w:pPr>
            <w:r>
              <w:t> </w:t>
            </w:r>
            <w:r>
              <w:rPr>
                <w:b/>
                <w:bCs/>
              </w:rPr>
              <w:t> I. Tiesību akta projekta izstrādes nepieciešamība</w:t>
            </w:r>
          </w:p>
        </w:tc>
      </w:tr>
      <w:tr w:rsidR="002D7F58" w:rsidTr="002D7F58">
        <w:trPr>
          <w:trHeight w:val="207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2D7F58">
            <w:pPr>
              <w:pStyle w:val="naislab"/>
              <w:jc w:val="left"/>
            </w:pPr>
            <w:r>
              <w:t> 1.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lab"/>
              <w:jc w:val="left"/>
            </w:pPr>
            <w:r>
              <w:t> Pamatojums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610703">
            <w:pPr>
              <w:pStyle w:val="naislab"/>
              <w:jc w:val="both"/>
            </w:pPr>
            <w:r w:rsidRPr="002D7F58">
              <w:t xml:space="preserve">Pamatojoties uz </w:t>
            </w:r>
            <w:r w:rsidR="00610703">
              <w:t>Arhīvu</w:t>
            </w:r>
            <w:r w:rsidRPr="002D7F58">
              <w:t xml:space="preserve"> likuma </w:t>
            </w:r>
            <w:r w:rsidR="00610703">
              <w:t>20</w:t>
            </w:r>
            <w:r w:rsidRPr="002D7F58">
              <w:t xml:space="preserve">.panta </w:t>
            </w:r>
            <w:r w:rsidR="00610703">
              <w:t xml:space="preserve">pirmo </w:t>
            </w:r>
            <w:r w:rsidRPr="002D7F58">
              <w:t>daļu, kas no</w:t>
            </w:r>
            <w:r>
              <w:t>teic</w:t>
            </w:r>
            <w:r w:rsidRPr="002D7F58">
              <w:t xml:space="preserve">, ka </w:t>
            </w:r>
            <w:r w:rsidR="00610703" w:rsidRPr="00610703">
              <w:t>Latvijas Nacionālā arhīva direktoru uz pieciem gadiem ieceļ Ministru kabinets pēc kultūras ministra ierosinājuma</w:t>
            </w:r>
            <w:r w:rsidRPr="002D7F58">
              <w:t>,</w:t>
            </w:r>
            <w:r>
              <w:t xml:space="preserve"> Kultūras</w:t>
            </w:r>
            <w:r w:rsidRPr="002D7F58">
              <w:t xml:space="preserve"> ministrij</w:t>
            </w:r>
            <w:r>
              <w:t>ā</w:t>
            </w:r>
            <w:r w:rsidRPr="002D7F58">
              <w:t xml:space="preserve"> ir </w:t>
            </w:r>
            <w:r>
              <w:t xml:space="preserve">izstrādāts </w:t>
            </w:r>
            <w:r w:rsidRPr="002D7F58">
              <w:t>Ministru kabineta rīkojuma projekt</w:t>
            </w:r>
            <w:r>
              <w:t>s</w:t>
            </w:r>
            <w:r w:rsidRPr="002D7F58">
              <w:t xml:space="preserve"> „Par </w:t>
            </w:r>
            <w:proofErr w:type="spellStart"/>
            <w:r>
              <w:t>M.Sprūdžu</w:t>
            </w:r>
            <w:proofErr w:type="spellEnd"/>
            <w:r w:rsidRPr="002D7F58">
              <w:t>” (turpmāk – rīkojuma projekts).</w:t>
            </w:r>
          </w:p>
        </w:tc>
      </w:tr>
      <w:tr w:rsidR="002D7F58" w:rsidTr="00820FF6">
        <w:trPr>
          <w:trHeight w:val="47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2.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Pašreizējā situācija un problēmas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2D7F58" w:rsidRDefault="002D7F58" w:rsidP="002D7F58">
            <w:pPr>
              <w:pStyle w:val="naiskr"/>
              <w:jc w:val="both"/>
            </w:pPr>
            <w:r>
              <w:t>Latvijas Nacionālais arhīvs tiks izveidots no 2011.gada 01.janvāra reorganizējot Valsts arhīvu ģenerāldirekciju un arhīvu sistēmā esošās iestādes</w:t>
            </w:r>
            <w:r w:rsidRPr="002D7F58">
              <w:t xml:space="preserve">. </w:t>
            </w:r>
          </w:p>
          <w:p w:rsidR="002D7F58" w:rsidRPr="0048110F" w:rsidRDefault="002D7F58" w:rsidP="002D7F58">
            <w:pPr>
              <w:pStyle w:val="naiskr"/>
              <w:jc w:val="both"/>
            </w:pPr>
            <w:r>
              <w:t>2010.</w:t>
            </w:r>
            <w:r w:rsidRPr="002D7F58">
              <w:t xml:space="preserve">gada </w:t>
            </w:r>
            <w:r>
              <w:t>06.oktobra</w:t>
            </w:r>
            <w:r w:rsidRPr="002D7F58">
              <w:t xml:space="preserve"> laikrakstā „Latvijas Vēstnesis” izsludināts atklāts pretendentu konkurss uz </w:t>
            </w:r>
            <w:r>
              <w:t>Latvijas Nacionālā arhīva direktora</w:t>
            </w:r>
            <w:r w:rsidRPr="002D7F58">
              <w:t xml:space="preserve"> amatu.</w:t>
            </w:r>
            <w:r>
              <w:t xml:space="preserve"> </w:t>
            </w:r>
            <w:r w:rsidRPr="002D7F58">
              <w:t xml:space="preserve">Ar </w:t>
            </w:r>
            <w:r>
              <w:t>kultūras ministres 2010.</w:t>
            </w:r>
            <w:r w:rsidRPr="002D7F58">
              <w:t xml:space="preserve">gada </w:t>
            </w:r>
            <w:r>
              <w:t>09.novembra</w:t>
            </w:r>
            <w:r w:rsidRPr="002D7F58">
              <w:t xml:space="preserve"> rīkojumu </w:t>
            </w:r>
            <w:proofErr w:type="spellStart"/>
            <w:r w:rsidRPr="002D7F58">
              <w:t>Nr.</w:t>
            </w:r>
            <w:r>
              <w:t>P-228</w:t>
            </w:r>
            <w:proofErr w:type="spellEnd"/>
            <w:r w:rsidRPr="002D7F58">
              <w:t xml:space="preserve"> „Par konkursa komisijas izveid</w:t>
            </w:r>
            <w:r>
              <w:t>ošanu</w:t>
            </w:r>
            <w:r w:rsidRPr="002D7F58">
              <w:t xml:space="preserve">” tika izveidota konkursa komisija, lai izvērtētu pretendentu atbilstību </w:t>
            </w:r>
            <w:r>
              <w:t>Latvijas Nacionālā arhīva direktora</w:t>
            </w:r>
            <w:r w:rsidRPr="002D7F58">
              <w:t xml:space="preserve"> amatam. 2010.gada </w:t>
            </w:r>
            <w:r>
              <w:t>22.novembrī</w:t>
            </w:r>
            <w:r w:rsidRPr="002D7F58">
              <w:t xml:space="preserve"> konkursa komisija nolēma izvirzīt </w:t>
            </w:r>
            <w:r>
              <w:t xml:space="preserve">apstiprināšanai Latvijas Nacionālā arhīva direktora amatā Māru </w:t>
            </w:r>
            <w:proofErr w:type="spellStart"/>
            <w:r>
              <w:t>Sprūdžu</w:t>
            </w:r>
            <w:proofErr w:type="spellEnd"/>
            <w:r w:rsidRPr="002D7F58">
              <w:t xml:space="preserve">. </w:t>
            </w:r>
          </w:p>
        </w:tc>
      </w:tr>
      <w:tr w:rsidR="002D7F58" w:rsidTr="00820FF6">
        <w:trPr>
          <w:trHeight w:val="7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3.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Saistītie politikas ietekmes novērtējumi un pētījumi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48110F" w:rsidRDefault="002D7F58" w:rsidP="00820FF6">
            <w:pPr>
              <w:jc w:val="both"/>
            </w:pPr>
            <w:r>
              <w:t>Nav attiecināms.</w:t>
            </w:r>
          </w:p>
        </w:tc>
      </w:tr>
      <w:tr w:rsidR="002D7F58" w:rsidTr="00610703">
        <w:trPr>
          <w:trHeight w:val="75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4.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Tiesiskā regulējuma mērķis un būtība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48110F" w:rsidRDefault="002D7F58" w:rsidP="00610703">
            <w:pPr>
              <w:pStyle w:val="naiskr"/>
              <w:jc w:val="both"/>
            </w:pPr>
            <w:r w:rsidRPr="002D7F58">
              <w:t xml:space="preserve">Rīkojuma projekts paredz </w:t>
            </w:r>
            <w:r w:rsidR="00610703">
              <w:t>iecelt</w:t>
            </w:r>
            <w:r w:rsidRPr="002D7F58">
              <w:t xml:space="preserve"> </w:t>
            </w:r>
            <w:proofErr w:type="spellStart"/>
            <w:r>
              <w:t>M.Sprūdž</w:t>
            </w:r>
            <w:r w:rsidR="00610703">
              <w:t>u</w:t>
            </w:r>
            <w:proofErr w:type="spellEnd"/>
            <w:r w:rsidRPr="002D7F58">
              <w:t xml:space="preserve"> </w:t>
            </w:r>
            <w:r>
              <w:t>Latvijas Nacionālā arhīva direktora</w:t>
            </w:r>
            <w:r w:rsidRPr="002D7F58">
              <w:t xml:space="preserve"> amatā.</w:t>
            </w:r>
          </w:p>
        </w:tc>
      </w:tr>
      <w:tr w:rsidR="002D7F58" w:rsidTr="00820FF6">
        <w:trPr>
          <w:trHeight w:val="47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5.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Projekta izstrādē iesaistītās institūcijas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48110F" w:rsidRDefault="002D7F58" w:rsidP="00820FF6">
            <w:pPr>
              <w:jc w:val="both"/>
            </w:pPr>
            <w:r>
              <w:t>Nav attiecināms.</w:t>
            </w:r>
          </w:p>
        </w:tc>
      </w:tr>
      <w:tr w:rsidR="002D7F58" w:rsidTr="00820FF6">
        <w:trPr>
          <w:trHeight w:val="71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6.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Iemesli, kādēļ netika nodrošināta sabiedrības līdzdalība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48110F" w:rsidRDefault="002D7F58" w:rsidP="00820FF6">
            <w:pPr>
              <w:jc w:val="both"/>
            </w:pPr>
            <w:r>
              <w:t>Nav attiecināms.</w:t>
            </w:r>
          </w:p>
        </w:tc>
      </w:tr>
      <w:tr w:rsidR="002D7F58" w:rsidTr="00820FF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7.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 Cita informācija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Default="002D7F58" w:rsidP="00820FF6">
            <w:pPr>
              <w:pStyle w:val="naiskr"/>
            </w:pPr>
            <w:r>
              <w:t>Nav.</w:t>
            </w:r>
          </w:p>
        </w:tc>
      </w:tr>
      <w:tr w:rsidR="002D7F58" w:rsidTr="00820FF6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58" w:rsidRPr="006605B5" w:rsidRDefault="002D7F58" w:rsidP="00820FF6">
            <w:pPr>
              <w:pStyle w:val="naisnod"/>
              <w:jc w:val="both"/>
              <w:rPr>
                <w:b w:val="0"/>
              </w:rPr>
            </w:pPr>
            <w:r w:rsidRPr="006605B5">
              <w:rPr>
                <w:rFonts w:eastAsia="Times New Roman"/>
                <w:b w:val="0"/>
              </w:rPr>
              <w:t>  </w:t>
            </w:r>
            <w:r w:rsidRPr="006605B5">
              <w:rPr>
                <w:rFonts w:eastAsia="Calibri"/>
                <w:b w:val="0"/>
              </w:rPr>
              <w:t>Anotācijas II, III, IV, V, VI un VII sadaļa – nav attiecināms</w:t>
            </w:r>
            <w:r w:rsidRPr="006605B5">
              <w:rPr>
                <w:rFonts w:eastAsia="Times New Roman"/>
                <w:b w:val="0"/>
              </w:rPr>
              <w:t>.</w:t>
            </w:r>
          </w:p>
        </w:tc>
      </w:tr>
    </w:tbl>
    <w:p w:rsidR="002D7F58" w:rsidRDefault="002D7F58" w:rsidP="002D7F58">
      <w:pPr>
        <w:pStyle w:val="naisf"/>
      </w:pPr>
      <w:r>
        <w:t> </w:t>
      </w:r>
    </w:p>
    <w:p w:rsidR="002D7F58" w:rsidRPr="0048110F" w:rsidRDefault="002D7F58" w:rsidP="002D7F58">
      <w:pPr>
        <w:pStyle w:val="naisf"/>
        <w:ind w:firstLine="0"/>
      </w:pPr>
      <w:r w:rsidRPr="0048110F">
        <w:t>Kultūras ministr</w:t>
      </w:r>
      <w:r>
        <w:t>e</w:t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proofErr w:type="gramStart"/>
      <w:r>
        <w:t xml:space="preserve">                              </w:t>
      </w:r>
      <w:proofErr w:type="gramEnd"/>
      <w:r>
        <w:t>S.Ēlerte</w:t>
      </w:r>
    </w:p>
    <w:p w:rsidR="002D7F58" w:rsidRPr="0048110F" w:rsidRDefault="002D7F58" w:rsidP="002D7F58"/>
    <w:p w:rsidR="002D7F58" w:rsidRPr="0048110F" w:rsidRDefault="002D7F58" w:rsidP="002D7F58">
      <w:r w:rsidRPr="0048110F">
        <w:t>Vīza: Valsts sekretār</w:t>
      </w:r>
      <w:r>
        <w:t xml:space="preserve">a </w:t>
      </w:r>
      <w:proofErr w:type="spellStart"/>
      <w:r>
        <w:t>p.i</w:t>
      </w:r>
      <w:proofErr w:type="spellEnd"/>
      <w:r>
        <w:t>.</w:t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r>
        <w:t>U.Lielpēters</w:t>
      </w:r>
    </w:p>
    <w:p w:rsidR="002D7F58" w:rsidRDefault="002D7F58" w:rsidP="002D7F58">
      <w:pPr>
        <w:jc w:val="both"/>
        <w:rPr>
          <w:i/>
          <w:sz w:val="22"/>
          <w:szCs w:val="22"/>
        </w:rPr>
      </w:pPr>
    </w:p>
    <w:p w:rsidR="002D7F58" w:rsidRPr="009B6FE7" w:rsidRDefault="002D7F58" w:rsidP="002D7F5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25</w:t>
      </w:r>
      <w:r w:rsidRPr="009B6FE7">
        <w:rPr>
          <w:i/>
          <w:sz w:val="22"/>
          <w:szCs w:val="22"/>
        </w:rPr>
        <w:t>.11.2010.</w:t>
      </w:r>
    </w:p>
    <w:p w:rsidR="002D7F58" w:rsidRPr="009B6FE7" w:rsidRDefault="00610703" w:rsidP="002D7F5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195</w:t>
      </w:r>
    </w:p>
    <w:p w:rsidR="002D7F58" w:rsidRPr="009B6FE7" w:rsidRDefault="002D7F58" w:rsidP="002D7F58">
      <w:pPr>
        <w:jc w:val="both"/>
        <w:rPr>
          <w:i/>
          <w:sz w:val="22"/>
          <w:szCs w:val="22"/>
        </w:rPr>
      </w:pPr>
      <w:proofErr w:type="spellStart"/>
      <w:r w:rsidRPr="009B6FE7">
        <w:rPr>
          <w:i/>
          <w:sz w:val="22"/>
          <w:szCs w:val="22"/>
        </w:rPr>
        <w:t>Z.Fogelsone-Klodāne</w:t>
      </w:r>
      <w:proofErr w:type="spellEnd"/>
    </w:p>
    <w:p w:rsidR="0099129F" w:rsidRDefault="002D7F58" w:rsidP="002D7F58">
      <w:pPr>
        <w:jc w:val="both"/>
      </w:pPr>
      <w:bookmarkStart w:id="2" w:name="OLE_LINK3"/>
      <w:bookmarkStart w:id="3" w:name="OLE_LINK4"/>
      <w:r w:rsidRPr="009B6FE7">
        <w:rPr>
          <w:i/>
          <w:sz w:val="22"/>
          <w:szCs w:val="22"/>
        </w:rPr>
        <w:t>67330217</w:t>
      </w:r>
      <w:hyperlink r:id="rId6" w:history="1">
        <w:r w:rsidRPr="00B16E2F">
          <w:rPr>
            <w:rStyle w:val="Hipersaite"/>
            <w:i/>
            <w:sz w:val="22"/>
            <w:szCs w:val="22"/>
          </w:rPr>
          <w:t>zane.fogelsone@km.gov.lv</w:t>
        </w:r>
      </w:hyperlink>
      <w:r>
        <w:rPr>
          <w:i/>
          <w:sz w:val="22"/>
          <w:szCs w:val="22"/>
        </w:rPr>
        <w:t xml:space="preserve"> </w:t>
      </w:r>
      <w:bookmarkEnd w:id="2"/>
      <w:bookmarkEnd w:id="3"/>
    </w:p>
    <w:sectPr w:rsidR="0099129F" w:rsidSect="00FD092A">
      <w:footerReference w:type="default" r:id="rId7"/>
      <w:pgSz w:w="11906" w:h="16838"/>
      <w:pgMar w:top="1276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58" w:rsidRDefault="002D7F58" w:rsidP="002D7F58">
      <w:r>
        <w:separator/>
      </w:r>
    </w:p>
  </w:endnote>
  <w:endnote w:type="continuationSeparator" w:id="0">
    <w:p w:rsidR="002D7F58" w:rsidRDefault="002D7F58" w:rsidP="002D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E7" w:rsidRPr="009A378E" w:rsidRDefault="00EC058C" w:rsidP="009B6FE7">
    <w:pPr>
      <w:pStyle w:val="Pamatteksts"/>
      <w:jc w:val="both"/>
      <w:rPr>
        <w:szCs w:val="28"/>
      </w:rPr>
    </w:pPr>
    <w:r w:rsidRPr="00275CD2">
      <w:rPr>
        <w:sz w:val="24"/>
        <w:szCs w:val="24"/>
      </w:rPr>
      <w:t>KM</w:t>
    </w:r>
    <w:r>
      <w:rPr>
        <w:sz w:val="24"/>
        <w:szCs w:val="24"/>
      </w:rPr>
      <w:t>Anot</w:t>
    </w:r>
    <w:r w:rsidRPr="00275CD2">
      <w:rPr>
        <w:sz w:val="24"/>
        <w:szCs w:val="24"/>
      </w:rPr>
      <w:t>_</w:t>
    </w:r>
    <w:r w:rsidR="002D7F58">
      <w:rPr>
        <w:sz w:val="24"/>
        <w:szCs w:val="24"/>
      </w:rPr>
      <w:t>25</w:t>
    </w:r>
    <w:r>
      <w:rPr>
        <w:sz w:val="24"/>
        <w:szCs w:val="24"/>
      </w:rPr>
      <w:t>1110</w:t>
    </w:r>
  </w:p>
  <w:p w:rsidR="009B6FE7" w:rsidRDefault="000D064E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58" w:rsidRDefault="002D7F58" w:rsidP="002D7F58">
      <w:r>
        <w:separator/>
      </w:r>
    </w:p>
  </w:footnote>
  <w:footnote w:type="continuationSeparator" w:id="0">
    <w:p w:rsidR="002D7F58" w:rsidRDefault="002D7F58" w:rsidP="002D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F58"/>
    <w:rsid w:val="000D064E"/>
    <w:rsid w:val="002D7F58"/>
    <w:rsid w:val="00610703"/>
    <w:rsid w:val="0099129F"/>
    <w:rsid w:val="009B1A6C"/>
    <w:rsid w:val="00A81F34"/>
    <w:rsid w:val="00DA5472"/>
    <w:rsid w:val="00EC058C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D7F5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2D7F58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uiPriority w:val="99"/>
    <w:rsid w:val="002D7F5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uiPriority w:val="99"/>
    <w:rsid w:val="002D7F58"/>
    <w:pPr>
      <w:spacing w:before="75" w:after="75"/>
      <w:jc w:val="right"/>
    </w:pPr>
  </w:style>
  <w:style w:type="paragraph" w:customStyle="1" w:styleId="naiskr">
    <w:name w:val="naiskr"/>
    <w:basedOn w:val="Parastais"/>
    <w:uiPriority w:val="99"/>
    <w:rsid w:val="002D7F58"/>
    <w:pPr>
      <w:spacing w:before="75" w:after="75"/>
    </w:pPr>
  </w:style>
  <w:style w:type="paragraph" w:customStyle="1" w:styleId="naisc">
    <w:name w:val="naisc"/>
    <w:basedOn w:val="Parastais"/>
    <w:uiPriority w:val="99"/>
    <w:rsid w:val="002D7F58"/>
    <w:pPr>
      <w:spacing w:before="75" w:after="75"/>
      <w:jc w:val="center"/>
    </w:pPr>
  </w:style>
  <w:style w:type="paragraph" w:styleId="Pamatteksts">
    <w:name w:val="Body Text"/>
    <w:basedOn w:val="Parastais"/>
    <w:link w:val="PamattekstsRakstz"/>
    <w:rsid w:val="002D7F58"/>
    <w:pPr>
      <w:jc w:val="center"/>
    </w:pPr>
    <w:rPr>
      <w:rFonts w:eastAsia="Times New Roman"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2D7F58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ais"/>
    <w:link w:val="GalveneRakstz"/>
    <w:rsid w:val="002D7F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GalveneRakstz">
    <w:name w:val="Galvene Rakstz."/>
    <w:basedOn w:val="Noklusjumarindkopasfonts"/>
    <w:link w:val="Galvene"/>
    <w:rsid w:val="002D7F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D7F58"/>
    <w:rPr>
      <w:color w:val="0000FF" w:themeColor="hyperlink"/>
      <w:u w:val="single"/>
    </w:rPr>
  </w:style>
  <w:style w:type="paragraph" w:styleId="Kjene">
    <w:name w:val="footer"/>
    <w:basedOn w:val="Parastais"/>
    <w:link w:val="KjeneRakstz"/>
    <w:uiPriority w:val="99"/>
    <w:semiHidden/>
    <w:unhideWhenUsed/>
    <w:rsid w:val="002D7F5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D7F58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.fogelsone@k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KMAnot_251110</dc:title>
  <dc:subject>Ministru kabineta rīkojuma „Par M.Sprūdžu” projekta anotācija</dc:subject>
  <dc:creator>Zane Fogelsone-Klodāne</dc:creator>
  <dc:description>67330217 
zane.fogelsone@km.gov.lv </dc:description>
  <cp:lastModifiedBy>Dzintra Rozīte</cp:lastModifiedBy>
  <cp:revision>4</cp:revision>
  <cp:lastPrinted>2010-11-26T09:27:00Z</cp:lastPrinted>
  <dcterms:created xsi:type="dcterms:W3CDTF">2010-11-25T16:22:00Z</dcterms:created>
  <dcterms:modified xsi:type="dcterms:W3CDTF">2010-12-01T14:03:00Z</dcterms:modified>
</cp:coreProperties>
</file>