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7" w:rsidRPr="00F92877" w:rsidRDefault="007373D4" w:rsidP="00F92877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r w:rsidRPr="00F92877">
        <w:rPr>
          <w:rFonts w:ascii="Times New Roman" w:hAnsi="Times New Roman"/>
          <w:b/>
          <w:sz w:val="28"/>
          <w:szCs w:val="28"/>
        </w:rPr>
        <w:t xml:space="preserve">Ministru kabineta </w:t>
      </w:r>
      <w:r w:rsidR="007B669B" w:rsidRPr="00F92877">
        <w:rPr>
          <w:rFonts w:ascii="Times New Roman" w:hAnsi="Times New Roman"/>
          <w:b/>
          <w:sz w:val="28"/>
          <w:szCs w:val="28"/>
        </w:rPr>
        <w:t xml:space="preserve">rīkojuma </w:t>
      </w:r>
      <w:r w:rsidRPr="00F92877">
        <w:rPr>
          <w:rFonts w:ascii="Times New Roman" w:hAnsi="Times New Roman"/>
          <w:b/>
          <w:sz w:val="28"/>
          <w:szCs w:val="28"/>
        </w:rPr>
        <w:t>projekta</w:t>
      </w:r>
      <w:r w:rsidR="00742B39" w:rsidRPr="00F92877">
        <w:rPr>
          <w:rFonts w:ascii="Times New Roman" w:hAnsi="Times New Roman"/>
          <w:b/>
          <w:sz w:val="28"/>
          <w:szCs w:val="28"/>
        </w:rPr>
        <w:t xml:space="preserve"> </w:t>
      </w:r>
    </w:p>
    <w:p w:rsidR="007373D4" w:rsidRPr="00F92877" w:rsidRDefault="00FB758A" w:rsidP="00F92877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F92877">
        <w:rPr>
          <w:rFonts w:ascii="Times New Roman" w:hAnsi="Times New Roman"/>
          <w:b/>
          <w:sz w:val="28"/>
          <w:szCs w:val="28"/>
        </w:rPr>
        <w:t xml:space="preserve">„Grozījums Ministru kabineta 2011.gada 20.oktobra rīkojumā Nr.542 </w:t>
      </w:r>
      <w:r w:rsidR="003E6D79" w:rsidRPr="00F92877">
        <w:rPr>
          <w:rFonts w:ascii="Times New Roman" w:hAnsi="Times New Roman"/>
          <w:b/>
          <w:sz w:val="28"/>
          <w:szCs w:val="28"/>
        </w:rPr>
        <w:t>„</w:t>
      </w:r>
      <w:r w:rsidRPr="00F92877">
        <w:rPr>
          <w:rFonts w:ascii="Times New Roman" w:hAnsi="Times New Roman"/>
          <w:b/>
          <w:sz w:val="28"/>
          <w:szCs w:val="28"/>
        </w:rPr>
        <w:t xml:space="preserve">Par Nacionālās identitātes, pilsoniskās sabiedrības un integrācijas politikas </w:t>
      </w:r>
      <w:r w:rsidR="001439E6">
        <w:rPr>
          <w:rFonts w:ascii="Times New Roman" w:hAnsi="Times New Roman"/>
          <w:b/>
          <w:sz w:val="28"/>
          <w:szCs w:val="28"/>
        </w:rPr>
        <w:t>pamatnostādnēm 2012.</w:t>
      </w:r>
      <w:r w:rsidR="00F92877" w:rsidRPr="00F92877">
        <w:rPr>
          <w:rFonts w:ascii="Times New Roman" w:hAnsi="Times New Roman"/>
          <w:b/>
          <w:sz w:val="28"/>
          <w:szCs w:val="28"/>
        </w:rPr>
        <w:t>–</w:t>
      </w:r>
      <w:r w:rsidRPr="00F92877">
        <w:rPr>
          <w:rFonts w:ascii="Times New Roman" w:hAnsi="Times New Roman"/>
          <w:b/>
          <w:sz w:val="28"/>
          <w:szCs w:val="28"/>
        </w:rPr>
        <w:t>2018.gadam</w:t>
      </w:r>
      <w:r w:rsidR="003E6D79" w:rsidRPr="00F92877">
        <w:rPr>
          <w:rFonts w:ascii="Times New Roman" w:hAnsi="Times New Roman"/>
          <w:b/>
          <w:sz w:val="28"/>
          <w:szCs w:val="28"/>
        </w:rPr>
        <w:t>”</w:t>
      </w:r>
      <w:r w:rsidRPr="00F92877">
        <w:rPr>
          <w:rFonts w:ascii="Times New Roman" w:hAnsi="Times New Roman"/>
          <w:b/>
          <w:sz w:val="28"/>
          <w:szCs w:val="28"/>
        </w:rPr>
        <w:t>”</w:t>
      </w:r>
      <w:r w:rsidR="00F92877" w:rsidRPr="00F92877">
        <w:rPr>
          <w:rFonts w:ascii="Times New Roman" w:hAnsi="Times New Roman"/>
          <w:b/>
          <w:sz w:val="28"/>
          <w:szCs w:val="28"/>
        </w:rPr>
        <w:t xml:space="preserve"> </w:t>
      </w:r>
      <w:r w:rsidR="007373D4" w:rsidRPr="00F92877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bookmarkEnd w:id="0"/>
    <w:bookmarkEnd w:id="1"/>
    <w:p w:rsidR="00FE24E0" w:rsidRPr="00F92877" w:rsidRDefault="00FE24E0" w:rsidP="007373D4">
      <w:pPr>
        <w:jc w:val="center"/>
        <w:rPr>
          <w:sz w:val="28"/>
          <w:szCs w:val="28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4"/>
        <w:gridCol w:w="2368"/>
        <w:gridCol w:w="6424"/>
      </w:tblGrid>
      <w:tr w:rsidR="007373D4" w:rsidRPr="00F92877" w:rsidTr="00F9287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D4" w:rsidRPr="00F92877" w:rsidRDefault="007373D4" w:rsidP="00F714A9">
            <w:pPr>
              <w:spacing w:before="60" w:after="60"/>
              <w:jc w:val="center"/>
              <w:rPr>
                <w:sz w:val="28"/>
                <w:szCs w:val="28"/>
                <w:lang w:eastAsia="en-US"/>
              </w:rPr>
            </w:pPr>
            <w:r w:rsidRPr="00F92877">
              <w:rPr>
                <w:b/>
                <w:bCs/>
                <w:sz w:val="28"/>
                <w:szCs w:val="28"/>
                <w:lang w:eastAsia="en-US"/>
              </w:rPr>
              <w:t>I.</w:t>
            </w:r>
            <w:r w:rsidR="007A193F" w:rsidRPr="00F92877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F92877">
              <w:rPr>
                <w:b/>
                <w:bCs/>
                <w:sz w:val="28"/>
                <w:szCs w:val="28"/>
                <w:lang w:eastAsia="en-US"/>
              </w:rPr>
              <w:t>Tiesību akta projekta izstrādes nepieciešamība</w:t>
            </w:r>
          </w:p>
        </w:tc>
      </w:tr>
      <w:tr w:rsidR="007373D4" w:rsidRPr="00F92877" w:rsidTr="00F92877">
        <w:trPr>
          <w:trHeight w:val="630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Pamatojums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641" w:rsidRPr="00F92877" w:rsidRDefault="00B1796D" w:rsidP="001439E6">
            <w:pPr>
              <w:pStyle w:val="ParastaisWeb"/>
              <w:spacing w:before="60" w:beforeAutospacing="0" w:after="6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877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7B669B" w:rsidRPr="00F92877">
              <w:rPr>
                <w:rFonts w:ascii="Times New Roman" w:hAnsi="Times New Roman"/>
                <w:sz w:val="28"/>
                <w:szCs w:val="28"/>
              </w:rPr>
              <w:t xml:space="preserve">rīkojuma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projekts 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>„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 xml:space="preserve">Grozījums Ministru kabineta 2011.gada 20.oktobra rīkojumā Nr.542 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>„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>Par Nacionālās identitātes, pilsoniskās sabiedrības un integrācijas</w:t>
            </w:r>
            <w:r w:rsidR="00F92877">
              <w:rPr>
                <w:rFonts w:ascii="Times New Roman" w:hAnsi="Times New Roman"/>
                <w:sz w:val="28"/>
                <w:szCs w:val="28"/>
              </w:rPr>
              <w:t xml:space="preserve"> politikas pamatnostādnēm 2012.–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>2018.gadam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>”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>”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877">
              <w:rPr>
                <w:rFonts w:ascii="Times New Roman" w:hAnsi="Times New Roman"/>
                <w:sz w:val="28"/>
                <w:szCs w:val="28"/>
              </w:rPr>
              <w:t xml:space="preserve">(turpmāk – Projekts)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izstrādāts, 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>lai precizē</w:t>
            </w:r>
            <w:r w:rsidR="00FE24E0" w:rsidRPr="00F92877">
              <w:rPr>
                <w:rFonts w:ascii="Times New Roman" w:hAnsi="Times New Roman"/>
                <w:sz w:val="28"/>
                <w:szCs w:val="28"/>
              </w:rPr>
              <w:t xml:space="preserve">tu 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 xml:space="preserve">Ministru kabineta 2011.gada 20.oktobra </w:t>
            </w:r>
            <w:r w:rsidR="00FE24E0" w:rsidRPr="00F92877">
              <w:rPr>
                <w:rFonts w:ascii="Times New Roman" w:hAnsi="Times New Roman"/>
                <w:sz w:val="28"/>
                <w:szCs w:val="28"/>
              </w:rPr>
              <w:t>rīkojuma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 xml:space="preserve"> Nr.542 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>„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>Par Nacionālās identitātes, pilsoniskās sabiedrības un integrācijas</w:t>
            </w:r>
            <w:r w:rsidR="001439E6">
              <w:rPr>
                <w:rFonts w:ascii="Times New Roman" w:hAnsi="Times New Roman"/>
                <w:sz w:val="28"/>
                <w:szCs w:val="28"/>
              </w:rPr>
              <w:t xml:space="preserve"> politikas pamatnostādnēm 2012.</w:t>
            </w:r>
            <w:r w:rsidR="00F92877">
              <w:rPr>
                <w:rFonts w:ascii="Times New Roman" w:hAnsi="Times New Roman"/>
                <w:sz w:val="28"/>
                <w:szCs w:val="28"/>
              </w:rPr>
              <w:t>–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>2018.gadam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>”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>”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 xml:space="preserve"> (turpmāk – MK rīkojums)</w:t>
            </w:r>
            <w:r w:rsidR="00FB758A" w:rsidRPr="00F92877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F92877">
              <w:rPr>
                <w:rFonts w:ascii="Times New Roman" w:hAnsi="Times New Roman"/>
                <w:sz w:val="28"/>
                <w:szCs w:val="28"/>
              </w:rPr>
              <w:t>.punktu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3D4" w:rsidRPr="00F92877" w:rsidTr="00F92877">
        <w:trPr>
          <w:trHeight w:val="277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1439E6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Pašreizējā situācija un problēmas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77" w:rsidRDefault="00F92877" w:rsidP="00F92877">
            <w:pPr>
              <w:pStyle w:val="ParastaisWeb"/>
              <w:spacing w:before="60" w:beforeAutospacing="0" w:after="6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Saskaņā ar 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>MK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rīkojuma 7.punktā </w:t>
            </w:r>
            <w:r w:rsidR="008E5D4B">
              <w:rPr>
                <w:rFonts w:ascii="Times New Roman" w:hAnsi="Times New Roman"/>
                <w:sz w:val="28"/>
                <w:szCs w:val="28"/>
              </w:rPr>
              <w:t>doto uzdevumu</w:t>
            </w:r>
            <w:r w:rsidR="007A193F" w:rsidRPr="00F92877">
              <w:rPr>
                <w:rFonts w:ascii="Times New Roman" w:hAnsi="Times New Roman"/>
                <w:sz w:val="28"/>
                <w:szCs w:val="28"/>
              </w:rPr>
              <w:t xml:space="preserve"> Kultūras ministrijai jāprecizē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Nacionālās identitātes, pilsoniskās sabiedrības un integrācijas politikas pamatnostādnēs 2012.–2018.gadam (turpmāk – pamatnostādne</w:t>
            </w:r>
            <w:r w:rsidR="007A193F" w:rsidRPr="00F92877">
              <w:rPr>
                <w:rFonts w:ascii="Times New Roman" w:hAnsi="Times New Roman"/>
                <w:sz w:val="28"/>
                <w:szCs w:val="28"/>
              </w:rPr>
              <w:t>s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) ietvertais rīcības plāns 2012.–</w:t>
            </w:r>
            <w:r w:rsidR="007A193F" w:rsidRPr="00F92877">
              <w:rPr>
                <w:rFonts w:ascii="Times New Roman" w:hAnsi="Times New Roman"/>
                <w:sz w:val="28"/>
                <w:szCs w:val="28"/>
              </w:rPr>
              <w:t>2013.gadam atbilstoši Eiro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pas Ekonomikas zonas (turpmāk – </w:t>
            </w:r>
            <w:r w:rsidR="007A193F" w:rsidRPr="00F92877">
              <w:rPr>
                <w:rFonts w:ascii="Times New Roman" w:hAnsi="Times New Roman"/>
                <w:sz w:val="28"/>
                <w:szCs w:val="28"/>
              </w:rPr>
              <w:t>EEZ) finanšu instrumenta komitejas apstiprinātaja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i EEZ finanšu instrumenta 2009. – </w:t>
            </w:r>
            <w:r w:rsidR="007A193F" w:rsidRPr="00F92877">
              <w:rPr>
                <w:rFonts w:ascii="Times New Roman" w:hAnsi="Times New Roman"/>
                <w:sz w:val="28"/>
                <w:szCs w:val="28"/>
              </w:rPr>
              <w:t>2014.gada perioda programmai „NVO fonds”</w:t>
            </w:r>
            <w:r w:rsidR="00EE40A2" w:rsidRPr="00F92877">
              <w:rPr>
                <w:rFonts w:ascii="Times New Roman" w:hAnsi="Times New Roman"/>
                <w:sz w:val="28"/>
                <w:szCs w:val="28"/>
              </w:rPr>
              <w:t xml:space="preserve"> (turpmāk – programma)</w:t>
            </w:r>
            <w:r w:rsidR="007A193F" w:rsidRPr="00F92877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kultūras ministram līdz 2012.gada 1.martam precizētais rīcības plāns jāiesniedz noteiktā kārtībā Ministru kabinetā</w:t>
            </w:r>
            <w:r>
              <w:rPr>
                <w:rFonts w:ascii="Times New Roman" w:hAnsi="Times New Roman"/>
                <w:sz w:val="28"/>
                <w:szCs w:val="28"/>
              </w:rPr>
              <w:t>, tomēr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C17" w:rsidRPr="00F92877">
              <w:rPr>
                <w:rFonts w:ascii="Times New Roman" w:hAnsi="Times New Roman"/>
                <w:sz w:val="28"/>
                <w:szCs w:val="28"/>
              </w:rPr>
              <w:t>minētā uzdevuma izpilde šobrīd nav iespējama</w:t>
            </w:r>
            <w:r w:rsidR="0006056E" w:rsidRPr="00F928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2877" w:rsidRDefault="007A193F" w:rsidP="00F92877">
            <w:pPr>
              <w:pStyle w:val="ParastaisWeb"/>
              <w:spacing w:before="60" w:beforeAutospacing="0" w:after="6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877">
              <w:rPr>
                <w:rFonts w:ascii="Times New Roman" w:hAnsi="Times New Roman"/>
                <w:sz w:val="28"/>
                <w:szCs w:val="28"/>
              </w:rPr>
              <w:t xml:space="preserve">Ministru kabinets </w:t>
            </w:r>
            <w:r w:rsidR="00F92877" w:rsidRPr="00F92877">
              <w:rPr>
                <w:rFonts w:ascii="Times New Roman" w:hAnsi="Times New Roman"/>
                <w:sz w:val="28"/>
                <w:szCs w:val="28"/>
              </w:rPr>
              <w:t xml:space="preserve">2012.gada 31.janvārī </w:t>
            </w:r>
            <w:r w:rsidR="00F92877">
              <w:rPr>
                <w:rFonts w:ascii="Times New Roman" w:hAnsi="Times New Roman"/>
                <w:sz w:val="28"/>
                <w:szCs w:val="28"/>
              </w:rPr>
              <w:t>pieņēma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 rīkojumu Nr.52 „Par EEZ finanšu instrumenta līdzfinansētās programmas LV03 „NVO fonds”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"/>
              </w:smartTagPr>
              <w:r w:rsidRPr="00F92877">
                <w:rPr>
                  <w:rFonts w:ascii="Times New Roman" w:hAnsi="Times New Roman"/>
                  <w:sz w:val="28"/>
                  <w:szCs w:val="28"/>
                </w:rPr>
                <w:t>iesnieguma</w:t>
              </w:r>
            </w:smartTag>
            <w:r w:rsidRPr="00F92877">
              <w:rPr>
                <w:rFonts w:ascii="Times New Roman" w:hAnsi="Times New Roman"/>
                <w:sz w:val="28"/>
                <w:szCs w:val="28"/>
              </w:rPr>
              <w:t xml:space="preserve"> projektu”. Saskaņā ar </w:t>
            </w:r>
            <w:r w:rsidR="00CB7695" w:rsidRPr="00F92877">
              <w:rPr>
                <w:rFonts w:ascii="Times New Roman" w:hAnsi="Times New Roman"/>
                <w:sz w:val="28"/>
                <w:szCs w:val="28"/>
              </w:rPr>
              <w:t xml:space="preserve">šo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rīkojumu</w:t>
            </w:r>
            <w:r w:rsidR="00CB7695" w:rsidRPr="00F928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Finanšu ministrijai līdz 2012.gada 9.februārim bija jānodrošina programmas </w:t>
            </w:r>
            <w:r w:rsidR="00D90C17" w:rsidRPr="00F92877">
              <w:rPr>
                <w:rFonts w:ascii="Times New Roman" w:hAnsi="Times New Roman"/>
                <w:sz w:val="28"/>
                <w:szCs w:val="28"/>
              </w:rPr>
              <w:t xml:space="preserve">iesnieguma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iesnieg</w:t>
            </w:r>
            <w:r w:rsidR="00FE24E0" w:rsidRPr="00F92877">
              <w:rPr>
                <w:rFonts w:ascii="Times New Roman" w:hAnsi="Times New Roman"/>
                <w:sz w:val="28"/>
                <w:szCs w:val="28"/>
              </w:rPr>
              <w:t>šana Finanšu instrumentu birojā</w:t>
            </w:r>
            <w:r w:rsidR="00D90C17" w:rsidRPr="00F92877">
              <w:rPr>
                <w:rFonts w:ascii="Times New Roman" w:hAnsi="Times New Roman"/>
                <w:sz w:val="28"/>
                <w:szCs w:val="28"/>
              </w:rPr>
              <w:t>, kas savukārt nodrošinātu programmas iesnieguma izvērtēšanu un lēmuma pieņemšanu no donorvalstu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 xml:space="preserve"> puses</w:t>
            </w:r>
            <w:r w:rsidR="00D90C17" w:rsidRPr="00F92877">
              <w:rPr>
                <w:rFonts w:ascii="Times New Roman" w:hAnsi="Times New Roman"/>
                <w:sz w:val="28"/>
                <w:szCs w:val="28"/>
              </w:rPr>
              <w:t xml:space="preserve">. Minētais </w:t>
            </w:r>
            <w:r w:rsidR="00CB7695" w:rsidRPr="00F92877">
              <w:rPr>
                <w:rFonts w:ascii="Times New Roman" w:hAnsi="Times New Roman"/>
                <w:sz w:val="28"/>
                <w:szCs w:val="28"/>
              </w:rPr>
              <w:t xml:space="preserve">uzdevums </w:t>
            </w:r>
            <w:r w:rsidR="00FE24E0" w:rsidRPr="00F92877">
              <w:rPr>
                <w:rFonts w:ascii="Times New Roman" w:hAnsi="Times New Roman"/>
                <w:sz w:val="28"/>
                <w:szCs w:val="28"/>
              </w:rPr>
              <w:t>ir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 izpildīt</w:t>
            </w:r>
            <w:r w:rsidR="00CB7695" w:rsidRPr="00F92877">
              <w:rPr>
                <w:rFonts w:ascii="Times New Roman" w:hAnsi="Times New Roman"/>
                <w:sz w:val="28"/>
                <w:szCs w:val="28"/>
              </w:rPr>
              <w:t>s laikā</w:t>
            </w:r>
            <w:r w:rsidR="004016F2" w:rsidRPr="00F92877">
              <w:rPr>
                <w:rFonts w:ascii="Times New Roman" w:hAnsi="Times New Roman"/>
                <w:sz w:val="28"/>
                <w:szCs w:val="28"/>
              </w:rPr>
              <w:t xml:space="preserve"> (programma iesniegta Finanšu instrumentu birojā 2012.gada 31.</w:t>
            </w:r>
            <w:r w:rsidR="00DC56E5" w:rsidRPr="00F92877">
              <w:rPr>
                <w:rFonts w:ascii="Times New Roman" w:hAnsi="Times New Roman"/>
                <w:sz w:val="28"/>
                <w:szCs w:val="28"/>
              </w:rPr>
              <w:t>j</w:t>
            </w:r>
            <w:r w:rsidR="004016F2" w:rsidRPr="00F92877">
              <w:rPr>
                <w:rFonts w:ascii="Times New Roman" w:hAnsi="Times New Roman"/>
                <w:sz w:val="28"/>
                <w:szCs w:val="28"/>
              </w:rPr>
              <w:t>anvārī)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0C17" w:rsidRPr="00F92877">
              <w:rPr>
                <w:rFonts w:ascii="Times New Roman" w:hAnsi="Times New Roman"/>
                <w:sz w:val="28"/>
                <w:szCs w:val="28"/>
              </w:rPr>
              <w:t>Atbilstoši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9E6" w:rsidRPr="00855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2011.gada 13.janvārī </w:t>
            </w:r>
            <w:r w:rsidR="001439E6">
              <w:rPr>
                <w:rFonts w:ascii="Times New Roman" w:hAnsi="Times New Roman"/>
                <w:sz w:val="28"/>
                <w:szCs w:val="28"/>
              </w:rPr>
              <w:t>apstiprinātās</w:t>
            </w:r>
            <w:r w:rsidR="001439E6" w:rsidRPr="00855D3F">
              <w:rPr>
                <w:rFonts w:ascii="Times New Roman" w:hAnsi="Times New Roman"/>
                <w:sz w:val="28"/>
                <w:szCs w:val="28"/>
              </w:rPr>
              <w:t xml:space="preserve"> EEZ Finanšu instrumenta komitejas Regula</w:t>
            </w:r>
            <w:r w:rsidR="001439E6">
              <w:rPr>
                <w:rFonts w:ascii="Times New Roman" w:hAnsi="Times New Roman"/>
                <w:sz w:val="28"/>
                <w:szCs w:val="28"/>
              </w:rPr>
              <w:t>s</w:t>
            </w:r>
            <w:r w:rsidR="001439E6" w:rsidRPr="00855D3F">
              <w:rPr>
                <w:rFonts w:ascii="Times New Roman" w:hAnsi="Times New Roman"/>
                <w:sz w:val="28"/>
                <w:szCs w:val="28"/>
              </w:rPr>
              <w:t xml:space="preserve"> par EEZ Finanšu instrumenta ieviešanu 2009.–2014.gadā 5.3.pantu, 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>programmas iesnieguma izvērtēšana un gala lēmuma pieņemšan</w:t>
            </w:r>
            <w:r w:rsidR="00171891" w:rsidRPr="00F92877">
              <w:rPr>
                <w:rFonts w:ascii="Times New Roman" w:hAnsi="Times New Roman"/>
                <w:sz w:val="28"/>
                <w:szCs w:val="28"/>
              </w:rPr>
              <w:t>a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 xml:space="preserve"> EEZ finanšu instrumenta komitejai jānodrošina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 četru mēnešu laikā 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>pēc programmas iesnieguma un visu nepieciešamo dokumentu saņemšanas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. T</w:t>
            </w:r>
            <w:r w:rsidR="00F92877">
              <w:rPr>
                <w:rFonts w:ascii="Times New Roman" w:hAnsi="Times New Roman"/>
                <w:sz w:val="28"/>
                <w:szCs w:val="28"/>
              </w:rPr>
              <w:t>urpmākā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 procedūra paredz 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 xml:space="preserve">programmas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līguma noslēgšanu starp Finanšu ministriju un 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>EEZ finanšu instrumenta komitej</w:t>
            </w:r>
            <w:r w:rsidR="00171891" w:rsidRPr="00F92877">
              <w:rPr>
                <w:rFonts w:ascii="Times New Roman" w:hAnsi="Times New Roman"/>
                <w:sz w:val="28"/>
                <w:szCs w:val="28"/>
              </w:rPr>
              <w:t>u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71891" w:rsidRPr="00F92877">
              <w:rPr>
                <w:rFonts w:ascii="Times New Roman" w:hAnsi="Times New Roman"/>
                <w:sz w:val="28"/>
                <w:szCs w:val="28"/>
              </w:rPr>
              <w:t xml:space="preserve">pēc </w:t>
            </w:r>
            <w:r w:rsidR="00AB5607" w:rsidRPr="00F92877">
              <w:rPr>
                <w:rFonts w:ascii="Times New Roman" w:hAnsi="Times New Roman"/>
                <w:sz w:val="28"/>
                <w:szCs w:val="28"/>
              </w:rPr>
              <w:t>kā var tikt uzsākta programmas īstenošana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.</w:t>
            </w:r>
            <w:r w:rsidR="00F92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877" w:rsidRDefault="00D354AF" w:rsidP="00F92877">
            <w:pPr>
              <w:pStyle w:val="ParastaisWeb"/>
              <w:spacing w:before="60" w:beforeAutospacing="0" w:after="6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877">
              <w:rPr>
                <w:rFonts w:ascii="Times New Roman" w:hAnsi="Times New Roman"/>
                <w:sz w:val="28"/>
                <w:szCs w:val="28"/>
              </w:rPr>
              <w:t xml:space="preserve">Ņemot vērā, ka Finanšu instrumentu biroja un EEZ finanšu instrumenta komitejas izvērtēšanas rezultātā programmas iesniegumā iespējamas izmaiņas, 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 xml:space="preserve">MK rīkojumā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Kultūras ministrijai dotā uzdevuma izpild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ir iespējama tikai pēc programmas apstiprināšanas no EEZ finan</w:t>
            </w:r>
            <w:r w:rsidR="00BB7432" w:rsidRPr="00F92877">
              <w:rPr>
                <w:rFonts w:ascii="Times New Roman" w:hAnsi="Times New Roman"/>
                <w:sz w:val="28"/>
                <w:szCs w:val="28"/>
              </w:rPr>
              <w:t>šu instrumenta komitejas puses.</w:t>
            </w:r>
          </w:p>
          <w:p w:rsidR="003F61B0" w:rsidRPr="00F92877" w:rsidRDefault="00D354AF" w:rsidP="001439E6">
            <w:pPr>
              <w:pStyle w:val="ParastaisWeb"/>
              <w:spacing w:before="60" w:beforeAutospacing="0" w:after="6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877">
              <w:rPr>
                <w:rFonts w:ascii="Times New Roman" w:hAnsi="Times New Roman"/>
                <w:sz w:val="28"/>
                <w:szCs w:val="28"/>
              </w:rPr>
              <w:t xml:space="preserve">Tādējādi, lai būtu iespējama MK rīkojuma 7.punktā noteiktā uzdevuma izpilde, nepieciešams precizēt uzdevuma izpildes termiņu, nosakot, ka </w:t>
            </w:r>
            <w:r w:rsidR="00BB446A" w:rsidRPr="00F92877">
              <w:rPr>
                <w:rFonts w:ascii="Times New Roman" w:hAnsi="Times New Roman"/>
                <w:spacing w:val="-2"/>
                <w:sz w:val="28"/>
                <w:szCs w:val="28"/>
              </w:rPr>
              <w:t>pamatnostādnē</w:t>
            </w:r>
            <w:r w:rsidRPr="00F9287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s </w:t>
            </w:r>
            <w:r w:rsidR="000658DD" w:rsidRPr="00F9287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ietvertā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 xml:space="preserve">rīcības plāna precizēšana </w:t>
            </w:r>
            <w:r w:rsidR="008E5D4B">
              <w:rPr>
                <w:rFonts w:ascii="Times New Roman" w:hAnsi="Times New Roman"/>
                <w:sz w:val="28"/>
                <w:szCs w:val="28"/>
              </w:rPr>
              <w:t xml:space="preserve">un iesniegšana Ministru kabinetā 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jānodrošina līdz 2012.gada 3</w:t>
            </w:r>
            <w:r w:rsidR="001439E6">
              <w:rPr>
                <w:rFonts w:ascii="Times New Roman" w:hAnsi="Times New Roman"/>
                <w:sz w:val="28"/>
                <w:szCs w:val="28"/>
              </w:rPr>
              <w:t>0</w:t>
            </w:r>
            <w:r w:rsidRPr="00F92877">
              <w:rPr>
                <w:rFonts w:ascii="Times New Roman" w:hAnsi="Times New Roman"/>
                <w:sz w:val="28"/>
                <w:szCs w:val="28"/>
              </w:rPr>
              <w:t>.</w:t>
            </w:r>
            <w:r w:rsidR="001439E6">
              <w:rPr>
                <w:rFonts w:ascii="Times New Roman" w:hAnsi="Times New Roman"/>
                <w:sz w:val="28"/>
                <w:szCs w:val="28"/>
              </w:rPr>
              <w:t>septembrim</w:t>
            </w:r>
            <w:r w:rsidR="00BB446A" w:rsidRPr="00F928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73D4" w:rsidRPr="00F92877" w:rsidTr="00F92877">
        <w:trPr>
          <w:trHeight w:val="813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lastRenderedPageBreak/>
              <w:t> 3.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Saistītie politikas ietekmes novērtējumi un pētījumi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55127C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Nav attiecināms.</w:t>
            </w:r>
          </w:p>
        </w:tc>
      </w:tr>
      <w:tr w:rsidR="007373D4" w:rsidRPr="00F92877" w:rsidTr="00F92877">
        <w:trPr>
          <w:trHeight w:val="121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 4.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Tiesiskā regulējuma mērķis un būtība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93F" w:rsidRPr="00F92877" w:rsidRDefault="007A193F" w:rsidP="001070A4">
            <w:pPr>
              <w:pStyle w:val="naisf"/>
              <w:spacing w:before="60" w:after="60"/>
              <w:ind w:firstLine="0"/>
              <w:rPr>
                <w:sz w:val="28"/>
                <w:szCs w:val="28"/>
                <w:highlight w:val="yellow"/>
              </w:rPr>
            </w:pPr>
            <w:r w:rsidRPr="00F92877">
              <w:rPr>
                <w:sz w:val="28"/>
                <w:szCs w:val="28"/>
              </w:rPr>
              <w:t xml:space="preserve">Projekts paredz izdarīt grozījumu Ministru kabineta 2011.gada 20.oktobra rīkojumā Nr.542 </w:t>
            </w:r>
            <w:r w:rsidR="003E6D79" w:rsidRPr="00F92877">
              <w:rPr>
                <w:sz w:val="28"/>
                <w:szCs w:val="28"/>
              </w:rPr>
              <w:t>„</w:t>
            </w:r>
            <w:r w:rsidRPr="00F92877">
              <w:rPr>
                <w:sz w:val="28"/>
                <w:szCs w:val="28"/>
              </w:rPr>
              <w:t>Par Nacionālās identitātes, pilsoniskās sabiedrības un integrācijas politikas pamatnostādnēm 2012.-2018.gadam</w:t>
            </w:r>
            <w:r w:rsidR="003E6D79" w:rsidRPr="00F92877">
              <w:rPr>
                <w:sz w:val="28"/>
                <w:szCs w:val="28"/>
              </w:rPr>
              <w:t>”</w:t>
            </w:r>
            <w:r w:rsidRPr="00F92877">
              <w:rPr>
                <w:sz w:val="28"/>
                <w:szCs w:val="28"/>
              </w:rPr>
              <w:t>”</w:t>
            </w:r>
            <w:r w:rsidR="008C353B" w:rsidRPr="00F92877">
              <w:rPr>
                <w:sz w:val="28"/>
                <w:szCs w:val="28"/>
              </w:rPr>
              <w:t xml:space="preserve">, paredzot, ka </w:t>
            </w:r>
            <w:r w:rsidRPr="00F92877">
              <w:rPr>
                <w:spacing w:val="-2"/>
                <w:sz w:val="28"/>
                <w:szCs w:val="28"/>
              </w:rPr>
              <w:t>Kultūras ministrija pamatnostādnēs ietverto rīcības plānu 2012.–2013.gadam precizē un iesniedz Min</w:t>
            </w:r>
            <w:r w:rsidR="001070A4">
              <w:rPr>
                <w:spacing w:val="-2"/>
                <w:sz w:val="28"/>
                <w:szCs w:val="28"/>
              </w:rPr>
              <w:t>istru kabinetā līdz 2012.gada 30</w:t>
            </w:r>
            <w:r w:rsidRPr="00F92877">
              <w:rPr>
                <w:spacing w:val="-2"/>
                <w:sz w:val="28"/>
                <w:szCs w:val="28"/>
              </w:rPr>
              <w:t>.</w:t>
            </w:r>
            <w:r w:rsidR="001070A4">
              <w:rPr>
                <w:spacing w:val="-2"/>
                <w:sz w:val="28"/>
                <w:szCs w:val="28"/>
              </w:rPr>
              <w:t>septembrim</w:t>
            </w:r>
            <w:r w:rsidRPr="00F92877">
              <w:rPr>
                <w:sz w:val="28"/>
                <w:szCs w:val="28"/>
              </w:rPr>
              <w:t>.</w:t>
            </w:r>
          </w:p>
        </w:tc>
      </w:tr>
      <w:tr w:rsidR="007373D4" w:rsidRPr="00F92877" w:rsidTr="00F92877">
        <w:trPr>
          <w:trHeight w:val="476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 5.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55127C">
            <w:pPr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Nav attiecināms.</w:t>
            </w:r>
          </w:p>
        </w:tc>
      </w:tr>
      <w:tr w:rsidR="007373D4" w:rsidRPr="00F92877" w:rsidTr="00F92877">
        <w:trPr>
          <w:trHeight w:val="794"/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lastRenderedPageBreak/>
              <w:t> 6.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Iemesli, kādēļ netika nodrošināta sabiedrības līdzdalīb</w:t>
            </w:r>
            <w:r w:rsidR="00CB7695" w:rsidRPr="00F92877">
              <w:rPr>
                <w:sz w:val="28"/>
                <w:szCs w:val="28"/>
                <w:lang w:eastAsia="en-US"/>
              </w:rPr>
              <w:t>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B1796D" w:rsidP="0055127C">
            <w:pPr>
              <w:spacing w:before="60" w:after="60"/>
              <w:jc w:val="both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</w:rPr>
              <w:t>Sabiedrības līdzdalība netika nodrošināta, ņemot vērā grozījuma tehnisko raksturu.</w:t>
            </w:r>
          </w:p>
        </w:tc>
      </w:tr>
      <w:tr w:rsidR="007373D4" w:rsidRPr="00F92877" w:rsidTr="00F92877">
        <w:trPr>
          <w:tblCellSpacing w:w="0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 7.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F92877" w:rsidRDefault="007373D4" w:rsidP="00F714A9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 Cita informācija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55127C">
            <w:pPr>
              <w:spacing w:before="60" w:after="60"/>
              <w:rPr>
                <w:sz w:val="28"/>
                <w:szCs w:val="28"/>
                <w:lang w:eastAsia="en-US"/>
              </w:rPr>
            </w:pPr>
            <w:r w:rsidRPr="00F92877">
              <w:rPr>
                <w:sz w:val="28"/>
                <w:szCs w:val="28"/>
                <w:lang w:eastAsia="en-US"/>
              </w:rPr>
              <w:t>Nav</w:t>
            </w:r>
            <w:r w:rsidR="001070A4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373D4" w:rsidRDefault="007373D4" w:rsidP="00F714A9">
      <w:pPr>
        <w:spacing w:before="60" w:after="60"/>
        <w:ind w:firstLine="375"/>
        <w:jc w:val="both"/>
        <w:rPr>
          <w:sz w:val="28"/>
          <w:szCs w:val="28"/>
          <w:lang w:eastAsia="en-US"/>
        </w:rPr>
      </w:pPr>
    </w:p>
    <w:p w:rsidR="00F92877" w:rsidRPr="00F92877" w:rsidRDefault="00F92877" w:rsidP="00F92877">
      <w:pPr>
        <w:spacing w:before="60" w:after="60"/>
        <w:jc w:val="both"/>
        <w:rPr>
          <w:i/>
          <w:sz w:val="28"/>
          <w:szCs w:val="28"/>
          <w:lang w:eastAsia="en-US"/>
        </w:rPr>
      </w:pPr>
      <w:r w:rsidRPr="00F92877">
        <w:rPr>
          <w:i/>
          <w:sz w:val="28"/>
          <w:szCs w:val="28"/>
        </w:rPr>
        <w:t>Anotācijas II, III, IV, V un VI sadaļa –</w:t>
      </w:r>
      <w:r>
        <w:rPr>
          <w:i/>
          <w:sz w:val="28"/>
          <w:szCs w:val="28"/>
        </w:rPr>
        <w:t xml:space="preserve"> </w:t>
      </w:r>
      <w:r w:rsidRPr="00F92877">
        <w:rPr>
          <w:i/>
          <w:sz w:val="28"/>
          <w:szCs w:val="28"/>
        </w:rPr>
        <w:t>Projekts šīs jomas neskar.</w:t>
      </w:r>
    </w:p>
    <w:p w:rsidR="007373D4" w:rsidRPr="00F92877" w:rsidRDefault="007373D4" w:rsidP="00F714A9">
      <w:pPr>
        <w:spacing w:before="60" w:after="60"/>
        <w:rPr>
          <w:i/>
          <w:iCs/>
          <w:sz w:val="28"/>
          <w:szCs w:val="28"/>
          <w:lang w:eastAsia="en-U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4"/>
        <w:gridCol w:w="4042"/>
        <w:gridCol w:w="4750"/>
      </w:tblGrid>
      <w:tr w:rsidR="007373D4" w:rsidRPr="00F92877" w:rsidTr="00F9287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CB7695" w:rsidP="00F714A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92877">
              <w:rPr>
                <w:b/>
                <w:bCs/>
                <w:sz w:val="28"/>
                <w:szCs w:val="28"/>
              </w:rPr>
              <w:t>VII. </w:t>
            </w:r>
            <w:r w:rsidR="007373D4" w:rsidRPr="00F92877">
              <w:rPr>
                <w:b/>
                <w:bCs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7373D4" w:rsidRPr="00F92877" w:rsidTr="00F92877">
        <w:trPr>
          <w:trHeight w:val="42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 1.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Kultūras ministrija</w:t>
            </w:r>
            <w:r w:rsidR="003F478E" w:rsidRPr="00F92877">
              <w:rPr>
                <w:sz w:val="28"/>
                <w:szCs w:val="28"/>
              </w:rPr>
              <w:t>.</w:t>
            </w:r>
          </w:p>
        </w:tc>
      </w:tr>
      <w:tr w:rsidR="007373D4" w:rsidRPr="00F92877" w:rsidTr="00F92877">
        <w:trPr>
          <w:trHeight w:val="463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 2.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8E5D4B" w:rsidP="0055127C">
            <w:pPr>
              <w:spacing w:before="60" w:after="60"/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877" w:rsidTr="00F92877">
        <w:trPr>
          <w:trHeight w:val="27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 3.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 Projekta izpildes ietekme uz pārvaldes institucionālo struktūru.</w:t>
            </w:r>
            <w:r w:rsidR="00F714A9" w:rsidRPr="00F92877">
              <w:rPr>
                <w:sz w:val="28"/>
                <w:szCs w:val="28"/>
              </w:rPr>
              <w:br/>
            </w:r>
            <w:r w:rsidRPr="00F92877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8E5D4B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877" w:rsidTr="00F92877">
        <w:trPr>
          <w:trHeight w:val="780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 4.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Projekta izpildes ietekme uz pārvaldes institucionālo struktūru.</w:t>
            </w:r>
            <w:r w:rsidR="00F714A9" w:rsidRPr="00F92877">
              <w:rPr>
                <w:sz w:val="28"/>
                <w:szCs w:val="28"/>
              </w:rPr>
              <w:br/>
            </w:r>
            <w:r w:rsidRPr="00F92877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8E5D4B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877" w:rsidTr="00F92877">
        <w:trPr>
          <w:trHeight w:val="27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5.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3EE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Projekta izpildes ietekme uz pārvaldes institucionālo struktūru.</w:t>
            </w:r>
            <w:r w:rsidR="004E03EE" w:rsidRPr="00F92877">
              <w:rPr>
                <w:sz w:val="28"/>
                <w:szCs w:val="28"/>
              </w:rPr>
              <w:t xml:space="preserve"> </w:t>
            </w:r>
            <w:r w:rsidR="00F714A9" w:rsidRPr="00F92877">
              <w:rPr>
                <w:sz w:val="28"/>
                <w:szCs w:val="28"/>
              </w:rPr>
              <w:br/>
            </w:r>
            <w:r w:rsidRPr="00F92877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8E5D4B" w:rsidP="0055127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</w:tc>
      </w:tr>
      <w:tr w:rsidR="007373D4" w:rsidRPr="00F92877" w:rsidTr="00F92877">
        <w:trPr>
          <w:trHeight w:val="289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 6.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3EE" w:rsidRPr="00F92877" w:rsidRDefault="007373D4" w:rsidP="00F714A9">
            <w:pPr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 Cita informācija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F92877" w:rsidRDefault="007373D4" w:rsidP="0055127C">
            <w:pPr>
              <w:tabs>
                <w:tab w:val="left" w:pos="1320"/>
              </w:tabs>
              <w:spacing w:before="60" w:after="60"/>
              <w:rPr>
                <w:sz w:val="28"/>
                <w:szCs w:val="28"/>
              </w:rPr>
            </w:pPr>
            <w:r w:rsidRPr="00F92877">
              <w:rPr>
                <w:sz w:val="28"/>
                <w:szCs w:val="28"/>
              </w:rPr>
              <w:t>Nav.</w:t>
            </w:r>
          </w:p>
        </w:tc>
      </w:tr>
    </w:tbl>
    <w:p w:rsidR="007373D4" w:rsidRDefault="007373D4" w:rsidP="00FB758A">
      <w:pPr>
        <w:jc w:val="both"/>
        <w:rPr>
          <w:sz w:val="28"/>
          <w:szCs w:val="28"/>
        </w:rPr>
      </w:pPr>
    </w:p>
    <w:p w:rsidR="00F92877" w:rsidRDefault="00F92877" w:rsidP="00FB758A">
      <w:pPr>
        <w:jc w:val="both"/>
        <w:rPr>
          <w:sz w:val="28"/>
          <w:szCs w:val="28"/>
        </w:rPr>
      </w:pPr>
    </w:p>
    <w:p w:rsidR="007373D4" w:rsidRPr="00F92877" w:rsidRDefault="007373D4" w:rsidP="00F92877">
      <w:pPr>
        <w:pStyle w:val="Pamattekstsaratkpi"/>
        <w:tabs>
          <w:tab w:val="left" w:pos="142"/>
        </w:tabs>
        <w:spacing w:after="0"/>
        <w:ind w:left="0"/>
        <w:rPr>
          <w:sz w:val="28"/>
          <w:szCs w:val="28"/>
        </w:rPr>
      </w:pPr>
      <w:r w:rsidRPr="00F92877">
        <w:rPr>
          <w:sz w:val="28"/>
          <w:szCs w:val="28"/>
        </w:rPr>
        <w:t>Kultūras ministre</w:t>
      </w:r>
      <w:r w:rsidR="00F92877">
        <w:rPr>
          <w:sz w:val="28"/>
          <w:szCs w:val="28"/>
        </w:rPr>
        <w:tab/>
      </w:r>
      <w:r w:rsidR="00F92877">
        <w:rPr>
          <w:sz w:val="28"/>
          <w:szCs w:val="28"/>
        </w:rPr>
        <w:tab/>
      </w:r>
      <w:r w:rsidR="00F92877">
        <w:rPr>
          <w:sz w:val="28"/>
          <w:szCs w:val="28"/>
        </w:rPr>
        <w:tab/>
      </w:r>
      <w:r w:rsidR="00F92877">
        <w:rPr>
          <w:sz w:val="28"/>
          <w:szCs w:val="28"/>
        </w:rPr>
        <w:tab/>
      </w:r>
      <w:r w:rsidR="00F92877">
        <w:rPr>
          <w:sz w:val="28"/>
          <w:szCs w:val="28"/>
        </w:rPr>
        <w:tab/>
      </w:r>
      <w:r w:rsidR="00F92877">
        <w:rPr>
          <w:sz w:val="28"/>
          <w:szCs w:val="28"/>
        </w:rPr>
        <w:tab/>
      </w:r>
      <w:r w:rsidR="00F92877">
        <w:rPr>
          <w:sz w:val="28"/>
          <w:szCs w:val="28"/>
        </w:rPr>
        <w:tab/>
        <w:t>Ž.Jaunzeme–</w:t>
      </w:r>
      <w:r w:rsidR="00FB758A" w:rsidRPr="00F92877">
        <w:rPr>
          <w:sz w:val="28"/>
          <w:szCs w:val="28"/>
        </w:rPr>
        <w:t>Grende</w:t>
      </w:r>
    </w:p>
    <w:p w:rsidR="007373D4" w:rsidRPr="00F92877" w:rsidRDefault="007373D4" w:rsidP="00F92877">
      <w:pPr>
        <w:pStyle w:val="Pamattekstsaratkpi"/>
        <w:tabs>
          <w:tab w:val="left" w:pos="142"/>
          <w:tab w:val="left" w:pos="6840"/>
          <w:tab w:val="left" w:pos="7020"/>
        </w:tabs>
        <w:spacing w:after="0"/>
        <w:ind w:left="0"/>
        <w:rPr>
          <w:sz w:val="28"/>
          <w:szCs w:val="28"/>
        </w:rPr>
      </w:pPr>
    </w:p>
    <w:p w:rsidR="007373D4" w:rsidRPr="00F92877" w:rsidRDefault="007373D4" w:rsidP="00236D47">
      <w:pPr>
        <w:pStyle w:val="Pamattekstsaratkpi"/>
        <w:tabs>
          <w:tab w:val="left" w:pos="142"/>
        </w:tabs>
        <w:spacing w:after="0"/>
        <w:ind w:left="0"/>
        <w:rPr>
          <w:sz w:val="28"/>
          <w:szCs w:val="28"/>
        </w:rPr>
      </w:pPr>
      <w:r w:rsidRPr="00F92877">
        <w:rPr>
          <w:sz w:val="28"/>
          <w:szCs w:val="28"/>
        </w:rPr>
        <w:t>Vīza:</w:t>
      </w:r>
      <w:r w:rsidR="00F92877">
        <w:rPr>
          <w:sz w:val="28"/>
          <w:szCs w:val="28"/>
        </w:rPr>
        <w:t xml:space="preserve"> V</w:t>
      </w:r>
      <w:r w:rsidRPr="00F92877">
        <w:rPr>
          <w:sz w:val="28"/>
          <w:szCs w:val="28"/>
        </w:rPr>
        <w:t>alsts sekretār</w:t>
      </w:r>
      <w:r w:rsidR="001070A4">
        <w:rPr>
          <w:sz w:val="28"/>
          <w:szCs w:val="28"/>
        </w:rPr>
        <w:t>a p.</w:t>
      </w:r>
      <w:r w:rsidR="00236D47">
        <w:rPr>
          <w:sz w:val="28"/>
          <w:szCs w:val="28"/>
        </w:rPr>
        <w:t>i.</w:t>
      </w:r>
      <w:r w:rsidR="00236D47">
        <w:rPr>
          <w:sz w:val="28"/>
          <w:szCs w:val="28"/>
        </w:rPr>
        <w:tab/>
      </w:r>
      <w:r w:rsidR="00236D47">
        <w:rPr>
          <w:sz w:val="28"/>
          <w:szCs w:val="28"/>
        </w:rPr>
        <w:tab/>
      </w:r>
      <w:r w:rsidR="00236D47">
        <w:rPr>
          <w:sz w:val="28"/>
          <w:szCs w:val="28"/>
        </w:rPr>
        <w:tab/>
      </w:r>
      <w:r w:rsidR="00236D47">
        <w:rPr>
          <w:sz w:val="28"/>
          <w:szCs w:val="28"/>
        </w:rPr>
        <w:tab/>
      </w:r>
      <w:r w:rsidR="00236D47">
        <w:rPr>
          <w:sz w:val="28"/>
          <w:szCs w:val="28"/>
        </w:rPr>
        <w:tab/>
      </w:r>
      <w:r w:rsidR="00FB758A" w:rsidRPr="00F92877">
        <w:rPr>
          <w:sz w:val="28"/>
          <w:szCs w:val="28"/>
        </w:rPr>
        <w:t>U.Lielpēters</w:t>
      </w:r>
    </w:p>
    <w:p w:rsidR="003157B0" w:rsidRPr="003157B0" w:rsidRDefault="003157B0" w:rsidP="00F92877">
      <w:pPr>
        <w:pStyle w:val="Pamattekstaatkpe3"/>
        <w:spacing w:after="0"/>
        <w:ind w:left="0"/>
        <w:rPr>
          <w:sz w:val="26"/>
          <w:szCs w:val="26"/>
          <w:lang w:val="lv-LV"/>
        </w:rPr>
      </w:pPr>
    </w:p>
    <w:p w:rsidR="007373D4" w:rsidRDefault="007373D4" w:rsidP="00F92877">
      <w:pPr>
        <w:pStyle w:val="Pamattekstaatkpe3"/>
        <w:tabs>
          <w:tab w:val="left" w:pos="1999"/>
        </w:tabs>
        <w:spacing w:after="0"/>
        <w:ind w:left="0"/>
        <w:rPr>
          <w:sz w:val="22"/>
          <w:szCs w:val="22"/>
          <w:lang w:val="lv-LV"/>
        </w:rPr>
      </w:pPr>
    </w:p>
    <w:p w:rsidR="00F92877" w:rsidRPr="00F92877" w:rsidRDefault="00F92877" w:rsidP="00F92877">
      <w:pPr>
        <w:pStyle w:val="Pamattekstaatkpe3"/>
        <w:tabs>
          <w:tab w:val="left" w:pos="1999"/>
        </w:tabs>
        <w:spacing w:after="0"/>
        <w:ind w:left="0"/>
        <w:rPr>
          <w:sz w:val="22"/>
          <w:szCs w:val="22"/>
          <w:lang w:val="lv-LV"/>
        </w:rPr>
      </w:pPr>
    </w:p>
    <w:p w:rsidR="007373D4" w:rsidRPr="00F92877" w:rsidRDefault="001070A4" w:rsidP="00F92877">
      <w:pPr>
        <w:pStyle w:val="Pamattekstaatkpe3"/>
        <w:spacing w:after="0"/>
        <w:ind w:left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26</w:t>
      </w:r>
      <w:r w:rsidR="000529B2" w:rsidRPr="00F92877">
        <w:rPr>
          <w:sz w:val="22"/>
          <w:szCs w:val="22"/>
          <w:lang w:val="lv-LV"/>
        </w:rPr>
        <w:t>.</w:t>
      </w:r>
      <w:r w:rsidR="00FB758A" w:rsidRPr="00F92877">
        <w:rPr>
          <w:sz w:val="22"/>
          <w:szCs w:val="22"/>
          <w:lang w:val="lv-LV"/>
        </w:rPr>
        <w:t>03</w:t>
      </w:r>
      <w:r w:rsidR="007373D4" w:rsidRPr="00F92877">
        <w:rPr>
          <w:sz w:val="22"/>
          <w:szCs w:val="22"/>
          <w:lang w:val="lv-LV"/>
        </w:rPr>
        <w:t>.</w:t>
      </w:r>
      <w:r w:rsidR="00FB758A" w:rsidRPr="00F92877">
        <w:rPr>
          <w:sz w:val="22"/>
          <w:szCs w:val="22"/>
          <w:lang w:val="lv-LV"/>
        </w:rPr>
        <w:t>2</w:t>
      </w:r>
      <w:r w:rsidR="007373D4" w:rsidRPr="00F92877">
        <w:rPr>
          <w:sz w:val="22"/>
          <w:szCs w:val="22"/>
          <w:lang w:val="lv-LV"/>
        </w:rPr>
        <w:t>01</w:t>
      </w:r>
      <w:r w:rsidR="00FB758A" w:rsidRPr="00F92877">
        <w:rPr>
          <w:sz w:val="22"/>
          <w:szCs w:val="22"/>
          <w:lang w:val="lv-LV"/>
        </w:rPr>
        <w:t>2</w:t>
      </w:r>
      <w:r w:rsidR="007373D4" w:rsidRPr="00F92877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16:55</w:t>
      </w:r>
    </w:p>
    <w:p w:rsidR="007373D4" w:rsidRPr="00F92877" w:rsidRDefault="008E5D4B" w:rsidP="00F92877">
      <w:pPr>
        <w:pStyle w:val="Pamattekstaatkpe3"/>
        <w:tabs>
          <w:tab w:val="left" w:pos="1332"/>
          <w:tab w:val="left" w:pos="2604"/>
        </w:tabs>
        <w:spacing w:after="0"/>
        <w:ind w:left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5</w:t>
      </w:r>
      <w:r w:rsidR="001070A4">
        <w:rPr>
          <w:sz w:val="22"/>
          <w:szCs w:val="22"/>
          <w:lang w:val="lv-LV"/>
        </w:rPr>
        <w:t>30</w:t>
      </w:r>
      <w:r w:rsidR="00DC56E5" w:rsidRPr="00F92877">
        <w:rPr>
          <w:sz w:val="22"/>
          <w:szCs w:val="22"/>
          <w:lang w:val="lv-LV"/>
        </w:rPr>
        <w:tab/>
      </w:r>
      <w:r w:rsidR="00DC56E5" w:rsidRPr="00F92877">
        <w:rPr>
          <w:sz w:val="22"/>
          <w:szCs w:val="22"/>
          <w:lang w:val="lv-LV"/>
        </w:rPr>
        <w:tab/>
      </w:r>
    </w:p>
    <w:p w:rsidR="00F92877" w:rsidRPr="00F92877" w:rsidRDefault="00F92877" w:rsidP="00F92877">
      <w:pPr>
        <w:pStyle w:val="Bezatstarpm"/>
        <w:rPr>
          <w:rFonts w:ascii="Times New Roman" w:hAnsi="Times New Roman"/>
        </w:rPr>
      </w:pPr>
      <w:r w:rsidRPr="00F92877">
        <w:rPr>
          <w:rFonts w:ascii="Times New Roman" w:hAnsi="Times New Roman"/>
        </w:rPr>
        <w:t>G.Robežniece</w:t>
      </w:r>
    </w:p>
    <w:p w:rsidR="00F92877" w:rsidRPr="00F92877" w:rsidRDefault="00F92877" w:rsidP="00F92877">
      <w:pPr>
        <w:pStyle w:val="Bezatstarpm"/>
        <w:rPr>
          <w:rFonts w:ascii="Times New Roman" w:hAnsi="Times New Roman"/>
        </w:rPr>
      </w:pPr>
      <w:r w:rsidRPr="00F92877">
        <w:rPr>
          <w:rFonts w:ascii="Times New Roman" w:hAnsi="Times New Roman"/>
        </w:rPr>
        <w:t>Tālr.67330325; fakss 67227916</w:t>
      </w:r>
    </w:p>
    <w:p w:rsidR="00F92877" w:rsidRPr="00F92877" w:rsidRDefault="00E4341B" w:rsidP="00F92877">
      <w:pPr>
        <w:pStyle w:val="Bezatstarpm"/>
        <w:rPr>
          <w:rFonts w:ascii="Times New Roman" w:hAnsi="Times New Roman"/>
        </w:rPr>
      </w:pPr>
      <w:hyperlink r:id="rId7" w:history="1">
        <w:r w:rsidR="00F92877" w:rsidRPr="00F92877">
          <w:rPr>
            <w:rStyle w:val="Hipersaite"/>
            <w:rFonts w:ascii="Times New Roman" w:hAnsi="Times New Roman"/>
          </w:rPr>
          <w:t>Gunta.Robezniece@km.gov.lv</w:t>
        </w:r>
      </w:hyperlink>
    </w:p>
    <w:p w:rsidR="00DC678F" w:rsidRPr="003157B0" w:rsidRDefault="00DC678F" w:rsidP="00F92877">
      <w:pPr>
        <w:ind w:left="-142"/>
        <w:jc w:val="both"/>
        <w:rPr>
          <w:sz w:val="20"/>
          <w:szCs w:val="20"/>
        </w:rPr>
      </w:pPr>
    </w:p>
    <w:sectPr w:rsidR="00DC678F" w:rsidRPr="003157B0" w:rsidSect="00FA47B6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77" w:rsidRDefault="00F92877" w:rsidP="00742B39">
      <w:r>
        <w:separator/>
      </w:r>
    </w:p>
  </w:endnote>
  <w:endnote w:type="continuationSeparator" w:id="0">
    <w:p w:rsidR="00F92877" w:rsidRDefault="00F92877" w:rsidP="0074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77" w:rsidRPr="00F92877" w:rsidRDefault="00F92877" w:rsidP="00F92877">
    <w:pPr>
      <w:pStyle w:val="Bezatstarpm"/>
      <w:jc w:val="both"/>
    </w:pPr>
    <w:r w:rsidRPr="00F92877">
      <w:rPr>
        <w:rFonts w:ascii="Times New Roman" w:hAnsi="Times New Roman"/>
      </w:rPr>
      <w:t>KMAnot_</w:t>
    </w:r>
    <w:r w:rsidR="001070A4">
      <w:rPr>
        <w:rFonts w:ascii="Times New Roman" w:hAnsi="Times New Roman"/>
      </w:rPr>
      <w:t>26</w:t>
    </w:r>
    <w:r w:rsidRPr="00F92877">
      <w:rPr>
        <w:rFonts w:ascii="Times New Roman" w:hAnsi="Times New Roman"/>
      </w:rPr>
      <w:t>0312_sab_integr; Ministru kabineta rīkojuma projekta „Grozījums Ministru kabineta 2011.gada 20.oktobra rīkojumā Nr.542 „Par Nacionālās identitātes, pilsoniskās sabiedrības un integrācijas politikas pamatnostādnēm 2012.-2018.gadam””</w:t>
    </w:r>
    <w:r>
      <w:rPr>
        <w:rFonts w:ascii="Times New Roman" w:hAnsi="Times New Roman"/>
      </w:rPr>
      <w:t xml:space="preserve"> </w:t>
    </w:r>
    <w:r w:rsidRPr="00F92877">
      <w:rPr>
        <w:rFonts w:ascii="Times New Roman" w:hAnsi="Times New Roman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77" w:rsidRPr="00F92877" w:rsidRDefault="001070A4" w:rsidP="007458E6">
    <w:pPr>
      <w:pStyle w:val="Bezatstarpm"/>
      <w:jc w:val="both"/>
    </w:pPr>
    <w:r>
      <w:rPr>
        <w:rFonts w:ascii="Times New Roman" w:hAnsi="Times New Roman"/>
      </w:rPr>
      <w:t>KMAnot_26</w:t>
    </w:r>
    <w:r w:rsidR="00F92877" w:rsidRPr="00F92877">
      <w:rPr>
        <w:rFonts w:ascii="Times New Roman" w:hAnsi="Times New Roman"/>
      </w:rPr>
      <w:t>0312_sab_integr; Ministru kabineta rīkojuma projekta „Grozījums Ministru kabineta 2011.gada 20.oktobra rīkojumā Nr.542 „Par Nacionālās identitātes, pilsoniskās sabiedrības un integrācijas politikas pamatnostādnēm 2012.-2018.gadam””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77" w:rsidRDefault="00F92877" w:rsidP="00742B39">
      <w:r>
        <w:separator/>
      </w:r>
    </w:p>
  </w:footnote>
  <w:footnote w:type="continuationSeparator" w:id="0">
    <w:p w:rsidR="00F92877" w:rsidRDefault="00F92877" w:rsidP="0074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77" w:rsidRPr="00F92877" w:rsidRDefault="00E4341B">
    <w:pPr>
      <w:pStyle w:val="Galvene"/>
      <w:jc w:val="center"/>
      <w:rPr>
        <w:sz w:val="22"/>
        <w:szCs w:val="22"/>
      </w:rPr>
    </w:pPr>
    <w:r w:rsidRPr="00F92877">
      <w:rPr>
        <w:sz w:val="22"/>
        <w:szCs w:val="22"/>
      </w:rPr>
      <w:fldChar w:fldCharType="begin"/>
    </w:r>
    <w:r w:rsidR="00F92877" w:rsidRPr="00F92877">
      <w:rPr>
        <w:sz w:val="22"/>
        <w:szCs w:val="22"/>
      </w:rPr>
      <w:instrText xml:space="preserve"> PAGE   \* MERGEFORMAT </w:instrText>
    </w:r>
    <w:r w:rsidRPr="00F92877">
      <w:rPr>
        <w:sz w:val="22"/>
        <w:szCs w:val="22"/>
      </w:rPr>
      <w:fldChar w:fldCharType="separate"/>
    </w:r>
    <w:r w:rsidR="00236D47">
      <w:rPr>
        <w:noProof/>
        <w:sz w:val="22"/>
        <w:szCs w:val="22"/>
      </w:rPr>
      <w:t>3</w:t>
    </w:r>
    <w:r w:rsidRPr="00F92877">
      <w:rPr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7373D4"/>
    <w:rsid w:val="000529B2"/>
    <w:rsid w:val="0006056E"/>
    <w:rsid w:val="000658DD"/>
    <w:rsid w:val="00090B74"/>
    <w:rsid w:val="001070A4"/>
    <w:rsid w:val="001316A6"/>
    <w:rsid w:val="001439E6"/>
    <w:rsid w:val="001500A0"/>
    <w:rsid w:val="00171891"/>
    <w:rsid w:val="00177AC7"/>
    <w:rsid w:val="001C4341"/>
    <w:rsid w:val="00236D47"/>
    <w:rsid w:val="00277089"/>
    <w:rsid w:val="00277F13"/>
    <w:rsid w:val="00292641"/>
    <w:rsid w:val="002D4F12"/>
    <w:rsid w:val="002E5CF3"/>
    <w:rsid w:val="003122E4"/>
    <w:rsid w:val="003157B0"/>
    <w:rsid w:val="00387ED7"/>
    <w:rsid w:val="003D5307"/>
    <w:rsid w:val="003E6D79"/>
    <w:rsid w:val="003F478E"/>
    <w:rsid w:val="003F61B0"/>
    <w:rsid w:val="004016F2"/>
    <w:rsid w:val="00423CDD"/>
    <w:rsid w:val="004412E8"/>
    <w:rsid w:val="0045144C"/>
    <w:rsid w:val="004B42C5"/>
    <w:rsid w:val="004E03EE"/>
    <w:rsid w:val="00503878"/>
    <w:rsid w:val="00530369"/>
    <w:rsid w:val="0055127C"/>
    <w:rsid w:val="00562072"/>
    <w:rsid w:val="005C435D"/>
    <w:rsid w:val="0061047F"/>
    <w:rsid w:val="00687529"/>
    <w:rsid w:val="00694228"/>
    <w:rsid w:val="006F54B2"/>
    <w:rsid w:val="006F6FB9"/>
    <w:rsid w:val="00724763"/>
    <w:rsid w:val="007373D4"/>
    <w:rsid w:val="00742B39"/>
    <w:rsid w:val="007458E6"/>
    <w:rsid w:val="0074682B"/>
    <w:rsid w:val="0075052F"/>
    <w:rsid w:val="007820D6"/>
    <w:rsid w:val="007A193F"/>
    <w:rsid w:val="007B1031"/>
    <w:rsid w:val="007B669B"/>
    <w:rsid w:val="007E6AA0"/>
    <w:rsid w:val="00857397"/>
    <w:rsid w:val="008C353B"/>
    <w:rsid w:val="008D5DD5"/>
    <w:rsid w:val="008D6D8A"/>
    <w:rsid w:val="008E5D4B"/>
    <w:rsid w:val="008E66CE"/>
    <w:rsid w:val="00944B57"/>
    <w:rsid w:val="009464F3"/>
    <w:rsid w:val="00966965"/>
    <w:rsid w:val="009719BE"/>
    <w:rsid w:val="009B5B7F"/>
    <w:rsid w:val="00AA316B"/>
    <w:rsid w:val="00AB5607"/>
    <w:rsid w:val="00AB6891"/>
    <w:rsid w:val="00AD028D"/>
    <w:rsid w:val="00B143EE"/>
    <w:rsid w:val="00B1796D"/>
    <w:rsid w:val="00B31988"/>
    <w:rsid w:val="00B57E91"/>
    <w:rsid w:val="00BA73A1"/>
    <w:rsid w:val="00BB446A"/>
    <w:rsid w:val="00BB7432"/>
    <w:rsid w:val="00C74A19"/>
    <w:rsid w:val="00CB7695"/>
    <w:rsid w:val="00D354AF"/>
    <w:rsid w:val="00D90C17"/>
    <w:rsid w:val="00DB2C4A"/>
    <w:rsid w:val="00DC4615"/>
    <w:rsid w:val="00DC56E5"/>
    <w:rsid w:val="00DC678F"/>
    <w:rsid w:val="00E20744"/>
    <w:rsid w:val="00E27475"/>
    <w:rsid w:val="00E4341B"/>
    <w:rsid w:val="00EC1CB3"/>
    <w:rsid w:val="00EC675C"/>
    <w:rsid w:val="00EE40A2"/>
    <w:rsid w:val="00F714A9"/>
    <w:rsid w:val="00F92877"/>
    <w:rsid w:val="00FA47B6"/>
    <w:rsid w:val="00FB758A"/>
    <w:rsid w:val="00FE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7A19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7373D4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nhideWhenUsed/>
    <w:rsid w:val="007373D4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nhideWhenUsed/>
    <w:rsid w:val="007373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ais"/>
    <w:link w:val="Pamattekstaatkpe3Rakstz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Pamattekstsaratkpi">
    <w:name w:val="Body Text Indent"/>
    <w:basedOn w:val="Parastais"/>
    <w:link w:val="PamattekstsaratkpiRakstz"/>
    <w:rsid w:val="007373D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ezatstarpm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7A193F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61B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61B0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316A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316A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16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16A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1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ta.Robezniec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0756-B8E3-4C96-8124-0C4E7208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2989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sākotnējās ietekmes novērtējuma ziņojums (anotācija)</vt:lpstr>
      <vt:lpstr>Ministru kabineta noteikumu projekta „Grozījums Ministru kabineta 2003.gada 29.aprīļa noteikumos Nr.241 "Kultūras ministrijas nolikums"sākotnējās ietekmes novērtējuma ziņojums (anotācija)</vt:lpstr>
    </vt:vector>
  </TitlesOfParts>
  <Manager>R.Klimkāne</Manager>
  <Company>Kultūras ministrija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Ministru kabineta rīkojuma projekta „Grozījums Ministru kabineta 2011.gada 20.oktobra rīkojumā Nr.542 „Par Nacionālās identitātes, pilsoniskās sabiedrības un integrācijas politikas pamatnostādnēm 2012.-2018.gadam”” sākotnējās ietekmes novērtējuma ziņojums (anotācija)</dc:subject>
  <dc:creator>G.Robežniece</dc:creator>
  <dc:description>G.Robežniece_x000d_
Tālr.67330325; fakss 67227916_x000d_
Gunta.Robezniece@km.gov.lv</dc:description>
  <cp:lastModifiedBy>Gunta Robežniece</cp:lastModifiedBy>
  <cp:revision>9</cp:revision>
  <cp:lastPrinted>2012-03-26T14:06:00Z</cp:lastPrinted>
  <dcterms:created xsi:type="dcterms:W3CDTF">2012-03-26T13:57:00Z</dcterms:created>
  <dcterms:modified xsi:type="dcterms:W3CDTF">2012-03-26T14:09:00Z</dcterms:modified>
</cp:coreProperties>
</file>