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F" w:rsidRPr="00490A32" w:rsidRDefault="00E37606" w:rsidP="004B7922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490A32">
        <w:rPr>
          <w:b/>
          <w:sz w:val="28"/>
          <w:szCs w:val="28"/>
        </w:rPr>
        <w:t xml:space="preserve">Ministru kabineta noteikumu projekta </w:t>
      </w:r>
    </w:p>
    <w:p w:rsidR="00FC27C8" w:rsidRPr="003D47DE" w:rsidRDefault="00E37606" w:rsidP="00FC27C8">
      <w:pPr>
        <w:jc w:val="center"/>
        <w:rPr>
          <w:b/>
          <w:bCs/>
          <w:sz w:val="28"/>
          <w:szCs w:val="28"/>
        </w:rPr>
      </w:pPr>
      <w:r w:rsidRPr="00490A32">
        <w:rPr>
          <w:b/>
          <w:sz w:val="28"/>
          <w:szCs w:val="28"/>
        </w:rPr>
        <w:t>„</w:t>
      </w:r>
      <w:bookmarkStart w:id="3" w:name="OLE_LINK8"/>
      <w:bookmarkStart w:id="4" w:name="OLE_LINK9"/>
      <w:bookmarkStart w:id="5" w:name="OLE_LINK4"/>
      <w:bookmarkStart w:id="6" w:name="OLE_LINK13"/>
      <w:r w:rsidR="00FC27C8" w:rsidRPr="003D47DE">
        <w:rPr>
          <w:b/>
          <w:bCs/>
          <w:sz w:val="28"/>
          <w:szCs w:val="28"/>
        </w:rPr>
        <w:t>Grozījum</w:t>
      </w:r>
      <w:r w:rsidR="00FC27C8">
        <w:rPr>
          <w:b/>
          <w:bCs/>
          <w:sz w:val="28"/>
          <w:szCs w:val="28"/>
        </w:rPr>
        <w:t>i</w:t>
      </w:r>
      <w:r w:rsidR="00FC27C8" w:rsidRPr="003D47DE">
        <w:rPr>
          <w:b/>
          <w:bCs/>
          <w:sz w:val="28"/>
          <w:szCs w:val="28"/>
        </w:rPr>
        <w:t xml:space="preserve"> Ministru kabineta 2010.gada 5.oktobra</w:t>
      </w:r>
    </w:p>
    <w:p w:rsidR="00E37606" w:rsidRPr="007863E6" w:rsidRDefault="00FC27C8" w:rsidP="007863E6">
      <w:pPr>
        <w:jc w:val="center"/>
        <w:rPr>
          <w:b/>
          <w:bCs/>
          <w:sz w:val="28"/>
          <w:szCs w:val="28"/>
        </w:rPr>
      </w:pPr>
      <w:r w:rsidRPr="003D47DE">
        <w:rPr>
          <w:b/>
          <w:bCs/>
          <w:sz w:val="28"/>
          <w:szCs w:val="28"/>
        </w:rPr>
        <w:t>noteikumos Nr.928 „Kārtība, kādā dibināmi valsts institūciju un pašvaldību apbalvojumi”</w:t>
      </w:r>
      <w:bookmarkEnd w:id="3"/>
      <w:bookmarkEnd w:id="4"/>
      <w:bookmarkEnd w:id="5"/>
      <w:bookmarkEnd w:id="6"/>
      <w:r w:rsidR="007650A3" w:rsidRPr="00490A32">
        <w:rPr>
          <w:b/>
          <w:bCs/>
          <w:sz w:val="28"/>
          <w:szCs w:val="28"/>
        </w:rPr>
        <w:t>”</w:t>
      </w:r>
      <w:r w:rsidR="007863E6">
        <w:rPr>
          <w:b/>
          <w:bCs/>
          <w:sz w:val="28"/>
          <w:szCs w:val="28"/>
        </w:rPr>
        <w:t xml:space="preserve"> </w:t>
      </w:r>
      <w:r w:rsidR="00E37606" w:rsidRPr="00490A32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E37606" w:rsidRPr="00490A32">
          <w:rPr>
            <w:b/>
            <w:sz w:val="28"/>
            <w:szCs w:val="28"/>
          </w:rPr>
          <w:t xml:space="preserve">ziņojums </w:t>
        </w:r>
      </w:smartTag>
      <w:r w:rsidR="00E37606" w:rsidRPr="00490A32">
        <w:rPr>
          <w:b/>
          <w:sz w:val="28"/>
          <w:szCs w:val="28"/>
        </w:rPr>
        <w:t>(anotācija)</w:t>
      </w:r>
    </w:p>
    <w:bookmarkEnd w:id="0"/>
    <w:bookmarkEnd w:id="1"/>
    <w:bookmarkEnd w:id="2"/>
    <w:p w:rsidR="00E37606" w:rsidRPr="00490A32" w:rsidRDefault="00E37606" w:rsidP="004B7922">
      <w:pPr>
        <w:pStyle w:val="Pamatteksts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828"/>
        <w:gridCol w:w="4926"/>
      </w:tblGrid>
      <w:tr w:rsidR="00E37606" w:rsidRPr="00490A32" w:rsidTr="0034303D">
        <w:trPr>
          <w:trHeight w:val="361"/>
        </w:trPr>
        <w:tc>
          <w:tcPr>
            <w:tcW w:w="5000" w:type="pct"/>
            <w:gridSpan w:val="3"/>
          </w:tcPr>
          <w:p w:rsidR="00E37606" w:rsidRPr="00490A32" w:rsidRDefault="00E37606" w:rsidP="004B7922">
            <w:pPr>
              <w:pStyle w:val="Pamatteksts"/>
              <w:rPr>
                <w:szCs w:val="28"/>
              </w:rPr>
            </w:pPr>
            <w:r w:rsidRPr="00490A32">
              <w:rPr>
                <w:szCs w:val="28"/>
              </w:rPr>
              <w:t>I. Tiesību akta projekta izstrādes nepieciešamība</w:t>
            </w:r>
          </w:p>
        </w:tc>
      </w:tr>
      <w:tr w:rsidR="00E37606" w:rsidRPr="00490A32" w:rsidTr="00AE4CD8">
        <w:tc>
          <w:tcPr>
            <w:tcW w:w="287" w:type="pct"/>
          </w:tcPr>
          <w:p w:rsidR="00E37606" w:rsidRPr="00490A32" w:rsidRDefault="00E37606" w:rsidP="004B7922">
            <w:pPr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1.</w:t>
            </w:r>
          </w:p>
        </w:tc>
        <w:tc>
          <w:tcPr>
            <w:tcW w:w="2061" w:type="pct"/>
          </w:tcPr>
          <w:p w:rsidR="00E37606" w:rsidRPr="00490A32" w:rsidRDefault="00E37606" w:rsidP="004B7922">
            <w:pPr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Pamatojums</w:t>
            </w:r>
          </w:p>
        </w:tc>
        <w:tc>
          <w:tcPr>
            <w:tcW w:w="2652" w:type="pct"/>
          </w:tcPr>
          <w:p w:rsidR="00E37606" w:rsidRPr="00490A32" w:rsidRDefault="00C345F2" w:rsidP="00976A0F">
            <w:pPr>
              <w:jc w:val="both"/>
              <w:rPr>
                <w:sz w:val="28"/>
                <w:szCs w:val="28"/>
              </w:rPr>
            </w:pPr>
            <w:r w:rsidRPr="00490A32">
              <w:rPr>
                <w:i/>
                <w:sz w:val="28"/>
                <w:szCs w:val="28"/>
              </w:rPr>
              <w:t xml:space="preserve">     Euro </w:t>
            </w:r>
            <w:r w:rsidRPr="00490A32">
              <w:rPr>
                <w:sz w:val="28"/>
                <w:szCs w:val="28"/>
              </w:rPr>
              <w:t>ieviešanas kārtības likuma 30.panta pirmā daļa, Ministru kabineta 2012.gada 27.jūnija rīkojuma Nr.282 „Par „Koncepciju par normatīvo aktu sakārtošanu saistībā ar eiro ieviešanu Latvijā”” 7.1.apakšpunkts</w:t>
            </w:r>
            <w:r w:rsidR="00976A0F">
              <w:rPr>
                <w:sz w:val="28"/>
                <w:szCs w:val="28"/>
              </w:rPr>
              <w:t xml:space="preserve"> un </w:t>
            </w:r>
            <w:r w:rsidR="00976A0F" w:rsidRPr="00727166">
              <w:rPr>
                <w:bCs/>
                <w:sz w:val="28"/>
                <w:szCs w:val="28"/>
              </w:rPr>
              <w:t>Latvijas Nacionālā</w:t>
            </w:r>
            <w:r w:rsidR="00976A0F" w:rsidRPr="00727166">
              <w:rPr>
                <w:bCs/>
                <w:i/>
                <w:iCs/>
                <w:sz w:val="28"/>
                <w:szCs w:val="28"/>
              </w:rPr>
              <w:t xml:space="preserve"> euro</w:t>
            </w:r>
            <w:r w:rsidR="00976A0F" w:rsidRPr="00727166">
              <w:rPr>
                <w:bCs/>
                <w:sz w:val="28"/>
                <w:szCs w:val="28"/>
              </w:rPr>
              <w:t xml:space="preserve"> ieviešanas plāna (apstiprināts ar Ministru kabineta 2013.gada 4.aprīļa rīkojumu Nr.136) 1.pielikuma J2.2.</w:t>
            </w:r>
            <w:r w:rsidR="00976A0F">
              <w:rPr>
                <w:bCs/>
                <w:sz w:val="28"/>
                <w:szCs w:val="28"/>
              </w:rPr>
              <w:t>1</w:t>
            </w:r>
            <w:r w:rsidR="00976A0F" w:rsidRPr="00727166">
              <w:rPr>
                <w:bCs/>
                <w:sz w:val="28"/>
                <w:szCs w:val="28"/>
              </w:rPr>
              <w:t xml:space="preserve"> pasākums</w:t>
            </w:r>
            <w:r w:rsidR="00976A0F" w:rsidRPr="00C345F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37606" w:rsidRPr="00490A32" w:rsidTr="00AE4CD8">
        <w:tc>
          <w:tcPr>
            <w:tcW w:w="287" w:type="pct"/>
          </w:tcPr>
          <w:p w:rsidR="00E37606" w:rsidRPr="00490A32" w:rsidRDefault="00E37606" w:rsidP="004B7922">
            <w:pPr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2.</w:t>
            </w:r>
          </w:p>
        </w:tc>
        <w:tc>
          <w:tcPr>
            <w:tcW w:w="2061" w:type="pct"/>
          </w:tcPr>
          <w:p w:rsidR="00E37606" w:rsidRPr="00490A32" w:rsidRDefault="00E37606" w:rsidP="004B7922">
            <w:pPr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2652" w:type="pct"/>
          </w:tcPr>
          <w:p w:rsidR="00E37606" w:rsidRPr="00490A32" w:rsidRDefault="00650083" w:rsidP="00F27733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 xml:space="preserve">      </w:t>
            </w:r>
            <w:r w:rsidR="00C345F2" w:rsidRPr="00FC27C8">
              <w:rPr>
                <w:sz w:val="28"/>
                <w:szCs w:val="28"/>
              </w:rPr>
              <w:t xml:space="preserve">Ņemot vērā, ka ar 2014.gada 1.janvāri Latvijā plānots ieviest </w:t>
            </w:r>
            <w:r w:rsidR="00C345F2" w:rsidRPr="00FC27C8">
              <w:rPr>
                <w:i/>
                <w:sz w:val="28"/>
                <w:szCs w:val="28"/>
              </w:rPr>
              <w:t>euro</w:t>
            </w:r>
            <w:r w:rsidR="00C345F2" w:rsidRPr="00FC27C8">
              <w:rPr>
                <w:sz w:val="28"/>
                <w:szCs w:val="28"/>
              </w:rPr>
              <w:t xml:space="preserve">, </w:t>
            </w:r>
            <w:r w:rsidR="00D51484" w:rsidRPr="00FC27C8">
              <w:rPr>
                <w:sz w:val="28"/>
                <w:szCs w:val="28"/>
              </w:rPr>
              <w:t>ir nepieciešams veikt grozījumu</w:t>
            </w:r>
            <w:r w:rsidR="00FC27C8" w:rsidRPr="00FC27C8">
              <w:rPr>
                <w:sz w:val="28"/>
                <w:szCs w:val="28"/>
              </w:rPr>
              <w:t>s</w:t>
            </w:r>
            <w:r w:rsidR="00C345F2" w:rsidRPr="00FC27C8">
              <w:rPr>
                <w:bCs/>
                <w:sz w:val="28"/>
                <w:szCs w:val="28"/>
              </w:rPr>
              <w:t xml:space="preserve"> Ministru kabineta</w:t>
            </w:r>
            <w:r w:rsidR="00FC27C8" w:rsidRPr="00FC27C8">
              <w:rPr>
                <w:bCs/>
                <w:sz w:val="28"/>
                <w:szCs w:val="28"/>
              </w:rPr>
              <w:t xml:space="preserve"> 2010.gada 5.oktobra noteikumos Nr.928 „Kārtība, kādā dibināmi valsts institūciju un pašvaldību apbalvojumi”</w:t>
            </w:r>
            <w:r w:rsidR="00C345F2" w:rsidRPr="00FC27C8">
              <w:rPr>
                <w:sz w:val="28"/>
                <w:szCs w:val="28"/>
              </w:rPr>
              <w:t>, aizstājot</w:t>
            </w:r>
            <w:r w:rsidR="00C345F2" w:rsidRPr="00E70023">
              <w:rPr>
                <w:sz w:val="28"/>
                <w:szCs w:val="28"/>
              </w:rPr>
              <w:t xml:space="preserve"> taj</w:t>
            </w:r>
            <w:r w:rsidR="00F27733">
              <w:rPr>
                <w:sz w:val="28"/>
                <w:szCs w:val="28"/>
              </w:rPr>
              <w:t>ā</w:t>
            </w:r>
            <w:r w:rsidR="00C345F2" w:rsidRPr="00E70023">
              <w:rPr>
                <w:sz w:val="28"/>
                <w:szCs w:val="28"/>
              </w:rPr>
              <w:t xml:space="preserve"> latus ar </w:t>
            </w:r>
            <w:r w:rsidR="00C345F2" w:rsidRPr="00E70023">
              <w:rPr>
                <w:i/>
                <w:sz w:val="28"/>
                <w:szCs w:val="28"/>
              </w:rPr>
              <w:t>euro</w:t>
            </w:r>
            <w:r w:rsidR="00C345F2" w:rsidRPr="00490A32">
              <w:rPr>
                <w:sz w:val="28"/>
                <w:szCs w:val="28"/>
              </w:rPr>
              <w:t>.</w:t>
            </w:r>
          </w:p>
        </w:tc>
      </w:tr>
      <w:tr w:rsidR="00E37606" w:rsidRPr="00490A32" w:rsidTr="00AE4CD8">
        <w:tc>
          <w:tcPr>
            <w:tcW w:w="287" w:type="pct"/>
          </w:tcPr>
          <w:p w:rsidR="00E37606" w:rsidRPr="00490A32" w:rsidRDefault="00E37606" w:rsidP="004B7922">
            <w:pPr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3.</w:t>
            </w:r>
          </w:p>
        </w:tc>
        <w:tc>
          <w:tcPr>
            <w:tcW w:w="2061" w:type="pct"/>
          </w:tcPr>
          <w:p w:rsidR="00E37606" w:rsidRPr="00490A32" w:rsidRDefault="00E37606" w:rsidP="004B7922">
            <w:pPr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2652" w:type="pct"/>
          </w:tcPr>
          <w:p w:rsidR="00E37606" w:rsidRPr="00490A32" w:rsidRDefault="00E37606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490A32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E37606" w:rsidRPr="00490A32" w:rsidTr="00AE4CD8">
        <w:tc>
          <w:tcPr>
            <w:tcW w:w="287" w:type="pct"/>
          </w:tcPr>
          <w:p w:rsidR="00E37606" w:rsidRPr="00490A32" w:rsidRDefault="00E37606" w:rsidP="004B7922">
            <w:pPr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4.</w:t>
            </w:r>
          </w:p>
        </w:tc>
        <w:tc>
          <w:tcPr>
            <w:tcW w:w="2061" w:type="pct"/>
          </w:tcPr>
          <w:p w:rsidR="00E37606" w:rsidRPr="00490A32" w:rsidRDefault="00E37606" w:rsidP="004B7922">
            <w:pPr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2652" w:type="pct"/>
          </w:tcPr>
          <w:p w:rsidR="00C345F2" w:rsidRPr="00490A32" w:rsidRDefault="000A2E70" w:rsidP="004B7922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P</w:t>
            </w:r>
            <w:r w:rsidR="00C345F2" w:rsidRPr="00490A32">
              <w:rPr>
                <w:sz w:val="28"/>
                <w:szCs w:val="28"/>
              </w:rPr>
              <w:t xml:space="preserve">rojekta mērķis ir pielāgot </w:t>
            </w:r>
            <w:r w:rsidR="00C345F2" w:rsidRPr="00490A32">
              <w:rPr>
                <w:bCs/>
                <w:sz w:val="28"/>
                <w:szCs w:val="28"/>
              </w:rPr>
              <w:t xml:space="preserve">Ministru kabineta </w:t>
            </w:r>
            <w:r w:rsidR="00FC27C8" w:rsidRPr="00FC27C8">
              <w:rPr>
                <w:bCs/>
                <w:sz w:val="28"/>
                <w:szCs w:val="28"/>
              </w:rPr>
              <w:t>2010.gada 5.oktobra noteikum</w:t>
            </w:r>
            <w:r w:rsidR="00FC27C8">
              <w:rPr>
                <w:bCs/>
                <w:sz w:val="28"/>
                <w:szCs w:val="28"/>
              </w:rPr>
              <w:t>u</w:t>
            </w:r>
            <w:r w:rsidR="00FC27C8" w:rsidRPr="00FC27C8">
              <w:rPr>
                <w:bCs/>
                <w:sz w:val="28"/>
                <w:szCs w:val="28"/>
              </w:rPr>
              <w:t>s Nr.928 „Kārtība, kādā dibināmi valsts institūciju un pašvaldību apbalvojumi”</w:t>
            </w:r>
            <w:r w:rsidR="00FC27C8">
              <w:rPr>
                <w:bCs/>
                <w:sz w:val="28"/>
                <w:szCs w:val="28"/>
              </w:rPr>
              <w:t xml:space="preserve"> </w:t>
            </w:r>
            <w:r w:rsidR="00C345F2" w:rsidRPr="00490A32">
              <w:rPr>
                <w:i/>
                <w:sz w:val="28"/>
                <w:szCs w:val="28"/>
              </w:rPr>
              <w:t>euro</w:t>
            </w:r>
            <w:r w:rsidR="00C345F2" w:rsidRPr="00490A32">
              <w:rPr>
                <w:sz w:val="28"/>
                <w:szCs w:val="28"/>
              </w:rPr>
              <w:t xml:space="preserve"> ieviešanai, aizstājot tajā latus ar </w:t>
            </w:r>
            <w:r w:rsidR="00C345F2" w:rsidRPr="00490A32">
              <w:rPr>
                <w:i/>
                <w:sz w:val="28"/>
                <w:szCs w:val="28"/>
              </w:rPr>
              <w:t>euro</w:t>
            </w:r>
            <w:r w:rsidR="00C345F2" w:rsidRPr="00490A32">
              <w:rPr>
                <w:sz w:val="28"/>
                <w:szCs w:val="28"/>
              </w:rPr>
              <w:t>.</w:t>
            </w:r>
          </w:p>
          <w:p w:rsidR="00E37606" w:rsidRPr="004F30F5" w:rsidRDefault="004F30F5" w:rsidP="004F30F5">
            <w:pPr>
              <w:pStyle w:val="naiskr"/>
              <w:spacing w:before="0" w:after="0"/>
              <w:ind w:firstLine="38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C345F2">
              <w:rPr>
                <w:sz w:val="28"/>
                <w:szCs w:val="28"/>
              </w:rPr>
              <w:t xml:space="preserve">rojekts paredz aizstāt attiecīgajā normatīvajā aktā latus ar </w:t>
            </w:r>
            <w:proofErr w:type="spellStart"/>
            <w:r w:rsidRPr="00C345F2">
              <w:rPr>
                <w:i/>
                <w:sz w:val="28"/>
                <w:szCs w:val="28"/>
              </w:rPr>
              <w:t>euro</w:t>
            </w:r>
            <w:proofErr w:type="spellEnd"/>
            <w:r w:rsidRPr="00C345F2">
              <w:rPr>
                <w:sz w:val="28"/>
                <w:szCs w:val="28"/>
              </w:rPr>
              <w:t xml:space="preserve"> atbilstoši </w:t>
            </w:r>
            <w:proofErr w:type="spellStart"/>
            <w:r w:rsidRPr="00C345F2">
              <w:rPr>
                <w:i/>
                <w:color w:val="000000" w:themeColor="text1"/>
                <w:sz w:val="28"/>
                <w:szCs w:val="28"/>
              </w:rPr>
              <w:t>Euro</w:t>
            </w:r>
            <w:proofErr w:type="spellEnd"/>
            <w:r w:rsidRPr="00C345F2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C345F2">
              <w:rPr>
                <w:color w:val="000000" w:themeColor="text1"/>
                <w:sz w:val="28"/>
                <w:szCs w:val="28"/>
              </w:rPr>
              <w:t xml:space="preserve">ieviešanas kārtības likuma </w:t>
            </w:r>
            <w:r>
              <w:rPr>
                <w:color w:val="000000" w:themeColor="text1"/>
                <w:sz w:val="28"/>
                <w:szCs w:val="28"/>
              </w:rPr>
              <w:t>32.panta otrās daļas 2.punktā paredzētajiem principiem, noapaļojot summas līdz veseliem skaitļiem.</w:t>
            </w:r>
          </w:p>
        </w:tc>
      </w:tr>
      <w:tr w:rsidR="00E37606" w:rsidRPr="00490A32" w:rsidTr="00AE4CD8">
        <w:tc>
          <w:tcPr>
            <w:tcW w:w="287" w:type="pct"/>
          </w:tcPr>
          <w:p w:rsidR="00E37606" w:rsidRPr="00490A32" w:rsidRDefault="00E37606" w:rsidP="004B7922">
            <w:pPr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5.</w:t>
            </w:r>
          </w:p>
        </w:tc>
        <w:tc>
          <w:tcPr>
            <w:tcW w:w="2061" w:type="pct"/>
          </w:tcPr>
          <w:p w:rsidR="00E37606" w:rsidRPr="00490A32" w:rsidRDefault="00E37606" w:rsidP="004B7922">
            <w:pPr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652" w:type="pct"/>
          </w:tcPr>
          <w:p w:rsidR="00E37606" w:rsidRPr="00490A32" w:rsidRDefault="00C84009" w:rsidP="00E70023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490A32">
              <w:rPr>
                <w:bCs/>
                <w:sz w:val="28"/>
                <w:szCs w:val="28"/>
              </w:rPr>
              <w:t>Kultūras ministrija</w:t>
            </w:r>
            <w:r w:rsidR="00E70023">
              <w:rPr>
                <w:bCs/>
                <w:sz w:val="28"/>
                <w:szCs w:val="28"/>
              </w:rPr>
              <w:t>.</w:t>
            </w:r>
          </w:p>
        </w:tc>
      </w:tr>
      <w:tr w:rsidR="00E37606" w:rsidRPr="00490A32" w:rsidTr="00AE4CD8">
        <w:trPr>
          <w:cantSplit/>
          <w:trHeight w:val="989"/>
        </w:trPr>
        <w:tc>
          <w:tcPr>
            <w:tcW w:w="287" w:type="pct"/>
          </w:tcPr>
          <w:p w:rsidR="00E37606" w:rsidRPr="00490A32" w:rsidRDefault="00E37606" w:rsidP="004B7922">
            <w:pPr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061" w:type="pct"/>
          </w:tcPr>
          <w:p w:rsidR="00E37606" w:rsidRPr="00490A32" w:rsidRDefault="00E37606" w:rsidP="004B7922">
            <w:pPr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2652" w:type="pct"/>
          </w:tcPr>
          <w:p w:rsidR="004B7922" w:rsidRPr="00490A32" w:rsidRDefault="00892410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 xml:space="preserve">    </w:t>
            </w:r>
            <w:r w:rsidR="000A2E70" w:rsidRPr="00490A32">
              <w:rPr>
                <w:sz w:val="28"/>
                <w:szCs w:val="28"/>
              </w:rPr>
              <w:t>Sabiedrības līdzdalība p</w:t>
            </w:r>
            <w:r w:rsidR="00E37606" w:rsidRPr="00490A32">
              <w:rPr>
                <w:sz w:val="28"/>
                <w:szCs w:val="28"/>
              </w:rPr>
              <w:t xml:space="preserve">rojekta izstrādē netika nodrošināta, jo projekts nemaina pastāvošo tiesisko regulējumu pēc būtības, bet tikai aizstāj latus ar </w:t>
            </w:r>
            <w:r w:rsidR="00E37606" w:rsidRPr="00490A32">
              <w:rPr>
                <w:i/>
                <w:sz w:val="28"/>
                <w:szCs w:val="28"/>
              </w:rPr>
              <w:t>euro</w:t>
            </w:r>
            <w:r w:rsidR="00E37606" w:rsidRPr="00490A32">
              <w:rPr>
                <w:sz w:val="28"/>
                <w:szCs w:val="28"/>
              </w:rPr>
              <w:t>.</w:t>
            </w:r>
          </w:p>
        </w:tc>
      </w:tr>
      <w:tr w:rsidR="00E37606" w:rsidRPr="00490A32" w:rsidTr="004F30F5">
        <w:trPr>
          <w:trHeight w:val="400"/>
        </w:trPr>
        <w:tc>
          <w:tcPr>
            <w:tcW w:w="287" w:type="pct"/>
          </w:tcPr>
          <w:p w:rsidR="00E37606" w:rsidRPr="00490A32" w:rsidRDefault="00E37606" w:rsidP="004B7922">
            <w:pPr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7.</w:t>
            </w:r>
          </w:p>
        </w:tc>
        <w:tc>
          <w:tcPr>
            <w:tcW w:w="2061" w:type="pct"/>
          </w:tcPr>
          <w:p w:rsidR="00E37606" w:rsidRPr="00490A32" w:rsidRDefault="00E37606" w:rsidP="004B7922">
            <w:pPr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 Cita informācija</w:t>
            </w:r>
          </w:p>
        </w:tc>
        <w:tc>
          <w:tcPr>
            <w:tcW w:w="2652" w:type="pct"/>
          </w:tcPr>
          <w:p w:rsidR="00E37606" w:rsidRPr="00490A32" w:rsidRDefault="00892410" w:rsidP="004F30F5">
            <w:pPr>
              <w:tabs>
                <w:tab w:val="left" w:pos="5279"/>
              </w:tabs>
              <w:ind w:left="34" w:right="28" w:hanging="40"/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 xml:space="preserve">    </w:t>
            </w:r>
            <w:r w:rsidR="009011A0">
              <w:rPr>
                <w:sz w:val="28"/>
                <w:szCs w:val="28"/>
              </w:rPr>
              <w:t>Nav.</w:t>
            </w:r>
          </w:p>
        </w:tc>
      </w:tr>
    </w:tbl>
    <w:p w:rsidR="009011A0" w:rsidRDefault="009011A0" w:rsidP="009011A0">
      <w:pPr>
        <w:rPr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14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6"/>
      </w:tblGrid>
      <w:tr w:rsidR="009011A0" w:rsidTr="00770AB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0" w:rsidRDefault="009011A0" w:rsidP="009011A0">
            <w:pPr>
              <w:pStyle w:val="naisnod"/>
              <w:spacing w:before="0" w:after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II. Tiesību akta projekta ietekme uz sabiedrību</w:t>
            </w:r>
          </w:p>
        </w:tc>
      </w:tr>
      <w:tr w:rsidR="009011A0" w:rsidTr="00770ABB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0" w:rsidRDefault="009011A0" w:rsidP="00770ABB">
            <w:pPr>
              <w:tabs>
                <w:tab w:val="num" w:pos="0"/>
              </w:tabs>
              <w:ind w:firstLine="426"/>
              <w:jc w:val="center"/>
              <w:rPr>
                <w:szCs w:val="28"/>
              </w:rPr>
            </w:pPr>
            <w:r w:rsidRPr="00DD5FAA">
              <w:rPr>
                <w:sz w:val="28"/>
                <w:szCs w:val="28"/>
              </w:rPr>
              <w:t>Projekts šo jomu neskar</w:t>
            </w:r>
          </w:p>
        </w:tc>
      </w:tr>
    </w:tbl>
    <w:p w:rsidR="009011A0" w:rsidRDefault="009011A0" w:rsidP="009011A0">
      <w:pPr>
        <w:rPr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14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6"/>
      </w:tblGrid>
      <w:tr w:rsidR="009011A0" w:rsidTr="00770AB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0" w:rsidRDefault="009011A0" w:rsidP="00770ABB">
            <w:pPr>
              <w:pStyle w:val="naisnod"/>
              <w:spacing w:before="0" w:after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III. Tiesību akta projekta ietekme uz valsts budžetu un pašvaldību budžetiem</w:t>
            </w:r>
          </w:p>
        </w:tc>
      </w:tr>
      <w:tr w:rsidR="009011A0" w:rsidTr="00770ABB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0" w:rsidRDefault="009011A0" w:rsidP="00770ABB">
            <w:pPr>
              <w:tabs>
                <w:tab w:val="num" w:pos="0"/>
              </w:tabs>
              <w:ind w:firstLine="426"/>
              <w:jc w:val="center"/>
              <w:rPr>
                <w:szCs w:val="28"/>
              </w:rPr>
            </w:pPr>
            <w:r w:rsidRPr="00DD5FAA">
              <w:rPr>
                <w:sz w:val="28"/>
                <w:szCs w:val="28"/>
              </w:rPr>
              <w:t>Projekts šo jomu neskar</w:t>
            </w:r>
          </w:p>
        </w:tc>
      </w:tr>
    </w:tbl>
    <w:p w:rsidR="009011A0" w:rsidRDefault="009011A0" w:rsidP="009011A0">
      <w:pPr>
        <w:rPr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14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6"/>
      </w:tblGrid>
      <w:tr w:rsidR="009011A0" w:rsidTr="00770AB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0" w:rsidRDefault="009011A0" w:rsidP="00770ABB">
            <w:pPr>
              <w:pStyle w:val="naisnod"/>
              <w:spacing w:before="0" w:after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IV. Tiesību akta projekta ietekme uz spēkā esošo tiesību normu sistēmu</w:t>
            </w:r>
          </w:p>
        </w:tc>
      </w:tr>
      <w:tr w:rsidR="009011A0" w:rsidTr="00770ABB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0" w:rsidRDefault="009011A0" w:rsidP="00770ABB">
            <w:pPr>
              <w:tabs>
                <w:tab w:val="num" w:pos="0"/>
              </w:tabs>
              <w:ind w:firstLine="426"/>
              <w:jc w:val="center"/>
              <w:rPr>
                <w:szCs w:val="28"/>
              </w:rPr>
            </w:pPr>
            <w:r w:rsidRPr="00DD5FAA">
              <w:rPr>
                <w:sz w:val="28"/>
                <w:szCs w:val="28"/>
              </w:rPr>
              <w:t>Projekts šo jomu neskar</w:t>
            </w:r>
          </w:p>
        </w:tc>
      </w:tr>
    </w:tbl>
    <w:p w:rsidR="009011A0" w:rsidRDefault="009011A0" w:rsidP="009011A0">
      <w:pPr>
        <w:pStyle w:val="naislab"/>
        <w:tabs>
          <w:tab w:val="left" w:pos="3686"/>
        </w:tabs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7"/>
        <w:gridCol w:w="22"/>
      </w:tblGrid>
      <w:tr w:rsidR="009011A0" w:rsidTr="00770AB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0" w:rsidRDefault="009011A0" w:rsidP="00770ABB">
            <w:pPr>
              <w:pStyle w:val="naisnod"/>
              <w:spacing w:before="0" w:after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V. Tiesību akta projekta atbilstība Latvijas Republikas starptautiskajām saistībām</w:t>
            </w:r>
          </w:p>
        </w:tc>
      </w:tr>
      <w:tr w:rsidR="009011A0" w:rsidTr="00770ABB">
        <w:trPr>
          <w:gridAfter w:val="1"/>
          <w:wAfter w:w="22" w:type="dxa"/>
          <w:trHeight w:val="283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0" w:rsidRDefault="009011A0" w:rsidP="00770ABB">
            <w:pPr>
              <w:tabs>
                <w:tab w:val="num" w:pos="0"/>
              </w:tabs>
              <w:ind w:firstLine="426"/>
              <w:jc w:val="center"/>
              <w:rPr>
                <w:szCs w:val="28"/>
              </w:rPr>
            </w:pPr>
            <w:r w:rsidRPr="00DD5FAA">
              <w:rPr>
                <w:sz w:val="28"/>
                <w:szCs w:val="28"/>
              </w:rPr>
              <w:t>Projekts šo jomu neskar</w:t>
            </w:r>
          </w:p>
        </w:tc>
      </w:tr>
    </w:tbl>
    <w:p w:rsidR="009011A0" w:rsidRDefault="009011A0" w:rsidP="009011A0">
      <w:pPr>
        <w:pStyle w:val="naislab"/>
        <w:tabs>
          <w:tab w:val="left" w:pos="3686"/>
        </w:tabs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7"/>
        <w:gridCol w:w="22"/>
      </w:tblGrid>
      <w:tr w:rsidR="009011A0" w:rsidRPr="00823295" w:rsidTr="00770AB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0" w:rsidRDefault="009011A0" w:rsidP="00770ABB">
            <w:pPr>
              <w:pStyle w:val="naisnod"/>
              <w:spacing w:before="0" w:after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VI. Sabiedrības līdzdalība un šīs līdzdalības rezultāti</w:t>
            </w:r>
          </w:p>
        </w:tc>
      </w:tr>
      <w:tr w:rsidR="009011A0" w:rsidTr="00770ABB">
        <w:trPr>
          <w:gridAfter w:val="1"/>
          <w:wAfter w:w="22" w:type="dxa"/>
          <w:trHeight w:val="283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0" w:rsidRDefault="009011A0" w:rsidP="00770ABB">
            <w:pPr>
              <w:tabs>
                <w:tab w:val="num" w:pos="0"/>
              </w:tabs>
              <w:ind w:firstLine="426"/>
              <w:jc w:val="center"/>
              <w:rPr>
                <w:szCs w:val="28"/>
              </w:rPr>
            </w:pPr>
            <w:r w:rsidRPr="00DD5FAA">
              <w:rPr>
                <w:sz w:val="28"/>
                <w:szCs w:val="28"/>
              </w:rPr>
              <w:t>Projekts šo jomu neskar</w:t>
            </w:r>
          </w:p>
        </w:tc>
      </w:tr>
    </w:tbl>
    <w:p w:rsidR="009011A0" w:rsidRDefault="009011A0" w:rsidP="009011A0">
      <w:pPr>
        <w:pStyle w:val="naislab"/>
        <w:tabs>
          <w:tab w:val="left" w:pos="3686"/>
        </w:tabs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7"/>
        <w:gridCol w:w="22"/>
      </w:tblGrid>
      <w:tr w:rsidR="009011A0" w:rsidRPr="00823295" w:rsidTr="00770AB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0" w:rsidRDefault="009011A0" w:rsidP="00770ABB">
            <w:pPr>
              <w:pStyle w:val="naisnod"/>
              <w:spacing w:before="0" w:after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VII. Tiesību akta projekta izpildes nodrošināšana un tās ietekme uz institūcijām</w:t>
            </w:r>
          </w:p>
        </w:tc>
      </w:tr>
      <w:tr w:rsidR="009011A0" w:rsidTr="00770ABB">
        <w:trPr>
          <w:gridAfter w:val="1"/>
          <w:wAfter w:w="22" w:type="dxa"/>
          <w:trHeight w:val="283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0" w:rsidRDefault="009011A0" w:rsidP="00770ABB">
            <w:pPr>
              <w:tabs>
                <w:tab w:val="num" w:pos="0"/>
              </w:tabs>
              <w:ind w:firstLine="426"/>
              <w:jc w:val="center"/>
              <w:rPr>
                <w:szCs w:val="28"/>
              </w:rPr>
            </w:pPr>
            <w:r w:rsidRPr="00DD5FAA">
              <w:rPr>
                <w:sz w:val="28"/>
                <w:szCs w:val="28"/>
              </w:rPr>
              <w:t>Projekts šo jomu neskar</w:t>
            </w:r>
          </w:p>
        </w:tc>
      </w:tr>
    </w:tbl>
    <w:p w:rsidR="0043106D" w:rsidRDefault="0043106D" w:rsidP="004B7922">
      <w:pPr>
        <w:jc w:val="both"/>
        <w:rPr>
          <w:sz w:val="28"/>
          <w:szCs w:val="28"/>
        </w:rPr>
      </w:pPr>
    </w:p>
    <w:p w:rsidR="006A5D36" w:rsidRDefault="006A5D36" w:rsidP="004B7922">
      <w:pPr>
        <w:jc w:val="both"/>
        <w:rPr>
          <w:sz w:val="28"/>
          <w:szCs w:val="28"/>
        </w:rPr>
      </w:pPr>
    </w:p>
    <w:p w:rsidR="004F30F5" w:rsidRDefault="000F6C6A" w:rsidP="000F6C6A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Kultūras ministr</w:t>
      </w:r>
      <w:r w:rsidR="004F30F5">
        <w:rPr>
          <w:sz w:val="28"/>
          <w:szCs w:val="28"/>
        </w:rPr>
        <w:t xml:space="preserve">a </w:t>
      </w:r>
      <w:proofErr w:type="spellStart"/>
      <w:r w:rsidR="004F30F5">
        <w:rPr>
          <w:sz w:val="28"/>
          <w:szCs w:val="28"/>
        </w:rPr>
        <w:t>p.i</w:t>
      </w:r>
      <w:proofErr w:type="spellEnd"/>
      <w:r w:rsidR="004F30F5">
        <w:rPr>
          <w:sz w:val="28"/>
          <w:szCs w:val="28"/>
        </w:rPr>
        <w:t>.</w:t>
      </w:r>
    </w:p>
    <w:p w:rsidR="000F6C6A" w:rsidRDefault="004F30F5" w:rsidP="004F30F5">
      <w:pPr>
        <w:pStyle w:val="naisf"/>
        <w:spacing w:before="0" w:after="0"/>
        <w:ind w:firstLine="142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9011A0">
        <w:rPr>
          <w:sz w:val="28"/>
          <w:szCs w:val="28"/>
        </w:rPr>
        <w:tab/>
      </w:r>
      <w:r w:rsidR="009011A0">
        <w:rPr>
          <w:sz w:val="28"/>
          <w:szCs w:val="28"/>
        </w:rPr>
        <w:tab/>
      </w:r>
      <w:r w:rsidR="009011A0">
        <w:rPr>
          <w:sz w:val="28"/>
          <w:szCs w:val="28"/>
        </w:rPr>
        <w:tab/>
      </w:r>
      <w:r w:rsidR="009011A0">
        <w:rPr>
          <w:sz w:val="28"/>
          <w:szCs w:val="28"/>
        </w:rPr>
        <w:tab/>
      </w:r>
      <w:r w:rsidR="009011A0">
        <w:rPr>
          <w:sz w:val="28"/>
          <w:szCs w:val="28"/>
        </w:rPr>
        <w:tab/>
      </w:r>
      <w:r w:rsidR="009011A0">
        <w:rPr>
          <w:sz w:val="28"/>
          <w:szCs w:val="28"/>
        </w:rPr>
        <w:tab/>
      </w:r>
      <w:r w:rsidR="009011A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J.Bordāns</w:t>
      </w:r>
      <w:proofErr w:type="spellEnd"/>
    </w:p>
    <w:p w:rsidR="00E37606" w:rsidRPr="00490A32" w:rsidRDefault="00E37606" w:rsidP="00FD13DB">
      <w:pPr>
        <w:pStyle w:val="naisf"/>
        <w:spacing w:before="0" w:after="0"/>
        <w:ind w:left="142"/>
        <w:rPr>
          <w:sz w:val="28"/>
          <w:szCs w:val="28"/>
        </w:rPr>
      </w:pPr>
      <w:r w:rsidRPr="00490A32">
        <w:rPr>
          <w:sz w:val="28"/>
          <w:szCs w:val="28"/>
        </w:rPr>
        <w:tab/>
      </w:r>
    </w:p>
    <w:p w:rsidR="00E37606" w:rsidRPr="00490A32" w:rsidRDefault="00FD13DB" w:rsidP="00FD13DB">
      <w:pPr>
        <w:pStyle w:val="naisf"/>
        <w:spacing w:before="0" w:after="0"/>
        <w:ind w:left="142" w:firstLine="0"/>
        <w:rPr>
          <w:sz w:val="28"/>
          <w:szCs w:val="28"/>
        </w:rPr>
      </w:pPr>
      <w:r w:rsidRPr="00490A32">
        <w:rPr>
          <w:sz w:val="28"/>
          <w:szCs w:val="28"/>
        </w:rPr>
        <w:t>Vīza: V</w:t>
      </w:r>
      <w:r w:rsidR="00E37606" w:rsidRPr="00490A32">
        <w:rPr>
          <w:sz w:val="28"/>
          <w:szCs w:val="28"/>
        </w:rPr>
        <w:t>alsts sekretārs</w:t>
      </w:r>
      <w:r w:rsidR="00E37606" w:rsidRPr="00490A32">
        <w:rPr>
          <w:sz w:val="28"/>
          <w:szCs w:val="28"/>
        </w:rPr>
        <w:tab/>
      </w:r>
      <w:r w:rsidR="00E37606" w:rsidRPr="00490A32">
        <w:rPr>
          <w:sz w:val="28"/>
          <w:szCs w:val="28"/>
        </w:rPr>
        <w:tab/>
      </w:r>
      <w:r w:rsidR="00E37606" w:rsidRPr="00490A32">
        <w:rPr>
          <w:sz w:val="28"/>
          <w:szCs w:val="28"/>
        </w:rPr>
        <w:tab/>
      </w:r>
      <w:r w:rsidR="00E37606" w:rsidRPr="00490A32">
        <w:rPr>
          <w:sz w:val="28"/>
          <w:szCs w:val="28"/>
        </w:rPr>
        <w:tab/>
      </w:r>
      <w:r w:rsidRPr="00490A32">
        <w:rPr>
          <w:sz w:val="28"/>
          <w:szCs w:val="28"/>
        </w:rPr>
        <w:tab/>
      </w:r>
      <w:r w:rsidRPr="00490A32">
        <w:rPr>
          <w:sz w:val="28"/>
          <w:szCs w:val="28"/>
        </w:rPr>
        <w:tab/>
      </w:r>
      <w:r w:rsidR="00E37606" w:rsidRPr="00490A32">
        <w:rPr>
          <w:sz w:val="28"/>
          <w:szCs w:val="28"/>
        </w:rPr>
        <w:t>G.Puķītis</w:t>
      </w:r>
    </w:p>
    <w:p w:rsidR="0043106D" w:rsidRDefault="0043106D">
      <w:pPr>
        <w:pStyle w:val="naisf"/>
        <w:spacing w:before="0" w:after="0"/>
        <w:rPr>
          <w:sz w:val="20"/>
          <w:szCs w:val="20"/>
        </w:rPr>
      </w:pPr>
    </w:p>
    <w:p w:rsidR="009011A0" w:rsidRDefault="009011A0">
      <w:pPr>
        <w:pStyle w:val="naisf"/>
        <w:spacing w:before="0" w:after="0"/>
        <w:rPr>
          <w:sz w:val="20"/>
          <w:szCs w:val="20"/>
        </w:rPr>
      </w:pPr>
    </w:p>
    <w:p w:rsidR="009011A0" w:rsidRDefault="009011A0">
      <w:pPr>
        <w:pStyle w:val="naisf"/>
        <w:spacing w:before="0" w:after="0"/>
        <w:rPr>
          <w:sz w:val="20"/>
          <w:szCs w:val="20"/>
        </w:rPr>
      </w:pPr>
    </w:p>
    <w:p w:rsidR="009011A0" w:rsidRDefault="009011A0">
      <w:pPr>
        <w:pStyle w:val="naisf"/>
        <w:spacing w:before="0" w:after="0"/>
        <w:rPr>
          <w:sz w:val="20"/>
          <w:szCs w:val="20"/>
        </w:rPr>
      </w:pPr>
    </w:p>
    <w:p w:rsidR="009011A0" w:rsidRDefault="009011A0">
      <w:pPr>
        <w:pStyle w:val="naisf"/>
        <w:spacing w:before="0" w:after="0"/>
        <w:rPr>
          <w:sz w:val="20"/>
          <w:szCs w:val="20"/>
        </w:rPr>
      </w:pPr>
    </w:p>
    <w:p w:rsidR="0043106D" w:rsidRPr="00253C60" w:rsidRDefault="00066487" w:rsidP="0043106D">
      <w:pPr>
        <w:rPr>
          <w:sz w:val="22"/>
          <w:szCs w:val="22"/>
        </w:rPr>
      </w:pPr>
      <w:r w:rsidRPr="00253C60">
        <w:rPr>
          <w:sz w:val="22"/>
          <w:szCs w:val="22"/>
        </w:rPr>
        <w:fldChar w:fldCharType="begin"/>
      </w:r>
      <w:r w:rsidR="0043106D" w:rsidRPr="00253C60">
        <w:rPr>
          <w:sz w:val="22"/>
          <w:szCs w:val="22"/>
        </w:rPr>
        <w:instrText xml:space="preserve"> DATE  \@ "yyyy.MM.dd. H:mm"  \* MERGEFORMAT </w:instrText>
      </w:r>
      <w:r w:rsidRPr="00253C60">
        <w:rPr>
          <w:sz w:val="22"/>
          <w:szCs w:val="22"/>
        </w:rPr>
        <w:fldChar w:fldCharType="separate"/>
      </w:r>
      <w:r w:rsidR="004F30F5">
        <w:rPr>
          <w:noProof/>
          <w:sz w:val="22"/>
          <w:szCs w:val="22"/>
        </w:rPr>
        <w:t>2013.09.27. 10:22</w:t>
      </w:r>
      <w:r w:rsidRPr="00253C60">
        <w:rPr>
          <w:sz w:val="22"/>
          <w:szCs w:val="22"/>
        </w:rPr>
        <w:fldChar w:fldCharType="end"/>
      </w:r>
    </w:p>
    <w:p w:rsidR="0043106D" w:rsidRPr="00253C60" w:rsidRDefault="004F30F5" w:rsidP="0043106D">
      <w:pPr>
        <w:tabs>
          <w:tab w:val="center" w:pos="4535"/>
        </w:tabs>
        <w:rPr>
          <w:sz w:val="22"/>
          <w:szCs w:val="22"/>
        </w:rPr>
      </w:pPr>
      <w:r>
        <w:rPr>
          <w:sz w:val="22"/>
          <w:szCs w:val="22"/>
        </w:rPr>
        <w:t>313</w:t>
      </w:r>
      <w:r w:rsidR="0043106D" w:rsidRPr="00253C60">
        <w:rPr>
          <w:sz w:val="22"/>
          <w:szCs w:val="22"/>
        </w:rPr>
        <w:tab/>
      </w:r>
    </w:p>
    <w:p w:rsidR="0043106D" w:rsidRPr="00253C60" w:rsidRDefault="00FC27C8" w:rsidP="0043106D">
      <w:pPr>
        <w:pStyle w:val="Galvene"/>
        <w:rPr>
          <w:sz w:val="22"/>
          <w:szCs w:val="22"/>
        </w:rPr>
      </w:pPr>
      <w:r w:rsidRPr="00253C60">
        <w:rPr>
          <w:sz w:val="22"/>
          <w:szCs w:val="22"/>
        </w:rPr>
        <w:t>A.Ducmane</w:t>
      </w:r>
    </w:p>
    <w:p w:rsidR="0043106D" w:rsidRPr="00253C60" w:rsidRDefault="0043106D" w:rsidP="0043106D">
      <w:pPr>
        <w:pStyle w:val="Galvene"/>
        <w:rPr>
          <w:sz w:val="22"/>
          <w:szCs w:val="22"/>
        </w:rPr>
      </w:pPr>
      <w:bookmarkStart w:id="7" w:name="OLE_LINK5"/>
      <w:bookmarkStart w:id="8" w:name="OLE_LINK6"/>
      <w:bookmarkStart w:id="9" w:name="OLE_LINK11"/>
      <w:r w:rsidRPr="00253C60">
        <w:rPr>
          <w:sz w:val="22"/>
          <w:szCs w:val="22"/>
        </w:rPr>
        <w:t>Tālr.67</w:t>
      </w:r>
      <w:r w:rsidR="007B1946" w:rsidRPr="00253C60">
        <w:rPr>
          <w:sz w:val="22"/>
          <w:szCs w:val="22"/>
        </w:rPr>
        <w:t>33024</w:t>
      </w:r>
      <w:r w:rsidR="00FC27C8" w:rsidRPr="00253C60">
        <w:rPr>
          <w:sz w:val="22"/>
          <w:szCs w:val="22"/>
        </w:rPr>
        <w:t>6</w:t>
      </w:r>
    </w:p>
    <w:p w:rsidR="0043106D" w:rsidRPr="00253C60" w:rsidRDefault="00066487" w:rsidP="00FC27C8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  <w:hyperlink r:id="rId6" w:history="1">
        <w:r w:rsidR="00FC27C8" w:rsidRPr="00253C60">
          <w:rPr>
            <w:rStyle w:val="Hipersaite"/>
            <w:sz w:val="22"/>
            <w:szCs w:val="22"/>
          </w:rPr>
          <w:t>Anna.Ducmane@km.gov.lv</w:t>
        </w:r>
      </w:hyperlink>
      <w:bookmarkEnd w:id="7"/>
      <w:bookmarkEnd w:id="8"/>
      <w:bookmarkEnd w:id="9"/>
    </w:p>
    <w:sectPr w:rsidR="0043106D" w:rsidRPr="00253C60" w:rsidSect="004B792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CC" w:rsidRDefault="001926CC" w:rsidP="00FC6606">
      <w:r>
        <w:separator/>
      </w:r>
    </w:p>
  </w:endnote>
  <w:endnote w:type="continuationSeparator" w:id="0">
    <w:p w:rsidR="001926CC" w:rsidRDefault="001926CC" w:rsidP="00FC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CC" w:rsidRPr="00FC27C8" w:rsidRDefault="00FC27C8" w:rsidP="00FC27C8">
    <w:pPr>
      <w:jc w:val="both"/>
      <w:rPr>
        <w:szCs w:val="22"/>
      </w:rPr>
    </w:pPr>
    <w:r w:rsidRPr="00FC27C8">
      <w:rPr>
        <w:sz w:val="22"/>
        <w:szCs w:val="22"/>
      </w:rPr>
      <w:t>KMAnot_2</w:t>
    </w:r>
    <w:r w:rsidR="004F30F5">
      <w:rPr>
        <w:sz w:val="22"/>
        <w:szCs w:val="22"/>
      </w:rPr>
      <w:t>709</w:t>
    </w:r>
    <w:r w:rsidRPr="00FC27C8">
      <w:rPr>
        <w:sz w:val="22"/>
        <w:szCs w:val="22"/>
      </w:rPr>
      <w:t>13_VPA_928</w:t>
    </w:r>
    <w:r w:rsidR="006A5D36">
      <w:rPr>
        <w:sz w:val="22"/>
        <w:szCs w:val="22"/>
      </w:rPr>
      <w:t>_VSS-1553</w:t>
    </w:r>
    <w:r w:rsidRPr="00FC27C8">
      <w:rPr>
        <w:sz w:val="22"/>
        <w:szCs w:val="22"/>
      </w:rPr>
      <w:t>; Ministru kabineta noteikumu projekta „</w:t>
    </w:r>
    <w:r w:rsidRPr="00FC27C8">
      <w:rPr>
        <w:bCs/>
        <w:sz w:val="22"/>
        <w:szCs w:val="22"/>
      </w:rPr>
      <w:t>Grozījumi Ministru kabineta 2010.gada 5.oktobra noteikumos Nr.928 „Kārtība, kādā dibināmi valsts institūciju un pašvaldību apbalvojumi”</w:t>
    </w:r>
    <w:r w:rsidRPr="00FC27C8">
      <w:rPr>
        <w:sz w:val="22"/>
        <w:szCs w:val="22"/>
      </w:rPr>
      <w:t>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CC" w:rsidRPr="00FC27C8" w:rsidRDefault="00E70023" w:rsidP="00FC27C8">
    <w:pPr>
      <w:jc w:val="both"/>
      <w:rPr>
        <w:sz w:val="22"/>
        <w:szCs w:val="22"/>
      </w:rPr>
    </w:pPr>
    <w:r w:rsidRPr="00FC27C8">
      <w:rPr>
        <w:sz w:val="22"/>
        <w:szCs w:val="22"/>
      </w:rPr>
      <w:t>KMAnot_</w:t>
    </w:r>
    <w:r w:rsidR="00FC27C8" w:rsidRPr="00FC27C8">
      <w:rPr>
        <w:sz w:val="22"/>
        <w:szCs w:val="22"/>
      </w:rPr>
      <w:t>2</w:t>
    </w:r>
    <w:r w:rsidR="004F30F5">
      <w:rPr>
        <w:sz w:val="22"/>
        <w:szCs w:val="22"/>
      </w:rPr>
      <w:t>709</w:t>
    </w:r>
    <w:r w:rsidR="001926CC" w:rsidRPr="00FC27C8">
      <w:rPr>
        <w:sz w:val="22"/>
        <w:szCs w:val="22"/>
      </w:rPr>
      <w:t>13_</w:t>
    </w:r>
    <w:r w:rsidR="00FC27C8" w:rsidRPr="00FC27C8">
      <w:rPr>
        <w:sz w:val="22"/>
        <w:szCs w:val="22"/>
      </w:rPr>
      <w:t>VPA</w:t>
    </w:r>
    <w:r w:rsidR="001926CC" w:rsidRPr="00FC27C8">
      <w:rPr>
        <w:sz w:val="22"/>
        <w:szCs w:val="22"/>
      </w:rPr>
      <w:t>_</w:t>
    </w:r>
    <w:r w:rsidR="00FC27C8" w:rsidRPr="00FC27C8">
      <w:rPr>
        <w:sz w:val="22"/>
        <w:szCs w:val="22"/>
      </w:rPr>
      <w:t>928</w:t>
    </w:r>
    <w:r w:rsidR="006A5D36">
      <w:rPr>
        <w:sz w:val="22"/>
        <w:szCs w:val="22"/>
      </w:rPr>
      <w:t>_VSS-1553</w:t>
    </w:r>
    <w:r w:rsidR="001926CC" w:rsidRPr="00FC27C8">
      <w:rPr>
        <w:sz w:val="22"/>
        <w:szCs w:val="22"/>
      </w:rPr>
      <w:t>; Ministru kabineta noteikumu projekta „</w:t>
    </w:r>
    <w:r w:rsidR="00FC27C8" w:rsidRPr="00FC27C8">
      <w:rPr>
        <w:bCs/>
        <w:sz w:val="22"/>
        <w:szCs w:val="22"/>
      </w:rPr>
      <w:t>Grozījumi Ministru kabineta 2010.gada 5.oktobra noteikumos Nr.928 „Kārtība, kādā dibināmi valsts institūciju un pašvaldību apbalvojumi”</w:t>
    </w:r>
    <w:r w:rsidR="001926CC" w:rsidRPr="00FC27C8">
      <w:rPr>
        <w:sz w:val="22"/>
        <w:szCs w:val="22"/>
      </w:rPr>
      <w:t>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CC" w:rsidRDefault="001926CC" w:rsidP="00FC6606">
      <w:r>
        <w:separator/>
      </w:r>
    </w:p>
  </w:footnote>
  <w:footnote w:type="continuationSeparator" w:id="0">
    <w:p w:rsidR="001926CC" w:rsidRDefault="001926CC" w:rsidP="00FC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CC" w:rsidRDefault="00066487" w:rsidP="005A725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926C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926CC" w:rsidRDefault="001926C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CC" w:rsidRPr="000A2E70" w:rsidRDefault="00066487" w:rsidP="005A725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0A2E70">
      <w:rPr>
        <w:rStyle w:val="Lappusesnumurs"/>
        <w:sz w:val="22"/>
        <w:szCs w:val="22"/>
      </w:rPr>
      <w:fldChar w:fldCharType="begin"/>
    </w:r>
    <w:r w:rsidR="001926CC" w:rsidRPr="000A2E70">
      <w:rPr>
        <w:rStyle w:val="Lappusesnumurs"/>
        <w:sz w:val="22"/>
        <w:szCs w:val="22"/>
      </w:rPr>
      <w:instrText xml:space="preserve">PAGE  </w:instrText>
    </w:r>
    <w:r w:rsidRPr="000A2E70">
      <w:rPr>
        <w:rStyle w:val="Lappusesnumurs"/>
        <w:sz w:val="22"/>
        <w:szCs w:val="22"/>
      </w:rPr>
      <w:fldChar w:fldCharType="separate"/>
    </w:r>
    <w:r w:rsidR="004F30F5">
      <w:rPr>
        <w:rStyle w:val="Lappusesnumurs"/>
        <w:noProof/>
        <w:sz w:val="22"/>
        <w:szCs w:val="22"/>
      </w:rPr>
      <w:t>2</w:t>
    </w:r>
    <w:r w:rsidRPr="000A2E70">
      <w:rPr>
        <w:rStyle w:val="Lappusesnumurs"/>
        <w:sz w:val="22"/>
        <w:szCs w:val="22"/>
      </w:rPr>
      <w:fldChar w:fldCharType="end"/>
    </w:r>
  </w:p>
  <w:p w:rsidR="001926CC" w:rsidRDefault="001926CC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06"/>
    <w:rsid w:val="00007AF3"/>
    <w:rsid w:val="00034E00"/>
    <w:rsid w:val="00055B08"/>
    <w:rsid w:val="00066487"/>
    <w:rsid w:val="000A2E70"/>
    <w:rsid w:val="000B1C58"/>
    <w:rsid w:val="000F6C6A"/>
    <w:rsid w:val="001570EE"/>
    <w:rsid w:val="0016537D"/>
    <w:rsid w:val="00184436"/>
    <w:rsid w:val="001926CC"/>
    <w:rsid w:val="00253C60"/>
    <w:rsid w:val="00273D0E"/>
    <w:rsid w:val="00291EA9"/>
    <w:rsid w:val="002C382C"/>
    <w:rsid w:val="002C66AF"/>
    <w:rsid w:val="002D41BC"/>
    <w:rsid w:val="002E1041"/>
    <w:rsid w:val="00335545"/>
    <w:rsid w:val="0034303D"/>
    <w:rsid w:val="003609AB"/>
    <w:rsid w:val="00365590"/>
    <w:rsid w:val="00370317"/>
    <w:rsid w:val="00387944"/>
    <w:rsid w:val="003A38AD"/>
    <w:rsid w:val="003A5496"/>
    <w:rsid w:val="003D157A"/>
    <w:rsid w:val="003F0619"/>
    <w:rsid w:val="003F3AAF"/>
    <w:rsid w:val="0040083C"/>
    <w:rsid w:val="0043106D"/>
    <w:rsid w:val="00441107"/>
    <w:rsid w:val="00443E70"/>
    <w:rsid w:val="004456D6"/>
    <w:rsid w:val="00452582"/>
    <w:rsid w:val="00482976"/>
    <w:rsid w:val="00490A32"/>
    <w:rsid w:val="0049339F"/>
    <w:rsid w:val="004A5A45"/>
    <w:rsid w:val="004B5EC7"/>
    <w:rsid w:val="004B7922"/>
    <w:rsid w:val="004F30F5"/>
    <w:rsid w:val="0055154A"/>
    <w:rsid w:val="0056155C"/>
    <w:rsid w:val="00597D6F"/>
    <w:rsid w:val="005A725B"/>
    <w:rsid w:val="00644979"/>
    <w:rsid w:val="00650083"/>
    <w:rsid w:val="006509FB"/>
    <w:rsid w:val="006530BE"/>
    <w:rsid w:val="006A5D36"/>
    <w:rsid w:val="0073400C"/>
    <w:rsid w:val="0073549F"/>
    <w:rsid w:val="00745639"/>
    <w:rsid w:val="007650A3"/>
    <w:rsid w:val="007863E6"/>
    <w:rsid w:val="007A23B5"/>
    <w:rsid w:val="007A4208"/>
    <w:rsid w:val="007B1946"/>
    <w:rsid w:val="007F04EF"/>
    <w:rsid w:val="007F227C"/>
    <w:rsid w:val="00876047"/>
    <w:rsid w:val="00892410"/>
    <w:rsid w:val="00896C3E"/>
    <w:rsid w:val="008B45D5"/>
    <w:rsid w:val="008C2B8D"/>
    <w:rsid w:val="008D6794"/>
    <w:rsid w:val="008D73EE"/>
    <w:rsid w:val="008E5151"/>
    <w:rsid w:val="009011A0"/>
    <w:rsid w:val="009348C0"/>
    <w:rsid w:val="0094655B"/>
    <w:rsid w:val="009534CE"/>
    <w:rsid w:val="00976A0F"/>
    <w:rsid w:val="00994670"/>
    <w:rsid w:val="009A0504"/>
    <w:rsid w:val="009C5311"/>
    <w:rsid w:val="009C7013"/>
    <w:rsid w:val="00AC29E2"/>
    <w:rsid w:val="00AC5178"/>
    <w:rsid w:val="00AE4CD8"/>
    <w:rsid w:val="00B2451B"/>
    <w:rsid w:val="00B31A59"/>
    <w:rsid w:val="00B53DB9"/>
    <w:rsid w:val="00B7461E"/>
    <w:rsid w:val="00B750AF"/>
    <w:rsid w:val="00B77C6F"/>
    <w:rsid w:val="00B813CF"/>
    <w:rsid w:val="00BC1841"/>
    <w:rsid w:val="00BC1D60"/>
    <w:rsid w:val="00C345F2"/>
    <w:rsid w:val="00C3648D"/>
    <w:rsid w:val="00C84009"/>
    <w:rsid w:val="00CD64F0"/>
    <w:rsid w:val="00D27BE4"/>
    <w:rsid w:val="00D365F8"/>
    <w:rsid w:val="00D419D8"/>
    <w:rsid w:val="00D51484"/>
    <w:rsid w:val="00D70691"/>
    <w:rsid w:val="00D955A4"/>
    <w:rsid w:val="00DD2B94"/>
    <w:rsid w:val="00DD3C33"/>
    <w:rsid w:val="00E37606"/>
    <w:rsid w:val="00E6094C"/>
    <w:rsid w:val="00E70023"/>
    <w:rsid w:val="00ED3BDE"/>
    <w:rsid w:val="00ED4656"/>
    <w:rsid w:val="00F27733"/>
    <w:rsid w:val="00F43B8D"/>
    <w:rsid w:val="00FC27C8"/>
    <w:rsid w:val="00FC6606"/>
    <w:rsid w:val="00FD13DB"/>
    <w:rsid w:val="00FD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E3760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Parastais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ais"/>
    <w:link w:val="GalveneRakstz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E37606"/>
  </w:style>
  <w:style w:type="paragraph" w:customStyle="1" w:styleId="tv213">
    <w:name w:val="tv213"/>
    <w:basedOn w:val="Parastais"/>
    <w:rsid w:val="00E37606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Parastais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ais"/>
    <w:rsid w:val="00E37606"/>
    <w:pPr>
      <w:suppressAutoHyphens/>
      <w:spacing w:before="75" w:after="75"/>
    </w:pPr>
    <w:rPr>
      <w:lang w:eastAsia="ar-SA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376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Vresteksts">
    <w:name w:val="footnote text"/>
    <w:basedOn w:val="Parastais"/>
    <w:link w:val="VrestekstsRakstz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uiPriority w:val="99"/>
    <w:semiHidden/>
    <w:unhideWhenUsed/>
    <w:rsid w:val="00C345F2"/>
    <w:rPr>
      <w:vertAlign w:val="superscript"/>
    </w:rPr>
  </w:style>
  <w:style w:type="paragraph" w:customStyle="1" w:styleId="naislab">
    <w:name w:val="naislab"/>
    <w:basedOn w:val="Parastais"/>
    <w:rsid w:val="009011A0"/>
    <w:pPr>
      <w:spacing w:before="75" w:after="75"/>
      <w:jc w:val="right"/>
    </w:pPr>
    <w:rPr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Ducmane@k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„Grozījums Ministru kabineta 2006.gada 29.augusta noteikumos Nr.720 „Noteikumi par atlīdzības apmēru Valsts kultūrkapitāla fonda padomes locekļiem” sākotnējās ietekmes novērtējuma ziņojums (anotācija)</vt:lpstr>
    </vt:vector>
  </TitlesOfParts>
  <Manager>G.Puķītis</Manager>
  <Company>LR Kultūras Ministrija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5.oktobranoteikumos Nr.928 „Kārtība, kādā dibināmi valsts institūciju un pašvaldību apbalvojumi”” sākotnējās ietekmes novērtējuma ziņojums (anotācija)</dc:title>
  <dc:subject>KMAnot_210813_VPA_928_VSS-1553</dc:subject>
  <dc:creator>Anna Ducmane</dc:creator>
  <dc:description>Tālr.67330246
Anna.Ducmane@km.gov.lv</dc:description>
  <cp:lastModifiedBy>inesed</cp:lastModifiedBy>
  <cp:revision>4</cp:revision>
  <cp:lastPrinted>2013-07-01T14:01:00Z</cp:lastPrinted>
  <dcterms:created xsi:type="dcterms:W3CDTF">2013-08-21T09:34:00Z</dcterms:created>
  <dcterms:modified xsi:type="dcterms:W3CDTF">2013-09-27T07:24:00Z</dcterms:modified>
</cp:coreProperties>
</file>