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B5" w:rsidRPr="00217A73" w:rsidRDefault="001003B5" w:rsidP="00D234EF">
      <w:pPr>
        <w:tabs>
          <w:tab w:val="left" w:pos="7560"/>
        </w:tabs>
        <w:ind w:firstLine="851"/>
        <w:jc w:val="center"/>
        <w:rPr>
          <w:b/>
          <w:bCs/>
        </w:rPr>
      </w:pPr>
      <w:bookmarkStart w:id="0" w:name="OLE_LINK1"/>
      <w:bookmarkStart w:id="1" w:name="OLE_LINK2"/>
      <w:bookmarkStart w:id="2" w:name="OLE_LINK3"/>
      <w:bookmarkStart w:id="3" w:name="OLE_LINK4"/>
      <w:r w:rsidRPr="00217A73">
        <w:rPr>
          <w:b/>
          <w:bCs/>
        </w:rPr>
        <w:t>Ministru kabineta noteikumu projekta „Noteikumi par Eiropas Trešo valstu valstspiederīgo integrācijas fonda 2010.gada programmas</w:t>
      </w:r>
      <w:r w:rsidR="00D234EF" w:rsidRPr="00217A73">
        <w:rPr>
          <w:b/>
          <w:bCs/>
        </w:rPr>
        <w:t xml:space="preserve"> </w:t>
      </w:r>
      <w:r w:rsidRPr="00217A73">
        <w:rPr>
          <w:b/>
          <w:bCs/>
        </w:rPr>
        <w:t>aktivitāšu īstenošanu”</w:t>
      </w:r>
      <w:r w:rsidRPr="00217A73">
        <w:rPr>
          <w:b/>
        </w:rPr>
        <w:t xml:space="preserve"> sākotnējās ietekmes novērtējuma ziņojums (anotācija)</w:t>
      </w:r>
      <w:bookmarkEnd w:id="0"/>
      <w:bookmarkEnd w:id="1"/>
    </w:p>
    <w:bookmarkEnd w:id="2"/>
    <w:bookmarkEnd w:id="3"/>
    <w:p w:rsidR="001003B5" w:rsidRPr="00217A73" w:rsidRDefault="001003B5" w:rsidP="001003B5">
      <w:pPr>
        <w:pStyle w:val="naislab"/>
        <w:spacing w:before="0" w:after="0"/>
        <w:jc w:val="center"/>
        <w:outlineLvl w:val="0"/>
        <w:rPr>
          <w:b/>
        </w:rPr>
      </w:pPr>
    </w:p>
    <w:tbl>
      <w:tblPr>
        <w:tblStyle w:val="Reatabula"/>
        <w:tblpPr w:leftFromText="180" w:rightFromText="180" w:vertAnchor="text" w:tblpX="72" w:tblpY="1"/>
        <w:tblOverlap w:val="never"/>
        <w:tblW w:w="9108" w:type="dxa"/>
        <w:tblLook w:val="01E0"/>
      </w:tblPr>
      <w:tblGrid>
        <w:gridCol w:w="540"/>
        <w:gridCol w:w="2843"/>
        <w:gridCol w:w="5725"/>
      </w:tblGrid>
      <w:tr w:rsidR="001003B5" w:rsidRPr="00217A73" w:rsidTr="001002F6">
        <w:tc>
          <w:tcPr>
            <w:tcW w:w="9108" w:type="dxa"/>
            <w:gridSpan w:val="3"/>
          </w:tcPr>
          <w:p w:rsidR="001003B5" w:rsidRPr="00217A73" w:rsidRDefault="001003B5" w:rsidP="001002F6">
            <w:pPr>
              <w:pStyle w:val="naislab"/>
              <w:spacing w:before="0" w:after="0"/>
              <w:jc w:val="center"/>
              <w:outlineLvl w:val="0"/>
              <w:rPr>
                <w:b/>
              </w:rPr>
            </w:pPr>
            <w:r w:rsidRPr="00217A73">
              <w:t> </w:t>
            </w:r>
            <w:r w:rsidRPr="00217A73">
              <w:rPr>
                <w:b/>
              </w:rPr>
              <w:t>I Tiesību akta projekta izstrādes nepieciešamība</w:t>
            </w:r>
          </w:p>
        </w:tc>
      </w:tr>
      <w:tr w:rsidR="001003B5" w:rsidRPr="00217A73" w:rsidTr="00AF0A44">
        <w:trPr>
          <w:trHeight w:val="557"/>
        </w:trPr>
        <w:tc>
          <w:tcPr>
            <w:tcW w:w="540" w:type="dxa"/>
          </w:tcPr>
          <w:p w:rsidR="001003B5" w:rsidRPr="00217A73" w:rsidRDefault="001003B5" w:rsidP="001002F6">
            <w:pPr>
              <w:pStyle w:val="naislab"/>
              <w:numPr>
                <w:ilvl w:val="0"/>
                <w:numId w:val="1"/>
              </w:numPr>
              <w:tabs>
                <w:tab w:val="clear" w:pos="720"/>
                <w:tab w:val="num" w:pos="72"/>
              </w:tabs>
              <w:spacing w:before="0" w:after="0"/>
              <w:ind w:left="0" w:firstLine="0"/>
              <w:jc w:val="both"/>
              <w:outlineLvl w:val="0"/>
            </w:pPr>
          </w:p>
        </w:tc>
        <w:tc>
          <w:tcPr>
            <w:tcW w:w="2843" w:type="dxa"/>
          </w:tcPr>
          <w:p w:rsidR="001003B5" w:rsidRPr="00217A73" w:rsidRDefault="001003B5" w:rsidP="001002F6">
            <w:pPr>
              <w:pStyle w:val="naislab"/>
              <w:spacing w:before="0" w:after="0"/>
              <w:jc w:val="both"/>
              <w:outlineLvl w:val="0"/>
              <w:rPr>
                <w:b/>
              </w:rPr>
            </w:pPr>
            <w:r w:rsidRPr="00217A73">
              <w:t>Pamatojums</w:t>
            </w:r>
          </w:p>
        </w:tc>
        <w:tc>
          <w:tcPr>
            <w:tcW w:w="5725" w:type="dxa"/>
          </w:tcPr>
          <w:p w:rsidR="00C40FD7" w:rsidRPr="00217A73" w:rsidRDefault="00A024CF" w:rsidP="00AF0A44">
            <w:pPr>
              <w:pStyle w:val="naiskr"/>
              <w:ind w:firstLine="303"/>
              <w:jc w:val="both"/>
            </w:pPr>
            <w:r w:rsidRPr="00217A73">
              <w:t>Saskaņā ar</w:t>
            </w:r>
            <w:r w:rsidR="002168EF" w:rsidRPr="00217A73">
              <w:t xml:space="preserve"> Eiropas Padomes 2007.gada 25.</w:t>
            </w:r>
            <w:r w:rsidRPr="00217A73">
              <w:t>jūnija lēmuma Nr. 2007/43</w:t>
            </w:r>
            <w:r w:rsidR="002168EF" w:rsidRPr="00217A73">
              <w:t>5/EK, ar ko laikposmam no 2007.</w:t>
            </w:r>
            <w:r w:rsidRPr="00217A73">
              <w:t>gada līdz 2013.gadam izveido Eiropas Trešo valstu valstspiederīgo integrācijas fondu kā daļu no Vispārīgās programmas „Solidaritāte un migrācijas plūsmu pārvaldība”</w:t>
            </w:r>
            <w:r w:rsidR="003A4349">
              <w:t>, attiecībā uz dalībvalstu pārvaldības un kontroles sistēmām, administratīvās un finanšu pārvaldības noteikumiem un Fonda līdzfinansēto projekta izdevumu atbilstību,</w:t>
            </w:r>
            <w:r w:rsidRPr="00217A73">
              <w:t xml:space="preserve"> 19</w:t>
            </w:r>
            <w:r w:rsidR="002168EF" w:rsidRPr="00217A73">
              <w:t>.</w:t>
            </w:r>
            <w:r w:rsidR="00AD290D" w:rsidRPr="00217A73">
              <w:t>p</w:t>
            </w:r>
            <w:r w:rsidRPr="00217A73">
              <w:t>antu, Eiropas Komisija ir apstiprinājusi Eiropas Trešo valstu valstspiederīgo integrācijas fonda 2010.gada programm</w:t>
            </w:r>
            <w:r w:rsidR="008135C0" w:rsidRPr="00217A73">
              <w:t>u</w:t>
            </w:r>
            <w:r w:rsidR="00C40FD7" w:rsidRPr="00217A73">
              <w:t>.</w:t>
            </w:r>
          </w:p>
          <w:p w:rsidR="001003B5" w:rsidRPr="00217A73" w:rsidRDefault="001003B5" w:rsidP="00AF0A44">
            <w:pPr>
              <w:pStyle w:val="naiskr"/>
              <w:ind w:firstLine="303"/>
              <w:jc w:val="both"/>
            </w:pPr>
            <w:r w:rsidRPr="00217A73">
              <w:t xml:space="preserve">Eiropas Komisijas </w:t>
            </w:r>
            <w:r w:rsidR="002168EF" w:rsidRPr="00217A73">
              <w:t>2008.gada 5.</w:t>
            </w:r>
            <w:r w:rsidRPr="00217A73">
              <w:t xml:space="preserve">marta </w:t>
            </w:r>
            <w:r w:rsidR="0014495F" w:rsidRPr="00217A73">
              <w:t xml:space="preserve">lēmuma </w:t>
            </w:r>
            <w:r w:rsidRPr="00217A73">
              <w:t>Nr. 2008/457/EK, kas nosaka kārtību, kādā īstenojams Padomes lēmums 2007/43</w:t>
            </w:r>
            <w:r w:rsidR="002168EF" w:rsidRPr="00217A73">
              <w:t>5/EK, ar ko laikposmam no 2007.</w:t>
            </w:r>
            <w:r w:rsidRPr="00217A73">
              <w:t>gada līdz 2013.gadam izveido Eiropas Trešo valstu valstspiederīgo integrācijas fondu kā daļu no Vispārīgās programmas „Solidaritāte un migrācijas plūsmu pārvaldība”,</w:t>
            </w:r>
            <w:r w:rsidR="003A4349">
              <w:t xml:space="preserve"> attiecībā uz dalībvalstu pārvaldības un kontroles sistēmām, administratīvās un finanšu pārvaldības noteikumiem un Fonda līdzfinansēto projekta izdevumu atbilstību,</w:t>
            </w:r>
            <w:r w:rsidRPr="00217A73">
              <w:t xml:space="preserve"> </w:t>
            </w:r>
            <w:r w:rsidR="0014495F" w:rsidRPr="00217A73">
              <w:t>9.pants nosaka, ka dalībvalstīm jānosaka projektu</w:t>
            </w:r>
            <w:r w:rsidRPr="00217A73">
              <w:t xml:space="preserve"> atlases un </w:t>
            </w:r>
            <w:r w:rsidR="0014495F" w:rsidRPr="00217A73">
              <w:t xml:space="preserve">finansējuma </w:t>
            </w:r>
            <w:r w:rsidRPr="00217A73">
              <w:t>piešķiršanas procedūra.</w:t>
            </w:r>
          </w:p>
          <w:p w:rsidR="00B024D3" w:rsidRPr="00217A73" w:rsidRDefault="00AF0A44" w:rsidP="00D865EF">
            <w:pPr>
              <w:pStyle w:val="naiskr"/>
              <w:ind w:firstLine="303"/>
              <w:jc w:val="both"/>
            </w:pPr>
            <w:r w:rsidRPr="00217A73">
              <w:t>Savukārt Vispārējās programmas „Solidaritāte un migrācijas plūsmu pārvaldība” ietvaros izveidotais fondu likuma 14.panta 3.punkts nosaka, ka Ministru kabineta kompetence ir pieņemt lēmumu par</w:t>
            </w:r>
            <w:r w:rsidR="00B024D3" w:rsidRPr="00217A73">
              <w:t xml:space="preserve"> </w:t>
            </w:r>
            <w:r w:rsidRPr="00217A73">
              <w:t>fonda projektu konkursa organizēšanas kārtību, prasības fonda finansējuma saņēmējiem, fonda projektu iesniegumu sagatavošanas un iesniegšanas kārtību un to vērtēšanas kritērijus, fonda projektu atlases kārtību, granta līguma slēgšanas kārtību, kā arī tehniskās palīdzības aktivitātes īstenošanas kārtību.</w:t>
            </w:r>
            <w:r w:rsidRPr="00217A73" w:rsidDel="00AF0A44">
              <w:t xml:space="preserve"> </w:t>
            </w:r>
          </w:p>
          <w:p w:rsidR="004B1602" w:rsidRPr="00217A73" w:rsidRDefault="004B1602" w:rsidP="00AF0A44">
            <w:pPr>
              <w:ind w:firstLine="303"/>
              <w:jc w:val="both"/>
            </w:pPr>
            <w:r w:rsidRPr="00217A73">
              <w:rPr>
                <w:bCs/>
              </w:rPr>
              <w:t>Ministru kabineta 2011.gada 22.februāra protokollēmuma Nr.11 41.§ 2.punkts paredz, ka Tieslietu ministrija nodod un Kultūras ministrija no 2011.gada 1.aprīļa pārņem Eiropas trešo valstu valstpiederīgo integrācijas vadošās iestādes funkciju īstenošanu. Atbilstoši šajā protokollēmumā noteiktajam 2011.gada 29.martā ir veikts grozījums Ministru kabineta 2003.gada 29.aprīļa noteikumos Nr.241 "</w:t>
            </w:r>
            <w:hyperlink r:id="rId8" w:tgtFrame="_blank" w:tooltip="Kultūras ministrijas nolikums /Spēkā esošs/" w:history="1">
              <w:r w:rsidRPr="00217A73">
                <w:rPr>
                  <w:bCs/>
                </w:rPr>
                <w:t>Kultūras ministrijas nolikums</w:t>
              </w:r>
            </w:hyperlink>
            <w:r w:rsidRPr="00217A73">
              <w:rPr>
                <w:bCs/>
              </w:rPr>
              <w:t xml:space="preserve">", paredzot, ka Kultūras ministrija īsteno Eiropas Trešo valstu valstspiederīgo </w:t>
            </w:r>
            <w:r w:rsidRPr="00217A73">
              <w:rPr>
                <w:bCs/>
              </w:rPr>
              <w:lastRenderedPageBreak/>
              <w:t>integrācijas fonda pārraudzību.</w:t>
            </w:r>
            <w:r w:rsidR="00215C95" w:rsidRPr="00217A73">
              <w:t xml:space="preserve"> </w:t>
            </w:r>
          </w:p>
          <w:p w:rsidR="00AF0A44" w:rsidRPr="00217A73" w:rsidRDefault="00AF0A44" w:rsidP="00AF0A44">
            <w:pPr>
              <w:ind w:firstLine="303"/>
              <w:jc w:val="both"/>
            </w:pPr>
            <w:r w:rsidRPr="00217A73">
              <w:rPr>
                <w:bCs/>
              </w:rPr>
              <w:t xml:space="preserve">Saskaņā ar </w:t>
            </w:r>
            <w:r w:rsidRPr="00217A73">
              <w:t>Ministru kabineta 2011.gada 22. februāra protokollēmuma Nr.11 41.§ 10.punktu, Kultūras ministrija kā Eiropas Trešo valstu valstspiederīgo integrācijas fonda vadošā iestāde virza apstiprināšanai izstrādāto noteikumu projektu, kurā ir definēti pasākumi un to uzraudzības rādītāji, kas ir atbalstāmi Eiropas Trešo valstu valstspiederīgo integrācijas fonda 2010.gada programmas noteikto aktivitāšu ietvaros.</w:t>
            </w:r>
          </w:p>
        </w:tc>
      </w:tr>
      <w:tr w:rsidR="001003B5" w:rsidRPr="00217A73" w:rsidTr="001002F6">
        <w:tc>
          <w:tcPr>
            <w:tcW w:w="540" w:type="dxa"/>
          </w:tcPr>
          <w:p w:rsidR="001003B5" w:rsidRPr="00217A73" w:rsidRDefault="001003B5" w:rsidP="001002F6">
            <w:pPr>
              <w:pStyle w:val="naislab"/>
              <w:numPr>
                <w:ilvl w:val="0"/>
                <w:numId w:val="1"/>
              </w:numPr>
              <w:tabs>
                <w:tab w:val="clear" w:pos="720"/>
                <w:tab w:val="num" w:pos="72"/>
              </w:tabs>
              <w:spacing w:before="0" w:after="0"/>
              <w:ind w:left="0" w:firstLine="0"/>
              <w:jc w:val="both"/>
              <w:outlineLvl w:val="0"/>
            </w:pPr>
          </w:p>
        </w:tc>
        <w:tc>
          <w:tcPr>
            <w:tcW w:w="2843" w:type="dxa"/>
          </w:tcPr>
          <w:p w:rsidR="001003B5" w:rsidRPr="00217A73" w:rsidRDefault="001003B5" w:rsidP="001002F6">
            <w:pPr>
              <w:pStyle w:val="naislab"/>
              <w:spacing w:before="0" w:after="0"/>
              <w:jc w:val="both"/>
              <w:outlineLvl w:val="0"/>
              <w:rPr>
                <w:b/>
              </w:rPr>
            </w:pPr>
            <w:r w:rsidRPr="00217A73">
              <w:t>Pašreizējā situācija un problēmas</w:t>
            </w:r>
          </w:p>
        </w:tc>
        <w:tc>
          <w:tcPr>
            <w:tcW w:w="5725" w:type="dxa"/>
          </w:tcPr>
          <w:p w:rsidR="00275636" w:rsidRPr="00217A73" w:rsidRDefault="00037D9F" w:rsidP="00275636">
            <w:pPr>
              <w:ind w:firstLine="382"/>
              <w:jc w:val="both"/>
            </w:pPr>
            <w:r w:rsidRPr="00217A73">
              <w:t>Noteikumu projektā vadošā iestāde ir</w:t>
            </w:r>
            <w:r w:rsidR="00864390" w:rsidRPr="00217A73">
              <w:t xml:space="preserve"> </w:t>
            </w:r>
            <w:r w:rsidR="00C0242F" w:rsidRPr="00217A73">
              <w:t xml:space="preserve">noteikusi </w:t>
            </w:r>
            <w:r w:rsidR="00275636" w:rsidRPr="00217A73">
              <w:t>aktivitāšu īstenošanas kārtību, projektu iesniegumu vērtēšanas kritērijus, projektu iesniegumu atlases organizēšanas kārtību</w:t>
            </w:r>
            <w:r w:rsidR="00FA057D" w:rsidRPr="00217A73">
              <w:t xml:space="preserve">, </w:t>
            </w:r>
            <w:r w:rsidR="00275636" w:rsidRPr="00217A73">
              <w:t>projekta iesniegumu sagatavošanas un iesniegšanas kārtību, prasības projekta iesnieguma iesniedzējiem, granta līguma slēgšanas kārtību, projektu īstenošanas kārtību, tehniskās palīdzības aktivitātes īstenošanas kārtību</w:t>
            </w:r>
            <w:r w:rsidR="00FA057D" w:rsidRPr="00217A73">
              <w:t xml:space="preserve">. </w:t>
            </w:r>
          </w:p>
          <w:p w:rsidR="000772D7" w:rsidRPr="00217A73" w:rsidRDefault="00FA057D" w:rsidP="00AF0A44">
            <w:pPr>
              <w:ind w:firstLine="445"/>
              <w:jc w:val="both"/>
            </w:pPr>
            <w:r w:rsidRPr="00217A73">
              <w:t>Noteikumu projekts par Eiropas Trešo valstu valstspiederīgo integrācijas fonda 2010.gada programmas aktivitāšu īstenošanu nepieciešams,</w:t>
            </w:r>
            <w:r w:rsidR="00113704" w:rsidRPr="00217A73">
              <w:t xml:space="preserve"> </w:t>
            </w:r>
            <w:r w:rsidRPr="00217A73">
              <w:t>lai uzsāktu</w:t>
            </w:r>
            <w:r w:rsidR="00113704" w:rsidRPr="00217A73">
              <w:t xml:space="preserve"> projektu atlasi 2010.gada programmas aktivitātēs</w:t>
            </w:r>
            <w:r w:rsidR="00E13F4E" w:rsidRPr="00217A73">
              <w:t xml:space="preserve">. </w:t>
            </w:r>
          </w:p>
          <w:p w:rsidR="00894F27" w:rsidRPr="00217A73" w:rsidRDefault="009A607E" w:rsidP="00894F27">
            <w:pPr>
              <w:pStyle w:val="naiskr"/>
              <w:ind w:firstLine="303"/>
              <w:jc w:val="both"/>
            </w:pPr>
            <w:r w:rsidRPr="00217A73">
              <w:t xml:space="preserve">Eiropas Trešo valstu valstspiederīgo integrācijas fonda 2010.gada programmas projektu aktivitāšu </w:t>
            </w:r>
            <w:r w:rsidR="00E13F4E" w:rsidRPr="00217A73">
              <w:t xml:space="preserve">ieviešanas termiņš ir </w:t>
            </w:r>
            <w:r w:rsidR="00C57EC2" w:rsidRPr="00217A73">
              <w:t xml:space="preserve">līdz </w:t>
            </w:r>
            <w:r w:rsidR="00E13F4E" w:rsidRPr="00217A73">
              <w:t>2012.gada 30.</w:t>
            </w:r>
            <w:r w:rsidR="00C57EC2" w:rsidRPr="00217A73">
              <w:t>jūnijam.</w:t>
            </w:r>
            <w:r w:rsidR="00E13F4E" w:rsidRPr="00217A73">
              <w:t xml:space="preserve"> </w:t>
            </w:r>
            <w:r w:rsidR="00113704" w:rsidRPr="00217A73">
              <w:t>Eiropas Komisijas uzraudzības ziņojuma ieteikums</w:t>
            </w:r>
            <w:r w:rsidR="00E13F4E" w:rsidRPr="00217A73">
              <w:t xml:space="preserve"> (09.08.2011.)</w:t>
            </w:r>
            <w:r w:rsidR="00113704" w:rsidRPr="00217A73">
              <w:t xml:space="preserve"> ir nodrošināt </w:t>
            </w:r>
            <w:r w:rsidR="00A15C35" w:rsidRPr="00217A73">
              <w:t xml:space="preserve">pēc iespējas </w:t>
            </w:r>
            <w:r w:rsidR="00113704" w:rsidRPr="00217A73">
              <w:t>ilgāku fonda pro</w:t>
            </w:r>
            <w:r w:rsidR="00753922" w:rsidRPr="00217A73">
              <w:t>jektu</w:t>
            </w:r>
            <w:r w:rsidR="00113704" w:rsidRPr="00217A73">
              <w:t xml:space="preserve"> </w:t>
            </w:r>
            <w:r w:rsidR="00E13F4E" w:rsidRPr="00217A73">
              <w:t>īstenošan</w:t>
            </w:r>
            <w:r w:rsidR="00C57EC2" w:rsidRPr="00217A73">
              <w:t>as termiņu</w:t>
            </w:r>
            <w:r w:rsidR="00E13F4E" w:rsidRPr="00217A73">
              <w:t xml:space="preserve">, lai </w:t>
            </w:r>
            <w:r w:rsidR="00C57EC2" w:rsidRPr="00217A73">
              <w:t>nodrošinātu programmas aktivitāšu mērķu sasniegšanu</w:t>
            </w:r>
            <w:r w:rsidR="00217A73">
              <w:t>.</w:t>
            </w:r>
            <w:r w:rsidRPr="00217A73">
              <w:t xml:space="preserve"> </w:t>
            </w:r>
            <w:r w:rsidR="00217A73" w:rsidRPr="00217A73">
              <w:rPr>
                <w:b/>
              </w:rPr>
              <w:t xml:space="preserve">Līdz ar to, lai nodrošinātu 2010.gada programmas paredzēto aktivitāšu pasākumu atbilstošu īstenošanu, nepieciešams pieņemt Ministru kabineta noteikumu projektu steidzamības kārtā. </w:t>
            </w:r>
            <w:r w:rsidR="00894F27" w:rsidRPr="00217A73">
              <w:t xml:space="preserve">Tāpat, ņemot vērā to, ka noteikumu projekts ietver arī solidaritātes un migrācijas plūsmu pārvaldīšanas pamatprogrammas 2010.gadam Eiropas Trešo valstu valstspiederīgo integrācijas fonda projektu atlases un tehniskās palīdzības aktivitātes īstenošanas kārtību, lai novērstu normatīvā regulējuma dublēšanos, nepieciešams atzīt par spēku zaudējušiem </w:t>
            </w:r>
            <w:hyperlink r:id="rId9" w:tooltip="MK, 17.04.2009, 300, &quot;MK kārtības rullis /Aktuālā redakcija/&quot;" w:history="1">
              <w:r w:rsidR="00894F27" w:rsidRPr="00217A73">
                <w:t>Ministru kabineta</w:t>
              </w:r>
            </w:hyperlink>
            <w:r w:rsidR="00894F27" w:rsidRPr="00217A73">
              <w:t xml:space="preserve"> 2008.gada 20.oktobra noteikumus Nr.884 "Solidaritātes un migrācijas plūsmu pārvaldīšanas pamatprogrammas 2007.–2013.gadam Eiropas Trešo valstu valstspiederīgo integrācijas fonda projektu atlases un tehniskās palīdzības aktivitātes īstenošanas kārtība".</w:t>
            </w:r>
          </w:p>
        </w:tc>
      </w:tr>
      <w:tr w:rsidR="001003B5" w:rsidRPr="00217A73" w:rsidTr="001002F6">
        <w:tc>
          <w:tcPr>
            <w:tcW w:w="540" w:type="dxa"/>
          </w:tcPr>
          <w:p w:rsidR="001003B5" w:rsidRPr="00217A73" w:rsidRDefault="001003B5" w:rsidP="001002F6">
            <w:pPr>
              <w:pStyle w:val="naislab"/>
              <w:numPr>
                <w:ilvl w:val="0"/>
                <w:numId w:val="1"/>
              </w:numPr>
              <w:tabs>
                <w:tab w:val="clear" w:pos="720"/>
                <w:tab w:val="num" w:pos="72"/>
              </w:tabs>
              <w:spacing w:before="0" w:after="0"/>
              <w:ind w:left="0" w:firstLine="0"/>
              <w:jc w:val="both"/>
              <w:outlineLvl w:val="0"/>
            </w:pPr>
          </w:p>
        </w:tc>
        <w:tc>
          <w:tcPr>
            <w:tcW w:w="2843" w:type="dxa"/>
          </w:tcPr>
          <w:p w:rsidR="001003B5" w:rsidRPr="00217A73" w:rsidRDefault="001003B5" w:rsidP="001002F6">
            <w:pPr>
              <w:pStyle w:val="naislab"/>
              <w:spacing w:before="0" w:after="0"/>
              <w:jc w:val="both"/>
              <w:outlineLvl w:val="0"/>
              <w:rPr>
                <w:b/>
              </w:rPr>
            </w:pPr>
            <w:r w:rsidRPr="00217A73">
              <w:t>Saistītie politikas ietekmes novērtējumi un pētījumi</w:t>
            </w:r>
          </w:p>
        </w:tc>
        <w:tc>
          <w:tcPr>
            <w:tcW w:w="5725" w:type="dxa"/>
          </w:tcPr>
          <w:p w:rsidR="001003B5" w:rsidRPr="00217A73" w:rsidRDefault="00D234EF" w:rsidP="001002F6">
            <w:pPr>
              <w:pStyle w:val="naislab"/>
              <w:spacing w:before="0" w:after="0"/>
              <w:jc w:val="both"/>
              <w:outlineLvl w:val="0"/>
            </w:pPr>
            <w:r w:rsidRPr="00217A73">
              <w:t>Projekts šo jomu neskar</w:t>
            </w:r>
            <w:r w:rsidR="001003B5" w:rsidRPr="00217A73">
              <w:t>.</w:t>
            </w:r>
          </w:p>
        </w:tc>
      </w:tr>
      <w:tr w:rsidR="001003B5" w:rsidRPr="00217A73" w:rsidTr="001002F6">
        <w:tc>
          <w:tcPr>
            <w:tcW w:w="540" w:type="dxa"/>
          </w:tcPr>
          <w:p w:rsidR="001003B5" w:rsidRPr="00217A73" w:rsidRDefault="001003B5" w:rsidP="001002F6">
            <w:pPr>
              <w:pStyle w:val="naislab"/>
              <w:numPr>
                <w:ilvl w:val="0"/>
                <w:numId w:val="1"/>
              </w:numPr>
              <w:tabs>
                <w:tab w:val="clear" w:pos="720"/>
                <w:tab w:val="num" w:pos="72"/>
              </w:tabs>
              <w:spacing w:before="0" w:after="0"/>
              <w:ind w:left="0" w:firstLine="0"/>
              <w:jc w:val="both"/>
              <w:outlineLvl w:val="0"/>
            </w:pPr>
          </w:p>
        </w:tc>
        <w:tc>
          <w:tcPr>
            <w:tcW w:w="2843" w:type="dxa"/>
          </w:tcPr>
          <w:p w:rsidR="001003B5" w:rsidRPr="00217A73" w:rsidRDefault="001003B5" w:rsidP="001002F6">
            <w:pPr>
              <w:pStyle w:val="naiskr"/>
              <w:spacing w:before="0" w:after="0"/>
              <w:jc w:val="both"/>
            </w:pPr>
            <w:r w:rsidRPr="00217A73">
              <w:t>Tiesiskā regulējuma mērķis un būtība</w:t>
            </w:r>
          </w:p>
          <w:p w:rsidR="001003B5" w:rsidRPr="00217A73" w:rsidRDefault="001003B5" w:rsidP="001002F6">
            <w:pPr>
              <w:pStyle w:val="naislab"/>
              <w:spacing w:before="0" w:after="0"/>
              <w:jc w:val="both"/>
              <w:outlineLvl w:val="0"/>
              <w:rPr>
                <w:b/>
              </w:rPr>
            </w:pPr>
          </w:p>
        </w:tc>
        <w:tc>
          <w:tcPr>
            <w:tcW w:w="5725" w:type="dxa"/>
          </w:tcPr>
          <w:p w:rsidR="001003B5" w:rsidRPr="00217A73" w:rsidRDefault="001003B5" w:rsidP="001002F6">
            <w:pPr>
              <w:ind w:left="16"/>
              <w:jc w:val="both"/>
            </w:pPr>
            <w:r w:rsidRPr="00217A73">
              <w:t>Projektā paredzēts noteikt projekta konkursa organizēšanas kārtību</w:t>
            </w:r>
            <w:r w:rsidRPr="00217A73">
              <w:rPr>
                <w:b/>
                <w:bCs/>
              </w:rPr>
              <w:t xml:space="preserve"> </w:t>
            </w:r>
            <w:r w:rsidRPr="00217A73">
              <w:rPr>
                <w:bCs/>
              </w:rPr>
              <w:t>Eiropas Trešo valstu valstspiederīgo integrācijas fonda 2010</w:t>
            </w:r>
            <w:r w:rsidR="002168EF" w:rsidRPr="00217A73">
              <w:rPr>
                <w:bCs/>
              </w:rPr>
              <w:t>.</w:t>
            </w:r>
            <w:r w:rsidRPr="00217A73">
              <w:rPr>
                <w:bCs/>
              </w:rPr>
              <w:t xml:space="preserve">gada </w:t>
            </w:r>
            <w:r w:rsidRPr="00217A73">
              <w:rPr>
                <w:bCs/>
              </w:rPr>
              <w:lastRenderedPageBreak/>
              <w:t xml:space="preserve">programmas aktivitātēs. </w:t>
            </w:r>
          </w:p>
        </w:tc>
      </w:tr>
      <w:tr w:rsidR="001003B5" w:rsidRPr="00217A73" w:rsidTr="001002F6">
        <w:tc>
          <w:tcPr>
            <w:tcW w:w="540" w:type="dxa"/>
          </w:tcPr>
          <w:p w:rsidR="001003B5" w:rsidRPr="00217A73" w:rsidRDefault="001003B5" w:rsidP="001002F6">
            <w:pPr>
              <w:pStyle w:val="naislab"/>
              <w:numPr>
                <w:ilvl w:val="0"/>
                <w:numId w:val="1"/>
              </w:numPr>
              <w:tabs>
                <w:tab w:val="clear" w:pos="720"/>
                <w:tab w:val="num" w:pos="72"/>
              </w:tabs>
              <w:spacing w:before="0" w:after="0"/>
              <w:ind w:left="0" w:firstLine="0"/>
              <w:jc w:val="both"/>
              <w:outlineLvl w:val="0"/>
            </w:pPr>
          </w:p>
        </w:tc>
        <w:tc>
          <w:tcPr>
            <w:tcW w:w="2843" w:type="dxa"/>
          </w:tcPr>
          <w:p w:rsidR="001003B5" w:rsidRPr="00217A73" w:rsidRDefault="001003B5" w:rsidP="001002F6">
            <w:pPr>
              <w:pStyle w:val="naislab"/>
              <w:spacing w:before="0" w:after="0"/>
              <w:jc w:val="both"/>
              <w:outlineLvl w:val="0"/>
              <w:rPr>
                <w:b/>
              </w:rPr>
            </w:pPr>
            <w:r w:rsidRPr="00217A73">
              <w:t>Projekta izstrādē iesaistītās institūcijas</w:t>
            </w:r>
          </w:p>
        </w:tc>
        <w:tc>
          <w:tcPr>
            <w:tcW w:w="5725" w:type="dxa"/>
          </w:tcPr>
          <w:p w:rsidR="001003B5" w:rsidRPr="00217A73" w:rsidRDefault="001003B5" w:rsidP="001002F6">
            <w:pPr>
              <w:pStyle w:val="naislab"/>
              <w:spacing w:before="0" w:after="0"/>
              <w:jc w:val="both"/>
              <w:outlineLvl w:val="0"/>
              <w:rPr>
                <w:b/>
              </w:rPr>
            </w:pPr>
            <w:r w:rsidRPr="00217A73">
              <w:rPr>
                <w:iCs/>
              </w:rPr>
              <w:t>Kultūras ministrija</w:t>
            </w:r>
            <w:r w:rsidR="00D234EF" w:rsidRPr="00217A73">
              <w:rPr>
                <w:iCs/>
              </w:rPr>
              <w:t>.</w:t>
            </w:r>
          </w:p>
        </w:tc>
      </w:tr>
      <w:tr w:rsidR="001003B5" w:rsidRPr="00217A73" w:rsidTr="001002F6">
        <w:tc>
          <w:tcPr>
            <w:tcW w:w="540" w:type="dxa"/>
          </w:tcPr>
          <w:p w:rsidR="001003B5" w:rsidRPr="00217A73" w:rsidRDefault="001003B5" w:rsidP="001002F6">
            <w:pPr>
              <w:pStyle w:val="naislab"/>
              <w:numPr>
                <w:ilvl w:val="0"/>
                <w:numId w:val="1"/>
              </w:numPr>
              <w:tabs>
                <w:tab w:val="clear" w:pos="720"/>
                <w:tab w:val="num" w:pos="72"/>
              </w:tabs>
              <w:spacing w:before="0" w:after="0"/>
              <w:ind w:left="0" w:firstLine="0"/>
              <w:jc w:val="both"/>
              <w:outlineLvl w:val="0"/>
            </w:pPr>
          </w:p>
        </w:tc>
        <w:tc>
          <w:tcPr>
            <w:tcW w:w="2843" w:type="dxa"/>
          </w:tcPr>
          <w:p w:rsidR="001003B5" w:rsidRPr="00217A73" w:rsidRDefault="001003B5" w:rsidP="001002F6">
            <w:pPr>
              <w:pStyle w:val="naislab"/>
              <w:spacing w:before="0" w:after="0"/>
              <w:jc w:val="both"/>
              <w:outlineLvl w:val="0"/>
              <w:rPr>
                <w:b/>
              </w:rPr>
            </w:pPr>
            <w:r w:rsidRPr="00217A73">
              <w:t>Iemesli, kādēļ netika nodrošināta sabiedrības līdzdalība</w:t>
            </w:r>
          </w:p>
        </w:tc>
        <w:tc>
          <w:tcPr>
            <w:tcW w:w="5725" w:type="dxa"/>
          </w:tcPr>
          <w:p w:rsidR="001003B5" w:rsidRPr="00217A73" w:rsidRDefault="001003B5" w:rsidP="001002F6">
            <w:pPr>
              <w:pStyle w:val="naislab"/>
              <w:spacing w:before="0" w:after="0"/>
              <w:jc w:val="both"/>
              <w:outlineLvl w:val="0"/>
            </w:pPr>
            <w:r w:rsidRPr="00217A73">
              <w:t>Sabiedrības (biedrību un nodibinājumu) līdzdalība tiek nodrošināta gada programmu izstrādes procesā, definējot atbalstāmās darbības un sasniedzamos rezultātus. Noteikumu projekts tikai nosaka projektu atlases procedūru atbilstoši likumam.</w:t>
            </w:r>
          </w:p>
        </w:tc>
      </w:tr>
      <w:tr w:rsidR="001003B5" w:rsidRPr="00217A73" w:rsidTr="001002F6">
        <w:tc>
          <w:tcPr>
            <w:tcW w:w="540" w:type="dxa"/>
          </w:tcPr>
          <w:p w:rsidR="001003B5" w:rsidRPr="00217A73" w:rsidRDefault="001003B5" w:rsidP="001002F6">
            <w:pPr>
              <w:pStyle w:val="naislab"/>
              <w:numPr>
                <w:ilvl w:val="0"/>
                <w:numId w:val="1"/>
              </w:numPr>
              <w:tabs>
                <w:tab w:val="clear" w:pos="720"/>
                <w:tab w:val="num" w:pos="72"/>
              </w:tabs>
              <w:spacing w:before="0" w:after="0"/>
              <w:ind w:left="0" w:firstLine="0"/>
              <w:jc w:val="both"/>
              <w:outlineLvl w:val="0"/>
            </w:pPr>
          </w:p>
        </w:tc>
        <w:tc>
          <w:tcPr>
            <w:tcW w:w="2843" w:type="dxa"/>
          </w:tcPr>
          <w:p w:rsidR="001003B5" w:rsidRPr="00217A73" w:rsidRDefault="001003B5" w:rsidP="001002F6">
            <w:pPr>
              <w:pStyle w:val="naislab"/>
              <w:spacing w:before="0" w:after="0"/>
              <w:jc w:val="both"/>
              <w:outlineLvl w:val="0"/>
              <w:rPr>
                <w:b/>
              </w:rPr>
            </w:pPr>
            <w:r w:rsidRPr="00217A73">
              <w:t>Cita informācija</w:t>
            </w:r>
          </w:p>
        </w:tc>
        <w:tc>
          <w:tcPr>
            <w:tcW w:w="5725" w:type="dxa"/>
          </w:tcPr>
          <w:p w:rsidR="001003B5" w:rsidRPr="00217A73" w:rsidRDefault="001003B5" w:rsidP="001002F6">
            <w:pPr>
              <w:pStyle w:val="naislab"/>
              <w:spacing w:before="0" w:after="0"/>
              <w:jc w:val="both"/>
              <w:outlineLvl w:val="0"/>
              <w:rPr>
                <w:b/>
              </w:rPr>
            </w:pPr>
            <w:r w:rsidRPr="00217A73">
              <w:t>Nav</w:t>
            </w:r>
          </w:p>
        </w:tc>
      </w:tr>
    </w:tbl>
    <w:p w:rsidR="001003B5" w:rsidRPr="00217A73" w:rsidRDefault="001003B5" w:rsidP="001003B5">
      <w:pPr>
        <w:pStyle w:val="naisf"/>
        <w:spacing w:before="0" w:after="0"/>
        <w:ind w:firstLine="0"/>
        <w:rPr>
          <w:i/>
        </w:rPr>
      </w:pPr>
    </w:p>
    <w:p w:rsidR="001003B5" w:rsidRPr="00217A73" w:rsidRDefault="001003B5" w:rsidP="001003B5">
      <w:pPr>
        <w:pStyle w:val="naisf"/>
        <w:spacing w:before="0" w:after="0"/>
        <w:ind w:firstLine="0"/>
        <w:rPr>
          <w:i/>
        </w:rPr>
      </w:pPr>
      <w:r w:rsidRPr="00217A73">
        <w:rPr>
          <w:i/>
        </w:rPr>
        <w:t>Anotācijas II, III</w:t>
      </w:r>
      <w:r w:rsidR="002A12BC" w:rsidRPr="00217A73">
        <w:rPr>
          <w:i/>
        </w:rPr>
        <w:t>,</w:t>
      </w:r>
      <w:r w:rsidRPr="00217A73">
        <w:rPr>
          <w:i/>
        </w:rPr>
        <w:t xml:space="preserve">IV </w:t>
      </w:r>
      <w:r w:rsidR="002A12BC" w:rsidRPr="00217A73">
        <w:rPr>
          <w:i/>
        </w:rPr>
        <w:t xml:space="preserve">un VI </w:t>
      </w:r>
      <w:r w:rsidRPr="00217A73">
        <w:rPr>
          <w:i/>
        </w:rPr>
        <w:t xml:space="preserve">sadaļa – </w:t>
      </w:r>
      <w:r w:rsidR="00D234EF" w:rsidRPr="00217A73">
        <w:rPr>
          <w:i/>
        </w:rPr>
        <w:t>projekts šīs jomas neskar</w:t>
      </w:r>
      <w:r w:rsidRPr="00217A73">
        <w:rPr>
          <w:i/>
        </w:rPr>
        <w:t>.</w:t>
      </w:r>
    </w:p>
    <w:p w:rsidR="001003B5" w:rsidRPr="00217A73" w:rsidRDefault="001003B5" w:rsidP="001003B5">
      <w:pPr>
        <w:pStyle w:val="naisf"/>
        <w:spacing w:before="0" w:after="0"/>
        <w:ind w:firstLine="0"/>
        <w:rPr>
          <w:i/>
        </w:rPr>
      </w:pPr>
      <w:r w:rsidRPr="00217A73">
        <w:rPr>
          <w:i/>
        </w:rPr>
        <w:t xml:space="preserve"> </w:t>
      </w:r>
    </w:p>
    <w:tbl>
      <w:tblPr>
        <w:tblStyle w:val="Reatabula"/>
        <w:tblW w:w="0" w:type="auto"/>
        <w:tblLook w:val="04A0"/>
      </w:tblPr>
      <w:tblGrid>
        <w:gridCol w:w="534"/>
        <w:gridCol w:w="2976"/>
        <w:gridCol w:w="5777"/>
      </w:tblGrid>
      <w:tr w:rsidR="001003B5" w:rsidRPr="00217A73" w:rsidTr="001002F6">
        <w:tc>
          <w:tcPr>
            <w:tcW w:w="9287" w:type="dxa"/>
            <w:gridSpan w:val="3"/>
          </w:tcPr>
          <w:p w:rsidR="001003B5" w:rsidRPr="00217A73" w:rsidRDefault="001003B5" w:rsidP="001002F6">
            <w:pPr>
              <w:pStyle w:val="naisf"/>
              <w:spacing w:before="0" w:after="0"/>
              <w:ind w:firstLine="0"/>
              <w:rPr>
                <w:i/>
              </w:rPr>
            </w:pPr>
            <w:r w:rsidRPr="00217A73">
              <w:rPr>
                <w:b/>
              </w:rPr>
              <w:t>V Tiesību akta projekta atbilstība Latvijas Republikas starptautiskajām saistībām</w:t>
            </w:r>
          </w:p>
        </w:tc>
      </w:tr>
      <w:tr w:rsidR="001003B5" w:rsidRPr="00217A73" w:rsidTr="001002F6">
        <w:tc>
          <w:tcPr>
            <w:tcW w:w="534" w:type="dxa"/>
          </w:tcPr>
          <w:p w:rsidR="001003B5" w:rsidRPr="00217A73" w:rsidRDefault="001003B5" w:rsidP="001002F6">
            <w:pPr>
              <w:pStyle w:val="naisf"/>
              <w:spacing w:before="0" w:after="0"/>
              <w:ind w:firstLine="0"/>
            </w:pPr>
            <w:r w:rsidRPr="00217A73">
              <w:t>1.</w:t>
            </w:r>
          </w:p>
        </w:tc>
        <w:tc>
          <w:tcPr>
            <w:tcW w:w="2976" w:type="dxa"/>
          </w:tcPr>
          <w:p w:rsidR="001003B5" w:rsidRPr="00217A73" w:rsidRDefault="001003B5" w:rsidP="001002F6">
            <w:pPr>
              <w:pStyle w:val="naisf"/>
              <w:spacing w:before="0" w:after="0"/>
              <w:ind w:firstLine="0"/>
            </w:pPr>
            <w:r w:rsidRPr="00217A73">
              <w:t>Saistības pret Eiropas Savienību</w:t>
            </w:r>
          </w:p>
        </w:tc>
        <w:tc>
          <w:tcPr>
            <w:tcW w:w="5777" w:type="dxa"/>
          </w:tcPr>
          <w:p w:rsidR="001003B5" w:rsidRPr="00217A73" w:rsidRDefault="001003B5" w:rsidP="001002F6">
            <w:pPr>
              <w:jc w:val="both"/>
            </w:pPr>
            <w:r w:rsidRPr="00217A73">
              <w:t xml:space="preserve">Tiesību akta projekts nepieciešams šādu Eiropas Savienības tiesību aktu īstenošanai:   </w:t>
            </w:r>
          </w:p>
          <w:p w:rsidR="001003B5" w:rsidRPr="00217A73" w:rsidRDefault="001003B5" w:rsidP="001002F6">
            <w:pPr>
              <w:jc w:val="both"/>
            </w:pPr>
            <w:r w:rsidRPr="00217A73">
              <w:t>Padomes 2007.gada 25.jūnija lēmums 2007/43</w:t>
            </w:r>
            <w:r w:rsidR="002168EF" w:rsidRPr="00217A73">
              <w:t>5/EK, ar ko laikposmam no 2007.</w:t>
            </w:r>
            <w:r w:rsidRPr="00217A73">
              <w:t>gada līdz 2013.gadam izveido Eiropas Trešo valstu valstspiederīgo integrācijas fondu kā daļu no Vispārīgās programmas „Solidaritāte un migrācijas plūsmu pārvaldība”</w:t>
            </w:r>
            <w:r w:rsidR="004E4AAF" w:rsidRPr="00217A73">
              <w:t>.</w:t>
            </w:r>
          </w:p>
          <w:p w:rsidR="001003B5" w:rsidRPr="00217A73" w:rsidRDefault="002168EF" w:rsidP="001002F6">
            <w:pPr>
              <w:jc w:val="both"/>
              <w:rPr>
                <w:i/>
              </w:rPr>
            </w:pPr>
            <w:r w:rsidRPr="00217A73">
              <w:t>Eiropas Komisijas 2008.gada 5.</w:t>
            </w:r>
            <w:r w:rsidR="001003B5" w:rsidRPr="00217A73">
              <w:t>marta lēmums Nr. 2008/457/EK, kas nosaka kārtību, kādā īstenojams Padomes lēmums 2007/43</w:t>
            </w:r>
            <w:r w:rsidRPr="00217A73">
              <w:t>5/EK, ar ko laikposmam no 2007.</w:t>
            </w:r>
            <w:r w:rsidR="001003B5" w:rsidRPr="00217A73">
              <w:t>gada līdz 2013.gadam izveido Eiropas Trešo valstu valstspiederīgo integrācijas fondu kā daļu no Vispārīgās programmas „Solidaritāte un migrācijas plūsmu pārvaldība”, attiecībā uz dalībvalstu pārvaldības un kontroles sistēmām, administratīvās un finanšu pārvaldības noteikumiem un Fonda līdzfinansēto projektu izdevumu atbilstību (turpmāk – Komisijas lēmums Nr. 2008/457/EK).</w:t>
            </w:r>
          </w:p>
        </w:tc>
      </w:tr>
      <w:tr w:rsidR="001003B5" w:rsidRPr="00217A73" w:rsidTr="001002F6">
        <w:tc>
          <w:tcPr>
            <w:tcW w:w="534" w:type="dxa"/>
          </w:tcPr>
          <w:p w:rsidR="001003B5" w:rsidRPr="00217A73" w:rsidRDefault="001003B5" w:rsidP="001002F6">
            <w:pPr>
              <w:pStyle w:val="naisf"/>
              <w:spacing w:before="0" w:after="0"/>
              <w:ind w:firstLine="0"/>
            </w:pPr>
            <w:r w:rsidRPr="00217A73">
              <w:t>2.</w:t>
            </w:r>
          </w:p>
        </w:tc>
        <w:tc>
          <w:tcPr>
            <w:tcW w:w="2976" w:type="dxa"/>
          </w:tcPr>
          <w:p w:rsidR="001003B5" w:rsidRPr="00217A73" w:rsidRDefault="001003B5" w:rsidP="001002F6">
            <w:pPr>
              <w:pStyle w:val="naisf"/>
              <w:spacing w:before="0" w:after="0"/>
              <w:ind w:firstLine="0"/>
            </w:pPr>
            <w:r w:rsidRPr="00217A73">
              <w:t>Citas starptautiskās saistības</w:t>
            </w:r>
          </w:p>
        </w:tc>
        <w:tc>
          <w:tcPr>
            <w:tcW w:w="5777" w:type="dxa"/>
          </w:tcPr>
          <w:p w:rsidR="001003B5" w:rsidRPr="00217A73" w:rsidRDefault="002A12BC" w:rsidP="001002F6">
            <w:pPr>
              <w:pStyle w:val="naisf"/>
              <w:spacing w:before="0" w:after="0"/>
              <w:ind w:firstLine="0"/>
            </w:pPr>
            <w:r w:rsidRPr="00217A73">
              <w:t>Projekts šo jomu neskar.</w:t>
            </w:r>
          </w:p>
        </w:tc>
      </w:tr>
      <w:tr w:rsidR="001003B5" w:rsidRPr="00217A73" w:rsidTr="001002F6">
        <w:tc>
          <w:tcPr>
            <w:tcW w:w="534" w:type="dxa"/>
          </w:tcPr>
          <w:p w:rsidR="001003B5" w:rsidRPr="00217A73" w:rsidRDefault="001003B5" w:rsidP="001002F6">
            <w:pPr>
              <w:pStyle w:val="naisf"/>
              <w:spacing w:before="0" w:after="0"/>
              <w:ind w:firstLine="0"/>
            </w:pPr>
            <w:r w:rsidRPr="00217A73">
              <w:t>3.</w:t>
            </w:r>
          </w:p>
        </w:tc>
        <w:tc>
          <w:tcPr>
            <w:tcW w:w="2976" w:type="dxa"/>
          </w:tcPr>
          <w:p w:rsidR="001003B5" w:rsidRPr="00217A73" w:rsidRDefault="001003B5" w:rsidP="001002F6">
            <w:pPr>
              <w:pStyle w:val="naisf"/>
              <w:spacing w:before="0" w:after="0"/>
              <w:ind w:firstLine="0"/>
            </w:pPr>
            <w:r w:rsidRPr="00217A73">
              <w:t>Cita informācija</w:t>
            </w:r>
          </w:p>
        </w:tc>
        <w:tc>
          <w:tcPr>
            <w:tcW w:w="5777" w:type="dxa"/>
          </w:tcPr>
          <w:p w:rsidR="001003B5" w:rsidRPr="00217A73" w:rsidRDefault="001003B5" w:rsidP="001002F6">
            <w:pPr>
              <w:pStyle w:val="naisf"/>
              <w:spacing w:before="0" w:after="0"/>
              <w:ind w:firstLine="0"/>
            </w:pPr>
            <w:r w:rsidRPr="00217A73">
              <w:t>Ar noteikumu projektu tiek pārņemtas vai īstenotas tikai tās normas, kas attiecas uz privātpersonām. Lēmuma Nr.2008/457/EK normas, kas attiecas uz fonda vadībā iesaistītajām valsts iestādēm, ir piemērojamas tieši un tās nav nepieciešams pārņemt.</w:t>
            </w:r>
          </w:p>
        </w:tc>
      </w:tr>
    </w:tbl>
    <w:p w:rsidR="001003B5" w:rsidRPr="00217A73" w:rsidRDefault="001003B5" w:rsidP="001003B5">
      <w:pPr>
        <w:pStyle w:val="naisf"/>
        <w:spacing w:before="0" w:after="0"/>
        <w:ind w:firstLine="0"/>
        <w:rPr>
          <w:i/>
        </w:rPr>
      </w:pPr>
    </w:p>
    <w:tbl>
      <w:tblPr>
        <w:tblStyle w:val="Reatabula"/>
        <w:tblW w:w="0" w:type="auto"/>
        <w:tblLook w:val="04A0"/>
      </w:tblPr>
      <w:tblGrid>
        <w:gridCol w:w="2293"/>
        <w:gridCol w:w="2463"/>
        <w:gridCol w:w="2272"/>
        <w:gridCol w:w="2259"/>
      </w:tblGrid>
      <w:tr w:rsidR="001003B5" w:rsidRPr="00217A73" w:rsidTr="001002F6">
        <w:tc>
          <w:tcPr>
            <w:tcW w:w="9287" w:type="dxa"/>
            <w:gridSpan w:val="4"/>
          </w:tcPr>
          <w:p w:rsidR="001003B5" w:rsidRPr="00217A73" w:rsidRDefault="001003B5" w:rsidP="001002F6">
            <w:pPr>
              <w:pStyle w:val="naisf"/>
              <w:numPr>
                <w:ilvl w:val="0"/>
                <w:numId w:val="3"/>
              </w:numPr>
              <w:spacing w:before="0" w:after="0"/>
              <w:jc w:val="center"/>
              <w:rPr>
                <w:b/>
              </w:rPr>
            </w:pPr>
            <w:r w:rsidRPr="00217A73">
              <w:rPr>
                <w:b/>
              </w:rPr>
              <w:t>tabula Tiesību akta atbilstība ES tiesību aktiem</w:t>
            </w:r>
          </w:p>
        </w:tc>
      </w:tr>
      <w:tr w:rsidR="001003B5" w:rsidRPr="00217A73" w:rsidTr="001002F6">
        <w:tc>
          <w:tcPr>
            <w:tcW w:w="2321" w:type="dxa"/>
          </w:tcPr>
          <w:p w:rsidR="001003B5" w:rsidRPr="00217A73" w:rsidRDefault="001003B5" w:rsidP="001002F6">
            <w:pPr>
              <w:pStyle w:val="naisf"/>
              <w:spacing w:before="0" w:after="0"/>
              <w:ind w:firstLine="0"/>
              <w:jc w:val="center"/>
            </w:pPr>
            <w:r w:rsidRPr="00217A73">
              <w:t>A</w:t>
            </w:r>
          </w:p>
        </w:tc>
        <w:tc>
          <w:tcPr>
            <w:tcW w:w="2322" w:type="dxa"/>
          </w:tcPr>
          <w:p w:rsidR="001003B5" w:rsidRPr="00217A73" w:rsidRDefault="001003B5" w:rsidP="001002F6">
            <w:pPr>
              <w:pStyle w:val="naisf"/>
              <w:spacing w:before="0" w:after="0"/>
              <w:ind w:firstLine="0"/>
              <w:jc w:val="center"/>
            </w:pPr>
            <w:r w:rsidRPr="00217A73">
              <w:t>B</w:t>
            </w:r>
          </w:p>
        </w:tc>
        <w:tc>
          <w:tcPr>
            <w:tcW w:w="2322" w:type="dxa"/>
          </w:tcPr>
          <w:p w:rsidR="001003B5" w:rsidRPr="00217A73" w:rsidRDefault="001003B5" w:rsidP="001002F6">
            <w:pPr>
              <w:pStyle w:val="naisf"/>
              <w:spacing w:before="0" w:after="0"/>
              <w:ind w:firstLine="0"/>
              <w:jc w:val="center"/>
            </w:pPr>
            <w:r w:rsidRPr="00217A73">
              <w:t>C</w:t>
            </w:r>
          </w:p>
        </w:tc>
        <w:tc>
          <w:tcPr>
            <w:tcW w:w="2322" w:type="dxa"/>
          </w:tcPr>
          <w:p w:rsidR="001003B5" w:rsidRPr="00217A73" w:rsidRDefault="001003B5" w:rsidP="001002F6">
            <w:pPr>
              <w:pStyle w:val="naisf"/>
              <w:spacing w:before="0" w:after="0"/>
              <w:ind w:firstLine="0"/>
              <w:jc w:val="center"/>
            </w:pPr>
            <w:r w:rsidRPr="00217A73">
              <w:t>D</w:t>
            </w:r>
          </w:p>
        </w:tc>
      </w:tr>
      <w:tr w:rsidR="001003B5" w:rsidRPr="00217A73" w:rsidTr="001002F6">
        <w:tc>
          <w:tcPr>
            <w:tcW w:w="2321" w:type="dxa"/>
          </w:tcPr>
          <w:p w:rsidR="001003B5" w:rsidRPr="00217A73" w:rsidRDefault="001003B5" w:rsidP="001002F6">
            <w:pPr>
              <w:pStyle w:val="naisf"/>
              <w:spacing w:before="0" w:after="0"/>
              <w:ind w:firstLine="0"/>
              <w:rPr>
                <w:sz w:val="22"/>
                <w:szCs w:val="22"/>
              </w:rPr>
            </w:pPr>
            <w:r w:rsidRPr="00217A73">
              <w:rPr>
                <w:sz w:val="22"/>
                <w:szCs w:val="22"/>
              </w:rPr>
              <w:t>Attiecīgā ES tiesību akta panta Nr. (uzskaitot katru tiesību akta vienību – pantu, daļu, punktu, apakšpunktu)</w:t>
            </w:r>
          </w:p>
        </w:tc>
        <w:tc>
          <w:tcPr>
            <w:tcW w:w="2322" w:type="dxa"/>
          </w:tcPr>
          <w:p w:rsidR="001003B5" w:rsidRPr="00217A73" w:rsidRDefault="001003B5" w:rsidP="001002F6">
            <w:pPr>
              <w:pStyle w:val="naisf"/>
              <w:spacing w:before="0" w:after="0"/>
              <w:ind w:firstLine="0"/>
              <w:rPr>
                <w:sz w:val="22"/>
                <w:szCs w:val="22"/>
              </w:rPr>
            </w:pPr>
            <w:r w:rsidRPr="00217A73">
              <w:rPr>
                <w:sz w:val="22"/>
                <w:szCs w:val="22"/>
              </w:rPr>
              <w:t>Projekta vienība, kas pārņem vai ievieš katru šīs tabulas A ailē minēto ES tiesību akta vienību.</w:t>
            </w:r>
          </w:p>
        </w:tc>
        <w:tc>
          <w:tcPr>
            <w:tcW w:w="2322" w:type="dxa"/>
          </w:tcPr>
          <w:p w:rsidR="001003B5" w:rsidRPr="00217A73" w:rsidRDefault="001003B5" w:rsidP="001002F6">
            <w:pPr>
              <w:pStyle w:val="naiskr"/>
              <w:jc w:val="center"/>
              <w:rPr>
                <w:sz w:val="22"/>
                <w:szCs w:val="22"/>
              </w:rPr>
            </w:pPr>
            <w:r w:rsidRPr="00217A73">
              <w:rPr>
                <w:sz w:val="22"/>
                <w:szCs w:val="22"/>
              </w:rPr>
              <w:t>Informācija par to, vai šīs tabulas A ailē minētās ES tiesību akta vienības tiek pārņemtas vai ieviestas pilnībā vai daļēji.</w:t>
            </w:r>
          </w:p>
          <w:p w:rsidR="001003B5" w:rsidRPr="00217A73" w:rsidRDefault="001003B5" w:rsidP="001002F6">
            <w:pPr>
              <w:pStyle w:val="naiskr"/>
              <w:jc w:val="center"/>
              <w:rPr>
                <w:sz w:val="22"/>
                <w:szCs w:val="22"/>
              </w:rPr>
            </w:pPr>
            <w:r w:rsidRPr="00217A73">
              <w:rPr>
                <w:sz w:val="22"/>
                <w:szCs w:val="22"/>
              </w:rPr>
              <w:t xml:space="preserve">Ja attiecīgā ES tiesību akta vienība tiek pārņemta vai ieviesta daļēji – sniedz </w:t>
            </w:r>
            <w:r w:rsidRPr="00217A73">
              <w:rPr>
                <w:sz w:val="22"/>
                <w:szCs w:val="22"/>
              </w:rPr>
              <w:lastRenderedPageBreak/>
              <w:t>skaidrojumu šādai situācijai, kā arī precīzi norāda, kad un kādā veidā ES tiesību akta vienība tiks pārņemta vai ieviesta pilnībā.</w:t>
            </w:r>
          </w:p>
          <w:p w:rsidR="001003B5" w:rsidRPr="00217A73" w:rsidRDefault="001003B5" w:rsidP="001002F6">
            <w:pPr>
              <w:pStyle w:val="naisf"/>
              <w:spacing w:before="0" w:after="0"/>
              <w:ind w:firstLine="0"/>
              <w:rPr>
                <w:sz w:val="22"/>
                <w:szCs w:val="22"/>
              </w:rPr>
            </w:pPr>
            <w:r w:rsidRPr="00217A73">
              <w:rPr>
                <w:sz w:val="22"/>
                <w:szCs w:val="22"/>
              </w:rPr>
              <w:t>Kā arī norāda institūciju, kas ir atbildīga par šo saistību izpildi pilnībā.</w:t>
            </w:r>
          </w:p>
        </w:tc>
        <w:tc>
          <w:tcPr>
            <w:tcW w:w="2322" w:type="dxa"/>
          </w:tcPr>
          <w:p w:rsidR="001003B5" w:rsidRPr="00217A73" w:rsidRDefault="001003B5" w:rsidP="001002F6">
            <w:pPr>
              <w:pStyle w:val="naiskr"/>
              <w:jc w:val="center"/>
              <w:rPr>
                <w:sz w:val="22"/>
                <w:szCs w:val="22"/>
              </w:rPr>
            </w:pPr>
            <w:r w:rsidRPr="00217A73">
              <w:rPr>
                <w:sz w:val="22"/>
                <w:szCs w:val="22"/>
              </w:rPr>
              <w:lastRenderedPageBreak/>
              <w:t>Informācija par to, vai šīs tabulas B ailē minētās projekta vienības paredz stingrākas prasības nekā šīs tabulas A ailē minētās ES tiesību akta vienības.</w:t>
            </w:r>
          </w:p>
          <w:p w:rsidR="001003B5" w:rsidRPr="00217A73" w:rsidRDefault="001003B5" w:rsidP="001002F6">
            <w:pPr>
              <w:pStyle w:val="naiskr"/>
              <w:jc w:val="center"/>
              <w:rPr>
                <w:sz w:val="22"/>
                <w:szCs w:val="22"/>
              </w:rPr>
            </w:pPr>
            <w:r w:rsidRPr="00217A73">
              <w:rPr>
                <w:sz w:val="22"/>
                <w:szCs w:val="22"/>
              </w:rPr>
              <w:t xml:space="preserve">Ja projekts satur stingrākas prasības </w:t>
            </w:r>
            <w:r w:rsidRPr="00217A73">
              <w:rPr>
                <w:sz w:val="22"/>
                <w:szCs w:val="22"/>
              </w:rPr>
              <w:lastRenderedPageBreak/>
              <w:t>nekā attiecīgais ES tiesību akts – norāda pamatojumu un samērīgumu.</w:t>
            </w:r>
          </w:p>
          <w:p w:rsidR="001003B5" w:rsidRPr="00217A73" w:rsidRDefault="001003B5" w:rsidP="001002F6">
            <w:pPr>
              <w:pStyle w:val="naisf"/>
              <w:spacing w:before="0" w:after="0"/>
              <w:ind w:firstLine="0"/>
              <w:rPr>
                <w:sz w:val="22"/>
                <w:szCs w:val="22"/>
              </w:rPr>
            </w:pPr>
            <w:r w:rsidRPr="00217A73">
              <w:rPr>
                <w:sz w:val="22"/>
                <w:szCs w:val="22"/>
              </w:rPr>
              <w:t>Kā arī norāda iespējamās rīcības alternatīvas (t.sk. alternatīvas, kas neparedz tiesiskā regulējuma izstrādi) – kādos gadījumos būtu iespējams izvairīties no stingrāku prasību noteikšanās, nekā paredzēts attiecīgajos ES tiesību aktos.</w:t>
            </w:r>
          </w:p>
        </w:tc>
      </w:tr>
      <w:tr w:rsidR="001003B5" w:rsidRPr="00217A73" w:rsidTr="001002F6">
        <w:tc>
          <w:tcPr>
            <w:tcW w:w="2321" w:type="dxa"/>
          </w:tcPr>
          <w:p w:rsidR="001003B5" w:rsidRPr="00217A73" w:rsidRDefault="001003B5" w:rsidP="001002F6">
            <w:pPr>
              <w:pStyle w:val="naisf"/>
              <w:spacing w:before="0" w:after="0"/>
              <w:ind w:firstLine="0"/>
            </w:pPr>
            <w:r w:rsidRPr="00217A73">
              <w:lastRenderedPageBreak/>
              <w:t xml:space="preserve">Komisijas lēmuma Nr. 2007/435/EK </w:t>
            </w:r>
          </w:p>
          <w:p w:rsidR="001003B5" w:rsidRPr="00217A73" w:rsidRDefault="001003B5" w:rsidP="001002F6">
            <w:pPr>
              <w:pStyle w:val="naisf"/>
              <w:spacing w:before="0" w:after="0"/>
              <w:ind w:firstLine="0"/>
            </w:pPr>
            <w:r w:rsidRPr="00217A73">
              <w:t>33.pants</w:t>
            </w:r>
          </w:p>
        </w:tc>
        <w:tc>
          <w:tcPr>
            <w:tcW w:w="2322" w:type="dxa"/>
          </w:tcPr>
          <w:p w:rsidR="001003B5" w:rsidRPr="00217A73" w:rsidRDefault="001003B5" w:rsidP="001002F6">
            <w:pPr>
              <w:pStyle w:val="naisf"/>
              <w:spacing w:before="0" w:after="0"/>
              <w:ind w:firstLine="0"/>
            </w:pPr>
            <w:r w:rsidRPr="00217A73">
              <w:t>Noteikumu projekta 2.punkts</w:t>
            </w:r>
          </w:p>
        </w:tc>
        <w:tc>
          <w:tcPr>
            <w:tcW w:w="2322" w:type="dxa"/>
          </w:tcPr>
          <w:p w:rsidR="001003B5" w:rsidRPr="00217A73" w:rsidRDefault="001003B5" w:rsidP="001002F6">
            <w:pPr>
              <w:pStyle w:val="naisf"/>
              <w:spacing w:before="0" w:after="0"/>
              <w:ind w:firstLine="0"/>
            </w:pPr>
            <w:r w:rsidRPr="00217A73">
              <w:t>Pilnībā</w:t>
            </w:r>
          </w:p>
        </w:tc>
        <w:tc>
          <w:tcPr>
            <w:tcW w:w="2322" w:type="dxa"/>
          </w:tcPr>
          <w:p w:rsidR="001003B5" w:rsidRPr="00217A73" w:rsidRDefault="001003B5" w:rsidP="001002F6">
            <w:pPr>
              <w:pStyle w:val="naisf"/>
              <w:spacing w:before="0" w:after="0"/>
              <w:ind w:firstLine="0"/>
            </w:pPr>
            <w:r w:rsidRPr="00217A73">
              <w:t>Nav attiecināms</w:t>
            </w:r>
          </w:p>
        </w:tc>
      </w:tr>
      <w:tr w:rsidR="001003B5" w:rsidRPr="00217A73" w:rsidTr="001002F6">
        <w:tc>
          <w:tcPr>
            <w:tcW w:w="2321" w:type="dxa"/>
          </w:tcPr>
          <w:p w:rsidR="001003B5" w:rsidRPr="00217A73" w:rsidRDefault="001003B5" w:rsidP="001002F6">
            <w:r w:rsidRPr="00217A73">
              <w:t xml:space="preserve">Komisijas lēmuma Nr. 2007/435/EK </w:t>
            </w:r>
          </w:p>
          <w:p w:rsidR="001003B5" w:rsidRPr="00217A73" w:rsidRDefault="001003B5" w:rsidP="001002F6">
            <w:r w:rsidRPr="00217A73">
              <w:t>1.pants</w:t>
            </w:r>
          </w:p>
        </w:tc>
        <w:tc>
          <w:tcPr>
            <w:tcW w:w="2322" w:type="dxa"/>
          </w:tcPr>
          <w:p w:rsidR="001003B5" w:rsidRPr="00217A73" w:rsidRDefault="001003B5" w:rsidP="001002F6">
            <w:r w:rsidRPr="00217A73">
              <w:t>Noteikumu projekta 4., 5.punkts</w:t>
            </w:r>
          </w:p>
        </w:tc>
        <w:tc>
          <w:tcPr>
            <w:tcW w:w="2322" w:type="dxa"/>
          </w:tcPr>
          <w:p w:rsidR="001003B5" w:rsidRPr="00217A73" w:rsidRDefault="001003B5" w:rsidP="001002F6">
            <w:pPr>
              <w:pStyle w:val="naisf"/>
              <w:spacing w:before="0" w:after="0"/>
              <w:ind w:firstLine="0"/>
            </w:pPr>
            <w:r w:rsidRPr="00217A73">
              <w:t>Pilnībā</w:t>
            </w:r>
          </w:p>
        </w:tc>
        <w:tc>
          <w:tcPr>
            <w:tcW w:w="2322" w:type="dxa"/>
          </w:tcPr>
          <w:p w:rsidR="001003B5" w:rsidRPr="00217A73" w:rsidRDefault="001003B5" w:rsidP="001002F6">
            <w:pPr>
              <w:pStyle w:val="naisf"/>
              <w:spacing w:before="0" w:after="0"/>
              <w:ind w:firstLine="0"/>
            </w:pPr>
            <w:r w:rsidRPr="00217A73">
              <w:t>Nav attiecināms</w:t>
            </w:r>
          </w:p>
        </w:tc>
      </w:tr>
      <w:tr w:rsidR="001003B5" w:rsidRPr="00217A73" w:rsidTr="001002F6">
        <w:tc>
          <w:tcPr>
            <w:tcW w:w="2321" w:type="dxa"/>
          </w:tcPr>
          <w:p w:rsidR="001003B5" w:rsidRPr="00217A73" w:rsidRDefault="001003B5" w:rsidP="001002F6">
            <w:r w:rsidRPr="00217A73">
              <w:t xml:space="preserve">Komisijas lēmuma Nr. 2008/457/EK </w:t>
            </w:r>
            <w:r w:rsidR="002168EF" w:rsidRPr="00217A73">
              <w:t>9.</w:t>
            </w:r>
            <w:r w:rsidRPr="00217A73">
              <w:t>pants</w:t>
            </w:r>
          </w:p>
        </w:tc>
        <w:tc>
          <w:tcPr>
            <w:tcW w:w="2322" w:type="dxa"/>
          </w:tcPr>
          <w:p w:rsidR="001003B5" w:rsidRPr="00217A73" w:rsidRDefault="001003B5" w:rsidP="004E4AAF">
            <w:r w:rsidRPr="00217A73">
              <w:t xml:space="preserve">Noteikumu projekta </w:t>
            </w:r>
            <w:r w:rsidR="004E4AAF" w:rsidRPr="00217A73">
              <w:t>11</w:t>
            </w:r>
            <w:r w:rsidRPr="00217A73">
              <w:t>.punkts</w:t>
            </w:r>
          </w:p>
        </w:tc>
        <w:tc>
          <w:tcPr>
            <w:tcW w:w="2322" w:type="dxa"/>
          </w:tcPr>
          <w:p w:rsidR="001003B5" w:rsidRPr="00217A73" w:rsidRDefault="001003B5" w:rsidP="001002F6">
            <w:pPr>
              <w:pStyle w:val="naisf"/>
              <w:spacing w:before="0" w:after="0"/>
              <w:ind w:firstLine="0"/>
            </w:pPr>
            <w:r w:rsidRPr="00217A73">
              <w:t>Pilnībā</w:t>
            </w:r>
          </w:p>
        </w:tc>
        <w:tc>
          <w:tcPr>
            <w:tcW w:w="2322" w:type="dxa"/>
          </w:tcPr>
          <w:p w:rsidR="001003B5" w:rsidRPr="00217A73" w:rsidRDefault="001003B5" w:rsidP="001002F6">
            <w:pPr>
              <w:pStyle w:val="naisf"/>
              <w:spacing w:before="0" w:after="0"/>
              <w:ind w:firstLine="0"/>
            </w:pPr>
            <w:r w:rsidRPr="00217A73">
              <w:t>Nav attiecināms</w:t>
            </w:r>
          </w:p>
        </w:tc>
      </w:tr>
      <w:tr w:rsidR="001003B5" w:rsidRPr="00217A73" w:rsidTr="001002F6">
        <w:tc>
          <w:tcPr>
            <w:tcW w:w="2321" w:type="dxa"/>
          </w:tcPr>
          <w:p w:rsidR="001003B5" w:rsidRPr="00217A73" w:rsidRDefault="001003B5" w:rsidP="001002F6">
            <w:r w:rsidRPr="00217A73">
              <w:t>Komisijas lēmuma Nr. 2008/457/EK XI pielikums</w:t>
            </w:r>
          </w:p>
        </w:tc>
        <w:tc>
          <w:tcPr>
            <w:tcW w:w="2322" w:type="dxa"/>
          </w:tcPr>
          <w:p w:rsidR="001003B5" w:rsidRPr="00217A73" w:rsidRDefault="001003B5" w:rsidP="00C40FD7">
            <w:r w:rsidRPr="00217A73">
              <w:t xml:space="preserve">Noteikumu projekta </w:t>
            </w:r>
            <w:r w:rsidR="00C40FD7" w:rsidRPr="00217A73">
              <w:t>134.līdz 146.punkts</w:t>
            </w:r>
            <w:r w:rsidRPr="00217A73">
              <w:t>,</w:t>
            </w:r>
            <w:r w:rsidR="00D74840" w:rsidRPr="00217A73">
              <w:t>3</w:t>
            </w:r>
            <w:r w:rsidRPr="00217A73">
              <w:t>.pielikums</w:t>
            </w:r>
          </w:p>
        </w:tc>
        <w:tc>
          <w:tcPr>
            <w:tcW w:w="2322" w:type="dxa"/>
          </w:tcPr>
          <w:p w:rsidR="001003B5" w:rsidRPr="00217A73" w:rsidRDefault="001003B5" w:rsidP="001002F6">
            <w:pPr>
              <w:pStyle w:val="naisf"/>
              <w:spacing w:before="0" w:after="0"/>
              <w:ind w:firstLine="0"/>
            </w:pPr>
            <w:r w:rsidRPr="00217A73">
              <w:t>Pilnībā, ņemot vērā arī Eiropas Komisijas sagatavoto rokasgrāmatu par izdevumu atzīšanu, kas sīkāk skaidro atsevišķas prasības</w:t>
            </w:r>
          </w:p>
        </w:tc>
        <w:tc>
          <w:tcPr>
            <w:tcW w:w="2322" w:type="dxa"/>
          </w:tcPr>
          <w:p w:rsidR="001003B5" w:rsidRPr="00217A73" w:rsidRDefault="001003B5" w:rsidP="001002F6">
            <w:pPr>
              <w:pStyle w:val="naisf"/>
              <w:spacing w:before="0" w:after="0"/>
              <w:ind w:firstLine="0"/>
            </w:pPr>
            <w:r w:rsidRPr="00217A73">
              <w:t>Nav attiecināms</w:t>
            </w:r>
          </w:p>
        </w:tc>
      </w:tr>
      <w:tr w:rsidR="001003B5" w:rsidRPr="00217A73" w:rsidTr="001002F6">
        <w:tc>
          <w:tcPr>
            <w:tcW w:w="2321" w:type="dxa"/>
          </w:tcPr>
          <w:p w:rsidR="001003B5" w:rsidRPr="00217A73" w:rsidRDefault="001003B5" w:rsidP="001002F6">
            <w:r w:rsidRPr="00217A73">
              <w:t>Komisijas lēmuma Nr. 2008/457/EK</w:t>
            </w:r>
          </w:p>
          <w:p w:rsidR="001003B5" w:rsidRPr="00217A73" w:rsidRDefault="001003B5" w:rsidP="001002F6">
            <w:r w:rsidRPr="00217A73">
              <w:t>11.pants</w:t>
            </w:r>
          </w:p>
        </w:tc>
        <w:tc>
          <w:tcPr>
            <w:tcW w:w="2322" w:type="dxa"/>
          </w:tcPr>
          <w:p w:rsidR="001003B5" w:rsidRPr="00217A73" w:rsidRDefault="001003B5" w:rsidP="004F5993">
            <w:r w:rsidRPr="00217A73">
              <w:t xml:space="preserve">Noteikumu projekta </w:t>
            </w:r>
            <w:r w:rsidR="004F5993" w:rsidRPr="00217A73">
              <w:t>143</w:t>
            </w:r>
            <w:r w:rsidRPr="00217A73">
              <w:t>.punkts</w:t>
            </w:r>
            <w:r w:rsidR="00C40FD7" w:rsidRPr="00217A73">
              <w:t>, 3.pielikums</w:t>
            </w:r>
          </w:p>
        </w:tc>
        <w:tc>
          <w:tcPr>
            <w:tcW w:w="2322" w:type="dxa"/>
          </w:tcPr>
          <w:p w:rsidR="001003B5" w:rsidRPr="00217A73" w:rsidRDefault="001003B5" w:rsidP="001002F6">
            <w:pPr>
              <w:pStyle w:val="naisf"/>
              <w:spacing w:before="0" w:after="0"/>
              <w:ind w:firstLine="0"/>
            </w:pPr>
            <w:r w:rsidRPr="00217A73">
              <w:t>Pilnībā</w:t>
            </w:r>
          </w:p>
        </w:tc>
        <w:tc>
          <w:tcPr>
            <w:tcW w:w="2322" w:type="dxa"/>
          </w:tcPr>
          <w:p w:rsidR="001003B5" w:rsidRPr="00217A73" w:rsidRDefault="001003B5" w:rsidP="001002F6">
            <w:pPr>
              <w:pStyle w:val="naisf"/>
              <w:spacing w:before="0" w:after="0"/>
              <w:ind w:firstLine="0"/>
            </w:pPr>
            <w:r w:rsidRPr="00217A73">
              <w:t>Nav attiecināms</w:t>
            </w:r>
          </w:p>
        </w:tc>
      </w:tr>
      <w:tr w:rsidR="001003B5" w:rsidRPr="00217A73" w:rsidTr="001002F6">
        <w:tc>
          <w:tcPr>
            <w:tcW w:w="2321" w:type="dxa"/>
          </w:tcPr>
          <w:p w:rsidR="001003B5" w:rsidRPr="00217A73" w:rsidRDefault="001003B5" w:rsidP="001002F6">
            <w:r w:rsidRPr="00217A73">
              <w:t>Komisijas lēmuma Nr. 2008/457/EK</w:t>
            </w:r>
          </w:p>
          <w:p w:rsidR="001003B5" w:rsidRPr="00217A73" w:rsidRDefault="001003B5" w:rsidP="001002F6">
            <w:r w:rsidRPr="00217A73">
              <w:t>10.pants</w:t>
            </w:r>
          </w:p>
        </w:tc>
        <w:tc>
          <w:tcPr>
            <w:tcW w:w="2322" w:type="dxa"/>
          </w:tcPr>
          <w:p w:rsidR="001003B5" w:rsidRPr="00217A73" w:rsidRDefault="001003B5" w:rsidP="00641441">
            <w:r w:rsidRPr="00217A73">
              <w:t xml:space="preserve">Noteikumu projekta </w:t>
            </w:r>
            <w:r w:rsidR="004F5993" w:rsidRPr="00217A73">
              <w:t>42</w:t>
            </w:r>
            <w:r w:rsidRPr="00217A73">
              <w:t xml:space="preserve">., </w:t>
            </w:r>
            <w:r w:rsidR="00641441" w:rsidRPr="00217A73">
              <w:t>līdz</w:t>
            </w:r>
            <w:r w:rsidRPr="00217A73">
              <w:t xml:space="preserve"> </w:t>
            </w:r>
            <w:r w:rsidR="004F5993" w:rsidRPr="00217A73">
              <w:t>51</w:t>
            </w:r>
            <w:r w:rsidRPr="00217A73">
              <w:t>.punkts</w:t>
            </w:r>
          </w:p>
        </w:tc>
        <w:tc>
          <w:tcPr>
            <w:tcW w:w="2322" w:type="dxa"/>
          </w:tcPr>
          <w:p w:rsidR="001003B5" w:rsidRPr="00217A73" w:rsidRDefault="001003B5" w:rsidP="001002F6">
            <w:pPr>
              <w:pStyle w:val="naisf"/>
              <w:spacing w:before="0" w:after="0"/>
              <w:ind w:firstLine="0"/>
            </w:pPr>
            <w:r w:rsidRPr="00217A73">
              <w:t>Ciktāl tas nepieciešams, ņemot vērā to, ka EK lēmums vadošajai iestādei ir tieši saistošs</w:t>
            </w:r>
          </w:p>
        </w:tc>
        <w:tc>
          <w:tcPr>
            <w:tcW w:w="2322" w:type="dxa"/>
          </w:tcPr>
          <w:p w:rsidR="001003B5" w:rsidRPr="00217A73" w:rsidRDefault="001003B5" w:rsidP="001002F6">
            <w:pPr>
              <w:pStyle w:val="naisf"/>
              <w:spacing w:before="0" w:after="0"/>
              <w:ind w:firstLine="0"/>
            </w:pPr>
            <w:r w:rsidRPr="00217A73">
              <w:t>Nav attiecināms</w:t>
            </w:r>
          </w:p>
        </w:tc>
      </w:tr>
    </w:tbl>
    <w:p w:rsidR="001003B5" w:rsidRPr="00217A73" w:rsidRDefault="001003B5" w:rsidP="001003B5">
      <w:pPr>
        <w:pStyle w:val="naisf"/>
        <w:spacing w:before="0" w:after="0"/>
        <w:ind w:firstLine="0"/>
      </w:pPr>
    </w:p>
    <w:p w:rsidR="001003B5" w:rsidRPr="00217A73" w:rsidRDefault="001003B5" w:rsidP="001003B5">
      <w:pPr>
        <w:pStyle w:val="naisf"/>
        <w:tabs>
          <w:tab w:val="left" w:pos="5760"/>
        </w:tabs>
        <w:spacing w:before="0" w:after="0"/>
        <w:ind w:firstLine="0"/>
      </w:pPr>
    </w:p>
    <w:tbl>
      <w:tblPr>
        <w:tblStyle w:val="Reatabula"/>
        <w:tblpPr w:leftFromText="180" w:rightFromText="180" w:vertAnchor="text" w:tblpX="36" w:tblpY="1"/>
        <w:tblOverlap w:val="never"/>
        <w:tblW w:w="9180" w:type="dxa"/>
        <w:tblLayout w:type="fixed"/>
        <w:tblLook w:val="01E0"/>
      </w:tblPr>
      <w:tblGrid>
        <w:gridCol w:w="468"/>
        <w:gridCol w:w="3207"/>
        <w:gridCol w:w="5505"/>
      </w:tblGrid>
      <w:tr w:rsidR="001003B5" w:rsidRPr="00217A73" w:rsidTr="001002F6">
        <w:tc>
          <w:tcPr>
            <w:tcW w:w="9180" w:type="dxa"/>
            <w:gridSpan w:val="3"/>
          </w:tcPr>
          <w:p w:rsidR="001003B5" w:rsidRPr="00217A73" w:rsidRDefault="001003B5" w:rsidP="001002F6">
            <w:pPr>
              <w:pStyle w:val="naisf"/>
              <w:spacing w:before="0" w:after="0"/>
              <w:ind w:firstLine="0"/>
              <w:jc w:val="center"/>
              <w:rPr>
                <w:b/>
              </w:rPr>
            </w:pPr>
            <w:r w:rsidRPr="00217A73">
              <w:rPr>
                <w:b/>
              </w:rPr>
              <w:t>VII Tiesību akta projekta izpildes nodrošināšana un tās ietekme uz institūcijām</w:t>
            </w:r>
          </w:p>
        </w:tc>
      </w:tr>
      <w:tr w:rsidR="001003B5" w:rsidRPr="00217A73" w:rsidTr="001002F6">
        <w:tc>
          <w:tcPr>
            <w:tcW w:w="468" w:type="dxa"/>
          </w:tcPr>
          <w:p w:rsidR="001003B5" w:rsidRPr="00217A73" w:rsidRDefault="001003B5" w:rsidP="001002F6">
            <w:pPr>
              <w:pStyle w:val="naisf"/>
              <w:numPr>
                <w:ilvl w:val="0"/>
                <w:numId w:val="2"/>
              </w:numPr>
              <w:tabs>
                <w:tab w:val="clear" w:pos="720"/>
                <w:tab w:val="num" w:pos="0"/>
              </w:tabs>
              <w:spacing w:before="0" w:after="0"/>
              <w:ind w:left="0" w:hanging="568"/>
            </w:pPr>
            <w:r w:rsidRPr="00217A73">
              <w:t>1.</w:t>
            </w:r>
          </w:p>
        </w:tc>
        <w:tc>
          <w:tcPr>
            <w:tcW w:w="3207" w:type="dxa"/>
          </w:tcPr>
          <w:p w:rsidR="001003B5" w:rsidRPr="00217A73" w:rsidRDefault="001003B5" w:rsidP="001002F6">
            <w:pPr>
              <w:jc w:val="both"/>
            </w:pPr>
            <w:r w:rsidRPr="00217A73">
              <w:t xml:space="preserve">Projekta izpildē iesaistītās institūcijas </w:t>
            </w:r>
          </w:p>
        </w:tc>
        <w:tc>
          <w:tcPr>
            <w:tcW w:w="5505" w:type="dxa"/>
          </w:tcPr>
          <w:p w:rsidR="001003B5" w:rsidRPr="00217A73" w:rsidRDefault="001003B5" w:rsidP="001002F6">
            <w:pPr>
              <w:pStyle w:val="naisf"/>
              <w:spacing w:before="0" w:after="0"/>
              <w:ind w:firstLine="0"/>
            </w:pPr>
            <w:r w:rsidRPr="00217A73">
              <w:rPr>
                <w:iCs/>
              </w:rPr>
              <w:t>Kultūras ministrija.</w:t>
            </w:r>
          </w:p>
        </w:tc>
      </w:tr>
      <w:tr w:rsidR="001003B5" w:rsidRPr="00217A73" w:rsidTr="001002F6">
        <w:tc>
          <w:tcPr>
            <w:tcW w:w="468" w:type="dxa"/>
          </w:tcPr>
          <w:p w:rsidR="001003B5" w:rsidRPr="00217A73" w:rsidRDefault="001003B5" w:rsidP="001002F6">
            <w:pPr>
              <w:pStyle w:val="naisf"/>
              <w:numPr>
                <w:ilvl w:val="0"/>
                <w:numId w:val="2"/>
              </w:numPr>
              <w:spacing w:before="0" w:after="0"/>
              <w:ind w:left="0" w:hanging="720"/>
            </w:pPr>
          </w:p>
          <w:p w:rsidR="001003B5" w:rsidRPr="00217A73" w:rsidRDefault="001003B5" w:rsidP="001002F6">
            <w:r w:rsidRPr="00217A73">
              <w:t>2.</w:t>
            </w:r>
          </w:p>
        </w:tc>
        <w:tc>
          <w:tcPr>
            <w:tcW w:w="3207" w:type="dxa"/>
          </w:tcPr>
          <w:p w:rsidR="001003B5" w:rsidRPr="00217A73" w:rsidRDefault="001003B5" w:rsidP="001002F6">
            <w:pPr>
              <w:jc w:val="both"/>
            </w:pPr>
            <w:r w:rsidRPr="00217A73">
              <w:t xml:space="preserve">Projekta izpildes ietekme uz pārvaldes funkcijām </w:t>
            </w:r>
          </w:p>
        </w:tc>
        <w:tc>
          <w:tcPr>
            <w:tcW w:w="5505" w:type="dxa"/>
          </w:tcPr>
          <w:p w:rsidR="001003B5" w:rsidRPr="00217A73" w:rsidRDefault="001003B5" w:rsidP="001002F6">
            <w:pPr>
              <w:jc w:val="both"/>
            </w:pPr>
            <w:r w:rsidRPr="00217A73">
              <w:t>Projekts neietekmē valsts pārvaldes funkcijas.</w:t>
            </w:r>
          </w:p>
          <w:p w:rsidR="001003B5" w:rsidRPr="00217A73" w:rsidRDefault="001003B5" w:rsidP="001002F6">
            <w:pPr>
              <w:jc w:val="both"/>
            </w:pPr>
          </w:p>
        </w:tc>
      </w:tr>
      <w:tr w:rsidR="001003B5" w:rsidRPr="00217A73" w:rsidTr="001002F6">
        <w:tc>
          <w:tcPr>
            <w:tcW w:w="468" w:type="dxa"/>
          </w:tcPr>
          <w:p w:rsidR="001003B5" w:rsidRPr="00217A73" w:rsidRDefault="001003B5" w:rsidP="001002F6">
            <w:pPr>
              <w:pStyle w:val="naisf"/>
              <w:numPr>
                <w:ilvl w:val="0"/>
                <w:numId w:val="2"/>
              </w:numPr>
              <w:spacing w:before="0" w:after="0"/>
              <w:ind w:left="0" w:hanging="720"/>
            </w:pPr>
          </w:p>
          <w:p w:rsidR="001003B5" w:rsidRPr="00217A73" w:rsidRDefault="001003B5" w:rsidP="001002F6">
            <w:r w:rsidRPr="00217A73">
              <w:t>3.</w:t>
            </w:r>
          </w:p>
        </w:tc>
        <w:tc>
          <w:tcPr>
            <w:tcW w:w="3207" w:type="dxa"/>
          </w:tcPr>
          <w:p w:rsidR="001003B5" w:rsidRPr="00217A73" w:rsidRDefault="001003B5" w:rsidP="001002F6">
            <w:pPr>
              <w:pStyle w:val="naisf"/>
              <w:spacing w:before="0" w:after="0"/>
              <w:ind w:firstLine="0"/>
            </w:pPr>
            <w:r w:rsidRPr="00217A73">
              <w:t xml:space="preserve">Projekta izpildes ietekme uz pārvaldes institucionālo </w:t>
            </w:r>
            <w:r w:rsidRPr="00217A73">
              <w:lastRenderedPageBreak/>
              <w:t>struktūru. Jaunu institūciju izveide.</w:t>
            </w:r>
          </w:p>
        </w:tc>
        <w:tc>
          <w:tcPr>
            <w:tcW w:w="5505" w:type="dxa"/>
          </w:tcPr>
          <w:p w:rsidR="001003B5" w:rsidRPr="00217A73" w:rsidRDefault="001003B5" w:rsidP="001002F6">
            <w:pPr>
              <w:jc w:val="both"/>
            </w:pPr>
            <w:r w:rsidRPr="00217A73">
              <w:rPr>
                <w:iCs/>
              </w:rPr>
              <w:lastRenderedPageBreak/>
              <w:t>Jaunas institūcijas netiek izveidotas.</w:t>
            </w:r>
          </w:p>
        </w:tc>
      </w:tr>
      <w:tr w:rsidR="002A12BC" w:rsidRPr="00217A73" w:rsidTr="001002F6">
        <w:tc>
          <w:tcPr>
            <w:tcW w:w="468" w:type="dxa"/>
          </w:tcPr>
          <w:p w:rsidR="002A12BC" w:rsidRPr="00217A73" w:rsidRDefault="002A12BC" w:rsidP="001002F6">
            <w:pPr>
              <w:pStyle w:val="naisf"/>
              <w:numPr>
                <w:ilvl w:val="0"/>
                <w:numId w:val="2"/>
              </w:numPr>
              <w:spacing w:before="0" w:after="0"/>
              <w:ind w:left="0" w:hanging="720"/>
            </w:pPr>
          </w:p>
          <w:p w:rsidR="002A12BC" w:rsidRPr="00217A73" w:rsidRDefault="002A12BC" w:rsidP="001002F6"/>
          <w:p w:rsidR="002A12BC" w:rsidRPr="00217A73" w:rsidRDefault="002A12BC" w:rsidP="001002F6">
            <w:r w:rsidRPr="00217A73">
              <w:t>4.</w:t>
            </w:r>
          </w:p>
        </w:tc>
        <w:tc>
          <w:tcPr>
            <w:tcW w:w="3207" w:type="dxa"/>
          </w:tcPr>
          <w:p w:rsidR="002A12BC" w:rsidRPr="00217A73" w:rsidRDefault="002A12BC" w:rsidP="001002F6">
            <w:pPr>
              <w:pStyle w:val="naisf"/>
              <w:spacing w:before="0" w:after="0"/>
              <w:ind w:firstLine="0"/>
            </w:pPr>
            <w:r w:rsidRPr="00217A73">
              <w:t>Projekta izpildes ietekme uz pārvaldes institucionālo struktūru. Esošu institūciju likvidācija</w:t>
            </w:r>
          </w:p>
          <w:p w:rsidR="002A12BC" w:rsidRPr="00217A73" w:rsidRDefault="002A12BC" w:rsidP="001002F6">
            <w:pPr>
              <w:pStyle w:val="naisf"/>
              <w:spacing w:before="0" w:after="0"/>
              <w:ind w:firstLine="0"/>
            </w:pPr>
          </w:p>
        </w:tc>
        <w:tc>
          <w:tcPr>
            <w:tcW w:w="5505" w:type="dxa"/>
          </w:tcPr>
          <w:p w:rsidR="002A12BC" w:rsidRPr="00217A73" w:rsidRDefault="002A12BC" w:rsidP="001002F6">
            <w:pPr>
              <w:pStyle w:val="naisf"/>
              <w:spacing w:before="0" w:after="0"/>
              <w:ind w:firstLine="0"/>
            </w:pPr>
            <w:r w:rsidRPr="00217A73">
              <w:t>Projekts šo jomu neskar.</w:t>
            </w:r>
          </w:p>
        </w:tc>
      </w:tr>
      <w:tr w:rsidR="002A12BC" w:rsidRPr="00217A73" w:rsidTr="001002F6">
        <w:tc>
          <w:tcPr>
            <w:tcW w:w="468" w:type="dxa"/>
          </w:tcPr>
          <w:p w:rsidR="002A12BC" w:rsidRPr="00217A73" w:rsidRDefault="002A12BC" w:rsidP="001002F6">
            <w:pPr>
              <w:pStyle w:val="naisf"/>
              <w:numPr>
                <w:ilvl w:val="0"/>
                <w:numId w:val="2"/>
              </w:numPr>
              <w:spacing w:before="0" w:after="0"/>
              <w:ind w:left="0" w:hanging="720"/>
            </w:pPr>
          </w:p>
          <w:p w:rsidR="002A12BC" w:rsidRPr="00217A73" w:rsidRDefault="002A12BC" w:rsidP="001002F6"/>
          <w:p w:rsidR="002A12BC" w:rsidRPr="00217A73" w:rsidRDefault="002A12BC" w:rsidP="001002F6"/>
          <w:p w:rsidR="002A12BC" w:rsidRPr="00217A73" w:rsidRDefault="002A12BC" w:rsidP="001002F6"/>
          <w:p w:rsidR="002A12BC" w:rsidRPr="00217A73" w:rsidRDefault="002A12BC" w:rsidP="001002F6">
            <w:r w:rsidRPr="00217A73">
              <w:t>5.</w:t>
            </w:r>
          </w:p>
        </w:tc>
        <w:tc>
          <w:tcPr>
            <w:tcW w:w="3207" w:type="dxa"/>
          </w:tcPr>
          <w:p w:rsidR="002A12BC" w:rsidRPr="00217A73" w:rsidRDefault="002A12BC" w:rsidP="001002F6">
            <w:pPr>
              <w:pStyle w:val="naisf"/>
              <w:spacing w:before="0" w:after="0"/>
              <w:ind w:firstLine="0"/>
            </w:pPr>
            <w:r w:rsidRPr="00217A73">
              <w:t>Projekta izpildes ietekme uz pārvaldes institucionālo struktūru.</w:t>
            </w:r>
          </w:p>
          <w:p w:rsidR="002A12BC" w:rsidRPr="00217A73" w:rsidRDefault="002A12BC" w:rsidP="001002F6">
            <w:pPr>
              <w:pStyle w:val="naisf"/>
              <w:spacing w:before="0" w:after="0"/>
              <w:ind w:firstLine="0"/>
            </w:pPr>
            <w:r w:rsidRPr="00217A73">
              <w:t>Esošu institūciju reorganizācija.</w:t>
            </w:r>
          </w:p>
        </w:tc>
        <w:tc>
          <w:tcPr>
            <w:tcW w:w="5505" w:type="dxa"/>
          </w:tcPr>
          <w:p w:rsidR="002A12BC" w:rsidRPr="00217A73" w:rsidRDefault="002A12BC" w:rsidP="001002F6">
            <w:pPr>
              <w:pStyle w:val="naisf"/>
              <w:spacing w:before="0" w:after="0"/>
              <w:ind w:firstLine="0"/>
            </w:pPr>
            <w:r w:rsidRPr="00217A73">
              <w:t>Projekts šo jomu neskar.</w:t>
            </w:r>
          </w:p>
        </w:tc>
      </w:tr>
      <w:tr w:rsidR="001003B5" w:rsidRPr="00217A73" w:rsidTr="001002F6">
        <w:tc>
          <w:tcPr>
            <w:tcW w:w="468" w:type="dxa"/>
          </w:tcPr>
          <w:p w:rsidR="001003B5" w:rsidRPr="00217A73" w:rsidRDefault="001003B5" w:rsidP="001002F6">
            <w:pPr>
              <w:pStyle w:val="naisf"/>
              <w:numPr>
                <w:ilvl w:val="0"/>
                <w:numId w:val="2"/>
              </w:numPr>
              <w:spacing w:before="0" w:after="0"/>
              <w:ind w:left="0" w:hanging="720"/>
              <w:jc w:val="left"/>
            </w:pPr>
            <w:r w:rsidRPr="00217A73">
              <w:t>6.</w:t>
            </w:r>
          </w:p>
          <w:p w:rsidR="001003B5" w:rsidRPr="00217A73" w:rsidRDefault="001003B5" w:rsidP="001002F6">
            <w:pPr>
              <w:pStyle w:val="naisf"/>
              <w:numPr>
                <w:ilvl w:val="0"/>
                <w:numId w:val="2"/>
              </w:numPr>
              <w:spacing w:before="0" w:after="0"/>
              <w:ind w:left="0" w:hanging="720"/>
              <w:jc w:val="left"/>
            </w:pPr>
          </w:p>
        </w:tc>
        <w:tc>
          <w:tcPr>
            <w:tcW w:w="3207" w:type="dxa"/>
          </w:tcPr>
          <w:p w:rsidR="001003B5" w:rsidRPr="00217A73" w:rsidRDefault="001003B5" w:rsidP="001002F6">
            <w:pPr>
              <w:pStyle w:val="naisf"/>
              <w:spacing w:before="0" w:after="0"/>
              <w:ind w:firstLine="0"/>
            </w:pPr>
            <w:r w:rsidRPr="00217A73">
              <w:t>Cita informācija.</w:t>
            </w:r>
          </w:p>
        </w:tc>
        <w:tc>
          <w:tcPr>
            <w:tcW w:w="5505" w:type="dxa"/>
          </w:tcPr>
          <w:p w:rsidR="001003B5" w:rsidRPr="00217A73" w:rsidRDefault="001003B5" w:rsidP="001002F6">
            <w:pPr>
              <w:pStyle w:val="naisf"/>
              <w:spacing w:before="0" w:after="0"/>
              <w:ind w:firstLine="0"/>
            </w:pPr>
            <w:r w:rsidRPr="00217A73">
              <w:t>Nav</w:t>
            </w:r>
          </w:p>
        </w:tc>
      </w:tr>
    </w:tbl>
    <w:p w:rsidR="00FE216A" w:rsidRPr="00217A73" w:rsidRDefault="00FE216A" w:rsidP="001003B5">
      <w:pPr>
        <w:pStyle w:val="naisf"/>
        <w:tabs>
          <w:tab w:val="left" w:pos="5760"/>
        </w:tabs>
        <w:spacing w:before="0" w:after="0"/>
        <w:ind w:firstLine="0"/>
      </w:pPr>
    </w:p>
    <w:p w:rsidR="00FE216A" w:rsidRDefault="00FE216A" w:rsidP="001003B5">
      <w:pPr>
        <w:pStyle w:val="naisf"/>
        <w:tabs>
          <w:tab w:val="left" w:pos="5760"/>
        </w:tabs>
        <w:spacing w:before="0" w:after="0"/>
        <w:ind w:firstLine="0"/>
      </w:pPr>
    </w:p>
    <w:p w:rsidR="003B1C77" w:rsidRPr="003A2BA8" w:rsidRDefault="003B1C77" w:rsidP="001003B5">
      <w:pPr>
        <w:pStyle w:val="naisf"/>
        <w:tabs>
          <w:tab w:val="left" w:pos="5760"/>
        </w:tabs>
        <w:spacing w:before="0" w:after="0"/>
        <w:ind w:firstLine="0"/>
      </w:pPr>
    </w:p>
    <w:p w:rsidR="001003B5" w:rsidRPr="003A2BA8" w:rsidRDefault="001003B5" w:rsidP="001003B5">
      <w:pPr>
        <w:pStyle w:val="naisf"/>
        <w:tabs>
          <w:tab w:val="left" w:pos="5760"/>
        </w:tabs>
        <w:spacing w:before="0" w:after="0"/>
        <w:ind w:firstLine="0"/>
      </w:pPr>
      <w:r w:rsidRPr="003A2BA8">
        <w:t>Kultūras ministre</w:t>
      </w:r>
      <w:r w:rsidRPr="003A2BA8">
        <w:tab/>
      </w:r>
      <w:r w:rsidR="00E5023A">
        <w:tab/>
      </w:r>
      <w:proofErr w:type="spellStart"/>
      <w:r w:rsidR="003A2BA8" w:rsidRPr="003A2BA8">
        <w:t>Ž</w:t>
      </w:r>
      <w:r w:rsidR="00E5023A">
        <w:t>.</w:t>
      </w:r>
      <w:r w:rsidR="003A2BA8" w:rsidRPr="003A2BA8">
        <w:t>Jaunzeme</w:t>
      </w:r>
      <w:proofErr w:type="spellEnd"/>
      <w:r w:rsidR="003A2BA8" w:rsidRPr="003A2BA8">
        <w:t xml:space="preserve"> - </w:t>
      </w:r>
      <w:proofErr w:type="spellStart"/>
      <w:r w:rsidR="003A2BA8" w:rsidRPr="003A2BA8">
        <w:t>Grende</w:t>
      </w:r>
      <w:proofErr w:type="spellEnd"/>
    </w:p>
    <w:p w:rsidR="001003B5" w:rsidRPr="00217A73" w:rsidRDefault="001003B5" w:rsidP="001003B5">
      <w:pPr>
        <w:pStyle w:val="naisf"/>
        <w:tabs>
          <w:tab w:val="left" w:pos="5760"/>
        </w:tabs>
        <w:spacing w:before="0" w:after="0"/>
        <w:ind w:firstLine="0"/>
      </w:pPr>
    </w:p>
    <w:p w:rsidR="001003B5" w:rsidRPr="00217A73" w:rsidRDefault="001003B5" w:rsidP="001003B5">
      <w:pPr>
        <w:pStyle w:val="naisf"/>
        <w:tabs>
          <w:tab w:val="left" w:pos="5760"/>
        </w:tabs>
        <w:spacing w:before="0" w:after="0"/>
        <w:ind w:firstLine="0"/>
      </w:pPr>
    </w:p>
    <w:p w:rsidR="001003B5" w:rsidRDefault="001003B5" w:rsidP="001003B5"/>
    <w:p w:rsidR="003B1C77" w:rsidRPr="00217A73" w:rsidRDefault="003B1C77" w:rsidP="001003B5"/>
    <w:p w:rsidR="002A12BC" w:rsidRPr="00217A73" w:rsidRDefault="002A12BC" w:rsidP="002A12BC">
      <w:pPr>
        <w:pStyle w:val="Bezatstarpm"/>
        <w:ind w:right="-199"/>
        <w:rPr>
          <w:rFonts w:ascii="Times New Roman" w:hAnsi="Times New Roman"/>
          <w:sz w:val="24"/>
          <w:szCs w:val="24"/>
        </w:rPr>
      </w:pPr>
      <w:r w:rsidRPr="00217A73">
        <w:rPr>
          <w:rFonts w:ascii="Times New Roman" w:hAnsi="Times New Roman"/>
          <w:sz w:val="24"/>
          <w:szCs w:val="24"/>
        </w:rPr>
        <w:t xml:space="preserve">Vīza: </w:t>
      </w:r>
      <w:r w:rsidR="00BD47C4">
        <w:rPr>
          <w:rFonts w:ascii="Times New Roman" w:hAnsi="Times New Roman"/>
          <w:sz w:val="24"/>
          <w:szCs w:val="24"/>
        </w:rPr>
        <w:t xml:space="preserve">Valsts sekretāra </w:t>
      </w:r>
      <w:proofErr w:type="spellStart"/>
      <w:r w:rsidR="00BD47C4">
        <w:rPr>
          <w:rFonts w:ascii="Times New Roman" w:hAnsi="Times New Roman"/>
          <w:sz w:val="24"/>
          <w:szCs w:val="24"/>
        </w:rPr>
        <w:t>p.i</w:t>
      </w:r>
      <w:proofErr w:type="spellEnd"/>
      <w:r w:rsidR="00BD47C4">
        <w:rPr>
          <w:rFonts w:ascii="Times New Roman" w:hAnsi="Times New Roman"/>
          <w:sz w:val="24"/>
          <w:szCs w:val="24"/>
        </w:rPr>
        <w:t>.</w:t>
      </w:r>
      <w:r w:rsidR="00BD47C4">
        <w:rPr>
          <w:rFonts w:ascii="Times New Roman" w:hAnsi="Times New Roman"/>
          <w:sz w:val="24"/>
          <w:szCs w:val="24"/>
        </w:rPr>
        <w:tab/>
      </w:r>
      <w:r w:rsidR="00BD47C4">
        <w:rPr>
          <w:rFonts w:ascii="Times New Roman" w:hAnsi="Times New Roman"/>
          <w:sz w:val="24"/>
          <w:szCs w:val="24"/>
        </w:rPr>
        <w:tab/>
      </w:r>
      <w:r w:rsidR="00BD47C4">
        <w:rPr>
          <w:rFonts w:ascii="Times New Roman" w:hAnsi="Times New Roman"/>
          <w:sz w:val="24"/>
          <w:szCs w:val="24"/>
        </w:rPr>
        <w:tab/>
      </w:r>
      <w:r w:rsidR="00BD47C4">
        <w:rPr>
          <w:rFonts w:ascii="Times New Roman" w:hAnsi="Times New Roman"/>
          <w:sz w:val="24"/>
          <w:szCs w:val="24"/>
        </w:rPr>
        <w:tab/>
      </w:r>
      <w:r w:rsidR="00BD47C4">
        <w:rPr>
          <w:rFonts w:ascii="Times New Roman" w:hAnsi="Times New Roman"/>
          <w:sz w:val="24"/>
          <w:szCs w:val="24"/>
        </w:rPr>
        <w:tab/>
      </w:r>
      <w:r w:rsidR="00BD47C4">
        <w:rPr>
          <w:rFonts w:ascii="Times New Roman" w:hAnsi="Times New Roman"/>
          <w:sz w:val="24"/>
          <w:szCs w:val="24"/>
        </w:rPr>
        <w:tab/>
      </w:r>
      <w:r w:rsidR="00BD47C4">
        <w:rPr>
          <w:rFonts w:ascii="Times New Roman" w:hAnsi="Times New Roman"/>
          <w:sz w:val="24"/>
          <w:szCs w:val="24"/>
        </w:rPr>
        <w:tab/>
      </w:r>
      <w:proofErr w:type="spellStart"/>
      <w:r w:rsidR="00BD47C4">
        <w:rPr>
          <w:rFonts w:ascii="Times New Roman" w:hAnsi="Times New Roman"/>
          <w:sz w:val="24"/>
          <w:szCs w:val="24"/>
        </w:rPr>
        <w:t>U.Lielpēters</w:t>
      </w:r>
      <w:proofErr w:type="spellEnd"/>
    </w:p>
    <w:p w:rsidR="00FE216A" w:rsidRPr="00217A73" w:rsidRDefault="00FE216A" w:rsidP="001003B5"/>
    <w:p w:rsidR="00FE216A" w:rsidRPr="00217A73" w:rsidRDefault="00FE216A" w:rsidP="001003B5"/>
    <w:p w:rsidR="001003B5" w:rsidRDefault="001003B5"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Default="003B1C77" w:rsidP="001003B5">
      <w:pPr>
        <w:rPr>
          <w:sz w:val="20"/>
          <w:szCs w:val="20"/>
        </w:rPr>
      </w:pPr>
    </w:p>
    <w:p w:rsidR="003B1C77" w:rsidRPr="00217A73" w:rsidRDefault="003B1C77" w:rsidP="001003B5">
      <w:pPr>
        <w:rPr>
          <w:sz w:val="20"/>
          <w:szCs w:val="20"/>
        </w:rPr>
      </w:pPr>
    </w:p>
    <w:p w:rsidR="001003B5" w:rsidRPr="00217A73" w:rsidRDefault="00BD47C4" w:rsidP="001003B5">
      <w:pPr>
        <w:rPr>
          <w:sz w:val="20"/>
          <w:szCs w:val="20"/>
        </w:rPr>
      </w:pPr>
      <w:r>
        <w:rPr>
          <w:sz w:val="20"/>
          <w:szCs w:val="20"/>
        </w:rPr>
        <w:t>29</w:t>
      </w:r>
      <w:r w:rsidR="001003B5" w:rsidRPr="00217A73">
        <w:rPr>
          <w:sz w:val="20"/>
          <w:szCs w:val="20"/>
        </w:rPr>
        <w:t>.</w:t>
      </w:r>
      <w:r w:rsidR="00465CA8" w:rsidRPr="00217A73">
        <w:rPr>
          <w:sz w:val="20"/>
          <w:szCs w:val="20"/>
        </w:rPr>
        <w:t>1</w:t>
      </w:r>
      <w:r w:rsidR="00465CA8">
        <w:rPr>
          <w:sz w:val="20"/>
          <w:szCs w:val="20"/>
        </w:rPr>
        <w:t>1</w:t>
      </w:r>
      <w:r w:rsidR="001003B5" w:rsidRPr="00217A73">
        <w:rPr>
          <w:sz w:val="20"/>
          <w:szCs w:val="20"/>
        </w:rPr>
        <w:t>.2011. 1</w:t>
      </w:r>
      <w:r w:rsidR="00FE71D8">
        <w:rPr>
          <w:sz w:val="20"/>
          <w:szCs w:val="20"/>
        </w:rPr>
        <w:t>3</w:t>
      </w:r>
      <w:r w:rsidR="001003B5" w:rsidRPr="00217A73">
        <w:rPr>
          <w:sz w:val="20"/>
          <w:szCs w:val="20"/>
        </w:rPr>
        <w:t>.</w:t>
      </w:r>
      <w:r w:rsidR="00FE71D8">
        <w:rPr>
          <w:sz w:val="20"/>
          <w:szCs w:val="20"/>
        </w:rPr>
        <w:t>1</w:t>
      </w:r>
      <w:r w:rsidR="001003B5" w:rsidRPr="00217A73">
        <w:rPr>
          <w:sz w:val="20"/>
          <w:szCs w:val="20"/>
        </w:rPr>
        <w:t>8</w:t>
      </w:r>
    </w:p>
    <w:p w:rsidR="00F161ED" w:rsidRPr="00217A73" w:rsidRDefault="001003B5" w:rsidP="001003B5">
      <w:pPr>
        <w:rPr>
          <w:sz w:val="20"/>
          <w:szCs w:val="20"/>
        </w:rPr>
      </w:pPr>
      <w:r w:rsidRPr="00217A73">
        <w:rPr>
          <w:sz w:val="20"/>
          <w:szCs w:val="20"/>
        </w:rPr>
        <w:t>1</w:t>
      </w:r>
      <w:r w:rsidR="00F161ED" w:rsidRPr="00217A73">
        <w:rPr>
          <w:sz w:val="20"/>
          <w:szCs w:val="20"/>
        </w:rPr>
        <w:t> </w:t>
      </w:r>
      <w:r w:rsidR="00FE71D8">
        <w:rPr>
          <w:sz w:val="20"/>
          <w:szCs w:val="20"/>
        </w:rPr>
        <w:t>14</w:t>
      </w:r>
      <w:r w:rsidR="00BD47C4">
        <w:rPr>
          <w:sz w:val="20"/>
          <w:szCs w:val="20"/>
        </w:rPr>
        <w:t>3</w:t>
      </w:r>
    </w:p>
    <w:p w:rsidR="001003B5" w:rsidRPr="00217A73" w:rsidRDefault="00465CA8" w:rsidP="001003B5">
      <w:pPr>
        <w:rPr>
          <w:sz w:val="20"/>
          <w:szCs w:val="20"/>
        </w:rPr>
      </w:pPr>
      <w:r>
        <w:rPr>
          <w:sz w:val="20"/>
          <w:szCs w:val="20"/>
        </w:rPr>
        <w:t>A.Ločmele</w:t>
      </w:r>
    </w:p>
    <w:p w:rsidR="001003B5" w:rsidRPr="00217A73" w:rsidRDefault="001003B5" w:rsidP="001003B5">
      <w:pPr>
        <w:rPr>
          <w:sz w:val="20"/>
          <w:szCs w:val="20"/>
        </w:rPr>
      </w:pPr>
      <w:r w:rsidRPr="00217A73">
        <w:rPr>
          <w:sz w:val="20"/>
          <w:szCs w:val="20"/>
        </w:rPr>
        <w:t xml:space="preserve">Tālr. </w:t>
      </w:r>
      <w:r w:rsidR="00465CA8" w:rsidRPr="00217A73">
        <w:rPr>
          <w:sz w:val="20"/>
          <w:szCs w:val="20"/>
        </w:rPr>
        <w:t>6733031</w:t>
      </w:r>
      <w:r w:rsidR="00465CA8">
        <w:rPr>
          <w:sz w:val="20"/>
          <w:szCs w:val="20"/>
        </w:rPr>
        <w:t>5</w:t>
      </w:r>
      <w:r w:rsidRPr="00217A73">
        <w:rPr>
          <w:sz w:val="20"/>
          <w:szCs w:val="20"/>
        </w:rPr>
        <w:t>, fakss 67227916,</w:t>
      </w:r>
    </w:p>
    <w:p w:rsidR="0098047C" w:rsidRDefault="00D037CB">
      <w:hyperlink r:id="rId10" w:history="1">
        <w:r w:rsidR="00FE71D8" w:rsidRPr="00A30F6C">
          <w:rPr>
            <w:rStyle w:val="Hipersaite"/>
            <w:sz w:val="20"/>
            <w:szCs w:val="20"/>
          </w:rPr>
          <w:t>Agra.Locmele@km.gov.lv</w:t>
        </w:r>
      </w:hyperlink>
      <w:r w:rsidR="001003B5" w:rsidRPr="00F161ED">
        <w:rPr>
          <w:sz w:val="20"/>
          <w:szCs w:val="20"/>
        </w:rPr>
        <w:t xml:space="preserve">  </w:t>
      </w:r>
    </w:p>
    <w:sectPr w:rsidR="0098047C" w:rsidSect="001002F6">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36E" w:rsidRDefault="00FE236E" w:rsidP="001003B5">
      <w:r>
        <w:separator/>
      </w:r>
    </w:p>
  </w:endnote>
  <w:endnote w:type="continuationSeparator" w:id="0">
    <w:p w:rsidR="00FE236E" w:rsidRDefault="00FE236E" w:rsidP="0010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B3" w:rsidRPr="00E65C7A" w:rsidRDefault="00B24FB3" w:rsidP="001002F6">
    <w:pPr>
      <w:tabs>
        <w:tab w:val="left" w:pos="7560"/>
      </w:tabs>
      <w:jc w:val="both"/>
      <w:rPr>
        <w:sz w:val="20"/>
        <w:szCs w:val="20"/>
      </w:rPr>
    </w:pPr>
    <w:r>
      <w:rPr>
        <w:sz w:val="20"/>
        <w:szCs w:val="20"/>
      </w:rPr>
      <w:t>K</w:t>
    </w:r>
    <w:r w:rsidRPr="00E65C7A">
      <w:rPr>
        <w:sz w:val="20"/>
        <w:szCs w:val="20"/>
      </w:rPr>
      <w:t>M</w:t>
    </w:r>
    <w:r>
      <w:rPr>
        <w:sz w:val="20"/>
        <w:szCs w:val="20"/>
      </w:rPr>
      <w:t>A</w:t>
    </w:r>
    <w:r w:rsidRPr="00E65C7A">
      <w:rPr>
        <w:sz w:val="20"/>
        <w:szCs w:val="20"/>
      </w:rPr>
      <w:t>not_</w:t>
    </w:r>
    <w:r w:rsidR="00BD47C4">
      <w:rPr>
        <w:sz w:val="20"/>
        <w:szCs w:val="20"/>
      </w:rPr>
      <w:t>29</w:t>
    </w:r>
    <w:r w:rsidR="00465CA8">
      <w:rPr>
        <w:sz w:val="20"/>
        <w:szCs w:val="20"/>
      </w:rPr>
      <w:t>11</w:t>
    </w:r>
    <w:r w:rsidR="00465CA8" w:rsidRPr="00E65C7A">
      <w:rPr>
        <w:sz w:val="20"/>
        <w:szCs w:val="20"/>
      </w:rPr>
      <w:t>1</w:t>
    </w:r>
    <w:r w:rsidR="00465CA8">
      <w:rPr>
        <w:sz w:val="20"/>
        <w:szCs w:val="20"/>
      </w:rPr>
      <w:t>1</w:t>
    </w:r>
    <w:r w:rsidRPr="00E65C7A">
      <w:rPr>
        <w:sz w:val="20"/>
        <w:szCs w:val="20"/>
      </w:rPr>
      <w:t>_20</w:t>
    </w:r>
    <w:r>
      <w:rPr>
        <w:sz w:val="20"/>
        <w:szCs w:val="20"/>
      </w:rPr>
      <w:t>10</w:t>
    </w:r>
    <w:r w:rsidRPr="00E65C7A">
      <w:rPr>
        <w:sz w:val="20"/>
        <w:szCs w:val="20"/>
      </w:rPr>
      <w:t xml:space="preserve">; </w:t>
    </w:r>
    <w:r w:rsidRPr="00E65C7A">
      <w:rPr>
        <w:bCs/>
        <w:sz w:val="20"/>
        <w:szCs w:val="20"/>
      </w:rPr>
      <w:t>Ministru kabineta noteikumu projekta „Noteikumi par Eiropas Trešo valstu valstspiederīgo integrācijas fonda 20</w:t>
    </w:r>
    <w:r>
      <w:rPr>
        <w:bCs/>
        <w:sz w:val="20"/>
        <w:szCs w:val="20"/>
      </w:rPr>
      <w:t>10</w:t>
    </w:r>
    <w:r w:rsidRPr="00E65C7A">
      <w:rPr>
        <w:bCs/>
        <w:sz w:val="20"/>
        <w:szCs w:val="20"/>
      </w:rPr>
      <w:t xml:space="preserve">.gada programmas aktivitāšu īstenošanu” </w:t>
    </w:r>
    <w:r w:rsidRPr="00E65C7A">
      <w:rPr>
        <w:sz w:val="20"/>
        <w:szCs w:val="20"/>
      </w:rPr>
      <w:t>sākotnējās ietekmes novērtējuma ziņojums</w:t>
    </w:r>
    <w:r>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B3" w:rsidRPr="00E65C7A" w:rsidRDefault="00B24FB3" w:rsidP="00FD0B82">
    <w:pPr>
      <w:tabs>
        <w:tab w:val="left" w:pos="7560"/>
      </w:tabs>
      <w:jc w:val="both"/>
      <w:rPr>
        <w:sz w:val="20"/>
        <w:szCs w:val="20"/>
      </w:rPr>
    </w:pPr>
    <w:r>
      <w:rPr>
        <w:sz w:val="20"/>
        <w:szCs w:val="20"/>
      </w:rPr>
      <w:t>K</w:t>
    </w:r>
    <w:r w:rsidRPr="00E65C7A">
      <w:rPr>
        <w:sz w:val="20"/>
        <w:szCs w:val="20"/>
      </w:rPr>
      <w:t>M</w:t>
    </w:r>
    <w:r>
      <w:rPr>
        <w:sz w:val="20"/>
        <w:szCs w:val="20"/>
      </w:rPr>
      <w:t>A</w:t>
    </w:r>
    <w:r w:rsidRPr="00E65C7A">
      <w:rPr>
        <w:sz w:val="20"/>
        <w:szCs w:val="20"/>
      </w:rPr>
      <w:t>not_</w:t>
    </w:r>
    <w:r w:rsidR="00BD47C4">
      <w:rPr>
        <w:sz w:val="20"/>
        <w:szCs w:val="20"/>
      </w:rPr>
      <w:t>29</w:t>
    </w:r>
    <w:r w:rsidR="00465CA8">
      <w:rPr>
        <w:sz w:val="20"/>
        <w:szCs w:val="20"/>
      </w:rPr>
      <w:t>11</w:t>
    </w:r>
    <w:r w:rsidR="00465CA8" w:rsidRPr="00E65C7A">
      <w:rPr>
        <w:sz w:val="20"/>
        <w:szCs w:val="20"/>
      </w:rPr>
      <w:t>1</w:t>
    </w:r>
    <w:r w:rsidR="00465CA8">
      <w:rPr>
        <w:sz w:val="20"/>
        <w:szCs w:val="20"/>
      </w:rPr>
      <w:t>1</w:t>
    </w:r>
    <w:r w:rsidRPr="00E65C7A">
      <w:rPr>
        <w:sz w:val="20"/>
        <w:szCs w:val="20"/>
      </w:rPr>
      <w:t>_20</w:t>
    </w:r>
    <w:r>
      <w:rPr>
        <w:sz w:val="20"/>
        <w:szCs w:val="20"/>
      </w:rPr>
      <w:t>10</w:t>
    </w:r>
    <w:r w:rsidRPr="00E65C7A">
      <w:rPr>
        <w:sz w:val="20"/>
        <w:szCs w:val="20"/>
      </w:rPr>
      <w:t xml:space="preserve">; </w:t>
    </w:r>
    <w:r w:rsidRPr="00E65C7A">
      <w:rPr>
        <w:bCs/>
        <w:sz w:val="20"/>
        <w:szCs w:val="20"/>
      </w:rPr>
      <w:t>Ministru kabineta noteikumu projekta „Noteikumi par Eiropas Trešo valstu valstspiederīgo integrācijas fonda 20</w:t>
    </w:r>
    <w:r>
      <w:rPr>
        <w:bCs/>
        <w:sz w:val="20"/>
        <w:szCs w:val="20"/>
      </w:rPr>
      <w:t>10</w:t>
    </w:r>
    <w:r w:rsidRPr="00E65C7A">
      <w:rPr>
        <w:bCs/>
        <w:sz w:val="20"/>
        <w:szCs w:val="20"/>
      </w:rPr>
      <w:t xml:space="preserve">.gada programmas aktivitāšu īstenošanu” </w:t>
    </w:r>
    <w:r w:rsidRPr="00E65C7A">
      <w:rPr>
        <w:sz w:val="20"/>
        <w:szCs w:val="20"/>
      </w:rPr>
      <w:t>sākotnējās ietekmes novērtējuma ziņojums</w:t>
    </w:r>
    <w:r>
      <w:rPr>
        <w:sz w:val="20"/>
        <w:szCs w:val="20"/>
      </w:rPr>
      <w:t xml:space="preserve"> (anotācija)</w:t>
    </w:r>
  </w:p>
  <w:p w:rsidR="00B24FB3" w:rsidRPr="00EA58CA" w:rsidRDefault="00B24FB3" w:rsidP="00EA58CA">
    <w:pPr>
      <w:pStyle w:val="Kjen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36E" w:rsidRDefault="00FE236E" w:rsidP="001003B5">
      <w:r>
        <w:separator/>
      </w:r>
    </w:p>
  </w:footnote>
  <w:footnote w:type="continuationSeparator" w:id="0">
    <w:p w:rsidR="00FE236E" w:rsidRDefault="00FE236E" w:rsidP="00100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B3" w:rsidRDefault="00D037CB" w:rsidP="001002F6">
    <w:pPr>
      <w:pStyle w:val="Galvene"/>
      <w:framePr w:wrap="around" w:vAnchor="text" w:hAnchor="margin" w:xAlign="center" w:y="1"/>
      <w:rPr>
        <w:rStyle w:val="Lappusesnumurs"/>
      </w:rPr>
    </w:pPr>
    <w:r>
      <w:rPr>
        <w:rStyle w:val="Lappusesnumurs"/>
      </w:rPr>
      <w:fldChar w:fldCharType="begin"/>
    </w:r>
    <w:r w:rsidR="00B24FB3">
      <w:rPr>
        <w:rStyle w:val="Lappusesnumurs"/>
      </w:rPr>
      <w:instrText xml:space="preserve">PAGE  </w:instrText>
    </w:r>
    <w:r>
      <w:rPr>
        <w:rStyle w:val="Lappusesnumurs"/>
      </w:rPr>
      <w:fldChar w:fldCharType="end"/>
    </w:r>
  </w:p>
  <w:p w:rsidR="00B24FB3" w:rsidRDefault="00B24FB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B3" w:rsidRPr="00DB073B" w:rsidRDefault="00D037CB" w:rsidP="001002F6">
    <w:pPr>
      <w:pStyle w:val="Galvene"/>
      <w:framePr w:wrap="around" w:vAnchor="text" w:hAnchor="margin" w:xAlign="center" w:y="1"/>
      <w:rPr>
        <w:rStyle w:val="Lappusesnumurs"/>
        <w:sz w:val="20"/>
        <w:szCs w:val="20"/>
      </w:rPr>
    </w:pPr>
    <w:r w:rsidRPr="00DB073B">
      <w:rPr>
        <w:rStyle w:val="Lappusesnumurs"/>
        <w:sz w:val="20"/>
        <w:szCs w:val="20"/>
      </w:rPr>
      <w:fldChar w:fldCharType="begin"/>
    </w:r>
    <w:r w:rsidR="00B24FB3" w:rsidRPr="00DB073B">
      <w:rPr>
        <w:rStyle w:val="Lappusesnumurs"/>
        <w:sz w:val="20"/>
        <w:szCs w:val="20"/>
      </w:rPr>
      <w:instrText xml:space="preserve">PAGE  </w:instrText>
    </w:r>
    <w:r w:rsidRPr="00DB073B">
      <w:rPr>
        <w:rStyle w:val="Lappusesnumurs"/>
        <w:sz w:val="20"/>
        <w:szCs w:val="20"/>
      </w:rPr>
      <w:fldChar w:fldCharType="separate"/>
    </w:r>
    <w:r w:rsidR="00BD47C4">
      <w:rPr>
        <w:rStyle w:val="Lappusesnumurs"/>
        <w:noProof/>
        <w:sz w:val="20"/>
        <w:szCs w:val="20"/>
      </w:rPr>
      <w:t>5</w:t>
    </w:r>
    <w:r w:rsidRPr="00DB073B">
      <w:rPr>
        <w:rStyle w:val="Lappusesnumurs"/>
        <w:sz w:val="20"/>
        <w:szCs w:val="20"/>
      </w:rPr>
      <w:fldChar w:fldCharType="end"/>
    </w:r>
  </w:p>
  <w:p w:rsidR="00B24FB3" w:rsidRDefault="00B24FB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E1C00"/>
    <w:multiLevelType w:val="hybridMultilevel"/>
    <w:tmpl w:val="4866E94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CFE50E7"/>
    <w:multiLevelType w:val="multilevel"/>
    <w:tmpl w:val="90DE1F4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4560AF4"/>
    <w:multiLevelType w:val="hybridMultilevel"/>
    <w:tmpl w:val="02584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4F774A"/>
    <w:multiLevelType w:val="hybridMultilevel"/>
    <w:tmpl w:val="334C75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03B5"/>
    <w:rsid w:val="00005C64"/>
    <w:rsid w:val="00037D9F"/>
    <w:rsid w:val="00073892"/>
    <w:rsid w:val="000772D7"/>
    <w:rsid w:val="0009343C"/>
    <w:rsid w:val="000D15C2"/>
    <w:rsid w:val="001002F6"/>
    <w:rsid w:val="001003B5"/>
    <w:rsid w:val="00113704"/>
    <w:rsid w:val="0014495F"/>
    <w:rsid w:val="00161A06"/>
    <w:rsid w:val="00176A53"/>
    <w:rsid w:val="001D523A"/>
    <w:rsid w:val="00215C95"/>
    <w:rsid w:val="002168EF"/>
    <w:rsid w:val="00217A73"/>
    <w:rsid w:val="002331C1"/>
    <w:rsid w:val="00275636"/>
    <w:rsid w:val="002A117E"/>
    <w:rsid w:val="002A12BC"/>
    <w:rsid w:val="002A6994"/>
    <w:rsid w:val="002B14CA"/>
    <w:rsid w:val="002B31BA"/>
    <w:rsid w:val="002C233A"/>
    <w:rsid w:val="002C4CCE"/>
    <w:rsid w:val="002E662C"/>
    <w:rsid w:val="00334E6F"/>
    <w:rsid w:val="00374F67"/>
    <w:rsid w:val="003977BA"/>
    <w:rsid w:val="003A2BA8"/>
    <w:rsid w:val="003A4349"/>
    <w:rsid w:val="003B1C77"/>
    <w:rsid w:val="003C56F8"/>
    <w:rsid w:val="00403249"/>
    <w:rsid w:val="004036EF"/>
    <w:rsid w:val="0044394E"/>
    <w:rsid w:val="00456AE3"/>
    <w:rsid w:val="00465CA8"/>
    <w:rsid w:val="004B1602"/>
    <w:rsid w:val="004E4AAF"/>
    <w:rsid w:val="004F5993"/>
    <w:rsid w:val="00546630"/>
    <w:rsid w:val="005471A3"/>
    <w:rsid w:val="005E1700"/>
    <w:rsid w:val="005E3CEC"/>
    <w:rsid w:val="006054E7"/>
    <w:rsid w:val="00614AB0"/>
    <w:rsid w:val="00636789"/>
    <w:rsid w:val="00641441"/>
    <w:rsid w:val="006A0AB2"/>
    <w:rsid w:val="006D49F0"/>
    <w:rsid w:val="006F0116"/>
    <w:rsid w:val="007252E9"/>
    <w:rsid w:val="00753192"/>
    <w:rsid w:val="00753922"/>
    <w:rsid w:val="00764F36"/>
    <w:rsid w:val="007811E9"/>
    <w:rsid w:val="00793EFD"/>
    <w:rsid w:val="007B4EF7"/>
    <w:rsid w:val="007E3B22"/>
    <w:rsid w:val="008135C0"/>
    <w:rsid w:val="008433A3"/>
    <w:rsid w:val="00864390"/>
    <w:rsid w:val="00871DF2"/>
    <w:rsid w:val="00873141"/>
    <w:rsid w:val="00883E29"/>
    <w:rsid w:val="008940A3"/>
    <w:rsid w:val="00894F27"/>
    <w:rsid w:val="00897F9E"/>
    <w:rsid w:val="008B6E75"/>
    <w:rsid w:val="008C77CD"/>
    <w:rsid w:val="008F0EA7"/>
    <w:rsid w:val="008F6AFD"/>
    <w:rsid w:val="009076AD"/>
    <w:rsid w:val="00930EDA"/>
    <w:rsid w:val="00960922"/>
    <w:rsid w:val="0098047C"/>
    <w:rsid w:val="009A3EC2"/>
    <w:rsid w:val="009A607E"/>
    <w:rsid w:val="009C3488"/>
    <w:rsid w:val="009F18A8"/>
    <w:rsid w:val="00A024CF"/>
    <w:rsid w:val="00A15C35"/>
    <w:rsid w:val="00A25536"/>
    <w:rsid w:val="00A36280"/>
    <w:rsid w:val="00AA012C"/>
    <w:rsid w:val="00AA5A5E"/>
    <w:rsid w:val="00AD290D"/>
    <w:rsid w:val="00AF0A44"/>
    <w:rsid w:val="00B01D9C"/>
    <w:rsid w:val="00B024D3"/>
    <w:rsid w:val="00B100D1"/>
    <w:rsid w:val="00B24FB3"/>
    <w:rsid w:val="00B2584C"/>
    <w:rsid w:val="00B66F86"/>
    <w:rsid w:val="00BD47C4"/>
    <w:rsid w:val="00C00588"/>
    <w:rsid w:val="00C0242F"/>
    <w:rsid w:val="00C40FD7"/>
    <w:rsid w:val="00C417F8"/>
    <w:rsid w:val="00C57EC2"/>
    <w:rsid w:val="00C94AC6"/>
    <w:rsid w:val="00CF14FE"/>
    <w:rsid w:val="00D037CB"/>
    <w:rsid w:val="00D04339"/>
    <w:rsid w:val="00D234EF"/>
    <w:rsid w:val="00D3339C"/>
    <w:rsid w:val="00D74840"/>
    <w:rsid w:val="00D865EF"/>
    <w:rsid w:val="00D87070"/>
    <w:rsid w:val="00DB76BA"/>
    <w:rsid w:val="00DC1540"/>
    <w:rsid w:val="00DD5B42"/>
    <w:rsid w:val="00DE488F"/>
    <w:rsid w:val="00E0317F"/>
    <w:rsid w:val="00E075BC"/>
    <w:rsid w:val="00E13F4E"/>
    <w:rsid w:val="00E2507A"/>
    <w:rsid w:val="00E364CA"/>
    <w:rsid w:val="00E5023A"/>
    <w:rsid w:val="00E928BF"/>
    <w:rsid w:val="00EA58CA"/>
    <w:rsid w:val="00EA5D49"/>
    <w:rsid w:val="00EC2224"/>
    <w:rsid w:val="00EE6D02"/>
    <w:rsid w:val="00EE7290"/>
    <w:rsid w:val="00EE7D06"/>
    <w:rsid w:val="00EF01F8"/>
    <w:rsid w:val="00EF0C31"/>
    <w:rsid w:val="00F13B77"/>
    <w:rsid w:val="00F161ED"/>
    <w:rsid w:val="00F26FC5"/>
    <w:rsid w:val="00F271EF"/>
    <w:rsid w:val="00F6701C"/>
    <w:rsid w:val="00FA057D"/>
    <w:rsid w:val="00FD0B82"/>
    <w:rsid w:val="00FE216A"/>
    <w:rsid w:val="00FE236E"/>
    <w:rsid w:val="00FE598F"/>
    <w:rsid w:val="00FE71D8"/>
    <w:rsid w:val="00FF1B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003B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1003B5"/>
    <w:pPr>
      <w:tabs>
        <w:tab w:val="center" w:pos="4153"/>
        <w:tab w:val="right" w:pos="8306"/>
      </w:tabs>
    </w:pPr>
  </w:style>
  <w:style w:type="character" w:customStyle="1" w:styleId="GalveneRakstz">
    <w:name w:val="Galvene Rakstz."/>
    <w:basedOn w:val="Noklusjumarindkopasfonts"/>
    <w:link w:val="Galvene"/>
    <w:rsid w:val="001003B5"/>
    <w:rPr>
      <w:rFonts w:ascii="Times New Roman" w:eastAsia="Times New Roman" w:hAnsi="Times New Roman" w:cs="Times New Roman"/>
      <w:sz w:val="24"/>
      <w:szCs w:val="24"/>
      <w:lang w:eastAsia="lv-LV"/>
    </w:rPr>
  </w:style>
  <w:style w:type="character" w:styleId="Lappusesnumurs">
    <w:name w:val="page number"/>
    <w:basedOn w:val="Noklusjumarindkopasfonts"/>
    <w:rsid w:val="001003B5"/>
  </w:style>
  <w:style w:type="paragraph" w:customStyle="1" w:styleId="naisf">
    <w:name w:val="naisf"/>
    <w:basedOn w:val="Parastais"/>
    <w:rsid w:val="001003B5"/>
    <w:pPr>
      <w:spacing w:before="75" w:after="75"/>
      <w:ind w:firstLine="375"/>
      <w:jc w:val="both"/>
    </w:pPr>
  </w:style>
  <w:style w:type="paragraph" w:customStyle="1" w:styleId="naislab">
    <w:name w:val="naislab"/>
    <w:basedOn w:val="Parastais"/>
    <w:rsid w:val="001003B5"/>
    <w:pPr>
      <w:spacing w:before="75" w:after="75"/>
      <w:jc w:val="right"/>
    </w:pPr>
  </w:style>
  <w:style w:type="paragraph" w:customStyle="1" w:styleId="naiskr">
    <w:name w:val="naiskr"/>
    <w:basedOn w:val="Parastais"/>
    <w:rsid w:val="001003B5"/>
    <w:pPr>
      <w:spacing w:before="75" w:after="75"/>
    </w:pPr>
  </w:style>
  <w:style w:type="table" w:styleId="Reatabula">
    <w:name w:val="Table Grid"/>
    <w:basedOn w:val="Parastatabula"/>
    <w:rsid w:val="001003B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basedOn w:val="Noklusjumarindkopasfonts"/>
    <w:uiPriority w:val="22"/>
    <w:qFormat/>
    <w:rsid w:val="001003B5"/>
    <w:rPr>
      <w:b/>
      <w:bCs/>
    </w:rPr>
  </w:style>
  <w:style w:type="character" w:styleId="Hipersaite">
    <w:name w:val="Hyperlink"/>
    <w:basedOn w:val="Noklusjumarindkopasfonts"/>
    <w:rsid w:val="001003B5"/>
    <w:rPr>
      <w:color w:val="0000FF"/>
      <w:u w:val="single"/>
    </w:rPr>
  </w:style>
  <w:style w:type="paragraph" w:styleId="Kjene">
    <w:name w:val="footer"/>
    <w:basedOn w:val="Parastais"/>
    <w:link w:val="KjeneRakstz"/>
    <w:uiPriority w:val="99"/>
    <w:semiHidden/>
    <w:unhideWhenUsed/>
    <w:rsid w:val="001003B5"/>
    <w:pPr>
      <w:tabs>
        <w:tab w:val="center" w:pos="4153"/>
        <w:tab w:val="right" w:pos="8306"/>
      </w:tabs>
    </w:pPr>
  </w:style>
  <w:style w:type="character" w:customStyle="1" w:styleId="KjeneRakstz">
    <w:name w:val="Kājene Rakstz."/>
    <w:basedOn w:val="Noklusjumarindkopasfonts"/>
    <w:link w:val="Kjene"/>
    <w:uiPriority w:val="99"/>
    <w:semiHidden/>
    <w:rsid w:val="001003B5"/>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215C9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C95"/>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C94AC6"/>
    <w:rPr>
      <w:sz w:val="16"/>
      <w:szCs w:val="16"/>
    </w:rPr>
  </w:style>
  <w:style w:type="paragraph" w:styleId="Komentrateksts">
    <w:name w:val="annotation text"/>
    <w:basedOn w:val="Parastais"/>
    <w:link w:val="KomentratekstsRakstz"/>
    <w:uiPriority w:val="99"/>
    <w:semiHidden/>
    <w:unhideWhenUsed/>
    <w:rsid w:val="00C94AC6"/>
    <w:rPr>
      <w:sz w:val="20"/>
      <w:szCs w:val="20"/>
    </w:rPr>
  </w:style>
  <w:style w:type="character" w:customStyle="1" w:styleId="KomentratekstsRakstz">
    <w:name w:val="Komentāra teksts Rakstz."/>
    <w:basedOn w:val="Noklusjumarindkopasfonts"/>
    <w:link w:val="Komentrateksts"/>
    <w:uiPriority w:val="99"/>
    <w:semiHidden/>
    <w:rsid w:val="00C94AC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94AC6"/>
    <w:rPr>
      <w:b/>
      <w:bCs/>
    </w:rPr>
  </w:style>
  <w:style w:type="character" w:customStyle="1" w:styleId="KomentratmaRakstz">
    <w:name w:val="Komentāra tēma Rakstz."/>
    <w:basedOn w:val="KomentratekstsRakstz"/>
    <w:link w:val="Komentratma"/>
    <w:uiPriority w:val="99"/>
    <w:semiHidden/>
    <w:rsid w:val="00C94AC6"/>
    <w:rPr>
      <w:b/>
      <w:bCs/>
    </w:rPr>
  </w:style>
  <w:style w:type="paragraph" w:styleId="Bezatstarpm">
    <w:name w:val="No Spacing"/>
    <w:uiPriority w:val="1"/>
    <w:qFormat/>
    <w:rsid w:val="00C94AC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8876159">
      <w:bodyDiv w:val="1"/>
      <w:marLeft w:val="53"/>
      <w:marRight w:val="53"/>
      <w:marTop w:val="105"/>
      <w:marBottom w:val="105"/>
      <w:divBdr>
        <w:top w:val="none" w:sz="0" w:space="0" w:color="auto"/>
        <w:left w:val="none" w:sz="0" w:space="0" w:color="auto"/>
        <w:bottom w:val="none" w:sz="0" w:space="0" w:color="auto"/>
        <w:right w:val="none" w:sz="0" w:space="0" w:color="auto"/>
      </w:divBdr>
      <w:divsChild>
        <w:div w:id="1272736017">
          <w:marLeft w:val="0"/>
          <w:marRight w:val="0"/>
          <w:marTop w:val="0"/>
          <w:marBottom w:val="567"/>
          <w:divBdr>
            <w:top w:val="none" w:sz="0" w:space="0" w:color="auto"/>
            <w:left w:val="none" w:sz="0" w:space="0" w:color="auto"/>
            <w:bottom w:val="none" w:sz="0" w:space="0" w:color="auto"/>
            <w:right w:val="none" w:sz="0" w:space="0" w:color="auto"/>
          </w:divBdr>
        </w:div>
      </w:divsChild>
    </w:div>
    <w:div w:id="17545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747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ra.Locmele@km.gov.lv" TargetMode="External"/><Relationship Id="rId4" Type="http://schemas.openxmlformats.org/officeDocument/2006/relationships/settings" Target="settings.xml"/><Relationship Id="rId9" Type="http://schemas.openxmlformats.org/officeDocument/2006/relationships/hyperlink" Target="http://www.l2d.lv/l.php?doc_id=190612"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DF74-5D7A-4D74-865B-CC396B86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6243</Words>
  <Characters>3560</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Ministru kabineta noteikumu projekta „Noteikumi par Eiropas Trešo valstu valstspiederīgo integrācijas fonda 2010.gada programmas aktivitāšu īstenošanu” sākotnējās ietekmes novērtējuma ziņojums (anotācija)</vt:lpstr>
    </vt:vector>
  </TitlesOfParts>
  <Company>LR Kultūras Ministrija</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Eiropas Trešo valstu valstspiederīgo integrācijas fonda 2010.gada programmas aktivitāšu īstenošanu” sākotnējās ietekmes novērtējuma ziņojums (anotācija)</dc:title>
  <dc:subject>Ministru kabineta noteikumu projekta „Noteikumi par Eiropas Trešo valstu valstspiederīgo integrācijas fonda 2009.gada programmas aktivitāšu īstenošanu” sākotnējās ietekmes novērtējuma ziņojums (anotācija)</dc:subject>
  <dc:creator>Agnese Jēkabsone</dc:creator>
  <dc:description>67330314,  agnese.jekabsone@km.gov.lv</dc:description>
  <cp:lastModifiedBy>Evija Nikolajeva</cp:lastModifiedBy>
  <cp:revision>13</cp:revision>
  <cp:lastPrinted>2011-10-14T13:00:00Z</cp:lastPrinted>
  <dcterms:created xsi:type="dcterms:W3CDTF">2011-10-14T09:24:00Z</dcterms:created>
  <dcterms:modified xsi:type="dcterms:W3CDTF">2011-11-29T13:11:00Z</dcterms:modified>
</cp:coreProperties>
</file>