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6F" w:rsidRPr="00F91632" w:rsidRDefault="00E37606" w:rsidP="004B7922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r w:rsidRPr="00F91632">
        <w:rPr>
          <w:b/>
          <w:sz w:val="28"/>
          <w:szCs w:val="28"/>
        </w:rPr>
        <w:t xml:space="preserve">Ministru kabineta noteikumu projekta </w:t>
      </w:r>
    </w:p>
    <w:p w:rsidR="00E37606" w:rsidRPr="00044F78" w:rsidRDefault="00E37606" w:rsidP="00044F78">
      <w:pPr>
        <w:pStyle w:val="naisnod"/>
        <w:spacing w:before="0" w:after="0"/>
        <w:ind w:right="-81"/>
        <w:rPr>
          <w:sz w:val="28"/>
          <w:szCs w:val="28"/>
        </w:rPr>
      </w:pPr>
      <w:r w:rsidRPr="00F91632">
        <w:rPr>
          <w:sz w:val="28"/>
          <w:szCs w:val="28"/>
        </w:rPr>
        <w:t>„</w:t>
      </w:r>
      <w:bookmarkStart w:id="3" w:name="OLE_LINK4"/>
      <w:bookmarkStart w:id="4" w:name="OLE_LINK5"/>
      <w:r w:rsidR="00F91632" w:rsidRPr="00F91632">
        <w:rPr>
          <w:sz w:val="28"/>
          <w:szCs w:val="28"/>
        </w:rPr>
        <w:t>Grozījumi Ministru kabineta 2012.gada 18.decembra noteikumos Nr.887 „Noteikumi par valsts nodevu par Latvijas Nacionālā arhīva sociāli tiesiskās izziņas sagatavošanu un izsniegšanu”</w:t>
      </w:r>
      <w:bookmarkEnd w:id="3"/>
      <w:bookmarkEnd w:id="4"/>
      <w:r w:rsidR="000E041D" w:rsidRPr="00F91632">
        <w:rPr>
          <w:sz w:val="28"/>
          <w:szCs w:val="28"/>
        </w:rPr>
        <w:t>”</w:t>
      </w:r>
      <w:r w:rsidR="00044F78">
        <w:rPr>
          <w:sz w:val="28"/>
          <w:szCs w:val="28"/>
        </w:rPr>
        <w:t xml:space="preserve"> </w:t>
      </w:r>
      <w:r w:rsidRPr="00F91632">
        <w:rPr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F91632">
          <w:rPr>
            <w:sz w:val="28"/>
            <w:szCs w:val="28"/>
          </w:rPr>
          <w:t xml:space="preserve">ziņojums </w:t>
        </w:r>
      </w:smartTag>
      <w:r w:rsidRPr="00F91632">
        <w:rPr>
          <w:sz w:val="28"/>
          <w:szCs w:val="28"/>
        </w:rPr>
        <w:t>(anotācija)</w:t>
      </w:r>
    </w:p>
    <w:bookmarkEnd w:id="0"/>
    <w:bookmarkEnd w:id="1"/>
    <w:bookmarkEnd w:id="2"/>
    <w:p w:rsidR="00E37606" w:rsidRPr="00BA5E65" w:rsidRDefault="00E37606" w:rsidP="004B7922">
      <w:pPr>
        <w:pStyle w:val="Pamatteksts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2977"/>
        <w:gridCol w:w="5777"/>
      </w:tblGrid>
      <w:tr w:rsidR="00E37606" w:rsidRPr="00BA5E65" w:rsidTr="0034303D">
        <w:trPr>
          <w:trHeight w:val="361"/>
        </w:trPr>
        <w:tc>
          <w:tcPr>
            <w:tcW w:w="5000" w:type="pct"/>
            <w:gridSpan w:val="3"/>
          </w:tcPr>
          <w:p w:rsidR="00E37606" w:rsidRPr="00BA5E65" w:rsidRDefault="00E37606" w:rsidP="004B7922">
            <w:pPr>
              <w:pStyle w:val="Pamatteksts"/>
              <w:rPr>
                <w:szCs w:val="28"/>
              </w:rPr>
            </w:pPr>
            <w:r w:rsidRPr="00BA5E65">
              <w:rPr>
                <w:szCs w:val="28"/>
              </w:rPr>
              <w:t>I. Tiesību akta projekta izstrādes nepieciešamība</w:t>
            </w:r>
          </w:p>
        </w:tc>
      </w:tr>
      <w:tr w:rsidR="00E37606" w:rsidRPr="00BA5E65" w:rsidTr="00044F78"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1.</w:t>
            </w:r>
          </w:p>
        </w:tc>
        <w:tc>
          <w:tcPr>
            <w:tcW w:w="1603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Pamatojums</w:t>
            </w:r>
          </w:p>
        </w:tc>
        <w:tc>
          <w:tcPr>
            <w:tcW w:w="3110" w:type="pct"/>
          </w:tcPr>
          <w:p w:rsidR="00E37606" w:rsidRPr="00C345F2" w:rsidRDefault="00C345F2" w:rsidP="004B7922">
            <w:pPr>
              <w:jc w:val="both"/>
              <w:rPr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     </w:t>
            </w:r>
            <w:r w:rsidRPr="00C345F2">
              <w:rPr>
                <w:i/>
                <w:color w:val="000000" w:themeColor="text1"/>
                <w:sz w:val="28"/>
                <w:szCs w:val="28"/>
              </w:rPr>
              <w:t xml:space="preserve">Euro </w:t>
            </w:r>
            <w:r w:rsidRPr="00C345F2">
              <w:rPr>
                <w:color w:val="000000" w:themeColor="text1"/>
                <w:sz w:val="28"/>
                <w:szCs w:val="28"/>
              </w:rPr>
              <w:t>ieviešanas kārtības likuma 30.panta pirmā daļa, Ministru kabineta 2012.gada 27.jūnija rīkojuma Nr.282 „Par „Koncepciju par normatīvo aktu sakārtošanu saistībā ar eiro ieviešanu Latvijā””</w:t>
            </w:r>
            <w:r w:rsidRPr="00C345F2">
              <w:rPr>
                <w:sz w:val="28"/>
                <w:szCs w:val="28"/>
              </w:rPr>
              <w:t xml:space="preserve"> 7.1.apakšpunkts</w:t>
            </w:r>
            <w:r w:rsidR="00D91AAE">
              <w:rPr>
                <w:sz w:val="28"/>
                <w:szCs w:val="28"/>
              </w:rPr>
              <w:t xml:space="preserve"> un </w:t>
            </w:r>
            <w:r w:rsidR="00D91AAE">
              <w:rPr>
                <w:color w:val="000000"/>
                <w:sz w:val="28"/>
                <w:szCs w:val="28"/>
              </w:rPr>
              <w:t>Ministru kabineta 2013.gada 4.aprīļa rīkojuma Nr.136 „</w:t>
            </w:r>
            <w:r w:rsidR="00D91AAE" w:rsidRPr="00B417A6">
              <w:rPr>
                <w:bCs/>
                <w:sz w:val="28"/>
                <w:szCs w:val="28"/>
              </w:rPr>
              <w:t xml:space="preserve">Par Latvijas Nacionālo </w:t>
            </w:r>
            <w:proofErr w:type="spellStart"/>
            <w:r w:rsidR="00D91AAE" w:rsidRPr="00B417A6">
              <w:rPr>
                <w:bCs/>
                <w:i/>
                <w:iCs/>
                <w:sz w:val="28"/>
                <w:szCs w:val="28"/>
              </w:rPr>
              <w:t>euro</w:t>
            </w:r>
            <w:proofErr w:type="spellEnd"/>
            <w:r w:rsidR="00D91AAE" w:rsidRPr="00B417A6">
              <w:rPr>
                <w:bCs/>
                <w:sz w:val="28"/>
                <w:szCs w:val="28"/>
              </w:rPr>
              <w:t xml:space="preserve"> ieviešanas plānu” 1.pielikuma </w:t>
            </w:r>
            <w:r w:rsidR="00D91AAE" w:rsidRPr="00B417A6">
              <w:rPr>
                <w:sz w:val="28"/>
                <w:szCs w:val="28"/>
              </w:rPr>
              <w:t>J2.2.1</w:t>
            </w:r>
            <w:r w:rsidR="00D91AAE">
              <w:rPr>
                <w:sz w:val="28"/>
                <w:szCs w:val="28"/>
              </w:rPr>
              <w:t>.apakšpunkts.</w:t>
            </w:r>
          </w:p>
        </w:tc>
      </w:tr>
      <w:tr w:rsidR="00E37606" w:rsidRPr="00BA5E65" w:rsidTr="00044F78"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2.</w:t>
            </w:r>
          </w:p>
        </w:tc>
        <w:tc>
          <w:tcPr>
            <w:tcW w:w="1603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Pašreizējā situācija un problēmas</w:t>
            </w:r>
          </w:p>
        </w:tc>
        <w:tc>
          <w:tcPr>
            <w:tcW w:w="3110" w:type="pct"/>
          </w:tcPr>
          <w:p w:rsidR="00E37606" w:rsidRPr="00C345F2" w:rsidRDefault="00C345F2" w:rsidP="00F91632">
            <w:pPr>
              <w:pStyle w:val="naiskr"/>
              <w:spacing w:before="0" w:after="0"/>
              <w:ind w:firstLine="385"/>
              <w:jc w:val="both"/>
              <w:rPr>
                <w:sz w:val="28"/>
                <w:szCs w:val="28"/>
              </w:rPr>
            </w:pPr>
            <w:r w:rsidRPr="00C345F2">
              <w:rPr>
                <w:sz w:val="28"/>
                <w:szCs w:val="28"/>
              </w:rPr>
              <w:t xml:space="preserve">Ņemot vērā, ka ar 2014.gada 1.janvāri Latvijā plānots ieviest </w:t>
            </w:r>
            <w:r w:rsidRPr="00C345F2">
              <w:rPr>
                <w:i/>
                <w:sz w:val="28"/>
                <w:szCs w:val="28"/>
              </w:rPr>
              <w:t>euro</w:t>
            </w:r>
            <w:r w:rsidRPr="00C345F2">
              <w:rPr>
                <w:sz w:val="28"/>
                <w:szCs w:val="28"/>
              </w:rPr>
              <w:t xml:space="preserve">, </w:t>
            </w:r>
            <w:r w:rsidR="00D56E96">
              <w:rPr>
                <w:sz w:val="28"/>
                <w:szCs w:val="28"/>
              </w:rPr>
              <w:t xml:space="preserve">ir nepieciešams </w:t>
            </w:r>
            <w:r w:rsidR="00D56E96" w:rsidRPr="00F91632">
              <w:rPr>
                <w:sz w:val="28"/>
                <w:szCs w:val="28"/>
              </w:rPr>
              <w:t>veikt grozījumu</w:t>
            </w:r>
            <w:r w:rsidR="00F91632" w:rsidRPr="00F91632">
              <w:rPr>
                <w:sz w:val="28"/>
                <w:szCs w:val="28"/>
              </w:rPr>
              <w:t>s</w:t>
            </w:r>
            <w:r w:rsidRPr="00F91632">
              <w:rPr>
                <w:bCs/>
                <w:sz w:val="28"/>
                <w:szCs w:val="28"/>
              </w:rPr>
              <w:t xml:space="preserve"> Ministru kabineta</w:t>
            </w:r>
            <w:r w:rsidR="00F91632" w:rsidRPr="00F91632">
              <w:rPr>
                <w:bCs/>
                <w:sz w:val="28"/>
                <w:szCs w:val="28"/>
              </w:rPr>
              <w:t xml:space="preserve"> </w:t>
            </w:r>
            <w:r w:rsidR="00F91632" w:rsidRPr="00F91632">
              <w:rPr>
                <w:sz w:val="28"/>
                <w:szCs w:val="28"/>
              </w:rPr>
              <w:t>2012.gada 18.decembra noteikumos Nr.887 „Noteikumi par valsts nodevu par Latvijas Nacionālā arhīva sociāli tiesiskās izziņas sagatavošanu un izsniegšanu”</w:t>
            </w:r>
            <w:r w:rsidRPr="00F91632">
              <w:rPr>
                <w:sz w:val="28"/>
                <w:szCs w:val="28"/>
              </w:rPr>
              <w:t xml:space="preserve">, aizstājot tajos latus ar </w:t>
            </w:r>
            <w:r w:rsidRPr="00F91632">
              <w:rPr>
                <w:i/>
                <w:sz w:val="28"/>
                <w:szCs w:val="28"/>
              </w:rPr>
              <w:t>euro</w:t>
            </w:r>
            <w:r w:rsidRPr="00F91632">
              <w:rPr>
                <w:sz w:val="28"/>
                <w:szCs w:val="28"/>
              </w:rPr>
              <w:t>.</w:t>
            </w:r>
          </w:p>
        </w:tc>
      </w:tr>
      <w:tr w:rsidR="00E37606" w:rsidRPr="00BA5E65" w:rsidTr="00044F78"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3.</w:t>
            </w:r>
          </w:p>
        </w:tc>
        <w:tc>
          <w:tcPr>
            <w:tcW w:w="1603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Saistītie politikas ietekmes novērtējumi un pētījumi</w:t>
            </w:r>
          </w:p>
        </w:tc>
        <w:tc>
          <w:tcPr>
            <w:tcW w:w="3110" w:type="pct"/>
          </w:tcPr>
          <w:p w:rsidR="00E37606" w:rsidRPr="00BA5E65" w:rsidRDefault="00E37606" w:rsidP="004B7922">
            <w:pPr>
              <w:tabs>
                <w:tab w:val="left" w:pos="5279"/>
              </w:tabs>
              <w:ind w:right="31"/>
              <w:jc w:val="both"/>
              <w:rPr>
                <w:sz w:val="28"/>
                <w:szCs w:val="28"/>
              </w:rPr>
            </w:pPr>
            <w:r w:rsidRPr="00BA5E65">
              <w:rPr>
                <w:bCs/>
                <w:sz w:val="28"/>
                <w:szCs w:val="28"/>
              </w:rPr>
              <w:t>Projekts šo jomu neskar.</w:t>
            </w:r>
          </w:p>
        </w:tc>
      </w:tr>
      <w:tr w:rsidR="00E37606" w:rsidRPr="00BA5E65" w:rsidTr="00044F78"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4.</w:t>
            </w:r>
          </w:p>
        </w:tc>
        <w:tc>
          <w:tcPr>
            <w:tcW w:w="1603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Tiesiskā regulējuma mērķis un būtība</w:t>
            </w:r>
          </w:p>
        </w:tc>
        <w:tc>
          <w:tcPr>
            <w:tcW w:w="3110" w:type="pct"/>
          </w:tcPr>
          <w:p w:rsidR="00C345F2" w:rsidRPr="00C345F2" w:rsidRDefault="000A2E70" w:rsidP="004B7922">
            <w:pPr>
              <w:pStyle w:val="naiskr"/>
              <w:spacing w:before="0" w:after="0"/>
              <w:ind w:firstLine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C345F2" w:rsidRPr="00C345F2">
              <w:rPr>
                <w:sz w:val="28"/>
                <w:szCs w:val="28"/>
              </w:rPr>
              <w:t xml:space="preserve">rojekta mērķis ir pielāgot </w:t>
            </w:r>
            <w:r w:rsidR="00C345F2" w:rsidRPr="00C345F2">
              <w:rPr>
                <w:bCs/>
                <w:sz w:val="28"/>
                <w:szCs w:val="28"/>
              </w:rPr>
              <w:t>Ministru kabineta</w:t>
            </w:r>
            <w:r w:rsidR="00A41760">
              <w:rPr>
                <w:bCs/>
                <w:sz w:val="28"/>
                <w:szCs w:val="28"/>
              </w:rPr>
              <w:t xml:space="preserve"> </w:t>
            </w:r>
            <w:r w:rsidR="00F91632" w:rsidRPr="00F91632">
              <w:rPr>
                <w:sz w:val="28"/>
                <w:szCs w:val="28"/>
              </w:rPr>
              <w:t>2012.gada 18.decembra noteikum</w:t>
            </w:r>
            <w:r w:rsidR="00F91632">
              <w:rPr>
                <w:sz w:val="28"/>
                <w:szCs w:val="28"/>
              </w:rPr>
              <w:t>u</w:t>
            </w:r>
            <w:r w:rsidR="00F91632" w:rsidRPr="00F91632">
              <w:rPr>
                <w:sz w:val="28"/>
                <w:szCs w:val="28"/>
              </w:rPr>
              <w:t>s Nr.887 „Noteikumi par valsts nodevu par Latvijas Nacionālā arhīva sociāli tiesiskās izziņas sagatavošanu un izsniegšanu”</w:t>
            </w:r>
            <w:r w:rsidR="00F9163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C345F2" w:rsidRPr="00C345F2">
              <w:rPr>
                <w:i/>
                <w:sz w:val="28"/>
                <w:szCs w:val="28"/>
              </w:rPr>
              <w:t>euro</w:t>
            </w:r>
            <w:proofErr w:type="spellEnd"/>
            <w:r w:rsidR="00C345F2" w:rsidRPr="00C345F2">
              <w:rPr>
                <w:sz w:val="28"/>
                <w:szCs w:val="28"/>
              </w:rPr>
              <w:t xml:space="preserve"> ieviešanai, aizstājot tajā latus ar </w:t>
            </w:r>
            <w:r w:rsidR="00C345F2" w:rsidRPr="00C345F2">
              <w:rPr>
                <w:i/>
                <w:sz w:val="28"/>
                <w:szCs w:val="28"/>
              </w:rPr>
              <w:t>euro</w:t>
            </w:r>
            <w:r w:rsidR="00C345F2" w:rsidRPr="00C345F2">
              <w:rPr>
                <w:sz w:val="28"/>
                <w:szCs w:val="28"/>
              </w:rPr>
              <w:t>.</w:t>
            </w:r>
          </w:p>
          <w:p w:rsidR="00E37606" w:rsidRPr="005651F4" w:rsidRDefault="000A2E70" w:rsidP="00D91AAE">
            <w:pPr>
              <w:pStyle w:val="naiskr"/>
              <w:spacing w:before="0" w:after="0"/>
              <w:ind w:firstLine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C345F2" w:rsidRPr="00C345F2">
              <w:rPr>
                <w:sz w:val="28"/>
                <w:szCs w:val="28"/>
              </w:rPr>
              <w:t xml:space="preserve">rojekts paredz aizstāt attiecīgajā normatīvajā aktā latus ar </w:t>
            </w:r>
            <w:r w:rsidR="00C345F2" w:rsidRPr="00C345F2">
              <w:rPr>
                <w:i/>
                <w:sz w:val="28"/>
                <w:szCs w:val="28"/>
              </w:rPr>
              <w:t>euro</w:t>
            </w:r>
            <w:r w:rsidR="00C345F2" w:rsidRPr="00C345F2">
              <w:rPr>
                <w:sz w:val="28"/>
                <w:szCs w:val="28"/>
              </w:rPr>
              <w:t xml:space="preserve"> atbilstoši </w:t>
            </w:r>
            <w:r w:rsidR="00C345F2" w:rsidRPr="00C345F2">
              <w:rPr>
                <w:i/>
                <w:color w:val="000000" w:themeColor="text1"/>
                <w:sz w:val="28"/>
                <w:szCs w:val="28"/>
              </w:rPr>
              <w:t xml:space="preserve">Euro </w:t>
            </w:r>
            <w:r w:rsidR="00C345F2" w:rsidRPr="00C345F2">
              <w:rPr>
                <w:color w:val="000000" w:themeColor="text1"/>
                <w:sz w:val="28"/>
                <w:szCs w:val="28"/>
              </w:rPr>
              <w:t xml:space="preserve">ieviešanas kārtības likuma </w:t>
            </w:r>
            <w:r w:rsidR="005A725B">
              <w:rPr>
                <w:color w:val="000000" w:themeColor="text1"/>
                <w:sz w:val="28"/>
                <w:szCs w:val="28"/>
              </w:rPr>
              <w:t>6.panta otrajā daļā</w:t>
            </w:r>
            <w:r w:rsidR="00C345F2" w:rsidRPr="00C345F2">
              <w:rPr>
                <w:color w:val="000000" w:themeColor="text1"/>
                <w:sz w:val="28"/>
                <w:szCs w:val="28"/>
              </w:rPr>
              <w:t xml:space="preserve"> paredzētajiem principiem.</w:t>
            </w:r>
          </w:p>
        </w:tc>
      </w:tr>
      <w:tr w:rsidR="00E37606" w:rsidRPr="00BA5E65" w:rsidTr="00044F78"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5.</w:t>
            </w:r>
          </w:p>
        </w:tc>
        <w:tc>
          <w:tcPr>
            <w:tcW w:w="1603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110" w:type="pct"/>
          </w:tcPr>
          <w:p w:rsidR="00E37606" w:rsidRPr="00BA5E65" w:rsidRDefault="00C84009" w:rsidP="004B7922">
            <w:pPr>
              <w:tabs>
                <w:tab w:val="left" w:pos="5279"/>
              </w:tabs>
              <w:ind w:right="3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Kultūras ministrija</w:t>
            </w:r>
            <w:r w:rsidR="002A181C">
              <w:rPr>
                <w:bCs/>
                <w:sz w:val="28"/>
                <w:szCs w:val="28"/>
              </w:rPr>
              <w:t>, Latvijas Nacionālais arhīvs</w:t>
            </w:r>
            <w:r w:rsidR="00E37606" w:rsidRPr="00BA5E65">
              <w:rPr>
                <w:bCs/>
                <w:sz w:val="28"/>
                <w:szCs w:val="28"/>
              </w:rPr>
              <w:t>.</w:t>
            </w:r>
          </w:p>
        </w:tc>
      </w:tr>
      <w:tr w:rsidR="00E37606" w:rsidRPr="00BA5E65" w:rsidTr="00044F78">
        <w:trPr>
          <w:cantSplit/>
          <w:trHeight w:val="989"/>
        </w:trPr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6.</w:t>
            </w:r>
          </w:p>
        </w:tc>
        <w:tc>
          <w:tcPr>
            <w:tcW w:w="1603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3110" w:type="pct"/>
          </w:tcPr>
          <w:p w:rsidR="004B7922" w:rsidRPr="00AB3C41" w:rsidRDefault="00892410" w:rsidP="004B792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A2E70">
              <w:rPr>
                <w:sz w:val="28"/>
                <w:szCs w:val="28"/>
              </w:rPr>
              <w:t>Sabiedrības līdzdalība p</w:t>
            </w:r>
            <w:r w:rsidR="00E37606" w:rsidRPr="00AB3C41">
              <w:rPr>
                <w:sz w:val="28"/>
                <w:szCs w:val="28"/>
              </w:rPr>
              <w:t xml:space="preserve">rojekta izstrādē netika nodrošināta, jo projekts nemaina pastāvošo tiesisko regulējumu pēc būtības, bet tikai aizstāj latus ar </w:t>
            </w:r>
            <w:r w:rsidR="00E37606" w:rsidRPr="00AB3C41">
              <w:rPr>
                <w:i/>
                <w:sz w:val="28"/>
                <w:szCs w:val="28"/>
              </w:rPr>
              <w:t>euro</w:t>
            </w:r>
            <w:r w:rsidR="00E37606" w:rsidRPr="00AB3C41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E37606" w:rsidRPr="00BA5E65" w:rsidTr="00044F78"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7.</w:t>
            </w:r>
          </w:p>
        </w:tc>
        <w:tc>
          <w:tcPr>
            <w:tcW w:w="1603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 Cita informācija</w:t>
            </w:r>
          </w:p>
        </w:tc>
        <w:tc>
          <w:tcPr>
            <w:tcW w:w="3110" w:type="pct"/>
          </w:tcPr>
          <w:p w:rsidR="00E37606" w:rsidRDefault="00892410" w:rsidP="000A2E70">
            <w:pPr>
              <w:tabs>
                <w:tab w:val="left" w:pos="5279"/>
              </w:tabs>
              <w:ind w:left="34" w:right="28" w:hanging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A2E70">
              <w:rPr>
                <w:sz w:val="28"/>
                <w:szCs w:val="28"/>
              </w:rPr>
              <w:t>P</w:t>
            </w:r>
            <w:r w:rsidR="00E37606" w:rsidRPr="00410DE6">
              <w:rPr>
                <w:sz w:val="28"/>
                <w:szCs w:val="28"/>
              </w:rPr>
              <w:t xml:space="preserve">rojekts tiks virzīts izskatīšanai Ministru kabinetā pēc tam, kad Eiropas Savienības </w:t>
            </w:r>
            <w:r w:rsidR="00E37606" w:rsidRPr="00410DE6">
              <w:rPr>
                <w:sz w:val="28"/>
                <w:szCs w:val="28"/>
              </w:rPr>
              <w:lastRenderedPageBreak/>
              <w:t>Padomē saskaņā ar Līguma par Eiropas Savienības darbību 140.panta 2.punktu tiks pieņemts lēmums par izņēmuma statusa atcelšanu Latvijas Republikai</w:t>
            </w:r>
            <w:r w:rsidR="00E37606">
              <w:rPr>
                <w:sz w:val="28"/>
                <w:szCs w:val="28"/>
              </w:rPr>
              <w:t xml:space="preserve"> un Eiropas Savienības Padome būs noteikusi lata maiņas kursu. </w:t>
            </w:r>
          </w:p>
          <w:p w:rsidR="00D91AAE" w:rsidRPr="00410DE6" w:rsidRDefault="00D91AAE" w:rsidP="000A2E70">
            <w:pPr>
              <w:tabs>
                <w:tab w:val="left" w:pos="5279"/>
              </w:tabs>
              <w:ind w:left="34" w:right="28" w:hanging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C6796">
              <w:rPr>
                <w:sz w:val="28"/>
                <w:szCs w:val="28"/>
              </w:rPr>
              <w:t xml:space="preserve">Saskaņā ar </w:t>
            </w:r>
            <w:proofErr w:type="spellStart"/>
            <w:r w:rsidRPr="004C6796">
              <w:rPr>
                <w:i/>
                <w:sz w:val="28"/>
                <w:szCs w:val="28"/>
              </w:rPr>
              <w:t>Euro</w:t>
            </w:r>
            <w:proofErr w:type="spellEnd"/>
            <w:r w:rsidRPr="004C6796">
              <w:rPr>
                <w:i/>
                <w:sz w:val="28"/>
                <w:szCs w:val="28"/>
              </w:rPr>
              <w:t xml:space="preserve"> </w:t>
            </w:r>
            <w:r w:rsidRPr="004C6796">
              <w:rPr>
                <w:sz w:val="28"/>
                <w:szCs w:val="28"/>
              </w:rPr>
              <w:t xml:space="preserve">ieviešanas kārtības likuma 13.panta pirmo daļu preču un pakalpojumu cenu paralēlās atspoguļošanas periods sākas trīs mēnešus pirms </w:t>
            </w:r>
            <w:proofErr w:type="spellStart"/>
            <w:r w:rsidRPr="004C6796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4C6796">
              <w:rPr>
                <w:sz w:val="28"/>
                <w:szCs w:val="28"/>
              </w:rPr>
              <w:t xml:space="preserve"> ieviešanas dienas, tādēļ šim projektam ir jābūt izskatītam Ministru kabinetā un publicētam oficiālajā izdevumā „Latvijas Vēstnesis” līdz 2013.gada 1.oktobrim.</w:t>
            </w:r>
          </w:p>
        </w:tc>
      </w:tr>
    </w:tbl>
    <w:p w:rsidR="00E37606" w:rsidRDefault="00E37606" w:rsidP="004B7922">
      <w:pPr>
        <w:rPr>
          <w:sz w:val="28"/>
          <w:szCs w:val="28"/>
          <w:lang w:eastAsia="lv-LV"/>
        </w:rPr>
      </w:pPr>
    </w:p>
    <w:p w:rsidR="003609AB" w:rsidRPr="003609AB" w:rsidRDefault="003609AB" w:rsidP="003609AB">
      <w:pPr>
        <w:rPr>
          <w:i/>
          <w:iCs/>
          <w:sz w:val="28"/>
          <w:szCs w:val="28"/>
          <w:lang w:eastAsia="lv-LV"/>
        </w:rPr>
      </w:pPr>
      <w:r w:rsidRPr="003609AB">
        <w:rPr>
          <w:i/>
          <w:iCs/>
          <w:sz w:val="28"/>
          <w:szCs w:val="28"/>
          <w:lang w:eastAsia="lv-LV"/>
        </w:rPr>
        <w:t xml:space="preserve">Anotācijas </w:t>
      </w:r>
      <w:r>
        <w:rPr>
          <w:i/>
          <w:iCs/>
          <w:sz w:val="28"/>
          <w:szCs w:val="28"/>
          <w:lang w:eastAsia="lv-LV"/>
        </w:rPr>
        <w:t xml:space="preserve">II, </w:t>
      </w:r>
      <w:r w:rsidRPr="003609AB">
        <w:rPr>
          <w:i/>
          <w:iCs/>
          <w:sz w:val="28"/>
          <w:szCs w:val="28"/>
          <w:lang w:eastAsia="lv-LV"/>
        </w:rPr>
        <w:t>IV, V, VI un</w:t>
      </w:r>
      <w:r>
        <w:rPr>
          <w:i/>
          <w:iCs/>
          <w:sz w:val="28"/>
          <w:szCs w:val="28"/>
          <w:lang w:eastAsia="lv-LV"/>
        </w:rPr>
        <w:t xml:space="preserve"> VII sadaļa – </w:t>
      </w:r>
      <w:r>
        <w:rPr>
          <w:i/>
          <w:sz w:val="28"/>
          <w:szCs w:val="28"/>
          <w:lang w:eastAsia="lv-LV"/>
        </w:rPr>
        <w:t>projekts šīs jomas</w:t>
      </w:r>
      <w:r w:rsidRPr="003609AB">
        <w:rPr>
          <w:i/>
          <w:sz w:val="28"/>
          <w:szCs w:val="28"/>
          <w:lang w:eastAsia="lv-LV"/>
        </w:rPr>
        <w:t xml:space="preserve"> neskar.</w:t>
      </w:r>
    </w:p>
    <w:p w:rsidR="003609AB" w:rsidRDefault="003609AB" w:rsidP="004B7922">
      <w:pPr>
        <w:rPr>
          <w:sz w:val="28"/>
          <w:szCs w:val="28"/>
          <w:lang w:eastAsia="lv-LV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3"/>
        <w:gridCol w:w="1007"/>
        <w:gridCol w:w="1306"/>
        <w:gridCol w:w="1391"/>
        <w:gridCol w:w="1391"/>
        <w:gridCol w:w="1389"/>
      </w:tblGrid>
      <w:tr w:rsidR="00E37606" w:rsidRPr="003609AB" w:rsidTr="00AC5178">
        <w:trPr>
          <w:trHeight w:val="652"/>
          <w:jc w:val="center"/>
        </w:trPr>
        <w:tc>
          <w:tcPr>
            <w:tcW w:w="5000" w:type="pct"/>
            <w:gridSpan w:val="6"/>
          </w:tcPr>
          <w:p w:rsidR="00E37606" w:rsidRPr="003609AB" w:rsidRDefault="00E37606" w:rsidP="004B7922">
            <w:pPr>
              <w:pStyle w:val="naisnod"/>
              <w:spacing w:before="0" w:after="0"/>
              <w:rPr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br w:type="page"/>
              <w:t>III. Tiesību akta projekta ietekme uz valsts budžetu un pašvaldību budžetiem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  <w:vMerge w:val="restar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09AB">
              <w:rPr>
                <w:b/>
                <w:color w:val="000000" w:themeColor="text1"/>
                <w:sz w:val="28"/>
                <w:szCs w:val="28"/>
              </w:rPr>
              <w:t>Rādītāji</w:t>
            </w:r>
          </w:p>
        </w:tc>
        <w:tc>
          <w:tcPr>
            <w:tcW w:w="1245" w:type="pct"/>
            <w:gridSpan w:val="2"/>
            <w:vMerge w:val="restar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09AB">
              <w:rPr>
                <w:b/>
                <w:color w:val="000000" w:themeColor="text1"/>
                <w:sz w:val="28"/>
                <w:szCs w:val="28"/>
              </w:rPr>
              <w:t>2013.gads</w:t>
            </w:r>
          </w:p>
        </w:tc>
        <w:tc>
          <w:tcPr>
            <w:tcW w:w="2247" w:type="pct"/>
            <w:gridSpan w:val="3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 xml:space="preserve">Turpmākie trīs gadi (tūkst. </w:t>
            </w:r>
            <w:r w:rsidRPr="003609AB">
              <w:rPr>
                <w:i/>
                <w:color w:val="000000" w:themeColor="text1"/>
                <w:sz w:val="28"/>
                <w:szCs w:val="28"/>
              </w:rPr>
              <w:t>euro</w:t>
            </w:r>
            <w:r w:rsidRPr="003609AB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E37606" w:rsidRPr="003609AB" w:rsidTr="00AC5178">
        <w:trPr>
          <w:trHeight w:val="360"/>
          <w:jc w:val="center"/>
        </w:trPr>
        <w:tc>
          <w:tcPr>
            <w:tcW w:w="1509" w:type="pct"/>
            <w:vMerge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245" w:type="pct"/>
            <w:gridSpan w:val="2"/>
            <w:vMerge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b/>
                <w:color w:val="000000" w:themeColor="text1"/>
                <w:sz w:val="28"/>
                <w:szCs w:val="28"/>
              </w:rPr>
              <w:t>2014.gads</w:t>
            </w: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b/>
                <w:color w:val="000000" w:themeColor="text1"/>
                <w:sz w:val="28"/>
                <w:szCs w:val="28"/>
              </w:rPr>
              <w:t>2015.gads</w:t>
            </w: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b/>
                <w:color w:val="000000" w:themeColor="text1"/>
                <w:sz w:val="28"/>
                <w:szCs w:val="28"/>
              </w:rPr>
              <w:t>2016.gads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  <w:vMerge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42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Saskaņā ar valsts budžetu kārtējam gadam</w:t>
            </w:r>
          </w:p>
        </w:tc>
        <w:tc>
          <w:tcPr>
            <w:tcW w:w="703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Izmaiņas kārtējā gadā, salīdzinot ar budžetu kārtējam gadam</w:t>
            </w: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Izmaiņas, salīdzinot ar kārtējo 2013.gadu</w:t>
            </w: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Izmaiņas, salīdzinot ar kārtējo 2013.gadu</w:t>
            </w: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Izmaiņas, salīdzinot ar kārtējo 2013.gadu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609AB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2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609AB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3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609AB"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609AB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609AB"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609AB">
              <w:rPr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1. Budžeta ieņēmumi:</w:t>
            </w:r>
          </w:p>
        </w:tc>
        <w:tc>
          <w:tcPr>
            <w:tcW w:w="542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1.1. valsts pamatbudžets, tai skaitā ieņēmumi no maksas pakalpojumiem un citi pašu ieņēmumi</w:t>
            </w:r>
          </w:p>
        </w:tc>
        <w:tc>
          <w:tcPr>
            <w:tcW w:w="542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1.2. valsts speciālais budžets</w:t>
            </w:r>
          </w:p>
        </w:tc>
        <w:tc>
          <w:tcPr>
            <w:tcW w:w="542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1.3. pašvaldību budžets</w:t>
            </w:r>
          </w:p>
        </w:tc>
        <w:tc>
          <w:tcPr>
            <w:tcW w:w="542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2. Budžeta izdevumi:</w:t>
            </w:r>
          </w:p>
        </w:tc>
        <w:tc>
          <w:tcPr>
            <w:tcW w:w="542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lastRenderedPageBreak/>
              <w:t>2.1. valsts pamatbudžets</w:t>
            </w:r>
          </w:p>
        </w:tc>
        <w:tc>
          <w:tcPr>
            <w:tcW w:w="542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2.2. valsts speciālais budžets</w:t>
            </w:r>
          </w:p>
        </w:tc>
        <w:tc>
          <w:tcPr>
            <w:tcW w:w="542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 xml:space="preserve">2.3. pašvaldību budžets </w:t>
            </w:r>
          </w:p>
        </w:tc>
        <w:tc>
          <w:tcPr>
            <w:tcW w:w="542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3. Finansiālā ietekme:</w:t>
            </w:r>
          </w:p>
        </w:tc>
        <w:tc>
          <w:tcPr>
            <w:tcW w:w="542" w:type="pct"/>
            <w:shd w:val="clear" w:color="auto" w:fill="auto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3.1. valsts pamatbudžets</w:t>
            </w:r>
          </w:p>
        </w:tc>
        <w:tc>
          <w:tcPr>
            <w:tcW w:w="542" w:type="pct"/>
            <w:shd w:val="clear" w:color="auto" w:fill="auto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3.2. speciālais budžets</w:t>
            </w:r>
          </w:p>
        </w:tc>
        <w:tc>
          <w:tcPr>
            <w:tcW w:w="542" w:type="pct"/>
            <w:shd w:val="clear" w:color="auto" w:fill="auto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 xml:space="preserve">3.3. pašvaldību budžets </w:t>
            </w:r>
          </w:p>
        </w:tc>
        <w:tc>
          <w:tcPr>
            <w:tcW w:w="542" w:type="pct"/>
            <w:shd w:val="clear" w:color="auto" w:fill="auto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  <w:vMerge w:val="restar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4. Finanšu līdzekļi papildu izde</w:t>
            </w:r>
            <w:r w:rsidRPr="003609AB">
              <w:rPr>
                <w:color w:val="000000" w:themeColor="text1"/>
                <w:sz w:val="28"/>
                <w:szCs w:val="28"/>
              </w:rPr>
              <w:softHyphen/>
              <w:t>vumu finansēšanai (kompensējošu izdevumu samazinājumu norāda ar "+" zīmi)</w:t>
            </w:r>
          </w:p>
        </w:tc>
        <w:tc>
          <w:tcPr>
            <w:tcW w:w="542" w:type="pct"/>
            <w:vMerge w:val="restar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  <w:vMerge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2" w:type="pct"/>
            <w:vMerge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  <w:vMerge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2" w:type="pct"/>
            <w:vMerge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5. Precizēta finansiālā ietekme:</w:t>
            </w:r>
          </w:p>
        </w:tc>
        <w:tc>
          <w:tcPr>
            <w:tcW w:w="542" w:type="pct"/>
            <w:vMerge w:val="restar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5.1. valsts pamatbudžets</w:t>
            </w:r>
          </w:p>
        </w:tc>
        <w:tc>
          <w:tcPr>
            <w:tcW w:w="542" w:type="pct"/>
            <w:vMerge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5.2. speciālais budžets</w:t>
            </w:r>
          </w:p>
        </w:tc>
        <w:tc>
          <w:tcPr>
            <w:tcW w:w="542" w:type="pct"/>
            <w:vMerge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 xml:space="preserve">5.3. pašvaldību budžets </w:t>
            </w:r>
          </w:p>
        </w:tc>
        <w:tc>
          <w:tcPr>
            <w:tcW w:w="542" w:type="pct"/>
            <w:vMerge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trHeight w:val="2661"/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6. Detalizēts ieņēmumu un izdevu</w:t>
            </w:r>
            <w:r w:rsidRPr="003609AB">
              <w:rPr>
                <w:color w:val="000000" w:themeColor="text1"/>
                <w:sz w:val="28"/>
                <w:szCs w:val="28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3491" w:type="pct"/>
            <w:gridSpan w:val="5"/>
          </w:tcPr>
          <w:p w:rsidR="0073400C" w:rsidRDefault="0073400C" w:rsidP="0073400C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  <w:p w:rsidR="00E37606" w:rsidRPr="0073400C" w:rsidRDefault="0073400C" w:rsidP="0073400C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Projektā </w:t>
            </w:r>
            <w:r w:rsidRPr="0073400C">
              <w:rPr>
                <w:color w:val="000000" w:themeColor="text1"/>
                <w:sz w:val="28"/>
                <w:szCs w:val="28"/>
              </w:rPr>
              <w:t xml:space="preserve">ietverto skaitļu pārrēķins no latiem uz </w:t>
            </w:r>
            <w:r w:rsidRPr="0073400C">
              <w:rPr>
                <w:i/>
                <w:color w:val="000000" w:themeColor="text1"/>
                <w:sz w:val="28"/>
                <w:szCs w:val="28"/>
              </w:rPr>
              <w:t>euro</w:t>
            </w:r>
            <w:r>
              <w:rPr>
                <w:color w:val="000000" w:themeColor="text1"/>
                <w:sz w:val="28"/>
                <w:szCs w:val="28"/>
              </w:rPr>
              <w:t xml:space="preserve"> sniegts anotācijas pielikumā.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7. Cita informācija</w:t>
            </w:r>
          </w:p>
        </w:tc>
        <w:tc>
          <w:tcPr>
            <w:tcW w:w="3491" w:type="pct"/>
            <w:gridSpan w:val="5"/>
          </w:tcPr>
          <w:p w:rsidR="00E37606" w:rsidRPr="00D91AAE" w:rsidRDefault="00D91AAE" w:rsidP="00FD1DCD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  <w:r w:rsidRPr="00D91AAE">
              <w:rPr>
                <w:color w:val="000000" w:themeColor="text1"/>
                <w:sz w:val="28"/>
                <w:szCs w:val="28"/>
              </w:rPr>
              <w:t>Nav attiecināms.</w:t>
            </w:r>
          </w:p>
          <w:p w:rsidR="00D91AAE" w:rsidRPr="003609AB" w:rsidRDefault="00D91AAE" w:rsidP="00FD1DCD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E37606" w:rsidRDefault="00E37606" w:rsidP="004B7922">
      <w:pPr>
        <w:jc w:val="both"/>
        <w:rPr>
          <w:sz w:val="28"/>
          <w:szCs w:val="28"/>
        </w:rPr>
      </w:pPr>
    </w:p>
    <w:p w:rsidR="00D91AAE" w:rsidRDefault="00D91AAE" w:rsidP="00D91AAE">
      <w:pPr>
        <w:pStyle w:val="naisf"/>
        <w:spacing w:before="0" w:after="0"/>
        <w:ind w:firstLine="142"/>
        <w:rPr>
          <w:sz w:val="28"/>
          <w:szCs w:val="28"/>
        </w:rPr>
      </w:pPr>
      <w:r>
        <w:rPr>
          <w:sz w:val="28"/>
          <w:szCs w:val="28"/>
        </w:rPr>
        <w:t>Kultūras ministre</w:t>
      </w:r>
      <w:r w:rsidR="00B87BFF">
        <w:rPr>
          <w:sz w:val="28"/>
          <w:szCs w:val="28"/>
        </w:rPr>
        <w:tab/>
      </w:r>
      <w:r w:rsidR="00B87BFF">
        <w:rPr>
          <w:sz w:val="28"/>
          <w:szCs w:val="28"/>
        </w:rPr>
        <w:tab/>
      </w:r>
      <w:r w:rsidR="00B87BFF">
        <w:rPr>
          <w:sz w:val="28"/>
          <w:szCs w:val="28"/>
        </w:rPr>
        <w:tab/>
      </w:r>
      <w:r w:rsidR="00B87BFF">
        <w:rPr>
          <w:sz w:val="28"/>
          <w:szCs w:val="28"/>
        </w:rPr>
        <w:tab/>
      </w:r>
      <w:r w:rsidR="00B87BFF">
        <w:rPr>
          <w:sz w:val="28"/>
          <w:szCs w:val="28"/>
        </w:rPr>
        <w:tab/>
      </w:r>
      <w:r w:rsidR="00B87BFF">
        <w:rPr>
          <w:sz w:val="28"/>
          <w:szCs w:val="28"/>
        </w:rPr>
        <w:tab/>
      </w:r>
      <w:r w:rsidR="00B87BFF">
        <w:rPr>
          <w:sz w:val="28"/>
          <w:szCs w:val="28"/>
        </w:rPr>
        <w:tab/>
      </w:r>
      <w:proofErr w:type="spellStart"/>
      <w:r w:rsidR="00B87BFF">
        <w:rPr>
          <w:sz w:val="28"/>
          <w:szCs w:val="28"/>
        </w:rPr>
        <w:t>Ž.Jaunzeme-Grende</w:t>
      </w:r>
      <w:proofErr w:type="spellEnd"/>
    </w:p>
    <w:p w:rsidR="00E37606" w:rsidRPr="00BA5E65" w:rsidRDefault="00E37606" w:rsidP="00FD13DB">
      <w:pPr>
        <w:pStyle w:val="naisf"/>
        <w:spacing w:before="0" w:after="0"/>
        <w:ind w:left="142"/>
        <w:rPr>
          <w:sz w:val="28"/>
          <w:szCs w:val="28"/>
        </w:rPr>
      </w:pPr>
      <w:r w:rsidRPr="00BA5E65">
        <w:rPr>
          <w:sz w:val="28"/>
          <w:szCs w:val="28"/>
        </w:rPr>
        <w:tab/>
      </w:r>
    </w:p>
    <w:p w:rsidR="00E37606" w:rsidRPr="00BA5E65" w:rsidRDefault="00FD13DB" w:rsidP="00FD13DB">
      <w:pPr>
        <w:pStyle w:val="naisf"/>
        <w:spacing w:before="0" w:after="0"/>
        <w:ind w:left="142" w:firstLine="0"/>
        <w:rPr>
          <w:sz w:val="28"/>
          <w:szCs w:val="28"/>
        </w:rPr>
      </w:pPr>
      <w:r>
        <w:rPr>
          <w:sz w:val="28"/>
          <w:szCs w:val="28"/>
        </w:rPr>
        <w:t>Vīza: V</w:t>
      </w:r>
      <w:r w:rsidR="00E37606">
        <w:rPr>
          <w:sz w:val="28"/>
          <w:szCs w:val="28"/>
        </w:rPr>
        <w:t>alsts sekretārs</w:t>
      </w:r>
      <w:r w:rsidR="00E37606">
        <w:rPr>
          <w:sz w:val="28"/>
          <w:szCs w:val="28"/>
        </w:rPr>
        <w:tab/>
      </w:r>
      <w:r w:rsidR="00E37606">
        <w:rPr>
          <w:sz w:val="28"/>
          <w:szCs w:val="28"/>
        </w:rPr>
        <w:tab/>
      </w:r>
      <w:r w:rsidR="00E37606">
        <w:rPr>
          <w:sz w:val="28"/>
          <w:szCs w:val="28"/>
        </w:rPr>
        <w:tab/>
      </w:r>
      <w:r w:rsidR="00E3760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7606">
        <w:rPr>
          <w:sz w:val="28"/>
          <w:szCs w:val="28"/>
        </w:rPr>
        <w:t>G.Puķītis</w:t>
      </w:r>
    </w:p>
    <w:p w:rsidR="00E37606" w:rsidRDefault="00E37606" w:rsidP="00FD13DB">
      <w:pPr>
        <w:pStyle w:val="Galvene"/>
        <w:rPr>
          <w:sz w:val="22"/>
          <w:szCs w:val="22"/>
        </w:rPr>
      </w:pPr>
      <w:bookmarkStart w:id="5" w:name="_GoBack"/>
      <w:bookmarkEnd w:id="5"/>
    </w:p>
    <w:p w:rsidR="00D91AAE" w:rsidRDefault="00D91AAE" w:rsidP="00FD13DB">
      <w:pPr>
        <w:pStyle w:val="Galvene"/>
        <w:rPr>
          <w:sz w:val="22"/>
          <w:szCs w:val="22"/>
        </w:rPr>
      </w:pPr>
    </w:p>
    <w:p w:rsidR="00B87BFF" w:rsidRDefault="00B87BFF" w:rsidP="00FD13DB">
      <w:pPr>
        <w:pStyle w:val="Galvene"/>
        <w:rPr>
          <w:sz w:val="22"/>
          <w:szCs w:val="22"/>
        </w:rPr>
      </w:pPr>
    </w:p>
    <w:p w:rsidR="00F91632" w:rsidRPr="00044F78" w:rsidRDefault="00A34784" w:rsidP="00F91632">
      <w:pPr>
        <w:rPr>
          <w:sz w:val="20"/>
          <w:szCs w:val="20"/>
        </w:rPr>
      </w:pPr>
      <w:r w:rsidRPr="00044F78">
        <w:rPr>
          <w:sz w:val="20"/>
          <w:szCs w:val="20"/>
        </w:rPr>
        <w:lastRenderedPageBreak/>
        <w:fldChar w:fldCharType="begin"/>
      </w:r>
      <w:r w:rsidR="00F91632" w:rsidRPr="00044F78">
        <w:rPr>
          <w:sz w:val="20"/>
          <w:szCs w:val="20"/>
        </w:rPr>
        <w:instrText xml:space="preserve"> DATE  \@ "yyyy.MM.dd. H:mm"  \* MERGEFORMAT </w:instrText>
      </w:r>
      <w:r w:rsidRPr="00044F78">
        <w:rPr>
          <w:sz w:val="20"/>
          <w:szCs w:val="20"/>
        </w:rPr>
        <w:fldChar w:fldCharType="separate"/>
      </w:r>
      <w:r w:rsidR="00B87BFF">
        <w:rPr>
          <w:noProof/>
          <w:sz w:val="20"/>
          <w:szCs w:val="20"/>
        </w:rPr>
        <w:t>2013.08.06. 15:20</w:t>
      </w:r>
      <w:r w:rsidRPr="00044F78">
        <w:rPr>
          <w:sz w:val="20"/>
          <w:szCs w:val="20"/>
        </w:rPr>
        <w:fldChar w:fldCharType="end"/>
      </w:r>
    </w:p>
    <w:p w:rsidR="00F91632" w:rsidRPr="00044F78" w:rsidRDefault="00D91AAE" w:rsidP="00F91632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B87BFF">
        <w:rPr>
          <w:sz w:val="20"/>
          <w:szCs w:val="20"/>
        </w:rPr>
        <w:t>41</w:t>
      </w:r>
    </w:p>
    <w:p w:rsidR="00F91632" w:rsidRPr="00044F78" w:rsidRDefault="00F91632" w:rsidP="00F91632">
      <w:pPr>
        <w:pStyle w:val="Galvene"/>
        <w:rPr>
          <w:sz w:val="20"/>
          <w:szCs w:val="20"/>
        </w:rPr>
      </w:pPr>
      <w:r w:rsidRPr="00044F78">
        <w:rPr>
          <w:sz w:val="20"/>
          <w:szCs w:val="20"/>
        </w:rPr>
        <w:t>T.Motorina</w:t>
      </w:r>
    </w:p>
    <w:p w:rsidR="00F91632" w:rsidRPr="00044F78" w:rsidRDefault="00F91632" w:rsidP="00F91632">
      <w:pPr>
        <w:pStyle w:val="Galvene"/>
        <w:rPr>
          <w:sz w:val="20"/>
          <w:szCs w:val="20"/>
        </w:rPr>
      </w:pPr>
      <w:r w:rsidRPr="00044F78">
        <w:rPr>
          <w:sz w:val="20"/>
          <w:szCs w:val="20"/>
        </w:rPr>
        <w:t>Tālr. 67558894</w:t>
      </w:r>
    </w:p>
    <w:p w:rsidR="00F91632" w:rsidRPr="00044F78" w:rsidRDefault="00A34784" w:rsidP="00F91632">
      <w:pPr>
        <w:jc w:val="both"/>
        <w:rPr>
          <w:noProof/>
          <w:sz w:val="20"/>
          <w:szCs w:val="20"/>
        </w:rPr>
      </w:pPr>
      <w:hyperlink r:id="rId6" w:history="1">
        <w:r w:rsidR="00F91632" w:rsidRPr="00044F78">
          <w:rPr>
            <w:rStyle w:val="Hipersaite"/>
            <w:rFonts w:eastAsiaTheme="majorEastAsia"/>
            <w:noProof/>
            <w:sz w:val="20"/>
            <w:szCs w:val="20"/>
          </w:rPr>
          <w:t>lna@arhivi.gov.lv</w:t>
        </w:r>
      </w:hyperlink>
    </w:p>
    <w:sectPr w:rsidR="00F91632" w:rsidRPr="00044F78" w:rsidSect="00044F78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436" w:rsidRDefault="00184436" w:rsidP="00FC6606">
      <w:r>
        <w:separator/>
      </w:r>
    </w:p>
  </w:endnote>
  <w:endnote w:type="continuationSeparator" w:id="0">
    <w:p w:rsidR="00184436" w:rsidRDefault="00184436" w:rsidP="00FC6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DCD" w:rsidRPr="00F91632" w:rsidRDefault="00F91632" w:rsidP="00F91632">
    <w:pPr>
      <w:pStyle w:val="naisnod"/>
      <w:spacing w:before="0" w:after="0"/>
      <w:ind w:right="-81"/>
      <w:jc w:val="both"/>
      <w:rPr>
        <w:szCs w:val="22"/>
      </w:rPr>
    </w:pPr>
    <w:r w:rsidRPr="00F91632">
      <w:rPr>
        <w:b w:val="0"/>
        <w:sz w:val="22"/>
        <w:szCs w:val="22"/>
      </w:rPr>
      <w:t>KMAnot_</w:t>
    </w:r>
    <w:r w:rsidR="00D91AAE">
      <w:rPr>
        <w:b w:val="0"/>
        <w:sz w:val="22"/>
        <w:szCs w:val="22"/>
      </w:rPr>
      <w:t>3007</w:t>
    </w:r>
    <w:r w:rsidRPr="00F91632">
      <w:rPr>
        <w:b w:val="0"/>
        <w:sz w:val="22"/>
        <w:szCs w:val="22"/>
      </w:rPr>
      <w:t>13_VAnod_887</w:t>
    </w:r>
    <w:r w:rsidR="00D91AAE">
      <w:rPr>
        <w:b w:val="0"/>
        <w:sz w:val="22"/>
        <w:szCs w:val="22"/>
      </w:rPr>
      <w:t>_VSS-1229</w:t>
    </w:r>
    <w:r w:rsidRPr="00F91632">
      <w:rPr>
        <w:b w:val="0"/>
        <w:sz w:val="22"/>
        <w:szCs w:val="22"/>
      </w:rPr>
      <w:t>; Ministru kabineta noteikumu projekta „Grozījumi Ministru kabineta 2012.gada 18.decembra noteikumos Nr.887 „Noteikumi par valsts nodevu par Latvijas Nacionālā arhīva sociāli tiesiskās izziņas sagatavošanu un izsniegšanu”” sākotnējās ietekmes novērtējuma ziņojums (anotācija)</w:t>
    </w:r>
    <w:r w:rsidRPr="00F91632">
      <w:rPr>
        <w:szCs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DCD" w:rsidRPr="00F91632" w:rsidRDefault="00FD1DCD" w:rsidP="00F91632">
    <w:pPr>
      <w:pStyle w:val="naisnod"/>
      <w:spacing w:before="0" w:after="0"/>
      <w:ind w:right="-81"/>
      <w:jc w:val="both"/>
      <w:rPr>
        <w:b w:val="0"/>
        <w:sz w:val="22"/>
        <w:szCs w:val="22"/>
      </w:rPr>
    </w:pPr>
    <w:r w:rsidRPr="00F91632">
      <w:rPr>
        <w:b w:val="0"/>
        <w:sz w:val="22"/>
        <w:szCs w:val="22"/>
      </w:rPr>
      <w:t>KMAnot_</w:t>
    </w:r>
    <w:r w:rsidR="00D91AAE">
      <w:rPr>
        <w:b w:val="0"/>
        <w:sz w:val="22"/>
        <w:szCs w:val="22"/>
      </w:rPr>
      <w:t>3007</w:t>
    </w:r>
    <w:r w:rsidRPr="00F91632">
      <w:rPr>
        <w:b w:val="0"/>
        <w:sz w:val="22"/>
        <w:szCs w:val="22"/>
      </w:rPr>
      <w:t>13_</w:t>
    </w:r>
    <w:r w:rsidR="00F91632" w:rsidRPr="00F91632">
      <w:rPr>
        <w:b w:val="0"/>
        <w:sz w:val="22"/>
        <w:szCs w:val="22"/>
      </w:rPr>
      <w:t>VAn</w:t>
    </w:r>
    <w:r w:rsidR="00D56E96" w:rsidRPr="00F91632">
      <w:rPr>
        <w:b w:val="0"/>
        <w:sz w:val="22"/>
        <w:szCs w:val="22"/>
      </w:rPr>
      <w:t>od</w:t>
    </w:r>
    <w:r w:rsidRPr="00F91632">
      <w:rPr>
        <w:b w:val="0"/>
        <w:sz w:val="22"/>
        <w:szCs w:val="22"/>
      </w:rPr>
      <w:t>_</w:t>
    </w:r>
    <w:r w:rsidR="00F91632" w:rsidRPr="00F91632">
      <w:rPr>
        <w:b w:val="0"/>
        <w:sz w:val="22"/>
        <w:szCs w:val="22"/>
      </w:rPr>
      <w:t>887</w:t>
    </w:r>
    <w:r w:rsidR="00D91AAE">
      <w:rPr>
        <w:b w:val="0"/>
        <w:sz w:val="22"/>
        <w:szCs w:val="22"/>
      </w:rPr>
      <w:t>_VSS-1229</w:t>
    </w:r>
    <w:r w:rsidRPr="00F91632">
      <w:rPr>
        <w:b w:val="0"/>
        <w:sz w:val="22"/>
        <w:szCs w:val="22"/>
      </w:rPr>
      <w:t>; Ministru kabineta noteikumu projekta „</w:t>
    </w:r>
    <w:r w:rsidR="00F91632" w:rsidRPr="00F91632">
      <w:rPr>
        <w:b w:val="0"/>
        <w:sz w:val="22"/>
        <w:szCs w:val="22"/>
      </w:rPr>
      <w:t>Grozījumi Ministru kabineta 2012.gada 18.decembra noteikumos Nr.887 „Noteikumi par valsts nodevu par Latvijas Nacionālā arhīva sociāli tiesiskās izziņas sagatavošanu un izsniegšanu”</w:t>
    </w:r>
    <w:r w:rsidRPr="00F91632">
      <w:rPr>
        <w:b w:val="0"/>
        <w:sz w:val="22"/>
        <w:szCs w:val="22"/>
      </w:rPr>
      <w:t>” 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436" w:rsidRDefault="00184436" w:rsidP="00FC6606">
      <w:r>
        <w:separator/>
      </w:r>
    </w:p>
  </w:footnote>
  <w:footnote w:type="continuationSeparator" w:id="0">
    <w:p w:rsidR="00184436" w:rsidRDefault="00184436" w:rsidP="00FC6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DCD" w:rsidRDefault="00A34784" w:rsidP="005A725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FD1DCD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FD1DCD" w:rsidRDefault="00FD1DCD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DCD" w:rsidRPr="000A2E70" w:rsidRDefault="00A34784" w:rsidP="005A725B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0A2E70">
      <w:rPr>
        <w:rStyle w:val="Lappusesnumurs"/>
        <w:sz w:val="22"/>
        <w:szCs w:val="22"/>
      </w:rPr>
      <w:fldChar w:fldCharType="begin"/>
    </w:r>
    <w:r w:rsidR="00FD1DCD" w:rsidRPr="000A2E70">
      <w:rPr>
        <w:rStyle w:val="Lappusesnumurs"/>
        <w:sz w:val="22"/>
        <w:szCs w:val="22"/>
      </w:rPr>
      <w:instrText xml:space="preserve">PAGE  </w:instrText>
    </w:r>
    <w:r w:rsidRPr="000A2E70">
      <w:rPr>
        <w:rStyle w:val="Lappusesnumurs"/>
        <w:sz w:val="22"/>
        <w:szCs w:val="22"/>
      </w:rPr>
      <w:fldChar w:fldCharType="separate"/>
    </w:r>
    <w:r w:rsidR="00B87BFF">
      <w:rPr>
        <w:rStyle w:val="Lappusesnumurs"/>
        <w:noProof/>
        <w:sz w:val="22"/>
        <w:szCs w:val="22"/>
      </w:rPr>
      <w:t>2</w:t>
    </w:r>
    <w:r w:rsidRPr="000A2E70">
      <w:rPr>
        <w:rStyle w:val="Lappusesnumurs"/>
        <w:sz w:val="22"/>
        <w:szCs w:val="22"/>
      </w:rPr>
      <w:fldChar w:fldCharType="end"/>
    </w:r>
  </w:p>
  <w:p w:rsidR="00FD1DCD" w:rsidRDefault="00FD1DCD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606"/>
    <w:rsid w:val="00013B8A"/>
    <w:rsid w:val="00034E00"/>
    <w:rsid w:val="00044F78"/>
    <w:rsid w:val="000A2E70"/>
    <w:rsid w:val="000B1C58"/>
    <w:rsid w:val="000E041D"/>
    <w:rsid w:val="0010670D"/>
    <w:rsid w:val="001570EE"/>
    <w:rsid w:val="0016537D"/>
    <w:rsid w:val="00184436"/>
    <w:rsid w:val="00273D0E"/>
    <w:rsid w:val="002854C7"/>
    <w:rsid w:val="00291EA9"/>
    <w:rsid w:val="002A181C"/>
    <w:rsid w:val="002D41BC"/>
    <w:rsid w:val="0034303D"/>
    <w:rsid w:val="003568F5"/>
    <w:rsid w:val="003609AB"/>
    <w:rsid w:val="00365590"/>
    <w:rsid w:val="00387944"/>
    <w:rsid w:val="003A38AD"/>
    <w:rsid w:val="003A5496"/>
    <w:rsid w:val="003F3AAF"/>
    <w:rsid w:val="004456D6"/>
    <w:rsid w:val="0049339F"/>
    <w:rsid w:val="004B5EC7"/>
    <w:rsid w:val="004B7922"/>
    <w:rsid w:val="0056155C"/>
    <w:rsid w:val="00597D6F"/>
    <w:rsid w:val="005A725B"/>
    <w:rsid w:val="0073400C"/>
    <w:rsid w:val="0073549F"/>
    <w:rsid w:val="00745639"/>
    <w:rsid w:val="00770ABC"/>
    <w:rsid w:val="007A4208"/>
    <w:rsid w:val="0084027D"/>
    <w:rsid w:val="00876047"/>
    <w:rsid w:val="00892410"/>
    <w:rsid w:val="008B45D5"/>
    <w:rsid w:val="008C2B8D"/>
    <w:rsid w:val="008D6794"/>
    <w:rsid w:val="008D73EE"/>
    <w:rsid w:val="009348C0"/>
    <w:rsid w:val="009534CE"/>
    <w:rsid w:val="00994670"/>
    <w:rsid w:val="009A0504"/>
    <w:rsid w:val="009C7013"/>
    <w:rsid w:val="00A34784"/>
    <w:rsid w:val="00A41760"/>
    <w:rsid w:val="00AC5178"/>
    <w:rsid w:val="00B31A59"/>
    <w:rsid w:val="00B7461E"/>
    <w:rsid w:val="00B813CF"/>
    <w:rsid w:val="00B87BFF"/>
    <w:rsid w:val="00BC1841"/>
    <w:rsid w:val="00C345F2"/>
    <w:rsid w:val="00C3648D"/>
    <w:rsid w:val="00C84009"/>
    <w:rsid w:val="00D56E96"/>
    <w:rsid w:val="00D91AAE"/>
    <w:rsid w:val="00D91EE8"/>
    <w:rsid w:val="00DD2B94"/>
    <w:rsid w:val="00DE442B"/>
    <w:rsid w:val="00E37606"/>
    <w:rsid w:val="00ED3BDE"/>
    <w:rsid w:val="00F25B88"/>
    <w:rsid w:val="00F91632"/>
    <w:rsid w:val="00FC6606"/>
    <w:rsid w:val="00FD13DB"/>
    <w:rsid w:val="00FD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3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Virsraksts2">
    <w:name w:val="heading 2"/>
    <w:basedOn w:val="Parastais"/>
    <w:next w:val="Parastais"/>
    <w:link w:val="Virsraksts2Rakstz"/>
    <w:uiPriority w:val="9"/>
    <w:unhideWhenUsed/>
    <w:qFormat/>
    <w:rsid w:val="00C345F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ais"/>
    <w:link w:val="PamattekstsRakstz"/>
    <w:rsid w:val="00E37606"/>
    <w:pPr>
      <w:jc w:val="center"/>
    </w:pPr>
    <w:rPr>
      <w:b/>
      <w:bCs/>
      <w:sz w:val="28"/>
    </w:rPr>
  </w:style>
  <w:style w:type="character" w:customStyle="1" w:styleId="PamattekstsRakstz">
    <w:name w:val="Pamatteksts Rakstz."/>
    <w:basedOn w:val="Noklusjumarindkopasfonts"/>
    <w:link w:val="Pamatteksts"/>
    <w:rsid w:val="00E37606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customStyle="1" w:styleId="naisf">
    <w:name w:val="naisf"/>
    <w:basedOn w:val="Parastais"/>
    <w:rsid w:val="00E37606"/>
    <w:pPr>
      <w:spacing w:before="75" w:after="75"/>
      <w:ind w:firstLine="375"/>
      <w:jc w:val="both"/>
    </w:pPr>
    <w:rPr>
      <w:lang w:eastAsia="lv-LV"/>
    </w:rPr>
  </w:style>
  <w:style w:type="paragraph" w:styleId="Galvene">
    <w:name w:val="header"/>
    <w:basedOn w:val="Parastais"/>
    <w:link w:val="GalveneRakstz"/>
    <w:rsid w:val="00E37606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GalveneRakstz">
    <w:name w:val="Galvene Rakstz."/>
    <w:basedOn w:val="Noklusjumarindkopasfonts"/>
    <w:link w:val="Galvene"/>
    <w:rsid w:val="00E37606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Kjene">
    <w:name w:val="footer"/>
    <w:basedOn w:val="Parastais"/>
    <w:link w:val="KjeneRakstz"/>
    <w:uiPriority w:val="99"/>
    <w:rsid w:val="00E37606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E37606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Lappusesnumurs">
    <w:name w:val="page number"/>
    <w:basedOn w:val="Noklusjumarindkopasfonts"/>
    <w:rsid w:val="00E37606"/>
  </w:style>
  <w:style w:type="paragraph" w:customStyle="1" w:styleId="tv213">
    <w:name w:val="tv213"/>
    <w:basedOn w:val="Parastais"/>
    <w:rsid w:val="00E37606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basedOn w:val="Noklusjumarindkopasfonts"/>
    <w:uiPriority w:val="99"/>
    <w:rsid w:val="00E37606"/>
    <w:rPr>
      <w:rFonts w:cs="Times New Roman"/>
      <w:color w:val="0000FF"/>
      <w:u w:val="single"/>
    </w:rPr>
  </w:style>
  <w:style w:type="paragraph" w:customStyle="1" w:styleId="naisnod">
    <w:name w:val="naisnod"/>
    <w:basedOn w:val="Parastais"/>
    <w:rsid w:val="00E37606"/>
    <w:pPr>
      <w:suppressAutoHyphens/>
      <w:spacing w:before="150" w:after="150"/>
      <w:jc w:val="center"/>
    </w:pPr>
    <w:rPr>
      <w:b/>
      <w:bCs/>
      <w:lang w:eastAsia="ar-SA"/>
    </w:rPr>
  </w:style>
  <w:style w:type="paragraph" w:customStyle="1" w:styleId="naiskr">
    <w:name w:val="naiskr"/>
    <w:basedOn w:val="Parastais"/>
    <w:rsid w:val="00E37606"/>
    <w:pPr>
      <w:suppressAutoHyphens/>
      <w:spacing w:before="75" w:after="75"/>
    </w:pPr>
    <w:rPr>
      <w:lang w:eastAsia="ar-SA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E376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37606"/>
    <w:rPr>
      <w:rFonts w:ascii="Tahoma" w:eastAsia="Times New Roman" w:hAnsi="Tahoma" w:cs="Tahoma"/>
      <w:sz w:val="16"/>
      <w:szCs w:val="16"/>
      <w:lang w:val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C345F2"/>
    <w:rPr>
      <w:rFonts w:ascii="Cambria" w:eastAsia="Times New Roman" w:hAnsi="Cambria" w:cs="Times New Roman"/>
      <w:b/>
      <w:bCs/>
      <w:color w:val="4F81BD"/>
      <w:sz w:val="26"/>
      <w:szCs w:val="26"/>
      <w:lang w:val="lv-LV"/>
    </w:rPr>
  </w:style>
  <w:style w:type="paragraph" w:styleId="Vresteksts">
    <w:name w:val="footnote text"/>
    <w:basedOn w:val="Parastais"/>
    <w:link w:val="VrestekstsRakstz"/>
    <w:unhideWhenUsed/>
    <w:rsid w:val="00C345F2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C345F2"/>
    <w:rPr>
      <w:rFonts w:ascii="Calibri" w:eastAsia="Calibri" w:hAnsi="Calibri" w:cs="Times New Roman"/>
      <w:sz w:val="20"/>
      <w:szCs w:val="20"/>
      <w:lang w:val="lv-LV"/>
    </w:rPr>
  </w:style>
  <w:style w:type="character" w:styleId="Vresatsauce">
    <w:name w:val="footnote reference"/>
    <w:uiPriority w:val="99"/>
    <w:semiHidden/>
    <w:unhideWhenUsed/>
    <w:rsid w:val="00C345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na@arhivi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2699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projekta „Grozījumi Ministru kabineta 2001.gada 25.septembra noteikumos Nr.415 „Bibliotēku darbībai nepieciešamā finansējuma normatīvi”” sākotnējās ietekmes novērtējuma ziņojums (anotācija)</vt:lpstr>
    </vt:vector>
  </TitlesOfParts>
  <Manager>G.Puķītis</Manager>
  <Company>LR Kultūras Ministrija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2012.gada 18.decembra noteikumos Nr.887 „Noteikumi par valsts nodevu par Latvijas Nacionālā arhīva sociāli tiesiskās izziņas sagatavošanu un izsniegšanu”” sākotnējās ietekmes novērtējuma ziņojums (anotācija)</dc:title>
  <dc:subject>KMAnot_300713_VAnod_887_VSS-1229</dc:subject>
  <dc:creator>Tatjana Motorina</dc:creator>
  <dc:description>T.Motorina,Tālr.67558894
lna@arhivi.gov.lv</dc:description>
  <cp:lastModifiedBy>LeldeP</cp:lastModifiedBy>
  <cp:revision>4</cp:revision>
  <dcterms:created xsi:type="dcterms:W3CDTF">2013-08-01T14:17:00Z</dcterms:created>
  <dcterms:modified xsi:type="dcterms:W3CDTF">2013-08-06T12:23:00Z</dcterms:modified>
</cp:coreProperties>
</file>