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C5" w:rsidRPr="004A0B8C" w:rsidRDefault="00A973C5" w:rsidP="00A973C5">
      <w:pPr>
        <w:keepNext/>
        <w:spacing w:before="240" w:after="60"/>
        <w:ind w:firstLine="720"/>
        <w:jc w:val="right"/>
        <w:outlineLvl w:val="2"/>
        <w:rPr>
          <w:bCs/>
          <w:i/>
          <w:sz w:val="28"/>
          <w:szCs w:val="28"/>
        </w:rPr>
      </w:pPr>
      <w:bookmarkStart w:id="0" w:name="OLE_LINK1"/>
      <w:bookmarkStart w:id="1" w:name="OLE_LINK2"/>
      <w:r w:rsidRPr="004A0B8C">
        <w:rPr>
          <w:bCs/>
          <w:i/>
          <w:sz w:val="28"/>
          <w:szCs w:val="28"/>
        </w:rPr>
        <w:t>Projekts</w:t>
      </w:r>
    </w:p>
    <w:p w:rsidR="00A973C5" w:rsidRPr="004A0B8C" w:rsidRDefault="00A973C5" w:rsidP="00A973C5">
      <w:pPr>
        <w:ind w:firstLine="720"/>
        <w:jc w:val="center"/>
        <w:rPr>
          <w:rFonts w:eastAsia="Arial Unicode MS"/>
          <w:b/>
          <w:sz w:val="28"/>
          <w:szCs w:val="28"/>
        </w:rPr>
      </w:pPr>
    </w:p>
    <w:p w:rsidR="00A973C5" w:rsidRPr="004A0B8C" w:rsidRDefault="00A973C5" w:rsidP="00A973C5">
      <w:pPr>
        <w:ind w:firstLine="720"/>
        <w:jc w:val="center"/>
        <w:rPr>
          <w:rFonts w:eastAsia="Arial Unicode MS"/>
          <w:b/>
          <w:sz w:val="28"/>
          <w:szCs w:val="28"/>
        </w:rPr>
      </w:pPr>
      <w:r w:rsidRPr="004A0B8C">
        <w:rPr>
          <w:rFonts w:eastAsia="Arial Unicode MS"/>
          <w:b/>
          <w:sz w:val="28"/>
          <w:szCs w:val="28"/>
        </w:rPr>
        <w:t>LATVIJAS REPUBLIKAS MINISTRU KABINETS</w:t>
      </w:r>
    </w:p>
    <w:p w:rsidR="00A973C5" w:rsidRPr="004A0B8C" w:rsidRDefault="00A973C5" w:rsidP="00A973C5">
      <w:pPr>
        <w:ind w:firstLine="720"/>
        <w:jc w:val="center"/>
        <w:rPr>
          <w:rFonts w:eastAsia="Arial Unicode MS"/>
          <w:b/>
          <w:sz w:val="28"/>
          <w:szCs w:val="28"/>
        </w:rPr>
      </w:pPr>
    </w:p>
    <w:p w:rsidR="00A973C5" w:rsidRPr="004A0B8C" w:rsidRDefault="00A973C5" w:rsidP="00A973C5">
      <w:pPr>
        <w:spacing w:after="120"/>
        <w:jc w:val="both"/>
        <w:rPr>
          <w:sz w:val="28"/>
          <w:szCs w:val="28"/>
          <w:lang w:val="pt-BR"/>
        </w:rPr>
      </w:pPr>
      <w:r w:rsidRPr="004A0B8C">
        <w:rPr>
          <w:sz w:val="28"/>
          <w:szCs w:val="28"/>
          <w:lang w:val="pt-BR"/>
        </w:rPr>
        <w:t>201</w:t>
      </w:r>
      <w:r>
        <w:rPr>
          <w:sz w:val="28"/>
          <w:szCs w:val="28"/>
          <w:lang w:val="pt-BR"/>
        </w:rPr>
        <w:t>3</w:t>
      </w:r>
      <w:r w:rsidRPr="004A0B8C">
        <w:rPr>
          <w:sz w:val="28"/>
          <w:szCs w:val="28"/>
          <w:lang w:val="pt-BR"/>
        </w:rPr>
        <w:t xml:space="preserve">.gada ___. _________   </w:t>
      </w:r>
      <w:r w:rsidRPr="004A0B8C">
        <w:rPr>
          <w:sz w:val="28"/>
          <w:szCs w:val="28"/>
          <w:lang w:val="pt-BR"/>
        </w:rPr>
        <w:tab/>
      </w:r>
      <w:r w:rsidRPr="004A0B8C">
        <w:rPr>
          <w:sz w:val="28"/>
          <w:szCs w:val="28"/>
          <w:lang w:val="pt-BR"/>
        </w:rPr>
        <w:tab/>
      </w:r>
      <w:r w:rsidRPr="004A0B8C">
        <w:rPr>
          <w:sz w:val="28"/>
          <w:szCs w:val="28"/>
          <w:lang w:val="pt-BR"/>
        </w:rPr>
        <w:tab/>
        <w:t xml:space="preserve">             </w:t>
      </w:r>
      <w:r w:rsidRPr="004A0B8C">
        <w:rPr>
          <w:sz w:val="28"/>
          <w:szCs w:val="28"/>
          <w:lang w:val="pt-BR"/>
        </w:rPr>
        <w:tab/>
        <w:t xml:space="preserve">     Noteikumi Nr.___                    </w:t>
      </w:r>
    </w:p>
    <w:p w:rsidR="00A973C5" w:rsidRPr="004A0B8C" w:rsidRDefault="00A973C5" w:rsidP="00A973C5">
      <w:pPr>
        <w:spacing w:after="120"/>
        <w:rPr>
          <w:sz w:val="28"/>
          <w:szCs w:val="28"/>
          <w:lang w:val="pt-BR"/>
        </w:rPr>
      </w:pPr>
      <w:r w:rsidRPr="004A0B8C">
        <w:rPr>
          <w:sz w:val="28"/>
          <w:szCs w:val="28"/>
          <w:lang w:val="pt-BR"/>
        </w:rPr>
        <w:t>Rīgā</w:t>
      </w:r>
      <w:r w:rsidRPr="004A0B8C">
        <w:rPr>
          <w:sz w:val="28"/>
          <w:szCs w:val="28"/>
          <w:lang w:val="pt-BR"/>
        </w:rPr>
        <w:tab/>
      </w:r>
      <w:r w:rsidRPr="004A0B8C">
        <w:rPr>
          <w:sz w:val="28"/>
          <w:szCs w:val="28"/>
          <w:lang w:val="pt-BR"/>
        </w:rPr>
        <w:tab/>
      </w:r>
      <w:r w:rsidRPr="004A0B8C">
        <w:rPr>
          <w:sz w:val="28"/>
          <w:szCs w:val="28"/>
          <w:lang w:val="pt-BR"/>
        </w:rPr>
        <w:tab/>
      </w:r>
      <w:r w:rsidRPr="004A0B8C">
        <w:rPr>
          <w:sz w:val="28"/>
          <w:szCs w:val="28"/>
          <w:lang w:val="pt-BR"/>
        </w:rPr>
        <w:tab/>
      </w:r>
      <w:r w:rsidRPr="004A0B8C">
        <w:rPr>
          <w:sz w:val="28"/>
          <w:szCs w:val="28"/>
          <w:lang w:val="pt-BR"/>
        </w:rPr>
        <w:tab/>
      </w:r>
      <w:r w:rsidRPr="004A0B8C">
        <w:rPr>
          <w:sz w:val="28"/>
          <w:szCs w:val="28"/>
          <w:lang w:val="pt-BR"/>
        </w:rPr>
        <w:tab/>
      </w:r>
      <w:r w:rsidRPr="004A0B8C">
        <w:rPr>
          <w:sz w:val="28"/>
          <w:szCs w:val="28"/>
          <w:lang w:val="pt-BR"/>
        </w:rPr>
        <w:tab/>
      </w:r>
      <w:r w:rsidRPr="004A0B8C">
        <w:rPr>
          <w:sz w:val="28"/>
          <w:szCs w:val="28"/>
          <w:lang w:val="pt-BR"/>
        </w:rPr>
        <w:tab/>
        <w:t xml:space="preserve">   </w:t>
      </w:r>
      <w:r>
        <w:rPr>
          <w:sz w:val="28"/>
          <w:szCs w:val="28"/>
          <w:lang w:val="pt-BR"/>
        </w:rPr>
        <w:tab/>
        <w:t>     </w:t>
      </w:r>
      <w:r w:rsidRPr="004A0B8C">
        <w:rPr>
          <w:sz w:val="28"/>
          <w:szCs w:val="28"/>
          <w:lang w:val="pt-BR"/>
        </w:rPr>
        <w:t>(prot. Nr.__  __ § )</w:t>
      </w:r>
    </w:p>
    <w:p w:rsidR="00E7456A" w:rsidRPr="00A961BD" w:rsidRDefault="00E7456A" w:rsidP="007A4435">
      <w:pPr>
        <w:ind w:firstLine="720"/>
        <w:jc w:val="center"/>
        <w:rPr>
          <w:b/>
          <w:bCs/>
          <w:sz w:val="28"/>
          <w:szCs w:val="28"/>
        </w:rPr>
      </w:pPr>
    </w:p>
    <w:p w:rsidR="00F50051" w:rsidRPr="00A961BD" w:rsidRDefault="00F50051" w:rsidP="007A4435">
      <w:pPr>
        <w:jc w:val="center"/>
        <w:rPr>
          <w:b/>
          <w:bCs/>
          <w:sz w:val="28"/>
          <w:szCs w:val="28"/>
        </w:rPr>
      </w:pPr>
      <w:bookmarkStart w:id="2" w:name="OLE_LINK21"/>
      <w:bookmarkStart w:id="3" w:name="OLE_LINK22"/>
      <w:r w:rsidRPr="00A961BD">
        <w:rPr>
          <w:b/>
          <w:bCs/>
          <w:sz w:val="28"/>
          <w:szCs w:val="28"/>
        </w:rPr>
        <w:t>Grozījumi</w:t>
      </w:r>
      <w:r w:rsidR="00701359" w:rsidRPr="00701359">
        <w:rPr>
          <w:b/>
          <w:bCs/>
          <w:sz w:val="28"/>
          <w:szCs w:val="28"/>
        </w:rPr>
        <w:t xml:space="preserve"> </w:t>
      </w:r>
      <w:r w:rsidR="00701359" w:rsidRPr="00A961BD">
        <w:rPr>
          <w:b/>
          <w:bCs/>
          <w:sz w:val="28"/>
          <w:szCs w:val="28"/>
        </w:rPr>
        <w:t>Ministru kabineta</w:t>
      </w:r>
      <w:r w:rsidRPr="00A961BD">
        <w:rPr>
          <w:b/>
          <w:bCs/>
          <w:sz w:val="28"/>
          <w:szCs w:val="28"/>
        </w:rPr>
        <w:t xml:space="preserve"> 2011.gada 27.decembra noteikumos Nr.1035 </w:t>
      </w:r>
    </w:p>
    <w:p w:rsidR="00F47DDE" w:rsidRPr="00A961BD" w:rsidRDefault="00F50051" w:rsidP="00A973C5">
      <w:pPr>
        <w:jc w:val="center"/>
        <w:rPr>
          <w:b/>
          <w:bCs/>
          <w:sz w:val="28"/>
          <w:szCs w:val="28"/>
        </w:rPr>
      </w:pPr>
      <w:r w:rsidRPr="00A961BD">
        <w:rPr>
          <w:b/>
          <w:bCs/>
          <w:sz w:val="28"/>
          <w:szCs w:val="28"/>
        </w:rPr>
        <w:t>„</w:t>
      </w:r>
      <w:r w:rsidR="007F2878" w:rsidRPr="00A961BD">
        <w:rPr>
          <w:b/>
          <w:bCs/>
          <w:sz w:val="28"/>
          <w:szCs w:val="28"/>
        </w:rPr>
        <w:t xml:space="preserve">Kārtība, kādā valsts finansē profesionālās ievirzes </w:t>
      </w:r>
      <w:r w:rsidR="00CA0F6B" w:rsidRPr="00A961BD">
        <w:rPr>
          <w:b/>
          <w:bCs/>
          <w:sz w:val="28"/>
          <w:szCs w:val="28"/>
        </w:rPr>
        <w:t xml:space="preserve">mākslas, mūzikas un dejas </w:t>
      </w:r>
      <w:r w:rsidR="00330A9C" w:rsidRPr="00A961BD">
        <w:rPr>
          <w:b/>
          <w:bCs/>
          <w:sz w:val="28"/>
          <w:szCs w:val="28"/>
        </w:rPr>
        <w:t>izglītības programmas</w:t>
      </w:r>
      <w:r w:rsidRPr="00A961BD">
        <w:rPr>
          <w:b/>
          <w:bCs/>
          <w:sz w:val="28"/>
          <w:szCs w:val="28"/>
        </w:rPr>
        <w:t>”</w:t>
      </w:r>
      <w:r w:rsidR="00330A9C" w:rsidRPr="00A961BD">
        <w:rPr>
          <w:b/>
          <w:bCs/>
          <w:sz w:val="28"/>
          <w:szCs w:val="28"/>
        </w:rPr>
        <w:t xml:space="preserve"> </w:t>
      </w:r>
    </w:p>
    <w:bookmarkEnd w:id="0"/>
    <w:bookmarkEnd w:id="1"/>
    <w:bookmarkEnd w:id="2"/>
    <w:bookmarkEnd w:id="3"/>
    <w:p w:rsidR="00E7456A" w:rsidRPr="00A961BD" w:rsidRDefault="00E7456A" w:rsidP="007A4435">
      <w:pPr>
        <w:jc w:val="right"/>
        <w:rPr>
          <w:sz w:val="28"/>
          <w:szCs w:val="28"/>
        </w:rPr>
      </w:pPr>
    </w:p>
    <w:p w:rsidR="00A973C5" w:rsidRDefault="00F47DDE" w:rsidP="00A973C5">
      <w:pPr>
        <w:jc w:val="right"/>
        <w:rPr>
          <w:sz w:val="28"/>
          <w:szCs w:val="28"/>
        </w:rPr>
      </w:pPr>
      <w:r w:rsidRPr="00A961BD">
        <w:rPr>
          <w:sz w:val="28"/>
          <w:szCs w:val="28"/>
        </w:rPr>
        <w:t>Izdoti saskaņā ar</w:t>
      </w:r>
      <w:r w:rsidR="00DE49FC" w:rsidRPr="00A961BD">
        <w:rPr>
          <w:sz w:val="28"/>
          <w:szCs w:val="28"/>
        </w:rPr>
        <w:t xml:space="preserve"> </w:t>
      </w:r>
      <w:r w:rsidR="00D34F4C" w:rsidRPr="00A961BD">
        <w:rPr>
          <w:sz w:val="28"/>
          <w:szCs w:val="28"/>
        </w:rPr>
        <w:t>I</w:t>
      </w:r>
      <w:r w:rsidRPr="00A961BD">
        <w:rPr>
          <w:sz w:val="28"/>
          <w:szCs w:val="28"/>
        </w:rPr>
        <w:t xml:space="preserve">zglītības likuma </w:t>
      </w:r>
      <w:r w:rsidR="00D34F4C" w:rsidRPr="00A961BD">
        <w:rPr>
          <w:sz w:val="28"/>
          <w:szCs w:val="28"/>
        </w:rPr>
        <w:t>14</w:t>
      </w:r>
      <w:r w:rsidRPr="00A961BD">
        <w:rPr>
          <w:sz w:val="28"/>
          <w:szCs w:val="28"/>
        </w:rPr>
        <w:t xml:space="preserve">.panta </w:t>
      </w:r>
      <w:r w:rsidR="00D34F4C" w:rsidRPr="00A961BD">
        <w:rPr>
          <w:sz w:val="28"/>
          <w:szCs w:val="28"/>
        </w:rPr>
        <w:t>26</w:t>
      </w:r>
      <w:r w:rsidRPr="00A961BD">
        <w:rPr>
          <w:sz w:val="28"/>
          <w:szCs w:val="28"/>
        </w:rPr>
        <w:t>.punktu</w:t>
      </w:r>
      <w:r w:rsidR="00FE7503" w:rsidRPr="00A961BD">
        <w:rPr>
          <w:sz w:val="28"/>
          <w:szCs w:val="28"/>
        </w:rPr>
        <w:t xml:space="preserve"> </w:t>
      </w:r>
      <w:r w:rsidR="00DE49FC" w:rsidRPr="00A961BD">
        <w:rPr>
          <w:sz w:val="28"/>
          <w:szCs w:val="28"/>
        </w:rPr>
        <w:t>u</w:t>
      </w:r>
      <w:r w:rsidR="00FE7503" w:rsidRPr="00A961BD">
        <w:rPr>
          <w:sz w:val="28"/>
          <w:szCs w:val="28"/>
        </w:rPr>
        <w:t>n</w:t>
      </w:r>
      <w:r w:rsidR="00DE49FC" w:rsidRPr="00A961BD">
        <w:rPr>
          <w:sz w:val="28"/>
          <w:szCs w:val="28"/>
        </w:rPr>
        <w:t xml:space="preserve"> </w:t>
      </w:r>
    </w:p>
    <w:p w:rsidR="00031BAA" w:rsidRPr="00A961BD" w:rsidRDefault="00031BAA" w:rsidP="00A973C5">
      <w:pPr>
        <w:jc w:val="right"/>
        <w:rPr>
          <w:sz w:val="28"/>
          <w:szCs w:val="28"/>
        </w:rPr>
      </w:pPr>
      <w:r w:rsidRPr="00A961BD">
        <w:rPr>
          <w:sz w:val="28"/>
          <w:szCs w:val="28"/>
        </w:rPr>
        <w:t>Profesionālās izglītības likuma</w:t>
      </w:r>
      <w:r w:rsidR="00DE49FC" w:rsidRPr="00A961BD">
        <w:rPr>
          <w:sz w:val="28"/>
          <w:szCs w:val="28"/>
        </w:rPr>
        <w:t xml:space="preserve"> </w:t>
      </w:r>
      <w:r w:rsidRPr="00A961BD">
        <w:rPr>
          <w:sz w:val="28"/>
          <w:szCs w:val="28"/>
        </w:rPr>
        <w:t xml:space="preserve">31.panta </w:t>
      </w:r>
      <w:r w:rsidR="00330A9C" w:rsidRPr="00A961BD">
        <w:rPr>
          <w:sz w:val="28"/>
          <w:szCs w:val="28"/>
        </w:rPr>
        <w:t>2.</w:t>
      </w:r>
      <w:r w:rsidR="00330A9C" w:rsidRPr="00A961BD">
        <w:rPr>
          <w:sz w:val="28"/>
          <w:szCs w:val="28"/>
          <w:vertAlign w:val="superscript"/>
        </w:rPr>
        <w:t>3</w:t>
      </w:r>
      <w:r w:rsidR="00C914EB" w:rsidRPr="00A961BD">
        <w:rPr>
          <w:sz w:val="28"/>
          <w:szCs w:val="28"/>
        </w:rPr>
        <w:t xml:space="preserve"> </w:t>
      </w:r>
      <w:r w:rsidRPr="00A961BD">
        <w:rPr>
          <w:sz w:val="28"/>
          <w:szCs w:val="28"/>
        </w:rPr>
        <w:t>daļu</w:t>
      </w:r>
    </w:p>
    <w:p w:rsidR="00563D7E" w:rsidRPr="00A961BD" w:rsidRDefault="00563D7E" w:rsidP="00563D7E"/>
    <w:p w:rsidR="00563D7E" w:rsidRPr="00A961BD" w:rsidRDefault="00563D7E" w:rsidP="00563D7E"/>
    <w:p w:rsidR="00F0301A" w:rsidRPr="00A961BD" w:rsidRDefault="00F50051" w:rsidP="007458CF">
      <w:pPr>
        <w:ind w:firstLine="709"/>
        <w:jc w:val="both"/>
        <w:rPr>
          <w:bCs/>
          <w:sz w:val="28"/>
          <w:szCs w:val="28"/>
        </w:rPr>
      </w:pPr>
      <w:r w:rsidRPr="00A961BD">
        <w:rPr>
          <w:sz w:val="28"/>
          <w:szCs w:val="28"/>
        </w:rPr>
        <w:t xml:space="preserve">Izdarīt </w:t>
      </w:r>
      <w:r w:rsidRPr="00A961BD">
        <w:rPr>
          <w:bCs/>
          <w:sz w:val="28"/>
          <w:szCs w:val="28"/>
        </w:rPr>
        <w:t xml:space="preserve">Ministru kabineta </w:t>
      </w:r>
      <w:r w:rsidR="000E2C2B" w:rsidRPr="00A961BD">
        <w:rPr>
          <w:bCs/>
          <w:sz w:val="28"/>
          <w:szCs w:val="28"/>
        </w:rPr>
        <w:t xml:space="preserve">2011.gada 27.decembra </w:t>
      </w:r>
      <w:r w:rsidRPr="00A961BD">
        <w:rPr>
          <w:bCs/>
          <w:sz w:val="28"/>
          <w:szCs w:val="28"/>
        </w:rPr>
        <w:t>noteikumos Nr.1035 „Kārtība, kādā valsts finansē profesionālās ievirzes mākslas, mūzikas un dejas izglītības programmas”</w:t>
      </w:r>
      <w:r w:rsidR="00CA0ACE" w:rsidRPr="00A961BD">
        <w:rPr>
          <w:bCs/>
          <w:sz w:val="28"/>
          <w:szCs w:val="28"/>
        </w:rPr>
        <w:t xml:space="preserve"> (Latvijas Vēstnesis, 2011, 205.nr.</w:t>
      </w:r>
      <w:r w:rsidR="00312CAA" w:rsidRPr="00A961BD">
        <w:rPr>
          <w:bCs/>
          <w:sz w:val="28"/>
          <w:szCs w:val="28"/>
        </w:rPr>
        <w:t xml:space="preserve">) </w:t>
      </w:r>
      <w:r w:rsidRPr="00A961BD">
        <w:rPr>
          <w:bCs/>
          <w:sz w:val="28"/>
          <w:szCs w:val="28"/>
        </w:rPr>
        <w:t>šādus grozījumus:</w:t>
      </w:r>
    </w:p>
    <w:p w:rsidR="00563D7E" w:rsidRPr="00A961BD" w:rsidRDefault="00563D7E" w:rsidP="00563D7E">
      <w:pPr>
        <w:jc w:val="both"/>
        <w:rPr>
          <w:sz w:val="28"/>
          <w:szCs w:val="28"/>
        </w:rPr>
      </w:pPr>
    </w:p>
    <w:p w:rsidR="007458CF" w:rsidRPr="00A961BD" w:rsidRDefault="002D6D02" w:rsidP="00241259">
      <w:pPr>
        <w:pStyle w:val="Sarakstarindkopa"/>
        <w:numPr>
          <w:ilvl w:val="0"/>
          <w:numId w:val="17"/>
        </w:numPr>
        <w:jc w:val="both"/>
        <w:rPr>
          <w:sz w:val="28"/>
          <w:szCs w:val="28"/>
        </w:rPr>
      </w:pPr>
      <w:r w:rsidRPr="00A961BD">
        <w:rPr>
          <w:sz w:val="28"/>
          <w:szCs w:val="28"/>
        </w:rPr>
        <w:t>Papildināt noteikumus ar 4.</w:t>
      </w:r>
      <w:r w:rsidRPr="00A961BD">
        <w:rPr>
          <w:sz w:val="28"/>
          <w:szCs w:val="28"/>
          <w:vertAlign w:val="superscript"/>
        </w:rPr>
        <w:t>1</w:t>
      </w:r>
      <w:r w:rsidR="00BB2180" w:rsidRPr="00A961BD">
        <w:rPr>
          <w:sz w:val="28"/>
          <w:szCs w:val="28"/>
        </w:rPr>
        <w:t xml:space="preserve"> un 4.</w:t>
      </w:r>
      <w:r w:rsidR="00BB2180" w:rsidRPr="00A961BD">
        <w:rPr>
          <w:sz w:val="28"/>
          <w:szCs w:val="28"/>
          <w:vertAlign w:val="superscript"/>
        </w:rPr>
        <w:t xml:space="preserve">2 </w:t>
      </w:r>
      <w:r w:rsidRPr="00A961BD">
        <w:rPr>
          <w:sz w:val="28"/>
          <w:szCs w:val="28"/>
        </w:rPr>
        <w:t xml:space="preserve">punktu </w:t>
      </w:r>
      <w:r w:rsidR="00EF7114" w:rsidRPr="00A961BD">
        <w:rPr>
          <w:sz w:val="28"/>
          <w:szCs w:val="28"/>
        </w:rPr>
        <w:t>šādā redakcijā:</w:t>
      </w:r>
    </w:p>
    <w:p w:rsidR="00BB2180" w:rsidRPr="00A961BD" w:rsidRDefault="00EF7114" w:rsidP="00241259">
      <w:pPr>
        <w:ind w:firstLine="709"/>
        <w:jc w:val="both"/>
        <w:rPr>
          <w:sz w:val="28"/>
          <w:szCs w:val="28"/>
        </w:rPr>
      </w:pPr>
      <w:r w:rsidRPr="00A961BD">
        <w:rPr>
          <w:sz w:val="28"/>
          <w:szCs w:val="28"/>
        </w:rPr>
        <w:t>„</w:t>
      </w:r>
      <w:r w:rsidR="00BB2180" w:rsidRPr="00A961BD">
        <w:rPr>
          <w:sz w:val="28"/>
          <w:szCs w:val="28"/>
        </w:rPr>
        <w:t>4.</w:t>
      </w:r>
      <w:r w:rsidR="00BB2180" w:rsidRPr="00A961BD">
        <w:rPr>
          <w:sz w:val="28"/>
          <w:szCs w:val="28"/>
          <w:vertAlign w:val="superscript"/>
        </w:rPr>
        <w:t xml:space="preserve">1 </w:t>
      </w:r>
      <w:r w:rsidR="00BB2180" w:rsidRPr="00A961BD">
        <w:rPr>
          <w:sz w:val="28"/>
          <w:szCs w:val="28"/>
        </w:rPr>
        <w:t>Dotācija attiecīgajā gadā ietver:</w:t>
      </w:r>
    </w:p>
    <w:p w:rsidR="00BB2180" w:rsidRPr="00A961BD" w:rsidRDefault="00BB2180" w:rsidP="00241259">
      <w:pPr>
        <w:ind w:firstLine="709"/>
        <w:jc w:val="both"/>
        <w:rPr>
          <w:sz w:val="28"/>
          <w:szCs w:val="28"/>
        </w:rPr>
      </w:pPr>
      <w:r w:rsidRPr="00A961BD">
        <w:rPr>
          <w:sz w:val="28"/>
          <w:szCs w:val="28"/>
        </w:rPr>
        <w:t>4.</w:t>
      </w:r>
      <w:r w:rsidR="002832F5" w:rsidRPr="00A961BD">
        <w:rPr>
          <w:sz w:val="28"/>
          <w:szCs w:val="28"/>
          <w:vertAlign w:val="superscript"/>
        </w:rPr>
        <w:t>1</w:t>
      </w:r>
      <w:r w:rsidRPr="00A961BD">
        <w:rPr>
          <w:sz w:val="28"/>
          <w:szCs w:val="28"/>
        </w:rPr>
        <w:t>1.</w:t>
      </w:r>
      <w:r w:rsidR="002832F5">
        <w:rPr>
          <w:sz w:val="28"/>
          <w:szCs w:val="28"/>
          <w:vertAlign w:val="superscript"/>
        </w:rPr>
        <w:t> </w:t>
      </w:r>
      <w:r w:rsidRPr="00A961BD">
        <w:rPr>
          <w:sz w:val="28"/>
          <w:szCs w:val="28"/>
        </w:rPr>
        <w:t>finansējumu izglītības programmās nodarbināto pedagogu pedagoģisko likmju skaita apmaksai attiecīgajā izglītības iestādē;</w:t>
      </w:r>
    </w:p>
    <w:p w:rsidR="00BB2180" w:rsidRPr="00A961BD" w:rsidRDefault="00BB2180" w:rsidP="00241259">
      <w:pPr>
        <w:ind w:firstLine="709"/>
        <w:jc w:val="both"/>
        <w:rPr>
          <w:sz w:val="28"/>
          <w:szCs w:val="28"/>
        </w:rPr>
      </w:pPr>
      <w:r w:rsidRPr="00A961BD">
        <w:rPr>
          <w:sz w:val="28"/>
          <w:szCs w:val="28"/>
        </w:rPr>
        <w:t>4.</w:t>
      </w:r>
      <w:r w:rsidR="002832F5" w:rsidRPr="00A961BD">
        <w:rPr>
          <w:sz w:val="28"/>
          <w:szCs w:val="28"/>
          <w:vertAlign w:val="superscript"/>
        </w:rPr>
        <w:t>1</w:t>
      </w:r>
      <w:r w:rsidR="002832F5">
        <w:rPr>
          <w:sz w:val="28"/>
          <w:szCs w:val="28"/>
        </w:rPr>
        <w:t>2.</w:t>
      </w:r>
      <w:r w:rsidR="002832F5">
        <w:rPr>
          <w:sz w:val="28"/>
          <w:szCs w:val="28"/>
          <w:vertAlign w:val="superscript"/>
        </w:rPr>
        <w:t> </w:t>
      </w:r>
      <w:r w:rsidRPr="00A961BD">
        <w:rPr>
          <w:sz w:val="28"/>
          <w:szCs w:val="28"/>
        </w:rPr>
        <w:t xml:space="preserve">finansējumu pedagogu darba samaksas noteikumos noteiktajām pedagoga profesionālās darbības kvalitātes piemaksām pedagogiem, kuri </w:t>
      </w:r>
      <w:r w:rsidR="008C2208" w:rsidRPr="00A961BD">
        <w:rPr>
          <w:sz w:val="28"/>
          <w:szCs w:val="28"/>
        </w:rPr>
        <w:t>Eiropas Sociālā fonda projekta „</w:t>
      </w:r>
      <w:r w:rsidRPr="00A961BD">
        <w:rPr>
          <w:sz w:val="28"/>
          <w:szCs w:val="28"/>
        </w:rPr>
        <w:t>Pedagogu konkurētspējas veicināšana izglītības s</w:t>
      </w:r>
      <w:r w:rsidR="008C2208" w:rsidRPr="00A961BD">
        <w:rPr>
          <w:sz w:val="28"/>
          <w:szCs w:val="28"/>
        </w:rPr>
        <w:t>istēmas optimizācijas apstākļos”</w:t>
      </w:r>
      <w:r w:rsidRPr="00A961BD">
        <w:rPr>
          <w:sz w:val="28"/>
          <w:szCs w:val="28"/>
        </w:rPr>
        <w:t xml:space="preserve"> ietvaros ir ieguvuši 3., 4. un 5.kvalitātes pakāpi (turpmāk – piemaksas) attiecīgajā izglītības iestādē.</w:t>
      </w:r>
    </w:p>
    <w:p w:rsidR="00241259" w:rsidRPr="00A961BD" w:rsidRDefault="00241259" w:rsidP="00241259">
      <w:pPr>
        <w:ind w:firstLine="709"/>
        <w:jc w:val="both"/>
        <w:rPr>
          <w:sz w:val="28"/>
          <w:szCs w:val="28"/>
        </w:rPr>
      </w:pPr>
    </w:p>
    <w:p w:rsidR="002D6D02" w:rsidRPr="00A961BD" w:rsidRDefault="00BB2180" w:rsidP="00241259">
      <w:pPr>
        <w:ind w:firstLine="709"/>
        <w:jc w:val="both"/>
        <w:rPr>
          <w:sz w:val="28"/>
          <w:szCs w:val="28"/>
        </w:rPr>
      </w:pPr>
      <w:r w:rsidRPr="00A961BD">
        <w:rPr>
          <w:sz w:val="28"/>
          <w:szCs w:val="28"/>
        </w:rPr>
        <w:t>4.</w:t>
      </w:r>
      <w:r w:rsidRPr="00A961BD">
        <w:rPr>
          <w:sz w:val="28"/>
          <w:szCs w:val="28"/>
          <w:vertAlign w:val="superscript"/>
        </w:rPr>
        <w:t>2</w:t>
      </w:r>
      <w:r w:rsidRPr="00A961BD">
        <w:rPr>
          <w:sz w:val="28"/>
          <w:szCs w:val="28"/>
        </w:rPr>
        <w:t xml:space="preserve"> </w:t>
      </w:r>
      <w:r w:rsidR="002832F5">
        <w:rPr>
          <w:sz w:val="28"/>
          <w:szCs w:val="28"/>
        </w:rPr>
        <w:t>Š</w:t>
      </w:r>
      <w:r w:rsidRPr="00A961BD">
        <w:rPr>
          <w:sz w:val="28"/>
          <w:szCs w:val="28"/>
        </w:rPr>
        <w:t>o noteikumu 4.</w:t>
      </w:r>
      <w:r w:rsidRPr="00A961BD">
        <w:rPr>
          <w:sz w:val="28"/>
          <w:szCs w:val="28"/>
          <w:vertAlign w:val="superscript"/>
        </w:rPr>
        <w:t>1</w:t>
      </w:r>
      <w:r w:rsidRPr="00A961BD">
        <w:rPr>
          <w:sz w:val="28"/>
          <w:szCs w:val="28"/>
        </w:rPr>
        <w:t>2.punktā paredzētās piemaksas no valsts budžeta tiek nodrošinātas tiem izglītības programmās nodarbinātajiem pedagogiem, kuru pedagoģisko likmju apmaksa tiek finansēta no valsts budžeta piešķirtā finansējuma atbilstoši valsts budžeta finansētajai daļai. Šo noteikumu 4.</w:t>
      </w:r>
      <w:r w:rsidRPr="00A961BD">
        <w:rPr>
          <w:sz w:val="28"/>
          <w:szCs w:val="28"/>
          <w:vertAlign w:val="superscript"/>
        </w:rPr>
        <w:t>1</w:t>
      </w:r>
      <w:r w:rsidRPr="00A961BD">
        <w:rPr>
          <w:sz w:val="28"/>
          <w:szCs w:val="28"/>
        </w:rPr>
        <w:t>2.punktā paredzētais valsts budžeta finansējums piemaksām netiek aprēķināts par darba samaksas daļu, ko izglītības iestādes dibinātājs ir noteicis papildus valsts budžeta dotācijai no saviem līdzekļiem.</w:t>
      </w:r>
      <w:r w:rsidR="002D6D02" w:rsidRPr="00A961BD">
        <w:rPr>
          <w:sz w:val="28"/>
          <w:szCs w:val="28"/>
        </w:rPr>
        <w:t>”</w:t>
      </w:r>
    </w:p>
    <w:p w:rsidR="00241259" w:rsidRPr="00A961BD" w:rsidRDefault="00241259" w:rsidP="00BB2180">
      <w:pPr>
        <w:jc w:val="both"/>
        <w:rPr>
          <w:sz w:val="28"/>
          <w:szCs w:val="28"/>
        </w:rPr>
      </w:pPr>
    </w:p>
    <w:p w:rsidR="00241259" w:rsidRDefault="00241259" w:rsidP="00241259">
      <w:pPr>
        <w:ind w:firstLine="720"/>
        <w:jc w:val="both"/>
        <w:rPr>
          <w:sz w:val="28"/>
          <w:szCs w:val="28"/>
        </w:rPr>
      </w:pPr>
      <w:r w:rsidRPr="00A961BD">
        <w:rPr>
          <w:sz w:val="28"/>
          <w:szCs w:val="28"/>
        </w:rPr>
        <w:t>2. Aizstāt 6.punktā vārdus „Kultūras ministrij</w:t>
      </w:r>
      <w:r w:rsidR="008C2208" w:rsidRPr="00A961BD">
        <w:rPr>
          <w:sz w:val="28"/>
          <w:szCs w:val="28"/>
        </w:rPr>
        <w:t>ā</w:t>
      </w:r>
      <w:r w:rsidRPr="00A961BD">
        <w:rPr>
          <w:sz w:val="28"/>
          <w:szCs w:val="28"/>
        </w:rPr>
        <w:t xml:space="preserve"> (turpmāk – ministrija)” ar vārdiem „Latvijas Nacionāla</w:t>
      </w:r>
      <w:r w:rsidR="008C2208" w:rsidRPr="00A961BD">
        <w:rPr>
          <w:sz w:val="28"/>
          <w:szCs w:val="28"/>
        </w:rPr>
        <w:t>jā</w:t>
      </w:r>
      <w:r w:rsidRPr="00A961BD">
        <w:rPr>
          <w:sz w:val="28"/>
          <w:szCs w:val="28"/>
        </w:rPr>
        <w:t xml:space="preserve"> kultūras centr</w:t>
      </w:r>
      <w:r w:rsidR="008C2208" w:rsidRPr="00A961BD">
        <w:rPr>
          <w:sz w:val="28"/>
          <w:szCs w:val="28"/>
        </w:rPr>
        <w:t>ā</w:t>
      </w:r>
      <w:r w:rsidR="00186353">
        <w:rPr>
          <w:sz w:val="28"/>
          <w:szCs w:val="28"/>
        </w:rPr>
        <w:t>”</w:t>
      </w:r>
      <w:r w:rsidRPr="00A961BD">
        <w:rPr>
          <w:sz w:val="28"/>
          <w:szCs w:val="28"/>
        </w:rPr>
        <w:t xml:space="preserve"> (</w:t>
      </w:r>
      <w:r w:rsidR="00CD5D56">
        <w:rPr>
          <w:sz w:val="28"/>
          <w:szCs w:val="28"/>
        </w:rPr>
        <w:t xml:space="preserve"> attiecīgā locījumā</w:t>
      </w:r>
      <w:r w:rsidRPr="00A961BD">
        <w:rPr>
          <w:sz w:val="28"/>
          <w:szCs w:val="28"/>
        </w:rPr>
        <w:t>).</w:t>
      </w:r>
    </w:p>
    <w:p w:rsidR="002832F5" w:rsidRDefault="002832F5" w:rsidP="00241259">
      <w:pPr>
        <w:ind w:firstLine="720"/>
        <w:jc w:val="both"/>
        <w:rPr>
          <w:sz w:val="28"/>
          <w:szCs w:val="28"/>
        </w:rPr>
      </w:pPr>
    </w:p>
    <w:p w:rsidR="000E2C2B" w:rsidRPr="00A961BD" w:rsidRDefault="000E2C2B" w:rsidP="00241259">
      <w:pPr>
        <w:ind w:firstLine="720"/>
        <w:jc w:val="both"/>
        <w:rPr>
          <w:sz w:val="28"/>
          <w:szCs w:val="28"/>
        </w:rPr>
      </w:pPr>
    </w:p>
    <w:p w:rsidR="002C5E2C" w:rsidRPr="00A961BD" w:rsidRDefault="002C5E2C" w:rsidP="00241259">
      <w:pPr>
        <w:pStyle w:val="Sarakstarindkopa"/>
        <w:numPr>
          <w:ilvl w:val="0"/>
          <w:numId w:val="19"/>
        </w:numPr>
        <w:jc w:val="both"/>
        <w:rPr>
          <w:sz w:val="28"/>
          <w:szCs w:val="28"/>
        </w:rPr>
      </w:pPr>
      <w:r w:rsidRPr="00A961BD">
        <w:rPr>
          <w:sz w:val="28"/>
          <w:szCs w:val="28"/>
        </w:rPr>
        <w:lastRenderedPageBreak/>
        <w:t>Papildināt noteikumus ar 6.</w:t>
      </w:r>
      <w:r w:rsidRPr="00A961BD">
        <w:rPr>
          <w:sz w:val="28"/>
          <w:szCs w:val="28"/>
          <w:vertAlign w:val="superscript"/>
        </w:rPr>
        <w:t>1</w:t>
      </w:r>
      <w:r w:rsidR="00BB2180" w:rsidRPr="00A961BD">
        <w:rPr>
          <w:sz w:val="28"/>
          <w:szCs w:val="28"/>
          <w:vertAlign w:val="superscript"/>
        </w:rPr>
        <w:t xml:space="preserve"> </w:t>
      </w:r>
      <w:r w:rsidR="00BB2180" w:rsidRPr="00A961BD">
        <w:rPr>
          <w:sz w:val="28"/>
          <w:szCs w:val="28"/>
        </w:rPr>
        <w:t>un 6.</w:t>
      </w:r>
      <w:r w:rsidR="00BB2180" w:rsidRPr="00A961BD">
        <w:rPr>
          <w:sz w:val="28"/>
          <w:szCs w:val="28"/>
          <w:vertAlign w:val="superscript"/>
        </w:rPr>
        <w:t>2</w:t>
      </w:r>
      <w:r w:rsidR="00BB2180" w:rsidRPr="00A961BD">
        <w:rPr>
          <w:sz w:val="28"/>
          <w:szCs w:val="28"/>
        </w:rPr>
        <w:t xml:space="preserve"> </w:t>
      </w:r>
      <w:r w:rsidRPr="00A961BD">
        <w:rPr>
          <w:sz w:val="28"/>
          <w:szCs w:val="28"/>
        </w:rPr>
        <w:t>punktu šādā redakcijā:</w:t>
      </w:r>
    </w:p>
    <w:p w:rsidR="00BB2180" w:rsidRPr="00A961BD" w:rsidRDefault="002C5E2C" w:rsidP="00241259">
      <w:pPr>
        <w:ind w:firstLine="720"/>
        <w:jc w:val="both"/>
        <w:rPr>
          <w:sz w:val="28"/>
          <w:szCs w:val="28"/>
        </w:rPr>
      </w:pPr>
      <w:r w:rsidRPr="00A961BD">
        <w:rPr>
          <w:sz w:val="28"/>
          <w:szCs w:val="28"/>
        </w:rPr>
        <w:t>„</w:t>
      </w:r>
      <w:r w:rsidR="00BB2180" w:rsidRPr="00A961BD">
        <w:rPr>
          <w:sz w:val="28"/>
          <w:szCs w:val="28"/>
        </w:rPr>
        <w:t>6.</w:t>
      </w:r>
      <w:r w:rsidR="00BB2180" w:rsidRPr="00A961BD">
        <w:rPr>
          <w:sz w:val="28"/>
          <w:szCs w:val="28"/>
          <w:vertAlign w:val="superscript"/>
        </w:rPr>
        <w:t>1</w:t>
      </w:r>
      <w:r w:rsidR="00D364C0">
        <w:rPr>
          <w:sz w:val="28"/>
          <w:szCs w:val="28"/>
          <w:vertAlign w:val="superscript"/>
        </w:rPr>
        <w:t> </w:t>
      </w:r>
      <w:r w:rsidR="00BB2180" w:rsidRPr="00A961BD">
        <w:rPr>
          <w:sz w:val="28"/>
          <w:szCs w:val="28"/>
        </w:rPr>
        <w:t xml:space="preserve">Datus par pedagogiem, kuri Eiropas Sociālā fonda projekta </w:t>
      </w:r>
      <w:r w:rsidR="008C2208" w:rsidRPr="00A961BD">
        <w:rPr>
          <w:sz w:val="28"/>
          <w:szCs w:val="28"/>
        </w:rPr>
        <w:t>„</w:t>
      </w:r>
      <w:r w:rsidR="00BB2180" w:rsidRPr="00A961BD">
        <w:rPr>
          <w:sz w:val="28"/>
          <w:szCs w:val="28"/>
        </w:rPr>
        <w:t>Pedagogu konkurētspējas veicināšana izglītības s</w:t>
      </w:r>
      <w:r w:rsidR="008C2208" w:rsidRPr="00A961BD">
        <w:rPr>
          <w:sz w:val="28"/>
          <w:szCs w:val="28"/>
        </w:rPr>
        <w:t>istēmas optimizācijas apstākļos”</w:t>
      </w:r>
      <w:r w:rsidR="00BB2180" w:rsidRPr="00A961BD">
        <w:rPr>
          <w:sz w:val="28"/>
          <w:szCs w:val="28"/>
        </w:rPr>
        <w:t xml:space="preserve"> ietvaros ir ieguvuši 3., 4. un 5.kvalitātes pakāpi, tarificēto pedagoģisko likmju skaitu attiecīgajā izglītības iestādē apkopo, pamatojoties uz iestādes dibinātāja apstiprinātajām tarifikācijām par valsts budžeta finansēto daļu pēc stāvokļa uz iepriekšējā gada 1.septembri. </w:t>
      </w:r>
    </w:p>
    <w:p w:rsidR="00BB2180" w:rsidRPr="00A961BD" w:rsidRDefault="00BB2180" w:rsidP="00BB2180">
      <w:pPr>
        <w:ind w:firstLine="300"/>
        <w:jc w:val="both"/>
        <w:rPr>
          <w:sz w:val="28"/>
          <w:szCs w:val="28"/>
        </w:rPr>
      </w:pPr>
    </w:p>
    <w:p w:rsidR="002C5E2C" w:rsidRPr="00A961BD" w:rsidRDefault="00BB2180" w:rsidP="00241259">
      <w:pPr>
        <w:ind w:firstLine="720"/>
        <w:jc w:val="both"/>
        <w:rPr>
          <w:sz w:val="28"/>
          <w:szCs w:val="28"/>
        </w:rPr>
      </w:pPr>
      <w:r w:rsidRPr="00A961BD">
        <w:rPr>
          <w:sz w:val="28"/>
          <w:szCs w:val="28"/>
        </w:rPr>
        <w:t>6.</w:t>
      </w:r>
      <w:r w:rsidRPr="00A961BD">
        <w:rPr>
          <w:sz w:val="28"/>
          <w:szCs w:val="28"/>
          <w:vertAlign w:val="superscript"/>
        </w:rPr>
        <w:t>2</w:t>
      </w:r>
      <w:r w:rsidR="00D364C0">
        <w:rPr>
          <w:sz w:val="28"/>
          <w:szCs w:val="28"/>
        </w:rPr>
        <w:t> </w:t>
      </w:r>
      <w:r w:rsidRPr="00A961BD">
        <w:rPr>
          <w:sz w:val="28"/>
          <w:szCs w:val="28"/>
        </w:rPr>
        <w:t xml:space="preserve">Izglītības iestāde tās dibinātāja apstiprinātu tarifikāciju par valsts budžeta finansēto daļu pēc stāvokļa uz iepriekšējā gada 1.septembri iesniedz </w:t>
      </w:r>
      <w:r w:rsidR="00CC7B13">
        <w:rPr>
          <w:sz w:val="28"/>
          <w:szCs w:val="28"/>
        </w:rPr>
        <w:t xml:space="preserve">Latvijas Nacionālajam kultūras centram </w:t>
      </w:r>
      <w:r w:rsidRPr="00A961BD">
        <w:rPr>
          <w:sz w:val="28"/>
          <w:szCs w:val="28"/>
        </w:rPr>
        <w:t>mēneša laikā no līguma par valsts budžeta finansējuma piešķiršanu noslēgšanas vai līguma grozīšanas.</w:t>
      </w:r>
      <w:r w:rsidR="002C5E2C" w:rsidRPr="00A961BD">
        <w:rPr>
          <w:sz w:val="28"/>
          <w:szCs w:val="28"/>
        </w:rPr>
        <w:t>”</w:t>
      </w:r>
    </w:p>
    <w:p w:rsidR="00DE49FC" w:rsidRPr="00A961BD" w:rsidRDefault="00DE49FC" w:rsidP="002C5E2C">
      <w:pPr>
        <w:ind w:firstLine="300"/>
        <w:jc w:val="both"/>
        <w:rPr>
          <w:sz w:val="28"/>
          <w:szCs w:val="28"/>
        </w:rPr>
      </w:pPr>
    </w:p>
    <w:p w:rsidR="006D46C0" w:rsidRPr="00A961BD" w:rsidRDefault="006D46C0" w:rsidP="00F85102">
      <w:pPr>
        <w:pStyle w:val="Sarakstarindkopa"/>
        <w:numPr>
          <w:ilvl w:val="0"/>
          <w:numId w:val="19"/>
        </w:numPr>
        <w:jc w:val="both"/>
        <w:rPr>
          <w:sz w:val="28"/>
          <w:szCs w:val="28"/>
        </w:rPr>
      </w:pPr>
      <w:r w:rsidRPr="00A961BD">
        <w:rPr>
          <w:sz w:val="28"/>
          <w:szCs w:val="28"/>
        </w:rPr>
        <w:t>Izteikt 8.punktu šādā redakcijā:</w:t>
      </w:r>
    </w:p>
    <w:p w:rsidR="006D46C0" w:rsidRPr="00A961BD" w:rsidRDefault="006D46C0" w:rsidP="00F85102">
      <w:pPr>
        <w:ind w:firstLine="720"/>
        <w:jc w:val="both"/>
        <w:rPr>
          <w:sz w:val="28"/>
          <w:szCs w:val="28"/>
        </w:rPr>
      </w:pPr>
      <w:r w:rsidRPr="00A961BD">
        <w:rPr>
          <w:sz w:val="28"/>
          <w:szCs w:val="28"/>
        </w:rPr>
        <w:t>„8.</w:t>
      </w:r>
      <w:r w:rsidR="008416BC">
        <w:rPr>
          <w:sz w:val="28"/>
          <w:szCs w:val="28"/>
        </w:rPr>
        <w:t xml:space="preserve"> </w:t>
      </w:r>
      <w:r w:rsidR="007C4220">
        <w:rPr>
          <w:sz w:val="28"/>
          <w:szCs w:val="28"/>
        </w:rPr>
        <w:t>K</w:t>
      </w:r>
      <w:r w:rsidRPr="00A961BD">
        <w:rPr>
          <w:sz w:val="28"/>
          <w:szCs w:val="28"/>
        </w:rPr>
        <w:t>opējo attiecīgajā gadā visās izglītības programmās no valsts budžeta finansējamo pedagogu darba slodžu (kas atbilst vienai mēneša darba algas likmei (turpmāk – pedagoģiskā likme)) skaitu mēnesī</w:t>
      </w:r>
      <w:r w:rsidR="007C4220">
        <w:rPr>
          <w:sz w:val="28"/>
          <w:szCs w:val="28"/>
        </w:rPr>
        <w:t xml:space="preserve"> nosaka</w:t>
      </w:r>
      <w:r w:rsidRPr="00A961BD">
        <w:rPr>
          <w:sz w:val="28"/>
          <w:szCs w:val="28"/>
        </w:rPr>
        <w:t>, izmantojot šādu formulu:</w:t>
      </w:r>
    </w:p>
    <w:p w:rsidR="006D46C0" w:rsidRPr="00A961BD" w:rsidRDefault="006D46C0" w:rsidP="00F85102">
      <w:pPr>
        <w:jc w:val="both"/>
        <w:rPr>
          <w:vanish/>
          <w:sz w:val="28"/>
          <w:szCs w:val="28"/>
        </w:rPr>
      </w:pPr>
      <w:r w:rsidRPr="00A961BD">
        <w:rPr>
          <w:vanish/>
          <w:sz w:val="28"/>
          <w:szCs w:val="28"/>
        </w:rPr>
        <w:t>9</w:t>
      </w:r>
    </w:p>
    <w:tbl>
      <w:tblPr>
        <w:tblW w:w="0" w:type="auto"/>
        <w:jc w:val="center"/>
        <w:tblCellSpacing w:w="15" w:type="dxa"/>
        <w:tblCellMar>
          <w:top w:w="15" w:type="dxa"/>
          <w:left w:w="15" w:type="dxa"/>
          <w:bottom w:w="15" w:type="dxa"/>
          <w:right w:w="15" w:type="dxa"/>
        </w:tblCellMar>
        <w:tblLook w:val="04A0"/>
      </w:tblPr>
      <w:tblGrid>
        <w:gridCol w:w="474"/>
        <w:gridCol w:w="2746"/>
        <w:gridCol w:w="589"/>
      </w:tblGrid>
      <w:tr w:rsidR="006D46C0" w:rsidRPr="00A961BD" w:rsidTr="00CC1430">
        <w:trPr>
          <w:tblCellSpacing w:w="15" w:type="dxa"/>
          <w:jc w:val="center"/>
        </w:trPr>
        <w:tc>
          <w:tcPr>
            <w:tcW w:w="0" w:type="auto"/>
            <w:vMerge w:val="restart"/>
            <w:noWrap/>
            <w:vAlign w:val="center"/>
            <w:hideMark/>
          </w:tcPr>
          <w:p w:rsidR="006D46C0" w:rsidRPr="00A961BD" w:rsidRDefault="006D46C0" w:rsidP="00F85102">
            <w:pPr>
              <w:jc w:val="both"/>
              <w:rPr>
                <w:sz w:val="28"/>
                <w:szCs w:val="28"/>
              </w:rPr>
            </w:pPr>
            <w:r w:rsidRPr="00A961BD">
              <w:rPr>
                <w:sz w:val="28"/>
                <w:szCs w:val="28"/>
              </w:rPr>
              <w:t>L =</w:t>
            </w:r>
          </w:p>
        </w:tc>
        <w:tc>
          <w:tcPr>
            <w:tcW w:w="0" w:type="auto"/>
            <w:tcBorders>
              <w:bottom w:val="single" w:sz="6" w:space="0" w:color="000000"/>
            </w:tcBorders>
            <w:noWrap/>
            <w:vAlign w:val="center"/>
            <w:hideMark/>
          </w:tcPr>
          <w:p w:rsidR="006D46C0" w:rsidRPr="00A961BD" w:rsidRDefault="006D46C0" w:rsidP="00F85102">
            <w:pPr>
              <w:jc w:val="both"/>
              <w:rPr>
                <w:sz w:val="28"/>
                <w:szCs w:val="28"/>
              </w:rPr>
            </w:pPr>
            <w:r w:rsidRPr="00A961BD">
              <w:rPr>
                <w:sz w:val="28"/>
                <w:szCs w:val="28"/>
              </w:rPr>
              <w:t>(B – ΣK)</w:t>
            </w:r>
          </w:p>
        </w:tc>
        <w:tc>
          <w:tcPr>
            <w:tcW w:w="0" w:type="auto"/>
            <w:vMerge w:val="restart"/>
            <w:noWrap/>
            <w:vAlign w:val="center"/>
            <w:hideMark/>
          </w:tcPr>
          <w:p w:rsidR="006D46C0" w:rsidRPr="00A961BD" w:rsidRDefault="006D46C0" w:rsidP="00F85102">
            <w:pPr>
              <w:jc w:val="both"/>
              <w:rPr>
                <w:sz w:val="28"/>
                <w:szCs w:val="28"/>
              </w:rPr>
            </w:pPr>
            <w:r w:rsidRPr="00A961BD">
              <w:rPr>
                <w:sz w:val="28"/>
                <w:szCs w:val="28"/>
              </w:rPr>
              <w:t>, kur</w:t>
            </w:r>
          </w:p>
        </w:tc>
      </w:tr>
      <w:tr w:rsidR="006D46C0" w:rsidRPr="00A961BD" w:rsidTr="00CC1430">
        <w:trPr>
          <w:tblCellSpacing w:w="15" w:type="dxa"/>
          <w:jc w:val="center"/>
        </w:trPr>
        <w:tc>
          <w:tcPr>
            <w:tcW w:w="0" w:type="auto"/>
            <w:vMerge/>
            <w:vAlign w:val="center"/>
            <w:hideMark/>
          </w:tcPr>
          <w:p w:rsidR="006D46C0" w:rsidRPr="00A961BD" w:rsidRDefault="006D46C0" w:rsidP="00F85102">
            <w:pPr>
              <w:jc w:val="both"/>
              <w:rPr>
                <w:sz w:val="28"/>
                <w:szCs w:val="28"/>
              </w:rPr>
            </w:pPr>
          </w:p>
        </w:tc>
        <w:tc>
          <w:tcPr>
            <w:tcW w:w="0" w:type="auto"/>
            <w:noWrap/>
            <w:vAlign w:val="center"/>
            <w:hideMark/>
          </w:tcPr>
          <w:p w:rsidR="006D46C0" w:rsidRPr="00A961BD" w:rsidRDefault="006D46C0" w:rsidP="00F85102">
            <w:pPr>
              <w:jc w:val="both"/>
              <w:rPr>
                <w:sz w:val="28"/>
                <w:szCs w:val="28"/>
              </w:rPr>
            </w:pPr>
            <w:r w:rsidRPr="00A961BD">
              <w:rPr>
                <w:sz w:val="28"/>
                <w:szCs w:val="28"/>
              </w:rPr>
              <w:t>A x 12 mēneši x (1 + S)</w:t>
            </w:r>
          </w:p>
        </w:tc>
        <w:tc>
          <w:tcPr>
            <w:tcW w:w="0" w:type="auto"/>
            <w:vMerge/>
            <w:vAlign w:val="center"/>
            <w:hideMark/>
          </w:tcPr>
          <w:p w:rsidR="006D46C0" w:rsidRPr="00A961BD" w:rsidRDefault="006D46C0" w:rsidP="00F85102">
            <w:pPr>
              <w:jc w:val="both"/>
              <w:rPr>
                <w:sz w:val="28"/>
                <w:szCs w:val="28"/>
              </w:rPr>
            </w:pPr>
          </w:p>
        </w:tc>
      </w:tr>
    </w:tbl>
    <w:p w:rsidR="006D46C0" w:rsidRPr="00A961BD" w:rsidRDefault="006D46C0" w:rsidP="00F85102">
      <w:pPr>
        <w:ind w:firstLine="720"/>
        <w:jc w:val="both"/>
        <w:rPr>
          <w:sz w:val="28"/>
          <w:szCs w:val="28"/>
        </w:rPr>
      </w:pPr>
      <w:r w:rsidRPr="00A961BD">
        <w:rPr>
          <w:sz w:val="28"/>
          <w:szCs w:val="28"/>
        </w:rPr>
        <w:t>L – kopējais attiecīgajā gadā visās izglītības programmās no valsts budžeta finansējamo pedagoģisko likmju skaits mēnesī;</w:t>
      </w:r>
    </w:p>
    <w:p w:rsidR="006D46C0" w:rsidRPr="00A961BD" w:rsidRDefault="006D46C0" w:rsidP="00F85102">
      <w:pPr>
        <w:ind w:firstLine="720"/>
        <w:jc w:val="both"/>
        <w:rPr>
          <w:sz w:val="28"/>
          <w:szCs w:val="28"/>
        </w:rPr>
      </w:pPr>
      <w:r w:rsidRPr="00A961BD">
        <w:rPr>
          <w:sz w:val="28"/>
          <w:szCs w:val="28"/>
        </w:rPr>
        <w:t>B – kopējais dotācijas apmērs, kas attiecīgajā gadā sadalāms starp izglītības programmu īstenotājiem;</w:t>
      </w:r>
    </w:p>
    <w:p w:rsidR="006D46C0" w:rsidRPr="00A961BD" w:rsidRDefault="006D46C0" w:rsidP="00F85102">
      <w:pPr>
        <w:ind w:firstLine="720"/>
        <w:jc w:val="both"/>
        <w:rPr>
          <w:sz w:val="28"/>
          <w:szCs w:val="28"/>
        </w:rPr>
      </w:pPr>
      <w:r w:rsidRPr="00A961BD">
        <w:rPr>
          <w:sz w:val="28"/>
          <w:szCs w:val="28"/>
        </w:rPr>
        <w:t>ΣK – kopējais dotācijas apmērs, kas attiecīgajā gadā tiek piešķirts pedagogu darba samaksas noteikumos noteiktajām pedagoga profesionālās darbības kvalitātes piemaksām;</w:t>
      </w:r>
    </w:p>
    <w:p w:rsidR="006D46C0" w:rsidRPr="00A961BD" w:rsidRDefault="006D46C0" w:rsidP="00F85102">
      <w:pPr>
        <w:ind w:firstLine="720"/>
        <w:jc w:val="both"/>
        <w:rPr>
          <w:sz w:val="28"/>
          <w:szCs w:val="28"/>
        </w:rPr>
      </w:pPr>
      <w:r w:rsidRPr="00A961BD">
        <w:rPr>
          <w:sz w:val="28"/>
          <w:szCs w:val="28"/>
        </w:rPr>
        <w:t>A – vienas pedagoģiskās likmes atalgojums, ņemot vērā attiecīgajā gadā pieejamos valsts budžeta līdzekļus, bet ne mazāks kā normatīvajos aktos noteiktā minimālā darba algas likme pedagogam ar darba stāžu lielāku par 10 gadiem;</w:t>
      </w:r>
    </w:p>
    <w:p w:rsidR="006D46C0" w:rsidRPr="00A961BD" w:rsidRDefault="006D46C0" w:rsidP="00F85102">
      <w:pPr>
        <w:ind w:firstLine="720"/>
        <w:jc w:val="both"/>
        <w:rPr>
          <w:sz w:val="28"/>
          <w:szCs w:val="28"/>
        </w:rPr>
      </w:pPr>
      <w:r w:rsidRPr="00A961BD">
        <w:rPr>
          <w:sz w:val="28"/>
          <w:szCs w:val="28"/>
        </w:rPr>
        <w:t>S – normatīvajos aktos darba devējam vispārējā gadījumā noteiktā valsts sociālās apdrošināšanas obligāto iemaksu likme (procentos).”</w:t>
      </w:r>
    </w:p>
    <w:p w:rsidR="006F0CDB" w:rsidRPr="00A961BD" w:rsidRDefault="006F0CDB">
      <w:pPr>
        <w:pStyle w:val="Sarakstarindkopa"/>
        <w:ind w:left="426"/>
        <w:jc w:val="both"/>
        <w:rPr>
          <w:sz w:val="28"/>
          <w:szCs w:val="28"/>
        </w:rPr>
      </w:pPr>
    </w:p>
    <w:p w:rsidR="006F0CDB" w:rsidRPr="007B6DC1" w:rsidRDefault="007B6DC1" w:rsidP="007B6DC1">
      <w:pPr>
        <w:pStyle w:val="Sarakstarindkopa"/>
        <w:numPr>
          <w:ilvl w:val="0"/>
          <w:numId w:val="19"/>
        </w:numPr>
        <w:jc w:val="both"/>
        <w:rPr>
          <w:sz w:val="28"/>
          <w:szCs w:val="28"/>
        </w:rPr>
      </w:pPr>
      <w:r w:rsidRPr="007B6DC1">
        <w:rPr>
          <w:sz w:val="28"/>
          <w:szCs w:val="28"/>
        </w:rPr>
        <w:t>Izteikt 9.punktu šādā redakcijā:</w:t>
      </w:r>
    </w:p>
    <w:p w:rsidR="007B6DC1" w:rsidRPr="007B6DC1" w:rsidRDefault="007B6DC1" w:rsidP="007B6DC1">
      <w:pPr>
        <w:ind w:firstLine="720"/>
        <w:jc w:val="both"/>
        <w:rPr>
          <w:sz w:val="28"/>
          <w:szCs w:val="28"/>
        </w:rPr>
      </w:pPr>
      <w:r>
        <w:rPr>
          <w:sz w:val="28"/>
          <w:szCs w:val="28"/>
        </w:rPr>
        <w:t>„9.</w:t>
      </w:r>
      <w:r w:rsidR="00F43F29">
        <w:rPr>
          <w:sz w:val="28"/>
          <w:szCs w:val="28"/>
        </w:rPr>
        <w:t xml:space="preserve"> </w:t>
      </w:r>
      <w:r w:rsidR="00CD5D56">
        <w:rPr>
          <w:sz w:val="28"/>
          <w:szCs w:val="28"/>
        </w:rPr>
        <w:t>Latvijas Nacionālais kultūras centrs</w:t>
      </w:r>
      <w:r w:rsidRPr="007B6DC1">
        <w:rPr>
          <w:sz w:val="28"/>
          <w:szCs w:val="28"/>
        </w:rPr>
        <w:t xml:space="preserve"> ar rīkojumu izveido konsultatīvo komisiju (turpmāk – komisija). Komisijā ietilpst Latvijas plānošanas reģionu, Latvijas Mūzikas izglītības iestāžu asociācijas, Latvijas Mākslas</w:t>
      </w:r>
      <w:r>
        <w:rPr>
          <w:sz w:val="28"/>
          <w:szCs w:val="28"/>
        </w:rPr>
        <w:t xml:space="preserve"> skolas</w:t>
      </w:r>
      <w:r w:rsidRPr="007B6DC1">
        <w:rPr>
          <w:sz w:val="28"/>
          <w:szCs w:val="28"/>
        </w:rPr>
        <w:t xml:space="preserve"> skolotāju asociācijas, Kultūrizglītības profesionālās ievirzes izglītības iestāžu direktoru padomes</w:t>
      </w:r>
      <w:r w:rsidR="00CD5D56">
        <w:rPr>
          <w:sz w:val="28"/>
          <w:szCs w:val="28"/>
        </w:rPr>
        <w:t>, Latvijas Nacionālā kultūras centra</w:t>
      </w:r>
      <w:r w:rsidRPr="007B6DC1">
        <w:rPr>
          <w:sz w:val="28"/>
          <w:szCs w:val="28"/>
        </w:rPr>
        <w:t xml:space="preserve"> un </w:t>
      </w:r>
      <w:r>
        <w:rPr>
          <w:sz w:val="28"/>
          <w:szCs w:val="28"/>
        </w:rPr>
        <w:t xml:space="preserve">Kultūras </w:t>
      </w:r>
      <w:r w:rsidRPr="007B6DC1">
        <w:rPr>
          <w:sz w:val="28"/>
          <w:szCs w:val="28"/>
        </w:rPr>
        <w:t>ministrijas deleģēti pārstāvji. Komisijas darbs netiek atalgots.</w:t>
      </w:r>
      <w:r>
        <w:rPr>
          <w:sz w:val="28"/>
          <w:szCs w:val="28"/>
        </w:rPr>
        <w:t>”</w:t>
      </w:r>
    </w:p>
    <w:p w:rsidR="00F85102" w:rsidRPr="00A961BD" w:rsidRDefault="00F85102" w:rsidP="00241259">
      <w:pPr>
        <w:ind w:firstLine="720"/>
        <w:jc w:val="both"/>
        <w:rPr>
          <w:sz w:val="28"/>
          <w:szCs w:val="28"/>
        </w:rPr>
      </w:pPr>
    </w:p>
    <w:p w:rsidR="00F85102" w:rsidRDefault="00F85102" w:rsidP="00F85102">
      <w:pPr>
        <w:ind w:firstLine="720"/>
        <w:jc w:val="both"/>
        <w:rPr>
          <w:sz w:val="28"/>
          <w:szCs w:val="28"/>
        </w:rPr>
      </w:pPr>
      <w:r w:rsidRPr="00A961BD">
        <w:rPr>
          <w:sz w:val="28"/>
          <w:szCs w:val="28"/>
        </w:rPr>
        <w:lastRenderedPageBreak/>
        <w:t xml:space="preserve">6. </w:t>
      </w:r>
      <w:r w:rsidR="008C2208" w:rsidRPr="00A961BD">
        <w:rPr>
          <w:sz w:val="28"/>
          <w:szCs w:val="28"/>
        </w:rPr>
        <w:t>Aizstāt 10.</w:t>
      </w:r>
      <w:r w:rsidR="006A0845">
        <w:rPr>
          <w:sz w:val="28"/>
          <w:szCs w:val="28"/>
        </w:rPr>
        <w:t>,</w:t>
      </w:r>
      <w:r w:rsidR="00F43F29">
        <w:rPr>
          <w:sz w:val="28"/>
          <w:szCs w:val="28"/>
        </w:rPr>
        <w:t xml:space="preserve"> </w:t>
      </w:r>
      <w:r w:rsidR="00A61DE9">
        <w:rPr>
          <w:sz w:val="28"/>
          <w:szCs w:val="28"/>
        </w:rPr>
        <w:t>11.</w:t>
      </w:r>
      <w:r w:rsidR="006A0845">
        <w:rPr>
          <w:sz w:val="28"/>
          <w:szCs w:val="28"/>
        </w:rPr>
        <w:t xml:space="preserve">, </w:t>
      </w:r>
      <w:r w:rsidR="006A0845" w:rsidRPr="00A961BD">
        <w:rPr>
          <w:sz w:val="28"/>
          <w:szCs w:val="28"/>
        </w:rPr>
        <w:t>16., 17., 18., 19. un 20.</w:t>
      </w:r>
      <w:r w:rsidR="00A61DE9">
        <w:rPr>
          <w:sz w:val="28"/>
          <w:szCs w:val="28"/>
        </w:rPr>
        <w:t>punktā vārdu</w:t>
      </w:r>
      <w:r w:rsidRPr="00A961BD">
        <w:rPr>
          <w:sz w:val="28"/>
          <w:szCs w:val="28"/>
        </w:rPr>
        <w:t xml:space="preserve"> „ministrija” </w:t>
      </w:r>
      <w:r w:rsidR="007C4220">
        <w:rPr>
          <w:sz w:val="28"/>
          <w:szCs w:val="28"/>
        </w:rPr>
        <w:t xml:space="preserve">(attiecīgā locījumā) </w:t>
      </w:r>
      <w:r w:rsidRPr="00A961BD">
        <w:rPr>
          <w:sz w:val="28"/>
          <w:szCs w:val="28"/>
        </w:rPr>
        <w:t>ar vārdu „</w:t>
      </w:r>
      <w:r w:rsidR="00CD5D56">
        <w:rPr>
          <w:sz w:val="28"/>
          <w:szCs w:val="28"/>
        </w:rPr>
        <w:t>Latvijas Nacionālais kultūras centrs</w:t>
      </w:r>
      <w:r w:rsidRPr="00A961BD">
        <w:rPr>
          <w:sz w:val="28"/>
          <w:szCs w:val="28"/>
        </w:rPr>
        <w:t>”</w:t>
      </w:r>
      <w:r w:rsidR="007C4220">
        <w:rPr>
          <w:sz w:val="28"/>
          <w:szCs w:val="28"/>
        </w:rPr>
        <w:t xml:space="preserve"> (attiecīgā locījumā)</w:t>
      </w:r>
      <w:r w:rsidRPr="00A961BD">
        <w:rPr>
          <w:sz w:val="28"/>
          <w:szCs w:val="28"/>
        </w:rPr>
        <w:t xml:space="preserve">. </w:t>
      </w:r>
    </w:p>
    <w:p w:rsidR="00CD5D56" w:rsidRPr="00A961BD" w:rsidRDefault="00CD5D56" w:rsidP="00F85102">
      <w:pPr>
        <w:ind w:firstLine="720"/>
        <w:jc w:val="both"/>
        <w:rPr>
          <w:sz w:val="28"/>
          <w:szCs w:val="28"/>
        </w:rPr>
      </w:pPr>
    </w:p>
    <w:p w:rsidR="00CC1430" w:rsidRPr="00A961BD" w:rsidRDefault="00CC1430" w:rsidP="00F85102">
      <w:pPr>
        <w:pStyle w:val="Sarakstarindkopa"/>
        <w:numPr>
          <w:ilvl w:val="0"/>
          <w:numId w:val="21"/>
        </w:numPr>
        <w:jc w:val="both"/>
        <w:rPr>
          <w:sz w:val="28"/>
          <w:szCs w:val="28"/>
        </w:rPr>
      </w:pPr>
      <w:r w:rsidRPr="00A961BD">
        <w:rPr>
          <w:sz w:val="28"/>
          <w:szCs w:val="28"/>
        </w:rPr>
        <w:t>Izteikt 12.punktu šādā redakcijā:</w:t>
      </w:r>
    </w:p>
    <w:p w:rsidR="00CC1430" w:rsidRPr="00A961BD" w:rsidRDefault="008C2208" w:rsidP="00F85102">
      <w:pPr>
        <w:ind w:firstLine="720"/>
        <w:jc w:val="both"/>
        <w:rPr>
          <w:sz w:val="28"/>
          <w:szCs w:val="28"/>
        </w:rPr>
      </w:pPr>
      <w:r w:rsidRPr="00A961BD">
        <w:rPr>
          <w:sz w:val="28"/>
          <w:szCs w:val="28"/>
        </w:rPr>
        <w:t xml:space="preserve">„12. </w:t>
      </w:r>
      <w:r w:rsidR="007C4220">
        <w:rPr>
          <w:sz w:val="28"/>
          <w:szCs w:val="28"/>
        </w:rPr>
        <w:t>D</w:t>
      </w:r>
      <w:r w:rsidR="00CC1430" w:rsidRPr="00A961BD">
        <w:rPr>
          <w:sz w:val="28"/>
          <w:szCs w:val="28"/>
        </w:rPr>
        <w:t>otācijas apmēru gadā vienai izglītības programmai attiecīgajā izglītības iestādē nosaka, izmantojot šādu formulu:</w:t>
      </w:r>
    </w:p>
    <w:p w:rsidR="00CC1430" w:rsidRPr="00A961BD" w:rsidRDefault="00CC1430" w:rsidP="00F85102">
      <w:pPr>
        <w:jc w:val="center"/>
        <w:rPr>
          <w:sz w:val="28"/>
          <w:szCs w:val="28"/>
        </w:rPr>
      </w:pPr>
      <w:r w:rsidRPr="00A961BD">
        <w:rPr>
          <w:sz w:val="28"/>
          <w:szCs w:val="28"/>
        </w:rPr>
        <w:t>F = I x P x A x N x (1 + S) + K, kur</w:t>
      </w:r>
    </w:p>
    <w:p w:rsidR="00CC1430" w:rsidRPr="00A961BD" w:rsidRDefault="00CC1430" w:rsidP="00F85102">
      <w:pPr>
        <w:ind w:firstLine="720"/>
        <w:jc w:val="both"/>
        <w:rPr>
          <w:sz w:val="28"/>
          <w:szCs w:val="28"/>
        </w:rPr>
      </w:pPr>
      <w:r w:rsidRPr="00A961BD">
        <w:rPr>
          <w:sz w:val="28"/>
          <w:szCs w:val="28"/>
        </w:rPr>
        <w:t>F – dotācijas apmērs gadā vienai izglītības programmai attiecīgajā izglītības iestādē;</w:t>
      </w:r>
    </w:p>
    <w:p w:rsidR="00CC1430" w:rsidRPr="00A961BD" w:rsidRDefault="00CC1430" w:rsidP="00F85102">
      <w:pPr>
        <w:ind w:firstLine="720"/>
        <w:jc w:val="both"/>
        <w:rPr>
          <w:sz w:val="28"/>
          <w:szCs w:val="28"/>
        </w:rPr>
      </w:pPr>
      <w:r w:rsidRPr="00A961BD">
        <w:rPr>
          <w:sz w:val="28"/>
          <w:szCs w:val="28"/>
        </w:rPr>
        <w:t xml:space="preserve">I – </w:t>
      </w:r>
      <w:r w:rsidR="00D364C0" w:rsidRPr="00D364C0">
        <w:rPr>
          <w:sz w:val="28"/>
          <w:szCs w:val="28"/>
        </w:rPr>
        <w:t xml:space="preserve">atbilstoši šo noteikumu </w:t>
      </w:r>
      <w:r w:rsidR="00D364C0">
        <w:rPr>
          <w:sz w:val="28"/>
          <w:szCs w:val="28"/>
        </w:rPr>
        <w:t xml:space="preserve">11.punktam </w:t>
      </w:r>
      <w:r w:rsidRPr="00A961BD">
        <w:rPr>
          <w:sz w:val="28"/>
          <w:szCs w:val="28"/>
        </w:rPr>
        <w:t>noteiktais no valsts budžeta finansēto izglītojamo skaits izglītības programmā attiecīgajā izglītības iestādē;</w:t>
      </w:r>
    </w:p>
    <w:p w:rsidR="00CC1430" w:rsidRPr="00A961BD" w:rsidRDefault="00CC1430" w:rsidP="00F85102">
      <w:pPr>
        <w:ind w:firstLine="720"/>
        <w:jc w:val="both"/>
        <w:rPr>
          <w:sz w:val="28"/>
          <w:szCs w:val="28"/>
        </w:rPr>
      </w:pPr>
      <w:r w:rsidRPr="00A961BD">
        <w:rPr>
          <w:sz w:val="28"/>
          <w:szCs w:val="28"/>
        </w:rPr>
        <w:t>P – izglītības programmā vidējais apmaksājamo pedagoģisko likmju skaits mēnesī uz vienu izglītojamo;</w:t>
      </w:r>
    </w:p>
    <w:p w:rsidR="00CC1430" w:rsidRPr="00A961BD" w:rsidRDefault="00CC1430" w:rsidP="00F85102">
      <w:pPr>
        <w:ind w:firstLine="720"/>
        <w:jc w:val="both"/>
        <w:rPr>
          <w:sz w:val="28"/>
          <w:szCs w:val="28"/>
        </w:rPr>
      </w:pPr>
      <w:r w:rsidRPr="00A961BD">
        <w:rPr>
          <w:sz w:val="28"/>
          <w:szCs w:val="28"/>
        </w:rPr>
        <w:t>A – vienas pedagoģiskās likmes atalgojums, ņemot vērā attiecīgajā gadā pieejamos valsts budžeta līdzekļus, bet ne mazāks kā normatīvajos aktos noteiktā minimālā darba algas likme pedagogam ar darba stāžu lielāku par 10 gadiem;</w:t>
      </w:r>
    </w:p>
    <w:p w:rsidR="00CC1430" w:rsidRPr="00A961BD" w:rsidRDefault="00CC1430" w:rsidP="00F85102">
      <w:pPr>
        <w:ind w:firstLine="720"/>
        <w:jc w:val="both"/>
        <w:rPr>
          <w:sz w:val="28"/>
          <w:szCs w:val="28"/>
        </w:rPr>
      </w:pPr>
      <w:r w:rsidRPr="00A961BD">
        <w:rPr>
          <w:sz w:val="28"/>
          <w:szCs w:val="28"/>
        </w:rPr>
        <w:t>N – mēnešu skaits, kādam tiek aprēķināta dotācija;</w:t>
      </w:r>
    </w:p>
    <w:p w:rsidR="00CC1430" w:rsidRPr="00A961BD" w:rsidRDefault="00CC1430" w:rsidP="00F85102">
      <w:pPr>
        <w:ind w:firstLine="720"/>
        <w:jc w:val="both"/>
        <w:rPr>
          <w:sz w:val="28"/>
          <w:szCs w:val="28"/>
        </w:rPr>
      </w:pPr>
      <w:r w:rsidRPr="00A961BD">
        <w:rPr>
          <w:sz w:val="28"/>
          <w:szCs w:val="28"/>
        </w:rPr>
        <w:t>S – normatīvajos aktos darba devējam vispārējā gadījumā noteiktā valsts sociālās apdrošināšanas obligāto iemaksu likme (procentos);</w:t>
      </w:r>
    </w:p>
    <w:p w:rsidR="00CC1430" w:rsidRPr="00A961BD" w:rsidRDefault="00CC1430" w:rsidP="00F85102">
      <w:pPr>
        <w:ind w:firstLine="720"/>
        <w:jc w:val="both"/>
        <w:rPr>
          <w:sz w:val="28"/>
          <w:szCs w:val="28"/>
        </w:rPr>
      </w:pPr>
      <w:r w:rsidRPr="00A961BD">
        <w:rPr>
          <w:sz w:val="28"/>
          <w:szCs w:val="28"/>
        </w:rPr>
        <w:t>K – dotācijas apmērs pedagogu darba samaksas noteikumos noteiktajām pedagoga profesionālās darbības kvalitātes piemaksām.”</w:t>
      </w:r>
    </w:p>
    <w:p w:rsidR="00B2291B" w:rsidRPr="00A961BD" w:rsidRDefault="00B2291B" w:rsidP="00CC1430">
      <w:pPr>
        <w:ind w:firstLine="300"/>
        <w:rPr>
          <w:sz w:val="28"/>
          <w:szCs w:val="28"/>
        </w:rPr>
      </w:pPr>
    </w:p>
    <w:p w:rsidR="00CC1430" w:rsidRPr="00A961BD" w:rsidRDefault="00CC1430" w:rsidP="00F85102">
      <w:pPr>
        <w:pStyle w:val="Sarakstarindkopa"/>
        <w:numPr>
          <w:ilvl w:val="0"/>
          <w:numId w:val="21"/>
        </w:numPr>
        <w:jc w:val="both"/>
        <w:rPr>
          <w:sz w:val="28"/>
          <w:szCs w:val="28"/>
        </w:rPr>
      </w:pPr>
      <w:r w:rsidRPr="00A961BD">
        <w:rPr>
          <w:sz w:val="28"/>
          <w:szCs w:val="28"/>
        </w:rPr>
        <w:t>Papildināt noteikumus ar 12.</w:t>
      </w:r>
      <w:r w:rsidRPr="00A961BD">
        <w:rPr>
          <w:sz w:val="28"/>
          <w:szCs w:val="28"/>
          <w:vertAlign w:val="superscript"/>
        </w:rPr>
        <w:t>1</w:t>
      </w:r>
      <w:r w:rsidR="00D364C0">
        <w:rPr>
          <w:sz w:val="28"/>
          <w:szCs w:val="28"/>
          <w:vertAlign w:val="superscript"/>
        </w:rPr>
        <w:t> </w:t>
      </w:r>
      <w:r w:rsidRPr="00A961BD">
        <w:rPr>
          <w:sz w:val="28"/>
          <w:szCs w:val="28"/>
        </w:rPr>
        <w:t>punktu šādā redakcijā:</w:t>
      </w:r>
    </w:p>
    <w:p w:rsidR="00CC1430" w:rsidRPr="00A961BD" w:rsidRDefault="00CC1430" w:rsidP="00F85102">
      <w:pPr>
        <w:ind w:firstLine="720"/>
        <w:jc w:val="both"/>
        <w:rPr>
          <w:sz w:val="28"/>
          <w:szCs w:val="28"/>
        </w:rPr>
      </w:pPr>
      <w:r w:rsidRPr="00A961BD">
        <w:rPr>
          <w:sz w:val="28"/>
          <w:szCs w:val="28"/>
        </w:rPr>
        <w:t>„12.</w:t>
      </w:r>
      <w:r w:rsidRPr="00A961BD">
        <w:rPr>
          <w:sz w:val="28"/>
          <w:szCs w:val="28"/>
          <w:vertAlign w:val="superscript"/>
        </w:rPr>
        <w:t>1</w:t>
      </w:r>
      <w:r w:rsidR="00D364C0">
        <w:rPr>
          <w:sz w:val="28"/>
          <w:szCs w:val="28"/>
          <w:vertAlign w:val="superscript"/>
        </w:rPr>
        <w:t> </w:t>
      </w:r>
      <w:r w:rsidR="00D364C0">
        <w:rPr>
          <w:sz w:val="28"/>
          <w:szCs w:val="28"/>
        </w:rPr>
        <w:t>D</w:t>
      </w:r>
      <w:r w:rsidRPr="00A961BD">
        <w:rPr>
          <w:sz w:val="28"/>
          <w:szCs w:val="28"/>
        </w:rPr>
        <w:t>otācijas apmēru pedagogu darba samaksas noteikumos noteiktajām pedagoga profesionālās darbības kvalitātes piemaksām attiecīgajā izglītības iestādē nosaka, izmantojot šādu formulu:</w:t>
      </w:r>
    </w:p>
    <w:p w:rsidR="00CC1430" w:rsidRPr="00A961BD" w:rsidRDefault="00CC1430" w:rsidP="00F85102">
      <w:pPr>
        <w:spacing w:line="312" w:lineRule="auto"/>
        <w:ind w:firstLine="300"/>
        <w:jc w:val="center"/>
        <w:rPr>
          <w:sz w:val="28"/>
          <w:szCs w:val="28"/>
        </w:rPr>
      </w:pPr>
      <w:r w:rsidRPr="00A961BD">
        <w:rPr>
          <w:sz w:val="28"/>
          <w:szCs w:val="28"/>
        </w:rPr>
        <w:t>K=Pk x M x N x (1+S), kur</w:t>
      </w:r>
    </w:p>
    <w:p w:rsidR="00CC1430" w:rsidRPr="00A961BD" w:rsidRDefault="00CC1430" w:rsidP="00F85102">
      <w:pPr>
        <w:ind w:firstLine="720"/>
        <w:jc w:val="both"/>
        <w:rPr>
          <w:sz w:val="28"/>
          <w:szCs w:val="28"/>
        </w:rPr>
      </w:pPr>
      <w:r w:rsidRPr="00A961BD">
        <w:rPr>
          <w:sz w:val="28"/>
          <w:szCs w:val="28"/>
        </w:rPr>
        <w:t>K – dotācijas apmērs pedagogu darba samaksas noteikumos noteiktajām pedagoga profesionālās darbības kvalitātes piemaksām;</w:t>
      </w:r>
    </w:p>
    <w:p w:rsidR="00CC1430" w:rsidRPr="00A961BD" w:rsidRDefault="00CC1430" w:rsidP="00F85102">
      <w:pPr>
        <w:ind w:firstLine="720"/>
        <w:jc w:val="both"/>
        <w:rPr>
          <w:sz w:val="28"/>
          <w:szCs w:val="28"/>
        </w:rPr>
      </w:pPr>
      <w:r w:rsidRPr="00A961BD">
        <w:rPr>
          <w:sz w:val="28"/>
          <w:szCs w:val="28"/>
        </w:rPr>
        <w:t xml:space="preserve">Pk </w:t>
      </w:r>
      <w:r w:rsidR="002832F5" w:rsidRPr="00A961BD">
        <w:rPr>
          <w:sz w:val="28"/>
          <w:szCs w:val="28"/>
        </w:rPr>
        <w:t>–</w:t>
      </w:r>
      <w:r w:rsidRPr="00A961BD">
        <w:rPr>
          <w:sz w:val="28"/>
          <w:szCs w:val="28"/>
        </w:rPr>
        <w:t xml:space="preserve"> pedagogiem, kuri Eiropas Sociālā fonda projekta </w:t>
      </w:r>
      <w:r w:rsidR="006F519D" w:rsidRPr="00A961BD">
        <w:rPr>
          <w:sz w:val="28"/>
          <w:szCs w:val="28"/>
        </w:rPr>
        <w:t>„</w:t>
      </w:r>
      <w:r w:rsidRPr="00A961BD">
        <w:rPr>
          <w:sz w:val="28"/>
          <w:szCs w:val="28"/>
        </w:rPr>
        <w:t>Pedagogu konkurētspējas veicināšana izglītības s</w:t>
      </w:r>
      <w:r w:rsidR="006F519D" w:rsidRPr="00A961BD">
        <w:rPr>
          <w:sz w:val="28"/>
          <w:szCs w:val="28"/>
        </w:rPr>
        <w:t>istēmas optimizācijas apstākļos”</w:t>
      </w:r>
      <w:r w:rsidRPr="00A961BD">
        <w:rPr>
          <w:sz w:val="28"/>
          <w:szCs w:val="28"/>
        </w:rPr>
        <w:t xml:space="preserve"> ietvaros ir ieguvuši 3., 4. un 5</w:t>
      </w:r>
      <w:r w:rsidR="00D364C0">
        <w:rPr>
          <w:sz w:val="28"/>
          <w:szCs w:val="28"/>
        </w:rPr>
        <w:t xml:space="preserve">.kvalitātes pakāpi, tarificēto </w:t>
      </w:r>
      <w:r w:rsidR="00BB2180" w:rsidRPr="00A961BD">
        <w:rPr>
          <w:sz w:val="28"/>
          <w:szCs w:val="28"/>
        </w:rPr>
        <w:t>pedagoģisko</w:t>
      </w:r>
      <w:r w:rsidRPr="00A961BD">
        <w:rPr>
          <w:sz w:val="28"/>
          <w:szCs w:val="28"/>
        </w:rPr>
        <w:t xml:space="preserve"> likmju skaitu attiecīgajā izglītības iestādē;</w:t>
      </w:r>
    </w:p>
    <w:p w:rsidR="00CC1430" w:rsidRPr="00A961BD" w:rsidRDefault="00CC1430" w:rsidP="00F85102">
      <w:pPr>
        <w:ind w:firstLine="720"/>
        <w:jc w:val="both"/>
        <w:rPr>
          <w:sz w:val="28"/>
          <w:szCs w:val="28"/>
        </w:rPr>
      </w:pPr>
      <w:r w:rsidRPr="00A961BD">
        <w:rPr>
          <w:sz w:val="28"/>
          <w:szCs w:val="28"/>
        </w:rPr>
        <w:t xml:space="preserve">M – </w:t>
      </w:r>
      <w:r w:rsidR="00D364C0" w:rsidRPr="00A961BD">
        <w:rPr>
          <w:sz w:val="28"/>
          <w:szCs w:val="28"/>
        </w:rPr>
        <w:t xml:space="preserve">pedagogu darba samaksas noteikumos </w:t>
      </w:r>
      <w:r w:rsidRPr="00A961BD">
        <w:rPr>
          <w:sz w:val="28"/>
          <w:szCs w:val="28"/>
        </w:rPr>
        <w:t>noteiktā zemākā mēneša darba algas likme pedagogam ar darba stāžu, lielāku par 10 gadiem;</w:t>
      </w:r>
    </w:p>
    <w:p w:rsidR="00CC1430" w:rsidRPr="00A961BD" w:rsidRDefault="00CC1430" w:rsidP="00F85102">
      <w:pPr>
        <w:ind w:firstLine="720"/>
        <w:jc w:val="both"/>
        <w:rPr>
          <w:sz w:val="28"/>
          <w:szCs w:val="28"/>
        </w:rPr>
      </w:pPr>
      <w:r w:rsidRPr="00A961BD">
        <w:rPr>
          <w:sz w:val="28"/>
          <w:szCs w:val="28"/>
        </w:rPr>
        <w:t>N – mēnešu skaits, kādam tiek aprēķināta dotācija;</w:t>
      </w:r>
    </w:p>
    <w:p w:rsidR="00CC1430" w:rsidRPr="00A961BD" w:rsidRDefault="00CC1430" w:rsidP="00F85102">
      <w:pPr>
        <w:ind w:firstLine="720"/>
        <w:jc w:val="both"/>
        <w:rPr>
          <w:sz w:val="28"/>
          <w:szCs w:val="28"/>
        </w:rPr>
      </w:pPr>
      <w:r w:rsidRPr="00A961BD">
        <w:rPr>
          <w:sz w:val="28"/>
          <w:szCs w:val="28"/>
        </w:rPr>
        <w:t xml:space="preserve">S </w:t>
      </w:r>
      <w:r w:rsidR="002832F5" w:rsidRPr="00A961BD">
        <w:rPr>
          <w:sz w:val="28"/>
          <w:szCs w:val="28"/>
        </w:rPr>
        <w:t>–</w:t>
      </w:r>
      <w:r w:rsidRPr="00A961BD">
        <w:rPr>
          <w:sz w:val="28"/>
          <w:szCs w:val="28"/>
        </w:rPr>
        <w:t xml:space="preserve"> normatīvajos aktos darba devējam vispārējā gadījumā noteiktā valsts sociālās apdrošināšanas obligāto iemaksu likme (procentos).”</w:t>
      </w:r>
    </w:p>
    <w:p w:rsidR="00A670DF" w:rsidRDefault="00A670DF" w:rsidP="00CC1430">
      <w:pPr>
        <w:ind w:firstLine="300"/>
        <w:rPr>
          <w:sz w:val="28"/>
          <w:szCs w:val="28"/>
        </w:rPr>
      </w:pPr>
    </w:p>
    <w:p w:rsidR="00F43F29" w:rsidRDefault="00F43F29" w:rsidP="00CC1430">
      <w:pPr>
        <w:ind w:firstLine="300"/>
        <w:rPr>
          <w:sz w:val="28"/>
          <w:szCs w:val="28"/>
        </w:rPr>
      </w:pPr>
    </w:p>
    <w:p w:rsidR="00F43F29" w:rsidRPr="00A961BD" w:rsidRDefault="00F43F29" w:rsidP="00CC1430">
      <w:pPr>
        <w:ind w:firstLine="300"/>
        <w:rPr>
          <w:sz w:val="28"/>
          <w:szCs w:val="28"/>
        </w:rPr>
      </w:pPr>
    </w:p>
    <w:p w:rsidR="00A961BD" w:rsidRPr="00A961BD" w:rsidRDefault="00A961BD" w:rsidP="00A961BD">
      <w:pPr>
        <w:pStyle w:val="Sarakstarindkopa"/>
        <w:numPr>
          <w:ilvl w:val="0"/>
          <w:numId w:val="20"/>
        </w:numPr>
        <w:jc w:val="both"/>
        <w:rPr>
          <w:sz w:val="28"/>
          <w:szCs w:val="28"/>
        </w:rPr>
      </w:pPr>
      <w:r w:rsidRPr="00A961BD">
        <w:rPr>
          <w:sz w:val="28"/>
          <w:szCs w:val="28"/>
        </w:rPr>
        <w:lastRenderedPageBreak/>
        <w:t>Izteikt 15.punktu šādā redakcijā:</w:t>
      </w:r>
    </w:p>
    <w:p w:rsidR="00F85102" w:rsidRDefault="00A961BD" w:rsidP="00A961BD">
      <w:pPr>
        <w:ind w:firstLine="720"/>
        <w:jc w:val="both"/>
        <w:rPr>
          <w:sz w:val="28"/>
          <w:szCs w:val="28"/>
        </w:rPr>
      </w:pPr>
      <w:r w:rsidRPr="00A961BD">
        <w:rPr>
          <w:sz w:val="28"/>
          <w:szCs w:val="28"/>
        </w:rPr>
        <w:t xml:space="preserve">„15. Dotācijas apmēru katrai izglītības iestādei </w:t>
      </w:r>
      <w:r w:rsidR="00CD5D56">
        <w:rPr>
          <w:sz w:val="28"/>
          <w:szCs w:val="28"/>
        </w:rPr>
        <w:t xml:space="preserve">Latvijas Nacionālais kultūras centrs </w:t>
      </w:r>
      <w:r w:rsidRPr="00A961BD">
        <w:rPr>
          <w:sz w:val="28"/>
          <w:szCs w:val="28"/>
        </w:rPr>
        <w:t>aprēķina mēneša laikā no likuma par valsts budžetu kārtējam gadam vai budžeta grozījumu pieņemšanas. Dotācijas apmēru katrai izglītības iestādei</w:t>
      </w:r>
      <w:r w:rsidR="006A0845">
        <w:rPr>
          <w:sz w:val="28"/>
          <w:szCs w:val="28"/>
        </w:rPr>
        <w:t xml:space="preserve">, pamatojoties uz </w:t>
      </w:r>
      <w:r w:rsidR="00CD5D56">
        <w:rPr>
          <w:sz w:val="28"/>
          <w:szCs w:val="28"/>
        </w:rPr>
        <w:t xml:space="preserve">Latvijas Nacionālā kultūras centra </w:t>
      </w:r>
      <w:r w:rsidR="006A0845">
        <w:rPr>
          <w:sz w:val="28"/>
          <w:szCs w:val="28"/>
        </w:rPr>
        <w:t>veikto aprēķinu,</w:t>
      </w:r>
      <w:r w:rsidRPr="00A961BD">
        <w:rPr>
          <w:sz w:val="28"/>
          <w:szCs w:val="28"/>
        </w:rPr>
        <w:t xml:space="preserve"> apstiprina kultūras ministrs.”</w:t>
      </w:r>
    </w:p>
    <w:p w:rsidR="00F43F29" w:rsidRPr="00A961BD" w:rsidRDefault="00F43F29" w:rsidP="00A961BD">
      <w:pPr>
        <w:ind w:firstLine="720"/>
        <w:jc w:val="both"/>
        <w:rPr>
          <w:sz w:val="28"/>
          <w:szCs w:val="28"/>
        </w:rPr>
      </w:pPr>
    </w:p>
    <w:p w:rsidR="00D93DE5" w:rsidRPr="006A0845" w:rsidRDefault="006A0845" w:rsidP="006A0845">
      <w:pPr>
        <w:ind w:left="720"/>
        <w:jc w:val="both"/>
        <w:rPr>
          <w:sz w:val="28"/>
          <w:szCs w:val="28"/>
        </w:rPr>
      </w:pPr>
      <w:r>
        <w:rPr>
          <w:sz w:val="28"/>
          <w:szCs w:val="28"/>
        </w:rPr>
        <w:t>10.</w:t>
      </w:r>
      <w:r w:rsidR="00A961BD" w:rsidRPr="006A0845">
        <w:rPr>
          <w:sz w:val="28"/>
          <w:szCs w:val="28"/>
        </w:rPr>
        <w:t xml:space="preserve"> </w:t>
      </w:r>
      <w:r w:rsidR="00D93DE5" w:rsidRPr="006A0845">
        <w:rPr>
          <w:sz w:val="28"/>
          <w:szCs w:val="28"/>
        </w:rPr>
        <w:t>Papildināt noteikumus ar 27.</w:t>
      </w:r>
      <w:r w:rsidR="00D93DE5" w:rsidRPr="006A0845">
        <w:rPr>
          <w:sz w:val="28"/>
          <w:szCs w:val="28"/>
          <w:vertAlign w:val="superscript"/>
        </w:rPr>
        <w:t>1</w:t>
      </w:r>
      <w:r w:rsidR="00E83271">
        <w:rPr>
          <w:sz w:val="28"/>
          <w:szCs w:val="28"/>
        </w:rPr>
        <w:t xml:space="preserve">, </w:t>
      </w:r>
      <w:r w:rsidR="00E83271" w:rsidRPr="00A961BD">
        <w:rPr>
          <w:sz w:val="28"/>
          <w:szCs w:val="28"/>
        </w:rPr>
        <w:t>27.</w:t>
      </w:r>
      <w:r w:rsidR="00E83271" w:rsidRPr="00A961BD">
        <w:rPr>
          <w:sz w:val="28"/>
          <w:szCs w:val="28"/>
          <w:vertAlign w:val="superscript"/>
        </w:rPr>
        <w:t xml:space="preserve">2 </w:t>
      </w:r>
      <w:r w:rsidR="00E83271">
        <w:rPr>
          <w:sz w:val="28"/>
          <w:szCs w:val="28"/>
        </w:rPr>
        <w:t xml:space="preserve">un </w:t>
      </w:r>
      <w:r w:rsidR="00E83271" w:rsidRPr="00A961BD">
        <w:rPr>
          <w:sz w:val="28"/>
          <w:szCs w:val="28"/>
        </w:rPr>
        <w:t>27.</w:t>
      </w:r>
      <w:r w:rsidR="00E83271" w:rsidRPr="00A961BD">
        <w:rPr>
          <w:sz w:val="28"/>
          <w:szCs w:val="28"/>
          <w:vertAlign w:val="superscript"/>
        </w:rPr>
        <w:t>3</w:t>
      </w:r>
      <w:r w:rsidR="009D75FF">
        <w:rPr>
          <w:sz w:val="28"/>
          <w:szCs w:val="28"/>
          <w:vertAlign w:val="superscript"/>
        </w:rPr>
        <w:t> </w:t>
      </w:r>
      <w:r w:rsidR="00D93DE5" w:rsidRPr="006A0845">
        <w:rPr>
          <w:sz w:val="28"/>
          <w:szCs w:val="28"/>
        </w:rPr>
        <w:t>punktu šādā redakcijā:</w:t>
      </w:r>
    </w:p>
    <w:p w:rsidR="00431507" w:rsidRPr="00A961BD" w:rsidRDefault="00D93DE5" w:rsidP="00F85102">
      <w:pPr>
        <w:ind w:firstLine="720"/>
        <w:jc w:val="both"/>
        <w:rPr>
          <w:sz w:val="28"/>
          <w:szCs w:val="28"/>
        </w:rPr>
      </w:pPr>
      <w:r w:rsidRPr="00A961BD">
        <w:rPr>
          <w:sz w:val="28"/>
          <w:szCs w:val="28"/>
        </w:rPr>
        <w:t>„</w:t>
      </w:r>
      <w:r w:rsidR="00431507" w:rsidRPr="00A961BD">
        <w:rPr>
          <w:sz w:val="28"/>
          <w:szCs w:val="28"/>
        </w:rPr>
        <w:t>27.</w:t>
      </w:r>
      <w:r w:rsidR="00431507" w:rsidRPr="00A961BD">
        <w:rPr>
          <w:sz w:val="28"/>
          <w:szCs w:val="28"/>
          <w:vertAlign w:val="superscript"/>
        </w:rPr>
        <w:t>1</w:t>
      </w:r>
      <w:r w:rsidR="00A961BD" w:rsidRPr="00A961BD">
        <w:rPr>
          <w:sz w:val="28"/>
          <w:szCs w:val="28"/>
        </w:rPr>
        <w:t xml:space="preserve"> </w:t>
      </w:r>
      <w:r w:rsidR="00603FBF">
        <w:rPr>
          <w:sz w:val="28"/>
          <w:szCs w:val="28"/>
        </w:rPr>
        <w:t>D</w:t>
      </w:r>
      <w:r w:rsidR="00431507" w:rsidRPr="00A961BD">
        <w:rPr>
          <w:sz w:val="28"/>
          <w:szCs w:val="28"/>
        </w:rPr>
        <w:t>otācijas apmēru attiecīgajā izglītības iestādē pedagogu darba samaksas noteikumos noteiktajām pedagoga profesionālās darbības kvalitātes piemaksām atbilstoši šo noteikumu 12.</w:t>
      </w:r>
      <w:r w:rsidR="00431507" w:rsidRPr="00A961BD">
        <w:rPr>
          <w:sz w:val="28"/>
          <w:szCs w:val="28"/>
          <w:vertAlign w:val="superscript"/>
        </w:rPr>
        <w:t xml:space="preserve">1 </w:t>
      </w:r>
      <w:r w:rsidR="00431507" w:rsidRPr="00A961BD">
        <w:rPr>
          <w:sz w:val="28"/>
          <w:szCs w:val="28"/>
        </w:rPr>
        <w:t xml:space="preserve">punktam, periodam no 2013.gada 1.septembra līdz 31.decembrim aprēķina, pamatojoties uz </w:t>
      </w:r>
      <w:r w:rsidR="00E008CB">
        <w:rPr>
          <w:sz w:val="28"/>
          <w:szCs w:val="28"/>
        </w:rPr>
        <w:t>Latvijas Nacionālā kultūras c</w:t>
      </w:r>
      <w:r w:rsidR="00431507" w:rsidRPr="00A961BD">
        <w:rPr>
          <w:sz w:val="28"/>
          <w:szCs w:val="28"/>
        </w:rPr>
        <w:t xml:space="preserve">entra apkopoto informāciju par pedagogiem, kuri </w:t>
      </w:r>
      <w:r w:rsidR="00A961BD" w:rsidRPr="00A961BD">
        <w:rPr>
          <w:sz w:val="28"/>
          <w:szCs w:val="28"/>
        </w:rPr>
        <w:t>Eiropas Sociālā fonda projekta „</w:t>
      </w:r>
      <w:r w:rsidR="00431507" w:rsidRPr="00A961BD">
        <w:rPr>
          <w:sz w:val="28"/>
          <w:szCs w:val="28"/>
        </w:rPr>
        <w:t>Pedagogu konkurētspējas veicināšana izglītības sistēmas optimizācijas apstākļos</w:t>
      </w:r>
      <w:r w:rsidR="00A961BD" w:rsidRPr="00A961BD">
        <w:rPr>
          <w:sz w:val="28"/>
          <w:szCs w:val="28"/>
        </w:rPr>
        <w:t>”</w:t>
      </w:r>
      <w:r w:rsidR="00431507" w:rsidRPr="00A961BD">
        <w:rPr>
          <w:sz w:val="28"/>
          <w:szCs w:val="28"/>
        </w:rPr>
        <w:t xml:space="preserve"> ietvaros ir ieguvuši 3., 4. un 5.kvalitātes pakāpi, no valsts budžeta finansējuma tarificēto mēneša darba algas likmju skaitu attiecīgajā izglītības iestādē uz 2013.gada 2.septembri. </w:t>
      </w:r>
    </w:p>
    <w:p w:rsidR="009D75FF" w:rsidRDefault="009D75FF" w:rsidP="00F85102">
      <w:pPr>
        <w:ind w:firstLine="720"/>
        <w:jc w:val="both"/>
        <w:rPr>
          <w:sz w:val="28"/>
          <w:szCs w:val="28"/>
        </w:rPr>
      </w:pPr>
    </w:p>
    <w:p w:rsidR="00431507" w:rsidRPr="00A961BD" w:rsidRDefault="00431507" w:rsidP="00F85102">
      <w:pPr>
        <w:ind w:firstLine="720"/>
        <w:jc w:val="both"/>
        <w:rPr>
          <w:sz w:val="28"/>
          <w:szCs w:val="28"/>
        </w:rPr>
      </w:pPr>
      <w:r w:rsidRPr="00A961BD">
        <w:rPr>
          <w:sz w:val="28"/>
          <w:szCs w:val="28"/>
        </w:rPr>
        <w:t>27.</w:t>
      </w:r>
      <w:r w:rsidRPr="00A961BD">
        <w:rPr>
          <w:sz w:val="28"/>
          <w:szCs w:val="28"/>
          <w:vertAlign w:val="superscript"/>
        </w:rPr>
        <w:t xml:space="preserve">2 </w:t>
      </w:r>
      <w:r w:rsidR="00603FBF">
        <w:rPr>
          <w:sz w:val="28"/>
          <w:szCs w:val="28"/>
        </w:rPr>
        <w:t>D</w:t>
      </w:r>
      <w:r w:rsidRPr="00A961BD">
        <w:rPr>
          <w:sz w:val="28"/>
          <w:szCs w:val="28"/>
        </w:rPr>
        <w:t>otācijas apmēru attiecīgajā izglītības iestādē pedagogu darba samaksas noteikumos noteiktajām pedagoga profesionālās darbības kvalitātes piemaksām atbilstoši šo noteikumu 12.</w:t>
      </w:r>
      <w:r w:rsidRPr="00A961BD">
        <w:rPr>
          <w:sz w:val="28"/>
          <w:szCs w:val="28"/>
          <w:vertAlign w:val="superscript"/>
        </w:rPr>
        <w:t xml:space="preserve">1 </w:t>
      </w:r>
      <w:r w:rsidRPr="00A961BD">
        <w:rPr>
          <w:sz w:val="28"/>
          <w:szCs w:val="28"/>
        </w:rPr>
        <w:t>punktam, periodam no 2014.gada 1.</w:t>
      </w:r>
      <w:r w:rsidR="00603FBF">
        <w:rPr>
          <w:sz w:val="28"/>
          <w:szCs w:val="28"/>
        </w:rPr>
        <w:t>janvāra</w:t>
      </w:r>
      <w:r w:rsidR="00603FBF" w:rsidRPr="00A961BD">
        <w:rPr>
          <w:sz w:val="28"/>
          <w:szCs w:val="28"/>
        </w:rPr>
        <w:t xml:space="preserve"> </w:t>
      </w:r>
      <w:r w:rsidRPr="00A961BD">
        <w:rPr>
          <w:sz w:val="28"/>
          <w:szCs w:val="28"/>
        </w:rPr>
        <w:t xml:space="preserve">līdz 31.decembrim aprēķina, pamatojoties uz </w:t>
      </w:r>
      <w:r w:rsidR="00E008CB">
        <w:rPr>
          <w:sz w:val="28"/>
          <w:szCs w:val="28"/>
        </w:rPr>
        <w:t>Latvijas Nacionālā kultūras c</w:t>
      </w:r>
      <w:r w:rsidRPr="00A961BD">
        <w:rPr>
          <w:sz w:val="28"/>
          <w:szCs w:val="28"/>
        </w:rPr>
        <w:t xml:space="preserve">entra apkopoto informāciju par pedagogiem, kuri Eiropas Sociālā fonda projekta </w:t>
      </w:r>
      <w:r w:rsidR="00A961BD" w:rsidRPr="00A961BD">
        <w:rPr>
          <w:sz w:val="28"/>
          <w:szCs w:val="28"/>
        </w:rPr>
        <w:t>„</w:t>
      </w:r>
      <w:r w:rsidRPr="00A961BD">
        <w:rPr>
          <w:sz w:val="28"/>
          <w:szCs w:val="28"/>
        </w:rPr>
        <w:t>Pedagogu konkurētspējas veicināšana izglītības s</w:t>
      </w:r>
      <w:r w:rsidR="00A961BD" w:rsidRPr="00A961BD">
        <w:rPr>
          <w:sz w:val="28"/>
          <w:szCs w:val="28"/>
        </w:rPr>
        <w:t>istēmas optimizācijas apstākļos”</w:t>
      </w:r>
      <w:r w:rsidRPr="00A961BD">
        <w:rPr>
          <w:sz w:val="28"/>
          <w:szCs w:val="28"/>
        </w:rPr>
        <w:t xml:space="preserve"> ietvaros ir ieguvuši 3., 4. un 5.kvalitātes pakāpi, tarificēto mēneša darba algas likmju skaitu attiecīgajā izglītības iestādē uz 2013.gada 2.septembri. </w:t>
      </w:r>
    </w:p>
    <w:p w:rsidR="009D75FF" w:rsidRDefault="009D75FF" w:rsidP="00F85102">
      <w:pPr>
        <w:ind w:firstLine="720"/>
        <w:jc w:val="both"/>
        <w:rPr>
          <w:sz w:val="28"/>
          <w:szCs w:val="28"/>
        </w:rPr>
      </w:pPr>
    </w:p>
    <w:p w:rsidR="00431507" w:rsidRPr="00A961BD" w:rsidRDefault="00431507" w:rsidP="00F85102">
      <w:pPr>
        <w:ind w:firstLine="720"/>
        <w:jc w:val="both"/>
        <w:rPr>
          <w:sz w:val="28"/>
          <w:szCs w:val="28"/>
        </w:rPr>
      </w:pPr>
      <w:r w:rsidRPr="00A961BD">
        <w:rPr>
          <w:sz w:val="28"/>
          <w:szCs w:val="28"/>
        </w:rPr>
        <w:t>27.</w:t>
      </w:r>
      <w:r w:rsidRPr="00A961BD">
        <w:rPr>
          <w:sz w:val="28"/>
          <w:szCs w:val="28"/>
          <w:vertAlign w:val="superscript"/>
        </w:rPr>
        <w:t>3</w:t>
      </w:r>
      <w:r w:rsidRPr="00A961BD">
        <w:rPr>
          <w:sz w:val="28"/>
          <w:szCs w:val="28"/>
        </w:rPr>
        <w:t xml:space="preserve"> Lai nodrošinātu datu apkopošanu par pedagogiem, kuri Eiropas Sociālā fonda projekta </w:t>
      </w:r>
      <w:r w:rsidR="00A961BD" w:rsidRPr="00A961BD">
        <w:rPr>
          <w:sz w:val="28"/>
          <w:szCs w:val="28"/>
        </w:rPr>
        <w:t>„</w:t>
      </w:r>
      <w:r w:rsidRPr="00A961BD">
        <w:rPr>
          <w:sz w:val="28"/>
          <w:szCs w:val="28"/>
        </w:rPr>
        <w:t>Pedagogu konkurētspējas veicināšana izglītības sistēmas optimizācijas apstākļos</w:t>
      </w:r>
      <w:r w:rsidR="00A961BD" w:rsidRPr="00A961BD">
        <w:rPr>
          <w:sz w:val="28"/>
          <w:szCs w:val="28"/>
        </w:rPr>
        <w:t>”</w:t>
      </w:r>
      <w:r w:rsidRPr="00A961BD">
        <w:rPr>
          <w:sz w:val="28"/>
          <w:szCs w:val="28"/>
        </w:rPr>
        <w:t xml:space="preserve"> ietvaros ir ieguvuši 3., 4. un 5.kvalitātes pakāpi</w:t>
      </w:r>
      <w:r w:rsidR="00603FBF">
        <w:rPr>
          <w:sz w:val="28"/>
          <w:szCs w:val="28"/>
        </w:rPr>
        <w:t xml:space="preserve"> </w:t>
      </w:r>
      <w:r w:rsidR="00603FBF" w:rsidRPr="00A961BD">
        <w:rPr>
          <w:sz w:val="28"/>
          <w:szCs w:val="28"/>
        </w:rPr>
        <w:t>periodam no 2013.gada 1.septembra līdz 31.decembrim</w:t>
      </w:r>
      <w:r w:rsidR="00603FBF">
        <w:rPr>
          <w:sz w:val="28"/>
          <w:szCs w:val="28"/>
        </w:rPr>
        <w:t xml:space="preserve"> un </w:t>
      </w:r>
      <w:r w:rsidR="00603FBF" w:rsidRPr="00A961BD">
        <w:rPr>
          <w:sz w:val="28"/>
          <w:szCs w:val="28"/>
        </w:rPr>
        <w:t>no 2014.gada 1.</w:t>
      </w:r>
      <w:r w:rsidR="00603FBF">
        <w:rPr>
          <w:sz w:val="28"/>
          <w:szCs w:val="28"/>
        </w:rPr>
        <w:t>janvāra</w:t>
      </w:r>
      <w:r w:rsidR="00603FBF" w:rsidRPr="00A961BD">
        <w:rPr>
          <w:sz w:val="28"/>
          <w:szCs w:val="28"/>
        </w:rPr>
        <w:t xml:space="preserve"> līdz 31.decembrim</w:t>
      </w:r>
      <w:r w:rsidRPr="00A961BD">
        <w:rPr>
          <w:sz w:val="28"/>
          <w:szCs w:val="28"/>
        </w:rPr>
        <w:t xml:space="preserve">, no valsts budžeta finansējuma tarificēto mēneša darba algas likmju skaitu attiecīgajā izglītības iestādē, izglītības iestāde līdz 2013.gada </w:t>
      </w:r>
      <w:r w:rsidRPr="006A0845">
        <w:rPr>
          <w:sz w:val="28"/>
          <w:szCs w:val="28"/>
        </w:rPr>
        <w:t>15.novembrim</w:t>
      </w:r>
      <w:r w:rsidRPr="00A961BD">
        <w:rPr>
          <w:sz w:val="28"/>
          <w:szCs w:val="28"/>
        </w:rPr>
        <w:t xml:space="preserve"> iesniedz </w:t>
      </w:r>
      <w:r w:rsidR="00E008CB">
        <w:rPr>
          <w:sz w:val="28"/>
          <w:szCs w:val="28"/>
        </w:rPr>
        <w:t>Latvijas Nacionālajā kultūras c</w:t>
      </w:r>
      <w:r w:rsidRPr="00A961BD">
        <w:rPr>
          <w:sz w:val="28"/>
          <w:szCs w:val="28"/>
        </w:rPr>
        <w:t>entrā izglītības iestādes dibinātāja apstiprinātu</w:t>
      </w:r>
      <w:r w:rsidR="009E7AE6">
        <w:rPr>
          <w:sz w:val="28"/>
          <w:szCs w:val="28"/>
        </w:rPr>
        <w:t xml:space="preserve"> tarifikāciju.</w:t>
      </w:r>
      <w:r w:rsidR="00E83271">
        <w:rPr>
          <w:sz w:val="28"/>
          <w:szCs w:val="28"/>
        </w:rPr>
        <w:t>”</w:t>
      </w:r>
      <w:r w:rsidR="009E7AE6">
        <w:rPr>
          <w:sz w:val="28"/>
          <w:szCs w:val="28"/>
        </w:rPr>
        <w:t xml:space="preserve"> </w:t>
      </w:r>
    </w:p>
    <w:p w:rsidR="00DE49FC" w:rsidRPr="00A961BD" w:rsidRDefault="00DE49FC" w:rsidP="00D93DE5">
      <w:pPr>
        <w:ind w:firstLine="300"/>
        <w:jc w:val="both"/>
        <w:rPr>
          <w:sz w:val="28"/>
          <w:szCs w:val="28"/>
        </w:rPr>
      </w:pPr>
    </w:p>
    <w:p w:rsidR="00DE49FC" w:rsidRPr="003A3F19" w:rsidRDefault="00577E3E" w:rsidP="00577E3E">
      <w:pPr>
        <w:ind w:left="720"/>
        <w:jc w:val="both"/>
        <w:rPr>
          <w:sz w:val="28"/>
          <w:szCs w:val="28"/>
        </w:rPr>
      </w:pPr>
      <w:r w:rsidRPr="003A3F19">
        <w:rPr>
          <w:sz w:val="28"/>
          <w:szCs w:val="28"/>
        </w:rPr>
        <w:t>11.</w:t>
      </w:r>
      <w:r w:rsidR="00556AA2" w:rsidRPr="003A3F19">
        <w:rPr>
          <w:sz w:val="28"/>
          <w:szCs w:val="28"/>
        </w:rPr>
        <w:t xml:space="preserve"> </w:t>
      </w:r>
      <w:r w:rsidR="005E72BC" w:rsidRPr="003A3F19">
        <w:rPr>
          <w:sz w:val="28"/>
          <w:szCs w:val="28"/>
        </w:rPr>
        <w:t>Izteikt</w:t>
      </w:r>
      <w:r w:rsidR="00DE49FC" w:rsidRPr="003A3F19">
        <w:rPr>
          <w:sz w:val="28"/>
          <w:szCs w:val="28"/>
        </w:rPr>
        <w:t xml:space="preserve"> </w:t>
      </w:r>
      <w:r w:rsidR="00D44201" w:rsidRPr="003A3F19">
        <w:rPr>
          <w:sz w:val="28"/>
          <w:szCs w:val="28"/>
        </w:rPr>
        <w:t>3</w:t>
      </w:r>
      <w:r w:rsidR="00DE49FC" w:rsidRPr="003A3F19">
        <w:rPr>
          <w:sz w:val="28"/>
          <w:szCs w:val="28"/>
        </w:rPr>
        <w:t xml:space="preserve">.pielikumu </w:t>
      </w:r>
      <w:r w:rsidRPr="003A3F19">
        <w:rPr>
          <w:sz w:val="28"/>
          <w:szCs w:val="28"/>
        </w:rPr>
        <w:t xml:space="preserve">šādā </w:t>
      </w:r>
      <w:r w:rsidR="00DE49FC" w:rsidRPr="003A3F19">
        <w:rPr>
          <w:sz w:val="28"/>
          <w:szCs w:val="28"/>
        </w:rPr>
        <w:t>redakcijā</w:t>
      </w:r>
      <w:r w:rsidR="006841A5" w:rsidRPr="003A3F19">
        <w:rPr>
          <w:sz w:val="28"/>
          <w:szCs w:val="28"/>
        </w:rPr>
        <w:t xml:space="preserve">: </w:t>
      </w:r>
    </w:p>
    <w:p w:rsidR="00577E3E" w:rsidRDefault="00577E3E" w:rsidP="00577E3E">
      <w:pPr>
        <w:jc w:val="both"/>
        <w:rPr>
          <w:sz w:val="28"/>
          <w:szCs w:val="28"/>
        </w:rPr>
      </w:pPr>
    </w:p>
    <w:p w:rsidR="00556AA2" w:rsidRDefault="00556AA2" w:rsidP="00577E3E">
      <w:pPr>
        <w:jc w:val="both"/>
        <w:rPr>
          <w:sz w:val="28"/>
          <w:szCs w:val="28"/>
        </w:rPr>
        <w:sectPr w:rsidR="00556AA2" w:rsidSect="00A973C5">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pPr>
    </w:p>
    <w:p w:rsidR="00556AA2" w:rsidRPr="00B12EA0" w:rsidRDefault="00B12EA0" w:rsidP="00C13D94">
      <w:pPr>
        <w:pStyle w:val="ParastaisWeb"/>
        <w:spacing w:before="0" w:beforeAutospacing="0" w:after="0" w:afterAutospacing="0"/>
        <w:jc w:val="right"/>
      </w:pPr>
      <w:r w:rsidRPr="00B12EA0">
        <w:lastRenderedPageBreak/>
        <w:t>„</w:t>
      </w:r>
      <w:r w:rsidR="00556AA2" w:rsidRPr="00B12EA0">
        <w:t xml:space="preserve">3.pielikums </w:t>
      </w:r>
    </w:p>
    <w:p w:rsidR="00C13D94" w:rsidRPr="00B12EA0" w:rsidRDefault="00556AA2" w:rsidP="00C13D94">
      <w:pPr>
        <w:jc w:val="right"/>
      </w:pPr>
      <w:r w:rsidRPr="00B12EA0">
        <w:t>Ministru kabineta</w:t>
      </w:r>
      <w:r w:rsidR="00C13D94" w:rsidRPr="00B12EA0">
        <w:t xml:space="preserve"> </w:t>
      </w:r>
      <w:r w:rsidRPr="00B12EA0">
        <w:t>2011.gada 27.decembra</w:t>
      </w:r>
      <w:r w:rsidR="00C13D94" w:rsidRPr="00B12EA0">
        <w:t xml:space="preserve"> </w:t>
      </w:r>
      <w:r w:rsidRPr="00B12EA0">
        <w:t>noteikumiem</w:t>
      </w:r>
    </w:p>
    <w:p w:rsidR="00C13D94" w:rsidRPr="00B12EA0" w:rsidRDefault="00556AA2" w:rsidP="00C13D94">
      <w:pPr>
        <w:jc w:val="right"/>
        <w:rPr>
          <w:bCs/>
        </w:rPr>
      </w:pPr>
      <w:r w:rsidRPr="00B12EA0">
        <w:t xml:space="preserve"> Nr. 1035</w:t>
      </w:r>
      <w:r w:rsidR="00C13D94" w:rsidRPr="00B12EA0">
        <w:t xml:space="preserve"> </w:t>
      </w:r>
      <w:r w:rsidR="00C13D94" w:rsidRPr="00B12EA0">
        <w:rPr>
          <w:bCs/>
        </w:rPr>
        <w:t>„Kārtība, kādā valsts finansē profesionālās ievirzes mākslas,</w:t>
      </w:r>
    </w:p>
    <w:p w:rsidR="00C13D94" w:rsidRPr="00B12EA0" w:rsidRDefault="00C13D94" w:rsidP="00C13D94">
      <w:pPr>
        <w:jc w:val="right"/>
        <w:rPr>
          <w:bCs/>
        </w:rPr>
      </w:pPr>
      <w:r w:rsidRPr="00B12EA0">
        <w:rPr>
          <w:bCs/>
        </w:rPr>
        <w:t xml:space="preserve">mūzikas un dejas izglītības programmas” </w:t>
      </w:r>
    </w:p>
    <w:p w:rsidR="00556AA2" w:rsidRPr="00C13D94" w:rsidRDefault="00556AA2" w:rsidP="00C13D94">
      <w:pPr>
        <w:jc w:val="right"/>
        <w:rPr>
          <w:b/>
        </w:rPr>
      </w:pPr>
    </w:p>
    <w:p w:rsidR="00556AA2" w:rsidRPr="00C13D94" w:rsidRDefault="00556AA2" w:rsidP="00556AA2">
      <w:pPr>
        <w:jc w:val="right"/>
      </w:pPr>
    </w:p>
    <w:p w:rsidR="00556AA2" w:rsidRPr="00C13D94" w:rsidRDefault="00556AA2" w:rsidP="00556AA2">
      <w:pPr>
        <w:ind w:firstLine="720"/>
        <w:jc w:val="right"/>
      </w:pPr>
      <w:r w:rsidRPr="00C13D94">
        <w:t>APSTIPRINU</w:t>
      </w:r>
    </w:p>
    <w:p w:rsidR="00556AA2" w:rsidRPr="00C13D94" w:rsidRDefault="00556AA2" w:rsidP="00556AA2">
      <w:pPr>
        <w:ind w:firstLine="720"/>
        <w:jc w:val="right"/>
      </w:pPr>
      <w:r w:rsidRPr="00C13D94">
        <w:t>/Izglītības iestādes dibinātājs/</w:t>
      </w:r>
    </w:p>
    <w:p w:rsidR="00556AA2" w:rsidRPr="00C13D94" w:rsidRDefault="00556AA2" w:rsidP="00556AA2">
      <w:pPr>
        <w:ind w:firstLine="720"/>
        <w:jc w:val="right"/>
      </w:pPr>
      <w:r w:rsidRPr="00C13D94">
        <w:t>/Atbildīgā amatpersona/</w:t>
      </w:r>
    </w:p>
    <w:p w:rsidR="00556AA2" w:rsidRPr="00C13D94" w:rsidRDefault="00556AA2" w:rsidP="00556AA2">
      <w:pPr>
        <w:ind w:firstLine="720"/>
        <w:jc w:val="right"/>
        <w:rPr>
          <w:u w:val="single"/>
        </w:rPr>
      </w:pPr>
      <w:r w:rsidRPr="00C13D94">
        <w:t>___________________/(V.Uzvārds)/</w:t>
      </w:r>
    </w:p>
    <w:p w:rsidR="00556AA2" w:rsidRPr="00C13D94" w:rsidRDefault="00556AA2" w:rsidP="00556AA2">
      <w:pPr>
        <w:ind w:left="7200" w:firstLine="720"/>
        <w:jc w:val="center"/>
      </w:pPr>
      <w:r w:rsidRPr="00C13D94">
        <w:t>(paraksts)</w:t>
      </w:r>
    </w:p>
    <w:p w:rsidR="00556AA2" w:rsidRPr="00C13D94" w:rsidRDefault="00556AA2" w:rsidP="00556AA2">
      <w:pPr>
        <w:ind w:firstLine="720"/>
        <w:jc w:val="right"/>
      </w:pPr>
      <w:r w:rsidRPr="00C13D94">
        <w:t>/Datums/</w:t>
      </w:r>
    </w:p>
    <w:p w:rsidR="00556AA2" w:rsidRPr="00C13D94" w:rsidRDefault="00556AA2" w:rsidP="00556AA2">
      <w:pPr>
        <w:ind w:firstLine="720"/>
        <w:jc w:val="right"/>
      </w:pPr>
    </w:p>
    <w:p w:rsidR="00556AA2" w:rsidRPr="00C13D94" w:rsidRDefault="00556AA2" w:rsidP="00556AA2">
      <w:pPr>
        <w:ind w:firstLine="720"/>
        <w:jc w:val="right"/>
      </w:pPr>
      <w:r w:rsidRPr="00C13D94">
        <w:t>z.v.</w:t>
      </w:r>
    </w:p>
    <w:p w:rsidR="00C13D94" w:rsidRDefault="00C13D94" w:rsidP="00C13D94">
      <w:pPr>
        <w:pStyle w:val="ParastaisWeb"/>
        <w:spacing w:before="0" w:beforeAutospacing="0" w:after="0" w:afterAutospacing="0"/>
        <w:jc w:val="center"/>
        <w:rPr>
          <w:b/>
        </w:rPr>
      </w:pPr>
      <w:bookmarkStart w:id="8" w:name="OLE_LINK5"/>
      <w:bookmarkStart w:id="9" w:name="OLE_LINK6"/>
    </w:p>
    <w:p w:rsidR="00C13D94" w:rsidRDefault="00C13D94" w:rsidP="00C13D94">
      <w:pPr>
        <w:pStyle w:val="ParastaisWeb"/>
        <w:spacing w:before="0" w:beforeAutospacing="0" w:after="0" w:afterAutospacing="0"/>
        <w:jc w:val="center"/>
        <w:rPr>
          <w:b/>
        </w:rPr>
      </w:pPr>
    </w:p>
    <w:p w:rsidR="00C13D94" w:rsidRDefault="00C13D94" w:rsidP="00C13D94">
      <w:pPr>
        <w:pStyle w:val="ParastaisWeb"/>
        <w:spacing w:before="0" w:beforeAutospacing="0" w:after="0" w:afterAutospacing="0"/>
        <w:jc w:val="center"/>
        <w:rPr>
          <w:b/>
        </w:rPr>
      </w:pPr>
    </w:p>
    <w:p w:rsidR="00556AA2" w:rsidRPr="00C13D94" w:rsidRDefault="00556AA2" w:rsidP="00C13D94">
      <w:pPr>
        <w:pStyle w:val="ParastaisWeb"/>
        <w:spacing w:before="0" w:beforeAutospacing="0" w:after="0" w:afterAutospacing="0"/>
        <w:jc w:val="center"/>
        <w:rPr>
          <w:b/>
        </w:rPr>
      </w:pPr>
      <w:r w:rsidRPr="00C13D94">
        <w:rPr>
          <w:b/>
        </w:rPr>
        <w:t xml:space="preserve">Pārskats </w:t>
      </w:r>
    </w:p>
    <w:p w:rsidR="00556AA2" w:rsidRPr="00C13D94" w:rsidRDefault="00556AA2" w:rsidP="00C13D94">
      <w:pPr>
        <w:pStyle w:val="ParastaisWeb"/>
        <w:spacing w:before="0" w:beforeAutospacing="0" w:after="0" w:afterAutospacing="0"/>
        <w:jc w:val="center"/>
        <w:rPr>
          <w:b/>
          <w:bCs/>
        </w:rPr>
      </w:pPr>
      <w:r w:rsidRPr="00C13D94">
        <w:rPr>
          <w:b/>
        </w:rPr>
        <w:t xml:space="preserve">par laika periodā </w:t>
      </w:r>
      <w:r w:rsidRPr="00C13D94">
        <w:rPr>
          <w:b/>
          <w:bCs/>
        </w:rPr>
        <w:t xml:space="preserve">izglītības iestādei piešķirtās dotācijas izlietojumu </w:t>
      </w:r>
    </w:p>
    <w:p w:rsidR="00556AA2" w:rsidRPr="00C13D94" w:rsidRDefault="00556AA2" w:rsidP="00C13D94">
      <w:pPr>
        <w:pStyle w:val="ParastaisWeb"/>
        <w:spacing w:before="0" w:beforeAutospacing="0" w:after="0" w:afterAutospacing="0"/>
        <w:jc w:val="center"/>
        <w:rPr>
          <w:b/>
        </w:rPr>
      </w:pPr>
      <w:r w:rsidRPr="00C13D94">
        <w:rPr>
          <w:b/>
          <w:bCs/>
        </w:rPr>
        <w:t>profesionālās ievirzes programmu pedagogu darba samaksai un valsts sociālās apdrošināšanas obligātajām iemaksām</w:t>
      </w:r>
      <w:bookmarkEnd w:id="8"/>
      <w:bookmarkEnd w:id="9"/>
    </w:p>
    <w:p w:rsidR="00556AA2" w:rsidRPr="00C13D94" w:rsidRDefault="00556AA2" w:rsidP="00556AA2">
      <w:pPr>
        <w:pStyle w:val="Galvene"/>
        <w:tabs>
          <w:tab w:val="clear" w:pos="8306"/>
          <w:tab w:val="left" w:pos="540"/>
          <w:tab w:val="left" w:pos="3420"/>
        </w:tabs>
        <w:jc w:val="right"/>
      </w:pPr>
    </w:p>
    <w:tbl>
      <w:tblPr>
        <w:tblW w:w="5098" w:type="pct"/>
        <w:tblInd w:w="-176" w:type="dxa"/>
        <w:tblLook w:val="04A0"/>
      </w:tblPr>
      <w:tblGrid>
        <w:gridCol w:w="173"/>
        <w:gridCol w:w="447"/>
        <w:gridCol w:w="627"/>
        <w:gridCol w:w="210"/>
        <w:gridCol w:w="1693"/>
        <w:gridCol w:w="757"/>
        <w:gridCol w:w="1183"/>
        <w:gridCol w:w="722"/>
        <w:gridCol w:w="311"/>
        <w:gridCol w:w="769"/>
        <w:gridCol w:w="186"/>
        <w:gridCol w:w="804"/>
        <w:gridCol w:w="86"/>
        <w:gridCol w:w="148"/>
        <w:gridCol w:w="195"/>
        <w:gridCol w:w="535"/>
        <w:gridCol w:w="18"/>
        <w:gridCol w:w="733"/>
        <w:gridCol w:w="252"/>
        <w:gridCol w:w="266"/>
        <w:gridCol w:w="367"/>
        <w:gridCol w:w="574"/>
        <w:gridCol w:w="710"/>
        <w:gridCol w:w="946"/>
        <w:gridCol w:w="311"/>
        <w:gridCol w:w="30"/>
        <w:gridCol w:w="503"/>
        <w:gridCol w:w="65"/>
        <w:gridCol w:w="701"/>
        <w:gridCol w:w="464"/>
      </w:tblGrid>
      <w:tr w:rsidR="00556AA2" w:rsidRPr="00C13D94" w:rsidTr="00B12EA0">
        <w:trPr>
          <w:gridBefore w:val="1"/>
          <w:wBefore w:w="59" w:type="pct"/>
          <w:trHeight w:val="315"/>
        </w:trPr>
        <w:tc>
          <w:tcPr>
            <w:tcW w:w="4941" w:type="pct"/>
            <w:gridSpan w:val="29"/>
            <w:tcBorders>
              <w:top w:val="nil"/>
              <w:left w:val="nil"/>
              <w:bottom w:val="single" w:sz="4" w:space="0" w:color="auto"/>
              <w:right w:val="nil"/>
            </w:tcBorders>
            <w:shd w:val="clear" w:color="auto" w:fill="auto"/>
            <w:noWrap/>
            <w:hideMark/>
          </w:tcPr>
          <w:p w:rsidR="00556AA2" w:rsidRPr="00C13D94" w:rsidRDefault="00556AA2" w:rsidP="00DF147D"/>
        </w:tc>
      </w:tr>
      <w:tr w:rsidR="00556AA2" w:rsidRPr="00C13D94" w:rsidTr="00B12EA0">
        <w:trPr>
          <w:gridBefore w:val="1"/>
          <w:wBefore w:w="59" w:type="pct"/>
          <w:trHeight w:val="315"/>
        </w:trPr>
        <w:tc>
          <w:tcPr>
            <w:tcW w:w="4941" w:type="pct"/>
            <w:gridSpan w:val="29"/>
            <w:tcBorders>
              <w:top w:val="nil"/>
              <w:left w:val="nil"/>
              <w:bottom w:val="single" w:sz="4" w:space="0" w:color="auto"/>
              <w:right w:val="nil"/>
            </w:tcBorders>
            <w:shd w:val="clear" w:color="auto" w:fill="auto"/>
            <w:noWrap/>
            <w:hideMark/>
          </w:tcPr>
          <w:p w:rsidR="00556AA2" w:rsidRPr="00C13D94" w:rsidRDefault="00556AA2" w:rsidP="00DF147D">
            <w:pPr>
              <w:jc w:val="center"/>
            </w:pPr>
            <w:r w:rsidRPr="00C13D94">
              <w:t>(izglītības iestādes nosaukums)</w:t>
            </w:r>
          </w:p>
          <w:p w:rsidR="00556AA2" w:rsidRPr="00C13D94" w:rsidRDefault="00556AA2" w:rsidP="00DF147D"/>
          <w:p w:rsidR="00556AA2" w:rsidRPr="00C13D94" w:rsidRDefault="00556AA2" w:rsidP="00DF147D"/>
        </w:tc>
      </w:tr>
      <w:tr w:rsidR="00556AA2" w:rsidRPr="00C13D94" w:rsidTr="00B12EA0">
        <w:trPr>
          <w:gridBefore w:val="1"/>
          <w:wBefore w:w="59" w:type="pct"/>
          <w:trHeight w:val="315"/>
        </w:trPr>
        <w:tc>
          <w:tcPr>
            <w:tcW w:w="4941" w:type="pct"/>
            <w:gridSpan w:val="29"/>
            <w:tcBorders>
              <w:top w:val="single" w:sz="4" w:space="0" w:color="auto"/>
              <w:left w:val="nil"/>
              <w:right w:val="nil"/>
            </w:tcBorders>
            <w:shd w:val="clear" w:color="auto" w:fill="auto"/>
            <w:noWrap/>
            <w:hideMark/>
          </w:tcPr>
          <w:p w:rsidR="00556AA2" w:rsidRPr="00C13D94" w:rsidRDefault="00556AA2" w:rsidP="00DF147D">
            <w:pPr>
              <w:jc w:val="center"/>
            </w:pPr>
            <w:r w:rsidRPr="00C13D94">
              <w:t>(noslēgtā finansēšanas līguma datums un numurs)</w:t>
            </w:r>
          </w:p>
        </w:tc>
      </w:tr>
      <w:tr w:rsidR="00556AA2" w:rsidRPr="00C13D94" w:rsidTr="00B12EA0">
        <w:trPr>
          <w:gridBefore w:val="1"/>
          <w:wBefore w:w="59" w:type="pct"/>
          <w:trHeight w:val="4144"/>
        </w:trPr>
        <w:tc>
          <w:tcPr>
            <w:tcW w:w="4941" w:type="pct"/>
            <w:gridSpan w:val="29"/>
            <w:tcBorders>
              <w:left w:val="nil"/>
              <w:right w:val="nil"/>
            </w:tcBorders>
            <w:shd w:val="clear" w:color="auto" w:fill="auto"/>
            <w:noWrap/>
            <w:hideMark/>
          </w:tcPr>
          <w:tbl>
            <w:tblPr>
              <w:tblW w:w="3729" w:type="pct"/>
              <w:tblLook w:val="04A0"/>
            </w:tblPr>
            <w:tblGrid>
              <w:gridCol w:w="970"/>
              <w:gridCol w:w="4328"/>
              <w:gridCol w:w="1970"/>
              <w:gridCol w:w="1016"/>
              <w:gridCol w:w="1016"/>
              <w:gridCol w:w="1430"/>
            </w:tblGrid>
            <w:tr w:rsidR="00556AA2" w:rsidRPr="00C13D94" w:rsidTr="00DF147D">
              <w:trPr>
                <w:trHeight w:val="660"/>
              </w:trPr>
              <w:tc>
                <w:tcPr>
                  <w:tcW w:w="468" w:type="pct"/>
                  <w:vMerge w:val="restart"/>
                  <w:tcBorders>
                    <w:top w:val="single" w:sz="4" w:space="0" w:color="auto"/>
                    <w:left w:val="single" w:sz="4" w:space="0" w:color="auto"/>
                    <w:bottom w:val="single" w:sz="4" w:space="0" w:color="auto"/>
                    <w:right w:val="single" w:sz="4" w:space="0" w:color="auto"/>
                  </w:tcBorders>
                  <w:vAlign w:val="center"/>
                </w:tcPr>
                <w:p w:rsidR="00556AA2" w:rsidRPr="00C13D94" w:rsidRDefault="00556AA2" w:rsidP="00DF147D">
                  <w:pPr>
                    <w:jc w:val="center"/>
                  </w:pPr>
                  <w:r w:rsidRPr="00C13D94">
                    <w:lastRenderedPageBreak/>
                    <w:t>Nr.</w:t>
                  </w:r>
                </w:p>
                <w:p w:rsidR="00556AA2" w:rsidRPr="00C13D94" w:rsidRDefault="00556AA2" w:rsidP="00DF147D">
                  <w:pPr>
                    <w:jc w:val="center"/>
                  </w:pPr>
                  <w:r w:rsidRPr="00C13D94">
                    <w:t>p.k.</w:t>
                  </w:r>
                </w:p>
              </w:tc>
              <w:tc>
                <w:tcPr>
                  <w:tcW w:w="20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Izglītības programmu grupas nosaukums</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Izglītības programmas kods (10V, 20V, 30V)</w:t>
                  </w:r>
                </w:p>
              </w:tc>
              <w:tc>
                <w:tcPr>
                  <w:tcW w:w="15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Finansēts no valsts budžeta līdzekļiem</w:t>
                  </w:r>
                </w:p>
              </w:tc>
            </w:tr>
            <w:tr w:rsidR="00556AA2" w:rsidRPr="00C13D94" w:rsidTr="00DF147D">
              <w:trPr>
                <w:trHeight w:val="420"/>
              </w:trPr>
              <w:tc>
                <w:tcPr>
                  <w:tcW w:w="468" w:type="pct"/>
                  <w:vMerge/>
                  <w:tcBorders>
                    <w:top w:val="single" w:sz="4" w:space="0" w:color="auto"/>
                    <w:left w:val="single" w:sz="4" w:space="0" w:color="auto"/>
                    <w:bottom w:val="single" w:sz="4" w:space="0" w:color="auto"/>
                    <w:right w:val="single" w:sz="4" w:space="0" w:color="auto"/>
                  </w:tcBorders>
                </w:tcPr>
                <w:p w:rsidR="00556AA2" w:rsidRPr="00C13D94" w:rsidRDefault="00556AA2" w:rsidP="00DF147D"/>
              </w:tc>
              <w:tc>
                <w:tcPr>
                  <w:tcW w:w="2032" w:type="pct"/>
                  <w:vMerge/>
                  <w:tcBorders>
                    <w:top w:val="single" w:sz="4" w:space="0" w:color="auto"/>
                    <w:left w:val="single" w:sz="4" w:space="0" w:color="auto"/>
                    <w:bottom w:val="single" w:sz="4" w:space="0" w:color="auto"/>
                    <w:right w:val="single" w:sz="4" w:space="0" w:color="auto"/>
                  </w:tcBorders>
                  <w:vAlign w:val="center"/>
                  <w:hideMark/>
                </w:tcPr>
                <w:p w:rsidR="00556AA2" w:rsidRPr="00C13D94" w:rsidRDefault="00556AA2" w:rsidP="00DF147D"/>
              </w:tc>
              <w:tc>
                <w:tcPr>
                  <w:tcW w:w="933" w:type="pct"/>
                  <w:vMerge/>
                  <w:tcBorders>
                    <w:top w:val="single" w:sz="4" w:space="0" w:color="auto"/>
                    <w:left w:val="single" w:sz="4" w:space="0" w:color="auto"/>
                    <w:bottom w:val="single" w:sz="4" w:space="0" w:color="auto"/>
                    <w:right w:val="single" w:sz="4" w:space="0" w:color="auto"/>
                  </w:tcBorders>
                  <w:vAlign w:val="center"/>
                  <w:hideMark/>
                </w:tcPr>
                <w:p w:rsidR="00556AA2" w:rsidRPr="00C13D94" w:rsidRDefault="00556AA2" w:rsidP="00DF147D"/>
              </w:tc>
              <w:tc>
                <w:tcPr>
                  <w:tcW w:w="9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AA2" w:rsidRPr="00C13D94" w:rsidRDefault="00556AA2" w:rsidP="00DF147D">
                  <w:pPr>
                    <w:jc w:val="center"/>
                  </w:pPr>
                  <w:r w:rsidRPr="00C13D94">
                    <w:t xml:space="preserve"> izglītojamo skaits</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faktiski apmaksāto pedagoģisko likmju skaits</w:t>
                  </w:r>
                </w:p>
              </w:tc>
            </w:tr>
            <w:tr w:rsidR="00556AA2" w:rsidRPr="00C13D94" w:rsidTr="00DF147D">
              <w:trPr>
                <w:trHeight w:val="900"/>
              </w:trPr>
              <w:tc>
                <w:tcPr>
                  <w:tcW w:w="468" w:type="pct"/>
                  <w:vMerge/>
                  <w:tcBorders>
                    <w:top w:val="single" w:sz="4" w:space="0" w:color="auto"/>
                    <w:left w:val="single" w:sz="4" w:space="0" w:color="auto"/>
                    <w:bottom w:val="single" w:sz="4" w:space="0" w:color="auto"/>
                    <w:right w:val="single" w:sz="4" w:space="0" w:color="auto"/>
                  </w:tcBorders>
                </w:tcPr>
                <w:p w:rsidR="00556AA2" w:rsidRPr="00C13D94" w:rsidRDefault="00556AA2" w:rsidP="00DF147D"/>
              </w:tc>
              <w:tc>
                <w:tcPr>
                  <w:tcW w:w="2032" w:type="pct"/>
                  <w:vMerge/>
                  <w:tcBorders>
                    <w:top w:val="single" w:sz="4" w:space="0" w:color="auto"/>
                    <w:left w:val="single" w:sz="4" w:space="0" w:color="auto"/>
                    <w:bottom w:val="single" w:sz="4" w:space="0" w:color="auto"/>
                    <w:right w:val="single" w:sz="4" w:space="0" w:color="auto"/>
                  </w:tcBorders>
                  <w:vAlign w:val="center"/>
                  <w:hideMark/>
                </w:tcPr>
                <w:p w:rsidR="00556AA2" w:rsidRPr="00C13D94" w:rsidRDefault="00556AA2" w:rsidP="00DF147D"/>
              </w:tc>
              <w:tc>
                <w:tcPr>
                  <w:tcW w:w="933" w:type="pct"/>
                  <w:vMerge/>
                  <w:tcBorders>
                    <w:top w:val="single" w:sz="4" w:space="0" w:color="auto"/>
                    <w:left w:val="single" w:sz="4" w:space="0" w:color="auto"/>
                    <w:bottom w:val="single" w:sz="4" w:space="0" w:color="auto"/>
                    <w:right w:val="single" w:sz="4" w:space="0" w:color="auto"/>
                  </w:tcBorders>
                  <w:vAlign w:val="center"/>
                  <w:hideMark/>
                </w:tcPr>
                <w:p w:rsidR="00556AA2" w:rsidRPr="00C13D94" w:rsidRDefault="00556AA2" w:rsidP="00DF147D"/>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pārskata perioda sākumā</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pārskata perioda beigās</w:t>
                  </w: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556AA2" w:rsidRPr="00C13D94" w:rsidRDefault="00556AA2" w:rsidP="00DF147D"/>
              </w:tc>
            </w:tr>
            <w:tr w:rsidR="00556AA2" w:rsidRPr="00C13D94" w:rsidTr="00DF147D">
              <w:trPr>
                <w:trHeight w:val="300"/>
              </w:trPr>
              <w:tc>
                <w:tcPr>
                  <w:tcW w:w="468" w:type="pct"/>
                  <w:tcBorders>
                    <w:top w:val="single" w:sz="4" w:space="0" w:color="auto"/>
                    <w:left w:val="single" w:sz="4" w:space="0" w:color="auto"/>
                    <w:bottom w:val="single" w:sz="4" w:space="0" w:color="auto"/>
                    <w:right w:val="single" w:sz="4" w:space="0" w:color="auto"/>
                  </w:tcBorders>
                </w:tcPr>
                <w:p w:rsidR="00556AA2" w:rsidRPr="00C13D94" w:rsidRDefault="00556AA2" w:rsidP="00DF147D"/>
              </w:tc>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c>
                <w:tcPr>
                  <w:tcW w:w="9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r>
            <w:tr w:rsidR="00556AA2" w:rsidRPr="00C13D94" w:rsidTr="00DF147D">
              <w:trPr>
                <w:trHeight w:val="300"/>
              </w:trPr>
              <w:tc>
                <w:tcPr>
                  <w:tcW w:w="468" w:type="pct"/>
                  <w:tcBorders>
                    <w:top w:val="single" w:sz="4" w:space="0" w:color="auto"/>
                    <w:left w:val="single" w:sz="4" w:space="0" w:color="auto"/>
                    <w:bottom w:val="single" w:sz="4" w:space="0" w:color="auto"/>
                    <w:right w:val="single" w:sz="4" w:space="0" w:color="auto"/>
                  </w:tcBorders>
                </w:tcPr>
                <w:p w:rsidR="00556AA2" w:rsidRPr="00C13D94" w:rsidRDefault="00556AA2" w:rsidP="00DF147D"/>
              </w:tc>
              <w:tc>
                <w:tcPr>
                  <w:tcW w:w="2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c>
                <w:tcPr>
                  <w:tcW w:w="9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 </w:t>
                  </w:r>
                </w:p>
              </w:tc>
            </w:tr>
          </w:tbl>
          <w:p w:rsidR="00556AA2" w:rsidRPr="00C13D94" w:rsidRDefault="00556AA2" w:rsidP="00DF147D"/>
        </w:tc>
      </w:tr>
      <w:tr w:rsidR="00556AA2" w:rsidRPr="00C13D94" w:rsidTr="00B12EA0">
        <w:trPr>
          <w:gridBefore w:val="1"/>
          <w:gridAfter w:val="1"/>
          <w:wBefore w:w="59" w:type="pct"/>
          <w:wAfter w:w="158" w:type="pct"/>
          <w:trHeight w:val="182"/>
        </w:trPr>
        <w:tc>
          <w:tcPr>
            <w:tcW w:w="1263" w:type="pct"/>
            <w:gridSpan w:val="5"/>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p>
        </w:tc>
        <w:tc>
          <w:tcPr>
            <w:tcW w:w="400" w:type="pct"/>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Finanšu līdzekļu atlikums no iepriek</w:t>
            </w:r>
            <w:r w:rsidRPr="00C13D94">
              <w:softHyphen/>
              <w:t>šējā perioda</w:t>
            </w:r>
          </w:p>
        </w:tc>
        <w:tc>
          <w:tcPr>
            <w:tcW w:w="349" w:type="pct"/>
            <w:gridSpan w:val="2"/>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Saņemts pārskata periodā</w:t>
            </w:r>
          </w:p>
        </w:tc>
        <w:tc>
          <w:tcPr>
            <w:tcW w:w="323" w:type="pct"/>
            <w:gridSpan w:val="2"/>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Kopā finanšu līdzekļi pārska</w:t>
            </w:r>
            <w:r w:rsidRPr="00C13D94">
              <w:softHyphen/>
              <w:t>ta periodā</w:t>
            </w:r>
          </w:p>
        </w:tc>
        <w:tc>
          <w:tcPr>
            <w:tcW w:w="351" w:type="pct"/>
            <w:gridSpan w:val="3"/>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Kases izde</w:t>
            </w:r>
            <w:r w:rsidRPr="00C13D94">
              <w:softHyphen/>
              <w:t>vumi pārskata periodā</w:t>
            </w:r>
          </w:p>
        </w:tc>
        <w:tc>
          <w:tcPr>
            <w:tcW w:w="1669" w:type="pct"/>
            <w:gridSpan w:val="12"/>
            <w:tcBorders>
              <w:top w:val="single" w:sz="6" w:space="0" w:color="auto"/>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Tai skaitā</w:t>
            </w:r>
          </w:p>
        </w:tc>
        <w:tc>
          <w:tcPr>
            <w:tcW w:w="429" w:type="pct"/>
            <w:gridSpan w:val="3"/>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Līdzekļu atlikums uz pārskata perioda beigām</w:t>
            </w:r>
          </w:p>
        </w:tc>
      </w:tr>
      <w:tr w:rsidR="00556AA2" w:rsidRPr="00C13D94" w:rsidTr="00B12EA0">
        <w:trPr>
          <w:gridBefore w:val="1"/>
          <w:gridAfter w:val="1"/>
          <w:wBefore w:w="59" w:type="pct"/>
          <w:wAfter w:w="158" w:type="pct"/>
          <w:trHeight w:val="1597"/>
        </w:trPr>
        <w:tc>
          <w:tcPr>
            <w:tcW w:w="1263" w:type="pct"/>
            <w:gridSpan w:val="5"/>
            <w:vMerge/>
            <w:tcBorders>
              <w:top w:val="single" w:sz="4" w:space="0" w:color="auto"/>
              <w:left w:val="single" w:sz="4" w:space="0" w:color="auto"/>
              <w:bottom w:val="single" w:sz="4" w:space="0" w:color="auto"/>
              <w:right w:val="single" w:sz="4" w:space="0" w:color="auto"/>
            </w:tcBorders>
            <w:vAlign w:val="center"/>
            <w:hideMark/>
          </w:tcPr>
          <w:p w:rsidR="00556AA2" w:rsidRPr="00C13D94" w:rsidRDefault="00556AA2" w:rsidP="00DF147D"/>
        </w:tc>
        <w:tc>
          <w:tcPr>
            <w:tcW w:w="400" w:type="pct"/>
            <w:vMerge/>
            <w:tcBorders>
              <w:top w:val="single" w:sz="4" w:space="0" w:color="auto"/>
              <w:left w:val="single" w:sz="4" w:space="0" w:color="auto"/>
              <w:bottom w:val="single" w:sz="4" w:space="0" w:color="auto"/>
              <w:right w:val="single" w:sz="4" w:space="0" w:color="auto"/>
            </w:tcBorders>
            <w:vAlign w:val="center"/>
            <w:hideMark/>
          </w:tcPr>
          <w:p w:rsidR="00556AA2" w:rsidRPr="00C13D94" w:rsidRDefault="00556AA2" w:rsidP="00DF147D"/>
        </w:tc>
        <w:tc>
          <w:tcPr>
            <w:tcW w:w="3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6AA2" w:rsidRPr="00C13D94" w:rsidRDefault="00556AA2" w:rsidP="00DF147D"/>
        </w:tc>
        <w:tc>
          <w:tcPr>
            <w:tcW w:w="323" w:type="pct"/>
            <w:gridSpan w:val="2"/>
            <w:vMerge/>
            <w:tcBorders>
              <w:top w:val="single" w:sz="4" w:space="0" w:color="auto"/>
              <w:left w:val="single" w:sz="4" w:space="0" w:color="auto"/>
              <w:bottom w:val="single" w:sz="4" w:space="0" w:color="auto"/>
              <w:right w:val="single" w:sz="4" w:space="0" w:color="auto"/>
            </w:tcBorders>
            <w:vAlign w:val="center"/>
            <w:hideMark/>
          </w:tcPr>
          <w:p w:rsidR="00556AA2" w:rsidRPr="00C13D94" w:rsidRDefault="00556AA2" w:rsidP="00DF147D"/>
        </w:tc>
        <w:tc>
          <w:tcPr>
            <w:tcW w:w="351" w:type="pct"/>
            <w:gridSpan w:val="3"/>
            <w:vMerge/>
            <w:tcBorders>
              <w:top w:val="single" w:sz="4" w:space="0" w:color="auto"/>
              <w:left w:val="single" w:sz="4" w:space="0" w:color="auto"/>
              <w:bottom w:val="single" w:sz="4" w:space="0" w:color="000000"/>
              <w:right w:val="single" w:sz="4" w:space="0" w:color="auto"/>
            </w:tcBorders>
            <w:vAlign w:val="center"/>
            <w:hideMark/>
          </w:tcPr>
          <w:p w:rsidR="00556AA2" w:rsidRPr="00C13D94" w:rsidRDefault="00556AA2" w:rsidP="00DF147D"/>
        </w:tc>
        <w:tc>
          <w:tcPr>
            <w:tcW w:w="253" w:type="pct"/>
            <w:gridSpan w:val="3"/>
            <w:tcBorders>
              <w:top w:val="single" w:sz="4" w:space="0" w:color="auto"/>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da</w:t>
            </w:r>
            <w:r w:rsidRPr="00C13D94">
              <w:softHyphen/>
              <w:t>r</w:t>
            </w:r>
            <w:r w:rsidRPr="00C13D94">
              <w:softHyphen/>
              <w:t>ba alga</w:t>
            </w:r>
          </w:p>
          <w:p w:rsidR="00556AA2" w:rsidRPr="00C13D94" w:rsidRDefault="00556AA2" w:rsidP="00DF147D">
            <w:pPr>
              <w:jc w:val="center"/>
            </w:pPr>
            <w:r w:rsidRPr="00C13D94">
              <w:t>EKK 1119</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pie</w:t>
            </w:r>
            <w:r w:rsidRPr="00C13D94">
              <w:softHyphen/>
              <w:t>mak</w:t>
            </w:r>
            <w:r w:rsidRPr="00C13D94">
              <w:softHyphen/>
              <w:t>sas</w:t>
            </w:r>
          </w:p>
          <w:p w:rsidR="00556AA2" w:rsidRPr="00C13D94" w:rsidRDefault="00556AA2" w:rsidP="00DF147D">
            <w:pPr>
              <w:jc w:val="center"/>
            </w:pPr>
            <w:r w:rsidRPr="00C13D94">
              <w:t>EKK 1146</w:t>
            </w:r>
          </w:p>
        </w:tc>
        <w:tc>
          <w:tcPr>
            <w:tcW w:w="299" w:type="pct"/>
            <w:gridSpan w:val="3"/>
            <w:tcBorders>
              <w:top w:val="single" w:sz="4" w:space="0" w:color="auto"/>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citas izmak</w:t>
            </w:r>
            <w:r w:rsidRPr="00C13D94">
              <w:softHyphen/>
              <w:t>sas</w:t>
            </w:r>
            <w:r w:rsidRPr="00C13D94">
              <w:rPr>
                <w:b/>
                <w:bCs/>
              </w:rPr>
              <w:t>*</w:t>
            </w:r>
          </w:p>
        </w:tc>
        <w:tc>
          <w:tcPr>
            <w:tcW w:w="434" w:type="pct"/>
            <w:gridSpan w:val="2"/>
            <w:tcBorders>
              <w:top w:val="single" w:sz="4" w:space="0" w:color="auto"/>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kopā darba samaksai</w:t>
            </w:r>
          </w:p>
        </w:tc>
        <w:tc>
          <w:tcPr>
            <w:tcW w:w="435" w:type="pct"/>
            <w:gridSpan w:val="3"/>
            <w:tcBorders>
              <w:top w:val="single" w:sz="4" w:space="0" w:color="auto"/>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valsts sociālās apdrošinā</w:t>
            </w:r>
            <w:r w:rsidRPr="00C13D94">
              <w:softHyphen/>
              <w:t>šanas obligātās iemaksas</w:t>
            </w:r>
          </w:p>
          <w:p w:rsidR="00556AA2" w:rsidRPr="00C13D94" w:rsidRDefault="00556AA2" w:rsidP="00DF147D">
            <w:pPr>
              <w:jc w:val="center"/>
            </w:pPr>
            <w:r w:rsidRPr="00C13D94">
              <w:t xml:space="preserve">EKK </w:t>
            </w:r>
          </w:p>
          <w:p w:rsidR="00556AA2" w:rsidRPr="00C13D94" w:rsidRDefault="00556AA2" w:rsidP="00DF147D">
            <w:pPr>
              <w:jc w:val="center"/>
            </w:pPr>
            <w:r w:rsidRPr="00C13D94">
              <w:t>1210</w:t>
            </w:r>
          </w:p>
        </w:tc>
        <w:tc>
          <w:tcPr>
            <w:tcW w:w="429" w:type="pct"/>
            <w:gridSpan w:val="3"/>
            <w:vMerge/>
            <w:tcBorders>
              <w:top w:val="single" w:sz="4" w:space="0" w:color="auto"/>
              <w:left w:val="single" w:sz="4" w:space="0" w:color="auto"/>
              <w:bottom w:val="single" w:sz="4" w:space="0" w:color="auto"/>
              <w:right w:val="single" w:sz="4" w:space="0" w:color="auto"/>
            </w:tcBorders>
            <w:vAlign w:val="center"/>
            <w:hideMark/>
          </w:tcPr>
          <w:p w:rsidR="00556AA2" w:rsidRPr="00C13D94" w:rsidRDefault="00556AA2" w:rsidP="00DF147D"/>
        </w:tc>
      </w:tr>
      <w:tr w:rsidR="00556AA2" w:rsidRPr="00C13D94" w:rsidTr="00B12EA0">
        <w:trPr>
          <w:gridBefore w:val="1"/>
          <w:gridAfter w:val="1"/>
          <w:wBefore w:w="59" w:type="pct"/>
          <w:wAfter w:w="158" w:type="pct"/>
          <w:trHeight w:val="255"/>
        </w:trPr>
        <w:tc>
          <w:tcPr>
            <w:tcW w:w="1263"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56AA2" w:rsidRPr="00C13D94" w:rsidRDefault="00556AA2" w:rsidP="00DF147D">
            <w:pPr>
              <w:jc w:val="center"/>
            </w:pPr>
            <w:r w:rsidRPr="00C13D94">
              <w:t>1</w:t>
            </w:r>
          </w:p>
        </w:tc>
        <w:tc>
          <w:tcPr>
            <w:tcW w:w="400" w:type="pct"/>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2</w:t>
            </w:r>
          </w:p>
        </w:tc>
        <w:tc>
          <w:tcPr>
            <w:tcW w:w="349" w:type="pct"/>
            <w:gridSpan w:val="2"/>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3</w:t>
            </w:r>
          </w:p>
        </w:tc>
        <w:tc>
          <w:tcPr>
            <w:tcW w:w="323" w:type="pct"/>
            <w:gridSpan w:val="2"/>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4</w:t>
            </w:r>
          </w:p>
        </w:tc>
        <w:tc>
          <w:tcPr>
            <w:tcW w:w="351" w:type="pct"/>
            <w:gridSpan w:val="3"/>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5 = 9 + 10</w:t>
            </w:r>
          </w:p>
        </w:tc>
        <w:tc>
          <w:tcPr>
            <w:tcW w:w="253" w:type="pct"/>
            <w:gridSpan w:val="3"/>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6</w:t>
            </w:r>
          </w:p>
        </w:tc>
        <w:tc>
          <w:tcPr>
            <w:tcW w:w="248" w:type="pct"/>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7</w:t>
            </w:r>
          </w:p>
        </w:tc>
        <w:tc>
          <w:tcPr>
            <w:tcW w:w="299" w:type="pct"/>
            <w:gridSpan w:val="3"/>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8</w:t>
            </w:r>
          </w:p>
        </w:tc>
        <w:tc>
          <w:tcPr>
            <w:tcW w:w="434" w:type="pct"/>
            <w:gridSpan w:val="2"/>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9 = 6 + 7 + 8</w:t>
            </w:r>
          </w:p>
        </w:tc>
        <w:tc>
          <w:tcPr>
            <w:tcW w:w="435" w:type="pct"/>
            <w:gridSpan w:val="3"/>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10</w:t>
            </w:r>
          </w:p>
        </w:tc>
        <w:tc>
          <w:tcPr>
            <w:tcW w:w="429" w:type="pct"/>
            <w:gridSpan w:val="3"/>
            <w:tcBorders>
              <w:top w:val="nil"/>
              <w:left w:val="nil"/>
              <w:bottom w:val="single" w:sz="4" w:space="0" w:color="auto"/>
              <w:right w:val="single" w:sz="4" w:space="0" w:color="auto"/>
            </w:tcBorders>
            <w:shd w:val="clear" w:color="auto" w:fill="auto"/>
            <w:vAlign w:val="center"/>
            <w:hideMark/>
          </w:tcPr>
          <w:p w:rsidR="00556AA2" w:rsidRPr="00C13D94" w:rsidRDefault="00556AA2" w:rsidP="00DF147D">
            <w:pPr>
              <w:jc w:val="center"/>
            </w:pPr>
            <w:r w:rsidRPr="00C13D94">
              <w:t>11 = 2 + 3 – 5</w:t>
            </w:r>
          </w:p>
        </w:tc>
      </w:tr>
      <w:tr w:rsidR="00556AA2" w:rsidRPr="00C13D94" w:rsidTr="00B12EA0">
        <w:trPr>
          <w:gridBefore w:val="1"/>
          <w:gridAfter w:val="1"/>
          <w:wBefore w:w="59" w:type="pct"/>
          <w:wAfter w:w="158" w:type="pct"/>
          <w:trHeight w:val="1494"/>
        </w:trPr>
        <w:tc>
          <w:tcPr>
            <w:tcW w:w="1263"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56AA2" w:rsidRPr="00C13D94" w:rsidRDefault="00556AA2" w:rsidP="00DF147D">
            <w:r w:rsidRPr="00C13D94">
              <w:t xml:space="preserve">Saskaņā ar noslēgto finansēšanas līgumu piešķirtā valsts budžeta finansējuma izlietojums profesionālās ievirzes izglītības iestāžu pedagogu darba samaksai un valsts sociālās apdrošināšanas </w:t>
            </w:r>
            <w:r w:rsidRPr="00C13D94">
              <w:lastRenderedPageBreak/>
              <w:t xml:space="preserve">obligātajām iemaksām </w:t>
            </w:r>
          </w:p>
        </w:tc>
        <w:tc>
          <w:tcPr>
            <w:tcW w:w="400" w:type="pct"/>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r w:rsidRPr="00C13D94">
              <w:rPr>
                <w:b/>
                <w:bCs/>
              </w:rPr>
              <w:lastRenderedPageBreak/>
              <w:t> </w:t>
            </w:r>
          </w:p>
        </w:tc>
        <w:tc>
          <w:tcPr>
            <w:tcW w:w="349" w:type="pct"/>
            <w:gridSpan w:val="2"/>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r w:rsidRPr="00C13D94">
              <w:rPr>
                <w:b/>
                <w:bCs/>
              </w:rPr>
              <w:t> </w:t>
            </w:r>
          </w:p>
        </w:tc>
        <w:tc>
          <w:tcPr>
            <w:tcW w:w="323" w:type="pct"/>
            <w:gridSpan w:val="2"/>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r w:rsidRPr="00C13D94">
              <w:rPr>
                <w:b/>
                <w:bCs/>
              </w:rPr>
              <w:t> </w:t>
            </w:r>
          </w:p>
        </w:tc>
        <w:tc>
          <w:tcPr>
            <w:tcW w:w="351" w:type="pct"/>
            <w:gridSpan w:val="3"/>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r w:rsidRPr="00C13D94">
              <w:rPr>
                <w:b/>
                <w:bCs/>
              </w:rPr>
              <w:t> </w:t>
            </w:r>
          </w:p>
        </w:tc>
        <w:tc>
          <w:tcPr>
            <w:tcW w:w="253" w:type="pct"/>
            <w:gridSpan w:val="3"/>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r w:rsidRPr="00C13D94">
              <w:rPr>
                <w:b/>
                <w:bCs/>
              </w:rPr>
              <w:t> </w:t>
            </w:r>
          </w:p>
        </w:tc>
        <w:tc>
          <w:tcPr>
            <w:tcW w:w="248" w:type="pct"/>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r w:rsidRPr="00C13D94">
              <w:rPr>
                <w:b/>
                <w:bCs/>
              </w:rPr>
              <w:t> </w:t>
            </w:r>
          </w:p>
        </w:tc>
        <w:tc>
          <w:tcPr>
            <w:tcW w:w="299" w:type="pct"/>
            <w:gridSpan w:val="3"/>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p>
        </w:tc>
        <w:tc>
          <w:tcPr>
            <w:tcW w:w="434" w:type="pct"/>
            <w:gridSpan w:val="2"/>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r w:rsidRPr="00C13D94">
              <w:rPr>
                <w:b/>
                <w:bCs/>
              </w:rPr>
              <w:t> </w:t>
            </w:r>
          </w:p>
        </w:tc>
        <w:tc>
          <w:tcPr>
            <w:tcW w:w="435" w:type="pct"/>
            <w:gridSpan w:val="3"/>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r w:rsidRPr="00C13D94">
              <w:rPr>
                <w:b/>
                <w:bCs/>
              </w:rPr>
              <w:t> </w:t>
            </w:r>
          </w:p>
          <w:p w:rsidR="00556AA2" w:rsidRPr="00C13D94" w:rsidRDefault="00556AA2" w:rsidP="00DF147D">
            <w:pPr>
              <w:jc w:val="center"/>
              <w:rPr>
                <w:b/>
                <w:bCs/>
              </w:rPr>
            </w:pPr>
            <w:r w:rsidRPr="00C13D94">
              <w:rPr>
                <w:b/>
                <w:bCs/>
              </w:rPr>
              <w:t> </w:t>
            </w:r>
          </w:p>
        </w:tc>
        <w:tc>
          <w:tcPr>
            <w:tcW w:w="429" w:type="pct"/>
            <w:gridSpan w:val="3"/>
            <w:tcBorders>
              <w:top w:val="nil"/>
              <w:left w:val="nil"/>
              <w:bottom w:val="single" w:sz="4" w:space="0" w:color="auto"/>
              <w:right w:val="single" w:sz="4" w:space="0" w:color="auto"/>
            </w:tcBorders>
            <w:shd w:val="clear" w:color="auto" w:fill="auto"/>
            <w:vAlign w:val="bottom"/>
            <w:hideMark/>
          </w:tcPr>
          <w:p w:rsidR="00556AA2" w:rsidRPr="00C13D94" w:rsidRDefault="00556AA2" w:rsidP="00DF147D">
            <w:pPr>
              <w:jc w:val="center"/>
              <w:rPr>
                <w:b/>
                <w:bCs/>
              </w:rPr>
            </w:pPr>
            <w:r w:rsidRPr="00C13D94">
              <w:rPr>
                <w:b/>
                <w:bCs/>
              </w:rPr>
              <w:t> </w:t>
            </w:r>
          </w:p>
        </w:tc>
      </w:tr>
      <w:tr w:rsidR="00C13D94" w:rsidRPr="00C13D94" w:rsidTr="00B12EA0">
        <w:trPr>
          <w:gridBefore w:val="1"/>
          <w:gridAfter w:val="1"/>
          <w:wBefore w:w="59" w:type="pct"/>
          <w:wAfter w:w="158" w:type="pct"/>
          <w:trHeight w:val="423"/>
        </w:trPr>
        <w:tc>
          <w:tcPr>
            <w:tcW w:w="1263" w:type="pct"/>
            <w:gridSpan w:val="5"/>
            <w:tcBorders>
              <w:top w:val="nil"/>
              <w:left w:val="nil"/>
              <w:bottom w:val="nil"/>
              <w:right w:val="nil"/>
            </w:tcBorders>
            <w:shd w:val="clear" w:color="auto" w:fill="auto"/>
            <w:noWrap/>
            <w:vAlign w:val="bottom"/>
            <w:hideMark/>
          </w:tcPr>
          <w:p w:rsidR="00556AA2" w:rsidRPr="00C13D94" w:rsidRDefault="00556AA2" w:rsidP="00DF147D">
            <w:pPr>
              <w:ind w:firstLine="709"/>
              <w:rPr>
                <w:u w:val="single"/>
              </w:rPr>
            </w:pPr>
            <w:r w:rsidRPr="00C13D94">
              <w:lastRenderedPageBreak/>
              <w:t>Piezīme.* Citas izmaksas:</w:t>
            </w:r>
          </w:p>
          <w:p w:rsidR="00556AA2" w:rsidRPr="00C13D94" w:rsidRDefault="00556AA2" w:rsidP="00DF147D">
            <w:pPr>
              <w:rPr>
                <w:u w:val="single"/>
              </w:rPr>
            </w:pPr>
          </w:p>
        </w:tc>
        <w:tc>
          <w:tcPr>
            <w:tcW w:w="400" w:type="pct"/>
            <w:tcBorders>
              <w:top w:val="nil"/>
              <w:left w:val="nil"/>
              <w:bottom w:val="single" w:sz="4" w:space="0" w:color="auto"/>
              <w:right w:val="nil"/>
            </w:tcBorders>
            <w:shd w:val="clear" w:color="auto" w:fill="auto"/>
            <w:vAlign w:val="bottom"/>
            <w:hideMark/>
          </w:tcPr>
          <w:p w:rsidR="00556AA2" w:rsidRPr="00C13D94" w:rsidRDefault="00556AA2" w:rsidP="00DF147D"/>
        </w:tc>
        <w:tc>
          <w:tcPr>
            <w:tcW w:w="349" w:type="pct"/>
            <w:gridSpan w:val="2"/>
            <w:tcBorders>
              <w:top w:val="nil"/>
              <w:left w:val="nil"/>
              <w:bottom w:val="single" w:sz="4" w:space="0" w:color="auto"/>
              <w:right w:val="nil"/>
            </w:tcBorders>
            <w:shd w:val="clear" w:color="auto" w:fill="auto"/>
            <w:vAlign w:val="bottom"/>
            <w:hideMark/>
          </w:tcPr>
          <w:p w:rsidR="00556AA2" w:rsidRPr="00C13D94" w:rsidRDefault="00556AA2" w:rsidP="00DF147D">
            <w:pPr>
              <w:jc w:val="center"/>
            </w:pPr>
          </w:p>
        </w:tc>
        <w:tc>
          <w:tcPr>
            <w:tcW w:w="323" w:type="pct"/>
            <w:gridSpan w:val="2"/>
            <w:tcBorders>
              <w:top w:val="nil"/>
              <w:left w:val="nil"/>
              <w:bottom w:val="nil"/>
              <w:right w:val="nil"/>
            </w:tcBorders>
            <w:shd w:val="clear" w:color="auto" w:fill="auto"/>
            <w:vAlign w:val="bottom"/>
            <w:hideMark/>
          </w:tcPr>
          <w:p w:rsidR="00556AA2" w:rsidRPr="00C13D94" w:rsidRDefault="00556AA2" w:rsidP="00DF147D">
            <w:pPr>
              <w:jc w:val="center"/>
            </w:pPr>
          </w:p>
        </w:tc>
        <w:tc>
          <w:tcPr>
            <w:tcW w:w="351" w:type="pct"/>
            <w:gridSpan w:val="3"/>
            <w:tcBorders>
              <w:top w:val="nil"/>
              <w:left w:val="nil"/>
              <w:bottom w:val="nil"/>
              <w:right w:val="nil"/>
            </w:tcBorders>
            <w:shd w:val="clear" w:color="auto" w:fill="auto"/>
            <w:vAlign w:val="bottom"/>
            <w:hideMark/>
          </w:tcPr>
          <w:p w:rsidR="00556AA2" w:rsidRPr="00C13D94" w:rsidRDefault="00556AA2" w:rsidP="00DF147D">
            <w:pPr>
              <w:jc w:val="center"/>
            </w:pPr>
          </w:p>
        </w:tc>
        <w:tc>
          <w:tcPr>
            <w:tcW w:w="253" w:type="pct"/>
            <w:gridSpan w:val="3"/>
            <w:tcBorders>
              <w:top w:val="nil"/>
              <w:left w:val="nil"/>
              <w:bottom w:val="nil"/>
              <w:right w:val="nil"/>
            </w:tcBorders>
            <w:shd w:val="clear" w:color="auto" w:fill="auto"/>
            <w:vAlign w:val="bottom"/>
            <w:hideMark/>
          </w:tcPr>
          <w:p w:rsidR="00556AA2" w:rsidRPr="00C13D94" w:rsidRDefault="00556AA2" w:rsidP="00DF147D">
            <w:pPr>
              <w:jc w:val="center"/>
            </w:pPr>
          </w:p>
        </w:tc>
        <w:tc>
          <w:tcPr>
            <w:tcW w:w="248" w:type="pct"/>
            <w:tcBorders>
              <w:top w:val="nil"/>
              <w:left w:val="nil"/>
              <w:bottom w:val="nil"/>
              <w:right w:val="nil"/>
            </w:tcBorders>
            <w:shd w:val="clear" w:color="auto" w:fill="auto"/>
            <w:vAlign w:val="bottom"/>
            <w:hideMark/>
          </w:tcPr>
          <w:p w:rsidR="00556AA2" w:rsidRPr="00C13D94" w:rsidRDefault="00556AA2" w:rsidP="00DF147D">
            <w:pPr>
              <w:jc w:val="center"/>
            </w:pPr>
          </w:p>
        </w:tc>
        <w:tc>
          <w:tcPr>
            <w:tcW w:w="299" w:type="pct"/>
            <w:gridSpan w:val="3"/>
            <w:tcBorders>
              <w:top w:val="nil"/>
              <w:left w:val="nil"/>
              <w:bottom w:val="nil"/>
              <w:right w:val="nil"/>
            </w:tcBorders>
            <w:shd w:val="clear" w:color="auto" w:fill="auto"/>
            <w:vAlign w:val="bottom"/>
            <w:hideMark/>
          </w:tcPr>
          <w:p w:rsidR="00556AA2" w:rsidRPr="00C13D94" w:rsidRDefault="00556AA2" w:rsidP="00DF147D">
            <w:pPr>
              <w:jc w:val="center"/>
            </w:pPr>
          </w:p>
        </w:tc>
        <w:tc>
          <w:tcPr>
            <w:tcW w:w="434" w:type="pct"/>
            <w:gridSpan w:val="2"/>
            <w:tcBorders>
              <w:top w:val="nil"/>
              <w:left w:val="nil"/>
              <w:bottom w:val="nil"/>
              <w:right w:val="nil"/>
            </w:tcBorders>
            <w:shd w:val="clear" w:color="auto" w:fill="auto"/>
            <w:vAlign w:val="bottom"/>
            <w:hideMark/>
          </w:tcPr>
          <w:p w:rsidR="00556AA2" w:rsidRPr="00C13D94" w:rsidRDefault="00556AA2" w:rsidP="00DF147D">
            <w:pPr>
              <w:jc w:val="center"/>
            </w:pPr>
          </w:p>
        </w:tc>
        <w:tc>
          <w:tcPr>
            <w:tcW w:w="425" w:type="pct"/>
            <w:gridSpan w:val="2"/>
            <w:tcBorders>
              <w:top w:val="nil"/>
              <w:left w:val="nil"/>
              <w:bottom w:val="nil"/>
              <w:right w:val="nil"/>
            </w:tcBorders>
            <w:shd w:val="clear" w:color="auto" w:fill="auto"/>
            <w:vAlign w:val="bottom"/>
            <w:hideMark/>
          </w:tcPr>
          <w:p w:rsidR="00556AA2" w:rsidRPr="00C13D94" w:rsidRDefault="00556AA2" w:rsidP="00DF147D">
            <w:pPr>
              <w:jc w:val="center"/>
              <w:rPr>
                <w:b/>
                <w:bCs/>
              </w:rPr>
            </w:pPr>
          </w:p>
        </w:tc>
        <w:tc>
          <w:tcPr>
            <w:tcW w:w="180" w:type="pct"/>
            <w:gridSpan w:val="2"/>
            <w:tcBorders>
              <w:top w:val="nil"/>
              <w:left w:val="nil"/>
              <w:bottom w:val="nil"/>
              <w:right w:val="nil"/>
            </w:tcBorders>
            <w:shd w:val="clear" w:color="auto" w:fill="auto"/>
            <w:vAlign w:val="bottom"/>
            <w:hideMark/>
          </w:tcPr>
          <w:p w:rsidR="00556AA2" w:rsidRPr="00C13D94" w:rsidRDefault="00556AA2" w:rsidP="00DF147D">
            <w:pPr>
              <w:jc w:val="center"/>
            </w:pPr>
          </w:p>
        </w:tc>
        <w:tc>
          <w:tcPr>
            <w:tcW w:w="259" w:type="pct"/>
            <w:gridSpan w:val="2"/>
            <w:tcBorders>
              <w:top w:val="nil"/>
              <w:left w:val="nil"/>
              <w:bottom w:val="nil"/>
              <w:right w:val="nil"/>
            </w:tcBorders>
            <w:shd w:val="clear" w:color="auto" w:fill="auto"/>
            <w:noWrap/>
            <w:vAlign w:val="bottom"/>
            <w:hideMark/>
          </w:tcPr>
          <w:p w:rsidR="00556AA2" w:rsidRPr="00C13D94" w:rsidRDefault="00556AA2" w:rsidP="00DF147D"/>
        </w:tc>
      </w:tr>
      <w:tr w:rsidR="00C13D94" w:rsidRPr="00C13D94" w:rsidTr="00B12EA0">
        <w:trPr>
          <w:gridBefore w:val="1"/>
          <w:gridAfter w:val="1"/>
          <w:wBefore w:w="59" w:type="pct"/>
          <w:wAfter w:w="158" w:type="pct"/>
          <w:trHeight w:val="278"/>
        </w:trPr>
        <w:tc>
          <w:tcPr>
            <w:tcW w:w="363" w:type="pct"/>
            <w:gridSpan w:val="2"/>
            <w:tcBorders>
              <w:top w:val="nil"/>
              <w:left w:val="nil"/>
              <w:bottom w:val="nil"/>
              <w:right w:val="nil"/>
            </w:tcBorders>
            <w:shd w:val="clear" w:color="auto" w:fill="auto"/>
            <w:noWrap/>
            <w:vAlign w:val="bottom"/>
            <w:hideMark/>
          </w:tcPr>
          <w:p w:rsidR="00556AA2" w:rsidRPr="00C13D94" w:rsidRDefault="00556AA2" w:rsidP="00DF147D"/>
        </w:tc>
        <w:tc>
          <w:tcPr>
            <w:tcW w:w="8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Citas izmaksas kopā, Ls:</w:t>
            </w:r>
          </w:p>
        </w:tc>
        <w:tc>
          <w:tcPr>
            <w:tcW w:w="749" w:type="pct"/>
            <w:gridSpan w:val="3"/>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r w:rsidRPr="00C13D94">
              <w:t> </w:t>
            </w:r>
          </w:p>
        </w:tc>
        <w:tc>
          <w:tcPr>
            <w:tcW w:w="323" w:type="pct"/>
            <w:gridSpan w:val="2"/>
            <w:tcBorders>
              <w:top w:val="nil"/>
              <w:left w:val="single" w:sz="4" w:space="0" w:color="auto"/>
              <w:bottom w:val="nil"/>
              <w:right w:val="nil"/>
            </w:tcBorders>
            <w:shd w:val="clear" w:color="auto" w:fill="auto"/>
            <w:vAlign w:val="bottom"/>
            <w:hideMark/>
          </w:tcPr>
          <w:p w:rsidR="00556AA2" w:rsidRPr="00C13D94" w:rsidRDefault="00556AA2" w:rsidP="00DF147D"/>
        </w:tc>
        <w:tc>
          <w:tcPr>
            <w:tcW w:w="351" w:type="pct"/>
            <w:gridSpan w:val="3"/>
            <w:tcBorders>
              <w:top w:val="nil"/>
              <w:left w:val="nil"/>
              <w:bottom w:val="nil"/>
              <w:right w:val="nil"/>
            </w:tcBorders>
            <w:shd w:val="clear" w:color="auto" w:fill="auto"/>
            <w:vAlign w:val="bottom"/>
            <w:hideMark/>
          </w:tcPr>
          <w:p w:rsidR="00556AA2" w:rsidRPr="00C13D94" w:rsidRDefault="00556AA2" w:rsidP="00DF147D"/>
        </w:tc>
        <w:tc>
          <w:tcPr>
            <w:tcW w:w="253" w:type="pct"/>
            <w:gridSpan w:val="3"/>
            <w:tcBorders>
              <w:top w:val="nil"/>
              <w:left w:val="nil"/>
              <w:bottom w:val="nil"/>
              <w:right w:val="nil"/>
            </w:tcBorders>
            <w:shd w:val="clear" w:color="auto" w:fill="auto"/>
            <w:noWrap/>
            <w:vAlign w:val="bottom"/>
            <w:hideMark/>
          </w:tcPr>
          <w:p w:rsidR="00556AA2" w:rsidRPr="00C13D94" w:rsidRDefault="00556AA2" w:rsidP="00DF147D"/>
        </w:tc>
        <w:tc>
          <w:tcPr>
            <w:tcW w:w="248" w:type="pct"/>
            <w:tcBorders>
              <w:top w:val="nil"/>
              <w:left w:val="nil"/>
              <w:bottom w:val="nil"/>
              <w:right w:val="nil"/>
            </w:tcBorders>
            <w:shd w:val="clear" w:color="auto" w:fill="auto"/>
            <w:noWrap/>
            <w:vAlign w:val="bottom"/>
            <w:hideMark/>
          </w:tcPr>
          <w:p w:rsidR="00556AA2" w:rsidRPr="00C13D94" w:rsidRDefault="00556AA2" w:rsidP="00DF147D"/>
        </w:tc>
        <w:tc>
          <w:tcPr>
            <w:tcW w:w="299" w:type="pct"/>
            <w:gridSpan w:val="3"/>
            <w:tcBorders>
              <w:top w:val="nil"/>
              <w:left w:val="nil"/>
              <w:bottom w:val="nil"/>
              <w:right w:val="nil"/>
            </w:tcBorders>
            <w:shd w:val="clear" w:color="auto" w:fill="auto"/>
            <w:noWrap/>
            <w:vAlign w:val="bottom"/>
            <w:hideMark/>
          </w:tcPr>
          <w:p w:rsidR="00556AA2" w:rsidRPr="00C13D94" w:rsidRDefault="00556AA2" w:rsidP="00DF147D"/>
        </w:tc>
        <w:tc>
          <w:tcPr>
            <w:tcW w:w="434" w:type="pct"/>
            <w:gridSpan w:val="2"/>
            <w:tcBorders>
              <w:top w:val="nil"/>
              <w:left w:val="nil"/>
              <w:bottom w:val="nil"/>
              <w:right w:val="nil"/>
            </w:tcBorders>
            <w:shd w:val="clear" w:color="auto" w:fill="auto"/>
            <w:noWrap/>
            <w:vAlign w:val="bottom"/>
            <w:hideMark/>
          </w:tcPr>
          <w:p w:rsidR="00556AA2" w:rsidRPr="00C13D94" w:rsidRDefault="00556AA2" w:rsidP="00DF147D"/>
        </w:tc>
        <w:tc>
          <w:tcPr>
            <w:tcW w:w="425" w:type="pct"/>
            <w:gridSpan w:val="2"/>
            <w:tcBorders>
              <w:top w:val="nil"/>
              <w:left w:val="nil"/>
              <w:bottom w:val="nil"/>
              <w:right w:val="nil"/>
            </w:tcBorders>
            <w:shd w:val="clear" w:color="auto" w:fill="auto"/>
            <w:vAlign w:val="bottom"/>
            <w:hideMark/>
          </w:tcPr>
          <w:p w:rsidR="00556AA2" w:rsidRPr="00C13D94" w:rsidRDefault="00556AA2" w:rsidP="00DF147D">
            <w:pPr>
              <w:rPr>
                <w:b/>
                <w:bCs/>
              </w:rPr>
            </w:pPr>
          </w:p>
        </w:tc>
        <w:tc>
          <w:tcPr>
            <w:tcW w:w="180" w:type="pct"/>
            <w:gridSpan w:val="2"/>
            <w:tcBorders>
              <w:top w:val="nil"/>
              <w:left w:val="nil"/>
              <w:bottom w:val="nil"/>
              <w:right w:val="nil"/>
            </w:tcBorders>
            <w:shd w:val="clear" w:color="auto" w:fill="auto"/>
            <w:vAlign w:val="bottom"/>
            <w:hideMark/>
          </w:tcPr>
          <w:p w:rsidR="00556AA2" w:rsidRPr="00C13D94" w:rsidRDefault="00556AA2" w:rsidP="00DF147D"/>
        </w:tc>
        <w:tc>
          <w:tcPr>
            <w:tcW w:w="259" w:type="pct"/>
            <w:gridSpan w:val="2"/>
            <w:tcBorders>
              <w:top w:val="nil"/>
              <w:left w:val="nil"/>
              <w:bottom w:val="nil"/>
              <w:right w:val="nil"/>
            </w:tcBorders>
            <w:shd w:val="clear" w:color="auto" w:fill="auto"/>
            <w:noWrap/>
            <w:vAlign w:val="bottom"/>
            <w:hideMark/>
          </w:tcPr>
          <w:p w:rsidR="00556AA2" w:rsidRPr="00C13D94" w:rsidRDefault="00556AA2" w:rsidP="00DF147D"/>
        </w:tc>
      </w:tr>
      <w:tr w:rsidR="00556AA2" w:rsidRPr="00C13D94" w:rsidTr="00B12EA0">
        <w:trPr>
          <w:gridBefore w:val="1"/>
          <w:gridAfter w:val="1"/>
          <w:wBefore w:w="59" w:type="pct"/>
          <w:wAfter w:w="158" w:type="pct"/>
          <w:trHeight w:val="275"/>
        </w:trPr>
        <w:tc>
          <w:tcPr>
            <w:tcW w:w="363" w:type="pct"/>
            <w:gridSpan w:val="2"/>
            <w:tcBorders>
              <w:top w:val="nil"/>
              <w:left w:val="nil"/>
              <w:bottom w:val="nil"/>
              <w:right w:val="nil"/>
            </w:tcBorders>
            <w:shd w:val="clear" w:color="auto" w:fill="auto"/>
            <w:noWrap/>
            <w:vAlign w:val="bottom"/>
            <w:hideMark/>
          </w:tcPr>
          <w:p w:rsidR="00556AA2" w:rsidRPr="00C13D94" w:rsidRDefault="00556AA2" w:rsidP="00DF147D"/>
        </w:tc>
        <w:tc>
          <w:tcPr>
            <w:tcW w:w="899" w:type="pct"/>
            <w:gridSpan w:val="3"/>
            <w:tcBorders>
              <w:top w:val="nil"/>
              <w:left w:val="single" w:sz="4" w:space="0" w:color="auto"/>
              <w:bottom w:val="single" w:sz="4" w:space="0" w:color="auto"/>
              <w:right w:val="single" w:sz="4" w:space="0" w:color="auto"/>
            </w:tcBorders>
            <w:shd w:val="clear" w:color="auto" w:fill="auto"/>
            <w:vAlign w:val="bottom"/>
            <w:hideMark/>
          </w:tcPr>
          <w:p w:rsidR="00556AA2" w:rsidRPr="00C13D94" w:rsidRDefault="00556AA2" w:rsidP="00DF147D">
            <w:r w:rsidRPr="00C13D94">
              <w:t xml:space="preserve">t.sk. pa izmaksu veidiem (nosaukums) </w:t>
            </w:r>
          </w:p>
        </w:tc>
        <w:tc>
          <w:tcPr>
            <w:tcW w:w="400" w:type="pct"/>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pPr>
              <w:jc w:val="center"/>
            </w:pPr>
            <w:r w:rsidRPr="00C13D94">
              <w:t>EKK kods </w:t>
            </w:r>
          </w:p>
        </w:tc>
        <w:tc>
          <w:tcPr>
            <w:tcW w:w="349" w:type="pct"/>
            <w:gridSpan w:val="2"/>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556AA2">
            <w:r w:rsidRPr="00C13D94">
              <w:t>Summa (</w:t>
            </w:r>
            <w:r w:rsidRPr="00C13D94">
              <w:rPr>
                <w:i/>
              </w:rPr>
              <w:t>euro</w:t>
            </w:r>
            <w:r w:rsidRPr="00C13D94">
              <w:t>)</w:t>
            </w:r>
          </w:p>
        </w:tc>
        <w:tc>
          <w:tcPr>
            <w:tcW w:w="323" w:type="pct"/>
            <w:gridSpan w:val="2"/>
            <w:tcBorders>
              <w:top w:val="nil"/>
              <w:left w:val="single" w:sz="4" w:space="0" w:color="auto"/>
              <w:bottom w:val="nil"/>
              <w:right w:val="nil"/>
            </w:tcBorders>
            <w:shd w:val="clear" w:color="auto" w:fill="auto"/>
            <w:vAlign w:val="bottom"/>
            <w:hideMark/>
          </w:tcPr>
          <w:p w:rsidR="00556AA2" w:rsidRPr="00C13D94" w:rsidRDefault="00556AA2" w:rsidP="00DF147D"/>
        </w:tc>
        <w:tc>
          <w:tcPr>
            <w:tcW w:w="351" w:type="pct"/>
            <w:gridSpan w:val="3"/>
            <w:tcBorders>
              <w:top w:val="nil"/>
              <w:left w:val="nil"/>
              <w:bottom w:val="nil"/>
              <w:right w:val="nil"/>
            </w:tcBorders>
            <w:shd w:val="clear" w:color="auto" w:fill="auto"/>
            <w:vAlign w:val="bottom"/>
            <w:hideMark/>
          </w:tcPr>
          <w:p w:rsidR="00556AA2" w:rsidRPr="00C13D94" w:rsidRDefault="00556AA2" w:rsidP="00DF147D"/>
        </w:tc>
        <w:tc>
          <w:tcPr>
            <w:tcW w:w="253" w:type="pct"/>
            <w:gridSpan w:val="3"/>
            <w:tcBorders>
              <w:top w:val="nil"/>
              <w:left w:val="nil"/>
              <w:bottom w:val="nil"/>
              <w:right w:val="nil"/>
            </w:tcBorders>
            <w:shd w:val="clear" w:color="auto" w:fill="auto"/>
            <w:noWrap/>
            <w:vAlign w:val="bottom"/>
            <w:hideMark/>
          </w:tcPr>
          <w:p w:rsidR="00556AA2" w:rsidRPr="00C13D94" w:rsidRDefault="00556AA2" w:rsidP="00DF147D"/>
        </w:tc>
        <w:tc>
          <w:tcPr>
            <w:tcW w:w="248" w:type="pct"/>
            <w:tcBorders>
              <w:top w:val="nil"/>
              <w:left w:val="nil"/>
              <w:bottom w:val="nil"/>
              <w:right w:val="nil"/>
            </w:tcBorders>
            <w:shd w:val="clear" w:color="auto" w:fill="auto"/>
            <w:noWrap/>
            <w:vAlign w:val="bottom"/>
            <w:hideMark/>
          </w:tcPr>
          <w:p w:rsidR="00556AA2" w:rsidRPr="00C13D94" w:rsidRDefault="00556AA2" w:rsidP="00DF147D"/>
        </w:tc>
        <w:tc>
          <w:tcPr>
            <w:tcW w:w="299" w:type="pct"/>
            <w:gridSpan w:val="3"/>
            <w:tcBorders>
              <w:top w:val="nil"/>
              <w:left w:val="nil"/>
              <w:bottom w:val="nil"/>
              <w:right w:val="nil"/>
            </w:tcBorders>
            <w:shd w:val="clear" w:color="auto" w:fill="auto"/>
            <w:noWrap/>
            <w:vAlign w:val="bottom"/>
            <w:hideMark/>
          </w:tcPr>
          <w:p w:rsidR="00556AA2" w:rsidRPr="00C13D94" w:rsidRDefault="00556AA2" w:rsidP="00DF147D"/>
        </w:tc>
        <w:tc>
          <w:tcPr>
            <w:tcW w:w="434" w:type="pct"/>
            <w:gridSpan w:val="2"/>
            <w:tcBorders>
              <w:top w:val="nil"/>
              <w:left w:val="nil"/>
              <w:bottom w:val="nil"/>
              <w:right w:val="nil"/>
            </w:tcBorders>
            <w:shd w:val="clear" w:color="auto" w:fill="auto"/>
            <w:noWrap/>
            <w:vAlign w:val="bottom"/>
            <w:hideMark/>
          </w:tcPr>
          <w:p w:rsidR="00556AA2" w:rsidRPr="00C13D94" w:rsidRDefault="00556AA2" w:rsidP="00DF147D"/>
        </w:tc>
        <w:tc>
          <w:tcPr>
            <w:tcW w:w="425" w:type="pct"/>
            <w:gridSpan w:val="2"/>
            <w:tcBorders>
              <w:top w:val="nil"/>
              <w:left w:val="nil"/>
              <w:bottom w:val="nil"/>
              <w:right w:val="nil"/>
            </w:tcBorders>
            <w:shd w:val="clear" w:color="auto" w:fill="auto"/>
            <w:vAlign w:val="bottom"/>
            <w:hideMark/>
          </w:tcPr>
          <w:p w:rsidR="00556AA2" w:rsidRPr="00C13D94" w:rsidRDefault="00556AA2" w:rsidP="00DF147D">
            <w:pPr>
              <w:rPr>
                <w:b/>
                <w:bCs/>
              </w:rPr>
            </w:pPr>
          </w:p>
        </w:tc>
        <w:tc>
          <w:tcPr>
            <w:tcW w:w="180" w:type="pct"/>
            <w:gridSpan w:val="2"/>
            <w:tcBorders>
              <w:top w:val="nil"/>
              <w:left w:val="nil"/>
              <w:bottom w:val="nil"/>
              <w:right w:val="nil"/>
            </w:tcBorders>
            <w:shd w:val="clear" w:color="auto" w:fill="auto"/>
            <w:vAlign w:val="bottom"/>
            <w:hideMark/>
          </w:tcPr>
          <w:p w:rsidR="00556AA2" w:rsidRPr="00C13D94" w:rsidRDefault="00556AA2" w:rsidP="00DF147D"/>
        </w:tc>
        <w:tc>
          <w:tcPr>
            <w:tcW w:w="259" w:type="pct"/>
            <w:gridSpan w:val="2"/>
            <w:tcBorders>
              <w:top w:val="nil"/>
              <w:left w:val="nil"/>
              <w:bottom w:val="nil"/>
              <w:right w:val="nil"/>
            </w:tcBorders>
            <w:shd w:val="clear" w:color="auto" w:fill="auto"/>
            <w:noWrap/>
            <w:vAlign w:val="bottom"/>
            <w:hideMark/>
          </w:tcPr>
          <w:p w:rsidR="00556AA2" w:rsidRPr="00C13D94" w:rsidRDefault="00556AA2" w:rsidP="00DF147D"/>
        </w:tc>
      </w:tr>
      <w:tr w:rsidR="00C13D94" w:rsidRPr="00C13D94" w:rsidTr="00B12EA0">
        <w:trPr>
          <w:gridBefore w:val="1"/>
          <w:gridAfter w:val="1"/>
          <w:wBefore w:w="59" w:type="pct"/>
          <w:wAfter w:w="158" w:type="pct"/>
          <w:trHeight w:val="256"/>
        </w:trPr>
        <w:tc>
          <w:tcPr>
            <w:tcW w:w="363" w:type="pct"/>
            <w:gridSpan w:val="2"/>
            <w:tcBorders>
              <w:top w:val="nil"/>
              <w:left w:val="nil"/>
              <w:bottom w:val="nil"/>
              <w:right w:val="nil"/>
            </w:tcBorders>
            <w:shd w:val="clear" w:color="auto" w:fill="auto"/>
            <w:noWrap/>
            <w:vAlign w:val="bottom"/>
            <w:hideMark/>
          </w:tcPr>
          <w:p w:rsidR="00556AA2" w:rsidRPr="00C13D94" w:rsidRDefault="00556AA2" w:rsidP="00DF147D"/>
        </w:tc>
        <w:tc>
          <w:tcPr>
            <w:tcW w:w="899" w:type="pct"/>
            <w:gridSpan w:val="3"/>
            <w:tcBorders>
              <w:top w:val="nil"/>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1.</w:t>
            </w:r>
          </w:p>
        </w:tc>
        <w:tc>
          <w:tcPr>
            <w:tcW w:w="400" w:type="pct"/>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pPr>
              <w:jc w:val="center"/>
            </w:pPr>
            <w:r w:rsidRPr="00C13D94">
              <w:t> </w:t>
            </w:r>
          </w:p>
        </w:tc>
        <w:tc>
          <w:tcPr>
            <w:tcW w:w="349" w:type="pct"/>
            <w:gridSpan w:val="2"/>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tc>
        <w:tc>
          <w:tcPr>
            <w:tcW w:w="323" w:type="pct"/>
            <w:gridSpan w:val="2"/>
            <w:tcBorders>
              <w:top w:val="nil"/>
              <w:left w:val="single" w:sz="4" w:space="0" w:color="auto"/>
              <w:bottom w:val="nil"/>
              <w:right w:val="nil"/>
            </w:tcBorders>
            <w:shd w:val="clear" w:color="auto" w:fill="auto"/>
            <w:vAlign w:val="bottom"/>
            <w:hideMark/>
          </w:tcPr>
          <w:p w:rsidR="00556AA2" w:rsidRPr="00C13D94" w:rsidRDefault="00556AA2" w:rsidP="00DF147D"/>
        </w:tc>
        <w:tc>
          <w:tcPr>
            <w:tcW w:w="351" w:type="pct"/>
            <w:gridSpan w:val="3"/>
            <w:tcBorders>
              <w:top w:val="nil"/>
              <w:left w:val="nil"/>
              <w:bottom w:val="nil"/>
              <w:right w:val="nil"/>
            </w:tcBorders>
            <w:shd w:val="clear" w:color="auto" w:fill="auto"/>
            <w:vAlign w:val="bottom"/>
            <w:hideMark/>
          </w:tcPr>
          <w:p w:rsidR="00556AA2" w:rsidRPr="00C13D94" w:rsidRDefault="00556AA2" w:rsidP="00DF147D"/>
        </w:tc>
        <w:tc>
          <w:tcPr>
            <w:tcW w:w="253" w:type="pct"/>
            <w:gridSpan w:val="3"/>
            <w:tcBorders>
              <w:top w:val="nil"/>
              <w:left w:val="nil"/>
              <w:bottom w:val="nil"/>
              <w:right w:val="nil"/>
            </w:tcBorders>
            <w:shd w:val="clear" w:color="auto" w:fill="auto"/>
            <w:noWrap/>
            <w:vAlign w:val="bottom"/>
            <w:hideMark/>
          </w:tcPr>
          <w:p w:rsidR="00556AA2" w:rsidRPr="00C13D94" w:rsidRDefault="00556AA2" w:rsidP="00DF147D"/>
        </w:tc>
        <w:tc>
          <w:tcPr>
            <w:tcW w:w="248" w:type="pct"/>
            <w:tcBorders>
              <w:top w:val="nil"/>
              <w:left w:val="nil"/>
              <w:bottom w:val="nil"/>
              <w:right w:val="nil"/>
            </w:tcBorders>
            <w:shd w:val="clear" w:color="auto" w:fill="auto"/>
            <w:noWrap/>
            <w:vAlign w:val="bottom"/>
            <w:hideMark/>
          </w:tcPr>
          <w:p w:rsidR="00556AA2" w:rsidRPr="00C13D94" w:rsidRDefault="00556AA2" w:rsidP="00DF147D"/>
        </w:tc>
        <w:tc>
          <w:tcPr>
            <w:tcW w:w="299" w:type="pct"/>
            <w:gridSpan w:val="3"/>
            <w:tcBorders>
              <w:top w:val="nil"/>
              <w:left w:val="nil"/>
              <w:bottom w:val="nil"/>
              <w:right w:val="nil"/>
            </w:tcBorders>
            <w:shd w:val="clear" w:color="auto" w:fill="auto"/>
            <w:noWrap/>
            <w:vAlign w:val="bottom"/>
            <w:hideMark/>
          </w:tcPr>
          <w:p w:rsidR="00556AA2" w:rsidRPr="00C13D94" w:rsidRDefault="00556AA2" w:rsidP="00DF147D"/>
        </w:tc>
        <w:tc>
          <w:tcPr>
            <w:tcW w:w="434" w:type="pct"/>
            <w:gridSpan w:val="2"/>
            <w:tcBorders>
              <w:top w:val="nil"/>
              <w:left w:val="nil"/>
              <w:bottom w:val="nil"/>
              <w:right w:val="nil"/>
            </w:tcBorders>
            <w:shd w:val="clear" w:color="auto" w:fill="auto"/>
            <w:noWrap/>
            <w:vAlign w:val="bottom"/>
            <w:hideMark/>
          </w:tcPr>
          <w:p w:rsidR="00556AA2" w:rsidRPr="00C13D94" w:rsidRDefault="00556AA2" w:rsidP="00DF147D"/>
        </w:tc>
        <w:tc>
          <w:tcPr>
            <w:tcW w:w="425" w:type="pct"/>
            <w:gridSpan w:val="2"/>
            <w:tcBorders>
              <w:top w:val="nil"/>
              <w:left w:val="nil"/>
              <w:bottom w:val="nil"/>
              <w:right w:val="nil"/>
            </w:tcBorders>
            <w:shd w:val="clear" w:color="auto" w:fill="auto"/>
            <w:vAlign w:val="bottom"/>
            <w:hideMark/>
          </w:tcPr>
          <w:p w:rsidR="00556AA2" w:rsidRPr="00C13D94" w:rsidRDefault="00556AA2" w:rsidP="00DF147D">
            <w:pPr>
              <w:rPr>
                <w:b/>
                <w:bCs/>
              </w:rPr>
            </w:pPr>
          </w:p>
        </w:tc>
        <w:tc>
          <w:tcPr>
            <w:tcW w:w="180" w:type="pct"/>
            <w:gridSpan w:val="2"/>
            <w:tcBorders>
              <w:top w:val="nil"/>
              <w:left w:val="nil"/>
              <w:bottom w:val="nil"/>
              <w:right w:val="nil"/>
            </w:tcBorders>
            <w:shd w:val="clear" w:color="auto" w:fill="auto"/>
            <w:vAlign w:val="bottom"/>
            <w:hideMark/>
          </w:tcPr>
          <w:p w:rsidR="00556AA2" w:rsidRPr="00C13D94" w:rsidRDefault="00556AA2" w:rsidP="00DF147D"/>
        </w:tc>
        <w:tc>
          <w:tcPr>
            <w:tcW w:w="259" w:type="pct"/>
            <w:gridSpan w:val="2"/>
            <w:tcBorders>
              <w:top w:val="nil"/>
              <w:left w:val="nil"/>
              <w:bottom w:val="nil"/>
              <w:right w:val="nil"/>
            </w:tcBorders>
            <w:shd w:val="clear" w:color="auto" w:fill="auto"/>
            <w:noWrap/>
            <w:vAlign w:val="bottom"/>
            <w:hideMark/>
          </w:tcPr>
          <w:p w:rsidR="00556AA2" w:rsidRPr="00C13D94" w:rsidRDefault="00556AA2" w:rsidP="00DF147D"/>
        </w:tc>
      </w:tr>
      <w:tr w:rsidR="00C13D94" w:rsidRPr="00C13D94" w:rsidTr="00B12EA0">
        <w:trPr>
          <w:gridBefore w:val="1"/>
          <w:gridAfter w:val="1"/>
          <w:wBefore w:w="59" w:type="pct"/>
          <w:wAfter w:w="158" w:type="pct"/>
          <w:trHeight w:val="275"/>
        </w:trPr>
        <w:tc>
          <w:tcPr>
            <w:tcW w:w="363" w:type="pct"/>
            <w:gridSpan w:val="2"/>
            <w:tcBorders>
              <w:top w:val="nil"/>
              <w:left w:val="nil"/>
              <w:bottom w:val="nil"/>
              <w:right w:val="nil"/>
            </w:tcBorders>
            <w:shd w:val="clear" w:color="auto" w:fill="auto"/>
            <w:noWrap/>
            <w:vAlign w:val="bottom"/>
            <w:hideMark/>
          </w:tcPr>
          <w:p w:rsidR="00556AA2" w:rsidRPr="00C13D94" w:rsidRDefault="00556AA2" w:rsidP="00DF147D"/>
        </w:tc>
        <w:tc>
          <w:tcPr>
            <w:tcW w:w="899" w:type="pct"/>
            <w:gridSpan w:val="3"/>
            <w:tcBorders>
              <w:top w:val="nil"/>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2.</w:t>
            </w:r>
          </w:p>
        </w:tc>
        <w:tc>
          <w:tcPr>
            <w:tcW w:w="400" w:type="pct"/>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pPr>
              <w:jc w:val="center"/>
            </w:pPr>
            <w:r w:rsidRPr="00C13D94">
              <w:t> </w:t>
            </w:r>
          </w:p>
        </w:tc>
        <w:tc>
          <w:tcPr>
            <w:tcW w:w="349" w:type="pct"/>
            <w:gridSpan w:val="2"/>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tc>
        <w:tc>
          <w:tcPr>
            <w:tcW w:w="323" w:type="pct"/>
            <w:gridSpan w:val="2"/>
            <w:tcBorders>
              <w:top w:val="nil"/>
              <w:left w:val="single" w:sz="4" w:space="0" w:color="auto"/>
              <w:bottom w:val="nil"/>
              <w:right w:val="nil"/>
            </w:tcBorders>
            <w:shd w:val="clear" w:color="auto" w:fill="auto"/>
            <w:vAlign w:val="bottom"/>
            <w:hideMark/>
          </w:tcPr>
          <w:p w:rsidR="00556AA2" w:rsidRPr="00C13D94" w:rsidRDefault="00556AA2" w:rsidP="00DF147D"/>
        </w:tc>
        <w:tc>
          <w:tcPr>
            <w:tcW w:w="351" w:type="pct"/>
            <w:gridSpan w:val="3"/>
            <w:tcBorders>
              <w:top w:val="nil"/>
              <w:left w:val="nil"/>
              <w:bottom w:val="nil"/>
              <w:right w:val="nil"/>
            </w:tcBorders>
            <w:shd w:val="clear" w:color="auto" w:fill="auto"/>
            <w:vAlign w:val="bottom"/>
            <w:hideMark/>
          </w:tcPr>
          <w:p w:rsidR="00556AA2" w:rsidRPr="00C13D94" w:rsidRDefault="00556AA2" w:rsidP="00DF147D"/>
        </w:tc>
        <w:tc>
          <w:tcPr>
            <w:tcW w:w="253" w:type="pct"/>
            <w:gridSpan w:val="3"/>
            <w:tcBorders>
              <w:top w:val="nil"/>
              <w:left w:val="nil"/>
              <w:bottom w:val="nil"/>
              <w:right w:val="nil"/>
            </w:tcBorders>
            <w:shd w:val="clear" w:color="auto" w:fill="auto"/>
            <w:noWrap/>
            <w:vAlign w:val="bottom"/>
            <w:hideMark/>
          </w:tcPr>
          <w:p w:rsidR="00556AA2" w:rsidRPr="00C13D94" w:rsidRDefault="00556AA2" w:rsidP="00DF147D"/>
        </w:tc>
        <w:tc>
          <w:tcPr>
            <w:tcW w:w="248" w:type="pct"/>
            <w:tcBorders>
              <w:top w:val="nil"/>
              <w:left w:val="nil"/>
              <w:bottom w:val="nil"/>
              <w:right w:val="nil"/>
            </w:tcBorders>
            <w:shd w:val="clear" w:color="auto" w:fill="auto"/>
            <w:noWrap/>
            <w:vAlign w:val="bottom"/>
            <w:hideMark/>
          </w:tcPr>
          <w:p w:rsidR="00556AA2" w:rsidRPr="00C13D94" w:rsidRDefault="00556AA2" w:rsidP="00DF147D"/>
        </w:tc>
        <w:tc>
          <w:tcPr>
            <w:tcW w:w="299" w:type="pct"/>
            <w:gridSpan w:val="3"/>
            <w:tcBorders>
              <w:top w:val="nil"/>
              <w:left w:val="nil"/>
              <w:bottom w:val="nil"/>
              <w:right w:val="nil"/>
            </w:tcBorders>
            <w:shd w:val="clear" w:color="auto" w:fill="auto"/>
            <w:noWrap/>
            <w:vAlign w:val="bottom"/>
            <w:hideMark/>
          </w:tcPr>
          <w:p w:rsidR="00556AA2" w:rsidRPr="00C13D94" w:rsidRDefault="00556AA2" w:rsidP="00DF147D"/>
        </w:tc>
        <w:tc>
          <w:tcPr>
            <w:tcW w:w="434" w:type="pct"/>
            <w:gridSpan w:val="2"/>
            <w:tcBorders>
              <w:top w:val="nil"/>
              <w:left w:val="nil"/>
              <w:bottom w:val="nil"/>
              <w:right w:val="nil"/>
            </w:tcBorders>
            <w:shd w:val="clear" w:color="auto" w:fill="auto"/>
            <w:noWrap/>
            <w:vAlign w:val="bottom"/>
            <w:hideMark/>
          </w:tcPr>
          <w:p w:rsidR="00556AA2" w:rsidRPr="00C13D94" w:rsidRDefault="00556AA2" w:rsidP="00DF147D"/>
        </w:tc>
        <w:tc>
          <w:tcPr>
            <w:tcW w:w="425" w:type="pct"/>
            <w:gridSpan w:val="2"/>
            <w:tcBorders>
              <w:top w:val="nil"/>
              <w:left w:val="nil"/>
              <w:bottom w:val="nil"/>
              <w:right w:val="nil"/>
            </w:tcBorders>
            <w:shd w:val="clear" w:color="auto" w:fill="auto"/>
            <w:vAlign w:val="bottom"/>
            <w:hideMark/>
          </w:tcPr>
          <w:p w:rsidR="00556AA2" w:rsidRPr="00C13D94" w:rsidRDefault="00556AA2" w:rsidP="00DF147D">
            <w:pPr>
              <w:rPr>
                <w:b/>
                <w:bCs/>
              </w:rPr>
            </w:pPr>
          </w:p>
        </w:tc>
        <w:tc>
          <w:tcPr>
            <w:tcW w:w="180" w:type="pct"/>
            <w:gridSpan w:val="2"/>
            <w:tcBorders>
              <w:top w:val="nil"/>
              <w:left w:val="nil"/>
              <w:bottom w:val="nil"/>
              <w:right w:val="nil"/>
            </w:tcBorders>
            <w:shd w:val="clear" w:color="auto" w:fill="auto"/>
            <w:vAlign w:val="bottom"/>
            <w:hideMark/>
          </w:tcPr>
          <w:p w:rsidR="00556AA2" w:rsidRPr="00C13D94" w:rsidRDefault="00556AA2" w:rsidP="00DF147D"/>
        </w:tc>
        <w:tc>
          <w:tcPr>
            <w:tcW w:w="259" w:type="pct"/>
            <w:gridSpan w:val="2"/>
            <w:tcBorders>
              <w:top w:val="nil"/>
              <w:left w:val="nil"/>
              <w:bottom w:val="nil"/>
              <w:right w:val="nil"/>
            </w:tcBorders>
            <w:shd w:val="clear" w:color="auto" w:fill="auto"/>
            <w:noWrap/>
            <w:vAlign w:val="bottom"/>
            <w:hideMark/>
          </w:tcPr>
          <w:p w:rsidR="00556AA2" w:rsidRPr="00C13D94" w:rsidRDefault="00556AA2" w:rsidP="00DF147D"/>
        </w:tc>
      </w:tr>
      <w:tr w:rsidR="00C13D94" w:rsidRPr="00C13D94" w:rsidTr="00B12EA0">
        <w:trPr>
          <w:gridBefore w:val="1"/>
          <w:gridAfter w:val="1"/>
          <w:wBefore w:w="59" w:type="pct"/>
          <w:wAfter w:w="158" w:type="pct"/>
          <w:trHeight w:val="264"/>
        </w:trPr>
        <w:tc>
          <w:tcPr>
            <w:tcW w:w="363" w:type="pct"/>
            <w:gridSpan w:val="2"/>
            <w:tcBorders>
              <w:top w:val="nil"/>
              <w:left w:val="nil"/>
              <w:bottom w:val="nil"/>
              <w:right w:val="nil"/>
            </w:tcBorders>
            <w:shd w:val="clear" w:color="auto" w:fill="auto"/>
            <w:noWrap/>
            <w:vAlign w:val="bottom"/>
            <w:hideMark/>
          </w:tcPr>
          <w:p w:rsidR="00556AA2" w:rsidRPr="00C13D94" w:rsidRDefault="00556AA2" w:rsidP="00DF147D"/>
        </w:tc>
        <w:tc>
          <w:tcPr>
            <w:tcW w:w="899" w:type="pct"/>
            <w:gridSpan w:val="3"/>
            <w:tcBorders>
              <w:top w:val="nil"/>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3.</w:t>
            </w:r>
          </w:p>
        </w:tc>
        <w:tc>
          <w:tcPr>
            <w:tcW w:w="400" w:type="pct"/>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pPr>
              <w:jc w:val="center"/>
            </w:pPr>
            <w:r w:rsidRPr="00C13D94">
              <w:t> </w:t>
            </w:r>
          </w:p>
        </w:tc>
        <w:tc>
          <w:tcPr>
            <w:tcW w:w="349" w:type="pct"/>
            <w:gridSpan w:val="2"/>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tc>
        <w:tc>
          <w:tcPr>
            <w:tcW w:w="323" w:type="pct"/>
            <w:gridSpan w:val="2"/>
            <w:tcBorders>
              <w:top w:val="nil"/>
              <w:left w:val="single" w:sz="4" w:space="0" w:color="auto"/>
              <w:bottom w:val="nil"/>
              <w:right w:val="nil"/>
            </w:tcBorders>
            <w:shd w:val="clear" w:color="auto" w:fill="auto"/>
            <w:vAlign w:val="bottom"/>
            <w:hideMark/>
          </w:tcPr>
          <w:p w:rsidR="00556AA2" w:rsidRPr="00C13D94" w:rsidRDefault="00556AA2" w:rsidP="00DF147D"/>
        </w:tc>
        <w:tc>
          <w:tcPr>
            <w:tcW w:w="351" w:type="pct"/>
            <w:gridSpan w:val="3"/>
            <w:tcBorders>
              <w:top w:val="nil"/>
              <w:left w:val="nil"/>
              <w:bottom w:val="nil"/>
              <w:right w:val="nil"/>
            </w:tcBorders>
            <w:shd w:val="clear" w:color="auto" w:fill="auto"/>
            <w:vAlign w:val="bottom"/>
            <w:hideMark/>
          </w:tcPr>
          <w:p w:rsidR="00556AA2" w:rsidRPr="00C13D94" w:rsidRDefault="00556AA2" w:rsidP="00DF147D"/>
        </w:tc>
        <w:tc>
          <w:tcPr>
            <w:tcW w:w="253" w:type="pct"/>
            <w:gridSpan w:val="3"/>
            <w:tcBorders>
              <w:top w:val="nil"/>
              <w:left w:val="nil"/>
              <w:bottom w:val="nil"/>
              <w:right w:val="nil"/>
            </w:tcBorders>
            <w:shd w:val="clear" w:color="auto" w:fill="auto"/>
            <w:noWrap/>
            <w:vAlign w:val="bottom"/>
            <w:hideMark/>
          </w:tcPr>
          <w:p w:rsidR="00556AA2" w:rsidRPr="00C13D94" w:rsidRDefault="00556AA2" w:rsidP="00DF147D"/>
        </w:tc>
        <w:tc>
          <w:tcPr>
            <w:tcW w:w="248" w:type="pct"/>
            <w:tcBorders>
              <w:top w:val="nil"/>
              <w:left w:val="nil"/>
              <w:bottom w:val="nil"/>
              <w:right w:val="nil"/>
            </w:tcBorders>
            <w:shd w:val="clear" w:color="auto" w:fill="auto"/>
            <w:noWrap/>
            <w:vAlign w:val="bottom"/>
            <w:hideMark/>
          </w:tcPr>
          <w:p w:rsidR="00556AA2" w:rsidRPr="00C13D94" w:rsidRDefault="00556AA2" w:rsidP="00DF147D"/>
        </w:tc>
        <w:tc>
          <w:tcPr>
            <w:tcW w:w="299" w:type="pct"/>
            <w:gridSpan w:val="3"/>
            <w:tcBorders>
              <w:top w:val="nil"/>
              <w:left w:val="nil"/>
              <w:bottom w:val="nil"/>
              <w:right w:val="nil"/>
            </w:tcBorders>
            <w:shd w:val="clear" w:color="auto" w:fill="auto"/>
            <w:noWrap/>
            <w:vAlign w:val="bottom"/>
            <w:hideMark/>
          </w:tcPr>
          <w:p w:rsidR="00556AA2" w:rsidRPr="00C13D94" w:rsidRDefault="00556AA2" w:rsidP="00DF147D"/>
        </w:tc>
        <w:tc>
          <w:tcPr>
            <w:tcW w:w="434" w:type="pct"/>
            <w:gridSpan w:val="2"/>
            <w:tcBorders>
              <w:top w:val="nil"/>
              <w:left w:val="nil"/>
              <w:bottom w:val="nil"/>
              <w:right w:val="nil"/>
            </w:tcBorders>
            <w:shd w:val="clear" w:color="auto" w:fill="auto"/>
            <w:noWrap/>
            <w:vAlign w:val="bottom"/>
            <w:hideMark/>
          </w:tcPr>
          <w:p w:rsidR="00556AA2" w:rsidRPr="00C13D94" w:rsidRDefault="00556AA2" w:rsidP="00DF147D"/>
        </w:tc>
        <w:tc>
          <w:tcPr>
            <w:tcW w:w="425" w:type="pct"/>
            <w:gridSpan w:val="2"/>
            <w:tcBorders>
              <w:top w:val="nil"/>
              <w:left w:val="nil"/>
              <w:bottom w:val="nil"/>
              <w:right w:val="nil"/>
            </w:tcBorders>
            <w:shd w:val="clear" w:color="auto" w:fill="auto"/>
            <w:vAlign w:val="bottom"/>
            <w:hideMark/>
          </w:tcPr>
          <w:p w:rsidR="00556AA2" w:rsidRPr="00C13D94" w:rsidRDefault="00556AA2" w:rsidP="00DF147D">
            <w:pPr>
              <w:rPr>
                <w:b/>
                <w:bCs/>
              </w:rPr>
            </w:pPr>
          </w:p>
        </w:tc>
        <w:tc>
          <w:tcPr>
            <w:tcW w:w="180" w:type="pct"/>
            <w:gridSpan w:val="2"/>
            <w:tcBorders>
              <w:top w:val="nil"/>
              <w:left w:val="nil"/>
              <w:bottom w:val="nil"/>
              <w:right w:val="nil"/>
            </w:tcBorders>
            <w:shd w:val="clear" w:color="auto" w:fill="auto"/>
            <w:vAlign w:val="bottom"/>
            <w:hideMark/>
          </w:tcPr>
          <w:p w:rsidR="00556AA2" w:rsidRPr="00C13D94" w:rsidRDefault="00556AA2" w:rsidP="00DF147D"/>
        </w:tc>
        <w:tc>
          <w:tcPr>
            <w:tcW w:w="259" w:type="pct"/>
            <w:gridSpan w:val="2"/>
            <w:tcBorders>
              <w:top w:val="nil"/>
              <w:left w:val="nil"/>
              <w:bottom w:val="nil"/>
              <w:right w:val="nil"/>
            </w:tcBorders>
            <w:shd w:val="clear" w:color="auto" w:fill="auto"/>
            <w:noWrap/>
            <w:vAlign w:val="bottom"/>
            <w:hideMark/>
          </w:tcPr>
          <w:p w:rsidR="00556AA2" w:rsidRPr="00C13D94" w:rsidRDefault="00556AA2" w:rsidP="00DF147D"/>
        </w:tc>
      </w:tr>
      <w:tr w:rsidR="00C13D94" w:rsidRPr="00C13D94" w:rsidTr="00B12EA0">
        <w:trPr>
          <w:gridBefore w:val="1"/>
          <w:gridAfter w:val="1"/>
          <w:wBefore w:w="59" w:type="pct"/>
          <w:wAfter w:w="158" w:type="pct"/>
          <w:trHeight w:val="141"/>
        </w:trPr>
        <w:tc>
          <w:tcPr>
            <w:tcW w:w="363" w:type="pct"/>
            <w:gridSpan w:val="2"/>
            <w:tcBorders>
              <w:top w:val="nil"/>
              <w:left w:val="nil"/>
              <w:bottom w:val="nil"/>
              <w:right w:val="nil"/>
            </w:tcBorders>
            <w:shd w:val="clear" w:color="auto" w:fill="auto"/>
            <w:noWrap/>
            <w:vAlign w:val="bottom"/>
            <w:hideMark/>
          </w:tcPr>
          <w:p w:rsidR="00556AA2" w:rsidRPr="00C13D94" w:rsidRDefault="00556AA2" w:rsidP="00DF147D"/>
        </w:tc>
        <w:tc>
          <w:tcPr>
            <w:tcW w:w="899" w:type="pct"/>
            <w:gridSpan w:val="3"/>
            <w:tcBorders>
              <w:top w:val="nil"/>
              <w:left w:val="single" w:sz="4" w:space="0" w:color="auto"/>
              <w:bottom w:val="single" w:sz="4" w:space="0" w:color="auto"/>
              <w:right w:val="single" w:sz="4" w:space="0" w:color="auto"/>
            </w:tcBorders>
            <w:shd w:val="clear" w:color="auto" w:fill="auto"/>
            <w:noWrap/>
            <w:vAlign w:val="bottom"/>
            <w:hideMark/>
          </w:tcPr>
          <w:p w:rsidR="00556AA2" w:rsidRPr="00C13D94" w:rsidRDefault="00556AA2" w:rsidP="00DF147D">
            <w:r w:rsidRPr="00C13D94">
              <w:t>....</w:t>
            </w:r>
          </w:p>
        </w:tc>
        <w:tc>
          <w:tcPr>
            <w:tcW w:w="400" w:type="pct"/>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pPr>
              <w:jc w:val="center"/>
            </w:pPr>
            <w:r w:rsidRPr="00C13D94">
              <w:t> </w:t>
            </w:r>
          </w:p>
        </w:tc>
        <w:tc>
          <w:tcPr>
            <w:tcW w:w="349" w:type="pct"/>
            <w:gridSpan w:val="2"/>
            <w:tcBorders>
              <w:top w:val="single" w:sz="4" w:space="0" w:color="auto"/>
              <w:left w:val="nil"/>
              <w:bottom w:val="single" w:sz="4" w:space="0" w:color="auto"/>
              <w:right w:val="single" w:sz="4" w:space="0" w:color="auto"/>
            </w:tcBorders>
            <w:shd w:val="clear" w:color="auto" w:fill="auto"/>
            <w:vAlign w:val="bottom"/>
            <w:hideMark/>
          </w:tcPr>
          <w:p w:rsidR="00556AA2" w:rsidRPr="00C13D94" w:rsidRDefault="00556AA2" w:rsidP="00DF147D"/>
        </w:tc>
        <w:tc>
          <w:tcPr>
            <w:tcW w:w="323" w:type="pct"/>
            <w:gridSpan w:val="2"/>
            <w:tcBorders>
              <w:top w:val="nil"/>
              <w:left w:val="single" w:sz="4" w:space="0" w:color="auto"/>
              <w:bottom w:val="nil"/>
              <w:right w:val="nil"/>
            </w:tcBorders>
            <w:shd w:val="clear" w:color="auto" w:fill="auto"/>
            <w:vAlign w:val="bottom"/>
            <w:hideMark/>
          </w:tcPr>
          <w:p w:rsidR="00556AA2" w:rsidRPr="00C13D94" w:rsidRDefault="00556AA2" w:rsidP="00DF147D"/>
        </w:tc>
        <w:tc>
          <w:tcPr>
            <w:tcW w:w="351" w:type="pct"/>
            <w:gridSpan w:val="3"/>
            <w:tcBorders>
              <w:top w:val="nil"/>
              <w:left w:val="nil"/>
              <w:bottom w:val="nil"/>
              <w:right w:val="nil"/>
            </w:tcBorders>
            <w:shd w:val="clear" w:color="auto" w:fill="auto"/>
            <w:vAlign w:val="bottom"/>
            <w:hideMark/>
          </w:tcPr>
          <w:p w:rsidR="00556AA2" w:rsidRPr="00C13D94" w:rsidRDefault="00556AA2" w:rsidP="00DF147D"/>
        </w:tc>
        <w:tc>
          <w:tcPr>
            <w:tcW w:w="253" w:type="pct"/>
            <w:gridSpan w:val="3"/>
            <w:tcBorders>
              <w:top w:val="nil"/>
              <w:left w:val="nil"/>
              <w:bottom w:val="nil"/>
              <w:right w:val="nil"/>
            </w:tcBorders>
            <w:shd w:val="clear" w:color="auto" w:fill="auto"/>
            <w:noWrap/>
            <w:vAlign w:val="bottom"/>
            <w:hideMark/>
          </w:tcPr>
          <w:p w:rsidR="00556AA2" w:rsidRPr="00C13D94" w:rsidRDefault="00556AA2" w:rsidP="00DF147D"/>
        </w:tc>
        <w:tc>
          <w:tcPr>
            <w:tcW w:w="248" w:type="pct"/>
            <w:tcBorders>
              <w:top w:val="nil"/>
              <w:left w:val="nil"/>
              <w:bottom w:val="nil"/>
              <w:right w:val="nil"/>
            </w:tcBorders>
            <w:shd w:val="clear" w:color="auto" w:fill="auto"/>
            <w:noWrap/>
            <w:vAlign w:val="bottom"/>
            <w:hideMark/>
          </w:tcPr>
          <w:p w:rsidR="00556AA2" w:rsidRPr="00C13D94" w:rsidRDefault="00556AA2" w:rsidP="00DF147D"/>
        </w:tc>
        <w:tc>
          <w:tcPr>
            <w:tcW w:w="299" w:type="pct"/>
            <w:gridSpan w:val="3"/>
            <w:tcBorders>
              <w:top w:val="nil"/>
              <w:left w:val="nil"/>
              <w:bottom w:val="nil"/>
              <w:right w:val="nil"/>
            </w:tcBorders>
            <w:shd w:val="clear" w:color="auto" w:fill="auto"/>
            <w:noWrap/>
            <w:vAlign w:val="bottom"/>
            <w:hideMark/>
          </w:tcPr>
          <w:p w:rsidR="00556AA2" w:rsidRPr="00C13D94" w:rsidRDefault="00556AA2" w:rsidP="00DF147D"/>
        </w:tc>
        <w:tc>
          <w:tcPr>
            <w:tcW w:w="434" w:type="pct"/>
            <w:gridSpan w:val="2"/>
            <w:tcBorders>
              <w:top w:val="nil"/>
              <w:left w:val="nil"/>
              <w:bottom w:val="nil"/>
              <w:right w:val="nil"/>
            </w:tcBorders>
            <w:shd w:val="clear" w:color="auto" w:fill="auto"/>
            <w:noWrap/>
            <w:vAlign w:val="bottom"/>
            <w:hideMark/>
          </w:tcPr>
          <w:p w:rsidR="00556AA2" w:rsidRPr="00C13D94" w:rsidRDefault="00556AA2" w:rsidP="00DF147D"/>
        </w:tc>
        <w:tc>
          <w:tcPr>
            <w:tcW w:w="425" w:type="pct"/>
            <w:gridSpan w:val="2"/>
            <w:tcBorders>
              <w:top w:val="nil"/>
              <w:left w:val="nil"/>
              <w:bottom w:val="nil"/>
              <w:right w:val="nil"/>
            </w:tcBorders>
            <w:shd w:val="clear" w:color="auto" w:fill="auto"/>
            <w:vAlign w:val="bottom"/>
            <w:hideMark/>
          </w:tcPr>
          <w:p w:rsidR="00556AA2" w:rsidRPr="00C13D94" w:rsidRDefault="00556AA2" w:rsidP="00DF147D">
            <w:pPr>
              <w:rPr>
                <w:b/>
                <w:bCs/>
              </w:rPr>
            </w:pPr>
          </w:p>
        </w:tc>
        <w:tc>
          <w:tcPr>
            <w:tcW w:w="180" w:type="pct"/>
            <w:gridSpan w:val="2"/>
            <w:tcBorders>
              <w:top w:val="nil"/>
              <w:left w:val="nil"/>
              <w:bottom w:val="nil"/>
              <w:right w:val="nil"/>
            </w:tcBorders>
            <w:shd w:val="clear" w:color="auto" w:fill="auto"/>
            <w:vAlign w:val="bottom"/>
            <w:hideMark/>
          </w:tcPr>
          <w:p w:rsidR="00556AA2" w:rsidRPr="00C13D94" w:rsidRDefault="00556AA2" w:rsidP="00DF147D"/>
        </w:tc>
        <w:tc>
          <w:tcPr>
            <w:tcW w:w="259" w:type="pct"/>
            <w:gridSpan w:val="2"/>
            <w:tcBorders>
              <w:top w:val="nil"/>
              <w:left w:val="nil"/>
              <w:bottom w:val="nil"/>
              <w:right w:val="nil"/>
            </w:tcBorders>
            <w:shd w:val="clear" w:color="auto" w:fill="auto"/>
            <w:noWrap/>
            <w:vAlign w:val="bottom"/>
            <w:hideMark/>
          </w:tcPr>
          <w:p w:rsidR="00556AA2" w:rsidRPr="00C13D94" w:rsidRDefault="00556AA2" w:rsidP="00DF147D"/>
        </w:tc>
      </w:tr>
      <w:tr w:rsidR="00556AA2" w:rsidRPr="00C13D94" w:rsidTr="00B12EA0">
        <w:trPr>
          <w:gridBefore w:val="1"/>
          <w:gridAfter w:val="2"/>
          <w:wBefore w:w="59" w:type="pct"/>
          <w:wAfter w:w="395" w:type="pct"/>
          <w:trHeight w:val="891"/>
        </w:trPr>
        <w:tc>
          <w:tcPr>
            <w:tcW w:w="434" w:type="pct"/>
            <w:gridSpan w:val="3"/>
            <w:tcBorders>
              <w:top w:val="nil"/>
              <w:left w:val="nil"/>
              <w:right w:val="nil"/>
            </w:tcBorders>
            <w:shd w:val="clear" w:color="auto" w:fill="auto"/>
            <w:noWrap/>
            <w:vAlign w:val="bottom"/>
            <w:hideMark/>
          </w:tcPr>
          <w:p w:rsidR="00556AA2" w:rsidRPr="00C13D94" w:rsidRDefault="00556AA2" w:rsidP="00DF147D">
            <w:r w:rsidRPr="00C13D94">
              <w:t xml:space="preserve">Iesniedzējs </w:t>
            </w:r>
          </w:p>
        </w:tc>
        <w:tc>
          <w:tcPr>
            <w:tcW w:w="1473" w:type="pct"/>
            <w:gridSpan w:val="4"/>
            <w:tcBorders>
              <w:top w:val="nil"/>
              <w:left w:val="nil"/>
              <w:bottom w:val="single" w:sz="4" w:space="0" w:color="auto"/>
              <w:right w:val="nil"/>
            </w:tcBorders>
            <w:shd w:val="clear" w:color="auto" w:fill="auto"/>
            <w:vAlign w:val="bottom"/>
          </w:tcPr>
          <w:p w:rsidR="00556AA2" w:rsidRPr="00C13D94" w:rsidRDefault="00556AA2" w:rsidP="00DF147D"/>
        </w:tc>
        <w:tc>
          <w:tcPr>
            <w:tcW w:w="365" w:type="pct"/>
            <w:gridSpan w:val="2"/>
            <w:tcBorders>
              <w:top w:val="nil"/>
              <w:left w:val="nil"/>
              <w:bottom w:val="nil"/>
              <w:right w:val="nil"/>
            </w:tcBorders>
            <w:shd w:val="clear" w:color="auto" w:fill="auto"/>
            <w:noWrap/>
            <w:vAlign w:val="bottom"/>
            <w:hideMark/>
          </w:tcPr>
          <w:p w:rsidR="00556AA2" w:rsidRPr="00C13D94" w:rsidRDefault="00556AA2" w:rsidP="00DF147D"/>
        </w:tc>
        <w:tc>
          <w:tcPr>
            <w:tcW w:w="335" w:type="pct"/>
            <w:gridSpan w:val="2"/>
            <w:tcBorders>
              <w:top w:val="nil"/>
              <w:left w:val="nil"/>
              <w:bottom w:val="single" w:sz="4" w:space="0" w:color="auto"/>
              <w:right w:val="nil"/>
            </w:tcBorders>
            <w:shd w:val="clear" w:color="auto" w:fill="auto"/>
            <w:noWrap/>
            <w:vAlign w:val="bottom"/>
            <w:hideMark/>
          </w:tcPr>
          <w:p w:rsidR="00556AA2" w:rsidRPr="00C13D94" w:rsidRDefault="00556AA2" w:rsidP="00DF147D">
            <w:r w:rsidRPr="00C13D94">
              <w:t> </w:t>
            </w:r>
          </w:p>
        </w:tc>
        <w:tc>
          <w:tcPr>
            <w:tcW w:w="326" w:type="pct"/>
            <w:gridSpan w:val="4"/>
            <w:tcBorders>
              <w:top w:val="nil"/>
              <w:left w:val="nil"/>
              <w:bottom w:val="single" w:sz="4" w:space="0" w:color="auto"/>
              <w:right w:val="nil"/>
            </w:tcBorders>
            <w:shd w:val="clear" w:color="auto" w:fill="auto"/>
            <w:noWrap/>
            <w:vAlign w:val="bottom"/>
            <w:hideMark/>
          </w:tcPr>
          <w:p w:rsidR="00556AA2" w:rsidRPr="00C13D94" w:rsidRDefault="00556AA2" w:rsidP="00DF147D">
            <w:r w:rsidRPr="00C13D94">
              <w:t> </w:t>
            </w:r>
          </w:p>
        </w:tc>
        <w:tc>
          <w:tcPr>
            <w:tcW w:w="339" w:type="pct"/>
            <w:gridSpan w:val="3"/>
            <w:tcBorders>
              <w:top w:val="nil"/>
              <w:left w:val="nil"/>
              <w:bottom w:val="single" w:sz="4" w:space="0" w:color="auto"/>
              <w:right w:val="nil"/>
            </w:tcBorders>
            <w:shd w:val="clear" w:color="auto" w:fill="auto"/>
            <w:noWrap/>
            <w:vAlign w:val="bottom"/>
            <w:hideMark/>
          </w:tcPr>
          <w:p w:rsidR="00556AA2" w:rsidRPr="00C13D94" w:rsidRDefault="00556AA2" w:rsidP="00DF147D"/>
        </w:tc>
        <w:tc>
          <w:tcPr>
            <w:tcW w:w="1275" w:type="pct"/>
            <w:gridSpan w:val="9"/>
            <w:tcBorders>
              <w:top w:val="nil"/>
              <w:left w:val="nil"/>
              <w:right w:val="nil"/>
            </w:tcBorders>
            <w:shd w:val="clear" w:color="auto" w:fill="auto"/>
            <w:noWrap/>
            <w:vAlign w:val="bottom"/>
            <w:hideMark/>
          </w:tcPr>
          <w:p w:rsidR="00556AA2" w:rsidRPr="00C13D94" w:rsidRDefault="00556AA2" w:rsidP="00DF147D">
            <w:r w:rsidRPr="00C13D94">
              <w:t> </w:t>
            </w:r>
          </w:p>
        </w:tc>
      </w:tr>
      <w:tr w:rsidR="00556AA2" w:rsidRPr="00C13D94" w:rsidTr="00B12EA0">
        <w:trPr>
          <w:gridAfter w:val="6"/>
          <w:wAfter w:w="701" w:type="pct"/>
          <w:trHeight w:val="351"/>
        </w:trPr>
        <w:tc>
          <w:tcPr>
            <w:tcW w:w="1066" w:type="pct"/>
            <w:gridSpan w:val="5"/>
            <w:tcBorders>
              <w:top w:val="nil"/>
              <w:left w:val="nil"/>
              <w:right w:val="nil"/>
            </w:tcBorders>
            <w:shd w:val="clear" w:color="auto" w:fill="auto"/>
            <w:noWrap/>
            <w:vAlign w:val="bottom"/>
            <w:hideMark/>
          </w:tcPr>
          <w:p w:rsidR="00556AA2" w:rsidRPr="00C13D94" w:rsidRDefault="00556AA2" w:rsidP="00DF147D">
            <w:r w:rsidRPr="00C13D94">
              <w:t>Atbildīgais par informāciju</w:t>
            </w:r>
          </w:p>
        </w:tc>
        <w:tc>
          <w:tcPr>
            <w:tcW w:w="1629" w:type="pct"/>
            <w:gridSpan w:val="8"/>
            <w:tcBorders>
              <w:top w:val="nil"/>
              <w:left w:val="nil"/>
              <w:bottom w:val="single" w:sz="4" w:space="0" w:color="auto"/>
              <w:right w:val="nil"/>
            </w:tcBorders>
            <w:shd w:val="clear" w:color="auto" w:fill="auto"/>
            <w:vAlign w:val="bottom"/>
          </w:tcPr>
          <w:p w:rsidR="00556AA2" w:rsidRPr="00C13D94" w:rsidRDefault="00556AA2" w:rsidP="00DF147D"/>
        </w:tc>
        <w:tc>
          <w:tcPr>
            <w:tcW w:w="116" w:type="pct"/>
            <w:gridSpan w:val="2"/>
            <w:tcBorders>
              <w:top w:val="nil"/>
              <w:left w:val="nil"/>
              <w:bottom w:val="nil"/>
              <w:right w:val="nil"/>
            </w:tcBorders>
            <w:shd w:val="clear" w:color="auto" w:fill="auto"/>
            <w:noWrap/>
            <w:vAlign w:val="bottom"/>
            <w:hideMark/>
          </w:tcPr>
          <w:p w:rsidR="00556AA2" w:rsidRPr="00C13D94" w:rsidRDefault="00556AA2" w:rsidP="00DF147D"/>
        </w:tc>
        <w:tc>
          <w:tcPr>
            <w:tcW w:w="610" w:type="pct"/>
            <w:gridSpan w:val="5"/>
            <w:tcBorders>
              <w:top w:val="nil"/>
              <w:left w:val="nil"/>
              <w:bottom w:val="single" w:sz="4" w:space="0" w:color="auto"/>
              <w:right w:val="nil"/>
            </w:tcBorders>
            <w:shd w:val="clear" w:color="auto" w:fill="auto"/>
            <w:noWrap/>
            <w:vAlign w:val="bottom"/>
            <w:hideMark/>
          </w:tcPr>
          <w:p w:rsidR="00556AA2" w:rsidRPr="00C13D94" w:rsidRDefault="00556AA2" w:rsidP="00DF147D"/>
        </w:tc>
        <w:tc>
          <w:tcPr>
            <w:tcW w:w="318" w:type="pct"/>
            <w:gridSpan w:val="2"/>
            <w:tcBorders>
              <w:top w:val="nil"/>
              <w:left w:val="nil"/>
              <w:bottom w:val="single" w:sz="4" w:space="0" w:color="auto"/>
              <w:right w:val="nil"/>
            </w:tcBorders>
            <w:shd w:val="clear" w:color="auto" w:fill="auto"/>
            <w:noWrap/>
            <w:vAlign w:val="bottom"/>
            <w:hideMark/>
          </w:tcPr>
          <w:p w:rsidR="00556AA2" w:rsidRPr="00C13D94" w:rsidRDefault="00556AA2" w:rsidP="00DF147D">
            <w:r w:rsidRPr="00C13D94">
              <w:t> </w:t>
            </w:r>
          </w:p>
        </w:tc>
        <w:tc>
          <w:tcPr>
            <w:tcW w:w="560" w:type="pct"/>
            <w:gridSpan w:val="2"/>
            <w:tcBorders>
              <w:top w:val="nil"/>
              <w:left w:val="nil"/>
              <w:bottom w:val="single" w:sz="4" w:space="0" w:color="auto"/>
              <w:right w:val="nil"/>
            </w:tcBorders>
            <w:shd w:val="clear" w:color="auto" w:fill="auto"/>
            <w:noWrap/>
            <w:vAlign w:val="bottom"/>
            <w:hideMark/>
          </w:tcPr>
          <w:p w:rsidR="00556AA2" w:rsidRPr="00C13D94" w:rsidRDefault="00556AA2" w:rsidP="00DF147D">
            <w:r w:rsidRPr="00C13D94">
              <w:t> </w:t>
            </w:r>
          </w:p>
        </w:tc>
      </w:tr>
      <w:tr w:rsidR="00556AA2" w:rsidRPr="00C13D94" w:rsidTr="00B12EA0">
        <w:trPr>
          <w:gridAfter w:val="6"/>
          <w:wAfter w:w="701" w:type="pct"/>
          <w:trHeight w:val="330"/>
        </w:trPr>
        <w:tc>
          <w:tcPr>
            <w:tcW w:w="210" w:type="pct"/>
            <w:gridSpan w:val="2"/>
            <w:tcBorders>
              <w:top w:val="nil"/>
              <w:left w:val="nil"/>
              <w:bottom w:val="nil"/>
              <w:right w:val="nil"/>
            </w:tcBorders>
            <w:shd w:val="clear" w:color="auto" w:fill="auto"/>
            <w:noWrap/>
            <w:vAlign w:val="bottom"/>
            <w:hideMark/>
          </w:tcPr>
          <w:p w:rsidR="00556AA2" w:rsidRPr="00C13D94" w:rsidRDefault="00556AA2" w:rsidP="00DF147D"/>
        </w:tc>
        <w:tc>
          <w:tcPr>
            <w:tcW w:w="2485" w:type="pct"/>
            <w:gridSpan w:val="11"/>
            <w:tcBorders>
              <w:top w:val="nil"/>
              <w:left w:val="nil"/>
              <w:bottom w:val="nil"/>
              <w:right w:val="nil"/>
            </w:tcBorders>
            <w:shd w:val="clear" w:color="auto" w:fill="auto"/>
            <w:noWrap/>
            <w:hideMark/>
          </w:tcPr>
          <w:p w:rsidR="00556AA2" w:rsidRPr="00C13D94" w:rsidRDefault="00556AA2" w:rsidP="00DF147D">
            <w:pPr>
              <w:jc w:val="center"/>
            </w:pPr>
            <w:r w:rsidRPr="00C13D94">
              <w:t xml:space="preserve">                                 (amats, uzvārds)</w:t>
            </w:r>
          </w:p>
        </w:tc>
        <w:tc>
          <w:tcPr>
            <w:tcW w:w="116" w:type="pct"/>
            <w:gridSpan w:val="2"/>
            <w:tcBorders>
              <w:top w:val="nil"/>
              <w:left w:val="nil"/>
              <w:bottom w:val="nil"/>
              <w:right w:val="nil"/>
            </w:tcBorders>
            <w:shd w:val="clear" w:color="auto" w:fill="auto"/>
            <w:noWrap/>
            <w:hideMark/>
          </w:tcPr>
          <w:p w:rsidR="00556AA2" w:rsidRPr="00C13D94" w:rsidRDefault="00556AA2" w:rsidP="00DF147D">
            <w:pPr>
              <w:jc w:val="center"/>
            </w:pPr>
          </w:p>
        </w:tc>
        <w:tc>
          <w:tcPr>
            <w:tcW w:w="1488" w:type="pct"/>
            <w:gridSpan w:val="9"/>
            <w:tcBorders>
              <w:top w:val="nil"/>
              <w:left w:val="nil"/>
              <w:bottom w:val="nil"/>
              <w:right w:val="nil"/>
            </w:tcBorders>
            <w:shd w:val="clear" w:color="auto" w:fill="auto"/>
            <w:noWrap/>
            <w:hideMark/>
          </w:tcPr>
          <w:p w:rsidR="00556AA2" w:rsidRPr="00C13D94" w:rsidRDefault="00556AA2" w:rsidP="00DF147D">
            <w:pPr>
              <w:jc w:val="center"/>
            </w:pPr>
            <w:r w:rsidRPr="00C13D94">
              <w:t>(paraksts)</w:t>
            </w:r>
          </w:p>
        </w:tc>
      </w:tr>
    </w:tbl>
    <w:p w:rsidR="00556AA2" w:rsidRPr="00C13D94" w:rsidRDefault="00556AA2" w:rsidP="00556AA2">
      <w:pPr>
        <w:pStyle w:val="Apakvirsraksts"/>
        <w:jc w:val="both"/>
        <w:rPr>
          <w:b w:val="0"/>
          <w:bCs w:val="0"/>
          <w:sz w:val="24"/>
        </w:rPr>
      </w:pPr>
      <w:r w:rsidRPr="00C13D94">
        <w:rPr>
          <w:b w:val="0"/>
          <w:bCs w:val="0"/>
          <w:sz w:val="24"/>
        </w:rPr>
        <w:t xml:space="preserve">Tālrunis _________________   </w:t>
      </w:r>
    </w:p>
    <w:p w:rsidR="00556AA2" w:rsidRPr="00C13D94" w:rsidRDefault="00556AA2" w:rsidP="00556AA2">
      <w:pPr>
        <w:pStyle w:val="Apakvirsraksts"/>
        <w:jc w:val="both"/>
        <w:rPr>
          <w:b w:val="0"/>
          <w:bCs w:val="0"/>
          <w:sz w:val="24"/>
        </w:rPr>
      </w:pPr>
    </w:p>
    <w:p w:rsidR="00556AA2" w:rsidRPr="00C13D94" w:rsidRDefault="00556AA2" w:rsidP="00556AA2">
      <w:pPr>
        <w:pStyle w:val="Apakvirsraksts"/>
        <w:jc w:val="both"/>
        <w:rPr>
          <w:b w:val="0"/>
          <w:bCs w:val="0"/>
          <w:sz w:val="24"/>
        </w:rPr>
      </w:pPr>
      <w:r w:rsidRPr="00C13D94">
        <w:rPr>
          <w:b w:val="0"/>
          <w:bCs w:val="0"/>
          <w:sz w:val="24"/>
        </w:rPr>
        <w:t>E-pasts _________</w:t>
      </w:r>
    </w:p>
    <w:p w:rsidR="00556AA2" w:rsidRPr="00B12EA0" w:rsidRDefault="00556AA2" w:rsidP="00556AA2">
      <w:pPr>
        <w:pStyle w:val="Apakvirsraksts"/>
        <w:jc w:val="both"/>
        <w:rPr>
          <w:b w:val="0"/>
          <w:bCs w:val="0"/>
          <w:sz w:val="10"/>
        </w:rPr>
      </w:pPr>
    </w:p>
    <w:p w:rsidR="00556AA2" w:rsidRPr="00C13D94" w:rsidRDefault="00556AA2" w:rsidP="00556AA2">
      <w:pPr>
        <w:pStyle w:val="Apakvirsraksts"/>
        <w:jc w:val="both"/>
        <w:rPr>
          <w:b w:val="0"/>
          <w:bCs w:val="0"/>
          <w:sz w:val="24"/>
        </w:rPr>
      </w:pPr>
      <w:r w:rsidRPr="00C13D94">
        <w:rPr>
          <w:b w:val="0"/>
          <w:bCs w:val="0"/>
          <w:sz w:val="24"/>
        </w:rPr>
        <w:t xml:space="preserve">_________________ </w:t>
      </w:r>
      <w:r w:rsidRPr="00C13D94">
        <w:rPr>
          <w:b w:val="0"/>
          <w:bCs w:val="0"/>
          <w:sz w:val="24"/>
        </w:rPr>
        <w:tab/>
      </w:r>
      <w:r w:rsidRPr="00C13D94">
        <w:rPr>
          <w:b w:val="0"/>
          <w:bCs w:val="0"/>
          <w:sz w:val="24"/>
        </w:rPr>
        <w:tab/>
      </w:r>
      <w:r w:rsidRPr="00C13D94">
        <w:rPr>
          <w:b w:val="0"/>
          <w:bCs w:val="0"/>
          <w:sz w:val="24"/>
        </w:rPr>
        <w:tab/>
      </w:r>
      <w:r w:rsidRPr="00C13D94">
        <w:rPr>
          <w:b w:val="0"/>
          <w:bCs w:val="0"/>
          <w:sz w:val="24"/>
        </w:rPr>
        <w:tab/>
      </w:r>
      <w:r w:rsidRPr="00C13D94">
        <w:rPr>
          <w:b w:val="0"/>
          <w:bCs w:val="0"/>
          <w:sz w:val="24"/>
        </w:rPr>
        <w:tab/>
        <w:t xml:space="preserve">Z.v. </w:t>
      </w:r>
      <w:r w:rsidRPr="00C13D94">
        <w:rPr>
          <w:b w:val="0"/>
          <w:bCs w:val="0"/>
          <w:sz w:val="24"/>
        </w:rPr>
        <w:tab/>
        <w:t xml:space="preserve"> </w:t>
      </w:r>
      <w:r w:rsidRPr="00C13D94">
        <w:rPr>
          <w:b w:val="0"/>
          <w:bCs w:val="0"/>
          <w:sz w:val="24"/>
        </w:rPr>
        <w:tab/>
      </w:r>
    </w:p>
    <w:p w:rsidR="00556AA2" w:rsidRPr="00C13D94" w:rsidRDefault="00556AA2" w:rsidP="00556AA2">
      <w:pPr>
        <w:pStyle w:val="Apakvirsraksts"/>
        <w:jc w:val="both"/>
        <w:rPr>
          <w:b w:val="0"/>
          <w:bCs w:val="0"/>
          <w:sz w:val="24"/>
        </w:rPr>
      </w:pPr>
      <w:r w:rsidRPr="00C13D94">
        <w:rPr>
          <w:b w:val="0"/>
          <w:sz w:val="24"/>
        </w:rPr>
        <w:t xml:space="preserve">             (</w:t>
      </w:r>
      <w:r w:rsidRPr="00C13D94">
        <w:rPr>
          <w:b w:val="0"/>
          <w:bCs w:val="0"/>
          <w:sz w:val="24"/>
        </w:rPr>
        <w:t xml:space="preserve">datums) </w:t>
      </w:r>
      <w:r w:rsidRPr="00C13D94">
        <w:rPr>
          <w:b w:val="0"/>
          <w:bCs w:val="0"/>
          <w:sz w:val="24"/>
        </w:rPr>
        <w:tab/>
        <w:t xml:space="preserve"> </w:t>
      </w:r>
      <w:r w:rsidRPr="00C13D94">
        <w:rPr>
          <w:b w:val="0"/>
          <w:bCs w:val="0"/>
          <w:sz w:val="24"/>
        </w:rPr>
        <w:tab/>
        <w:t xml:space="preserve">    </w:t>
      </w:r>
      <w:r w:rsidRPr="00C13D94">
        <w:rPr>
          <w:b w:val="0"/>
          <w:bCs w:val="0"/>
          <w:sz w:val="24"/>
        </w:rPr>
        <w:tab/>
      </w:r>
      <w:r w:rsidRPr="00C13D94">
        <w:rPr>
          <w:b w:val="0"/>
          <w:bCs w:val="0"/>
          <w:sz w:val="24"/>
        </w:rPr>
        <w:tab/>
      </w:r>
      <w:r w:rsidRPr="00C13D94">
        <w:rPr>
          <w:b w:val="0"/>
          <w:bCs w:val="0"/>
          <w:sz w:val="24"/>
        </w:rPr>
        <w:tab/>
      </w:r>
      <w:r w:rsidRPr="00C13D94">
        <w:rPr>
          <w:b w:val="0"/>
          <w:bCs w:val="0"/>
          <w:sz w:val="24"/>
        </w:rPr>
        <w:tab/>
      </w:r>
      <w:r w:rsidRPr="00C13D94">
        <w:rPr>
          <w:b w:val="0"/>
          <w:bCs w:val="0"/>
          <w:sz w:val="24"/>
        </w:rPr>
        <w:tab/>
      </w:r>
    </w:p>
    <w:p w:rsidR="00556AA2" w:rsidRPr="00C13D94" w:rsidRDefault="00556AA2" w:rsidP="00556AA2">
      <w:pPr>
        <w:pStyle w:val="Galvene"/>
        <w:tabs>
          <w:tab w:val="clear" w:pos="8306"/>
          <w:tab w:val="left" w:pos="540"/>
          <w:tab w:val="left" w:pos="3420"/>
        </w:tabs>
        <w:ind w:firstLine="709"/>
      </w:pPr>
    </w:p>
    <w:p w:rsidR="00556AA2" w:rsidRPr="00C13D94" w:rsidRDefault="00556AA2" w:rsidP="00556AA2">
      <w:pPr>
        <w:pStyle w:val="Galvene"/>
        <w:tabs>
          <w:tab w:val="clear" w:pos="8306"/>
          <w:tab w:val="left" w:pos="540"/>
          <w:tab w:val="left" w:pos="3420"/>
        </w:tabs>
        <w:ind w:firstLine="709"/>
        <w:sectPr w:rsidR="00556AA2" w:rsidRPr="00C13D94" w:rsidSect="00556AA2">
          <w:pgSz w:w="16838" w:h="11906" w:orient="landscape" w:code="9"/>
          <w:pgMar w:top="1701" w:right="1418" w:bottom="1134" w:left="1134" w:header="709" w:footer="709" w:gutter="0"/>
          <w:cols w:space="708"/>
          <w:titlePg/>
          <w:docGrid w:linePitch="360"/>
        </w:sectPr>
      </w:pPr>
      <w:r w:rsidRPr="00C13D94">
        <w:t>Piezīme. Dokumenta rekvizītus "paraksts", "datums" un "zīmoga vieta (Z.v.)" neaizpilda, ja elektroniskais dokuments ir sagatavots atbilstoši normatīvajiem aktiem par elektronisko dokumentu noformēšanu.</w:t>
      </w:r>
      <w:r w:rsidR="00B12EA0">
        <w:t>”</w:t>
      </w:r>
    </w:p>
    <w:p w:rsidR="00497DAA" w:rsidRPr="00DB4A7D" w:rsidRDefault="00497DAA" w:rsidP="002832F5">
      <w:pPr>
        <w:pStyle w:val="Sarakstarindkopa"/>
        <w:numPr>
          <w:ilvl w:val="0"/>
          <w:numId w:val="23"/>
        </w:numPr>
        <w:tabs>
          <w:tab w:val="left" w:pos="1134"/>
        </w:tabs>
        <w:ind w:left="0" w:firstLine="720"/>
        <w:jc w:val="both"/>
        <w:rPr>
          <w:sz w:val="28"/>
          <w:szCs w:val="28"/>
        </w:rPr>
      </w:pPr>
      <w:r w:rsidRPr="00DB4A7D">
        <w:rPr>
          <w:sz w:val="28"/>
          <w:szCs w:val="28"/>
        </w:rPr>
        <w:lastRenderedPageBreak/>
        <w:t xml:space="preserve">Šo noteikumu </w:t>
      </w:r>
      <w:r w:rsidR="00E008CB">
        <w:rPr>
          <w:sz w:val="28"/>
          <w:szCs w:val="28"/>
        </w:rPr>
        <w:t>2., 5., 6.</w:t>
      </w:r>
      <w:r w:rsidR="00556AA2">
        <w:rPr>
          <w:sz w:val="28"/>
          <w:szCs w:val="28"/>
        </w:rPr>
        <w:t>,</w:t>
      </w:r>
      <w:r w:rsidR="00E008CB">
        <w:rPr>
          <w:sz w:val="28"/>
          <w:szCs w:val="28"/>
        </w:rPr>
        <w:t xml:space="preserve"> </w:t>
      </w:r>
      <w:r w:rsidR="00491085" w:rsidRPr="00DB4A7D">
        <w:rPr>
          <w:sz w:val="28"/>
          <w:szCs w:val="28"/>
        </w:rPr>
        <w:t>9.</w:t>
      </w:r>
      <w:r w:rsidR="00556AA2">
        <w:rPr>
          <w:sz w:val="28"/>
          <w:szCs w:val="28"/>
        </w:rPr>
        <w:t xml:space="preserve"> un 11.</w:t>
      </w:r>
      <w:r w:rsidRPr="00DB4A7D">
        <w:rPr>
          <w:sz w:val="28"/>
          <w:szCs w:val="28"/>
        </w:rPr>
        <w:t>punkts stājas spēkā 2014.gada 1.janvārī.</w:t>
      </w:r>
    </w:p>
    <w:p w:rsidR="003749F3" w:rsidRDefault="003749F3" w:rsidP="003749F3">
      <w:pPr>
        <w:ind w:firstLine="709"/>
        <w:jc w:val="both"/>
        <w:rPr>
          <w:sz w:val="28"/>
          <w:szCs w:val="28"/>
        </w:rPr>
      </w:pPr>
    </w:p>
    <w:p w:rsidR="00C13D94" w:rsidRDefault="00C13D94" w:rsidP="003749F3">
      <w:pPr>
        <w:ind w:firstLine="709"/>
        <w:jc w:val="both"/>
        <w:rPr>
          <w:sz w:val="28"/>
          <w:szCs w:val="28"/>
        </w:rPr>
      </w:pPr>
    </w:p>
    <w:p w:rsidR="00F43F29" w:rsidRDefault="00F43F29" w:rsidP="002832F5">
      <w:pPr>
        <w:ind w:firstLine="720"/>
        <w:rPr>
          <w:sz w:val="28"/>
          <w:szCs w:val="28"/>
        </w:rPr>
      </w:pPr>
    </w:p>
    <w:p w:rsidR="00BA2CB5" w:rsidRPr="00A961BD" w:rsidRDefault="00E97A84" w:rsidP="002832F5">
      <w:pPr>
        <w:ind w:firstLine="720"/>
        <w:rPr>
          <w:sz w:val="28"/>
          <w:szCs w:val="28"/>
        </w:rPr>
      </w:pPr>
      <w:r w:rsidRPr="00A961BD">
        <w:rPr>
          <w:sz w:val="28"/>
          <w:szCs w:val="28"/>
        </w:rPr>
        <w:t>Ministru prezidents</w:t>
      </w:r>
      <w:r w:rsidRPr="00A961BD">
        <w:rPr>
          <w:sz w:val="28"/>
          <w:szCs w:val="28"/>
        </w:rPr>
        <w:tab/>
      </w:r>
      <w:r w:rsidRPr="00A961BD">
        <w:rPr>
          <w:sz w:val="28"/>
          <w:szCs w:val="28"/>
        </w:rPr>
        <w:tab/>
      </w:r>
      <w:r w:rsidRPr="00A961BD">
        <w:rPr>
          <w:sz w:val="28"/>
          <w:szCs w:val="28"/>
        </w:rPr>
        <w:tab/>
      </w:r>
      <w:r w:rsidRPr="00A961BD">
        <w:rPr>
          <w:sz w:val="28"/>
          <w:szCs w:val="28"/>
        </w:rPr>
        <w:tab/>
      </w:r>
      <w:r w:rsidRPr="00A961BD">
        <w:rPr>
          <w:sz w:val="28"/>
          <w:szCs w:val="28"/>
        </w:rPr>
        <w:tab/>
      </w:r>
      <w:r w:rsidR="0067469B" w:rsidRPr="00A961BD">
        <w:rPr>
          <w:sz w:val="28"/>
          <w:szCs w:val="28"/>
        </w:rPr>
        <w:t>V.Dombrovskis</w:t>
      </w:r>
    </w:p>
    <w:p w:rsidR="003E2280" w:rsidRDefault="003E2280" w:rsidP="00CA0ACE">
      <w:pPr>
        <w:tabs>
          <w:tab w:val="left" w:pos="6804"/>
        </w:tabs>
        <w:rPr>
          <w:sz w:val="28"/>
          <w:szCs w:val="28"/>
        </w:rPr>
      </w:pPr>
    </w:p>
    <w:p w:rsidR="00D00AFF" w:rsidRPr="00A961BD" w:rsidRDefault="00D00AFF" w:rsidP="00CA0ACE">
      <w:pPr>
        <w:tabs>
          <w:tab w:val="left" w:pos="6804"/>
        </w:tabs>
        <w:rPr>
          <w:sz w:val="28"/>
          <w:szCs w:val="28"/>
        </w:rPr>
      </w:pPr>
    </w:p>
    <w:p w:rsidR="002832F5" w:rsidRDefault="002832F5" w:rsidP="006A0845">
      <w:pPr>
        <w:ind w:firstLine="709"/>
        <w:jc w:val="both"/>
        <w:rPr>
          <w:sz w:val="28"/>
        </w:rPr>
      </w:pPr>
      <w:r>
        <w:rPr>
          <w:sz w:val="28"/>
        </w:rPr>
        <w:t>Kultūras ministra p.i.</w:t>
      </w:r>
      <w:r w:rsidR="000E2C2B">
        <w:rPr>
          <w:sz w:val="28"/>
        </w:rPr>
        <w:t>,</w:t>
      </w:r>
    </w:p>
    <w:p w:rsidR="006A0845" w:rsidRPr="00A961BD" w:rsidRDefault="000B6934" w:rsidP="006A0845">
      <w:pPr>
        <w:ind w:firstLine="709"/>
        <w:jc w:val="both"/>
        <w:rPr>
          <w:sz w:val="28"/>
        </w:rPr>
      </w:pPr>
      <w:r w:rsidRPr="00A961BD">
        <w:rPr>
          <w:sz w:val="28"/>
        </w:rPr>
        <w:t>tieslietu ministr</w:t>
      </w:r>
      <w:r w:rsidR="00D00AFF">
        <w:rPr>
          <w:sz w:val="28"/>
        </w:rPr>
        <w:t>s</w:t>
      </w:r>
      <w:r w:rsidRPr="00A961BD">
        <w:rPr>
          <w:sz w:val="28"/>
        </w:rPr>
        <w:tab/>
      </w:r>
      <w:r w:rsidR="002832F5">
        <w:rPr>
          <w:sz w:val="28"/>
        </w:rPr>
        <w:tab/>
      </w:r>
      <w:r w:rsidR="002832F5">
        <w:rPr>
          <w:sz w:val="28"/>
        </w:rPr>
        <w:tab/>
      </w:r>
      <w:r w:rsidR="002832F5">
        <w:rPr>
          <w:sz w:val="28"/>
        </w:rPr>
        <w:tab/>
      </w:r>
      <w:r w:rsidR="002832F5">
        <w:rPr>
          <w:sz w:val="28"/>
        </w:rPr>
        <w:tab/>
      </w:r>
      <w:r w:rsidR="00D00AFF">
        <w:rPr>
          <w:sz w:val="28"/>
        </w:rPr>
        <w:tab/>
        <w:t>J.Bordāns</w:t>
      </w:r>
    </w:p>
    <w:p w:rsidR="00D00AFF" w:rsidRDefault="00D00AFF" w:rsidP="00E97A84">
      <w:pPr>
        <w:ind w:firstLine="709"/>
        <w:rPr>
          <w:sz w:val="28"/>
          <w:szCs w:val="28"/>
        </w:rPr>
      </w:pPr>
    </w:p>
    <w:p w:rsidR="00D00AFF" w:rsidRDefault="00D00AFF" w:rsidP="00E97A84">
      <w:pPr>
        <w:ind w:firstLine="709"/>
        <w:rPr>
          <w:sz w:val="28"/>
          <w:szCs w:val="28"/>
        </w:rPr>
      </w:pPr>
    </w:p>
    <w:p w:rsidR="00CA0ACE" w:rsidRPr="00A961BD" w:rsidRDefault="00CA0ACE" w:rsidP="00E97A84">
      <w:pPr>
        <w:ind w:firstLine="709"/>
        <w:rPr>
          <w:sz w:val="28"/>
          <w:szCs w:val="28"/>
        </w:rPr>
      </w:pPr>
      <w:r w:rsidRPr="00A961BD">
        <w:rPr>
          <w:sz w:val="28"/>
          <w:szCs w:val="28"/>
        </w:rPr>
        <w:t>Vīza: Valsts sekretārs</w:t>
      </w:r>
      <w:r w:rsidRPr="00A961BD">
        <w:rPr>
          <w:sz w:val="28"/>
          <w:szCs w:val="28"/>
        </w:rPr>
        <w:tab/>
      </w:r>
      <w:r w:rsidR="00E97A84" w:rsidRPr="00A961BD">
        <w:rPr>
          <w:sz w:val="28"/>
          <w:szCs w:val="28"/>
        </w:rPr>
        <w:tab/>
      </w:r>
      <w:r w:rsidR="00E97A84" w:rsidRPr="00A961BD">
        <w:rPr>
          <w:sz w:val="28"/>
          <w:szCs w:val="28"/>
        </w:rPr>
        <w:tab/>
      </w:r>
      <w:r w:rsidR="00E97A84" w:rsidRPr="00A961BD">
        <w:rPr>
          <w:sz w:val="28"/>
          <w:szCs w:val="28"/>
        </w:rPr>
        <w:tab/>
      </w:r>
      <w:r w:rsidR="00E97A84" w:rsidRPr="00A961BD">
        <w:rPr>
          <w:sz w:val="28"/>
          <w:szCs w:val="28"/>
        </w:rPr>
        <w:tab/>
      </w:r>
      <w:r w:rsidRPr="00A961BD">
        <w:rPr>
          <w:sz w:val="28"/>
          <w:szCs w:val="28"/>
        </w:rPr>
        <w:t>G.Puķītis</w:t>
      </w:r>
    </w:p>
    <w:p w:rsidR="00CA0ACE" w:rsidRPr="00A961BD" w:rsidRDefault="00CA0ACE" w:rsidP="00CA0ACE">
      <w:pPr>
        <w:tabs>
          <w:tab w:val="left" w:pos="2505"/>
        </w:tabs>
        <w:rPr>
          <w:sz w:val="22"/>
          <w:szCs w:val="22"/>
        </w:rPr>
      </w:pPr>
    </w:p>
    <w:p w:rsidR="00CA0ACE" w:rsidRPr="00A961BD" w:rsidRDefault="00CA0ACE" w:rsidP="00CA0ACE">
      <w:pPr>
        <w:tabs>
          <w:tab w:val="left" w:pos="2505"/>
        </w:tabs>
        <w:rPr>
          <w:sz w:val="22"/>
          <w:szCs w:val="22"/>
        </w:rPr>
      </w:pPr>
    </w:p>
    <w:p w:rsidR="00DE49FC" w:rsidRDefault="00DE49FC" w:rsidP="00CA0ACE">
      <w:pPr>
        <w:tabs>
          <w:tab w:val="left" w:pos="2505"/>
        </w:tabs>
        <w:rPr>
          <w:sz w:val="22"/>
          <w:szCs w:val="22"/>
        </w:rPr>
      </w:pPr>
    </w:p>
    <w:p w:rsidR="00563A38" w:rsidRDefault="00563A38" w:rsidP="00CA0ACE">
      <w:pPr>
        <w:tabs>
          <w:tab w:val="left" w:pos="2505"/>
        </w:tabs>
        <w:rPr>
          <w:sz w:val="22"/>
          <w:szCs w:val="22"/>
        </w:rPr>
      </w:pPr>
    </w:p>
    <w:p w:rsidR="00563A38" w:rsidRDefault="00563A38" w:rsidP="00CA0ACE">
      <w:pPr>
        <w:tabs>
          <w:tab w:val="left" w:pos="2505"/>
        </w:tabs>
        <w:rPr>
          <w:sz w:val="22"/>
          <w:szCs w:val="22"/>
        </w:rPr>
      </w:pPr>
    </w:p>
    <w:p w:rsidR="00563A38" w:rsidRDefault="00563A38" w:rsidP="00CA0ACE">
      <w:pPr>
        <w:tabs>
          <w:tab w:val="left" w:pos="2505"/>
        </w:tabs>
        <w:rPr>
          <w:sz w:val="22"/>
          <w:szCs w:val="22"/>
        </w:rPr>
      </w:pPr>
    </w:p>
    <w:p w:rsidR="00563A38" w:rsidRDefault="00563A38" w:rsidP="00CA0ACE">
      <w:pPr>
        <w:tabs>
          <w:tab w:val="left" w:pos="2505"/>
        </w:tabs>
        <w:rPr>
          <w:sz w:val="22"/>
          <w:szCs w:val="22"/>
        </w:rPr>
      </w:pPr>
    </w:p>
    <w:p w:rsidR="00563A38" w:rsidRDefault="00563A38" w:rsidP="00CA0ACE">
      <w:pPr>
        <w:tabs>
          <w:tab w:val="left" w:pos="2505"/>
        </w:tabs>
        <w:rPr>
          <w:sz w:val="22"/>
          <w:szCs w:val="22"/>
        </w:rPr>
      </w:pPr>
    </w:p>
    <w:p w:rsidR="00563A38" w:rsidRPr="00A961BD" w:rsidRDefault="00563A38" w:rsidP="00CA0ACE">
      <w:pPr>
        <w:tabs>
          <w:tab w:val="left" w:pos="2505"/>
        </w:tabs>
        <w:rPr>
          <w:sz w:val="22"/>
          <w:szCs w:val="22"/>
        </w:rPr>
      </w:pPr>
    </w:p>
    <w:p w:rsidR="00CA0ACE" w:rsidRPr="00556AA2" w:rsidRDefault="00D00AFF" w:rsidP="002832F5">
      <w:pPr>
        <w:tabs>
          <w:tab w:val="left" w:pos="2505"/>
        </w:tabs>
        <w:rPr>
          <w:sz w:val="22"/>
          <w:szCs w:val="22"/>
        </w:rPr>
      </w:pPr>
      <w:r w:rsidRPr="00556AA2">
        <w:rPr>
          <w:sz w:val="22"/>
          <w:szCs w:val="22"/>
        </w:rPr>
        <w:t>25</w:t>
      </w:r>
      <w:r w:rsidR="00DE49FC" w:rsidRPr="00556AA2">
        <w:rPr>
          <w:sz w:val="22"/>
          <w:szCs w:val="22"/>
        </w:rPr>
        <w:t>.10.</w:t>
      </w:r>
      <w:r w:rsidR="00436460" w:rsidRPr="00556AA2">
        <w:rPr>
          <w:sz w:val="22"/>
          <w:szCs w:val="22"/>
        </w:rPr>
        <w:t>2013.</w:t>
      </w:r>
      <w:bookmarkStart w:id="10" w:name="_GoBack"/>
      <w:bookmarkEnd w:id="10"/>
    </w:p>
    <w:p w:rsidR="00CA0ACE" w:rsidRPr="002832F5" w:rsidRDefault="00556AA2" w:rsidP="002832F5">
      <w:pPr>
        <w:rPr>
          <w:sz w:val="22"/>
          <w:szCs w:val="22"/>
        </w:rPr>
      </w:pPr>
      <w:r w:rsidRPr="00556AA2">
        <w:rPr>
          <w:sz w:val="22"/>
          <w:szCs w:val="22"/>
        </w:rPr>
        <w:t>1</w:t>
      </w:r>
      <w:r w:rsidR="00C13D94">
        <w:rPr>
          <w:sz w:val="22"/>
          <w:szCs w:val="22"/>
        </w:rPr>
        <w:t>34</w:t>
      </w:r>
      <w:r w:rsidRPr="00556AA2">
        <w:rPr>
          <w:sz w:val="22"/>
          <w:szCs w:val="22"/>
        </w:rPr>
        <w:t>1</w:t>
      </w:r>
    </w:p>
    <w:p w:rsidR="00CA0ACE" w:rsidRPr="002832F5" w:rsidRDefault="00DE49FC" w:rsidP="002832F5">
      <w:pPr>
        <w:rPr>
          <w:sz w:val="22"/>
          <w:szCs w:val="22"/>
        </w:rPr>
      </w:pPr>
      <w:r w:rsidRPr="002832F5">
        <w:rPr>
          <w:sz w:val="22"/>
          <w:szCs w:val="22"/>
        </w:rPr>
        <w:t>R.Putniņa</w:t>
      </w:r>
    </w:p>
    <w:p w:rsidR="00DE49FC" w:rsidRPr="002832F5" w:rsidRDefault="00DE49FC" w:rsidP="002832F5">
      <w:pPr>
        <w:rPr>
          <w:sz w:val="22"/>
          <w:szCs w:val="22"/>
        </w:rPr>
      </w:pPr>
      <w:bookmarkStart w:id="11" w:name="OLE_LINK23"/>
      <w:bookmarkStart w:id="12" w:name="OLE_LINK24"/>
      <w:r w:rsidRPr="002832F5">
        <w:rPr>
          <w:sz w:val="22"/>
          <w:szCs w:val="22"/>
        </w:rPr>
        <w:t>Tālr.67330288;</w:t>
      </w:r>
    </w:p>
    <w:p w:rsidR="00DE49FC" w:rsidRPr="002832F5" w:rsidRDefault="00BF7F04" w:rsidP="002832F5">
      <w:pPr>
        <w:rPr>
          <w:sz w:val="22"/>
          <w:szCs w:val="22"/>
        </w:rPr>
      </w:pPr>
      <w:hyperlink r:id="rId11" w:history="1">
        <w:r w:rsidR="002832F5" w:rsidRPr="002832F5">
          <w:rPr>
            <w:rStyle w:val="Hipersaite"/>
            <w:sz w:val="22"/>
            <w:szCs w:val="22"/>
          </w:rPr>
          <w:t>Roventa.Putnina@km.gov.lv</w:t>
        </w:r>
      </w:hyperlink>
      <w:bookmarkEnd w:id="11"/>
      <w:bookmarkEnd w:id="12"/>
      <w:r w:rsidR="002832F5" w:rsidRPr="002832F5">
        <w:rPr>
          <w:sz w:val="22"/>
          <w:szCs w:val="22"/>
        </w:rPr>
        <w:t xml:space="preserve"> </w:t>
      </w:r>
    </w:p>
    <w:p w:rsidR="002832F5" w:rsidRPr="002832F5" w:rsidRDefault="002832F5" w:rsidP="002832F5">
      <w:pPr>
        <w:rPr>
          <w:sz w:val="22"/>
          <w:szCs w:val="22"/>
        </w:rPr>
      </w:pPr>
    </w:p>
    <w:p w:rsidR="00DE49FC" w:rsidRPr="002832F5" w:rsidRDefault="00DE49FC" w:rsidP="002832F5">
      <w:pPr>
        <w:rPr>
          <w:sz w:val="22"/>
          <w:szCs w:val="22"/>
        </w:rPr>
      </w:pPr>
      <w:bookmarkStart w:id="13" w:name="OLE_LINK9"/>
      <w:bookmarkStart w:id="14" w:name="OLE_LINK10"/>
      <w:r w:rsidRPr="002832F5">
        <w:rPr>
          <w:sz w:val="22"/>
          <w:szCs w:val="22"/>
        </w:rPr>
        <w:t>Jolanta Klišāne</w:t>
      </w:r>
    </w:p>
    <w:p w:rsidR="00CA0ACE" w:rsidRPr="002832F5" w:rsidRDefault="00CA0ACE" w:rsidP="002832F5">
      <w:pPr>
        <w:pStyle w:val="Galvene"/>
        <w:rPr>
          <w:sz w:val="22"/>
          <w:szCs w:val="22"/>
        </w:rPr>
      </w:pPr>
      <w:bookmarkStart w:id="15" w:name="OLE_LINK25"/>
      <w:bookmarkStart w:id="16" w:name="OLE_LINK26"/>
      <w:r w:rsidRPr="002832F5">
        <w:rPr>
          <w:sz w:val="22"/>
          <w:szCs w:val="22"/>
        </w:rPr>
        <w:t>Tālr.</w:t>
      </w:r>
      <w:fldSimple w:instr=" COMMENTS   \* MERGEFORMAT ">
        <w:r w:rsidRPr="002832F5">
          <w:rPr>
            <w:sz w:val="22"/>
            <w:szCs w:val="22"/>
          </w:rPr>
          <w:t xml:space="preserve"> 67228985; fakss </w:t>
        </w:r>
      </w:fldSimple>
      <w:r w:rsidRPr="002832F5">
        <w:rPr>
          <w:sz w:val="22"/>
          <w:szCs w:val="22"/>
        </w:rPr>
        <w:t>67227405</w:t>
      </w:r>
    </w:p>
    <w:p w:rsidR="00CA0ACE" w:rsidRPr="002832F5" w:rsidRDefault="00BF7F04" w:rsidP="002832F5">
      <w:pPr>
        <w:tabs>
          <w:tab w:val="left" w:pos="6804"/>
        </w:tabs>
        <w:jc w:val="both"/>
        <w:rPr>
          <w:sz w:val="22"/>
          <w:szCs w:val="22"/>
        </w:rPr>
      </w:pPr>
      <w:hyperlink r:id="rId12" w:history="1">
        <w:r w:rsidR="002832F5" w:rsidRPr="002832F5">
          <w:rPr>
            <w:rStyle w:val="Hipersaite"/>
            <w:sz w:val="22"/>
            <w:szCs w:val="22"/>
          </w:rPr>
          <w:t>jolanta.klisane@lnkc.gov.lv</w:t>
        </w:r>
      </w:hyperlink>
      <w:r w:rsidR="002832F5" w:rsidRPr="002832F5">
        <w:rPr>
          <w:sz w:val="22"/>
          <w:szCs w:val="22"/>
        </w:rPr>
        <w:t xml:space="preserve"> </w:t>
      </w:r>
      <w:bookmarkEnd w:id="13"/>
      <w:bookmarkEnd w:id="14"/>
      <w:bookmarkEnd w:id="15"/>
      <w:bookmarkEnd w:id="16"/>
    </w:p>
    <w:sectPr w:rsidR="00CA0ACE" w:rsidRPr="002832F5" w:rsidSect="00556AA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3E" w:rsidRDefault="00577E3E" w:rsidP="00D34F4C">
      <w:r>
        <w:separator/>
      </w:r>
    </w:p>
  </w:endnote>
  <w:endnote w:type="continuationSeparator" w:id="0">
    <w:p w:rsidR="00577E3E" w:rsidRDefault="00577E3E" w:rsidP="00D34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3E" w:rsidRPr="002832F5" w:rsidRDefault="00577E3E" w:rsidP="002832F5">
    <w:pPr>
      <w:jc w:val="both"/>
      <w:rPr>
        <w:rFonts w:ascii="Verdana" w:hAnsi="Verdana" w:cs="Verdana"/>
        <w:b/>
        <w:bCs/>
        <w:sz w:val="22"/>
        <w:szCs w:val="22"/>
      </w:rPr>
    </w:pPr>
    <w:bookmarkStart w:id="4" w:name="OLE_LINK11"/>
    <w:bookmarkStart w:id="5" w:name="OLE_LINK12"/>
    <w:r>
      <w:rPr>
        <w:sz w:val="22"/>
        <w:szCs w:val="22"/>
      </w:rPr>
      <w:t>KMNot_25</w:t>
    </w:r>
    <w:r w:rsidRPr="002832F5">
      <w:rPr>
        <w:sz w:val="22"/>
        <w:szCs w:val="22"/>
      </w:rPr>
      <w:t>1013_groz_MK1035</w:t>
    </w:r>
    <w:bookmarkEnd w:id="4"/>
    <w:bookmarkEnd w:id="5"/>
    <w:r w:rsidRPr="002832F5">
      <w:rPr>
        <w:sz w:val="22"/>
        <w:szCs w:val="22"/>
      </w:rPr>
      <w:t>; Ministru kabineta noteikumu projekts „</w:t>
    </w:r>
    <w:bookmarkStart w:id="6" w:name="OLE_LINK7"/>
    <w:bookmarkStart w:id="7" w:name="OLE_LINK8"/>
    <w:r w:rsidRPr="002832F5">
      <w:rPr>
        <w:sz w:val="22"/>
        <w:szCs w:val="22"/>
      </w:rPr>
      <w:t xml:space="preserve">Grozījumi Ministru kabineta </w:t>
    </w:r>
    <w:r w:rsidRPr="002832F5">
      <w:rPr>
        <w:bCs/>
        <w:sz w:val="22"/>
        <w:szCs w:val="22"/>
      </w:rPr>
      <w:t>2011.gada 27.decembra noteikumos Nr.1035 „Kārtība, kādā valsts finansē profesionālās ievirzes mākslas, mūzikas un dejas izglītības programmas”</w:t>
    </w:r>
    <w:bookmarkEnd w:id="6"/>
    <w:bookmarkEnd w:id="7"/>
    <w:r w:rsidRPr="002832F5">
      <w:rPr>
        <w:bCs/>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3E" w:rsidRPr="002832F5" w:rsidRDefault="00577E3E" w:rsidP="00F94C80">
    <w:pPr>
      <w:jc w:val="both"/>
      <w:rPr>
        <w:rFonts w:ascii="Verdana" w:hAnsi="Verdana" w:cs="Verdana"/>
        <w:b/>
        <w:bCs/>
        <w:sz w:val="22"/>
        <w:szCs w:val="22"/>
      </w:rPr>
    </w:pPr>
    <w:r w:rsidRPr="002832F5">
      <w:rPr>
        <w:sz w:val="22"/>
        <w:szCs w:val="22"/>
      </w:rPr>
      <w:t>KMNot_</w:t>
    </w:r>
    <w:r>
      <w:rPr>
        <w:sz w:val="22"/>
        <w:szCs w:val="22"/>
      </w:rPr>
      <w:t>25</w:t>
    </w:r>
    <w:r w:rsidRPr="002832F5">
      <w:rPr>
        <w:sz w:val="22"/>
        <w:szCs w:val="22"/>
      </w:rPr>
      <w:t xml:space="preserve">1013_groz_MK1035; Ministru kabineta noteikumu projekts „Grozījumi Ministru kabineta </w:t>
    </w:r>
    <w:r w:rsidRPr="002832F5">
      <w:rPr>
        <w:bCs/>
        <w:sz w:val="22"/>
        <w:szCs w:val="22"/>
      </w:rPr>
      <w:t>2011.gada 27.decembra noteikumos Nr.1035 „Kārtība, kādā valsts finansē profesionālās ievirzes mākslas, mūzikas un dejas izglītības programmas””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3E" w:rsidRDefault="00577E3E" w:rsidP="00D34F4C">
      <w:r>
        <w:separator/>
      </w:r>
    </w:p>
  </w:footnote>
  <w:footnote w:type="continuationSeparator" w:id="0">
    <w:p w:rsidR="00577E3E" w:rsidRDefault="00577E3E" w:rsidP="00D34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3E" w:rsidRPr="002832F5" w:rsidRDefault="00BF7F04" w:rsidP="008420A8">
    <w:pPr>
      <w:pStyle w:val="Galvene"/>
      <w:framePr w:wrap="auto" w:vAnchor="text" w:hAnchor="margin" w:xAlign="center" w:y="1"/>
      <w:rPr>
        <w:rStyle w:val="Lappusesnumurs"/>
        <w:sz w:val="22"/>
        <w:szCs w:val="22"/>
      </w:rPr>
    </w:pPr>
    <w:r w:rsidRPr="002832F5">
      <w:rPr>
        <w:rStyle w:val="Lappusesnumurs"/>
        <w:sz w:val="22"/>
        <w:szCs w:val="22"/>
      </w:rPr>
      <w:fldChar w:fldCharType="begin"/>
    </w:r>
    <w:r w:rsidR="00577E3E" w:rsidRPr="002832F5">
      <w:rPr>
        <w:rStyle w:val="Lappusesnumurs"/>
        <w:sz w:val="22"/>
        <w:szCs w:val="22"/>
      </w:rPr>
      <w:instrText xml:space="preserve">PAGE  </w:instrText>
    </w:r>
    <w:r w:rsidRPr="002832F5">
      <w:rPr>
        <w:rStyle w:val="Lappusesnumurs"/>
        <w:sz w:val="22"/>
        <w:szCs w:val="22"/>
      </w:rPr>
      <w:fldChar w:fldCharType="separate"/>
    </w:r>
    <w:r w:rsidR="003A3F19">
      <w:rPr>
        <w:rStyle w:val="Lappusesnumurs"/>
        <w:noProof/>
        <w:sz w:val="22"/>
        <w:szCs w:val="22"/>
      </w:rPr>
      <w:t>4</w:t>
    </w:r>
    <w:r w:rsidRPr="002832F5">
      <w:rPr>
        <w:rStyle w:val="Lappusesnumurs"/>
        <w:sz w:val="22"/>
        <w:szCs w:val="22"/>
      </w:rPr>
      <w:fldChar w:fldCharType="end"/>
    </w:r>
  </w:p>
  <w:p w:rsidR="00577E3E" w:rsidRDefault="00577E3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B96"/>
    <w:multiLevelType w:val="hybridMultilevel"/>
    <w:tmpl w:val="35849A48"/>
    <w:lvl w:ilvl="0" w:tplc="CB7605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EC26717"/>
    <w:multiLevelType w:val="hybridMultilevel"/>
    <w:tmpl w:val="4ADEBE7A"/>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0FDB04D0"/>
    <w:multiLevelType w:val="hybridMultilevel"/>
    <w:tmpl w:val="90023DC0"/>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BEB3999"/>
    <w:multiLevelType w:val="hybridMultilevel"/>
    <w:tmpl w:val="43D809A2"/>
    <w:lvl w:ilvl="0" w:tplc="9122318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D255D29"/>
    <w:multiLevelType w:val="hybridMultilevel"/>
    <w:tmpl w:val="4CACE89A"/>
    <w:lvl w:ilvl="0" w:tplc="6CC67A54">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62210F8"/>
    <w:multiLevelType w:val="hybridMultilevel"/>
    <w:tmpl w:val="9E92EECE"/>
    <w:lvl w:ilvl="0" w:tplc="50ECF29A">
      <w:start w:val="1"/>
      <w:numFmt w:val="decimal"/>
      <w:lvlText w:val="%1)"/>
      <w:lvlJc w:val="left"/>
      <w:pPr>
        <w:ind w:left="720" w:hanging="360"/>
      </w:pPr>
      <w:rPr>
        <w:rFonts w:ascii="Calibri" w:hAnsi="Calibri" w:cs="Times New Roman" w:hint="default"/>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F4F1C26"/>
    <w:multiLevelType w:val="hybridMultilevel"/>
    <w:tmpl w:val="AE3E02B0"/>
    <w:lvl w:ilvl="0" w:tplc="0DC49620">
      <w:start w:val="11"/>
      <w:numFmt w:val="decimal"/>
      <w:lvlText w:val="%1."/>
      <w:lvlJc w:val="left"/>
      <w:pPr>
        <w:ind w:left="1455" w:hanging="37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33184B44"/>
    <w:multiLevelType w:val="hybridMultilevel"/>
    <w:tmpl w:val="444A3210"/>
    <w:lvl w:ilvl="0" w:tplc="393C0CF4">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7A4553F"/>
    <w:multiLevelType w:val="hybridMultilevel"/>
    <w:tmpl w:val="16C83892"/>
    <w:lvl w:ilvl="0" w:tplc="04260001">
      <w:start w:val="1"/>
      <w:numFmt w:val="bullet"/>
      <w:lvlText w:val=""/>
      <w:lvlJc w:val="left"/>
      <w:pPr>
        <w:ind w:left="1521" w:hanging="360"/>
      </w:pPr>
      <w:rPr>
        <w:rFonts w:ascii="Symbol" w:hAnsi="Symbol"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9">
    <w:nsid w:val="393A1552"/>
    <w:multiLevelType w:val="hybridMultilevel"/>
    <w:tmpl w:val="71F8932A"/>
    <w:lvl w:ilvl="0" w:tplc="254C18BC">
      <w:start w:val="12"/>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A6E4B7A"/>
    <w:multiLevelType w:val="hybridMultilevel"/>
    <w:tmpl w:val="6E3679C8"/>
    <w:lvl w:ilvl="0" w:tplc="76A4F6D2">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B112F83"/>
    <w:multiLevelType w:val="hybridMultilevel"/>
    <w:tmpl w:val="9078B8EA"/>
    <w:lvl w:ilvl="0" w:tplc="968AB560">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BDA4DED"/>
    <w:multiLevelType w:val="hybridMultilevel"/>
    <w:tmpl w:val="697E678C"/>
    <w:lvl w:ilvl="0" w:tplc="0832DA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5C3D5B2C"/>
    <w:multiLevelType w:val="hybridMultilevel"/>
    <w:tmpl w:val="AF18CDD2"/>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5D7352CA"/>
    <w:multiLevelType w:val="hybridMultilevel"/>
    <w:tmpl w:val="CF1ABA30"/>
    <w:lvl w:ilvl="0" w:tplc="0426000F">
      <w:start w:val="1"/>
      <w:numFmt w:val="decimal"/>
      <w:lvlText w:val="%1."/>
      <w:lvlJc w:val="left"/>
      <w:pPr>
        <w:ind w:left="1521" w:hanging="360"/>
      </w:pPr>
    </w:lvl>
    <w:lvl w:ilvl="1" w:tplc="04260019" w:tentative="1">
      <w:start w:val="1"/>
      <w:numFmt w:val="lowerLetter"/>
      <w:lvlText w:val="%2."/>
      <w:lvlJc w:val="left"/>
      <w:pPr>
        <w:ind w:left="2241" w:hanging="360"/>
      </w:pPr>
    </w:lvl>
    <w:lvl w:ilvl="2" w:tplc="0426001B" w:tentative="1">
      <w:start w:val="1"/>
      <w:numFmt w:val="lowerRoman"/>
      <w:lvlText w:val="%3."/>
      <w:lvlJc w:val="right"/>
      <w:pPr>
        <w:ind w:left="2961" w:hanging="180"/>
      </w:pPr>
    </w:lvl>
    <w:lvl w:ilvl="3" w:tplc="0426000F" w:tentative="1">
      <w:start w:val="1"/>
      <w:numFmt w:val="decimal"/>
      <w:lvlText w:val="%4."/>
      <w:lvlJc w:val="left"/>
      <w:pPr>
        <w:ind w:left="3681" w:hanging="360"/>
      </w:pPr>
    </w:lvl>
    <w:lvl w:ilvl="4" w:tplc="04260019" w:tentative="1">
      <w:start w:val="1"/>
      <w:numFmt w:val="lowerLetter"/>
      <w:lvlText w:val="%5."/>
      <w:lvlJc w:val="left"/>
      <w:pPr>
        <w:ind w:left="4401" w:hanging="360"/>
      </w:pPr>
    </w:lvl>
    <w:lvl w:ilvl="5" w:tplc="0426001B" w:tentative="1">
      <w:start w:val="1"/>
      <w:numFmt w:val="lowerRoman"/>
      <w:lvlText w:val="%6."/>
      <w:lvlJc w:val="right"/>
      <w:pPr>
        <w:ind w:left="5121" w:hanging="180"/>
      </w:pPr>
    </w:lvl>
    <w:lvl w:ilvl="6" w:tplc="0426000F" w:tentative="1">
      <w:start w:val="1"/>
      <w:numFmt w:val="decimal"/>
      <w:lvlText w:val="%7."/>
      <w:lvlJc w:val="left"/>
      <w:pPr>
        <w:ind w:left="5841" w:hanging="360"/>
      </w:pPr>
    </w:lvl>
    <w:lvl w:ilvl="7" w:tplc="04260019" w:tentative="1">
      <w:start w:val="1"/>
      <w:numFmt w:val="lowerLetter"/>
      <w:lvlText w:val="%8."/>
      <w:lvlJc w:val="left"/>
      <w:pPr>
        <w:ind w:left="6561" w:hanging="360"/>
      </w:pPr>
    </w:lvl>
    <w:lvl w:ilvl="8" w:tplc="0426001B" w:tentative="1">
      <w:start w:val="1"/>
      <w:numFmt w:val="lowerRoman"/>
      <w:lvlText w:val="%9."/>
      <w:lvlJc w:val="right"/>
      <w:pPr>
        <w:ind w:left="7281" w:hanging="180"/>
      </w:pPr>
    </w:lvl>
  </w:abstractNum>
  <w:abstractNum w:abstractNumId="15">
    <w:nsid w:val="5E411B36"/>
    <w:multiLevelType w:val="hybridMultilevel"/>
    <w:tmpl w:val="1EEC9670"/>
    <w:lvl w:ilvl="0" w:tplc="4C3895D2">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nsid w:val="60916CDC"/>
    <w:multiLevelType w:val="hybridMultilevel"/>
    <w:tmpl w:val="2238482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nsid w:val="63295545"/>
    <w:multiLevelType w:val="hybridMultilevel"/>
    <w:tmpl w:val="B752332C"/>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63D35286"/>
    <w:multiLevelType w:val="hybridMultilevel"/>
    <w:tmpl w:val="FA2E7E5C"/>
    <w:lvl w:ilvl="0" w:tplc="DA602364">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42A7866"/>
    <w:multiLevelType w:val="hybridMultilevel"/>
    <w:tmpl w:val="8690AFF4"/>
    <w:lvl w:ilvl="0" w:tplc="DF2C15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6D7566FB"/>
    <w:multiLevelType w:val="hybridMultilevel"/>
    <w:tmpl w:val="D4487E52"/>
    <w:lvl w:ilvl="0" w:tplc="0426000B">
      <w:start w:val="1"/>
      <w:numFmt w:val="bullet"/>
      <w:lvlText w:val=""/>
      <w:lvlJc w:val="left"/>
      <w:pPr>
        <w:ind w:left="1521" w:hanging="360"/>
      </w:pPr>
      <w:rPr>
        <w:rFonts w:ascii="Wingdings" w:hAnsi="Wingdings"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21">
    <w:nsid w:val="71BC7691"/>
    <w:multiLevelType w:val="hybridMultilevel"/>
    <w:tmpl w:val="0D92E6EE"/>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nsid w:val="79A502A3"/>
    <w:multiLevelType w:val="hybridMultilevel"/>
    <w:tmpl w:val="EBD87A6C"/>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7CC0380D"/>
    <w:multiLevelType w:val="hybridMultilevel"/>
    <w:tmpl w:val="F022DB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4"/>
  </w:num>
  <w:num w:numId="5">
    <w:abstractNumId w:val="20"/>
  </w:num>
  <w:num w:numId="6">
    <w:abstractNumId w:val="16"/>
  </w:num>
  <w:num w:numId="7">
    <w:abstractNumId w:val="12"/>
  </w:num>
  <w:num w:numId="8">
    <w:abstractNumId w:val="15"/>
  </w:num>
  <w:num w:numId="9">
    <w:abstractNumId w:val="3"/>
  </w:num>
  <w:num w:numId="10">
    <w:abstractNumId w:val="2"/>
  </w:num>
  <w:num w:numId="11">
    <w:abstractNumId w:val="23"/>
  </w:num>
  <w:num w:numId="12">
    <w:abstractNumId w:val="1"/>
  </w:num>
  <w:num w:numId="13">
    <w:abstractNumId w:val="21"/>
  </w:num>
  <w:num w:numId="14">
    <w:abstractNumId w:val="13"/>
  </w:num>
  <w:num w:numId="15">
    <w:abstractNumId w:val="22"/>
  </w:num>
  <w:num w:numId="16">
    <w:abstractNumId w:val="17"/>
  </w:num>
  <w:num w:numId="17">
    <w:abstractNumId w:val="19"/>
  </w:num>
  <w:num w:numId="18">
    <w:abstractNumId w:val="10"/>
  </w:num>
  <w:num w:numId="19">
    <w:abstractNumId w:val="7"/>
  </w:num>
  <w:num w:numId="20">
    <w:abstractNumId w:val="4"/>
  </w:num>
  <w:num w:numId="21">
    <w:abstractNumId w:val="11"/>
  </w:num>
  <w:num w:numId="22">
    <w:abstractNumId w:val="18"/>
  </w:num>
  <w:num w:numId="23">
    <w:abstractNumId w:val="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47DDE"/>
    <w:rsid w:val="00000660"/>
    <w:rsid w:val="00000D94"/>
    <w:rsid w:val="00003064"/>
    <w:rsid w:val="00006BC3"/>
    <w:rsid w:val="00006CCC"/>
    <w:rsid w:val="00031BAA"/>
    <w:rsid w:val="00035526"/>
    <w:rsid w:val="00045C6E"/>
    <w:rsid w:val="00045FF6"/>
    <w:rsid w:val="000468AD"/>
    <w:rsid w:val="00050ADC"/>
    <w:rsid w:val="00072268"/>
    <w:rsid w:val="000758CC"/>
    <w:rsid w:val="00077298"/>
    <w:rsid w:val="00082F9F"/>
    <w:rsid w:val="0008391C"/>
    <w:rsid w:val="000848B4"/>
    <w:rsid w:val="00092A65"/>
    <w:rsid w:val="000A1B4A"/>
    <w:rsid w:val="000A28C9"/>
    <w:rsid w:val="000A306C"/>
    <w:rsid w:val="000A61EF"/>
    <w:rsid w:val="000B52F4"/>
    <w:rsid w:val="000B640A"/>
    <w:rsid w:val="000B6934"/>
    <w:rsid w:val="000C10C7"/>
    <w:rsid w:val="000D2A4E"/>
    <w:rsid w:val="000E2C2B"/>
    <w:rsid w:val="000E7E62"/>
    <w:rsid w:val="000F5518"/>
    <w:rsid w:val="000F623F"/>
    <w:rsid w:val="00116D38"/>
    <w:rsid w:val="001173A5"/>
    <w:rsid w:val="00126180"/>
    <w:rsid w:val="00126CC7"/>
    <w:rsid w:val="00130420"/>
    <w:rsid w:val="00132886"/>
    <w:rsid w:val="00140233"/>
    <w:rsid w:val="00140E20"/>
    <w:rsid w:val="0014269A"/>
    <w:rsid w:val="00152F5F"/>
    <w:rsid w:val="00153CB8"/>
    <w:rsid w:val="001624CB"/>
    <w:rsid w:val="0016261E"/>
    <w:rsid w:val="001716DB"/>
    <w:rsid w:val="00172999"/>
    <w:rsid w:val="00175F80"/>
    <w:rsid w:val="001821BB"/>
    <w:rsid w:val="00186353"/>
    <w:rsid w:val="001872E9"/>
    <w:rsid w:val="00191F69"/>
    <w:rsid w:val="001A0A1D"/>
    <w:rsid w:val="001A1101"/>
    <w:rsid w:val="001A7CB5"/>
    <w:rsid w:val="001A7EBA"/>
    <w:rsid w:val="001B0E3F"/>
    <w:rsid w:val="001B3060"/>
    <w:rsid w:val="001B394B"/>
    <w:rsid w:val="001B4F6A"/>
    <w:rsid w:val="001C2648"/>
    <w:rsid w:val="001C3F5C"/>
    <w:rsid w:val="001C56C7"/>
    <w:rsid w:val="001C58DA"/>
    <w:rsid w:val="001C6643"/>
    <w:rsid w:val="001D2DC9"/>
    <w:rsid w:val="001D46D4"/>
    <w:rsid w:val="001D61B4"/>
    <w:rsid w:val="001E1668"/>
    <w:rsid w:val="001E4203"/>
    <w:rsid w:val="001E451C"/>
    <w:rsid w:val="001F02FC"/>
    <w:rsid w:val="001F060E"/>
    <w:rsid w:val="001F0BF2"/>
    <w:rsid w:val="001F2EDB"/>
    <w:rsid w:val="001F469C"/>
    <w:rsid w:val="001F4EB3"/>
    <w:rsid w:val="001F6B56"/>
    <w:rsid w:val="001F7A2F"/>
    <w:rsid w:val="00213A53"/>
    <w:rsid w:val="00215FB6"/>
    <w:rsid w:val="00217A89"/>
    <w:rsid w:val="00224A71"/>
    <w:rsid w:val="00225CA9"/>
    <w:rsid w:val="00227310"/>
    <w:rsid w:val="00232D53"/>
    <w:rsid w:val="00235572"/>
    <w:rsid w:val="002363FD"/>
    <w:rsid w:val="00241259"/>
    <w:rsid w:val="00243E9F"/>
    <w:rsid w:val="00247FB9"/>
    <w:rsid w:val="002502B2"/>
    <w:rsid w:val="002551A7"/>
    <w:rsid w:val="00256CEB"/>
    <w:rsid w:val="002573AC"/>
    <w:rsid w:val="00257526"/>
    <w:rsid w:val="00257F44"/>
    <w:rsid w:val="00264601"/>
    <w:rsid w:val="00266C2C"/>
    <w:rsid w:val="00266DDD"/>
    <w:rsid w:val="00266F50"/>
    <w:rsid w:val="002672E8"/>
    <w:rsid w:val="002678F1"/>
    <w:rsid w:val="002705E7"/>
    <w:rsid w:val="00275CA8"/>
    <w:rsid w:val="00281F33"/>
    <w:rsid w:val="002832F5"/>
    <w:rsid w:val="00284A0C"/>
    <w:rsid w:val="0029609E"/>
    <w:rsid w:val="002A7D5F"/>
    <w:rsid w:val="002C069D"/>
    <w:rsid w:val="002C5E2C"/>
    <w:rsid w:val="002D076A"/>
    <w:rsid w:val="002D6D02"/>
    <w:rsid w:val="002E179F"/>
    <w:rsid w:val="002E77CB"/>
    <w:rsid w:val="002F1B8C"/>
    <w:rsid w:val="002F5D5F"/>
    <w:rsid w:val="002F6D4F"/>
    <w:rsid w:val="003022DB"/>
    <w:rsid w:val="00302C34"/>
    <w:rsid w:val="00311078"/>
    <w:rsid w:val="00312AD1"/>
    <w:rsid w:val="00312CAA"/>
    <w:rsid w:val="00317F03"/>
    <w:rsid w:val="00330A9C"/>
    <w:rsid w:val="00333677"/>
    <w:rsid w:val="00335BA9"/>
    <w:rsid w:val="003427C8"/>
    <w:rsid w:val="00344755"/>
    <w:rsid w:val="00345EDD"/>
    <w:rsid w:val="00352AD5"/>
    <w:rsid w:val="00357E2A"/>
    <w:rsid w:val="00362D42"/>
    <w:rsid w:val="00366198"/>
    <w:rsid w:val="00372E4C"/>
    <w:rsid w:val="003749F3"/>
    <w:rsid w:val="00376809"/>
    <w:rsid w:val="00381AF0"/>
    <w:rsid w:val="003978B2"/>
    <w:rsid w:val="003A3D56"/>
    <w:rsid w:val="003A3F19"/>
    <w:rsid w:val="003B15E3"/>
    <w:rsid w:val="003B6B5A"/>
    <w:rsid w:val="003C4BB3"/>
    <w:rsid w:val="003C5ECD"/>
    <w:rsid w:val="003C6714"/>
    <w:rsid w:val="003D02D1"/>
    <w:rsid w:val="003D1A56"/>
    <w:rsid w:val="003D28CA"/>
    <w:rsid w:val="003D3378"/>
    <w:rsid w:val="003D45FC"/>
    <w:rsid w:val="003E2280"/>
    <w:rsid w:val="003E3A09"/>
    <w:rsid w:val="003F0755"/>
    <w:rsid w:val="003F1FAE"/>
    <w:rsid w:val="00403C1E"/>
    <w:rsid w:val="00407061"/>
    <w:rsid w:val="004100A8"/>
    <w:rsid w:val="004129A2"/>
    <w:rsid w:val="00412FD7"/>
    <w:rsid w:val="00431507"/>
    <w:rsid w:val="004333AD"/>
    <w:rsid w:val="00433B81"/>
    <w:rsid w:val="00433F24"/>
    <w:rsid w:val="004342F1"/>
    <w:rsid w:val="00436460"/>
    <w:rsid w:val="00436A01"/>
    <w:rsid w:val="00444933"/>
    <w:rsid w:val="00447B63"/>
    <w:rsid w:val="004506A6"/>
    <w:rsid w:val="00450CAE"/>
    <w:rsid w:val="00454DBD"/>
    <w:rsid w:val="004616E6"/>
    <w:rsid w:val="00463EAE"/>
    <w:rsid w:val="00466C0A"/>
    <w:rsid w:val="0047044D"/>
    <w:rsid w:val="00471067"/>
    <w:rsid w:val="0048004B"/>
    <w:rsid w:val="00482D96"/>
    <w:rsid w:val="00491085"/>
    <w:rsid w:val="00492D44"/>
    <w:rsid w:val="00497173"/>
    <w:rsid w:val="00497DAA"/>
    <w:rsid w:val="004A2CDF"/>
    <w:rsid w:val="004A3268"/>
    <w:rsid w:val="004B26D2"/>
    <w:rsid w:val="004C0A44"/>
    <w:rsid w:val="004C24C9"/>
    <w:rsid w:val="004C5F67"/>
    <w:rsid w:val="004D41EE"/>
    <w:rsid w:val="004E7379"/>
    <w:rsid w:val="004F3730"/>
    <w:rsid w:val="004F481D"/>
    <w:rsid w:val="004F6AC0"/>
    <w:rsid w:val="00504138"/>
    <w:rsid w:val="0050708A"/>
    <w:rsid w:val="00510F3E"/>
    <w:rsid w:val="00510FDD"/>
    <w:rsid w:val="00511554"/>
    <w:rsid w:val="00513233"/>
    <w:rsid w:val="005317D6"/>
    <w:rsid w:val="00533B68"/>
    <w:rsid w:val="00534B05"/>
    <w:rsid w:val="00535A1F"/>
    <w:rsid w:val="00535C80"/>
    <w:rsid w:val="005376C7"/>
    <w:rsid w:val="00540CBD"/>
    <w:rsid w:val="00546F88"/>
    <w:rsid w:val="00547D92"/>
    <w:rsid w:val="00550CDD"/>
    <w:rsid w:val="00554250"/>
    <w:rsid w:val="0055525C"/>
    <w:rsid w:val="00556AA2"/>
    <w:rsid w:val="0056076A"/>
    <w:rsid w:val="00563A38"/>
    <w:rsid w:val="00563D7E"/>
    <w:rsid w:val="00566167"/>
    <w:rsid w:val="005724EB"/>
    <w:rsid w:val="00574393"/>
    <w:rsid w:val="00576052"/>
    <w:rsid w:val="00577E3E"/>
    <w:rsid w:val="005A19E2"/>
    <w:rsid w:val="005A6C0F"/>
    <w:rsid w:val="005B34F1"/>
    <w:rsid w:val="005B393D"/>
    <w:rsid w:val="005B415D"/>
    <w:rsid w:val="005B4C61"/>
    <w:rsid w:val="005C2EA7"/>
    <w:rsid w:val="005C3498"/>
    <w:rsid w:val="005D0845"/>
    <w:rsid w:val="005D0BD7"/>
    <w:rsid w:val="005D1A37"/>
    <w:rsid w:val="005D27A8"/>
    <w:rsid w:val="005D4557"/>
    <w:rsid w:val="005D721E"/>
    <w:rsid w:val="005E1FE6"/>
    <w:rsid w:val="005E5BBD"/>
    <w:rsid w:val="005E72BC"/>
    <w:rsid w:val="005F5CDB"/>
    <w:rsid w:val="005F76E3"/>
    <w:rsid w:val="006039AA"/>
    <w:rsid w:val="00603FBF"/>
    <w:rsid w:val="00605E1E"/>
    <w:rsid w:val="00612B08"/>
    <w:rsid w:val="00617AF3"/>
    <w:rsid w:val="00621D71"/>
    <w:rsid w:val="00622AE2"/>
    <w:rsid w:val="006255F6"/>
    <w:rsid w:val="006272F3"/>
    <w:rsid w:val="00631DDE"/>
    <w:rsid w:val="0063237A"/>
    <w:rsid w:val="006426DF"/>
    <w:rsid w:val="0065541A"/>
    <w:rsid w:val="006609DB"/>
    <w:rsid w:val="006646BA"/>
    <w:rsid w:val="00664D4A"/>
    <w:rsid w:val="00673917"/>
    <w:rsid w:val="0067469B"/>
    <w:rsid w:val="006841A5"/>
    <w:rsid w:val="00686EFD"/>
    <w:rsid w:val="00695BCC"/>
    <w:rsid w:val="006A0845"/>
    <w:rsid w:val="006A4990"/>
    <w:rsid w:val="006B0AAF"/>
    <w:rsid w:val="006B5646"/>
    <w:rsid w:val="006C3CD8"/>
    <w:rsid w:val="006D1825"/>
    <w:rsid w:val="006D46C0"/>
    <w:rsid w:val="006D65FF"/>
    <w:rsid w:val="006F0CDB"/>
    <w:rsid w:val="006F519D"/>
    <w:rsid w:val="006F5503"/>
    <w:rsid w:val="00701359"/>
    <w:rsid w:val="00702FAA"/>
    <w:rsid w:val="00705122"/>
    <w:rsid w:val="007143FA"/>
    <w:rsid w:val="0072055D"/>
    <w:rsid w:val="007215EE"/>
    <w:rsid w:val="00721D08"/>
    <w:rsid w:val="00723DEB"/>
    <w:rsid w:val="0072427C"/>
    <w:rsid w:val="0073423D"/>
    <w:rsid w:val="0073423E"/>
    <w:rsid w:val="007458CF"/>
    <w:rsid w:val="00751EC0"/>
    <w:rsid w:val="00752512"/>
    <w:rsid w:val="007533DE"/>
    <w:rsid w:val="00756977"/>
    <w:rsid w:val="00757422"/>
    <w:rsid w:val="007575E8"/>
    <w:rsid w:val="0076074A"/>
    <w:rsid w:val="00762C3B"/>
    <w:rsid w:val="00764B6A"/>
    <w:rsid w:val="007678BD"/>
    <w:rsid w:val="00773E96"/>
    <w:rsid w:val="00775D2A"/>
    <w:rsid w:val="007862D2"/>
    <w:rsid w:val="00787CD2"/>
    <w:rsid w:val="007976F2"/>
    <w:rsid w:val="007A4435"/>
    <w:rsid w:val="007A4950"/>
    <w:rsid w:val="007A60F3"/>
    <w:rsid w:val="007B6DC1"/>
    <w:rsid w:val="007C4220"/>
    <w:rsid w:val="007D0331"/>
    <w:rsid w:val="007E1608"/>
    <w:rsid w:val="007E4CAA"/>
    <w:rsid w:val="007E5460"/>
    <w:rsid w:val="007E7520"/>
    <w:rsid w:val="007F0409"/>
    <w:rsid w:val="007F2878"/>
    <w:rsid w:val="007F2F06"/>
    <w:rsid w:val="007F6485"/>
    <w:rsid w:val="00804B38"/>
    <w:rsid w:val="008104EB"/>
    <w:rsid w:val="00814504"/>
    <w:rsid w:val="00817E4C"/>
    <w:rsid w:val="008351FF"/>
    <w:rsid w:val="00837D10"/>
    <w:rsid w:val="008416BC"/>
    <w:rsid w:val="008420A8"/>
    <w:rsid w:val="00842FA3"/>
    <w:rsid w:val="00861358"/>
    <w:rsid w:val="0086185A"/>
    <w:rsid w:val="00872239"/>
    <w:rsid w:val="00873847"/>
    <w:rsid w:val="00882643"/>
    <w:rsid w:val="00883B62"/>
    <w:rsid w:val="00883C39"/>
    <w:rsid w:val="00894127"/>
    <w:rsid w:val="00897383"/>
    <w:rsid w:val="008A3827"/>
    <w:rsid w:val="008B0206"/>
    <w:rsid w:val="008B0B42"/>
    <w:rsid w:val="008B75C8"/>
    <w:rsid w:val="008C2208"/>
    <w:rsid w:val="008D5C4A"/>
    <w:rsid w:val="008E0018"/>
    <w:rsid w:val="008E00D6"/>
    <w:rsid w:val="008E1CDC"/>
    <w:rsid w:val="008E2168"/>
    <w:rsid w:val="008E559E"/>
    <w:rsid w:val="008E616C"/>
    <w:rsid w:val="008E6D7E"/>
    <w:rsid w:val="008E7BB3"/>
    <w:rsid w:val="008F168A"/>
    <w:rsid w:val="008F7578"/>
    <w:rsid w:val="00902550"/>
    <w:rsid w:val="0090737F"/>
    <w:rsid w:val="00912EF1"/>
    <w:rsid w:val="0091350B"/>
    <w:rsid w:val="00913620"/>
    <w:rsid w:val="00915DA8"/>
    <w:rsid w:val="00916215"/>
    <w:rsid w:val="00920F28"/>
    <w:rsid w:val="00920FFC"/>
    <w:rsid w:val="009214F4"/>
    <w:rsid w:val="00923775"/>
    <w:rsid w:val="00931169"/>
    <w:rsid w:val="00933AC9"/>
    <w:rsid w:val="00946B76"/>
    <w:rsid w:val="00951B02"/>
    <w:rsid w:val="00952BC9"/>
    <w:rsid w:val="009568C1"/>
    <w:rsid w:val="00961A2B"/>
    <w:rsid w:val="00974CD9"/>
    <w:rsid w:val="00984DE0"/>
    <w:rsid w:val="00991BEC"/>
    <w:rsid w:val="00997A36"/>
    <w:rsid w:val="009A22FE"/>
    <w:rsid w:val="009A3FB4"/>
    <w:rsid w:val="009B7D49"/>
    <w:rsid w:val="009C1F61"/>
    <w:rsid w:val="009C2BE8"/>
    <w:rsid w:val="009D0701"/>
    <w:rsid w:val="009D2695"/>
    <w:rsid w:val="009D29E8"/>
    <w:rsid w:val="009D75FF"/>
    <w:rsid w:val="009E7AE6"/>
    <w:rsid w:val="009F76B6"/>
    <w:rsid w:val="00A01EA0"/>
    <w:rsid w:val="00A01F07"/>
    <w:rsid w:val="00A05CF9"/>
    <w:rsid w:val="00A07DA3"/>
    <w:rsid w:val="00A14782"/>
    <w:rsid w:val="00A23702"/>
    <w:rsid w:val="00A361D3"/>
    <w:rsid w:val="00A36585"/>
    <w:rsid w:val="00A37D12"/>
    <w:rsid w:val="00A446D7"/>
    <w:rsid w:val="00A469DF"/>
    <w:rsid w:val="00A52DAE"/>
    <w:rsid w:val="00A55E36"/>
    <w:rsid w:val="00A600D9"/>
    <w:rsid w:val="00A61018"/>
    <w:rsid w:val="00A61DE9"/>
    <w:rsid w:val="00A665C4"/>
    <w:rsid w:val="00A670DF"/>
    <w:rsid w:val="00A67167"/>
    <w:rsid w:val="00A67BD5"/>
    <w:rsid w:val="00A82CEF"/>
    <w:rsid w:val="00A92848"/>
    <w:rsid w:val="00A961BD"/>
    <w:rsid w:val="00A973C5"/>
    <w:rsid w:val="00AA145B"/>
    <w:rsid w:val="00AA3316"/>
    <w:rsid w:val="00AA41BC"/>
    <w:rsid w:val="00AA5CDC"/>
    <w:rsid w:val="00AB0844"/>
    <w:rsid w:val="00AB74DB"/>
    <w:rsid w:val="00AC1567"/>
    <w:rsid w:val="00AD1854"/>
    <w:rsid w:val="00AD4E00"/>
    <w:rsid w:val="00AD7B8B"/>
    <w:rsid w:val="00AE4F05"/>
    <w:rsid w:val="00AE7561"/>
    <w:rsid w:val="00AF7C42"/>
    <w:rsid w:val="00AF7ED9"/>
    <w:rsid w:val="00B12E41"/>
    <w:rsid w:val="00B12EA0"/>
    <w:rsid w:val="00B1581A"/>
    <w:rsid w:val="00B20FD2"/>
    <w:rsid w:val="00B211B8"/>
    <w:rsid w:val="00B2291B"/>
    <w:rsid w:val="00B22F52"/>
    <w:rsid w:val="00B25610"/>
    <w:rsid w:val="00B26FB9"/>
    <w:rsid w:val="00B30611"/>
    <w:rsid w:val="00B3379A"/>
    <w:rsid w:val="00B36B86"/>
    <w:rsid w:val="00B42982"/>
    <w:rsid w:val="00B535A3"/>
    <w:rsid w:val="00B5474B"/>
    <w:rsid w:val="00B557A4"/>
    <w:rsid w:val="00B57596"/>
    <w:rsid w:val="00B70D06"/>
    <w:rsid w:val="00B72585"/>
    <w:rsid w:val="00B73F5D"/>
    <w:rsid w:val="00B772AB"/>
    <w:rsid w:val="00B82B71"/>
    <w:rsid w:val="00B85F52"/>
    <w:rsid w:val="00B86CA5"/>
    <w:rsid w:val="00B92CA4"/>
    <w:rsid w:val="00B94E16"/>
    <w:rsid w:val="00B97DA2"/>
    <w:rsid w:val="00BA1498"/>
    <w:rsid w:val="00BA2CB5"/>
    <w:rsid w:val="00BA4F62"/>
    <w:rsid w:val="00BA6D50"/>
    <w:rsid w:val="00BA7393"/>
    <w:rsid w:val="00BB1A81"/>
    <w:rsid w:val="00BB2180"/>
    <w:rsid w:val="00BB39E7"/>
    <w:rsid w:val="00BC0D22"/>
    <w:rsid w:val="00BC7CE4"/>
    <w:rsid w:val="00BD51EF"/>
    <w:rsid w:val="00BE1BEB"/>
    <w:rsid w:val="00BE4A83"/>
    <w:rsid w:val="00BE502C"/>
    <w:rsid w:val="00BF4F86"/>
    <w:rsid w:val="00BF694F"/>
    <w:rsid w:val="00BF7F04"/>
    <w:rsid w:val="00C00BA7"/>
    <w:rsid w:val="00C03667"/>
    <w:rsid w:val="00C10A5C"/>
    <w:rsid w:val="00C12899"/>
    <w:rsid w:val="00C133E4"/>
    <w:rsid w:val="00C13D94"/>
    <w:rsid w:val="00C15451"/>
    <w:rsid w:val="00C17B32"/>
    <w:rsid w:val="00C17B3C"/>
    <w:rsid w:val="00C254B6"/>
    <w:rsid w:val="00C42713"/>
    <w:rsid w:val="00C63808"/>
    <w:rsid w:val="00C668A8"/>
    <w:rsid w:val="00C731CF"/>
    <w:rsid w:val="00C73BD3"/>
    <w:rsid w:val="00C84823"/>
    <w:rsid w:val="00C914EB"/>
    <w:rsid w:val="00C9300D"/>
    <w:rsid w:val="00CA0ACE"/>
    <w:rsid w:val="00CA0F6B"/>
    <w:rsid w:val="00CA5D24"/>
    <w:rsid w:val="00CA7EC8"/>
    <w:rsid w:val="00CB46E7"/>
    <w:rsid w:val="00CB7A21"/>
    <w:rsid w:val="00CC1430"/>
    <w:rsid w:val="00CC1AED"/>
    <w:rsid w:val="00CC2986"/>
    <w:rsid w:val="00CC3CB6"/>
    <w:rsid w:val="00CC6374"/>
    <w:rsid w:val="00CC7456"/>
    <w:rsid w:val="00CC7A1A"/>
    <w:rsid w:val="00CC7B13"/>
    <w:rsid w:val="00CD401B"/>
    <w:rsid w:val="00CD5D56"/>
    <w:rsid w:val="00CD7A4A"/>
    <w:rsid w:val="00CE15C6"/>
    <w:rsid w:val="00CE7502"/>
    <w:rsid w:val="00CE78DE"/>
    <w:rsid w:val="00CF095B"/>
    <w:rsid w:val="00CF6C3E"/>
    <w:rsid w:val="00D001D9"/>
    <w:rsid w:val="00D00AFF"/>
    <w:rsid w:val="00D05744"/>
    <w:rsid w:val="00D07E1D"/>
    <w:rsid w:val="00D13707"/>
    <w:rsid w:val="00D13C4F"/>
    <w:rsid w:val="00D15C9F"/>
    <w:rsid w:val="00D26AD3"/>
    <w:rsid w:val="00D27A76"/>
    <w:rsid w:val="00D301A7"/>
    <w:rsid w:val="00D303D4"/>
    <w:rsid w:val="00D30905"/>
    <w:rsid w:val="00D31216"/>
    <w:rsid w:val="00D32B2F"/>
    <w:rsid w:val="00D34F4C"/>
    <w:rsid w:val="00D364C0"/>
    <w:rsid w:val="00D42B7B"/>
    <w:rsid w:val="00D44201"/>
    <w:rsid w:val="00D4504F"/>
    <w:rsid w:val="00D56C7A"/>
    <w:rsid w:val="00D619C3"/>
    <w:rsid w:val="00D6286F"/>
    <w:rsid w:val="00D7297C"/>
    <w:rsid w:val="00D75F7B"/>
    <w:rsid w:val="00D932E6"/>
    <w:rsid w:val="00D93DE5"/>
    <w:rsid w:val="00D944C8"/>
    <w:rsid w:val="00D94502"/>
    <w:rsid w:val="00DA6171"/>
    <w:rsid w:val="00DB4A7D"/>
    <w:rsid w:val="00DB7E1F"/>
    <w:rsid w:val="00DD3FF5"/>
    <w:rsid w:val="00DD439F"/>
    <w:rsid w:val="00DD7669"/>
    <w:rsid w:val="00DE49FC"/>
    <w:rsid w:val="00DE539E"/>
    <w:rsid w:val="00DE637D"/>
    <w:rsid w:val="00DE7908"/>
    <w:rsid w:val="00DF2766"/>
    <w:rsid w:val="00E008CB"/>
    <w:rsid w:val="00E0238F"/>
    <w:rsid w:val="00E023BC"/>
    <w:rsid w:val="00E03C20"/>
    <w:rsid w:val="00E04838"/>
    <w:rsid w:val="00E055C3"/>
    <w:rsid w:val="00E11465"/>
    <w:rsid w:val="00E119A1"/>
    <w:rsid w:val="00E14CBD"/>
    <w:rsid w:val="00E14EDF"/>
    <w:rsid w:val="00E17DAD"/>
    <w:rsid w:val="00E22C09"/>
    <w:rsid w:val="00E22C1B"/>
    <w:rsid w:val="00E23C0C"/>
    <w:rsid w:val="00E23FBA"/>
    <w:rsid w:val="00E2756C"/>
    <w:rsid w:val="00E33893"/>
    <w:rsid w:val="00E34DF0"/>
    <w:rsid w:val="00E34E91"/>
    <w:rsid w:val="00E36CC5"/>
    <w:rsid w:val="00E37A8E"/>
    <w:rsid w:val="00E51281"/>
    <w:rsid w:val="00E51544"/>
    <w:rsid w:val="00E559E3"/>
    <w:rsid w:val="00E60D0D"/>
    <w:rsid w:val="00E632E3"/>
    <w:rsid w:val="00E63AB9"/>
    <w:rsid w:val="00E71BAF"/>
    <w:rsid w:val="00E7456A"/>
    <w:rsid w:val="00E76FCE"/>
    <w:rsid w:val="00E77E91"/>
    <w:rsid w:val="00E83271"/>
    <w:rsid w:val="00E86F9C"/>
    <w:rsid w:val="00E97A84"/>
    <w:rsid w:val="00EA210A"/>
    <w:rsid w:val="00EA2357"/>
    <w:rsid w:val="00EA4346"/>
    <w:rsid w:val="00EB06B9"/>
    <w:rsid w:val="00EB06DF"/>
    <w:rsid w:val="00EB27D2"/>
    <w:rsid w:val="00EB47E9"/>
    <w:rsid w:val="00EB4AAA"/>
    <w:rsid w:val="00EB5B7E"/>
    <w:rsid w:val="00EC446D"/>
    <w:rsid w:val="00ED5D44"/>
    <w:rsid w:val="00EE1CE6"/>
    <w:rsid w:val="00EE2B17"/>
    <w:rsid w:val="00EE2D74"/>
    <w:rsid w:val="00EE4FBE"/>
    <w:rsid w:val="00EE52F2"/>
    <w:rsid w:val="00EE7F81"/>
    <w:rsid w:val="00EF29E3"/>
    <w:rsid w:val="00EF7114"/>
    <w:rsid w:val="00EF7C84"/>
    <w:rsid w:val="00F0301A"/>
    <w:rsid w:val="00F056E7"/>
    <w:rsid w:val="00F05DCA"/>
    <w:rsid w:val="00F05FA2"/>
    <w:rsid w:val="00F0769E"/>
    <w:rsid w:val="00F12950"/>
    <w:rsid w:val="00F138B9"/>
    <w:rsid w:val="00F14051"/>
    <w:rsid w:val="00F158A8"/>
    <w:rsid w:val="00F22275"/>
    <w:rsid w:val="00F22BF7"/>
    <w:rsid w:val="00F2404A"/>
    <w:rsid w:val="00F2750F"/>
    <w:rsid w:val="00F3294F"/>
    <w:rsid w:val="00F35892"/>
    <w:rsid w:val="00F35AFD"/>
    <w:rsid w:val="00F35BCD"/>
    <w:rsid w:val="00F415B5"/>
    <w:rsid w:val="00F43DF8"/>
    <w:rsid w:val="00F43F29"/>
    <w:rsid w:val="00F45C85"/>
    <w:rsid w:val="00F46688"/>
    <w:rsid w:val="00F47DDE"/>
    <w:rsid w:val="00F50051"/>
    <w:rsid w:val="00F53EE0"/>
    <w:rsid w:val="00F72FD7"/>
    <w:rsid w:val="00F7314D"/>
    <w:rsid w:val="00F73B8A"/>
    <w:rsid w:val="00F751E5"/>
    <w:rsid w:val="00F84C86"/>
    <w:rsid w:val="00F85102"/>
    <w:rsid w:val="00F8574C"/>
    <w:rsid w:val="00F86641"/>
    <w:rsid w:val="00F90871"/>
    <w:rsid w:val="00F920FD"/>
    <w:rsid w:val="00F92761"/>
    <w:rsid w:val="00F94C80"/>
    <w:rsid w:val="00F9542F"/>
    <w:rsid w:val="00F97EBF"/>
    <w:rsid w:val="00FA0EDE"/>
    <w:rsid w:val="00FA3BF6"/>
    <w:rsid w:val="00FA4928"/>
    <w:rsid w:val="00FB1444"/>
    <w:rsid w:val="00FB397D"/>
    <w:rsid w:val="00FC52E4"/>
    <w:rsid w:val="00FD0164"/>
    <w:rsid w:val="00FD2A9C"/>
    <w:rsid w:val="00FD5D5B"/>
    <w:rsid w:val="00FE38CF"/>
    <w:rsid w:val="00FE7503"/>
    <w:rsid w:val="00FE7C77"/>
    <w:rsid w:val="00FF24E0"/>
    <w:rsid w:val="00FF4C54"/>
    <w:rsid w:val="00FF5A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47DDE"/>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47DDE"/>
    <w:pPr>
      <w:spacing w:before="75" w:after="75"/>
      <w:ind w:firstLine="375"/>
      <w:jc w:val="both"/>
    </w:pPr>
  </w:style>
  <w:style w:type="paragraph" w:customStyle="1" w:styleId="naislab">
    <w:name w:val="naislab"/>
    <w:basedOn w:val="Parastais"/>
    <w:uiPriority w:val="99"/>
    <w:rsid w:val="00F47DDE"/>
    <w:pPr>
      <w:spacing w:before="75" w:after="75"/>
      <w:jc w:val="right"/>
    </w:pPr>
  </w:style>
  <w:style w:type="paragraph" w:styleId="Galvene">
    <w:name w:val="header"/>
    <w:basedOn w:val="Parastais"/>
    <w:link w:val="GalveneRakstz"/>
    <w:uiPriority w:val="99"/>
    <w:rsid w:val="00F47DDE"/>
    <w:pPr>
      <w:tabs>
        <w:tab w:val="center" w:pos="4153"/>
        <w:tab w:val="right" w:pos="8306"/>
      </w:tabs>
    </w:pPr>
  </w:style>
  <w:style w:type="character" w:customStyle="1" w:styleId="GalveneRakstz">
    <w:name w:val="Galvene Rakstz."/>
    <w:link w:val="Galvene"/>
    <w:uiPriority w:val="99"/>
    <w:rsid w:val="00F47DDE"/>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F47DDE"/>
  </w:style>
  <w:style w:type="paragraph" w:styleId="ParastaisWeb">
    <w:name w:val="Normal (Web)"/>
    <w:basedOn w:val="Parastais"/>
    <w:rsid w:val="00F47DDE"/>
    <w:pPr>
      <w:spacing w:before="100" w:beforeAutospacing="1" w:after="100" w:afterAutospacing="1"/>
    </w:pPr>
  </w:style>
  <w:style w:type="character" w:styleId="Izteiksmgs">
    <w:name w:val="Strong"/>
    <w:uiPriority w:val="99"/>
    <w:qFormat/>
    <w:rsid w:val="00F47DDE"/>
    <w:rPr>
      <w:b/>
      <w:bCs/>
    </w:rPr>
  </w:style>
  <w:style w:type="paragraph" w:styleId="Kjene">
    <w:name w:val="footer"/>
    <w:basedOn w:val="Parastais"/>
    <w:link w:val="KjeneRakstz"/>
    <w:uiPriority w:val="99"/>
    <w:rsid w:val="00F47DDE"/>
    <w:pPr>
      <w:tabs>
        <w:tab w:val="center" w:pos="4153"/>
        <w:tab w:val="right" w:pos="8306"/>
      </w:tabs>
    </w:pPr>
  </w:style>
  <w:style w:type="character" w:customStyle="1" w:styleId="KjeneRakstz">
    <w:name w:val="Kājene Rakstz."/>
    <w:link w:val="Kjene"/>
    <w:uiPriority w:val="99"/>
    <w:rsid w:val="00F47DDE"/>
    <w:rPr>
      <w:rFonts w:ascii="Times New Roman" w:eastAsia="Times New Roman" w:hAnsi="Times New Roman" w:cs="Times New Roman"/>
      <w:sz w:val="24"/>
      <w:szCs w:val="24"/>
      <w:lang w:eastAsia="lv-LV"/>
    </w:rPr>
  </w:style>
  <w:style w:type="paragraph" w:customStyle="1" w:styleId="Default">
    <w:name w:val="Default"/>
    <w:uiPriority w:val="99"/>
    <w:rsid w:val="00F47DDE"/>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basedOn w:val="Parastais"/>
    <w:uiPriority w:val="34"/>
    <w:qFormat/>
    <w:rsid w:val="00D34F4C"/>
    <w:pPr>
      <w:ind w:left="720"/>
      <w:contextualSpacing/>
    </w:pPr>
  </w:style>
  <w:style w:type="paragraph" w:styleId="Balonteksts">
    <w:name w:val="Balloon Text"/>
    <w:basedOn w:val="Parastais"/>
    <w:link w:val="BalontekstsRakstz"/>
    <w:uiPriority w:val="99"/>
    <w:semiHidden/>
    <w:unhideWhenUsed/>
    <w:rsid w:val="00F0301A"/>
    <w:rPr>
      <w:rFonts w:ascii="Tahoma" w:hAnsi="Tahoma"/>
      <w:sz w:val="16"/>
      <w:szCs w:val="16"/>
    </w:rPr>
  </w:style>
  <w:style w:type="character" w:customStyle="1" w:styleId="BalontekstsRakstz">
    <w:name w:val="Balonteksts Rakstz."/>
    <w:link w:val="Balonteksts"/>
    <w:uiPriority w:val="99"/>
    <w:semiHidden/>
    <w:rsid w:val="00F0301A"/>
    <w:rPr>
      <w:rFonts w:ascii="Tahoma" w:eastAsia="Times New Roman" w:hAnsi="Tahoma" w:cs="Tahoma"/>
      <w:sz w:val="16"/>
      <w:szCs w:val="16"/>
      <w:lang w:eastAsia="lv-LV"/>
    </w:rPr>
  </w:style>
  <w:style w:type="character" w:styleId="Hipersaite">
    <w:name w:val="Hyperlink"/>
    <w:uiPriority w:val="99"/>
    <w:unhideWhenUsed/>
    <w:rsid w:val="001F02FC"/>
    <w:rPr>
      <w:color w:val="0000FF"/>
      <w:u w:val="single"/>
    </w:rPr>
  </w:style>
  <w:style w:type="character" w:styleId="Komentraatsauce">
    <w:name w:val="annotation reference"/>
    <w:uiPriority w:val="99"/>
    <w:semiHidden/>
    <w:unhideWhenUsed/>
    <w:rsid w:val="00407061"/>
    <w:rPr>
      <w:sz w:val="16"/>
      <w:szCs w:val="16"/>
    </w:rPr>
  </w:style>
  <w:style w:type="paragraph" w:styleId="Komentrateksts">
    <w:name w:val="annotation text"/>
    <w:basedOn w:val="Parastais"/>
    <w:link w:val="KomentratekstsRakstz"/>
    <w:uiPriority w:val="99"/>
    <w:unhideWhenUsed/>
    <w:rsid w:val="00407061"/>
    <w:rPr>
      <w:sz w:val="20"/>
      <w:szCs w:val="20"/>
    </w:rPr>
  </w:style>
  <w:style w:type="character" w:customStyle="1" w:styleId="KomentratekstsRakstz">
    <w:name w:val="Komentāra teksts Rakstz."/>
    <w:link w:val="Komentrateksts"/>
    <w:uiPriority w:val="99"/>
    <w:rsid w:val="0040706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407061"/>
    <w:rPr>
      <w:b/>
      <w:bCs/>
    </w:rPr>
  </w:style>
  <w:style w:type="character" w:customStyle="1" w:styleId="KomentratmaRakstz">
    <w:name w:val="Komentāra tēma Rakstz."/>
    <w:link w:val="Komentratma"/>
    <w:uiPriority w:val="99"/>
    <w:semiHidden/>
    <w:rsid w:val="00407061"/>
    <w:rPr>
      <w:rFonts w:ascii="Times New Roman" w:eastAsia="Times New Roman" w:hAnsi="Times New Roman"/>
      <w:b/>
      <w:bCs/>
    </w:rPr>
  </w:style>
  <w:style w:type="table" w:styleId="Reatabula">
    <w:name w:val="Table Grid"/>
    <w:basedOn w:val="Parastatabula"/>
    <w:uiPriority w:val="59"/>
    <w:rsid w:val="0046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tpakaadreseuzaploksnes">
    <w:name w:val="envelope return"/>
    <w:basedOn w:val="Parastais"/>
    <w:rsid w:val="007F2878"/>
    <w:pPr>
      <w:keepLines/>
      <w:widowControl w:val="0"/>
      <w:spacing w:before="600"/>
    </w:pPr>
    <w:rPr>
      <w:sz w:val="26"/>
      <w:szCs w:val="20"/>
      <w:lang w:val="en-AU" w:eastAsia="en-US"/>
    </w:rPr>
  </w:style>
  <w:style w:type="paragraph" w:customStyle="1" w:styleId="tv2131">
    <w:name w:val="tv2131"/>
    <w:basedOn w:val="Parastais"/>
    <w:rsid w:val="00B2291B"/>
    <w:pPr>
      <w:spacing w:line="360" w:lineRule="auto"/>
      <w:ind w:firstLine="300"/>
    </w:pPr>
    <w:rPr>
      <w:color w:val="414142"/>
      <w:sz w:val="20"/>
      <w:szCs w:val="20"/>
    </w:rPr>
  </w:style>
  <w:style w:type="paragraph" w:styleId="Apakvirsraksts">
    <w:name w:val="Subtitle"/>
    <w:basedOn w:val="Parastais"/>
    <w:link w:val="ApakvirsrakstsRakstz"/>
    <w:qFormat/>
    <w:rsid w:val="00556AA2"/>
    <w:pPr>
      <w:jc w:val="center"/>
    </w:pPr>
    <w:rPr>
      <w:b/>
      <w:bCs/>
      <w:sz w:val="28"/>
    </w:rPr>
  </w:style>
  <w:style w:type="character" w:customStyle="1" w:styleId="ApakvirsrakstsRakstz">
    <w:name w:val="Apakšvirsraksts Rakstz."/>
    <w:basedOn w:val="Noklusjumarindkopasfonts"/>
    <w:link w:val="Apakvirsraksts"/>
    <w:rsid w:val="00556AA2"/>
    <w:rPr>
      <w:rFonts w:ascii="Times New Roman" w:eastAsia="Times New Roman" w:hAnsi="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D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47DDE"/>
    <w:pPr>
      <w:spacing w:before="75" w:after="75"/>
      <w:ind w:firstLine="375"/>
      <w:jc w:val="both"/>
    </w:pPr>
  </w:style>
  <w:style w:type="paragraph" w:customStyle="1" w:styleId="naislab">
    <w:name w:val="naislab"/>
    <w:basedOn w:val="Normal"/>
    <w:uiPriority w:val="99"/>
    <w:rsid w:val="00F47DDE"/>
    <w:pPr>
      <w:spacing w:before="75" w:after="75"/>
      <w:jc w:val="right"/>
    </w:pPr>
  </w:style>
  <w:style w:type="paragraph" w:styleId="Header">
    <w:name w:val="header"/>
    <w:basedOn w:val="Normal"/>
    <w:link w:val="HeaderChar"/>
    <w:rsid w:val="00F47DDE"/>
    <w:pPr>
      <w:tabs>
        <w:tab w:val="center" w:pos="4153"/>
        <w:tab w:val="right" w:pos="8306"/>
      </w:tabs>
    </w:pPr>
  </w:style>
  <w:style w:type="character" w:customStyle="1" w:styleId="HeaderChar">
    <w:name w:val="Header Char"/>
    <w:link w:val="Header"/>
    <w:rsid w:val="00F47DDE"/>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F47DDE"/>
  </w:style>
  <w:style w:type="paragraph" w:styleId="NormalWeb">
    <w:name w:val="Normal (Web)"/>
    <w:basedOn w:val="Normal"/>
    <w:uiPriority w:val="99"/>
    <w:rsid w:val="00F47DDE"/>
    <w:pPr>
      <w:spacing w:before="100" w:beforeAutospacing="1" w:after="100" w:afterAutospacing="1"/>
    </w:pPr>
  </w:style>
  <w:style w:type="character" w:styleId="Strong">
    <w:name w:val="Strong"/>
    <w:uiPriority w:val="99"/>
    <w:qFormat/>
    <w:rsid w:val="00F47DDE"/>
    <w:rPr>
      <w:b/>
      <w:bCs/>
    </w:rPr>
  </w:style>
  <w:style w:type="paragraph" w:styleId="Footer">
    <w:name w:val="footer"/>
    <w:basedOn w:val="Normal"/>
    <w:link w:val="FooterChar"/>
    <w:uiPriority w:val="99"/>
    <w:rsid w:val="00F47DDE"/>
    <w:pPr>
      <w:tabs>
        <w:tab w:val="center" w:pos="4153"/>
        <w:tab w:val="right" w:pos="8306"/>
      </w:tabs>
    </w:pPr>
  </w:style>
  <w:style w:type="character" w:customStyle="1" w:styleId="FooterChar">
    <w:name w:val="Footer Char"/>
    <w:link w:val="Footer"/>
    <w:uiPriority w:val="99"/>
    <w:rsid w:val="00F47DDE"/>
    <w:rPr>
      <w:rFonts w:ascii="Times New Roman" w:eastAsia="Times New Roman" w:hAnsi="Times New Roman" w:cs="Times New Roman"/>
      <w:sz w:val="24"/>
      <w:szCs w:val="24"/>
      <w:lang w:eastAsia="lv-LV"/>
    </w:rPr>
  </w:style>
  <w:style w:type="paragraph" w:customStyle="1" w:styleId="Default">
    <w:name w:val="Default"/>
    <w:uiPriority w:val="99"/>
    <w:rsid w:val="00F47DD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D34F4C"/>
    <w:pPr>
      <w:ind w:left="720"/>
      <w:contextualSpacing/>
    </w:pPr>
  </w:style>
  <w:style w:type="paragraph" w:styleId="BalloonText">
    <w:name w:val="Balloon Text"/>
    <w:basedOn w:val="Normal"/>
    <w:link w:val="BalloonTextChar"/>
    <w:uiPriority w:val="99"/>
    <w:semiHidden/>
    <w:unhideWhenUsed/>
    <w:rsid w:val="00F0301A"/>
    <w:rPr>
      <w:rFonts w:ascii="Tahoma" w:hAnsi="Tahoma"/>
      <w:sz w:val="16"/>
      <w:szCs w:val="16"/>
    </w:rPr>
  </w:style>
  <w:style w:type="character" w:customStyle="1" w:styleId="BalloonTextChar">
    <w:name w:val="Balloon Text Char"/>
    <w:link w:val="BalloonText"/>
    <w:uiPriority w:val="99"/>
    <w:semiHidden/>
    <w:rsid w:val="00F0301A"/>
    <w:rPr>
      <w:rFonts w:ascii="Tahoma" w:eastAsia="Times New Roman" w:hAnsi="Tahoma" w:cs="Tahoma"/>
      <w:sz w:val="16"/>
      <w:szCs w:val="16"/>
      <w:lang w:eastAsia="lv-LV"/>
    </w:rPr>
  </w:style>
  <w:style w:type="character" w:styleId="Hyperlink">
    <w:name w:val="Hyperlink"/>
    <w:uiPriority w:val="99"/>
    <w:unhideWhenUsed/>
    <w:rsid w:val="001F02FC"/>
    <w:rPr>
      <w:color w:val="0000FF"/>
      <w:u w:val="single"/>
    </w:rPr>
  </w:style>
  <w:style w:type="character" w:styleId="CommentReference">
    <w:name w:val="annotation reference"/>
    <w:uiPriority w:val="99"/>
    <w:semiHidden/>
    <w:unhideWhenUsed/>
    <w:rsid w:val="00407061"/>
    <w:rPr>
      <w:sz w:val="16"/>
      <w:szCs w:val="16"/>
    </w:rPr>
  </w:style>
  <w:style w:type="paragraph" w:styleId="CommentText">
    <w:name w:val="annotation text"/>
    <w:basedOn w:val="Normal"/>
    <w:link w:val="CommentTextChar"/>
    <w:uiPriority w:val="99"/>
    <w:unhideWhenUsed/>
    <w:rsid w:val="00407061"/>
    <w:rPr>
      <w:sz w:val="20"/>
      <w:szCs w:val="20"/>
    </w:rPr>
  </w:style>
  <w:style w:type="character" w:customStyle="1" w:styleId="CommentTextChar">
    <w:name w:val="Comment Text Char"/>
    <w:link w:val="CommentText"/>
    <w:uiPriority w:val="99"/>
    <w:rsid w:val="004070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07061"/>
    <w:rPr>
      <w:b/>
      <w:bCs/>
    </w:rPr>
  </w:style>
  <w:style w:type="character" w:customStyle="1" w:styleId="CommentSubjectChar">
    <w:name w:val="Comment Subject Char"/>
    <w:link w:val="CommentSubject"/>
    <w:uiPriority w:val="99"/>
    <w:semiHidden/>
    <w:rsid w:val="00407061"/>
    <w:rPr>
      <w:rFonts w:ascii="Times New Roman" w:eastAsia="Times New Roman" w:hAnsi="Times New Roman"/>
      <w:b/>
      <w:bCs/>
    </w:rPr>
  </w:style>
  <w:style w:type="table" w:styleId="TableGrid">
    <w:name w:val="Table Grid"/>
    <w:basedOn w:val="TableNormal"/>
    <w:uiPriority w:val="59"/>
    <w:rsid w:val="0046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rsid w:val="007F2878"/>
    <w:pPr>
      <w:keepLines/>
      <w:widowControl w:val="0"/>
      <w:spacing w:before="600"/>
    </w:pPr>
    <w:rPr>
      <w:sz w:val="26"/>
      <w:szCs w:val="20"/>
      <w:lang w:val="en-AU" w:eastAsia="en-US"/>
    </w:rPr>
  </w:style>
</w:styles>
</file>

<file path=word/webSettings.xml><?xml version="1.0" encoding="utf-8"?>
<w:webSettings xmlns:r="http://schemas.openxmlformats.org/officeDocument/2006/relationships" xmlns:w="http://schemas.openxmlformats.org/wordprocessingml/2006/main">
  <w:divs>
    <w:div w:id="68699006">
      <w:bodyDiv w:val="1"/>
      <w:marLeft w:val="0"/>
      <w:marRight w:val="0"/>
      <w:marTop w:val="0"/>
      <w:marBottom w:val="0"/>
      <w:divBdr>
        <w:top w:val="none" w:sz="0" w:space="0" w:color="auto"/>
        <w:left w:val="none" w:sz="0" w:space="0" w:color="auto"/>
        <w:bottom w:val="none" w:sz="0" w:space="0" w:color="auto"/>
        <w:right w:val="none" w:sz="0" w:space="0" w:color="auto"/>
      </w:divBdr>
    </w:div>
    <w:div w:id="207961399">
      <w:bodyDiv w:val="1"/>
      <w:marLeft w:val="38"/>
      <w:marRight w:val="38"/>
      <w:marTop w:val="75"/>
      <w:marBottom w:val="75"/>
      <w:divBdr>
        <w:top w:val="none" w:sz="0" w:space="0" w:color="auto"/>
        <w:left w:val="none" w:sz="0" w:space="0" w:color="auto"/>
        <w:bottom w:val="none" w:sz="0" w:space="0" w:color="auto"/>
        <w:right w:val="none" w:sz="0" w:space="0" w:color="auto"/>
      </w:divBdr>
      <w:divsChild>
        <w:div w:id="899484353">
          <w:marLeft w:val="0"/>
          <w:marRight w:val="0"/>
          <w:marTop w:val="0"/>
          <w:marBottom w:val="567"/>
          <w:divBdr>
            <w:top w:val="none" w:sz="0" w:space="0" w:color="auto"/>
            <w:left w:val="none" w:sz="0" w:space="0" w:color="auto"/>
            <w:bottom w:val="none" w:sz="0" w:space="0" w:color="auto"/>
            <w:right w:val="none" w:sz="0" w:space="0" w:color="auto"/>
          </w:divBdr>
        </w:div>
      </w:divsChild>
    </w:div>
    <w:div w:id="492528831">
      <w:bodyDiv w:val="1"/>
      <w:marLeft w:val="0"/>
      <w:marRight w:val="0"/>
      <w:marTop w:val="0"/>
      <w:marBottom w:val="0"/>
      <w:divBdr>
        <w:top w:val="none" w:sz="0" w:space="0" w:color="auto"/>
        <w:left w:val="none" w:sz="0" w:space="0" w:color="auto"/>
        <w:bottom w:val="none" w:sz="0" w:space="0" w:color="auto"/>
        <w:right w:val="none" w:sz="0" w:space="0" w:color="auto"/>
      </w:divBdr>
    </w:div>
    <w:div w:id="577786804">
      <w:bodyDiv w:val="1"/>
      <w:marLeft w:val="0"/>
      <w:marRight w:val="0"/>
      <w:marTop w:val="0"/>
      <w:marBottom w:val="0"/>
      <w:divBdr>
        <w:top w:val="none" w:sz="0" w:space="0" w:color="auto"/>
        <w:left w:val="none" w:sz="0" w:space="0" w:color="auto"/>
        <w:bottom w:val="none" w:sz="0" w:space="0" w:color="auto"/>
        <w:right w:val="none" w:sz="0" w:space="0" w:color="auto"/>
      </w:divBdr>
    </w:div>
    <w:div w:id="781993785">
      <w:bodyDiv w:val="1"/>
      <w:marLeft w:val="0"/>
      <w:marRight w:val="0"/>
      <w:marTop w:val="0"/>
      <w:marBottom w:val="0"/>
      <w:divBdr>
        <w:top w:val="none" w:sz="0" w:space="0" w:color="auto"/>
        <w:left w:val="none" w:sz="0" w:space="0" w:color="auto"/>
        <w:bottom w:val="none" w:sz="0" w:space="0" w:color="auto"/>
        <w:right w:val="none" w:sz="0" w:space="0" w:color="auto"/>
      </w:divBdr>
    </w:div>
    <w:div w:id="1180701709">
      <w:bodyDiv w:val="1"/>
      <w:marLeft w:val="38"/>
      <w:marRight w:val="38"/>
      <w:marTop w:val="75"/>
      <w:marBottom w:val="75"/>
      <w:divBdr>
        <w:top w:val="none" w:sz="0" w:space="0" w:color="auto"/>
        <w:left w:val="none" w:sz="0" w:space="0" w:color="auto"/>
        <w:bottom w:val="none" w:sz="0" w:space="0" w:color="auto"/>
        <w:right w:val="none" w:sz="0" w:space="0" w:color="auto"/>
      </w:divBdr>
      <w:divsChild>
        <w:div w:id="1881163833">
          <w:marLeft w:val="0"/>
          <w:marRight w:val="0"/>
          <w:marTop w:val="240"/>
          <w:marBottom w:val="0"/>
          <w:divBdr>
            <w:top w:val="none" w:sz="0" w:space="0" w:color="auto"/>
            <w:left w:val="none" w:sz="0" w:space="0" w:color="auto"/>
            <w:bottom w:val="none" w:sz="0" w:space="0" w:color="auto"/>
            <w:right w:val="none" w:sz="0" w:space="0" w:color="auto"/>
          </w:divBdr>
        </w:div>
      </w:divsChild>
    </w:div>
    <w:div w:id="1210188501">
      <w:bodyDiv w:val="1"/>
      <w:marLeft w:val="0"/>
      <w:marRight w:val="0"/>
      <w:marTop w:val="0"/>
      <w:marBottom w:val="0"/>
      <w:divBdr>
        <w:top w:val="none" w:sz="0" w:space="0" w:color="auto"/>
        <w:left w:val="none" w:sz="0" w:space="0" w:color="auto"/>
        <w:bottom w:val="none" w:sz="0" w:space="0" w:color="auto"/>
        <w:right w:val="none" w:sz="0" w:space="0" w:color="auto"/>
      </w:divBdr>
    </w:div>
    <w:div w:id="146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79132498">
          <w:marLeft w:val="0"/>
          <w:marRight w:val="0"/>
          <w:marTop w:val="0"/>
          <w:marBottom w:val="0"/>
          <w:divBdr>
            <w:top w:val="none" w:sz="0" w:space="0" w:color="auto"/>
            <w:left w:val="none" w:sz="0" w:space="0" w:color="auto"/>
            <w:bottom w:val="none" w:sz="0" w:space="0" w:color="auto"/>
            <w:right w:val="none" w:sz="0" w:space="0" w:color="auto"/>
          </w:divBdr>
          <w:divsChild>
            <w:div w:id="2063752345">
              <w:marLeft w:val="0"/>
              <w:marRight w:val="0"/>
              <w:marTop w:val="0"/>
              <w:marBottom w:val="0"/>
              <w:divBdr>
                <w:top w:val="none" w:sz="0" w:space="0" w:color="auto"/>
                <w:left w:val="none" w:sz="0" w:space="0" w:color="auto"/>
                <w:bottom w:val="none" w:sz="0" w:space="0" w:color="auto"/>
                <w:right w:val="none" w:sz="0" w:space="0" w:color="auto"/>
              </w:divBdr>
              <w:divsChild>
                <w:div w:id="830217825">
                  <w:marLeft w:val="0"/>
                  <w:marRight w:val="0"/>
                  <w:marTop w:val="0"/>
                  <w:marBottom w:val="0"/>
                  <w:divBdr>
                    <w:top w:val="none" w:sz="0" w:space="0" w:color="auto"/>
                    <w:left w:val="none" w:sz="0" w:space="0" w:color="auto"/>
                    <w:bottom w:val="none" w:sz="0" w:space="0" w:color="auto"/>
                    <w:right w:val="none" w:sz="0" w:space="0" w:color="auto"/>
                  </w:divBdr>
                  <w:divsChild>
                    <w:div w:id="955717968">
                      <w:marLeft w:val="0"/>
                      <w:marRight w:val="0"/>
                      <w:marTop w:val="0"/>
                      <w:marBottom w:val="0"/>
                      <w:divBdr>
                        <w:top w:val="none" w:sz="0" w:space="0" w:color="auto"/>
                        <w:left w:val="none" w:sz="0" w:space="0" w:color="auto"/>
                        <w:bottom w:val="none" w:sz="0" w:space="0" w:color="auto"/>
                        <w:right w:val="none" w:sz="0" w:space="0" w:color="auto"/>
                      </w:divBdr>
                      <w:divsChild>
                        <w:div w:id="718750179">
                          <w:marLeft w:val="0"/>
                          <w:marRight w:val="0"/>
                          <w:marTop w:val="0"/>
                          <w:marBottom w:val="0"/>
                          <w:divBdr>
                            <w:top w:val="none" w:sz="0" w:space="0" w:color="auto"/>
                            <w:left w:val="none" w:sz="0" w:space="0" w:color="auto"/>
                            <w:bottom w:val="none" w:sz="0" w:space="0" w:color="auto"/>
                            <w:right w:val="none" w:sz="0" w:space="0" w:color="auto"/>
                          </w:divBdr>
                          <w:divsChild>
                            <w:div w:id="2330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90049">
      <w:bodyDiv w:val="1"/>
      <w:marLeft w:val="0"/>
      <w:marRight w:val="0"/>
      <w:marTop w:val="0"/>
      <w:marBottom w:val="0"/>
      <w:divBdr>
        <w:top w:val="none" w:sz="0" w:space="0" w:color="auto"/>
        <w:left w:val="none" w:sz="0" w:space="0" w:color="auto"/>
        <w:bottom w:val="none" w:sz="0" w:space="0" w:color="auto"/>
        <w:right w:val="none" w:sz="0" w:space="0" w:color="auto"/>
      </w:divBdr>
    </w:div>
    <w:div w:id="1810049347">
      <w:bodyDiv w:val="1"/>
      <w:marLeft w:val="0"/>
      <w:marRight w:val="0"/>
      <w:marTop w:val="0"/>
      <w:marBottom w:val="0"/>
      <w:divBdr>
        <w:top w:val="none" w:sz="0" w:space="0" w:color="auto"/>
        <w:left w:val="none" w:sz="0" w:space="0" w:color="auto"/>
        <w:bottom w:val="none" w:sz="0" w:space="0" w:color="auto"/>
        <w:right w:val="none" w:sz="0" w:space="0" w:color="auto"/>
      </w:divBdr>
    </w:div>
    <w:div w:id="1888487338">
      <w:bodyDiv w:val="1"/>
      <w:marLeft w:val="0"/>
      <w:marRight w:val="0"/>
      <w:marTop w:val="0"/>
      <w:marBottom w:val="0"/>
      <w:divBdr>
        <w:top w:val="none" w:sz="0" w:space="0" w:color="auto"/>
        <w:left w:val="none" w:sz="0" w:space="0" w:color="auto"/>
        <w:bottom w:val="none" w:sz="0" w:space="0" w:color="auto"/>
        <w:right w:val="none" w:sz="0" w:space="0" w:color="auto"/>
      </w:divBdr>
      <w:divsChild>
        <w:div w:id="488986119">
          <w:marLeft w:val="0"/>
          <w:marRight w:val="0"/>
          <w:marTop w:val="0"/>
          <w:marBottom w:val="0"/>
          <w:divBdr>
            <w:top w:val="none" w:sz="0" w:space="0" w:color="auto"/>
            <w:left w:val="none" w:sz="0" w:space="0" w:color="auto"/>
            <w:bottom w:val="none" w:sz="0" w:space="0" w:color="auto"/>
            <w:right w:val="none" w:sz="0" w:space="0" w:color="auto"/>
          </w:divBdr>
          <w:divsChild>
            <w:div w:id="1949002106">
              <w:marLeft w:val="0"/>
              <w:marRight w:val="0"/>
              <w:marTop w:val="0"/>
              <w:marBottom w:val="0"/>
              <w:divBdr>
                <w:top w:val="none" w:sz="0" w:space="0" w:color="auto"/>
                <w:left w:val="none" w:sz="0" w:space="0" w:color="auto"/>
                <w:bottom w:val="none" w:sz="0" w:space="0" w:color="auto"/>
                <w:right w:val="none" w:sz="0" w:space="0" w:color="auto"/>
              </w:divBdr>
              <w:divsChild>
                <w:div w:id="99498882">
                  <w:marLeft w:val="0"/>
                  <w:marRight w:val="0"/>
                  <w:marTop w:val="0"/>
                  <w:marBottom w:val="0"/>
                  <w:divBdr>
                    <w:top w:val="none" w:sz="0" w:space="0" w:color="auto"/>
                    <w:left w:val="none" w:sz="0" w:space="0" w:color="auto"/>
                    <w:bottom w:val="none" w:sz="0" w:space="0" w:color="auto"/>
                    <w:right w:val="none" w:sz="0" w:space="0" w:color="auto"/>
                  </w:divBdr>
                  <w:divsChild>
                    <w:div w:id="1861122383">
                      <w:marLeft w:val="0"/>
                      <w:marRight w:val="0"/>
                      <w:marTop w:val="0"/>
                      <w:marBottom w:val="0"/>
                      <w:divBdr>
                        <w:top w:val="none" w:sz="0" w:space="0" w:color="auto"/>
                        <w:left w:val="none" w:sz="0" w:space="0" w:color="auto"/>
                        <w:bottom w:val="none" w:sz="0" w:space="0" w:color="auto"/>
                        <w:right w:val="none" w:sz="0" w:space="0" w:color="auto"/>
                      </w:divBdr>
                      <w:divsChild>
                        <w:div w:id="2038198009">
                          <w:marLeft w:val="0"/>
                          <w:marRight w:val="0"/>
                          <w:marTop w:val="0"/>
                          <w:marBottom w:val="0"/>
                          <w:divBdr>
                            <w:top w:val="none" w:sz="0" w:space="0" w:color="auto"/>
                            <w:left w:val="none" w:sz="0" w:space="0" w:color="auto"/>
                            <w:bottom w:val="none" w:sz="0" w:space="0" w:color="auto"/>
                            <w:right w:val="none" w:sz="0" w:space="0" w:color="auto"/>
                          </w:divBdr>
                          <w:divsChild>
                            <w:div w:id="239486458">
                              <w:marLeft w:val="0"/>
                              <w:marRight w:val="0"/>
                              <w:marTop w:val="0"/>
                              <w:marBottom w:val="0"/>
                              <w:divBdr>
                                <w:top w:val="none" w:sz="0" w:space="0" w:color="auto"/>
                                <w:left w:val="none" w:sz="0" w:space="0" w:color="auto"/>
                                <w:bottom w:val="none" w:sz="0" w:space="0" w:color="auto"/>
                                <w:right w:val="none" w:sz="0" w:space="0" w:color="auto"/>
                              </w:divBdr>
                              <w:divsChild>
                                <w:div w:id="294871964">
                                  <w:marLeft w:val="0"/>
                                  <w:marRight w:val="0"/>
                                  <w:marTop w:val="0"/>
                                  <w:marBottom w:val="0"/>
                                  <w:divBdr>
                                    <w:top w:val="none" w:sz="0" w:space="0" w:color="auto"/>
                                    <w:left w:val="none" w:sz="0" w:space="0" w:color="auto"/>
                                    <w:bottom w:val="none" w:sz="0" w:space="0" w:color="auto"/>
                                    <w:right w:val="none" w:sz="0" w:space="0" w:color="auto"/>
                                  </w:divBdr>
                                </w:div>
                              </w:divsChild>
                            </w:div>
                            <w:div w:id="334574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9829">
      <w:bodyDiv w:val="1"/>
      <w:marLeft w:val="0"/>
      <w:marRight w:val="0"/>
      <w:marTop w:val="0"/>
      <w:marBottom w:val="0"/>
      <w:divBdr>
        <w:top w:val="none" w:sz="0" w:space="0" w:color="auto"/>
        <w:left w:val="none" w:sz="0" w:space="0" w:color="auto"/>
        <w:bottom w:val="none" w:sz="0" w:space="0" w:color="auto"/>
        <w:right w:val="none" w:sz="0" w:space="0" w:color="auto"/>
      </w:divBdr>
      <w:divsChild>
        <w:div w:id="1673487951">
          <w:marLeft w:val="0"/>
          <w:marRight w:val="0"/>
          <w:marTop w:val="0"/>
          <w:marBottom w:val="0"/>
          <w:divBdr>
            <w:top w:val="none" w:sz="0" w:space="0" w:color="auto"/>
            <w:left w:val="none" w:sz="0" w:space="0" w:color="auto"/>
            <w:bottom w:val="none" w:sz="0" w:space="0" w:color="auto"/>
            <w:right w:val="none" w:sz="0" w:space="0" w:color="auto"/>
          </w:divBdr>
          <w:divsChild>
            <w:div w:id="858280344">
              <w:marLeft w:val="0"/>
              <w:marRight w:val="0"/>
              <w:marTop w:val="0"/>
              <w:marBottom w:val="0"/>
              <w:divBdr>
                <w:top w:val="none" w:sz="0" w:space="0" w:color="auto"/>
                <w:left w:val="none" w:sz="0" w:space="0" w:color="auto"/>
                <w:bottom w:val="none" w:sz="0" w:space="0" w:color="auto"/>
                <w:right w:val="none" w:sz="0" w:space="0" w:color="auto"/>
              </w:divBdr>
              <w:divsChild>
                <w:div w:id="1535801050">
                  <w:marLeft w:val="0"/>
                  <w:marRight w:val="0"/>
                  <w:marTop w:val="0"/>
                  <w:marBottom w:val="0"/>
                  <w:divBdr>
                    <w:top w:val="none" w:sz="0" w:space="0" w:color="auto"/>
                    <w:left w:val="none" w:sz="0" w:space="0" w:color="auto"/>
                    <w:bottom w:val="none" w:sz="0" w:space="0" w:color="auto"/>
                    <w:right w:val="none" w:sz="0" w:space="0" w:color="auto"/>
                  </w:divBdr>
                  <w:divsChild>
                    <w:div w:id="606085912">
                      <w:marLeft w:val="0"/>
                      <w:marRight w:val="0"/>
                      <w:marTop w:val="0"/>
                      <w:marBottom w:val="0"/>
                      <w:divBdr>
                        <w:top w:val="none" w:sz="0" w:space="0" w:color="auto"/>
                        <w:left w:val="none" w:sz="0" w:space="0" w:color="auto"/>
                        <w:bottom w:val="none" w:sz="0" w:space="0" w:color="auto"/>
                        <w:right w:val="none" w:sz="0" w:space="0" w:color="auto"/>
                      </w:divBdr>
                      <w:divsChild>
                        <w:div w:id="809126955">
                          <w:marLeft w:val="0"/>
                          <w:marRight w:val="0"/>
                          <w:marTop w:val="0"/>
                          <w:marBottom w:val="0"/>
                          <w:divBdr>
                            <w:top w:val="none" w:sz="0" w:space="0" w:color="auto"/>
                            <w:left w:val="none" w:sz="0" w:space="0" w:color="auto"/>
                            <w:bottom w:val="none" w:sz="0" w:space="0" w:color="auto"/>
                            <w:right w:val="none" w:sz="0" w:space="0" w:color="auto"/>
                          </w:divBdr>
                          <w:divsChild>
                            <w:div w:id="21146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lanta.klisane@l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venta.Putnina@km.gov.l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3ACB0-5EAA-4304-9B1D-E8B95763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7262</Words>
  <Characters>4140</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2011.gada 27.decembra noteikumos Nr.1035 „Kārtība, kādā valsts finansē profesionālās ievirzes mākslas, mūzikas un dejas izglītības programmas””</vt:lpstr>
      <vt:lpstr>Ministru kabineta noteikumu projekts „Kārtība, kādā valsts finansē profesionālās ievirzes mākslu, mūzikas un dejas izglītības programmas”</vt:lpstr>
    </vt:vector>
  </TitlesOfParts>
  <Company>HP</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Nr.1035 „Kārtība, kādā valsts finansē profesionālās ievirzes mākslas, mūzikas un dejas izglītības programmas” </dc:title>
  <dc:subject>MK noteikumu projekts</dc:subject>
  <dc:creator>R.Putniņa, J.Klišāne</dc:creator>
  <cp:keywords/>
  <dc:description>Tālr.67330288;
Roventa.Putnina@km.gov.lv
Tālr. 67228985; fakss 67227405
jolanta.klisane@lnkc.gov.lv </dc:description>
  <cp:lastModifiedBy>Dzintra Rozīte</cp:lastModifiedBy>
  <cp:revision>6</cp:revision>
  <cp:lastPrinted>2011-12-28T05:53:00Z</cp:lastPrinted>
  <dcterms:created xsi:type="dcterms:W3CDTF">2013-10-25T09:44:00Z</dcterms:created>
  <dcterms:modified xsi:type="dcterms:W3CDTF">2013-10-28T10:47:00Z</dcterms:modified>
</cp:coreProperties>
</file>