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2" w:rsidRPr="00D02D48" w:rsidRDefault="00062622" w:rsidP="00D02D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02D48" w:rsidRPr="00D02D48" w:rsidRDefault="009F484C" w:rsidP="00D02D48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10</w:t>
      </w:r>
      <w:r w:rsidR="00D02D48" w:rsidRPr="00D02D48">
        <w:rPr>
          <w:rFonts w:ascii="Times New Roman" w:hAnsi="Times New Roman" w:cs="Times New Roman"/>
          <w:sz w:val="24"/>
          <w:szCs w:val="24"/>
          <w:lang w:eastAsia="lv-LV"/>
        </w:rPr>
        <w:t>. pielikums</w:t>
      </w:r>
    </w:p>
    <w:p w:rsidR="00D02D48" w:rsidRPr="00D02D48" w:rsidRDefault="00D02D48" w:rsidP="00D02D48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02D48">
        <w:rPr>
          <w:rFonts w:ascii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D02D48" w:rsidRPr="00D02D48" w:rsidRDefault="00D02D48" w:rsidP="00D02D48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02D48">
        <w:rPr>
          <w:rFonts w:ascii="Times New Roman" w:hAnsi="Times New Roman" w:cs="Times New Roman"/>
          <w:sz w:val="24"/>
          <w:szCs w:val="24"/>
          <w:lang w:eastAsia="lv-LV"/>
        </w:rPr>
        <w:t>2011.gada __.</w:t>
      </w:r>
      <w:r w:rsidR="00F65F52">
        <w:rPr>
          <w:rFonts w:ascii="Times New Roman" w:hAnsi="Times New Roman" w:cs="Times New Roman"/>
          <w:sz w:val="24"/>
          <w:szCs w:val="24"/>
          <w:lang w:eastAsia="lv-LV"/>
        </w:rPr>
        <w:t>dec</w:t>
      </w:r>
      <w:r w:rsidR="009F484C">
        <w:rPr>
          <w:rFonts w:ascii="Times New Roman" w:hAnsi="Times New Roman" w:cs="Times New Roman"/>
          <w:sz w:val="24"/>
          <w:szCs w:val="24"/>
          <w:lang w:eastAsia="lv-LV"/>
        </w:rPr>
        <w:t>em</w:t>
      </w:r>
      <w:r w:rsidR="009F484C" w:rsidRPr="00D02D48">
        <w:rPr>
          <w:rFonts w:ascii="Times New Roman" w:hAnsi="Times New Roman" w:cs="Times New Roman"/>
          <w:sz w:val="24"/>
          <w:szCs w:val="24"/>
          <w:lang w:eastAsia="lv-LV"/>
        </w:rPr>
        <w:t>bra </w:t>
      </w:r>
      <w:r w:rsidRPr="00D02D48">
        <w:rPr>
          <w:rFonts w:ascii="Times New Roman" w:hAnsi="Times New Roman" w:cs="Times New Roman"/>
          <w:sz w:val="24"/>
          <w:szCs w:val="24"/>
          <w:lang w:eastAsia="lv-LV"/>
        </w:rPr>
        <w:t>noteikumiem Nr.___</w:t>
      </w:r>
    </w:p>
    <w:p w:rsidR="00062622" w:rsidRPr="00D02D48" w:rsidRDefault="00062622" w:rsidP="00D0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62622" w:rsidRPr="00D02D48" w:rsidRDefault="00062622" w:rsidP="00D0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2D4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09737" cy="991151"/>
            <wp:effectExtent l="19050" t="0" r="0" b="0"/>
            <wp:docPr id="1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1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22" w:rsidRDefault="00D02D48" w:rsidP="00D02D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02D4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Trešo valstu valstspiederīgo integrācijas fonda 2010.gada programmas </w:t>
      </w:r>
      <w:r w:rsidR="00062622" w:rsidRPr="00D02D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3.2.aktivitāt</w:t>
      </w:r>
      <w:r w:rsidRPr="00D02D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es</w:t>
      </w:r>
      <w:r w:rsidR="00062622" w:rsidRPr="00D02D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"</w:t>
      </w:r>
      <w:r w:rsidR="00062622" w:rsidRPr="00D02D48">
        <w:rPr>
          <w:rFonts w:ascii="Times New Roman" w:hAnsi="Times New Roman" w:cs="Times New Roman"/>
          <w:b/>
          <w:bCs/>
          <w:sz w:val="24"/>
          <w:szCs w:val="24"/>
        </w:rPr>
        <w:t xml:space="preserve"> Nevalstisko organizāciju iesaiste starpkultūru dialoga veidošanā starp Latvijas sabiedrību un trešo valstu valstspiederīgajiem un trešo valstu valstspiederīgo pilsoniskās aktivitātes veicināšanā</w:t>
      </w:r>
      <w:r w:rsidR="00062622" w:rsidRPr="00D02D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D02D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F742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iesniegumu kvalitātes vērtēšanas kritēriji (atklāta projektu iesniegumu atlase)</w:t>
      </w:r>
    </w:p>
    <w:p w:rsidR="00D02D48" w:rsidRDefault="00D02D48" w:rsidP="00D02D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507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5674"/>
        <w:gridCol w:w="853"/>
        <w:gridCol w:w="1835"/>
      </w:tblGrid>
      <w:tr w:rsidR="00D02D48" w:rsidRPr="004961E5" w:rsidTr="00732948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D48" w:rsidRPr="004961E5" w:rsidRDefault="0088117E" w:rsidP="00651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="00D02D48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rojekta iesnieguma </w:t>
            </w:r>
            <w:r w:rsidR="00D02D4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vispārīgie </w:t>
            </w:r>
            <w:r w:rsidR="00D02D48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kvalitātes </w:t>
            </w:r>
            <w:r w:rsidR="002510C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vērtēšanas </w:t>
            </w:r>
            <w:r w:rsidR="00D02D48"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kritēriji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D48" w:rsidRPr="004961E5" w:rsidRDefault="00D02D48" w:rsidP="0088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Minimālais nepieciešamais punktu skaits un norāde, drīkst (P) vai nedrīkst (N) precizēt projekta iesniegumu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88117E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 w:rsidR="00D02D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vispārīgais un projekta specifiskais mērķis: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N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 definēts vai neatbilst aktivitātes mērķim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efinēts neskaidri, bet atbilst aktivitātes mērķim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kaidri definēts un atbilst aktivitātes mērķim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88117E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</w:t>
            </w:r>
            <w:r w:rsidR="00D02D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 iesnieguma īstenošana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N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nedod ieguldījumu aktivitātes uzraudzības rādītāju sasniegšanā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dod ieguldījumu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viena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uzraudzības rādītāja sasniegšanā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2510C8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510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2.3</w:t>
            </w:r>
            <w:r w:rsidR="002510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D02D48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dod ieguldījumu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divu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uzraudzības rādītāja sasniegšanā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paredzētie pasākumi: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neatbilst Ministru kabineta noteikumos noteiktajiem atļautajiem pasākumiem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 Ministru kabineta noteikumos noteiktajam par atļautajiem pasākumiem, bet nav skaidri un nepārprotami pamatota to nepieciešamība projekta mērķa un plānoto rezultātu sasniegšanai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 Ministru kabineta noteikumos noteiktajam par atļautajiem pasākumiem un ir skaidri un nepārprotami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pamatota to nepieciešamība projekta mērķa un plānoto rezultātu sasniegšanai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iesniegums: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nepamato izvēlētās mērķa grupas vajadzības, kā arī nav sniegts mērķa grupas raksturojums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 izvēlētās mērķa grupas vajadzības, kā arī ir sniegts mērķa grupas raksturojums, tomēr pamatojums un raksturojums ir vispārīgs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 izvēlētās mērķa grupas vajadzības, kā arī ir sniegts mērķa grupas raksturojums, pamatojums un raksturojums ir izvērsts un pietiekams, dotas skaidras atsauces uz izmantoto statistikas datu avotiem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 citu informāciju, kas pierāda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iesniegumā norādītās informācijas pamatotību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iesniegumā problēma: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definēta un pamatota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nepilnīgi, kā arī ir sniegts tikai vispārīgs pamatojums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pilnīgi, taču ir sniegts tikai vispārīgs pamatojums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definēta pilnīgi, kā arī ir sniegts izvērsts pamatojums ar skaidrām norādēm uz informācijas avotiem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savstarpēja sasaiste ar esošo situāciju, identificētajām problēmām, izvirzītajiem mērķiem un plānotajiem fonda projekta rezultātiem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norādīta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norādīta, taču neskaidri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skaidri norādīta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 noteiktie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projekta uzraudzības rādītāji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9F1277" w:rsidRDefault="0088117E" w:rsidP="00C8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F12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nesniedz priekšstatu (nav precīzi definēti un izmērāmi) par projekta rezultātu, sasniegto uzlabojumu (ieguvumu) attiecībā pret identificēto stāvokli un ilgtermiņa ietekmi (tai skaitā rezultātu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multiplikatīvo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efektu un ilgtspēju)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sniedz priekšstatu par projekta rezultātu, sasniegto uzlabojumu (ieguvumu) attiecībā pret identificēto stāvokli un ilgtermiņa ietekmi (tai skaitā rezultātu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multiplikatīvo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efektu un ilgtspēju), tomēr uzraudzības rādītāji nav precīzi definēti vai izmērāmi vai arī nav pamatota uzlabojumu ietekme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sniedz skaidru priekšstatu (ir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ecīzi definēti un izmērāmi) par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rezultātu, sasniegto uzlabojumu (ieguvumu) attiecībā pret identificēto stāvokli un ilgtermiņa ietekmi (tai skaitā rezultātiem ir </w:t>
            </w:r>
            <w:proofErr w:type="spellStart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multiplikatīvais</w:t>
            </w:r>
            <w:proofErr w:type="spellEnd"/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efekts, ir parādīta to ilgtspēja)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Izvēlētais personāls (ja pievienots CV) un fonda projekta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definētās prasības personāla kompetencei, pieredzei un profesionālajai kvalifikācijai: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pietiekamas projekta īstenošanai, jo prasības nav saistītas ar norādītajiem pienākumiem vai prasī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bas nav definētas, vai izvēlētā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personāla izglītība un pieredze neatbilst izvirzītajām prasībām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tomēr prasības ir definētas vispārīgi vai izvēlētajam projekta personālam nav pieredzes vai atbilstošas izglītības attiecībā uz uzticētajiem pienākumiem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tomēr prasības ir definētas vispārīgi, bet izvēlētajam projekta personālam ir atbilstoša izglītība un neliela pieredze attiecībā uz uzticētajiem pienākumiem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daļēji pietiekamas projekta īstenošanai, prasības ir definētas skaidri un atbilst pi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enākumu aprakstam, izvēlētajam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personālam ir atbilstoša izglītība, bet neliela pieredze attiecībā uz uzticētajiem pienākumiem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apliecina spēju sekmīgi ieviest projektu, prasības ir definētas skaidri un atbilst pienākumu aprakstam, kā arī izvēlētajam projekta personālam ir atbilstoša izglītība un ilgstoša pieredze attiecībā uz uzticētajiem pienākumiem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īstenošanai nepieciešamā materiāltehniskā bāze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pietiekoša un tā netiks nodrošināta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budžeta ietvaros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pietiekoša, taču tā tiks nodrošināta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budžeta ietvaros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nodrošināta daļēji, taču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budžeta ietvaros tiks nodrošināta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pilnībā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nodrošināta pilnībā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plānotā projekta uzraudzība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definēta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definēti, tomēr projekta uzraudzības apraksts nesniedz skaidru priekšstatu kā finansējuma saņēmējs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nodrošin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efektīvu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ieviešanas kontroli un fonda finansējuma saņēmēja kontroli pār veiktajiem pasākumiem un izdevumiem, 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skaidri definēta un nodrošinās efektīvu projekta ieviešanas kontroli un nodrošina fonda finansējuma saņēmēja kontroli pār veiktajiem pasākumiem un 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izdevumiem, 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rojekta publicitātes pasākumi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definēti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definēti, tomēr sniegs tikai nelielu informāciju par fonda projektu vai arī sasniegs tikai šauru personu loku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definēti, sniedz plašu informāciju par fonda projektu un sasniedz plašu personu loku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iesnieguma 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budžetā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nesamērīgas un neatbilstošas tirgus cenām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samērīgas, atbilst fonda projekta specifikai un mērķim un ir atbilstošas tirgus cenām, tomēr atsevišķās pozīcijās izmaksas pārsniedz tirgus cenas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 ir samērīgas un atbilstošas tirgus cenām visās izmaksu pozīcijās, ir pamatotas un atbilst fonda projekta specifikai un mērķim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iesniegumā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metodes mērķa grupas sasniegšanai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formulētas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formulētas, tomēr nerada pilnīgu skaidrību par izvēlēto metožu atbilstību plānotajiem projekta pasākumiem un efektivitāti mērķa grupas sasniegšanai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skaidri un nepārprotami formulētas un rada pilnīgu skaidrību par izvēlēto metožu atbilstību plānotajiem projekta pasākumiem un efektivitāti mērķa grupas sasniegšanai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Projekta iesniegumā riski, kas saistīti ar projekta pasākumu īstenošanu: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/ P</w:t>
            </w: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3F1E56" w:rsidRDefault="0088117E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D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aprakstīti riski, kas saistīti ar projekta pasākumu īstenošanu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3F1E56" w:rsidRDefault="0088117E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3F1E56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daļēji aprakstīti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riski, kas saistīti ar projekta pasākumu īstenošanu un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daļēji 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3F1E56" w:rsidRDefault="0088117E" w:rsidP="00C84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F1E5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3F1E56" w:rsidRDefault="0088117E" w:rsidP="00C84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 aprakstīti visi riski, kas saistīti ar projekta pasākumu īstenošanu un izstrādāts risk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3F1E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novēršanas vai mazināšanas plāns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8117E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rojekta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iesnieguma 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kvalitātes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vērtēšanas</w:t>
            </w:r>
            <w:r w:rsidRPr="00496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kritēriji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kas nosaka projekta atbilstību aktivitātes prasībām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17E" w:rsidRPr="004961E5" w:rsidRDefault="0088117E" w:rsidP="00C84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Minimālais nepieciešamais punktu skaits un norāde, drīkst (P) vai nedrīkst (N) precizēt projekta iesniegumu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88117E" w:rsidP="00A01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rojekta </w:t>
            </w:r>
            <w:r w:rsidR="00A01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pasākumu īstenošanā iesaistīto organizāciju skaits: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0-5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A01D4D" w:rsidP="00E7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D02D48" w:rsidRPr="00496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/ P </w:t>
            </w:r>
          </w:p>
        </w:tc>
      </w:tr>
      <w:tr w:rsidR="0024167B" w:rsidRPr="004961E5" w:rsidTr="00323BF0">
        <w:trPr>
          <w:trHeight w:val="273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67B" w:rsidRPr="004961E5" w:rsidRDefault="0024167B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15.1</w:t>
            </w:r>
            <w:r w:rsidR="002510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67B" w:rsidRDefault="0024167B" w:rsidP="00241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iesniedzējs neplāno projektu īstenot sadarbībā ar nevalstiskajām organizācijām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67B" w:rsidRDefault="0024167B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67B" w:rsidRPr="004961E5" w:rsidRDefault="0024167B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02D48" w:rsidRPr="004961E5" w:rsidTr="00323BF0">
        <w:trPr>
          <w:trHeight w:val="273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24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416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2510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24167B" w:rsidP="00241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iesniedzējs plāno projektu īstenot sadarbībā ar vienu nevalstisko organizāciju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24167B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24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416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2510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24167B" w:rsidP="00241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iesniedzējs plāno projektu īstenot sadarbībā ar divām nevalstiskajām organizācijām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2D48" w:rsidRPr="004961E5" w:rsidTr="00323BF0">
        <w:trPr>
          <w:trHeight w:val="75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24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416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2510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24167B" w:rsidP="0032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iesniedzējs plāno projektu īstenot sadarbībā ar </w:t>
            </w:r>
            <w:r w:rsidR="00323B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trijām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nevalstiskajām organizācijām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02D48" w:rsidRPr="004961E5" w:rsidTr="00323BF0"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24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416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2510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24167B" w:rsidP="00241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iesniedzējs plāno projektu īstenot sadarbībā ar četrām nevalstiskajām organizācijām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D48" w:rsidRPr="004961E5" w:rsidRDefault="00D02D48" w:rsidP="00651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61E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D02D48" w:rsidRDefault="00D02D48" w:rsidP="00D02D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60624" w:rsidRDefault="00E60624" w:rsidP="00D02D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02D48" w:rsidRPr="00D02D48" w:rsidRDefault="00D02D48" w:rsidP="00D02D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F5AE3" w:rsidRDefault="000F5AE3" w:rsidP="000F5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5AE3" w:rsidRDefault="000F5AE3" w:rsidP="00F65F52">
      <w:pPr>
        <w:pStyle w:val="Bezatstarpm"/>
        <w:tabs>
          <w:tab w:val="right" w:pos="8364"/>
        </w:tabs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ministre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7709F" w:rsidRPr="00E7709F">
        <w:rPr>
          <w:rFonts w:ascii="Times New Roman" w:hAnsi="Times New Roman" w:cs="Times New Roman"/>
          <w:sz w:val="24"/>
          <w:szCs w:val="24"/>
        </w:rPr>
        <w:t>Ž</w:t>
      </w:r>
      <w:r w:rsidR="008254B1">
        <w:rPr>
          <w:rFonts w:ascii="Times New Roman" w:hAnsi="Times New Roman" w:cs="Times New Roman"/>
          <w:sz w:val="24"/>
          <w:szCs w:val="24"/>
        </w:rPr>
        <w:t>.</w:t>
      </w:r>
      <w:r w:rsidR="00E7709F" w:rsidRPr="00E7709F">
        <w:rPr>
          <w:rFonts w:ascii="Times New Roman" w:hAnsi="Times New Roman" w:cs="Times New Roman"/>
          <w:sz w:val="24"/>
          <w:szCs w:val="24"/>
        </w:rPr>
        <w:t>Jaunzeme</w:t>
      </w:r>
      <w:proofErr w:type="spellEnd"/>
      <w:r w:rsidR="00E7709F" w:rsidRPr="00E770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709F" w:rsidRPr="00E7709F">
        <w:rPr>
          <w:rFonts w:ascii="Times New Roman" w:hAnsi="Times New Roman" w:cs="Times New Roman"/>
          <w:sz w:val="24"/>
          <w:szCs w:val="24"/>
        </w:rPr>
        <w:t>Grende</w:t>
      </w:r>
      <w:proofErr w:type="spellEnd"/>
    </w:p>
    <w:p w:rsidR="000F5AE3" w:rsidRDefault="000F5AE3" w:rsidP="000F5AE3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0F5AE3" w:rsidRDefault="000F5AE3" w:rsidP="000F5AE3">
      <w:pPr>
        <w:pStyle w:val="Bezatstarpm"/>
        <w:ind w:right="-199"/>
        <w:jc w:val="both"/>
        <w:rPr>
          <w:rFonts w:ascii="Times New Roman" w:hAnsi="Times New Roman"/>
          <w:sz w:val="24"/>
          <w:szCs w:val="24"/>
        </w:rPr>
      </w:pPr>
    </w:p>
    <w:p w:rsidR="000F5AE3" w:rsidRDefault="000F5AE3" w:rsidP="000F5AE3">
      <w:pPr>
        <w:pStyle w:val="Bezatstarpm"/>
        <w:ind w:right="-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</w:t>
      </w:r>
      <w:r w:rsidR="00F65F52">
        <w:rPr>
          <w:rFonts w:ascii="Times New Roman" w:hAnsi="Times New Roman"/>
          <w:sz w:val="24"/>
          <w:szCs w:val="24"/>
        </w:rPr>
        <w:t xml:space="preserve">Valsts sekretāra </w:t>
      </w:r>
      <w:proofErr w:type="spellStart"/>
      <w:r w:rsidR="00F65F52">
        <w:rPr>
          <w:rFonts w:ascii="Times New Roman" w:hAnsi="Times New Roman"/>
          <w:sz w:val="24"/>
          <w:szCs w:val="24"/>
        </w:rPr>
        <w:t>p.i</w:t>
      </w:r>
      <w:proofErr w:type="spellEnd"/>
      <w:r w:rsidR="00F65F52">
        <w:rPr>
          <w:rFonts w:ascii="Times New Roman" w:hAnsi="Times New Roman"/>
          <w:sz w:val="24"/>
          <w:szCs w:val="24"/>
        </w:rPr>
        <w:t>.</w:t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r w:rsidR="00F65F52">
        <w:rPr>
          <w:rFonts w:ascii="Times New Roman" w:hAnsi="Times New Roman"/>
          <w:sz w:val="24"/>
          <w:szCs w:val="24"/>
        </w:rPr>
        <w:tab/>
      </w:r>
      <w:proofErr w:type="spellStart"/>
      <w:r w:rsidR="00F65F52">
        <w:rPr>
          <w:rFonts w:ascii="Times New Roman" w:hAnsi="Times New Roman"/>
          <w:sz w:val="24"/>
          <w:szCs w:val="24"/>
        </w:rPr>
        <w:t>U.Lielpēters</w:t>
      </w:r>
      <w:proofErr w:type="spellEnd"/>
    </w:p>
    <w:p w:rsidR="000F5AE3" w:rsidRDefault="000F5AE3" w:rsidP="000F5AE3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0F5AE3" w:rsidRDefault="000F5AE3" w:rsidP="000F5AE3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E60624" w:rsidRDefault="00E60624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F66EF" w:rsidRDefault="00FF66EF" w:rsidP="00E60624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E60624" w:rsidRDefault="00E60624" w:rsidP="00E60624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p w:rsidR="00E60624" w:rsidRPr="00DF4D74" w:rsidRDefault="00F65F52" w:rsidP="00E60624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E60624" w:rsidRPr="00DF4D74">
        <w:rPr>
          <w:rFonts w:ascii="Times New Roman" w:hAnsi="Times New Roman" w:cs="Times New Roman"/>
          <w:sz w:val="20"/>
          <w:szCs w:val="20"/>
        </w:rPr>
        <w:t>.</w:t>
      </w:r>
      <w:r w:rsidR="009F484C" w:rsidRPr="00DF4D74">
        <w:rPr>
          <w:rFonts w:ascii="Times New Roman" w:hAnsi="Times New Roman" w:cs="Times New Roman"/>
          <w:sz w:val="20"/>
          <w:szCs w:val="20"/>
        </w:rPr>
        <w:t>1</w:t>
      </w:r>
      <w:r w:rsidR="009F484C">
        <w:rPr>
          <w:rFonts w:ascii="Times New Roman" w:hAnsi="Times New Roman" w:cs="Times New Roman"/>
          <w:sz w:val="20"/>
          <w:szCs w:val="20"/>
        </w:rPr>
        <w:t>1</w:t>
      </w:r>
      <w:r w:rsidR="00E60624" w:rsidRPr="00DF4D74">
        <w:rPr>
          <w:rFonts w:ascii="Times New Roman" w:hAnsi="Times New Roman" w:cs="Times New Roman"/>
          <w:sz w:val="20"/>
          <w:szCs w:val="20"/>
        </w:rPr>
        <w:t>.2011. 1</w:t>
      </w:r>
      <w:r w:rsidR="008254B1">
        <w:rPr>
          <w:rFonts w:ascii="Times New Roman" w:hAnsi="Times New Roman" w:cs="Times New Roman"/>
          <w:sz w:val="20"/>
          <w:szCs w:val="20"/>
        </w:rPr>
        <w:t>3</w:t>
      </w:r>
      <w:r w:rsidR="00E60624" w:rsidRPr="00DF4D74">
        <w:rPr>
          <w:rFonts w:ascii="Times New Roman" w:hAnsi="Times New Roman" w:cs="Times New Roman"/>
          <w:sz w:val="20"/>
          <w:szCs w:val="20"/>
        </w:rPr>
        <w:t>:</w:t>
      </w:r>
      <w:r w:rsidR="008254B1">
        <w:rPr>
          <w:rFonts w:ascii="Times New Roman" w:hAnsi="Times New Roman" w:cs="Times New Roman"/>
          <w:sz w:val="20"/>
          <w:szCs w:val="20"/>
        </w:rPr>
        <w:t>54</w:t>
      </w:r>
    </w:p>
    <w:p w:rsidR="00E60624" w:rsidRPr="00DF4D74" w:rsidRDefault="000F5AE3" w:rsidP="00E60624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1 1</w:t>
      </w:r>
      <w:r w:rsidR="00DF4D74">
        <w:rPr>
          <w:rFonts w:ascii="Times New Roman" w:hAnsi="Times New Roman" w:cs="Times New Roman"/>
          <w:sz w:val="20"/>
          <w:szCs w:val="20"/>
        </w:rPr>
        <w:t>0</w:t>
      </w:r>
      <w:r w:rsidR="00F65F52">
        <w:rPr>
          <w:rFonts w:ascii="Times New Roman" w:hAnsi="Times New Roman" w:cs="Times New Roman"/>
          <w:sz w:val="20"/>
          <w:szCs w:val="20"/>
        </w:rPr>
        <w:t>8</w:t>
      </w:r>
    </w:p>
    <w:p w:rsidR="00E60624" w:rsidRPr="00DF4D74" w:rsidRDefault="009F484C" w:rsidP="00E60624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A.Ločmele</w:t>
      </w:r>
    </w:p>
    <w:p w:rsidR="00E60624" w:rsidRDefault="00B44FE1" w:rsidP="00E60624">
      <w:pPr>
        <w:pStyle w:val="Bezatstarpm"/>
        <w:rPr>
          <w:rFonts w:ascii="Times New Roman" w:hAnsi="Times New Roman" w:cs="Times New Roman"/>
          <w:highlight w:val="yellow"/>
        </w:rPr>
      </w:pPr>
      <w:hyperlink r:id="rId7" w:history="1">
        <w:r w:rsidR="008254B1" w:rsidRPr="00E438E4">
          <w:rPr>
            <w:rStyle w:val="Hipersaite"/>
            <w:sz w:val="20"/>
            <w:szCs w:val="20"/>
          </w:rPr>
          <w:t>Agra.Locmele@km.gov.lv</w:t>
        </w:r>
      </w:hyperlink>
      <w:r w:rsidR="00E60624" w:rsidRPr="00DF4D74">
        <w:rPr>
          <w:rFonts w:ascii="Times New Roman" w:hAnsi="Times New Roman" w:cs="Times New Roman"/>
          <w:sz w:val="20"/>
          <w:szCs w:val="20"/>
        </w:rPr>
        <w:t xml:space="preserve">, tālr. </w:t>
      </w:r>
      <w:r w:rsidR="009F484C" w:rsidRPr="00DF4D74">
        <w:rPr>
          <w:rFonts w:ascii="Times New Roman" w:hAnsi="Times New Roman" w:cs="Times New Roman"/>
          <w:sz w:val="20"/>
          <w:szCs w:val="20"/>
        </w:rPr>
        <w:t>6733031</w:t>
      </w:r>
      <w:r w:rsidR="009F484C">
        <w:rPr>
          <w:rFonts w:ascii="Times New Roman" w:hAnsi="Times New Roman" w:cs="Times New Roman"/>
          <w:sz w:val="20"/>
          <w:szCs w:val="20"/>
        </w:rPr>
        <w:t>5</w:t>
      </w:r>
    </w:p>
    <w:p w:rsidR="00651A0E" w:rsidRPr="00D02D48" w:rsidRDefault="00651A0E" w:rsidP="00D0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A0E" w:rsidRPr="00D02D48" w:rsidSect="002D2FD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7C" w:rsidRDefault="00735C7C" w:rsidP="002D2FDE">
      <w:pPr>
        <w:spacing w:after="0" w:line="240" w:lineRule="auto"/>
      </w:pPr>
      <w:r>
        <w:separator/>
      </w:r>
    </w:p>
  </w:endnote>
  <w:endnote w:type="continuationSeparator" w:id="0">
    <w:p w:rsidR="00735C7C" w:rsidRDefault="00735C7C" w:rsidP="002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3865"/>
      <w:docPartObj>
        <w:docPartGallery w:val="Page Numbers (Bottom of Page)"/>
        <w:docPartUnique/>
      </w:docPartObj>
    </w:sdtPr>
    <w:sdtContent>
      <w:p w:rsidR="002D2FDE" w:rsidRDefault="009F484C" w:rsidP="002D2FDE">
        <w:pPr>
          <w:tabs>
            <w:tab w:val="left" w:pos="7560"/>
          </w:tabs>
          <w:jc w:val="both"/>
          <w:rPr>
            <w:rFonts w:ascii="Times New Roman" w:eastAsia="Calibri" w:hAnsi="Times New Roman" w:cs="Times New Roman"/>
            <w:bCs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KMNotp10</w:t>
        </w:r>
        <w:r w:rsidR="000F5AE3">
          <w:rPr>
            <w:rFonts w:ascii="Times New Roman" w:eastAsia="Calibri" w:hAnsi="Times New Roman" w:cs="Times New Roman"/>
            <w:sz w:val="16"/>
            <w:szCs w:val="16"/>
          </w:rPr>
          <w:t>_</w:t>
        </w:r>
        <w:r w:rsidR="00F65F52">
          <w:rPr>
            <w:rFonts w:ascii="Times New Roman" w:eastAsia="Calibri" w:hAnsi="Times New Roman" w:cs="Times New Roman"/>
            <w:sz w:val="16"/>
            <w:szCs w:val="16"/>
          </w:rPr>
          <w:t>29</w:t>
        </w:r>
        <w:r>
          <w:rPr>
            <w:rFonts w:ascii="Times New Roman" w:eastAsia="Calibri" w:hAnsi="Times New Roman" w:cs="Times New Roman"/>
            <w:sz w:val="16"/>
            <w:szCs w:val="16"/>
          </w:rPr>
          <w:t>1111</w:t>
        </w:r>
        <w:r w:rsidR="002D2FDE">
          <w:rPr>
            <w:rFonts w:ascii="Times New Roman" w:eastAsia="Calibri" w:hAnsi="Times New Roman" w:cs="Times New Roman"/>
            <w:sz w:val="16"/>
            <w:szCs w:val="16"/>
          </w:rPr>
          <w:t>_2010;</w:t>
        </w:r>
        <w:r w:rsidR="002D2FDE">
          <w:rPr>
            <w:rFonts w:ascii="Times New Roman" w:eastAsia="Calibri" w:hAnsi="Times New Roman" w:cs="Times New Roman"/>
            <w:bCs/>
            <w:sz w:val="16"/>
            <w:szCs w:val="16"/>
          </w:rPr>
          <w:t xml:space="preserve"> Pielikums Nr.</w:t>
        </w:r>
        <w:r>
          <w:rPr>
            <w:rFonts w:ascii="Times New Roman" w:hAnsi="Times New Roman"/>
            <w:bCs/>
            <w:sz w:val="16"/>
            <w:szCs w:val="16"/>
          </w:rPr>
          <w:t>10</w:t>
        </w:r>
        <w:r>
          <w:rPr>
            <w:rFonts w:ascii="Times New Roman" w:eastAsia="Calibri" w:hAnsi="Times New Roman" w:cs="Times New Roman"/>
            <w:bCs/>
            <w:sz w:val="16"/>
            <w:szCs w:val="16"/>
          </w:rPr>
          <w:t xml:space="preserve"> </w:t>
        </w:r>
        <w:r w:rsidR="002D2FDE">
          <w:rPr>
            <w:rFonts w:ascii="Times New Roman" w:eastAsia="Calibri" w:hAnsi="Times New Roman" w:cs="Times New Roman"/>
            <w:bCs/>
            <w:sz w:val="16"/>
            <w:szCs w:val="16"/>
          </w:rPr>
          <w:t>Ministru kabineta noteikumu projektam „Noteikumi par Eiropas Trešo valstu valstspiederīgo integrācijas fonda 2010.gada programmas aktivitāšu īstenošanu”</w:t>
        </w:r>
      </w:p>
      <w:p w:rsidR="002D2FDE" w:rsidRDefault="00B44FE1">
        <w:pPr>
          <w:pStyle w:val="Kjene"/>
          <w:jc w:val="center"/>
        </w:pPr>
      </w:p>
    </w:sdtContent>
  </w:sdt>
  <w:p w:rsidR="002D2FDE" w:rsidRDefault="002D2FD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DE" w:rsidRDefault="009F484C" w:rsidP="002D2FDE">
    <w:pPr>
      <w:tabs>
        <w:tab w:val="left" w:pos="7560"/>
      </w:tabs>
      <w:jc w:val="both"/>
      <w:rPr>
        <w:rFonts w:ascii="Times New Roman" w:eastAsia="Calibri" w:hAnsi="Times New Roman" w:cs="Times New Roman"/>
        <w:bCs/>
        <w:sz w:val="16"/>
        <w:szCs w:val="16"/>
      </w:rPr>
    </w:pPr>
    <w:r>
      <w:rPr>
        <w:rFonts w:ascii="Times New Roman" w:hAnsi="Times New Roman"/>
        <w:sz w:val="16"/>
        <w:szCs w:val="16"/>
      </w:rPr>
      <w:t>KMNotp10</w:t>
    </w:r>
    <w:r w:rsidR="000F5AE3">
      <w:rPr>
        <w:rFonts w:ascii="Times New Roman" w:eastAsia="Calibri" w:hAnsi="Times New Roman" w:cs="Times New Roman"/>
        <w:sz w:val="16"/>
        <w:szCs w:val="16"/>
      </w:rPr>
      <w:t>_</w:t>
    </w:r>
    <w:r w:rsidR="00F65F52">
      <w:rPr>
        <w:rFonts w:ascii="Times New Roman" w:eastAsia="Calibri" w:hAnsi="Times New Roman" w:cs="Times New Roman"/>
        <w:sz w:val="16"/>
        <w:szCs w:val="16"/>
      </w:rPr>
      <w:t>29</w:t>
    </w:r>
    <w:r>
      <w:rPr>
        <w:rFonts w:ascii="Times New Roman" w:eastAsia="Calibri" w:hAnsi="Times New Roman" w:cs="Times New Roman"/>
        <w:sz w:val="16"/>
        <w:szCs w:val="16"/>
      </w:rPr>
      <w:t>1111</w:t>
    </w:r>
    <w:r w:rsidR="002D2FDE">
      <w:rPr>
        <w:rFonts w:ascii="Times New Roman" w:eastAsia="Calibri" w:hAnsi="Times New Roman" w:cs="Times New Roman"/>
        <w:sz w:val="16"/>
        <w:szCs w:val="16"/>
      </w:rPr>
      <w:t>_2010;</w:t>
    </w:r>
    <w:r w:rsidR="002D2FDE">
      <w:rPr>
        <w:rFonts w:ascii="Times New Roman" w:eastAsia="Calibri" w:hAnsi="Times New Roman" w:cs="Times New Roman"/>
        <w:bCs/>
        <w:sz w:val="16"/>
        <w:szCs w:val="16"/>
      </w:rPr>
      <w:t xml:space="preserve"> </w:t>
    </w:r>
    <w:bookmarkStart w:id="0" w:name="OLE_LINK14"/>
    <w:bookmarkStart w:id="1" w:name="OLE_LINK15"/>
    <w:r w:rsidR="002D2FDE">
      <w:rPr>
        <w:rFonts w:ascii="Times New Roman" w:eastAsia="Calibri" w:hAnsi="Times New Roman" w:cs="Times New Roman"/>
        <w:bCs/>
        <w:sz w:val="16"/>
        <w:szCs w:val="16"/>
      </w:rPr>
      <w:t>Pielikums Nr.</w:t>
    </w:r>
    <w:r>
      <w:rPr>
        <w:rFonts w:ascii="Times New Roman" w:hAnsi="Times New Roman"/>
        <w:bCs/>
        <w:sz w:val="16"/>
        <w:szCs w:val="16"/>
      </w:rPr>
      <w:t>10</w:t>
    </w:r>
    <w:r>
      <w:rPr>
        <w:rFonts w:ascii="Times New Roman" w:eastAsia="Calibri" w:hAnsi="Times New Roman" w:cs="Times New Roman"/>
        <w:bCs/>
        <w:sz w:val="16"/>
        <w:szCs w:val="16"/>
      </w:rPr>
      <w:t xml:space="preserve"> </w:t>
    </w:r>
    <w:r w:rsidR="002D2FDE">
      <w:rPr>
        <w:rFonts w:ascii="Times New Roman" w:eastAsia="Calibri" w:hAnsi="Times New Roman" w:cs="Times New Roman"/>
        <w:bCs/>
        <w:sz w:val="16"/>
        <w:szCs w:val="16"/>
      </w:rPr>
      <w:t>Ministru kabineta noteikumu projektam „Noteikumi par Eiropas Trešo valstu valstspiederīgo integrācijas fonda 2010.gada programmas aktivitāšu īstenošanu”</w:t>
    </w:r>
    <w:bookmarkEnd w:id="0"/>
    <w:bookmarkEnd w:id="1"/>
  </w:p>
  <w:p w:rsidR="002D2FDE" w:rsidRDefault="002D2FD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7C" w:rsidRDefault="00735C7C" w:rsidP="002D2FDE">
      <w:pPr>
        <w:spacing w:after="0" w:line="240" w:lineRule="auto"/>
      </w:pPr>
      <w:r>
        <w:separator/>
      </w:r>
    </w:p>
  </w:footnote>
  <w:footnote w:type="continuationSeparator" w:id="0">
    <w:p w:rsidR="00735C7C" w:rsidRDefault="00735C7C" w:rsidP="002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3870"/>
      <w:docPartObj>
        <w:docPartGallery w:val="Page Numbers (Top of Page)"/>
        <w:docPartUnique/>
      </w:docPartObj>
    </w:sdtPr>
    <w:sdtContent>
      <w:p w:rsidR="002D2FDE" w:rsidRDefault="00B44FE1">
        <w:pPr>
          <w:pStyle w:val="Galvene"/>
          <w:jc w:val="center"/>
        </w:pPr>
        <w:r w:rsidRPr="00FF66EF">
          <w:rPr>
            <w:rFonts w:ascii="Times New Roman" w:hAnsi="Times New Roman" w:cs="Times New Roman"/>
          </w:rPr>
          <w:fldChar w:fldCharType="begin"/>
        </w:r>
        <w:r w:rsidR="00FD6438" w:rsidRPr="00FF66EF">
          <w:rPr>
            <w:rFonts w:ascii="Times New Roman" w:hAnsi="Times New Roman" w:cs="Times New Roman"/>
          </w:rPr>
          <w:instrText xml:space="preserve"> PAGE   \* MERGEFORMAT </w:instrText>
        </w:r>
        <w:r w:rsidRPr="00FF66EF">
          <w:rPr>
            <w:rFonts w:ascii="Times New Roman" w:hAnsi="Times New Roman" w:cs="Times New Roman"/>
          </w:rPr>
          <w:fldChar w:fldCharType="separate"/>
        </w:r>
        <w:r w:rsidR="00F65F52">
          <w:rPr>
            <w:rFonts w:ascii="Times New Roman" w:hAnsi="Times New Roman" w:cs="Times New Roman"/>
            <w:noProof/>
          </w:rPr>
          <w:t>5</w:t>
        </w:r>
        <w:r w:rsidRPr="00FF66EF">
          <w:rPr>
            <w:rFonts w:ascii="Times New Roman" w:hAnsi="Times New Roman" w:cs="Times New Roman"/>
          </w:rPr>
          <w:fldChar w:fldCharType="end"/>
        </w:r>
      </w:p>
    </w:sdtContent>
  </w:sdt>
  <w:p w:rsidR="002D2FDE" w:rsidRDefault="002D2FD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22"/>
    <w:rsid w:val="00021B08"/>
    <w:rsid w:val="00062622"/>
    <w:rsid w:val="000F5AE3"/>
    <w:rsid w:val="001C2A4E"/>
    <w:rsid w:val="0024167B"/>
    <w:rsid w:val="002510C8"/>
    <w:rsid w:val="00290E7C"/>
    <w:rsid w:val="002B1204"/>
    <w:rsid w:val="002D2FDE"/>
    <w:rsid w:val="00323BF0"/>
    <w:rsid w:val="00342167"/>
    <w:rsid w:val="004379F9"/>
    <w:rsid w:val="004A6135"/>
    <w:rsid w:val="004B32C7"/>
    <w:rsid w:val="004F7427"/>
    <w:rsid w:val="005928B9"/>
    <w:rsid w:val="00651A0E"/>
    <w:rsid w:val="006540B3"/>
    <w:rsid w:val="00732948"/>
    <w:rsid w:val="00735C7C"/>
    <w:rsid w:val="00756CE6"/>
    <w:rsid w:val="008254B1"/>
    <w:rsid w:val="0088117E"/>
    <w:rsid w:val="008829BA"/>
    <w:rsid w:val="009F484C"/>
    <w:rsid w:val="00A01D4D"/>
    <w:rsid w:val="00AC766F"/>
    <w:rsid w:val="00B218EF"/>
    <w:rsid w:val="00B43EE5"/>
    <w:rsid w:val="00B44FE1"/>
    <w:rsid w:val="00C27436"/>
    <w:rsid w:val="00C93332"/>
    <w:rsid w:val="00CC5F51"/>
    <w:rsid w:val="00D02805"/>
    <w:rsid w:val="00D02D48"/>
    <w:rsid w:val="00D817CF"/>
    <w:rsid w:val="00D95560"/>
    <w:rsid w:val="00DF4D74"/>
    <w:rsid w:val="00E31D9B"/>
    <w:rsid w:val="00E60624"/>
    <w:rsid w:val="00E7703A"/>
    <w:rsid w:val="00E7709F"/>
    <w:rsid w:val="00F65F52"/>
    <w:rsid w:val="00FD6438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626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6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2622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2D2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2FDE"/>
  </w:style>
  <w:style w:type="paragraph" w:styleId="Kjene">
    <w:name w:val="footer"/>
    <w:basedOn w:val="Parastais"/>
    <w:link w:val="KjeneRakstz"/>
    <w:uiPriority w:val="99"/>
    <w:unhideWhenUsed/>
    <w:rsid w:val="002D2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2FDE"/>
  </w:style>
  <w:style w:type="character" w:styleId="Hipersaite">
    <w:name w:val="Hyperlink"/>
    <w:basedOn w:val="Noklusjumarindkopasfonts"/>
    <w:unhideWhenUsed/>
    <w:rsid w:val="00E60624"/>
    <w:rPr>
      <w:rFonts w:ascii="Times New Roman" w:hAnsi="Times New Roman" w:cs="Times New Roman" w:hint="default"/>
      <w:color w:val="0000FF"/>
      <w:u w:val="single"/>
    </w:rPr>
  </w:style>
  <w:style w:type="paragraph" w:styleId="Bezatstarpm">
    <w:name w:val="No Spacing"/>
    <w:uiPriority w:val="1"/>
    <w:qFormat/>
    <w:rsid w:val="00E60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ra.Locmele@k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5452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Nr.14 Ministru kabineta noteikumu projektam „Noteikumi par Eiropas Trešo valstu valstspiederīgo integrācijas fonda 2010.gada programmas aktivitāšu īstenošanu”</dc:title>
  <dc:subject>14.pielikums</dc:subject>
  <dc:creator>Agnese Jēkabsone</dc:creator>
  <dc:description>67 330 314, agnese.jekabsone@km.gov.lv</dc:description>
  <cp:lastModifiedBy>Evija Nikolajeva</cp:lastModifiedBy>
  <cp:revision>22</cp:revision>
  <dcterms:created xsi:type="dcterms:W3CDTF">2011-09-06T11:29:00Z</dcterms:created>
  <dcterms:modified xsi:type="dcterms:W3CDTF">2011-11-29T12:49:00Z</dcterms:modified>
</cp:coreProperties>
</file>