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5" w:rsidRPr="00363159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370267"/>
    </w:p>
    <w:p w:rsidR="004D67F5" w:rsidRPr="00363159" w:rsidRDefault="000116FF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14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t xml:space="preserve">.pielikums 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br/>
        <w:t xml:space="preserve">Ministru kabineta 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br/>
        <w:t>2011.gada ___.</w:t>
      </w:r>
      <w:r w:rsidR="00A600FB">
        <w:rPr>
          <w:rFonts w:ascii="Times New Roman" w:eastAsia="Times New Roman" w:hAnsi="Times New Roman" w:cs="Times New Roman"/>
          <w:lang w:eastAsia="lv-LV"/>
        </w:rPr>
        <w:t>dec</w:t>
      </w:r>
      <w:r w:rsidR="00C06BD8">
        <w:rPr>
          <w:rFonts w:ascii="Times New Roman" w:eastAsia="Times New Roman" w:hAnsi="Times New Roman" w:cs="Times New Roman"/>
          <w:lang w:eastAsia="lv-LV"/>
        </w:rPr>
        <w:t>em</w:t>
      </w:r>
      <w:r w:rsidR="00C06BD8" w:rsidRPr="00363159">
        <w:rPr>
          <w:rFonts w:ascii="Times New Roman" w:eastAsia="Times New Roman" w:hAnsi="Times New Roman" w:cs="Times New Roman"/>
          <w:lang w:eastAsia="lv-LV"/>
        </w:rPr>
        <w:t xml:space="preserve">bra 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t>noteikumiem Nr.</w:t>
      </w:r>
      <w:bookmarkEnd w:id="0"/>
      <w:r w:rsidR="004D67F5" w:rsidRPr="00363159">
        <w:rPr>
          <w:rFonts w:ascii="Times New Roman" w:eastAsia="Times New Roman" w:hAnsi="Times New Roman" w:cs="Times New Roman"/>
          <w:lang w:eastAsia="lv-LV"/>
        </w:rPr>
        <w:t>____</w:t>
      </w:r>
    </w:p>
    <w:p w:rsidR="004D67F5" w:rsidRPr="00363159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4D67F5" w:rsidRPr="00995D8D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95D8D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>
            <wp:extent cx="5274310" cy="772759"/>
            <wp:effectExtent l="19050" t="0" r="2540" b="0"/>
            <wp:docPr id="1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00" w:type="pct"/>
        <w:tblInd w:w="614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5"/>
        <w:gridCol w:w="1430"/>
      </w:tblGrid>
      <w:tr w:rsidR="004D67F5" w:rsidRPr="00995D8D" w:rsidTr="00207EED">
        <w:tc>
          <w:tcPr>
            <w:tcW w:w="1713" w:type="pct"/>
            <w:hideMark/>
          </w:tcPr>
          <w:p w:rsidR="004D67F5" w:rsidRPr="00363159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63159">
              <w:rPr>
                <w:rFonts w:ascii="Times New Roman" w:eastAsia="Times New Roman" w:hAnsi="Times New Roman" w:cs="Times New Roman"/>
                <w:lang w:eastAsia="lv-LV"/>
              </w:rPr>
              <w:t>Līguma Nr.</w:t>
            </w:r>
          </w:p>
        </w:tc>
        <w:tc>
          <w:tcPr>
            <w:tcW w:w="3287" w:type="pct"/>
            <w:tcBorders>
              <w:bottom w:val="single" w:sz="6" w:space="0" w:color="auto"/>
            </w:tcBorders>
            <w:hideMark/>
          </w:tcPr>
          <w:p w:rsidR="004D67F5" w:rsidRPr="00363159" w:rsidRDefault="004D67F5" w:rsidP="00A6338A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3631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67F5" w:rsidRPr="00995D8D" w:rsidTr="00207EED">
        <w:tc>
          <w:tcPr>
            <w:tcW w:w="1713" w:type="pct"/>
            <w:hideMark/>
          </w:tcPr>
          <w:p w:rsidR="004D67F5" w:rsidRPr="00363159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6315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287" w:type="pct"/>
            <w:tcBorders>
              <w:top w:val="single" w:sz="6" w:space="0" w:color="auto"/>
            </w:tcBorders>
            <w:hideMark/>
          </w:tcPr>
          <w:p w:rsidR="004D67F5" w:rsidRPr="00363159" w:rsidRDefault="00903F24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  <w:r w:rsidR="004D67F5" w:rsidRPr="003631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.pielikums</w:t>
            </w:r>
          </w:p>
        </w:tc>
      </w:tr>
    </w:tbl>
    <w:p w:rsidR="004D67F5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D67F5" w:rsidRDefault="004D67F5" w:rsidP="004D67F5">
      <w:pPr>
        <w:pStyle w:val="Bezatstarpm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21B43">
        <w:rPr>
          <w:rFonts w:ascii="Times New Roman" w:eastAsia="Times New Roman" w:hAnsi="Times New Roman" w:cs="Times New Roman"/>
          <w:b/>
          <w:bCs/>
          <w:lang w:eastAsia="lv-LV"/>
        </w:rPr>
        <w:t>Sadarbības partnera apliecinājums</w:t>
      </w:r>
    </w:p>
    <w:p w:rsidR="004D67F5" w:rsidRPr="00821B43" w:rsidRDefault="004D67F5" w:rsidP="004D67F5">
      <w:pPr>
        <w:pStyle w:val="Bezatstarpm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784CC6" w:rsidRDefault="004D67F5" w:rsidP="00784CC6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Apliecinu, ka: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Eiropas Trešo valstu valstspiederīgo integrācijas fonda (turpmāk – fonds) projekta ieviešanā netiks pieļauta diskriminācija dzimuma, rases, etniskās izcelsmes, reliģijas vai pārliecības, invaliditātes, seksuālās orientācijas vai vecuma dēļ un tiks nodrošinātas vienlīdzīgas iespējas dažādām sabiedrības grupām;</w:t>
      </w:r>
    </w:p>
    <w:p w:rsidR="00784CC6" w:rsidRDefault="00784CC6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pirms</w:t>
      </w:r>
      <w:r w:rsidR="004D67F5" w:rsidRPr="00821B43">
        <w:rPr>
          <w:rFonts w:ascii="Times New Roman" w:eastAsia="Times New Roman" w:hAnsi="Times New Roman" w:cs="Times New Roman"/>
          <w:lang w:eastAsia="lv-LV"/>
        </w:rPr>
        <w:t xml:space="preserve"> projekta iesnieguma iesniegšanas vadošajā iestādē esmu iepazinies ar projekta iesnieguma saturu un savu lomu projekta ieviešanā;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pilnvaroju projekta iesniedzēju noslēgt granta līgumu ar vadošo iestādi un pārstāvēt sadarbības partneri visās ar projekta ieviešanu saistītajās darbībās;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vismaz astoņus gadus pēc projekta pabeigšanas glabāšu visu ar projekta ieviešanu saistīto dokumentāciju un informāciju un, ja nepieciešams, to uzrādīšu, kā arī piekrītu Latvijas</w:t>
      </w:r>
      <w:r>
        <w:rPr>
          <w:rFonts w:ascii="Times New Roman" w:eastAsia="Times New Roman" w:hAnsi="Times New Roman" w:cs="Times New Roman"/>
          <w:lang w:eastAsia="lv-LV"/>
        </w:rPr>
        <w:t xml:space="preserve"> Republikas </w:t>
      </w:r>
      <w:r w:rsidRPr="00821B43">
        <w:rPr>
          <w:rFonts w:ascii="Times New Roman" w:eastAsia="Times New Roman" w:hAnsi="Times New Roman" w:cs="Times New Roman"/>
          <w:lang w:eastAsia="lv-LV"/>
        </w:rPr>
        <w:t>vai Eiropas Savienības institūciju pārstāvju kontrolēm un auditiem pirms projekta apstiprināšanas, projekta ieviešanas laikā un pēc projekta pabeigšanas;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projekta ietvaros iegādājamais vai nomājamais nekustamais īpašums pirms projekta ieviešanas nav iegādāts ar Eiropas Savienības finanšu atbalstu;</w:t>
      </w:r>
    </w:p>
    <w:p w:rsidR="004D67F5" w:rsidRPr="00821B43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ja sadarbības partneris ir bijis projekta iesniedzējs citā fonda gada programmā, tas līdz projekta iesnieguma iesniegšanas brīdim ir atmaksājis neatbilstoši veiktus izdevumus, ja vadošā iestāde to ir pieprasījusi.</w:t>
      </w: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Sadarbības partnera institūcijas vadītājs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1"/>
        <w:gridCol w:w="251"/>
        <w:gridCol w:w="2593"/>
        <w:gridCol w:w="251"/>
        <w:gridCol w:w="1590"/>
      </w:tblGrid>
      <w:tr w:rsidR="004D67F5" w:rsidRPr="00821B43" w:rsidTr="00A6338A">
        <w:trPr>
          <w:trHeight w:val="450"/>
        </w:trPr>
        <w:tc>
          <w:tcPr>
            <w:tcW w:w="220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 </w:t>
            </w:r>
          </w:p>
        </w:tc>
        <w:tc>
          <w:tcPr>
            <w:tcW w:w="150" w:type="pct"/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155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150" w:type="pct"/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95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</w:tr>
      <w:tr w:rsidR="004D67F5" w:rsidRPr="00821B43" w:rsidTr="00A6338A">
        <w:tc>
          <w:tcPr>
            <w:tcW w:w="220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  <w:tc>
          <w:tcPr>
            <w:tcW w:w="150" w:type="pct"/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(paraksts)</w:t>
            </w:r>
          </w:p>
        </w:tc>
        <w:tc>
          <w:tcPr>
            <w:tcW w:w="150" w:type="pct"/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A6338A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(datums)</w:t>
            </w:r>
          </w:p>
        </w:tc>
      </w:tr>
    </w:tbl>
    <w:p w:rsidR="004D67F5" w:rsidRPr="00821B43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4D67F5" w:rsidRPr="00821B43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vanish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 </w:t>
      </w:r>
    </w:p>
    <w:p w:rsidR="004D67F5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5F3FB5" w:rsidRPr="00413B7A" w:rsidRDefault="00AC3840" w:rsidP="00A600FB">
      <w:pPr>
        <w:pStyle w:val="Bezatstarpm"/>
        <w:tabs>
          <w:tab w:val="right" w:pos="8364"/>
        </w:tabs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13B7A" w:rsidRPr="00413B7A">
        <w:rPr>
          <w:rFonts w:ascii="Times New Roman" w:hAnsi="Times New Roman" w:cs="Times New Roman"/>
          <w:sz w:val="24"/>
          <w:szCs w:val="24"/>
        </w:rPr>
        <w:t>Ž</w:t>
      </w:r>
      <w:r w:rsidR="004E5607">
        <w:rPr>
          <w:rFonts w:ascii="Times New Roman" w:hAnsi="Times New Roman" w:cs="Times New Roman"/>
          <w:sz w:val="24"/>
          <w:szCs w:val="24"/>
        </w:rPr>
        <w:t>.</w:t>
      </w:r>
      <w:r w:rsidR="00413B7A" w:rsidRPr="00413B7A">
        <w:rPr>
          <w:rFonts w:ascii="Times New Roman" w:hAnsi="Times New Roman" w:cs="Times New Roman"/>
          <w:sz w:val="24"/>
          <w:szCs w:val="24"/>
        </w:rPr>
        <w:t>Jaunzeme</w:t>
      </w:r>
      <w:proofErr w:type="spellEnd"/>
      <w:r w:rsidR="00413B7A" w:rsidRPr="00413B7A">
        <w:rPr>
          <w:rFonts w:ascii="Times New Roman" w:hAnsi="Times New Roman" w:cs="Times New Roman"/>
          <w:sz w:val="24"/>
          <w:szCs w:val="24"/>
        </w:rPr>
        <w:t xml:space="preserve"> - Grende</w:t>
      </w:r>
    </w:p>
    <w:p w:rsidR="00AC3840" w:rsidRPr="00413B7A" w:rsidRDefault="00AC3840" w:rsidP="00AC3840">
      <w:pPr>
        <w:pStyle w:val="Bezatstarpm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AC3840" w:rsidRDefault="00AC3840" w:rsidP="00AC3840">
      <w:pPr>
        <w:pStyle w:val="Bezatstarpm"/>
        <w:ind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</w:t>
      </w:r>
      <w:r w:rsidR="00A600FB">
        <w:rPr>
          <w:rFonts w:ascii="Times New Roman" w:hAnsi="Times New Roman"/>
          <w:sz w:val="24"/>
          <w:szCs w:val="24"/>
        </w:rPr>
        <w:t xml:space="preserve">Valsts sekretāra </w:t>
      </w:r>
      <w:proofErr w:type="spellStart"/>
      <w:r w:rsidR="00A600FB">
        <w:rPr>
          <w:rFonts w:ascii="Times New Roman" w:hAnsi="Times New Roman"/>
          <w:sz w:val="24"/>
          <w:szCs w:val="24"/>
        </w:rPr>
        <w:t>p.i</w:t>
      </w:r>
      <w:proofErr w:type="spellEnd"/>
      <w:r w:rsidR="00A600FB">
        <w:rPr>
          <w:rFonts w:ascii="Times New Roman" w:hAnsi="Times New Roman"/>
          <w:sz w:val="24"/>
          <w:szCs w:val="24"/>
        </w:rPr>
        <w:t>.</w:t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r w:rsidR="00A600FB">
        <w:rPr>
          <w:rFonts w:ascii="Times New Roman" w:hAnsi="Times New Roman"/>
          <w:sz w:val="24"/>
          <w:szCs w:val="24"/>
        </w:rPr>
        <w:tab/>
      </w:r>
      <w:proofErr w:type="spellStart"/>
      <w:r w:rsidR="00A600FB">
        <w:rPr>
          <w:rFonts w:ascii="Times New Roman" w:hAnsi="Times New Roman"/>
          <w:sz w:val="24"/>
          <w:szCs w:val="24"/>
        </w:rPr>
        <w:t>U.Lielpēters</w:t>
      </w:r>
      <w:proofErr w:type="spellEnd"/>
    </w:p>
    <w:p w:rsidR="00274CB5" w:rsidRDefault="00274CB5" w:rsidP="00274CB5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274CB5" w:rsidRDefault="00274CB5" w:rsidP="00274CB5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274CB5" w:rsidRPr="005F3FB5" w:rsidRDefault="00A600FB" w:rsidP="00274CB5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</w:t>
      </w:r>
      <w:r w:rsidR="00274CB5" w:rsidRPr="005F3FB5">
        <w:rPr>
          <w:rFonts w:ascii="Times New Roman" w:hAnsi="Times New Roman" w:cs="Times New Roman"/>
          <w:sz w:val="18"/>
          <w:szCs w:val="18"/>
        </w:rPr>
        <w:t>.</w:t>
      </w:r>
      <w:r w:rsidR="00C06BD8" w:rsidRPr="005F3FB5">
        <w:rPr>
          <w:rFonts w:ascii="Times New Roman" w:hAnsi="Times New Roman" w:cs="Times New Roman"/>
          <w:sz w:val="18"/>
          <w:szCs w:val="18"/>
        </w:rPr>
        <w:t>1</w:t>
      </w:r>
      <w:r w:rsidR="00C06BD8">
        <w:rPr>
          <w:rFonts w:ascii="Times New Roman" w:hAnsi="Times New Roman" w:cs="Times New Roman"/>
          <w:sz w:val="18"/>
          <w:szCs w:val="18"/>
        </w:rPr>
        <w:t>1</w:t>
      </w:r>
      <w:r w:rsidR="00274CB5" w:rsidRPr="005F3FB5">
        <w:rPr>
          <w:rFonts w:ascii="Times New Roman" w:hAnsi="Times New Roman" w:cs="Times New Roman"/>
          <w:sz w:val="18"/>
          <w:szCs w:val="18"/>
        </w:rPr>
        <w:t>.2011. 1</w:t>
      </w:r>
      <w:r w:rsidR="004E5607">
        <w:rPr>
          <w:rFonts w:ascii="Times New Roman" w:hAnsi="Times New Roman" w:cs="Times New Roman"/>
          <w:sz w:val="18"/>
          <w:szCs w:val="18"/>
        </w:rPr>
        <w:t>3</w:t>
      </w:r>
      <w:r w:rsidR="00274CB5" w:rsidRPr="005F3FB5">
        <w:rPr>
          <w:rFonts w:ascii="Times New Roman" w:hAnsi="Times New Roman" w:cs="Times New Roman"/>
          <w:sz w:val="18"/>
          <w:szCs w:val="18"/>
        </w:rPr>
        <w:t>:</w:t>
      </w:r>
      <w:r w:rsidR="004E5607">
        <w:rPr>
          <w:rFonts w:ascii="Times New Roman" w:hAnsi="Times New Roman" w:cs="Times New Roman"/>
          <w:sz w:val="18"/>
          <w:szCs w:val="18"/>
        </w:rPr>
        <w:t>58</w:t>
      </w:r>
    </w:p>
    <w:p w:rsidR="00274CB5" w:rsidRPr="005F3FB5" w:rsidRDefault="00AC3840" w:rsidP="00274CB5">
      <w:pPr>
        <w:pStyle w:val="Bezatstarpm"/>
        <w:rPr>
          <w:rFonts w:ascii="Times New Roman" w:hAnsi="Times New Roman" w:cs="Times New Roman"/>
          <w:sz w:val="18"/>
          <w:szCs w:val="18"/>
        </w:rPr>
      </w:pPr>
      <w:r w:rsidRPr="005F3FB5">
        <w:rPr>
          <w:rFonts w:ascii="Times New Roman" w:hAnsi="Times New Roman" w:cs="Times New Roman"/>
          <w:sz w:val="18"/>
          <w:szCs w:val="18"/>
        </w:rPr>
        <w:t>20</w:t>
      </w:r>
      <w:r w:rsidR="00A600FB">
        <w:rPr>
          <w:rFonts w:ascii="Times New Roman" w:hAnsi="Times New Roman" w:cs="Times New Roman"/>
          <w:sz w:val="18"/>
          <w:szCs w:val="18"/>
        </w:rPr>
        <w:t>4</w:t>
      </w:r>
    </w:p>
    <w:p w:rsidR="00274CB5" w:rsidRPr="005F3FB5" w:rsidRDefault="00C06BD8" w:rsidP="00274CB5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A.Ločmele</w:t>
      </w:r>
    </w:p>
    <w:p w:rsidR="00440739" w:rsidRPr="005F3FB5" w:rsidRDefault="00B369D5" w:rsidP="00AC3840">
      <w:pPr>
        <w:pStyle w:val="Bezatstarpm"/>
        <w:rPr>
          <w:sz w:val="18"/>
          <w:szCs w:val="18"/>
        </w:rPr>
      </w:pPr>
      <w:hyperlink r:id="rId9" w:history="1">
        <w:r w:rsidR="004E5607" w:rsidRPr="00C616E3">
          <w:rPr>
            <w:rStyle w:val="Hipersaite"/>
            <w:rFonts w:ascii="Times New Roman" w:hAnsi="Times New Roman" w:cs="Times New Roman"/>
            <w:sz w:val="18"/>
            <w:szCs w:val="18"/>
          </w:rPr>
          <w:t>Agra.Locmele@km.gov.lv</w:t>
        </w:r>
      </w:hyperlink>
      <w:r w:rsidR="00274CB5" w:rsidRPr="005F3FB5">
        <w:rPr>
          <w:rFonts w:ascii="Times New Roman" w:hAnsi="Times New Roman" w:cs="Times New Roman"/>
          <w:sz w:val="18"/>
          <w:szCs w:val="18"/>
        </w:rPr>
        <w:t xml:space="preserve">, tālr. </w:t>
      </w:r>
      <w:r w:rsidR="00C06BD8" w:rsidRPr="005F3FB5">
        <w:rPr>
          <w:rFonts w:ascii="Times New Roman" w:hAnsi="Times New Roman" w:cs="Times New Roman"/>
          <w:sz w:val="18"/>
          <w:szCs w:val="18"/>
        </w:rPr>
        <w:t>6733031</w:t>
      </w:r>
      <w:r w:rsidR="00C06BD8">
        <w:rPr>
          <w:rFonts w:ascii="Times New Roman" w:hAnsi="Times New Roman" w:cs="Times New Roman"/>
          <w:sz w:val="18"/>
          <w:szCs w:val="18"/>
        </w:rPr>
        <w:t>5</w:t>
      </w:r>
    </w:p>
    <w:sectPr w:rsidR="00440739" w:rsidRPr="005F3FB5" w:rsidSect="0044073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92" w:rsidRDefault="00977B92" w:rsidP="00207EED">
      <w:r>
        <w:separator/>
      </w:r>
    </w:p>
  </w:endnote>
  <w:endnote w:type="continuationSeparator" w:id="0">
    <w:p w:rsidR="00977B92" w:rsidRDefault="00977B92" w:rsidP="0020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DE" w:rsidRPr="00215EE3" w:rsidRDefault="00C06BD8" w:rsidP="00FC79DE">
    <w:pPr>
      <w:tabs>
        <w:tab w:val="left" w:pos="7560"/>
      </w:tabs>
      <w:jc w:val="both"/>
      <w:rPr>
        <w:bCs/>
        <w:sz w:val="16"/>
        <w:szCs w:val="16"/>
      </w:rPr>
    </w:pPr>
    <w:r>
      <w:rPr>
        <w:sz w:val="16"/>
        <w:szCs w:val="16"/>
      </w:rPr>
      <w:t>KM</w:t>
    </w:r>
    <w:r w:rsidRPr="00215EE3">
      <w:rPr>
        <w:sz w:val="16"/>
        <w:szCs w:val="16"/>
      </w:rPr>
      <w:t>Notp</w:t>
    </w:r>
    <w:r>
      <w:rPr>
        <w:sz w:val="16"/>
        <w:szCs w:val="16"/>
      </w:rPr>
      <w:t>14</w:t>
    </w:r>
    <w:r w:rsidR="00FC79DE" w:rsidRPr="00215EE3">
      <w:rPr>
        <w:sz w:val="16"/>
        <w:szCs w:val="16"/>
      </w:rPr>
      <w:t>_</w:t>
    </w:r>
    <w:r w:rsidR="00A600FB">
      <w:rPr>
        <w:sz w:val="16"/>
        <w:szCs w:val="16"/>
      </w:rPr>
      <w:t>29</w:t>
    </w:r>
    <w:r>
      <w:rPr>
        <w:sz w:val="16"/>
        <w:szCs w:val="16"/>
      </w:rPr>
      <w:t>11</w:t>
    </w:r>
    <w:r w:rsidRPr="00215EE3">
      <w:rPr>
        <w:sz w:val="16"/>
        <w:szCs w:val="16"/>
      </w:rPr>
      <w:t>1</w:t>
    </w:r>
    <w:r>
      <w:rPr>
        <w:sz w:val="16"/>
        <w:szCs w:val="16"/>
      </w:rPr>
      <w:t>1</w:t>
    </w:r>
    <w:r w:rsidR="00FC79DE">
      <w:rPr>
        <w:sz w:val="16"/>
        <w:szCs w:val="16"/>
      </w:rPr>
      <w:t>_2010</w:t>
    </w:r>
    <w:r w:rsidR="00FC79DE" w:rsidRPr="00215EE3">
      <w:rPr>
        <w:sz w:val="16"/>
        <w:szCs w:val="16"/>
      </w:rPr>
      <w:t>;</w:t>
    </w:r>
    <w:r w:rsidR="00FC79DE" w:rsidRPr="00215EE3">
      <w:rPr>
        <w:bCs/>
        <w:sz w:val="16"/>
        <w:szCs w:val="16"/>
      </w:rPr>
      <w:t xml:space="preserve"> </w:t>
    </w:r>
    <w:bookmarkStart w:id="1" w:name="OLE_LINK5"/>
    <w:bookmarkStart w:id="2" w:name="OLE_LINK6"/>
    <w:r w:rsidR="00FC79DE" w:rsidRPr="00215EE3">
      <w:rPr>
        <w:bCs/>
        <w:sz w:val="16"/>
        <w:szCs w:val="16"/>
      </w:rPr>
      <w:t>Pielikums Nr.</w:t>
    </w:r>
    <w:r>
      <w:rPr>
        <w:bCs/>
        <w:sz w:val="16"/>
        <w:szCs w:val="16"/>
      </w:rPr>
      <w:t>14</w:t>
    </w:r>
    <w:r w:rsidRPr="00215EE3">
      <w:rPr>
        <w:bCs/>
        <w:sz w:val="16"/>
        <w:szCs w:val="16"/>
      </w:rPr>
      <w:t xml:space="preserve"> </w:t>
    </w:r>
    <w:r w:rsidR="00FC79DE" w:rsidRPr="00215EE3">
      <w:rPr>
        <w:bCs/>
        <w:sz w:val="16"/>
        <w:szCs w:val="16"/>
      </w:rPr>
      <w:t>Ministru kabineta noteikumu projektam „Noteikumi par Eiropas Trešo valstu valstspiederīgo integrācijas fonda 20</w:t>
    </w:r>
    <w:r w:rsidR="00FC79DE">
      <w:rPr>
        <w:bCs/>
        <w:sz w:val="16"/>
        <w:szCs w:val="16"/>
      </w:rPr>
      <w:t>10</w:t>
    </w:r>
    <w:r w:rsidR="00FC79DE" w:rsidRPr="00215EE3">
      <w:rPr>
        <w:bCs/>
        <w:sz w:val="16"/>
        <w:szCs w:val="16"/>
      </w:rPr>
      <w:t xml:space="preserve">.gada programmas aktivitāšu īstenošanu” </w:t>
    </w:r>
  </w:p>
  <w:bookmarkEnd w:id="1"/>
  <w:bookmarkEnd w:id="2"/>
  <w:p w:rsidR="00207EED" w:rsidRDefault="00207EE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92" w:rsidRDefault="00977B92" w:rsidP="00207EED">
      <w:r>
        <w:separator/>
      </w:r>
    </w:p>
  </w:footnote>
  <w:footnote w:type="continuationSeparator" w:id="0">
    <w:p w:rsidR="00977B92" w:rsidRDefault="00977B92" w:rsidP="0020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198"/>
    <w:multiLevelType w:val="hybridMultilevel"/>
    <w:tmpl w:val="17EE6A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F5"/>
    <w:rsid w:val="000116FF"/>
    <w:rsid w:val="000572C7"/>
    <w:rsid w:val="00114437"/>
    <w:rsid w:val="00162C84"/>
    <w:rsid w:val="00207EED"/>
    <w:rsid w:val="00274CB5"/>
    <w:rsid w:val="00395592"/>
    <w:rsid w:val="003E6582"/>
    <w:rsid w:val="00413B7A"/>
    <w:rsid w:val="00440739"/>
    <w:rsid w:val="00470F92"/>
    <w:rsid w:val="00490148"/>
    <w:rsid w:val="004D67F5"/>
    <w:rsid w:val="004E5607"/>
    <w:rsid w:val="00557737"/>
    <w:rsid w:val="005F3FB5"/>
    <w:rsid w:val="006548B5"/>
    <w:rsid w:val="006B42E1"/>
    <w:rsid w:val="00784CC6"/>
    <w:rsid w:val="008A2B26"/>
    <w:rsid w:val="00903F24"/>
    <w:rsid w:val="00977B92"/>
    <w:rsid w:val="009953A0"/>
    <w:rsid w:val="009E64C8"/>
    <w:rsid w:val="00A600FB"/>
    <w:rsid w:val="00AC3840"/>
    <w:rsid w:val="00B369D5"/>
    <w:rsid w:val="00B94CB9"/>
    <w:rsid w:val="00BA08E3"/>
    <w:rsid w:val="00BE23F0"/>
    <w:rsid w:val="00C06BD8"/>
    <w:rsid w:val="00C63195"/>
    <w:rsid w:val="00C648F6"/>
    <w:rsid w:val="00DB47CA"/>
    <w:rsid w:val="00E02C8A"/>
    <w:rsid w:val="00E8762C"/>
    <w:rsid w:val="00EA58B9"/>
    <w:rsid w:val="00F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D67F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67F5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4D67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7F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207E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07EED"/>
    <w:rPr>
      <w:rFonts w:ascii="Dutch TL" w:eastAsia="Times New Roman" w:hAnsi="Dutch TL" w:cs="Times New Roman"/>
      <w:sz w:val="24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207E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07EED"/>
    <w:rPr>
      <w:rFonts w:ascii="Dutch TL" w:eastAsia="Times New Roman" w:hAnsi="Dutch TL" w:cs="Times New Roman"/>
      <w:sz w:val="24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274CB5"/>
    <w:rPr>
      <w:strike w:val="0"/>
      <w:dstrike w:val="0"/>
      <w:color w:val="3399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ra.Locmele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1DB8-1DDE-41BC-8C23-6E3EAE6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1133</Words>
  <Characters>646</Characters>
  <Application>Microsoft Office Word</Application>
  <DocSecurity>0</DocSecurity>
  <Lines>5</Lines>
  <Paragraphs>3</Paragraphs>
  <ScaleCrop>false</ScaleCrop>
  <Company>LR Kultūras Ministrija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Nr.4 Ministru kabineta noteikumu projektam „Noteikumi par Eiropas Trešo valstu valstspiederīgo integrācijas fonda 2010.gada programmas aktivitāšu īstenošanu” </dc:title>
  <dc:subject>4.pielikums</dc:subject>
  <dc:creator>Agnese Jēkabsone</dc:creator>
  <dc:description> 67330314,  agnese.jekabsone@km.gov.lv</dc:description>
  <cp:lastModifiedBy>Evija Nikolajeva</cp:lastModifiedBy>
  <cp:revision>18</cp:revision>
  <cp:lastPrinted>2011-11-17T12:14:00Z</cp:lastPrinted>
  <dcterms:created xsi:type="dcterms:W3CDTF">2011-09-22T06:46:00Z</dcterms:created>
  <dcterms:modified xsi:type="dcterms:W3CDTF">2011-11-29T13:08:00Z</dcterms:modified>
</cp:coreProperties>
</file>