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Default="00150436" w:rsidP="004B3ED0">
      <w:pPr>
        <w:pStyle w:val="naislab"/>
        <w:spacing w:before="0" w:after="0"/>
        <w:jc w:val="center"/>
        <w:outlineLvl w:val="0"/>
        <w:rPr>
          <w:b/>
          <w:sz w:val="28"/>
          <w:szCs w:val="28"/>
        </w:rPr>
      </w:pPr>
      <w:r w:rsidRPr="005006BE">
        <w:rPr>
          <w:b/>
          <w:sz w:val="28"/>
          <w:szCs w:val="28"/>
        </w:rPr>
        <w:t>Likum</w:t>
      </w:r>
      <w:r w:rsidR="00852042" w:rsidRPr="005006BE">
        <w:rPr>
          <w:b/>
          <w:sz w:val="28"/>
          <w:szCs w:val="28"/>
        </w:rPr>
        <w:t xml:space="preserve">projekta </w:t>
      </w:r>
      <w:r w:rsidRPr="005006BE">
        <w:rPr>
          <w:b/>
          <w:sz w:val="28"/>
          <w:szCs w:val="28"/>
        </w:rPr>
        <w:t>„Grozījum</w:t>
      </w:r>
      <w:r w:rsidR="000F6DEC">
        <w:rPr>
          <w:b/>
          <w:sz w:val="28"/>
          <w:szCs w:val="28"/>
        </w:rPr>
        <w:t>i</w:t>
      </w:r>
      <w:r w:rsidRPr="005006BE">
        <w:rPr>
          <w:b/>
          <w:sz w:val="28"/>
          <w:szCs w:val="28"/>
        </w:rPr>
        <w:t xml:space="preserve"> Latvijas Nacionālās bibliotēkas projekta īstenošanas likumā”</w:t>
      </w:r>
      <w:r w:rsidR="005006BE">
        <w:rPr>
          <w:b/>
          <w:sz w:val="28"/>
          <w:szCs w:val="28"/>
        </w:rPr>
        <w:t xml:space="preserve"> </w:t>
      </w:r>
      <w:r w:rsidR="00852042" w:rsidRPr="005006BE">
        <w:rPr>
          <w:b/>
          <w:sz w:val="28"/>
          <w:szCs w:val="28"/>
        </w:rPr>
        <w:t>sākotnējā</w:t>
      </w:r>
      <w:r w:rsidR="002D3306" w:rsidRPr="005006BE">
        <w:rPr>
          <w:b/>
          <w:sz w:val="28"/>
          <w:szCs w:val="28"/>
        </w:rPr>
        <w:t>s</w:t>
      </w:r>
      <w:r w:rsidR="00852042" w:rsidRPr="005006BE">
        <w:rPr>
          <w:b/>
          <w:sz w:val="28"/>
          <w:szCs w:val="28"/>
        </w:rPr>
        <w:t xml:space="preserve"> ietekmes novērtējum</w:t>
      </w:r>
      <w:r w:rsidRPr="005006BE">
        <w:rPr>
          <w:b/>
          <w:sz w:val="28"/>
          <w:szCs w:val="28"/>
        </w:rPr>
        <w:t>s</w:t>
      </w:r>
      <w:r w:rsidR="00852042" w:rsidRPr="005006BE">
        <w:rPr>
          <w:b/>
          <w:sz w:val="28"/>
          <w:szCs w:val="28"/>
        </w:rPr>
        <w:t xml:space="preserve"> (anotācija)</w:t>
      </w:r>
    </w:p>
    <w:p w:rsidR="005006BE" w:rsidRPr="005006BE" w:rsidRDefault="005006BE" w:rsidP="005006BE">
      <w:pPr>
        <w:pStyle w:val="naislab"/>
        <w:spacing w:before="0" w:after="0"/>
        <w:jc w:val="center"/>
        <w:outlineLvl w:val="0"/>
        <w:rPr>
          <w:b/>
          <w:sz w:val="28"/>
          <w:szCs w:val="28"/>
        </w:rPr>
      </w:pPr>
    </w:p>
    <w:tbl>
      <w:tblPr>
        <w:tblpPr w:leftFromText="180" w:rightFromText="180" w:vertAnchor="text" w:horzAnchor="margin" w:tblpXSpec="center" w:tblpY="149"/>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3038"/>
        <w:gridCol w:w="5955"/>
      </w:tblGrid>
      <w:tr w:rsidR="00852042" w:rsidRPr="00D266EE" w:rsidTr="002E7BD7">
        <w:trPr>
          <w:trHeight w:val="416"/>
        </w:trPr>
        <w:tc>
          <w:tcPr>
            <w:tcW w:w="5000" w:type="pct"/>
            <w:gridSpan w:val="3"/>
            <w:vAlign w:val="center"/>
          </w:tcPr>
          <w:p w:rsidR="00852042" w:rsidRPr="00D266EE" w:rsidRDefault="00852042" w:rsidP="006C4607">
            <w:pPr>
              <w:pStyle w:val="naisnod"/>
              <w:spacing w:before="0" w:after="0"/>
              <w:rPr>
                <w:sz w:val="28"/>
                <w:szCs w:val="28"/>
              </w:rPr>
            </w:pPr>
            <w:r w:rsidRPr="00D266EE">
              <w:rPr>
                <w:sz w:val="28"/>
                <w:szCs w:val="28"/>
              </w:rPr>
              <w:t>I</w:t>
            </w:r>
            <w:r w:rsidR="000941C5" w:rsidRPr="00D266EE">
              <w:rPr>
                <w:sz w:val="28"/>
                <w:szCs w:val="28"/>
              </w:rPr>
              <w:t>.</w:t>
            </w:r>
            <w:r w:rsidRPr="00D266EE">
              <w:rPr>
                <w:sz w:val="28"/>
                <w:szCs w:val="28"/>
              </w:rPr>
              <w:t xml:space="preserve"> Tiesību akta </w:t>
            </w:r>
            <w:r w:rsidR="002E3FF4" w:rsidRPr="00D266EE">
              <w:rPr>
                <w:sz w:val="28"/>
                <w:szCs w:val="28"/>
              </w:rPr>
              <w:t xml:space="preserve">projekta </w:t>
            </w:r>
            <w:r w:rsidRPr="00D266EE">
              <w:rPr>
                <w:sz w:val="28"/>
                <w:szCs w:val="28"/>
              </w:rPr>
              <w:t>izstrādes nepieciešamība</w:t>
            </w:r>
          </w:p>
        </w:tc>
      </w:tr>
      <w:tr w:rsidR="00262E2B" w:rsidRPr="00D266EE" w:rsidTr="002E7BD7">
        <w:trPr>
          <w:trHeight w:val="2131"/>
        </w:trPr>
        <w:tc>
          <w:tcPr>
            <w:tcW w:w="338" w:type="pct"/>
          </w:tcPr>
          <w:p w:rsidR="00262E2B" w:rsidRPr="00D266EE" w:rsidRDefault="00262E2B" w:rsidP="006C4607">
            <w:pPr>
              <w:pStyle w:val="naiskr"/>
              <w:spacing w:before="0" w:after="0"/>
              <w:rPr>
                <w:sz w:val="28"/>
                <w:szCs w:val="28"/>
              </w:rPr>
            </w:pPr>
            <w:r w:rsidRPr="00D266EE">
              <w:rPr>
                <w:sz w:val="28"/>
                <w:szCs w:val="28"/>
              </w:rPr>
              <w:t>1.</w:t>
            </w:r>
          </w:p>
        </w:tc>
        <w:tc>
          <w:tcPr>
            <w:tcW w:w="1575" w:type="pct"/>
          </w:tcPr>
          <w:p w:rsidR="00262E2B" w:rsidRPr="00D266EE" w:rsidRDefault="002D7F54" w:rsidP="006C4607">
            <w:pPr>
              <w:pStyle w:val="naiskr"/>
              <w:spacing w:before="0" w:after="0"/>
              <w:ind w:hanging="10"/>
              <w:rPr>
                <w:sz w:val="28"/>
                <w:szCs w:val="28"/>
              </w:rPr>
            </w:pPr>
            <w:r w:rsidRPr="00D266EE">
              <w:rPr>
                <w:sz w:val="28"/>
                <w:szCs w:val="28"/>
              </w:rPr>
              <w:t>Pamatojums</w:t>
            </w:r>
          </w:p>
        </w:tc>
        <w:tc>
          <w:tcPr>
            <w:tcW w:w="3087" w:type="pct"/>
          </w:tcPr>
          <w:p w:rsidR="00262E2B" w:rsidRPr="00D266EE" w:rsidRDefault="005006BE" w:rsidP="00A2123D">
            <w:pPr>
              <w:pStyle w:val="naiskr"/>
              <w:spacing w:before="0" w:after="0"/>
              <w:ind w:left="133" w:right="145" w:firstLine="567"/>
              <w:jc w:val="both"/>
              <w:rPr>
                <w:sz w:val="28"/>
                <w:szCs w:val="28"/>
              </w:rPr>
            </w:pPr>
            <w:r w:rsidRPr="00D266EE">
              <w:rPr>
                <w:sz w:val="28"/>
                <w:szCs w:val="28"/>
              </w:rPr>
              <w:t>Likumprojekts „Grozījum</w:t>
            </w:r>
            <w:r w:rsidR="002E7BD7">
              <w:rPr>
                <w:sz w:val="28"/>
                <w:szCs w:val="28"/>
              </w:rPr>
              <w:t>i</w:t>
            </w:r>
            <w:r w:rsidRPr="00D266EE">
              <w:rPr>
                <w:sz w:val="28"/>
                <w:szCs w:val="28"/>
              </w:rPr>
              <w:t xml:space="preserve"> Latvijas Nacionālās bibliotēkas projekta īstenošanas likumā” (turpmāk – likumprojekts) izstrādāts, pamatojoties uz </w:t>
            </w:r>
            <w:r w:rsidR="0069568A" w:rsidRPr="00D266EE">
              <w:rPr>
                <w:sz w:val="28"/>
                <w:szCs w:val="28"/>
              </w:rPr>
              <w:t>Latvijas Nacionālās bibliotēkas (turpmāk – LNB) projekta īsten</w:t>
            </w:r>
            <w:r w:rsidRPr="00D266EE">
              <w:rPr>
                <w:sz w:val="28"/>
                <w:szCs w:val="28"/>
              </w:rPr>
              <w:t>ošanas uzraudzības padomes 201</w:t>
            </w:r>
            <w:r w:rsidR="00A2123D" w:rsidRPr="00D266EE">
              <w:rPr>
                <w:sz w:val="28"/>
                <w:szCs w:val="28"/>
              </w:rPr>
              <w:t>3</w:t>
            </w:r>
            <w:r w:rsidRPr="00D266EE">
              <w:rPr>
                <w:sz w:val="28"/>
                <w:szCs w:val="28"/>
              </w:rPr>
              <w:t>.</w:t>
            </w:r>
            <w:r w:rsidR="00A2123D" w:rsidRPr="00D266EE">
              <w:rPr>
                <w:sz w:val="28"/>
                <w:szCs w:val="28"/>
              </w:rPr>
              <w:t xml:space="preserve"> </w:t>
            </w:r>
            <w:r w:rsidR="0069568A" w:rsidRPr="00D266EE">
              <w:rPr>
                <w:sz w:val="28"/>
                <w:szCs w:val="28"/>
              </w:rPr>
              <w:t xml:space="preserve">gada </w:t>
            </w:r>
            <w:r w:rsidR="00A2123D" w:rsidRPr="00BC34BF">
              <w:rPr>
                <w:sz w:val="28"/>
                <w:szCs w:val="28"/>
              </w:rPr>
              <w:t>8</w:t>
            </w:r>
            <w:r w:rsidR="0069568A" w:rsidRPr="00D266EE">
              <w:rPr>
                <w:sz w:val="28"/>
                <w:szCs w:val="28"/>
              </w:rPr>
              <w:t>.</w:t>
            </w:r>
            <w:r w:rsidR="00A2123D" w:rsidRPr="00D266EE">
              <w:rPr>
                <w:sz w:val="28"/>
                <w:szCs w:val="28"/>
              </w:rPr>
              <w:t xml:space="preserve"> </w:t>
            </w:r>
            <w:r w:rsidR="0069568A" w:rsidRPr="00D266EE">
              <w:rPr>
                <w:sz w:val="28"/>
                <w:szCs w:val="28"/>
              </w:rPr>
              <w:t xml:space="preserve">maija sēdē </w:t>
            </w:r>
            <w:r w:rsidRPr="00D266EE">
              <w:rPr>
                <w:sz w:val="28"/>
                <w:szCs w:val="28"/>
              </w:rPr>
              <w:t>atbalstīto</w:t>
            </w:r>
            <w:r w:rsidR="0069568A" w:rsidRPr="00D266EE">
              <w:rPr>
                <w:sz w:val="28"/>
                <w:szCs w:val="28"/>
              </w:rPr>
              <w:t xml:space="preserve"> Kultūras ministrijas ierosinājumu veikt grozījumus </w:t>
            </w:r>
            <w:r w:rsidRPr="00D266EE">
              <w:rPr>
                <w:sz w:val="28"/>
                <w:szCs w:val="28"/>
              </w:rPr>
              <w:t>Latvijas Nacionālās bibliotēkas</w:t>
            </w:r>
            <w:r w:rsidR="0069568A" w:rsidRPr="00D266EE">
              <w:rPr>
                <w:sz w:val="28"/>
                <w:szCs w:val="28"/>
              </w:rPr>
              <w:t xml:space="preserve"> projekta īstenošanas likumā</w:t>
            </w:r>
            <w:r w:rsidR="00A2123D" w:rsidRPr="00D266EE">
              <w:rPr>
                <w:sz w:val="28"/>
                <w:szCs w:val="28"/>
              </w:rPr>
              <w:t xml:space="preserve"> attiecībā uz LNB projekta īstenošanas termiņa regulējumu</w:t>
            </w:r>
            <w:r w:rsidR="0069568A" w:rsidRPr="00D266EE">
              <w:rPr>
                <w:sz w:val="28"/>
                <w:szCs w:val="28"/>
              </w:rPr>
              <w:t>.</w:t>
            </w:r>
          </w:p>
        </w:tc>
      </w:tr>
      <w:tr w:rsidR="00262E2B" w:rsidRPr="00D266EE" w:rsidTr="002E7BD7">
        <w:trPr>
          <w:trHeight w:val="472"/>
        </w:trPr>
        <w:tc>
          <w:tcPr>
            <w:tcW w:w="338" w:type="pct"/>
          </w:tcPr>
          <w:p w:rsidR="00262E2B" w:rsidRPr="00D266EE" w:rsidRDefault="00262E2B" w:rsidP="006C4607">
            <w:pPr>
              <w:pStyle w:val="naiskr"/>
              <w:spacing w:before="0" w:after="0"/>
              <w:rPr>
                <w:sz w:val="28"/>
                <w:szCs w:val="28"/>
              </w:rPr>
            </w:pPr>
            <w:r w:rsidRPr="00D266EE">
              <w:rPr>
                <w:sz w:val="28"/>
                <w:szCs w:val="28"/>
              </w:rPr>
              <w:t>2.</w:t>
            </w:r>
          </w:p>
        </w:tc>
        <w:tc>
          <w:tcPr>
            <w:tcW w:w="1575" w:type="pct"/>
          </w:tcPr>
          <w:p w:rsidR="00262E2B" w:rsidRPr="00D266EE" w:rsidRDefault="00262E2B" w:rsidP="006C4607">
            <w:pPr>
              <w:pStyle w:val="naiskr"/>
              <w:tabs>
                <w:tab w:val="left" w:pos="170"/>
              </w:tabs>
              <w:spacing w:before="0" w:after="0"/>
              <w:rPr>
                <w:sz w:val="28"/>
                <w:szCs w:val="28"/>
              </w:rPr>
            </w:pPr>
            <w:r w:rsidRPr="00D266EE">
              <w:rPr>
                <w:sz w:val="28"/>
                <w:szCs w:val="28"/>
              </w:rPr>
              <w:t>Pašreizējā situācija</w:t>
            </w:r>
            <w:r w:rsidR="001F5CD6" w:rsidRPr="00D266EE">
              <w:rPr>
                <w:sz w:val="28"/>
                <w:szCs w:val="28"/>
              </w:rPr>
              <w:t xml:space="preserve"> un problēmas</w:t>
            </w:r>
          </w:p>
        </w:tc>
        <w:tc>
          <w:tcPr>
            <w:tcW w:w="3087" w:type="pct"/>
          </w:tcPr>
          <w:p w:rsidR="00A85811" w:rsidRDefault="00D61CAD" w:rsidP="00D61CAD">
            <w:pPr>
              <w:ind w:left="176" w:right="141" w:firstLine="567"/>
              <w:jc w:val="both"/>
              <w:rPr>
                <w:sz w:val="28"/>
                <w:szCs w:val="28"/>
              </w:rPr>
            </w:pPr>
            <w:r w:rsidRPr="00D266EE">
              <w:rPr>
                <w:sz w:val="28"/>
                <w:szCs w:val="28"/>
              </w:rPr>
              <w:t xml:space="preserve">Latvijas Nacionālās bibliotēkas projekta īstenošanas likuma 1. pantā ir noteikts, ka LNB projekts īstenojams līdz 2013. gada 31. decembrim saskaņā ar LNB projekta īstenošanas </w:t>
            </w:r>
            <w:r w:rsidR="002E7BD7">
              <w:rPr>
                <w:sz w:val="28"/>
                <w:szCs w:val="28"/>
              </w:rPr>
              <w:t>U</w:t>
            </w:r>
            <w:r w:rsidRPr="00D266EE">
              <w:rPr>
                <w:sz w:val="28"/>
                <w:szCs w:val="28"/>
              </w:rPr>
              <w:t xml:space="preserve">zraudzības padomes apstiprinātu projekta īstenošanas darbu un to finansējuma plānu un grafiku. </w:t>
            </w:r>
          </w:p>
          <w:p w:rsidR="00D61CAD" w:rsidRPr="00D266EE" w:rsidRDefault="00D61CAD" w:rsidP="00D61CAD">
            <w:pPr>
              <w:ind w:left="176" w:right="141" w:firstLine="567"/>
              <w:jc w:val="both"/>
              <w:rPr>
                <w:sz w:val="28"/>
                <w:szCs w:val="28"/>
              </w:rPr>
            </w:pPr>
            <w:r w:rsidRPr="00D266EE">
              <w:rPr>
                <w:sz w:val="28"/>
                <w:szCs w:val="28"/>
              </w:rPr>
              <w:t>LNB projekts būs pabeigts un tā mērķis sasniegts, kad LNB būs uzsākusi pilnvērtīgu darbību jaunajā ēkā un tiks izpildītas projekta īstenošanai uzņemtās saistības.</w:t>
            </w:r>
          </w:p>
          <w:p w:rsidR="00D61CAD" w:rsidRPr="00D266EE" w:rsidRDefault="00D61CAD" w:rsidP="00D61CAD">
            <w:pPr>
              <w:ind w:left="176" w:right="141"/>
              <w:jc w:val="both"/>
              <w:rPr>
                <w:sz w:val="28"/>
                <w:szCs w:val="28"/>
              </w:rPr>
            </w:pPr>
            <w:r w:rsidRPr="00D266EE">
              <w:rPr>
                <w:sz w:val="28"/>
                <w:szCs w:val="28"/>
              </w:rPr>
              <w:tab/>
              <w:t xml:space="preserve">LNB projekta pabeigšanai nepieciešamās aktivitātes: </w:t>
            </w:r>
          </w:p>
          <w:p w:rsidR="00D61CAD" w:rsidRPr="00D266EE" w:rsidRDefault="00D61CAD" w:rsidP="00D61CAD">
            <w:pPr>
              <w:ind w:left="176" w:right="141"/>
              <w:jc w:val="both"/>
              <w:rPr>
                <w:sz w:val="28"/>
                <w:szCs w:val="28"/>
              </w:rPr>
            </w:pPr>
            <w:r w:rsidRPr="00D266EE">
              <w:rPr>
                <w:sz w:val="28"/>
                <w:szCs w:val="28"/>
              </w:rPr>
              <w:t>1) LNB ēkas būvdarbu pabeigšana un nodošana ekspluatācijā,</w:t>
            </w:r>
          </w:p>
          <w:p w:rsidR="00D61CAD" w:rsidRPr="00D266EE" w:rsidRDefault="00D61CAD" w:rsidP="00D61CAD">
            <w:pPr>
              <w:ind w:left="176" w:right="141"/>
              <w:jc w:val="both"/>
              <w:rPr>
                <w:sz w:val="28"/>
                <w:szCs w:val="28"/>
              </w:rPr>
            </w:pPr>
            <w:r w:rsidRPr="00D266EE">
              <w:rPr>
                <w:sz w:val="28"/>
                <w:szCs w:val="28"/>
              </w:rPr>
              <w:t>2) LNB infrastruktūras 1. kārtas objektu būvdarbu pabeigšana un nodošana ekspluatācijā,</w:t>
            </w:r>
          </w:p>
          <w:p w:rsidR="00D61CAD" w:rsidRPr="00D266EE" w:rsidRDefault="00D61CAD" w:rsidP="00D61CAD">
            <w:pPr>
              <w:ind w:left="176" w:right="141"/>
              <w:jc w:val="both"/>
              <w:rPr>
                <w:sz w:val="28"/>
                <w:szCs w:val="28"/>
              </w:rPr>
            </w:pPr>
            <w:r w:rsidRPr="00D266EE">
              <w:rPr>
                <w:sz w:val="28"/>
                <w:szCs w:val="28"/>
              </w:rPr>
              <w:t>3) LNB aprīkošana ar mēbelēm un iekārtām,</w:t>
            </w:r>
          </w:p>
          <w:p w:rsidR="00D61CAD" w:rsidRPr="00D266EE" w:rsidRDefault="00D61CAD" w:rsidP="00D61CAD">
            <w:pPr>
              <w:ind w:left="176" w:right="141"/>
              <w:jc w:val="both"/>
              <w:rPr>
                <w:sz w:val="28"/>
                <w:szCs w:val="28"/>
              </w:rPr>
            </w:pPr>
            <w:r w:rsidRPr="00D266EE">
              <w:rPr>
                <w:sz w:val="28"/>
                <w:szCs w:val="28"/>
              </w:rPr>
              <w:t>4) LNB pārcelšanās uz jauno LNB ēku un grāmatu krājuma pārvietošana.</w:t>
            </w:r>
          </w:p>
          <w:p w:rsidR="00D61CAD" w:rsidRPr="00D266EE" w:rsidRDefault="00D61CAD" w:rsidP="00D61CAD">
            <w:pPr>
              <w:ind w:left="176" w:right="141"/>
              <w:jc w:val="both"/>
              <w:rPr>
                <w:b/>
                <w:sz w:val="28"/>
                <w:szCs w:val="28"/>
              </w:rPr>
            </w:pPr>
          </w:p>
          <w:p w:rsidR="00D61CAD" w:rsidRPr="008D2D28" w:rsidRDefault="00D61CAD" w:rsidP="00D61CAD">
            <w:pPr>
              <w:ind w:left="176" w:right="141"/>
              <w:jc w:val="both"/>
              <w:rPr>
                <w:i/>
                <w:sz w:val="28"/>
                <w:szCs w:val="28"/>
                <w:u w:val="single"/>
              </w:rPr>
            </w:pPr>
            <w:r w:rsidRPr="008D2D28">
              <w:rPr>
                <w:i/>
                <w:sz w:val="28"/>
                <w:szCs w:val="28"/>
                <w:u w:val="single"/>
              </w:rPr>
              <w:t>LNB ēkas būvdarbi</w:t>
            </w:r>
          </w:p>
          <w:p w:rsidR="00D61CAD" w:rsidRPr="00D266EE" w:rsidRDefault="00D61CAD" w:rsidP="00D61CAD">
            <w:pPr>
              <w:ind w:left="176" w:right="141" w:firstLine="567"/>
              <w:jc w:val="both"/>
              <w:rPr>
                <w:sz w:val="28"/>
                <w:szCs w:val="28"/>
              </w:rPr>
            </w:pPr>
            <w:r w:rsidRPr="00D266EE">
              <w:rPr>
                <w:sz w:val="28"/>
                <w:szCs w:val="28"/>
              </w:rPr>
              <w:t xml:space="preserve">Pašlaik ir izpildīti 92 % no LNB ēkas būvdarbu apjoma. Turpinās LNB ēkas iekšējās apdares darbi, jumta tērauda paneļu uzstādīšana. Atsevišķas LNB ēkas zonas, piemēram, grāmatu krātuvju zona, LNB darbinieku darba zonas un lasītavu zonas, ir gandrīz pabeigtas. Nav pabeigti darbi, kuru izpildi nācās apturēt, jo nebija veikti ar tiem saistītie LNB infrastruktūras 1. kārtas </w:t>
            </w:r>
            <w:r w:rsidRPr="00D266EE">
              <w:rPr>
                <w:sz w:val="28"/>
                <w:szCs w:val="28"/>
              </w:rPr>
              <w:lastRenderedPageBreak/>
              <w:t xml:space="preserve">būvdarbi (piemēram, bija jāaptur daļa no koka apdares darbiem), kā arī virtuves zonas un lielās konferenču zāles izbūve, kuras projekts bija jāpiemēro Latvijas prezidentūras ES Padomē 2015. gadā pasākumu vajadzībām. LNB ēkas būvdarbi, izņemot apkārtējās teritorijas labiekārtošanas un apzaļumošanas darbus, tiks pabeigti līdz 2013. gada 20. decembrim. </w:t>
            </w:r>
          </w:p>
          <w:p w:rsidR="00D61CAD" w:rsidRPr="00D266EE" w:rsidRDefault="00D61CAD" w:rsidP="00A85811">
            <w:pPr>
              <w:ind w:left="176" w:right="141" w:firstLine="567"/>
              <w:jc w:val="both"/>
              <w:rPr>
                <w:iCs/>
                <w:sz w:val="28"/>
                <w:szCs w:val="28"/>
              </w:rPr>
            </w:pPr>
            <w:r w:rsidRPr="00D266EE">
              <w:rPr>
                <w:sz w:val="28"/>
                <w:szCs w:val="28"/>
              </w:rPr>
              <w:t xml:space="preserve">Pēc LNB ēkas būvdarbu pabeigšanas tiks uzsākta LNB ēkas nodošana ekspluatācijā. Savukārt atliktie labiekārtošanas un apzaļumošanas darbi tiks veikti minētajiem darbiem labvēlīgā sezonā, saskaņā ar </w:t>
            </w:r>
            <w:r w:rsidRPr="00D266EE">
              <w:rPr>
                <w:bCs/>
                <w:sz w:val="28"/>
                <w:szCs w:val="28"/>
              </w:rPr>
              <w:t xml:space="preserve">Ministru kabineta </w:t>
            </w:r>
            <w:r w:rsidRPr="00D266EE">
              <w:rPr>
                <w:sz w:val="28"/>
                <w:szCs w:val="28"/>
              </w:rPr>
              <w:t xml:space="preserve">2004.gada 13. aprīļa </w:t>
            </w:r>
            <w:r w:rsidRPr="00D266EE">
              <w:rPr>
                <w:bCs/>
                <w:sz w:val="28"/>
                <w:szCs w:val="28"/>
              </w:rPr>
              <w:t>noteikumu Nr. 299 „</w:t>
            </w:r>
            <w:r w:rsidRPr="00D266EE">
              <w:rPr>
                <w:sz w:val="28"/>
                <w:szCs w:val="28"/>
              </w:rPr>
              <w:t>Noteikumi par būvju pieņemšanu ekspluatācijā</w:t>
            </w:r>
            <w:r w:rsidRPr="00D266EE">
              <w:rPr>
                <w:bCs/>
                <w:sz w:val="28"/>
                <w:szCs w:val="28"/>
              </w:rPr>
              <w:t>” 24. un 25. punktu.</w:t>
            </w:r>
          </w:p>
          <w:p w:rsidR="00D61CAD" w:rsidRPr="00D266EE" w:rsidRDefault="00D61CAD" w:rsidP="00D61CAD">
            <w:pPr>
              <w:jc w:val="both"/>
              <w:rPr>
                <w:sz w:val="28"/>
                <w:szCs w:val="28"/>
              </w:rPr>
            </w:pPr>
          </w:p>
          <w:p w:rsidR="00D61CAD" w:rsidRPr="008D2D28" w:rsidRDefault="00D61CAD" w:rsidP="00D61CAD">
            <w:pPr>
              <w:ind w:left="176"/>
              <w:jc w:val="both"/>
              <w:rPr>
                <w:i/>
                <w:sz w:val="28"/>
                <w:szCs w:val="28"/>
                <w:u w:val="single"/>
              </w:rPr>
            </w:pPr>
            <w:r w:rsidRPr="008D2D28">
              <w:rPr>
                <w:i/>
                <w:sz w:val="28"/>
                <w:szCs w:val="28"/>
                <w:u w:val="single"/>
              </w:rPr>
              <w:t>LNB infrastruktūras 1. kārtas objektu būvdarbi</w:t>
            </w:r>
          </w:p>
          <w:p w:rsidR="00D61CAD" w:rsidRPr="00D266EE" w:rsidRDefault="00D61CAD" w:rsidP="00D266EE">
            <w:pPr>
              <w:ind w:left="176" w:right="141" w:firstLine="567"/>
              <w:jc w:val="both"/>
              <w:rPr>
                <w:sz w:val="28"/>
                <w:szCs w:val="28"/>
              </w:rPr>
            </w:pPr>
            <w:r w:rsidRPr="00D266EE">
              <w:rPr>
                <w:sz w:val="28"/>
                <w:szCs w:val="28"/>
              </w:rPr>
              <w:t>LNB infrastruktūras objektu 1. kārta būvdarbu apjomā ir ietverti darbi, kas ir nepieciešami, lai nodrošinātu LNB ēkas darbību, ārējo inženiertehnisko tīklu rekonstrukcija un pieslēgumu izbūve, tehniskās ēkas daļas, kurā izvietota mikroklimata iekārtas (</w:t>
            </w:r>
            <w:proofErr w:type="spellStart"/>
            <w:r w:rsidRPr="00D266EE">
              <w:rPr>
                <w:sz w:val="28"/>
                <w:szCs w:val="28"/>
              </w:rPr>
              <w:t>aukstumapgāde</w:t>
            </w:r>
            <w:proofErr w:type="spellEnd"/>
            <w:r w:rsidRPr="00D266EE">
              <w:rPr>
                <w:sz w:val="28"/>
                <w:szCs w:val="28"/>
              </w:rPr>
              <w:t xml:space="preserve">) un datu centrs, izbūve. </w:t>
            </w:r>
          </w:p>
          <w:p w:rsidR="00D61CAD" w:rsidRPr="00D266EE" w:rsidRDefault="00D61CAD" w:rsidP="00D266EE">
            <w:pPr>
              <w:ind w:left="176" w:right="141" w:firstLine="567"/>
              <w:jc w:val="both"/>
              <w:rPr>
                <w:sz w:val="28"/>
                <w:szCs w:val="28"/>
              </w:rPr>
            </w:pPr>
            <w:r w:rsidRPr="00D266EE">
              <w:rPr>
                <w:sz w:val="28"/>
                <w:szCs w:val="28"/>
              </w:rPr>
              <w:t>Būvdarbu līgums par LNB infrastruktūras objektu 1. kārtas būvdarbiem tika noslēgts 2013. gada 28. martā.</w:t>
            </w:r>
          </w:p>
          <w:p w:rsidR="00D61CAD" w:rsidRPr="00D266EE" w:rsidRDefault="00D61CAD" w:rsidP="00D266EE">
            <w:pPr>
              <w:ind w:left="176" w:right="141" w:firstLine="567"/>
              <w:jc w:val="both"/>
              <w:rPr>
                <w:sz w:val="28"/>
                <w:szCs w:val="28"/>
              </w:rPr>
            </w:pPr>
            <w:r w:rsidRPr="00D266EE">
              <w:rPr>
                <w:sz w:val="28"/>
                <w:szCs w:val="28"/>
              </w:rPr>
              <w:t>Saskaņā ar būvdarbu līguma izpildes grafiku LNB infrastruktūras 1. kārtas būvdarbi (izņemot atsevišķus apkārtējās teritorijas labiekārtošanas un apzaļumošanas darbus un tehniskās ēkas iekšējās apdares darbus) tiks pabeigti līdz 2013. gada 20. decembrim, nodrošinot LNB ēkas darbību.</w:t>
            </w:r>
          </w:p>
          <w:p w:rsidR="00D61CAD" w:rsidRPr="00D266EE" w:rsidRDefault="00D61CAD" w:rsidP="00D61CAD">
            <w:pPr>
              <w:jc w:val="both"/>
              <w:rPr>
                <w:sz w:val="28"/>
                <w:szCs w:val="28"/>
              </w:rPr>
            </w:pPr>
          </w:p>
          <w:p w:rsidR="00D61CAD" w:rsidRPr="008D2D28" w:rsidRDefault="00D61CAD" w:rsidP="00D266EE">
            <w:pPr>
              <w:ind w:left="176" w:right="141"/>
              <w:jc w:val="both"/>
              <w:rPr>
                <w:i/>
                <w:sz w:val="28"/>
                <w:szCs w:val="28"/>
                <w:u w:val="single"/>
              </w:rPr>
            </w:pPr>
            <w:r w:rsidRPr="008D2D28">
              <w:rPr>
                <w:i/>
                <w:sz w:val="28"/>
                <w:szCs w:val="28"/>
                <w:u w:val="single"/>
              </w:rPr>
              <w:t>LNB aprīkošana ar mēbelēm un iekārtām</w:t>
            </w:r>
          </w:p>
          <w:p w:rsidR="00D61CAD" w:rsidRPr="00D266EE" w:rsidRDefault="00D61CAD" w:rsidP="00D266EE">
            <w:pPr>
              <w:ind w:left="176" w:right="141" w:firstLine="720"/>
              <w:jc w:val="both"/>
              <w:rPr>
                <w:sz w:val="28"/>
                <w:szCs w:val="28"/>
                <w:highlight w:val="yellow"/>
              </w:rPr>
            </w:pPr>
            <w:r w:rsidRPr="00D266EE">
              <w:rPr>
                <w:sz w:val="28"/>
                <w:szCs w:val="28"/>
              </w:rPr>
              <w:t>Pašlaik turpinās krātuvju plauktu uzstādīšana LNB jaunajā ēkā, kas tiks pabeigta 2013. gada maijā.</w:t>
            </w:r>
            <w:r w:rsidRPr="00D266EE">
              <w:rPr>
                <w:sz w:val="28"/>
                <w:szCs w:val="28"/>
                <w:highlight w:val="yellow"/>
              </w:rPr>
              <w:t xml:space="preserve"> </w:t>
            </w:r>
          </w:p>
          <w:p w:rsidR="00D61CAD" w:rsidRPr="00D266EE" w:rsidRDefault="00D61CAD" w:rsidP="00D266EE">
            <w:pPr>
              <w:ind w:left="176" w:right="141" w:firstLine="720"/>
              <w:jc w:val="both"/>
              <w:rPr>
                <w:sz w:val="28"/>
                <w:szCs w:val="28"/>
              </w:rPr>
            </w:pPr>
            <w:r w:rsidRPr="00D266EE">
              <w:rPr>
                <w:sz w:val="28"/>
                <w:szCs w:val="28"/>
              </w:rPr>
              <w:t xml:space="preserve">2013. gada 6. martā tika atvērti Kultūras ministrijas rīkotā atklātā konkursa „Latvijas Nacionālās bibliotēkas apsardzes signalizācijas, piekļuves kontroles, videonovērošanas, </w:t>
            </w:r>
            <w:r w:rsidRPr="00D266EE">
              <w:rPr>
                <w:sz w:val="28"/>
                <w:szCs w:val="28"/>
              </w:rPr>
              <w:lastRenderedPageBreak/>
              <w:t>audiovizuālās un telekomunikāciju sistēmas ierīkošana” (iepirkuma identifikācijas Nr. KM/2012/13) ietvaros iesniegtie piedāvājumi</w:t>
            </w:r>
            <w:r w:rsidR="00A85811">
              <w:rPr>
                <w:sz w:val="28"/>
                <w:szCs w:val="28"/>
              </w:rPr>
              <w:t>. P</w:t>
            </w:r>
            <w:r w:rsidRPr="00D266EE">
              <w:rPr>
                <w:sz w:val="28"/>
                <w:szCs w:val="28"/>
              </w:rPr>
              <w:t xml:space="preserve">ašlaik turpinās iesniegto piedāvājumu izvērtēšana. </w:t>
            </w:r>
          </w:p>
          <w:p w:rsidR="00D61CAD" w:rsidRPr="00D266EE" w:rsidRDefault="00D61CAD" w:rsidP="00D266EE">
            <w:pPr>
              <w:ind w:left="176" w:right="141" w:firstLine="720"/>
              <w:jc w:val="both"/>
              <w:rPr>
                <w:sz w:val="28"/>
                <w:szCs w:val="28"/>
              </w:rPr>
            </w:pPr>
            <w:r w:rsidRPr="00D266EE">
              <w:rPr>
                <w:sz w:val="28"/>
                <w:szCs w:val="28"/>
              </w:rPr>
              <w:t>Kultūras ministrija ir izveidojusi darba grupu, kurā iekļauti arī LNB pārstāvji, mēbeļu (lasītavu mēbeļu, brīvpieejas grāmatu plauktu, speciālo mēbeļu, darbinieku darba staciju mēbeļu, konferenču zāles krēslu, virtuves mēbeļu un tehnoloģisko iekārtu), kā arī informācijas zīmju iepirkuma tehnisko specifikāciju izstrādei.</w:t>
            </w:r>
            <w:r w:rsidR="00A85811">
              <w:rPr>
                <w:sz w:val="28"/>
                <w:szCs w:val="28"/>
              </w:rPr>
              <w:t xml:space="preserve"> Iepirkumu paredzēts izsludināt 2013.</w:t>
            </w:r>
            <w:r w:rsidR="00C322F9">
              <w:rPr>
                <w:sz w:val="28"/>
                <w:szCs w:val="28"/>
              </w:rPr>
              <w:t xml:space="preserve"> </w:t>
            </w:r>
            <w:r w:rsidR="00A85811">
              <w:rPr>
                <w:sz w:val="28"/>
                <w:szCs w:val="28"/>
              </w:rPr>
              <w:t>gada jūnijā.</w:t>
            </w:r>
          </w:p>
          <w:p w:rsidR="00D61CAD" w:rsidRPr="00D266EE" w:rsidRDefault="00A85811" w:rsidP="00D266EE">
            <w:pPr>
              <w:ind w:left="176" w:right="141" w:firstLine="720"/>
              <w:jc w:val="both"/>
              <w:rPr>
                <w:sz w:val="28"/>
                <w:szCs w:val="28"/>
              </w:rPr>
            </w:pPr>
            <w:r>
              <w:rPr>
                <w:sz w:val="28"/>
                <w:szCs w:val="28"/>
              </w:rPr>
              <w:t>2013.</w:t>
            </w:r>
            <w:r w:rsidR="00C322F9">
              <w:rPr>
                <w:sz w:val="28"/>
                <w:szCs w:val="28"/>
              </w:rPr>
              <w:t xml:space="preserve"> </w:t>
            </w:r>
            <w:r>
              <w:rPr>
                <w:sz w:val="28"/>
                <w:szCs w:val="28"/>
              </w:rPr>
              <w:t xml:space="preserve">gada otrajā pusē tiks veikts </w:t>
            </w:r>
            <w:r w:rsidR="00D61CAD" w:rsidRPr="00D266EE">
              <w:rPr>
                <w:sz w:val="28"/>
                <w:szCs w:val="28"/>
              </w:rPr>
              <w:t>IT un biroj</w:t>
            </w:r>
            <w:r>
              <w:rPr>
                <w:sz w:val="28"/>
                <w:szCs w:val="28"/>
              </w:rPr>
              <w:t>a</w:t>
            </w:r>
            <w:r w:rsidR="00D61CAD" w:rsidRPr="00D266EE">
              <w:rPr>
                <w:sz w:val="28"/>
                <w:szCs w:val="28"/>
              </w:rPr>
              <w:t xml:space="preserve"> tehnikas iepirkums.</w:t>
            </w:r>
          </w:p>
          <w:p w:rsidR="00D61CAD" w:rsidRPr="00D266EE" w:rsidRDefault="00D61CAD" w:rsidP="00D61CAD">
            <w:pPr>
              <w:jc w:val="both"/>
              <w:rPr>
                <w:sz w:val="28"/>
                <w:szCs w:val="28"/>
              </w:rPr>
            </w:pPr>
          </w:p>
          <w:p w:rsidR="00D61CAD" w:rsidRPr="008D2D28" w:rsidRDefault="00D61CAD" w:rsidP="00D266EE">
            <w:pPr>
              <w:ind w:left="176" w:right="142"/>
              <w:jc w:val="both"/>
              <w:rPr>
                <w:i/>
                <w:sz w:val="28"/>
                <w:szCs w:val="28"/>
                <w:u w:val="single"/>
              </w:rPr>
            </w:pPr>
            <w:r w:rsidRPr="008D2D28">
              <w:rPr>
                <w:i/>
                <w:sz w:val="28"/>
                <w:szCs w:val="28"/>
                <w:u w:val="single"/>
              </w:rPr>
              <w:t>LNB pārcelšanās un grāmatu krājuma pārvietošana</w:t>
            </w:r>
          </w:p>
          <w:p w:rsidR="00D61CAD" w:rsidRPr="00D266EE" w:rsidRDefault="00D61CAD" w:rsidP="00D266EE">
            <w:pPr>
              <w:ind w:left="176" w:right="142" w:firstLine="720"/>
              <w:jc w:val="both"/>
              <w:rPr>
                <w:sz w:val="28"/>
                <w:szCs w:val="28"/>
              </w:rPr>
            </w:pPr>
            <w:r w:rsidRPr="00D266EE">
              <w:rPr>
                <w:sz w:val="28"/>
                <w:szCs w:val="28"/>
              </w:rPr>
              <w:t xml:space="preserve">LNB pārcelšanās uz jauno LNB ēku un grāmatu krājuma pārvietošana ir iespējama tikai pēc LNB ēkas būvdarbu pabeigšanas, nodošanas ekspluatācijā un aprīkošanas ar mēbelēm un iekārtām.  </w:t>
            </w:r>
          </w:p>
          <w:p w:rsidR="00D61CAD" w:rsidRPr="00D266EE" w:rsidRDefault="00D61CAD" w:rsidP="00D61CAD">
            <w:pPr>
              <w:jc w:val="both"/>
              <w:rPr>
                <w:sz w:val="28"/>
                <w:szCs w:val="28"/>
              </w:rPr>
            </w:pPr>
          </w:p>
          <w:p w:rsidR="00D61CAD" w:rsidRPr="00D266EE" w:rsidRDefault="00D61CAD" w:rsidP="00D266EE">
            <w:pPr>
              <w:ind w:left="176" w:right="142"/>
              <w:jc w:val="both"/>
              <w:rPr>
                <w:sz w:val="28"/>
                <w:szCs w:val="28"/>
              </w:rPr>
            </w:pPr>
            <w:r w:rsidRPr="00D266EE">
              <w:rPr>
                <w:sz w:val="28"/>
                <w:szCs w:val="28"/>
              </w:rPr>
              <w:tab/>
              <w:t xml:space="preserve">Ievērojot to, ka LNB ēkas būvdarbi tiks pabeigti tikai 2013. gada 20. decembrī, LNB projektu, kura mērķis ir LNB pilnvērtīga darbība jaunajā LNB ēkā, nebūs iespējams pabeigt līdz 2013. gada beigām, jo tikai pēc LNB ēkas būvdarbu pabeigšanas varēs uzsākt LNB ēkas nodošanu ekspluatācijā, aprīkošanu ar mēbelēm un iekārtām, kā arī LNB pārcelšanos uz jauno LNB ēku un grāmatu krājuma pārvietošanu. Līdz 2014. gada 30. aprīlim jāpabeidz apkārtējās teritorijas labiekārtošanas un apzaļumošanas darbi un tehniskās ēkas iekšējās apdares darbi. </w:t>
            </w:r>
          </w:p>
          <w:p w:rsidR="00D61CAD" w:rsidRPr="00D266EE" w:rsidRDefault="00D61CAD" w:rsidP="00D266EE">
            <w:pPr>
              <w:ind w:left="176" w:right="142" w:firstLine="720"/>
              <w:jc w:val="both"/>
              <w:rPr>
                <w:sz w:val="28"/>
                <w:szCs w:val="28"/>
              </w:rPr>
            </w:pPr>
            <w:r w:rsidRPr="00D266EE">
              <w:rPr>
                <w:sz w:val="28"/>
                <w:szCs w:val="28"/>
              </w:rPr>
              <w:t xml:space="preserve">Vienlaikus arī pēc būvdarbu pabeigšanas turpināsies LNB projekta ietvaros uzņemto saistību izpilde, jo ieturējuma naudas otrās puses maksājumi LNB ēkas un infrastruktūras 1. kārtas objektu būvdarbu līgumu ietvaros būvdarbu izpildītājam veicami pēc divu gadu garantijas perioda beigām, t.i. 2015. gada beigās un 2016. gadā. </w:t>
            </w:r>
            <w:r w:rsidR="00606294">
              <w:rPr>
                <w:sz w:val="28"/>
                <w:szCs w:val="28"/>
              </w:rPr>
              <w:t>B</w:t>
            </w:r>
            <w:r w:rsidRPr="00D266EE">
              <w:rPr>
                <w:sz w:val="28"/>
                <w:szCs w:val="28"/>
              </w:rPr>
              <w:t xml:space="preserve">ūvuzraudzības līgums par LNB ēkas </w:t>
            </w:r>
            <w:r w:rsidRPr="00D266EE">
              <w:rPr>
                <w:sz w:val="28"/>
                <w:szCs w:val="28"/>
              </w:rPr>
              <w:lastRenderedPageBreak/>
              <w:t xml:space="preserve">būvuzraudzību un inženiera konsultāciju pakalpojumiem inženiera konsultāciju pakalpojumus un maksājumus par tiem paredz arī LNB ēkas būvdarbu garantijas perioda laikā.  </w:t>
            </w:r>
          </w:p>
          <w:p w:rsidR="00606294" w:rsidRDefault="00606294" w:rsidP="00D266EE">
            <w:pPr>
              <w:ind w:left="176" w:right="142" w:firstLine="720"/>
              <w:jc w:val="both"/>
              <w:rPr>
                <w:sz w:val="28"/>
                <w:szCs w:val="28"/>
              </w:rPr>
            </w:pPr>
          </w:p>
          <w:p w:rsidR="00D61CAD" w:rsidRPr="00D266EE" w:rsidRDefault="00D61CAD" w:rsidP="00D266EE">
            <w:pPr>
              <w:ind w:left="176" w:right="142" w:firstLine="720"/>
              <w:jc w:val="both"/>
              <w:rPr>
                <w:sz w:val="28"/>
                <w:szCs w:val="28"/>
              </w:rPr>
            </w:pPr>
            <w:r w:rsidRPr="00D266EE">
              <w:rPr>
                <w:sz w:val="28"/>
                <w:szCs w:val="28"/>
              </w:rPr>
              <w:t>Nepieciešamību pārskatīt LNB projekta īstenošanas likumā noteikto LNB projekta īstenošanas termiņu noteica arī LNB jaunajā ēkā plānoto Rīgas kā Eiropas Kultūras galvaspilsētas 2014. gadā un Latvijas prezidentūras ES Padomē 2015. gadā pasākumu norise.</w:t>
            </w:r>
            <w:r w:rsidR="00A6294C">
              <w:rPr>
                <w:sz w:val="28"/>
                <w:szCs w:val="28"/>
              </w:rPr>
              <w:t xml:space="preserve"> </w:t>
            </w:r>
          </w:p>
          <w:p w:rsidR="00606294" w:rsidRDefault="00D61CAD" w:rsidP="00D266EE">
            <w:pPr>
              <w:ind w:left="176" w:right="142"/>
              <w:jc w:val="both"/>
              <w:rPr>
                <w:sz w:val="28"/>
                <w:szCs w:val="28"/>
              </w:rPr>
            </w:pPr>
            <w:r w:rsidRPr="00D266EE">
              <w:rPr>
                <w:iCs/>
                <w:sz w:val="28"/>
                <w:szCs w:val="28"/>
              </w:rPr>
              <w:tab/>
            </w:r>
            <w:r w:rsidRPr="00D266EE">
              <w:rPr>
                <w:sz w:val="28"/>
                <w:szCs w:val="28"/>
              </w:rPr>
              <w:tab/>
            </w:r>
          </w:p>
          <w:p w:rsidR="00262E2B" w:rsidRPr="00D266EE" w:rsidRDefault="00D61CAD" w:rsidP="002E7BD7">
            <w:pPr>
              <w:ind w:left="176" w:right="142" w:firstLine="567"/>
              <w:jc w:val="both"/>
              <w:rPr>
                <w:sz w:val="28"/>
                <w:szCs w:val="28"/>
              </w:rPr>
            </w:pPr>
            <w:r w:rsidRPr="00D266EE">
              <w:rPr>
                <w:sz w:val="28"/>
                <w:szCs w:val="28"/>
              </w:rPr>
              <w:t xml:space="preserve">Ievērojot iepriekšminēto, nepieciešams veikt grozījumus LNB projekta īstenošanas likumā, nosakot, ka LNB projekts īstenojams saskaņā ar LNB projekta īstenošanas </w:t>
            </w:r>
            <w:r w:rsidR="002E7BD7" w:rsidRPr="00D266EE">
              <w:rPr>
                <w:sz w:val="28"/>
                <w:szCs w:val="28"/>
              </w:rPr>
              <w:t>U</w:t>
            </w:r>
            <w:r w:rsidR="002E7BD7">
              <w:rPr>
                <w:sz w:val="28"/>
                <w:szCs w:val="28"/>
              </w:rPr>
              <w:t>zraudzības padomes</w:t>
            </w:r>
            <w:r w:rsidR="002E7BD7" w:rsidRPr="00D266EE">
              <w:rPr>
                <w:sz w:val="28"/>
                <w:szCs w:val="28"/>
              </w:rPr>
              <w:t xml:space="preserve"> </w:t>
            </w:r>
            <w:r w:rsidRPr="00D266EE">
              <w:rPr>
                <w:sz w:val="28"/>
                <w:szCs w:val="28"/>
              </w:rPr>
              <w:t>apstiprinātu projekta īstenošanas darbu grafiku, LNB ēkas būvdarbi pabeidzami līdz 2013. gada 31. decembrim un norēķini LNB projekta īstenošanai veicami līdz 2016. gada 31. decembrim.</w:t>
            </w:r>
            <w:r w:rsidR="00284721" w:rsidRPr="00D266EE">
              <w:rPr>
                <w:iCs/>
                <w:sz w:val="28"/>
                <w:szCs w:val="28"/>
              </w:rPr>
              <w:t xml:space="preserve"> </w:t>
            </w:r>
          </w:p>
        </w:tc>
      </w:tr>
      <w:tr w:rsidR="00262E2B" w:rsidRPr="00D266EE" w:rsidTr="002E7BD7">
        <w:trPr>
          <w:trHeight w:val="519"/>
        </w:trPr>
        <w:tc>
          <w:tcPr>
            <w:tcW w:w="338" w:type="pct"/>
          </w:tcPr>
          <w:p w:rsidR="00262E2B" w:rsidRPr="00D266EE" w:rsidRDefault="00262E2B" w:rsidP="006C4607">
            <w:pPr>
              <w:pStyle w:val="naiskr"/>
              <w:spacing w:before="0" w:after="0"/>
              <w:rPr>
                <w:sz w:val="28"/>
                <w:szCs w:val="28"/>
              </w:rPr>
            </w:pPr>
            <w:r w:rsidRPr="00D266EE">
              <w:rPr>
                <w:sz w:val="28"/>
                <w:szCs w:val="28"/>
              </w:rPr>
              <w:lastRenderedPageBreak/>
              <w:t>3.</w:t>
            </w:r>
          </w:p>
        </w:tc>
        <w:tc>
          <w:tcPr>
            <w:tcW w:w="1575" w:type="pct"/>
          </w:tcPr>
          <w:p w:rsidR="00262E2B" w:rsidRPr="00D266EE" w:rsidRDefault="00420870" w:rsidP="006C4607">
            <w:pPr>
              <w:pStyle w:val="naiskr"/>
              <w:spacing w:before="0" w:after="0"/>
              <w:rPr>
                <w:sz w:val="28"/>
                <w:szCs w:val="28"/>
              </w:rPr>
            </w:pPr>
            <w:r w:rsidRPr="00D266EE">
              <w:rPr>
                <w:sz w:val="28"/>
                <w:szCs w:val="28"/>
              </w:rPr>
              <w:t>S</w:t>
            </w:r>
            <w:r w:rsidR="000B69CF" w:rsidRPr="00D266EE">
              <w:rPr>
                <w:sz w:val="28"/>
                <w:szCs w:val="28"/>
              </w:rPr>
              <w:t xml:space="preserve">aistītie </w:t>
            </w:r>
            <w:r w:rsidR="001A6AE4" w:rsidRPr="00D266EE">
              <w:rPr>
                <w:sz w:val="28"/>
                <w:szCs w:val="28"/>
              </w:rPr>
              <w:t>politikas ietekmes novērtējumi</w:t>
            </w:r>
            <w:r w:rsidR="00CB0247" w:rsidRPr="00D266EE">
              <w:rPr>
                <w:sz w:val="28"/>
                <w:szCs w:val="28"/>
              </w:rPr>
              <w:t xml:space="preserve"> un</w:t>
            </w:r>
            <w:r w:rsidR="001A6AE4" w:rsidRPr="00D266EE">
              <w:rPr>
                <w:sz w:val="28"/>
                <w:szCs w:val="28"/>
              </w:rPr>
              <w:t xml:space="preserve"> </w:t>
            </w:r>
            <w:r w:rsidR="000B69CF" w:rsidRPr="00D266EE">
              <w:rPr>
                <w:sz w:val="28"/>
                <w:szCs w:val="28"/>
              </w:rPr>
              <w:t>pētījumi</w:t>
            </w:r>
          </w:p>
        </w:tc>
        <w:tc>
          <w:tcPr>
            <w:tcW w:w="3087" w:type="pct"/>
          </w:tcPr>
          <w:p w:rsidR="00D20FF4" w:rsidRPr="00D266EE" w:rsidRDefault="000D5416" w:rsidP="00C62E8B">
            <w:pPr>
              <w:pStyle w:val="Vresteksts"/>
              <w:ind w:left="133"/>
              <w:jc w:val="both"/>
              <w:rPr>
                <w:sz w:val="28"/>
                <w:szCs w:val="28"/>
                <w:highlight w:val="yellow"/>
              </w:rPr>
            </w:pPr>
            <w:r w:rsidRPr="00D266EE">
              <w:rPr>
                <w:sz w:val="28"/>
                <w:szCs w:val="28"/>
              </w:rPr>
              <w:t>Likumprojekts šo jomu neskar.</w:t>
            </w:r>
            <w:r w:rsidRPr="00D266EE">
              <w:rPr>
                <w:sz w:val="28"/>
                <w:szCs w:val="28"/>
                <w:highlight w:val="yellow"/>
              </w:rPr>
              <w:t xml:space="preserve"> </w:t>
            </w:r>
          </w:p>
        </w:tc>
      </w:tr>
      <w:tr w:rsidR="00262E2B" w:rsidRPr="008D2D28" w:rsidTr="002E7BD7">
        <w:trPr>
          <w:trHeight w:val="384"/>
        </w:trPr>
        <w:tc>
          <w:tcPr>
            <w:tcW w:w="338" w:type="pct"/>
          </w:tcPr>
          <w:p w:rsidR="00262E2B" w:rsidRPr="00D266EE" w:rsidRDefault="00262E2B" w:rsidP="006C4607">
            <w:pPr>
              <w:pStyle w:val="naiskr"/>
              <w:spacing w:before="0" w:after="0"/>
              <w:rPr>
                <w:sz w:val="28"/>
                <w:szCs w:val="28"/>
              </w:rPr>
            </w:pPr>
            <w:r w:rsidRPr="00D266EE">
              <w:rPr>
                <w:sz w:val="28"/>
                <w:szCs w:val="28"/>
              </w:rPr>
              <w:t>4.</w:t>
            </w:r>
          </w:p>
        </w:tc>
        <w:tc>
          <w:tcPr>
            <w:tcW w:w="1575" w:type="pct"/>
          </w:tcPr>
          <w:p w:rsidR="00262E2B" w:rsidRPr="00D266EE" w:rsidRDefault="000C790C" w:rsidP="006C4607">
            <w:pPr>
              <w:pStyle w:val="naiskr"/>
              <w:spacing w:before="0" w:after="0"/>
              <w:rPr>
                <w:sz w:val="28"/>
                <w:szCs w:val="28"/>
              </w:rPr>
            </w:pPr>
            <w:r w:rsidRPr="00D266EE">
              <w:rPr>
                <w:sz w:val="28"/>
                <w:szCs w:val="28"/>
              </w:rPr>
              <w:t>Tiesiskā r</w:t>
            </w:r>
            <w:r w:rsidR="00400032" w:rsidRPr="00D266EE">
              <w:rPr>
                <w:sz w:val="28"/>
                <w:szCs w:val="28"/>
              </w:rPr>
              <w:t xml:space="preserve">egulējuma </w:t>
            </w:r>
            <w:r w:rsidR="00262E2B" w:rsidRPr="00D266EE">
              <w:rPr>
                <w:sz w:val="28"/>
                <w:szCs w:val="28"/>
              </w:rPr>
              <w:t>mērķis un būtība</w:t>
            </w:r>
          </w:p>
        </w:tc>
        <w:tc>
          <w:tcPr>
            <w:tcW w:w="3087" w:type="pct"/>
          </w:tcPr>
          <w:p w:rsidR="00EB60CB" w:rsidRDefault="00F6090B" w:rsidP="00C62E8B">
            <w:pPr>
              <w:pStyle w:val="naiskr"/>
              <w:spacing w:before="0" w:after="0"/>
              <w:ind w:left="133" w:right="145" w:firstLine="567"/>
              <w:jc w:val="both"/>
              <w:rPr>
                <w:sz w:val="28"/>
                <w:szCs w:val="28"/>
              </w:rPr>
            </w:pPr>
            <w:r w:rsidRPr="008D2D28">
              <w:rPr>
                <w:iCs/>
                <w:sz w:val="28"/>
                <w:szCs w:val="28"/>
              </w:rPr>
              <w:t xml:space="preserve">Likumprojekts </w:t>
            </w:r>
            <w:r w:rsidRPr="008D2D28">
              <w:rPr>
                <w:sz w:val="28"/>
                <w:szCs w:val="28"/>
              </w:rPr>
              <w:t>paredz</w:t>
            </w:r>
            <w:r w:rsidR="008D2D28" w:rsidRPr="008D2D28">
              <w:rPr>
                <w:sz w:val="28"/>
                <w:szCs w:val="28"/>
              </w:rPr>
              <w:t>,</w:t>
            </w:r>
            <w:r w:rsidRPr="008D2D28">
              <w:rPr>
                <w:sz w:val="28"/>
                <w:szCs w:val="28"/>
              </w:rPr>
              <w:t xml:space="preserve"> </w:t>
            </w:r>
            <w:r w:rsidR="008D2D28" w:rsidRPr="008D2D28">
              <w:rPr>
                <w:sz w:val="28"/>
                <w:szCs w:val="28"/>
              </w:rPr>
              <w:t>ka LNB projekts īstenojams saskaņā ar LNB projekta īstenošanas U</w:t>
            </w:r>
            <w:r w:rsidR="002E7BD7">
              <w:rPr>
                <w:sz w:val="28"/>
                <w:szCs w:val="28"/>
              </w:rPr>
              <w:t>zraudzības padomes</w:t>
            </w:r>
            <w:r w:rsidR="008D2D28" w:rsidRPr="008D2D28">
              <w:rPr>
                <w:sz w:val="28"/>
                <w:szCs w:val="28"/>
              </w:rPr>
              <w:t xml:space="preserve"> apstiprinātu projekta īstenošanas darbu grafiku, LNB ēkas būvdarbi pabeidzami līdz 2013. gada 31. </w:t>
            </w:r>
            <w:r w:rsidR="00F2226B">
              <w:rPr>
                <w:sz w:val="28"/>
                <w:szCs w:val="28"/>
              </w:rPr>
              <w:t>d</w:t>
            </w:r>
            <w:r w:rsidR="008D2D28" w:rsidRPr="008D2D28">
              <w:rPr>
                <w:sz w:val="28"/>
                <w:szCs w:val="28"/>
              </w:rPr>
              <w:t>ecembrim</w:t>
            </w:r>
            <w:r w:rsidR="0096320B">
              <w:rPr>
                <w:sz w:val="28"/>
                <w:szCs w:val="28"/>
              </w:rPr>
              <w:t xml:space="preserve">, garantijas saistības un </w:t>
            </w:r>
            <w:r w:rsidR="008D2D28" w:rsidRPr="008D2D28">
              <w:rPr>
                <w:sz w:val="28"/>
                <w:szCs w:val="28"/>
              </w:rPr>
              <w:t xml:space="preserve">norēķini LNB projekta īstenošanai veicami līdz 2016. gada </w:t>
            </w:r>
            <w:r w:rsidR="003F5AC8">
              <w:rPr>
                <w:sz w:val="28"/>
                <w:szCs w:val="28"/>
              </w:rPr>
              <w:t>beigām</w:t>
            </w:r>
            <w:r w:rsidRPr="008D2D28">
              <w:rPr>
                <w:sz w:val="28"/>
                <w:szCs w:val="28"/>
              </w:rPr>
              <w:t xml:space="preserve">. </w:t>
            </w:r>
            <w:r w:rsidR="00C62E8B" w:rsidRPr="008D2D28">
              <w:rPr>
                <w:sz w:val="28"/>
                <w:szCs w:val="28"/>
              </w:rPr>
              <w:t>L</w:t>
            </w:r>
            <w:r w:rsidR="008D2D28" w:rsidRPr="008D2D28">
              <w:rPr>
                <w:sz w:val="28"/>
                <w:szCs w:val="28"/>
              </w:rPr>
              <w:t xml:space="preserve">ikumprojekts </w:t>
            </w:r>
            <w:r w:rsidR="00C62E8B" w:rsidRPr="008D2D28">
              <w:rPr>
                <w:sz w:val="28"/>
                <w:szCs w:val="28"/>
              </w:rPr>
              <w:t>ir atbalstīt</w:t>
            </w:r>
            <w:r w:rsidR="008D2D28" w:rsidRPr="008D2D28">
              <w:rPr>
                <w:sz w:val="28"/>
                <w:szCs w:val="28"/>
              </w:rPr>
              <w:t>s</w:t>
            </w:r>
            <w:r w:rsidR="00C62E8B" w:rsidRPr="008D2D28">
              <w:rPr>
                <w:sz w:val="28"/>
                <w:szCs w:val="28"/>
              </w:rPr>
              <w:t xml:space="preserve"> </w:t>
            </w:r>
            <w:r w:rsidR="008D2D28" w:rsidRPr="008D2D28">
              <w:rPr>
                <w:sz w:val="28"/>
                <w:szCs w:val="28"/>
              </w:rPr>
              <w:t>LNB</w:t>
            </w:r>
            <w:r w:rsidR="00C62E8B" w:rsidRPr="008D2D28">
              <w:rPr>
                <w:sz w:val="28"/>
                <w:szCs w:val="28"/>
              </w:rPr>
              <w:t xml:space="preserve"> projekta </w:t>
            </w:r>
            <w:r w:rsidR="008D2D28" w:rsidRPr="008D2D28">
              <w:rPr>
                <w:sz w:val="28"/>
                <w:szCs w:val="28"/>
              </w:rPr>
              <w:t>U</w:t>
            </w:r>
            <w:r w:rsidR="002E7BD7">
              <w:rPr>
                <w:sz w:val="28"/>
                <w:szCs w:val="28"/>
              </w:rPr>
              <w:t>zraudzības padomes</w:t>
            </w:r>
            <w:r w:rsidR="008D2D28" w:rsidRPr="008D2D28">
              <w:rPr>
                <w:sz w:val="28"/>
                <w:szCs w:val="28"/>
              </w:rPr>
              <w:t xml:space="preserve"> 2013</w:t>
            </w:r>
            <w:r w:rsidR="00C62E8B" w:rsidRPr="008D2D28">
              <w:rPr>
                <w:sz w:val="28"/>
                <w:szCs w:val="28"/>
              </w:rPr>
              <w:t>.</w:t>
            </w:r>
            <w:r w:rsidR="008D2D28" w:rsidRPr="008D2D28">
              <w:rPr>
                <w:sz w:val="28"/>
                <w:szCs w:val="28"/>
              </w:rPr>
              <w:t xml:space="preserve"> </w:t>
            </w:r>
            <w:r w:rsidR="00C62E8B" w:rsidRPr="008D2D28">
              <w:rPr>
                <w:sz w:val="28"/>
                <w:szCs w:val="28"/>
              </w:rPr>
              <w:t xml:space="preserve">gada </w:t>
            </w:r>
            <w:r w:rsidR="008D2D28" w:rsidRPr="008D2D28">
              <w:rPr>
                <w:sz w:val="28"/>
                <w:szCs w:val="28"/>
              </w:rPr>
              <w:t>8</w:t>
            </w:r>
            <w:r w:rsidR="00C62E8B" w:rsidRPr="008D2D28">
              <w:rPr>
                <w:sz w:val="28"/>
                <w:szCs w:val="28"/>
              </w:rPr>
              <w:t>.</w:t>
            </w:r>
            <w:r w:rsidR="008D2D28" w:rsidRPr="008D2D28">
              <w:rPr>
                <w:sz w:val="28"/>
                <w:szCs w:val="28"/>
              </w:rPr>
              <w:t xml:space="preserve"> </w:t>
            </w:r>
            <w:r w:rsidR="00C62E8B" w:rsidRPr="008D2D28">
              <w:rPr>
                <w:sz w:val="28"/>
                <w:szCs w:val="28"/>
              </w:rPr>
              <w:t xml:space="preserve">maija sēdē. </w:t>
            </w:r>
          </w:p>
          <w:p w:rsidR="00C62E8B" w:rsidRPr="008D2D28" w:rsidRDefault="00C62E8B" w:rsidP="00C62E8B">
            <w:pPr>
              <w:pStyle w:val="naiskr"/>
              <w:spacing w:before="0" w:after="0"/>
              <w:ind w:left="133" w:right="145" w:firstLine="567"/>
              <w:jc w:val="both"/>
              <w:rPr>
                <w:sz w:val="28"/>
                <w:szCs w:val="28"/>
              </w:rPr>
            </w:pPr>
            <w:r w:rsidRPr="008D2D28">
              <w:rPr>
                <w:sz w:val="28"/>
                <w:szCs w:val="28"/>
              </w:rPr>
              <w:t>Saskaņā ar Latvijas Nacionālās bibliotēkas projekta īstenošanas likuma 3.</w:t>
            </w:r>
            <w:r w:rsidR="008D2D28" w:rsidRPr="008D2D28">
              <w:rPr>
                <w:sz w:val="28"/>
                <w:szCs w:val="28"/>
              </w:rPr>
              <w:t xml:space="preserve"> </w:t>
            </w:r>
            <w:r w:rsidRPr="008D2D28">
              <w:rPr>
                <w:sz w:val="28"/>
                <w:szCs w:val="28"/>
              </w:rPr>
              <w:t xml:space="preserve">panta otro daļu </w:t>
            </w:r>
            <w:r w:rsidR="008D2D28" w:rsidRPr="008D2D28">
              <w:rPr>
                <w:sz w:val="28"/>
                <w:szCs w:val="28"/>
              </w:rPr>
              <w:t>LNB</w:t>
            </w:r>
            <w:r w:rsidRPr="008D2D28">
              <w:rPr>
                <w:sz w:val="28"/>
                <w:szCs w:val="28"/>
              </w:rPr>
              <w:t xml:space="preserve"> projekta īstenošanas </w:t>
            </w:r>
            <w:r w:rsidR="002E7BD7">
              <w:rPr>
                <w:sz w:val="28"/>
                <w:szCs w:val="28"/>
              </w:rPr>
              <w:t>U</w:t>
            </w:r>
            <w:r w:rsidRPr="008D2D28">
              <w:rPr>
                <w:sz w:val="28"/>
                <w:szCs w:val="28"/>
              </w:rPr>
              <w:t xml:space="preserve">zraudzības padomi vada finanšu ministrs un tajā ir iekļauts Saeimas Budžeta un finanšu (nodokļu) komisijas priekšsēdētājs, Saeimas Izglītības, kultūras un zinātnes komisijas priekšsēdētājs, Latvijas Nacionālās kultūras padomes priekšsēdētājs, Rīgas Domes pārstāvis un Latvijas Nacionālās bibliotēkas atbalsta biedrības pārstāvis. </w:t>
            </w:r>
          </w:p>
          <w:p w:rsidR="00262E2B" w:rsidRPr="008D2D28" w:rsidRDefault="00EC4166" w:rsidP="008D2D28">
            <w:pPr>
              <w:pStyle w:val="naiskr"/>
              <w:spacing w:before="0" w:after="0"/>
              <w:ind w:left="133" w:right="145" w:firstLine="567"/>
              <w:jc w:val="both"/>
              <w:rPr>
                <w:sz w:val="28"/>
                <w:szCs w:val="28"/>
              </w:rPr>
            </w:pPr>
            <w:r w:rsidRPr="008D2D28">
              <w:rPr>
                <w:iCs/>
                <w:sz w:val="28"/>
                <w:szCs w:val="28"/>
              </w:rPr>
              <w:t>L</w:t>
            </w:r>
            <w:r w:rsidR="00C62E8B" w:rsidRPr="008D2D28">
              <w:rPr>
                <w:iCs/>
                <w:sz w:val="28"/>
                <w:szCs w:val="28"/>
              </w:rPr>
              <w:t>ikumprojekta</w:t>
            </w:r>
            <w:r w:rsidRPr="008D2D28">
              <w:rPr>
                <w:iCs/>
                <w:sz w:val="28"/>
                <w:szCs w:val="28"/>
              </w:rPr>
              <w:t xml:space="preserve"> pieņemšana</w:t>
            </w:r>
            <w:r w:rsidR="00284721" w:rsidRPr="008D2D28">
              <w:rPr>
                <w:iCs/>
                <w:sz w:val="28"/>
                <w:szCs w:val="28"/>
              </w:rPr>
              <w:t xml:space="preserve"> </w:t>
            </w:r>
            <w:r w:rsidR="00F6090B" w:rsidRPr="008D2D28">
              <w:rPr>
                <w:iCs/>
                <w:sz w:val="28"/>
                <w:szCs w:val="28"/>
              </w:rPr>
              <w:t xml:space="preserve">nodrošinās juridisku (tiesisku) pamatu </w:t>
            </w:r>
            <w:r w:rsidR="00C62E8B" w:rsidRPr="008D2D28">
              <w:rPr>
                <w:iCs/>
                <w:sz w:val="28"/>
                <w:szCs w:val="28"/>
              </w:rPr>
              <w:t xml:space="preserve">LNB </w:t>
            </w:r>
            <w:r w:rsidR="00284721" w:rsidRPr="008D2D28">
              <w:rPr>
                <w:iCs/>
                <w:sz w:val="28"/>
                <w:szCs w:val="28"/>
              </w:rPr>
              <w:t xml:space="preserve">projekta </w:t>
            </w:r>
            <w:r w:rsidR="00F6090B" w:rsidRPr="008D2D28">
              <w:rPr>
                <w:iCs/>
                <w:sz w:val="28"/>
                <w:szCs w:val="28"/>
              </w:rPr>
              <w:lastRenderedPageBreak/>
              <w:t xml:space="preserve">aktivitāšu īstenošanai. </w:t>
            </w:r>
          </w:p>
        </w:tc>
      </w:tr>
      <w:tr w:rsidR="00262E2B" w:rsidRPr="00D266EE" w:rsidTr="002E7BD7">
        <w:trPr>
          <w:trHeight w:val="476"/>
        </w:trPr>
        <w:tc>
          <w:tcPr>
            <w:tcW w:w="338" w:type="pct"/>
          </w:tcPr>
          <w:p w:rsidR="00262E2B" w:rsidRPr="00D266EE" w:rsidRDefault="00262E2B" w:rsidP="006C4607">
            <w:pPr>
              <w:pStyle w:val="naiskr"/>
              <w:spacing w:before="0" w:after="0"/>
              <w:rPr>
                <w:sz w:val="28"/>
                <w:szCs w:val="28"/>
              </w:rPr>
            </w:pPr>
            <w:r w:rsidRPr="00D266EE">
              <w:rPr>
                <w:sz w:val="28"/>
                <w:szCs w:val="28"/>
              </w:rPr>
              <w:lastRenderedPageBreak/>
              <w:t>5.</w:t>
            </w:r>
          </w:p>
        </w:tc>
        <w:tc>
          <w:tcPr>
            <w:tcW w:w="1575" w:type="pct"/>
          </w:tcPr>
          <w:p w:rsidR="00262E2B" w:rsidRPr="00D266EE" w:rsidRDefault="001A4066" w:rsidP="006C4607">
            <w:pPr>
              <w:pStyle w:val="naiskr"/>
              <w:spacing w:before="0" w:after="0"/>
              <w:rPr>
                <w:sz w:val="28"/>
                <w:szCs w:val="28"/>
              </w:rPr>
            </w:pPr>
            <w:r w:rsidRPr="00D266EE">
              <w:rPr>
                <w:sz w:val="28"/>
                <w:szCs w:val="28"/>
              </w:rPr>
              <w:t>Projekta i</w:t>
            </w:r>
            <w:r w:rsidR="00262E2B" w:rsidRPr="00D266EE">
              <w:rPr>
                <w:sz w:val="28"/>
                <w:szCs w:val="28"/>
              </w:rPr>
              <w:t>zstrād</w:t>
            </w:r>
            <w:r w:rsidR="00420870" w:rsidRPr="00D266EE">
              <w:rPr>
                <w:sz w:val="28"/>
                <w:szCs w:val="28"/>
              </w:rPr>
              <w:t xml:space="preserve">ē </w:t>
            </w:r>
            <w:r w:rsidR="00262E2B" w:rsidRPr="00D266EE">
              <w:rPr>
                <w:sz w:val="28"/>
                <w:szCs w:val="28"/>
              </w:rPr>
              <w:t>iesaistītās institūcijas</w:t>
            </w:r>
          </w:p>
        </w:tc>
        <w:tc>
          <w:tcPr>
            <w:tcW w:w="3087" w:type="pct"/>
          </w:tcPr>
          <w:p w:rsidR="009844C9" w:rsidRPr="00D266EE" w:rsidRDefault="005006BE" w:rsidP="004B3ED0">
            <w:pPr>
              <w:pStyle w:val="naiskr"/>
              <w:spacing w:before="0" w:after="120"/>
              <w:ind w:left="133" w:right="145"/>
              <w:jc w:val="both"/>
              <w:rPr>
                <w:sz w:val="28"/>
                <w:szCs w:val="28"/>
              </w:rPr>
            </w:pPr>
            <w:r w:rsidRPr="00D266EE">
              <w:rPr>
                <w:iCs/>
                <w:sz w:val="28"/>
                <w:szCs w:val="28"/>
              </w:rPr>
              <w:t xml:space="preserve">Kultūras ministrija, </w:t>
            </w:r>
            <w:r w:rsidR="004B3ED0" w:rsidRPr="00D266EE">
              <w:rPr>
                <w:sz w:val="28"/>
                <w:szCs w:val="28"/>
              </w:rPr>
              <w:t xml:space="preserve">Latvijas Nacionālās bibliotēkas </w:t>
            </w:r>
            <w:r w:rsidR="00CF266D" w:rsidRPr="00D266EE">
              <w:rPr>
                <w:iCs/>
                <w:sz w:val="28"/>
                <w:szCs w:val="28"/>
              </w:rPr>
              <w:t xml:space="preserve">projekta īstenošanas </w:t>
            </w:r>
            <w:r w:rsidR="002E7BD7">
              <w:rPr>
                <w:iCs/>
                <w:sz w:val="28"/>
                <w:szCs w:val="28"/>
              </w:rPr>
              <w:t>U</w:t>
            </w:r>
            <w:r w:rsidR="00CF266D" w:rsidRPr="00D266EE">
              <w:rPr>
                <w:iCs/>
                <w:sz w:val="28"/>
                <w:szCs w:val="28"/>
              </w:rPr>
              <w:t>zraudzības padome.</w:t>
            </w:r>
          </w:p>
        </w:tc>
      </w:tr>
      <w:tr w:rsidR="00262E2B" w:rsidRPr="00D266EE" w:rsidTr="002E7BD7">
        <w:trPr>
          <w:trHeight w:val="1015"/>
        </w:trPr>
        <w:tc>
          <w:tcPr>
            <w:tcW w:w="338" w:type="pct"/>
          </w:tcPr>
          <w:p w:rsidR="00262E2B" w:rsidRPr="00D266EE" w:rsidRDefault="00262E2B" w:rsidP="006C4607">
            <w:pPr>
              <w:pStyle w:val="naiskr"/>
              <w:spacing w:before="0" w:after="0"/>
              <w:rPr>
                <w:sz w:val="28"/>
                <w:szCs w:val="28"/>
              </w:rPr>
            </w:pPr>
            <w:r w:rsidRPr="00D266EE">
              <w:rPr>
                <w:sz w:val="28"/>
                <w:szCs w:val="28"/>
              </w:rPr>
              <w:t>6.</w:t>
            </w:r>
          </w:p>
        </w:tc>
        <w:tc>
          <w:tcPr>
            <w:tcW w:w="1575" w:type="pct"/>
          </w:tcPr>
          <w:p w:rsidR="00262E2B" w:rsidRPr="00D266EE" w:rsidRDefault="00BB7C94" w:rsidP="006C4607">
            <w:pPr>
              <w:pStyle w:val="naiskr"/>
              <w:spacing w:before="0" w:after="0"/>
              <w:rPr>
                <w:i/>
                <w:sz w:val="28"/>
                <w:szCs w:val="28"/>
                <w:highlight w:val="yellow"/>
              </w:rPr>
            </w:pPr>
            <w:r w:rsidRPr="00D266EE">
              <w:rPr>
                <w:sz w:val="28"/>
                <w:szCs w:val="28"/>
              </w:rPr>
              <w:t xml:space="preserve">Iemesli, kādēļ netika nodrošināta </w:t>
            </w:r>
            <w:r w:rsidR="00262E2B" w:rsidRPr="00D266EE">
              <w:rPr>
                <w:sz w:val="28"/>
                <w:szCs w:val="28"/>
              </w:rPr>
              <w:t xml:space="preserve">sabiedrības </w:t>
            </w:r>
            <w:r w:rsidRPr="00D266EE">
              <w:rPr>
                <w:sz w:val="28"/>
                <w:szCs w:val="28"/>
              </w:rPr>
              <w:t>līdzdalība</w:t>
            </w:r>
          </w:p>
        </w:tc>
        <w:tc>
          <w:tcPr>
            <w:tcW w:w="3087" w:type="pct"/>
          </w:tcPr>
          <w:p w:rsidR="00D20FF4" w:rsidRPr="00D266EE" w:rsidRDefault="00A35FD3" w:rsidP="00C62E8B">
            <w:pPr>
              <w:pStyle w:val="naiskr"/>
              <w:spacing w:before="0" w:after="0"/>
              <w:ind w:left="133" w:right="145"/>
              <w:jc w:val="both"/>
              <w:rPr>
                <w:sz w:val="28"/>
                <w:szCs w:val="28"/>
                <w:highlight w:val="yellow"/>
              </w:rPr>
            </w:pPr>
            <w:r w:rsidRPr="00D266EE">
              <w:rPr>
                <w:sz w:val="28"/>
                <w:szCs w:val="28"/>
              </w:rPr>
              <w:t>Sabiedrības līdzdalība netika nodrošināta, jo likumprojekts neierobežo kādu noteiktu sabiedrības grupu tiesības.</w:t>
            </w:r>
          </w:p>
        </w:tc>
      </w:tr>
      <w:tr w:rsidR="00262E2B" w:rsidRPr="00D266EE" w:rsidTr="002E7BD7">
        <w:trPr>
          <w:trHeight w:val="492"/>
        </w:trPr>
        <w:tc>
          <w:tcPr>
            <w:tcW w:w="338" w:type="pct"/>
          </w:tcPr>
          <w:p w:rsidR="00262E2B" w:rsidRPr="00D266EE" w:rsidRDefault="00262E2B" w:rsidP="006C4607">
            <w:pPr>
              <w:pStyle w:val="naiskr"/>
              <w:spacing w:before="0" w:after="0"/>
              <w:rPr>
                <w:sz w:val="28"/>
                <w:szCs w:val="28"/>
              </w:rPr>
            </w:pPr>
            <w:r w:rsidRPr="00D266EE">
              <w:rPr>
                <w:sz w:val="28"/>
                <w:szCs w:val="28"/>
              </w:rPr>
              <w:t>7.</w:t>
            </w:r>
          </w:p>
        </w:tc>
        <w:tc>
          <w:tcPr>
            <w:tcW w:w="1575" w:type="pct"/>
          </w:tcPr>
          <w:p w:rsidR="00262E2B" w:rsidRPr="00D266EE" w:rsidRDefault="00262E2B" w:rsidP="006C4607">
            <w:pPr>
              <w:pStyle w:val="naiskr"/>
              <w:spacing w:before="0" w:after="0"/>
              <w:rPr>
                <w:sz w:val="28"/>
                <w:szCs w:val="28"/>
              </w:rPr>
            </w:pPr>
            <w:r w:rsidRPr="00D266EE">
              <w:rPr>
                <w:sz w:val="28"/>
                <w:szCs w:val="28"/>
              </w:rPr>
              <w:t>Cita informācija</w:t>
            </w:r>
          </w:p>
        </w:tc>
        <w:tc>
          <w:tcPr>
            <w:tcW w:w="3087" w:type="pct"/>
          </w:tcPr>
          <w:p w:rsidR="00262E2B" w:rsidRPr="00D266EE" w:rsidRDefault="001F07BE" w:rsidP="00C62E8B">
            <w:pPr>
              <w:pStyle w:val="naiskr"/>
              <w:spacing w:before="0" w:after="0"/>
              <w:ind w:left="133" w:right="145"/>
              <w:rPr>
                <w:sz w:val="28"/>
                <w:szCs w:val="28"/>
              </w:rPr>
            </w:pPr>
            <w:r w:rsidRPr="00D266EE">
              <w:rPr>
                <w:sz w:val="28"/>
                <w:szCs w:val="28"/>
              </w:rPr>
              <w:t>Nav</w:t>
            </w:r>
          </w:p>
        </w:tc>
      </w:tr>
    </w:tbl>
    <w:p w:rsidR="0081616C" w:rsidRPr="005006BE" w:rsidRDefault="0081616C" w:rsidP="0081616C">
      <w:pPr>
        <w:pStyle w:val="naisf"/>
        <w:spacing w:before="0" w:after="0"/>
        <w:ind w:firstLine="0"/>
        <w:rPr>
          <w:sz w:val="28"/>
          <w:szCs w:val="28"/>
        </w:rPr>
      </w:pPr>
    </w:p>
    <w:tbl>
      <w:tblPr>
        <w:tblpPr w:leftFromText="180" w:rightFromText="180" w:vertAnchor="text" w:horzAnchor="margin" w:tblpXSpec="center" w:tblpY="149"/>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82"/>
      </w:tblGrid>
      <w:tr w:rsidR="0062298A" w:rsidRPr="005006BE" w:rsidTr="0081616C">
        <w:trPr>
          <w:trHeight w:val="414"/>
        </w:trPr>
        <w:tc>
          <w:tcPr>
            <w:tcW w:w="5000" w:type="pct"/>
            <w:vAlign w:val="center"/>
          </w:tcPr>
          <w:p w:rsidR="0062298A" w:rsidRPr="005006BE" w:rsidRDefault="0062298A" w:rsidP="006C4607">
            <w:pPr>
              <w:pStyle w:val="naisnod"/>
              <w:spacing w:before="0" w:after="0"/>
              <w:rPr>
                <w:sz w:val="28"/>
                <w:szCs w:val="28"/>
              </w:rPr>
            </w:pPr>
            <w:r w:rsidRPr="005006BE">
              <w:rPr>
                <w:sz w:val="28"/>
                <w:szCs w:val="28"/>
              </w:rPr>
              <w:t>II</w:t>
            </w:r>
            <w:r w:rsidR="000941C5" w:rsidRPr="005006BE">
              <w:rPr>
                <w:sz w:val="28"/>
                <w:szCs w:val="28"/>
              </w:rPr>
              <w:t>.</w:t>
            </w:r>
            <w:r w:rsidRPr="005006BE">
              <w:rPr>
                <w:sz w:val="28"/>
                <w:szCs w:val="28"/>
              </w:rPr>
              <w:t xml:space="preserve"> Tiesību akta projekta ietekme uz sabiedrību</w:t>
            </w:r>
          </w:p>
        </w:tc>
      </w:tr>
      <w:tr w:rsidR="008F26B0" w:rsidRPr="005006BE" w:rsidTr="0081616C">
        <w:trPr>
          <w:trHeight w:val="417"/>
        </w:trPr>
        <w:tc>
          <w:tcPr>
            <w:tcW w:w="5000" w:type="pct"/>
            <w:vAlign w:val="center"/>
          </w:tcPr>
          <w:p w:rsidR="008F26B0" w:rsidRPr="005006BE" w:rsidRDefault="008F26B0" w:rsidP="006C4607">
            <w:pPr>
              <w:pStyle w:val="naisnod"/>
              <w:spacing w:before="0" w:after="0"/>
              <w:rPr>
                <w:b w:val="0"/>
                <w:sz w:val="28"/>
                <w:szCs w:val="28"/>
              </w:rPr>
            </w:pPr>
            <w:r w:rsidRPr="005006BE">
              <w:rPr>
                <w:b w:val="0"/>
                <w:sz w:val="28"/>
                <w:szCs w:val="28"/>
              </w:rPr>
              <w:t>Likumprojekts šo jomu neskar</w:t>
            </w:r>
          </w:p>
        </w:tc>
      </w:tr>
    </w:tbl>
    <w:p w:rsidR="00AF224C" w:rsidRDefault="00AF224C" w:rsidP="006C4607">
      <w:pPr>
        <w:pStyle w:val="naisf"/>
        <w:spacing w:before="0" w:after="0"/>
        <w:rPr>
          <w:sz w:val="28"/>
          <w:szCs w:val="28"/>
        </w:rPr>
      </w:pPr>
    </w:p>
    <w:p w:rsidR="000B591F" w:rsidRPr="005006BE" w:rsidRDefault="000B591F" w:rsidP="006C4607">
      <w:pPr>
        <w:pStyle w:val="naisf"/>
        <w:spacing w:before="0" w:after="0"/>
        <w:rPr>
          <w:sz w:val="28"/>
          <w:szCs w:val="28"/>
        </w:rPr>
      </w:pPr>
    </w:p>
    <w:tbl>
      <w:tblPr>
        <w:tblW w:w="537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5"/>
      </w:tblGrid>
      <w:tr w:rsidR="005628A7" w:rsidTr="005628A7">
        <w:trPr>
          <w:trHeight w:val="400"/>
          <w:jc w:val="center"/>
        </w:trPr>
        <w:tc>
          <w:tcPr>
            <w:tcW w:w="5000" w:type="pct"/>
            <w:tcBorders>
              <w:top w:val="single" w:sz="4" w:space="0" w:color="auto"/>
              <w:left w:val="single" w:sz="4" w:space="0" w:color="auto"/>
              <w:bottom w:val="single" w:sz="4" w:space="0" w:color="auto"/>
              <w:right w:val="single" w:sz="4" w:space="0" w:color="auto"/>
            </w:tcBorders>
            <w:hideMark/>
          </w:tcPr>
          <w:p w:rsidR="005628A7" w:rsidRDefault="005628A7">
            <w:pPr>
              <w:pStyle w:val="naisnod"/>
              <w:spacing w:before="0" w:after="0"/>
              <w:rPr>
                <w:i/>
                <w:sz w:val="28"/>
                <w:szCs w:val="28"/>
              </w:rPr>
            </w:pPr>
            <w:r>
              <w:rPr>
                <w:b w:val="0"/>
                <w:bCs w:val="0"/>
                <w:sz w:val="28"/>
                <w:szCs w:val="28"/>
              </w:rPr>
              <w:br w:type="page"/>
            </w:r>
            <w:r>
              <w:rPr>
                <w:sz w:val="28"/>
                <w:szCs w:val="28"/>
              </w:rPr>
              <w:t>III. Tiesību akta projekta ietekme uz valsts budžetu un pašvaldību budžetiem</w:t>
            </w:r>
          </w:p>
        </w:tc>
      </w:tr>
      <w:tr w:rsidR="005628A7" w:rsidTr="005628A7">
        <w:trPr>
          <w:trHeight w:val="2541"/>
          <w:jc w:val="center"/>
        </w:trPr>
        <w:tc>
          <w:tcPr>
            <w:tcW w:w="5000" w:type="pct"/>
            <w:tcBorders>
              <w:top w:val="single" w:sz="4" w:space="0" w:color="auto"/>
              <w:left w:val="single" w:sz="4" w:space="0" w:color="auto"/>
              <w:bottom w:val="single" w:sz="4" w:space="0" w:color="auto"/>
              <w:right w:val="single" w:sz="4" w:space="0" w:color="auto"/>
            </w:tcBorders>
            <w:hideMark/>
          </w:tcPr>
          <w:tbl>
            <w:tblPr>
              <w:tblW w:w="10059" w:type="dxa"/>
              <w:jc w:val="center"/>
              <w:tblCellMar>
                <w:left w:w="28" w:type="dxa"/>
                <w:right w:w="0" w:type="dxa"/>
              </w:tblCellMar>
              <w:tblLook w:val="04A0"/>
            </w:tblPr>
            <w:tblGrid>
              <w:gridCol w:w="2606"/>
              <w:gridCol w:w="1571"/>
              <w:gridCol w:w="1660"/>
              <w:gridCol w:w="1630"/>
              <w:gridCol w:w="1296"/>
              <w:gridCol w:w="1296"/>
            </w:tblGrid>
            <w:tr w:rsidR="005628A7">
              <w:trPr>
                <w:jc w:val="center"/>
              </w:trPr>
              <w:tc>
                <w:tcPr>
                  <w:tcW w:w="26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rPr>
                      <w:b/>
                      <w:bCs/>
                    </w:rPr>
                    <w:t>Rādītāji</w:t>
                  </w:r>
                </w:p>
              </w:tc>
              <w:tc>
                <w:tcPr>
                  <w:tcW w:w="323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rPr>
                      <w:b/>
                      <w:bCs/>
                    </w:rPr>
                    <w:t>2013.gads</w:t>
                  </w:r>
                </w:p>
              </w:tc>
              <w:tc>
                <w:tcPr>
                  <w:tcW w:w="422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Turpmākie trīs gadi (tūkst. latu)</w:t>
                  </w:r>
                </w:p>
              </w:tc>
            </w:tr>
            <w:tr w:rsidR="005628A7">
              <w:trPr>
                <w:jc w:val="center"/>
              </w:trPr>
              <w:tc>
                <w:tcPr>
                  <w:tcW w:w="0" w:type="auto"/>
                  <w:vMerge/>
                  <w:tcBorders>
                    <w:top w:val="nil"/>
                    <w:left w:val="single" w:sz="8" w:space="0" w:color="auto"/>
                    <w:bottom w:val="single" w:sz="8" w:space="0" w:color="auto"/>
                    <w:right w:val="single" w:sz="8" w:space="0" w:color="auto"/>
                  </w:tcBorders>
                  <w:vAlign w:val="center"/>
                  <w:hideMark/>
                </w:tcPr>
                <w:p w:rsidR="005628A7" w:rsidRDefault="005628A7">
                  <w:pPr>
                    <w:rPr>
                      <w:rFonts w:ascii="Calibri" w:eastAsia="Calibri" w:hAnsi="Calibri"/>
                      <w:sz w:val="22"/>
                      <w:szCs w:val="22"/>
                    </w:rPr>
                  </w:pPr>
                </w:p>
              </w:tc>
              <w:tc>
                <w:tcPr>
                  <w:tcW w:w="0" w:type="auto"/>
                  <w:gridSpan w:val="2"/>
                  <w:vMerge/>
                  <w:tcBorders>
                    <w:top w:val="nil"/>
                    <w:left w:val="nil"/>
                    <w:bottom w:val="single" w:sz="8" w:space="0" w:color="auto"/>
                    <w:right w:val="single" w:sz="8" w:space="0" w:color="auto"/>
                  </w:tcBorders>
                  <w:vAlign w:val="center"/>
                  <w:hideMark/>
                </w:tcPr>
                <w:p w:rsidR="005628A7" w:rsidRDefault="005628A7">
                  <w:pPr>
                    <w:rPr>
                      <w:rFonts w:ascii="Calibri" w:eastAsia="Calibri" w:hAnsi="Calibri"/>
                      <w:sz w:val="22"/>
                      <w:szCs w:val="22"/>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jc w:val="center"/>
                    <w:rPr>
                      <w:rFonts w:ascii="Calibri" w:eastAsia="Calibri" w:hAnsi="Calibri"/>
                      <w:sz w:val="22"/>
                      <w:szCs w:val="22"/>
                    </w:rPr>
                  </w:pPr>
                  <w:r>
                    <w:rPr>
                      <w:b/>
                      <w:bCs/>
                    </w:rPr>
                    <w:t>2014.g.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jc w:val="center"/>
                    <w:rPr>
                      <w:rFonts w:ascii="Calibri" w:eastAsia="Calibri" w:hAnsi="Calibri"/>
                      <w:sz w:val="22"/>
                      <w:szCs w:val="22"/>
                    </w:rPr>
                  </w:pPr>
                  <w:r>
                    <w:rPr>
                      <w:b/>
                      <w:bCs/>
                    </w:rPr>
                    <w:t>2015.g.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jc w:val="center"/>
                    <w:rPr>
                      <w:rFonts w:ascii="Calibri" w:eastAsia="Calibri" w:hAnsi="Calibri"/>
                      <w:sz w:val="22"/>
                      <w:szCs w:val="22"/>
                    </w:rPr>
                  </w:pPr>
                  <w:r>
                    <w:rPr>
                      <w:b/>
                      <w:bCs/>
                    </w:rPr>
                    <w:t>2016.g.</w:t>
                  </w:r>
                </w:p>
              </w:tc>
            </w:tr>
            <w:tr w:rsidR="005628A7">
              <w:trPr>
                <w:jc w:val="center"/>
              </w:trPr>
              <w:tc>
                <w:tcPr>
                  <w:tcW w:w="0" w:type="auto"/>
                  <w:vMerge/>
                  <w:tcBorders>
                    <w:top w:val="nil"/>
                    <w:left w:val="single" w:sz="8" w:space="0" w:color="auto"/>
                    <w:bottom w:val="single" w:sz="8" w:space="0" w:color="auto"/>
                    <w:right w:val="single" w:sz="8" w:space="0" w:color="auto"/>
                  </w:tcBorders>
                  <w:vAlign w:val="center"/>
                  <w:hideMark/>
                </w:tcPr>
                <w:p w:rsidR="005628A7" w:rsidRDefault="005628A7">
                  <w:pPr>
                    <w:rPr>
                      <w:rFonts w:ascii="Calibri" w:eastAsia="Calibri" w:hAnsi="Calibri"/>
                      <w:sz w:val="22"/>
                      <w:szCs w:val="22"/>
                    </w:rPr>
                  </w:pPr>
                </w:p>
              </w:tc>
              <w:tc>
                <w:tcPr>
                  <w:tcW w:w="15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628A7" w:rsidRDefault="005628A7">
                  <w:pPr>
                    <w:rPr>
                      <w:rFonts w:ascii="Calibri" w:eastAsia="Calibri" w:hAnsi="Calibri"/>
                      <w:sz w:val="22"/>
                      <w:szCs w:val="22"/>
                    </w:rPr>
                  </w:pPr>
                  <w:r>
                    <w:t>Saskaņā ar valsts budžetu kārtējam gadam</w:t>
                  </w:r>
                </w:p>
              </w:tc>
              <w:tc>
                <w:tcPr>
                  <w:tcW w:w="1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628A7" w:rsidRDefault="005628A7">
                  <w:pPr>
                    <w:rPr>
                      <w:rFonts w:ascii="Calibri" w:eastAsia="Calibri" w:hAnsi="Calibri"/>
                      <w:sz w:val="22"/>
                      <w:szCs w:val="22"/>
                    </w:rPr>
                  </w:pPr>
                  <w:r>
                    <w:t>Izmaiņas kārtējā gadā, salīdzinot ar budžetu kārtējam gadam</w:t>
                  </w:r>
                </w:p>
              </w:tc>
              <w:tc>
                <w:tcPr>
                  <w:tcW w:w="16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628A7" w:rsidRDefault="005628A7">
                  <w:pPr>
                    <w:rPr>
                      <w:rFonts w:ascii="Calibri" w:eastAsia="Calibri" w:hAnsi="Calibri"/>
                      <w:sz w:val="22"/>
                      <w:szCs w:val="22"/>
                    </w:rPr>
                  </w:pPr>
                  <w:r>
                    <w:t>Izmaiņas, salīdzinot ar kārtējo (2013.) gadu</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628A7" w:rsidRDefault="005628A7">
                  <w:pPr>
                    <w:rPr>
                      <w:rFonts w:ascii="Calibri" w:eastAsia="Calibri" w:hAnsi="Calibri"/>
                      <w:sz w:val="22"/>
                      <w:szCs w:val="22"/>
                    </w:rPr>
                  </w:pPr>
                  <w:r>
                    <w:t>Izmaiņas, salīdzinot ar kārtējo (2013.) gadu</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628A7" w:rsidRDefault="005628A7">
                  <w:pPr>
                    <w:rPr>
                      <w:rFonts w:ascii="Calibri" w:eastAsia="Calibri" w:hAnsi="Calibri"/>
                      <w:sz w:val="22"/>
                      <w:szCs w:val="22"/>
                    </w:rPr>
                  </w:pPr>
                  <w:r>
                    <w:t>Izmaiņas, salīdzinot ar kārtējo (2013.) gadu</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28A7" w:rsidRDefault="005628A7">
                  <w:pPr>
                    <w:rPr>
                      <w:rFonts w:ascii="Calibri" w:eastAsia="Calibri" w:hAnsi="Calibri"/>
                      <w:sz w:val="22"/>
                      <w:szCs w:val="22"/>
                    </w:rPr>
                  </w:pPr>
                  <w:r>
                    <w:t>1</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3</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6</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eastAsia="Calibri"/>
                    </w:rPr>
                  </w:pPr>
                  <w:r>
                    <w:t>1. Budžeta ieņēmumi:</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5628A7" w:rsidRDefault="005628A7">
                  <w:pPr>
                    <w:ind w:left="360"/>
                    <w:rPr>
                      <w:rFonts w:eastAsia="Calibri"/>
                      <w:b/>
                      <w:highlight w:val="yellow"/>
                    </w:rPr>
                  </w:pPr>
                  <w:r>
                    <w:rPr>
                      <w:b/>
                      <w:bCs/>
                    </w:rPr>
                    <w:t>19 700,4</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628A7" w:rsidRDefault="005628A7">
                  <w:pPr>
                    <w:jc w:val="center"/>
                    <w:rPr>
                      <w:b/>
                    </w:rPr>
                  </w:pPr>
                  <w:r>
                    <w:rPr>
                      <w:b/>
                    </w:rP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5628A7" w:rsidRDefault="005628A7">
                  <w:pPr>
                    <w:ind w:left="360"/>
                    <w:rPr>
                      <w:rFonts w:eastAsia="Calibri"/>
                      <w:b/>
                    </w:rPr>
                  </w:pPr>
                  <w:r>
                    <w:rPr>
                      <w:b/>
                      <w:bCs/>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628A7" w:rsidRDefault="005628A7">
                  <w:pPr>
                    <w:ind w:left="360"/>
                    <w:rPr>
                      <w:rFonts w:eastAsia="Calibri"/>
                      <w:b/>
                    </w:rPr>
                  </w:pPr>
                  <w:r>
                    <w:rPr>
                      <w:b/>
                      <w:bCs/>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628A7" w:rsidRDefault="005628A7">
                  <w:pPr>
                    <w:ind w:left="360"/>
                    <w:rPr>
                      <w:rFonts w:eastAsia="Calibri"/>
                      <w:b/>
                    </w:rPr>
                  </w:pPr>
                  <w:r>
                    <w:rPr>
                      <w:b/>
                      <w:bCs/>
                    </w:rP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28A7" w:rsidRDefault="005628A7">
                  <w:pPr>
                    <w:rPr>
                      <w:rFonts w:eastAsia="Calibri"/>
                    </w:rPr>
                  </w:pPr>
                  <w:r>
                    <w:t>1.1. valsts pamatbudžets, tai skaitā ieņēmumi no maksas pakalpojumiem un citi pašu ieņēmumi</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b/>
                      <w:highlight w:val="yellow"/>
                    </w:rPr>
                  </w:pPr>
                  <w:r>
                    <w:rPr>
                      <w:b/>
                      <w:bCs/>
                    </w:rPr>
                    <w:t>19 700,4</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eastAsia="Calibri"/>
                      <w:b/>
                    </w:rPr>
                  </w:pPr>
                  <w:r>
                    <w:rPr>
                      <w:b/>
                    </w:rP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b/>
                    </w:rPr>
                  </w:pPr>
                  <w:r>
                    <w:rPr>
                      <w:b/>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b/>
                    </w:rPr>
                  </w:pPr>
                  <w:r>
                    <w:rPr>
                      <w:b/>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b/>
                    </w:rPr>
                  </w:pPr>
                  <w:r>
                    <w:rPr>
                      <w:b/>
                    </w:rP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eastAsia="Calibri"/>
                    </w:rPr>
                  </w:pPr>
                  <w:r>
                    <w:t>1.2. valsts speciālais budžets</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eastAsia="Calibri"/>
                    </w:rPr>
                  </w:pPr>
                  <w: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eastAsia="Calibri"/>
                    </w:rPr>
                  </w:pPr>
                  <w:r>
                    <w:t>1.3. pašvaldību budžets</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eastAsia="Calibri"/>
                    </w:rPr>
                  </w:pPr>
                  <w: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eastAsia="Calibri"/>
                    </w:rPr>
                  </w:pPr>
                  <w:r>
                    <w:t>2. Budžeta izdevumi:</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5628A7" w:rsidRDefault="005628A7">
                  <w:pPr>
                    <w:ind w:left="360"/>
                    <w:rPr>
                      <w:rFonts w:eastAsia="Calibri"/>
                      <w:highlight w:val="yellow"/>
                    </w:rPr>
                  </w:pPr>
                  <w:r>
                    <w:rPr>
                      <w:b/>
                      <w:bCs/>
                    </w:rPr>
                    <w:t>19 700,4</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b/>
                    </w:rPr>
                  </w:pPr>
                  <w:r>
                    <w:rPr>
                      <w:b/>
                    </w:rPr>
                    <w:t>4 795,7</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5628A7" w:rsidRDefault="005628A7">
                  <w:pPr>
                    <w:ind w:left="360"/>
                    <w:rPr>
                      <w:rFonts w:eastAsia="Calibri"/>
                    </w:rPr>
                  </w:pPr>
                  <w:r>
                    <w:rPr>
                      <w:b/>
                      <w:bCs/>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628A7" w:rsidRDefault="005628A7">
                  <w:pPr>
                    <w:ind w:left="360"/>
                    <w:rPr>
                      <w:rFonts w:eastAsia="Calibri"/>
                    </w:rPr>
                  </w:pPr>
                  <w:r>
                    <w:rPr>
                      <w:b/>
                      <w:bCs/>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628A7" w:rsidRDefault="005628A7">
                  <w:pPr>
                    <w:ind w:left="360"/>
                    <w:rPr>
                      <w:rFonts w:eastAsia="Calibri"/>
                    </w:rPr>
                  </w:pPr>
                  <w:r>
                    <w:rPr>
                      <w:b/>
                      <w:bCs/>
                    </w:rP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eastAsia="Calibri"/>
                    </w:rPr>
                  </w:pPr>
                  <w:r>
                    <w:t>2.1. valsts pamatbudžets</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highlight w:val="yellow"/>
                    </w:rPr>
                  </w:pPr>
                  <w:r>
                    <w:rPr>
                      <w:b/>
                      <w:bCs/>
                    </w:rPr>
                    <w:t>19 700,4</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b/>
                    </w:rPr>
                  </w:pPr>
                  <w:r>
                    <w:rPr>
                      <w:b/>
                    </w:rPr>
                    <w:t>4 795,7</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rPr>
                      <w:b/>
                      <w:bCs/>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eastAsia="Calibri"/>
                    </w:rPr>
                  </w:pPr>
                  <w:r>
                    <w:t>2.2. valsts speciālais budžets</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eastAsia="Calibri"/>
                    </w:rPr>
                  </w:pPr>
                  <w: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eastAsia="Calibri"/>
                    </w:rPr>
                  </w:pPr>
                  <w:r>
                    <w:t xml:space="preserve">2.3. pašvaldību budžets </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eastAsia="Calibri"/>
                    </w:rPr>
                  </w:pPr>
                  <w: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28A7" w:rsidRDefault="005628A7">
                  <w:pPr>
                    <w:rPr>
                      <w:rFonts w:eastAsia="Calibri"/>
                    </w:rPr>
                  </w:pPr>
                  <w:r>
                    <w:t>3. Finansiālā ietekme:</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rPr>
                      <w:b/>
                      <w:bCs/>
                    </w:rPr>
                    <w:t>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eastAsia="Calibri"/>
                    </w:rPr>
                  </w:pPr>
                  <w:r>
                    <w:rPr>
                      <w:b/>
                      <w:bCs/>
                    </w:rPr>
                    <w:t>-4 795,7</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rPr>
                      <w:bCs/>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rPr>
                      <w:b/>
                      <w:bCs/>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rPr>
                      <w:b/>
                      <w:bCs/>
                    </w:rP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28A7" w:rsidRDefault="005628A7">
                  <w:pPr>
                    <w:rPr>
                      <w:rFonts w:eastAsia="Calibri"/>
                    </w:rPr>
                  </w:pPr>
                  <w:r>
                    <w:t>3.1. valsts pamatbudžets</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eastAsia="Calibri"/>
                    </w:rPr>
                  </w:pPr>
                  <w:r>
                    <w:rPr>
                      <w:b/>
                      <w:bCs/>
                    </w:rPr>
                    <w:t>-4 795,7</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rPr>
                      <w:bCs/>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eastAsia="Calibri"/>
                    </w:rPr>
                  </w:pPr>
                  <w:r>
                    <w:t>3.2. speciālais budžets</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eastAsia="Calibri"/>
                      <w:highlight w:val="yellow"/>
                    </w:rPr>
                  </w:pPr>
                  <w: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eastAsia="Calibri"/>
                    </w:rPr>
                  </w:pPr>
                  <w:r>
                    <w:t xml:space="preserve">3.3. pašvaldību budžets </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eastAsia="Calibri"/>
                    </w:rPr>
                  </w:pPr>
                  <w: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r>
            <w:tr w:rsidR="005628A7">
              <w:trPr>
                <w:jc w:val="center"/>
              </w:trPr>
              <w:tc>
                <w:tcPr>
                  <w:tcW w:w="26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eastAsia="Calibri"/>
                    </w:rPr>
                  </w:pPr>
                  <w:r>
                    <w:t xml:space="preserve">4. Finanšu līdzekļi papildu izdevumu finansēšanai (kompensējošu izdevumu samazinājumu norāda ar </w:t>
                  </w:r>
                  <w:r>
                    <w:lastRenderedPageBreak/>
                    <w:t>"+" zīmi)</w:t>
                  </w:r>
                </w:p>
              </w:tc>
              <w:tc>
                <w:tcPr>
                  <w:tcW w:w="15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lastRenderedPageBreak/>
                    <w:t>X</w:t>
                  </w:r>
                </w:p>
              </w:tc>
              <w:tc>
                <w:tcPr>
                  <w:tcW w:w="16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eastAsia="Calibri"/>
                    </w:rPr>
                  </w:pPr>
                  <w:r>
                    <w:rPr>
                      <w:b/>
                      <w:bCs/>
                    </w:rP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r>
            <w:tr w:rsidR="005628A7">
              <w:trPr>
                <w:jc w:val="center"/>
              </w:trPr>
              <w:tc>
                <w:tcPr>
                  <w:tcW w:w="0" w:type="auto"/>
                  <w:vMerge/>
                  <w:tcBorders>
                    <w:top w:val="nil"/>
                    <w:left w:val="single" w:sz="8" w:space="0" w:color="auto"/>
                    <w:bottom w:val="single" w:sz="8" w:space="0" w:color="auto"/>
                    <w:right w:val="single" w:sz="8" w:space="0" w:color="auto"/>
                  </w:tcBorders>
                  <w:vAlign w:val="center"/>
                  <w:hideMark/>
                </w:tcPr>
                <w:p w:rsidR="005628A7" w:rsidRDefault="005628A7">
                  <w:pPr>
                    <w:rPr>
                      <w:rFonts w:eastAsia="Calibri"/>
                    </w:rPr>
                  </w:pPr>
                </w:p>
              </w:tc>
              <w:tc>
                <w:tcPr>
                  <w:tcW w:w="0" w:type="auto"/>
                  <w:vMerge/>
                  <w:tcBorders>
                    <w:top w:val="nil"/>
                    <w:left w:val="nil"/>
                    <w:bottom w:val="single" w:sz="8" w:space="0" w:color="auto"/>
                    <w:right w:val="single" w:sz="8" w:space="0" w:color="auto"/>
                  </w:tcBorders>
                  <w:vAlign w:val="center"/>
                  <w:hideMark/>
                </w:tcPr>
                <w:p w:rsidR="005628A7" w:rsidRDefault="005628A7">
                  <w:pPr>
                    <w:rPr>
                      <w:rFonts w:eastAsia="Calibri"/>
                    </w:rPr>
                  </w:pPr>
                </w:p>
              </w:tc>
              <w:tc>
                <w:tcPr>
                  <w:tcW w:w="0" w:type="auto"/>
                  <w:vMerge/>
                  <w:tcBorders>
                    <w:top w:val="nil"/>
                    <w:left w:val="nil"/>
                    <w:bottom w:val="single" w:sz="8" w:space="0" w:color="auto"/>
                    <w:right w:val="single" w:sz="8" w:space="0" w:color="auto"/>
                  </w:tcBorders>
                  <w:vAlign w:val="center"/>
                  <w:hideMark/>
                </w:tcPr>
                <w:p w:rsidR="005628A7" w:rsidRDefault="005628A7">
                  <w:pPr>
                    <w:rPr>
                      <w:rFonts w:eastAsia="Calibri"/>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r>
            <w:tr w:rsidR="005628A7">
              <w:trPr>
                <w:jc w:val="center"/>
              </w:trPr>
              <w:tc>
                <w:tcPr>
                  <w:tcW w:w="0" w:type="auto"/>
                  <w:vMerge/>
                  <w:tcBorders>
                    <w:top w:val="nil"/>
                    <w:left w:val="single" w:sz="8" w:space="0" w:color="auto"/>
                    <w:bottom w:val="single" w:sz="8" w:space="0" w:color="auto"/>
                    <w:right w:val="single" w:sz="8" w:space="0" w:color="auto"/>
                  </w:tcBorders>
                  <w:vAlign w:val="center"/>
                  <w:hideMark/>
                </w:tcPr>
                <w:p w:rsidR="005628A7" w:rsidRDefault="005628A7">
                  <w:pPr>
                    <w:rPr>
                      <w:rFonts w:eastAsia="Calibri"/>
                    </w:rPr>
                  </w:pPr>
                </w:p>
              </w:tc>
              <w:tc>
                <w:tcPr>
                  <w:tcW w:w="0" w:type="auto"/>
                  <w:vMerge/>
                  <w:tcBorders>
                    <w:top w:val="nil"/>
                    <w:left w:val="nil"/>
                    <w:bottom w:val="single" w:sz="8" w:space="0" w:color="auto"/>
                    <w:right w:val="single" w:sz="8" w:space="0" w:color="auto"/>
                  </w:tcBorders>
                  <w:vAlign w:val="center"/>
                  <w:hideMark/>
                </w:tcPr>
                <w:p w:rsidR="005628A7" w:rsidRDefault="005628A7">
                  <w:pPr>
                    <w:rPr>
                      <w:rFonts w:eastAsia="Calibri"/>
                    </w:rPr>
                  </w:pPr>
                </w:p>
              </w:tc>
              <w:tc>
                <w:tcPr>
                  <w:tcW w:w="0" w:type="auto"/>
                  <w:vMerge/>
                  <w:tcBorders>
                    <w:top w:val="nil"/>
                    <w:left w:val="nil"/>
                    <w:bottom w:val="single" w:sz="8" w:space="0" w:color="auto"/>
                    <w:right w:val="single" w:sz="8" w:space="0" w:color="auto"/>
                  </w:tcBorders>
                  <w:vAlign w:val="center"/>
                  <w:hideMark/>
                </w:tcPr>
                <w:p w:rsidR="005628A7" w:rsidRDefault="005628A7">
                  <w:pPr>
                    <w:rPr>
                      <w:rFonts w:eastAsia="Calibri"/>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eastAsia="Calibri"/>
                    </w:rPr>
                  </w:pPr>
                  <w: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ascii="Calibri" w:eastAsia="Calibri" w:hAnsi="Calibri"/>
                      <w:sz w:val="22"/>
                      <w:szCs w:val="22"/>
                    </w:rPr>
                  </w:pPr>
                  <w:r>
                    <w:lastRenderedPageBreak/>
                    <w:t>5. Precizēta finansiālā ietekme:</w:t>
                  </w:r>
                </w:p>
              </w:tc>
              <w:tc>
                <w:tcPr>
                  <w:tcW w:w="15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highlight w:val="yellow"/>
                    </w:rPr>
                  </w:pPr>
                  <w:r>
                    <w:t>X</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ascii="Calibri" w:eastAsia="Calibri" w:hAnsi="Calibri"/>
                      <w:sz w:val="22"/>
                      <w:szCs w:val="22"/>
                      <w:highlight w:val="yellow"/>
                    </w:rPr>
                  </w:pPr>
                  <w:r>
                    <w:rPr>
                      <w:b/>
                      <w:bCs/>
                    </w:rPr>
                    <w:t>-4 795,7</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rPr>
                      <w:bCs/>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ascii="Calibri" w:eastAsia="Calibri" w:hAnsi="Calibri"/>
                      <w:sz w:val="22"/>
                      <w:szCs w:val="22"/>
                    </w:rPr>
                  </w:pPr>
                  <w:r>
                    <w:t>5.1. valsts pamatbudžets</w:t>
                  </w:r>
                </w:p>
              </w:tc>
              <w:tc>
                <w:tcPr>
                  <w:tcW w:w="0" w:type="auto"/>
                  <w:vMerge/>
                  <w:tcBorders>
                    <w:top w:val="nil"/>
                    <w:left w:val="nil"/>
                    <w:bottom w:val="single" w:sz="8" w:space="0" w:color="auto"/>
                    <w:right w:val="single" w:sz="8" w:space="0" w:color="auto"/>
                  </w:tcBorders>
                  <w:vAlign w:val="center"/>
                  <w:hideMark/>
                </w:tcPr>
                <w:p w:rsidR="005628A7" w:rsidRDefault="005628A7">
                  <w:pPr>
                    <w:rPr>
                      <w:rFonts w:ascii="Calibri" w:eastAsia="Calibri" w:hAnsi="Calibri"/>
                      <w:sz w:val="22"/>
                      <w:szCs w:val="22"/>
                      <w:highlight w:val="yellow"/>
                    </w:rPr>
                  </w:pP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ascii="Calibri" w:eastAsia="Calibri" w:hAnsi="Calibri"/>
                      <w:sz w:val="22"/>
                      <w:szCs w:val="22"/>
                      <w:highlight w:val="yellow"/>
                    </w:rPr>
                  </w:pPr>
                  <w:r>
                    <w:rPr>
                      <w:b/>
                      <w:bCs/>
                    </w:rPr>
                    <w:t>-4 795,7</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rPr>
                      <w:bCs/>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ascii="Calibri" w:eastAsia="Calibri" w:hAnsi="Calibri"/>
                      <w:sz w:val="22"/>
                      <w:szCs w:val="22"/>
                    </w:rPr>
                  </w:pPr>
                  <w:r>
                    <w:t>5.2. speciālais budžets</w:t>
                  </w:r>
                </w:p>
              </w:tc>
              <w:tc>
                <w:tcPr>
                  <w:tcW w:w="0" w:type="auto"/>
                  <w:vMerge/>
                  <w:tcBorders>
                    <w:top w:val="nil"/>
                    <w:left w:val="nil"/>
                    <w:bottom w:val="single" w:sz="8" w:space="0" w:color="auto"/>
                    <w:right w:val="single" w:sz="8" w:space="0" w:color="auto"/>
                  </w:tcBorders>
                  <w:vAlign w:val="center"/>
                  <w:hideMark/>
                </w:tcPr>
                <w:p w:rsidR="005628A7" w:rsidRDefault="005628A7">
                  <w:pPr>
                    <w:rPr>
                      <w:rFonts w:ascii="Calibri" w:eastAsia="Calibri" w:hAnsi="Calibri"/>
                      <w:sz w:val="22"/>
                      <w:szCs w:val="22"/>
                      <w:highlight w:val="yellow"/>
                    </w:rPr>
                  </w:pP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ascii="Calibri" w:eastAsia="Calibri" w:hAnsi="Calibri"/>
                      <w:sz w:val="22"/>
                      <w:szCs w:val="22"/>
                    </w:rPr>
                  </w:pPr>
                  <w: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ascii="Calibri" w:eastAsia="Calibri" w:hAnsi="Calibri"/>
                      <w:sz w:val="22"/>
                      <w:szCs w:val="22"/>
                    </w:rPr>
                  </w:pPr>
                  <w:r>
                    <w:t xml:space="preserve">5.3. pašvaldību budžets </w:t>
                  </w:r>
                </w:p>
              </w:tc>
              <w:tc>
                <w:tcPr>
                  <w:tcW w:w="0" w:type="auto"/>
                  <w:vMerge/>
                  <w:tcBorders>
                    <w:top w:val="nil"/>
                    <w:left w:val="nil"/>
                    <w:bottom w:val="single" w:sz="8" w:space="0" w:color="auto"/>
                    <w:right w:val="single" w:sz="8" w:space="0" w:color="auto"/>
                  </w:tcBorders>
                  <w:vAlign w:val="center"/>
                  <w:hideMark/>
                </w:tcPr>
                <w:p w:rsidR="005628A7" w:rsidRDefault="005628A7">
                  <w:pPr>
                    <w:rPr>
                      <w:rFonts w:ascii="Calibri" w:eastAsia="Calibri" w:hAnsi="Calibri"/>
                      <w:sz w:val="22"/>
                      <w:szCs w:val="22"/>
                      <w:highlight w:val="yellow"/>
                    </w:rPr>
                  </w:pP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jc w:val="center"/>
                    <w:rPr>
                      <w:rFonts w:ascii="Calibri" w:eastAsia="Calibri" w:hAnsi="Calibri"/>
                      <w:sz w:val="22"/>
                      <w:szCs w:val="22"/>
                    </w:rPr>
                  </w:pPr>
                  <w: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28A7" w:rsidRDefault="005628A7">
                  <w:pPr>
                    <w:ind w:left="360"/>
                    <w:rPr>
                      <w:rFonts w:ascii="Calibri" w:eastAsia="Calibri" w:hAnsi="Calibri"/>
                      <w:sz w:val="22"/>
                      <w:szCs w:val="22"/>
                    </w:rPr>
                  </w:pPr>
                  <w:r>
                    <w:t>0</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ascii="Calibri" w:eastAsia="Calibri" w:hAnsi="Calibri"/>
                      <w:sz w:val="22"/>
                      <w:szCs w:val="22"/>
                    </w:rPr>
                  </w:pPr>
                  <w:r>
                    <w:t>6. Detalizēts ieņēmumu un izdevumu aprēķins (ja nepieciešams, detalizētu ieņēmumu un izdevumu aprēķinu var pievienot anotācijas pielikumā):</w:t>
                  </w:r>
                </w:p>
              </w:tc>
              <w:tc>
                <w:tcPr>
                  <w:tcW w:w="7453" w:type="dxa"/>
                  <w:gridSpan w:val="5"/>
                  <w:vMerge w:val="restart"/>
                  <w:tcBorders>
                    <w:top w:val="nil"/>
                    <w:left w:val="nil"/>
                    <w:bottom w:val="nil"/>
                    <w:right w:val="single" w:sz="8" w:space="0" w:color="auto"/>
                  </w:tcBorders>
                  <w:tcMar>
                    <w:top w:w="0" w:type="dxa"/>
                    <w:left w:w="108" w:type="dxa"/>
                    <w:bottom w:w="0" w:type="dxa"/>
                    <w:right w:w="108" w:type="dxa"/>
                  </w:tcMar>
                  <w:hideMark/>
                </w:tcPr>
                <w:p w:rsidR="005628A7" w:rsidRDefault="005628A7">
                  <w:r>
                    <w:t xml:space="preserve">Izmaiņas ieņēmumos veicamas, pamatojoties uz likuma „Par valsts budžetu 2013. gadam” 48. pantu, kurā noteikts, ka </w:t>
                  </w:r>
                  <w:r>
                    <w:rPr>
                      <w:color w:val="2A2A2A"/>
                    </w:rPr>
                    <w:t xml:space="preserve">finanšu ministram ir tiesības palielināt apropriāciju </w:t>
                  </w:r>
                  <w:r>
                    <w:t>LNB</w:t>
                  </w:r>
                  <w:r>
                    <w:rPr>
                      <w:color w:val="2A2A2A"/>
                    </w:rPr>
                    <w:t xml:space="preserve"> projekta īstenošanai pēc Kultūras ministrijas informatīvā ziņojuma apstiprināšanas Ministru kabinetā. </w:t>
                  </w:r>
                  <w:r>
                    <w:t>Apropriācijas palielinājums nedrīkst pārsniegt 0,03 procentus no likuma „Par valsts budžetu 2013. gadam” 7. pantā noteiktās iekšzemes kopprodukta prognozes apjoma, tas ir, 4 795,7 tūkst. latu. </w:t>
                  </w:r>
                </w:p>
                <w:p w:rsidR="005628A7" w:rsidRDefault="005628A7">
                  <w:r>
                    <w:t>Apropriācijas palielinājums nepieciešams šādu aktivitāšu finansēšanai:</w:t>
                  </w:r>
                </w:p>
                <w:p w:rsidR="005628A7" w:rsidRDefault="005628A7">
                  <w:pPr>
                    <w:rPr>
                      <w:rFonts w:ascii="Calibri" w:eastAsia="Calibri" w:hAnsi="Calibri"/>
                    </w:rPr>
                  </w:pPr>
                  <w:r>
                    <w:t xml:space="preserve"> - papildu finansējums LNB infrastruktūras objektu 1.kārtas būvdarbiem  2 635,6 tūkst. latu;</w:t>
                  </w:r>
                </w:p>
                <w:p w:rsidR="005628A7" w:rsidRDefault="005628A7">
                  <w:r>
                    <w:rPr>
                      <w:sz w:val="28"/>
                      <w:szCs w:val="28"/>
                    </w:rPr>
                    <w:t xml:space="preserve"> </w:t>
                  </w:r>
                  <w:r>
                    <w:t>- LNB ēkas būvdarbu līguma pagarinājums līdz 2013.gada 20.decembrim  839,1 tūkst. latu;</w:t>
                  </w:r>
                </w:p>
                <w:p w:rsidR="005628A7" w:rsidRDefault="005628A7">
                  <w:r>
                    <w:t>- finansējums maksājumiem par siltumenerģiju 21</w:t>
                  </w:r>
                  <w:r w:rsidR="00070860">
                    <w:t>2,5</w:t>
                  </w:r>
                  <w:r>
                    <w:t xml:space="preserve"> tūkst latu;</w:t>
                  </w:r>
                </w:p>
                <w:p w:rsidR="005628A7" w:rsidRDefault="005628A7">
                  <w:r>
                    <w:t>- LNB ēkas būvdarbu būvuzraudzības līguma termiņa pagarinājums  726,0 tūkst. latu;</w:t>
                  </w:r>
                </w:p>
                <w:p w:rsidR="005628A7" w:rsidRDefault="005628A7">
                  <w:r>
                    <w:t>- LNB ēkas būvdarbu autoruzraudzības līguma termiņa pagarinājums  382,5 tūkst. latu.</w:t>
                  </w: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ascii="Calibri" w:eastAsia="Calibri" w:hAnsi="Calibri"/>
                      <w:sz w:val="22"/>
                      <w:szCs w:val="22"/>
                    </w:rPr>
                  </w:pPr>
                  <w:r>
                    <w:t>6.1. detalizēts ieņēmumu aprēķins</w:t>
                  </w:r>
                </w:p>
              </w:tc>
              <w:tc>
                <w:tcPr>
                  <w:tcW w:w="0" w:type="auto"/>
                  <w:gridSpan w:val="5"/>
                  <w:vMerge/>
                  <w:tcBorders>
                    <w:top w:val="nil"/>
                    <w:left w:val="single" w:sz="8" w:space="0" w:color="auto"/>
                    <w:bottom w:val="single" w:sz="8" w:space="0" w:color="auto"/>
                    <w:right w:val="single" w:sz="8" w:space="0" w:color="auto"/>
                  </w:tcBorders>
                  <w:vAlign w:val="center"/>
                  <w:hideMark/>
                </w:tcPr>
                <w:p w:rsidR="005628A7" w:rsidRDefault="005628A7"/>
              </w:tc>
            </w:tr>
            <w:tr w:rsidR="005628A7">
              <w:trPr>
                <w:jc w:val="center"/>
              </w:trPr>
              <w:tc>
                <w:tcPr>
                  <w:tcW w:w="2606" w:type="dxa"/>
                  <w:tcBorders>
                    <w:top w:val="nil"/>
                    <w:left w:val="single" w:sz="8" w:space="0" w:color="auto"/>
                    <w:bottom w:val="nil"/>
                    <w:right w:val="single" w:sz="8" w:space="0" w:color="auto"/>
                  </w:tcBorders>
                  <w:tcMar>
                    <w:top w:w="0" w:type="dxa"/>
                    <w:left w:w="108" w:type="dxa"/>
                    <w:bottom w:w="0" w:type="dxa"/>
                    <w:right w:w="108" w:type="dxa"/>
                  </w:tcMar>
                  <w:hideMark/>
                </w:tcPr>
                <w:p w:rsidR="005628A7" w:rsidRDefault="005628A7">
                  <w:pPr>
                    <w:rPr>
                      <w:rFonts w:ascii="Calibri" w:eastAsia="Calibri" w:hAnsi="Calibri"/>
                      <w:sz w:val="22"/>
                      <w:szCs w:val="22"/>
                    </w:rPr>
                  </w:pPr>
                  <w:r>
                    <w:t>6.2. detalizēts izdevumu aprēķins</w:t>
                  </w:r>
                </w:p>
              </w:tc>
              <w:tc>
                <w:tcPr>
                  <w:tcW w:w="0" w:type="auto"/>
                  <w:gridSpan w:val="5"/>
                  <w:vMerge/>
                  <w:tcBorders>
                    <w:top w:val="nil"/>
                    <w:left w:val="single" w:sz="8" w:space="0" w:color="auto"/>
                    <w:bottom w:val="nil"/>
                    <w:right w:val="single" w:sz="8" w:space="0" w:color="auto"/>
                  </w:tcBorders>
                  <w:vAlign w:val="center"/>
                  <w:hideMark/>
                </w:tcPr>
                <w:p w:rsidR="005628A7" w:rsidRDefault="005628A7"/>
              </w:tc>
            </w:tr>
            <w:tr w:rsidR="005628A7">
              <w:trPr>
                <w:jc w:val="center"/>
              </w:trPr>
              <w:tc>
                <w:tcPr>
                  <w:tcW w:w="2606" w:type="dxa"/>
                  <w:tcBorders>
                    <w:top w:val="nil"/>
                    <w:left w:val="single" w:sz="8" w:space="0" w:color="auto"/>
                    <w:bottom w:val="nil"/>
                    <w:right w:val="single" w:sz="8" w:space="0" w:color="auto"/>
                  </w:tcBorders>
                  <w:tcMar>
                    <w:top w:w="0" w:type="dxa"/>
                    <w:left w:w="108" w:type="dxa"/>
                    <w:bottom w:w="0" w:type="dxa"/>
                    <w:right w:w="108" w:type="dxa"/>
                  </w:tcMar>
                  <w:hideMark/>
                </w:tcPr>
                <w:p w:rsidR="005628A7" w:rsidRDefault="005628A7">
                  <w:pPr>
                    <w:rPr>
                      <w:rFonts w:asciiTheme="minorHAnsi" w:eastAsiaTheme="minorEastAsia" w:hAnsiTheme="minorHAnsi" w:cstheme="minorBidi"/>
                      <w:sz w:val="22"/>
                      <w:szCs w:val="22"/>
                    </w:rPr>
                  </w:pPr>
                </w:p>
              </w:tc>
              <w:tc>
                <w:tcPr>
                  <w:tcW w:w="7453" w:type="dxa"/>
                  <w:gridSpan w:val="5"/>
                  <w:tcBorders>
                    <w:top w:val="nil"/>
                    <w:left w:val="single" w:sz="8" w:space="0" w:color="auto"/>
                    <w:bottom w:val="nil"/>
                    <w:right w:val="single" w:sz="8" w:space="0" w:color="auto"/>
                  </w:tcBorders>
                  <w:vAlign w:val="center"/>
                  <w:hideMark/>
                </w:tcPr>
                <w:p w:rsidR="005628A7" w:rsidRDefault="005628A7">
                  <w:pPr>
                    <w:rPr>
                      <w:rFonts w:asciiTheme="minorHAnsi" w:eastAsiaTheme="minorEastAsia" w:hAnsiTheme="minorHAnsi" w:cstheme="minorBidi"/>
                      <w:sz w:val="22"/>
                      <w:szCs w:val="22"/>
                    </w:rPr>
                  </w:pPr>
                </w:p>
              </w:tc>
            </w:tr>
            <w:tr w:rsidR="005628A7">
              <w:trPr>
                <w:jc w:val="center"/>
              </w:trPr>
              <w:tc>
                <w:tcPr>
                  <w:tcW w:w="2606" w:type="dxa"/>
                  <w:tcBorders>
                    <w:top w:val="nil"/>
                    <w:left w:val="single" w:sz="8" w:space="0" w:color="auto"/>
                    <w:bottom w:val="nil"/>
                    <w:right w:val="single" w:sz="8" w:space="0" w:color="auto"/>
                  </w:tcBorders>
                  <w:tcMar>
                    <w:top w:w="0" w:type="dxa"/>
                    <w:left w:w="108" w:type="dxa"/>
                    <w:bottom w:w="0" w:type="dxa"/>
                    <w:right w:w="108" w:type="dxa"/>
                  </w:tcMar>
                  <w:hideMark/>
                </w:tcPr>
                <w:p w:rsidR="005628A7" w:rsidRDefault="005628A7">
                  <w:pPr>
                    <w:rPr>
                      <w:rFonts w:asciiTheme="minorHAnsi" w:eastAsiaTheme="minorEastAsia" w:hAnsiTheme="minorHAnsi" w:cstheme="minorBidi"/>
                      <w:sz w:val="22"/>
                      <w:szCs w:val="22"/>
                    </w:rPr>
                  </w:pPr>
                </w:p>
              </w:tc>
              <w:tc>
                <w:tcPr>
                  <w:tcW w:w="7453" w:type="dxa"/>
                  <w:gridSpan w:val="5"/>
                  <w:tcBorders>
                    <w:top w:val="nil"/>
                    <w:left w:val="single" w:sz="8" w:space="0" w:color="auto"/>
                    <w:bottom w:val="nil"/>
                    <w:right w:val="single" w:sz="8" w:space="0" w:color="auto"/>
                  </w:tcBorders>
                  <w:vAlign w:val="center"/>
                  <w:hideMark/>
                </w:tcPr>
                <w:p w:rsidR="005628A7" w:rsidRDefault="005628A7">
                  <w:pPr>
                    <w:rPr>
                      <w:rFonts w:asciiTheme="minorHAnsi" w:eastAsiaTheme="minorEastAsia" w:hAnsiTheme="minorHAnsi" w:cstheme="minorBidi"/>
                      <w:sz w:val="22"/>
                      <w:szCs w:val="22"/>
                    </w:rPr>
                  </w:pPr>
                </w:p>
              </w:tc>
            </w:tr>
            <w:tr w:rsidR="005628A7">
              <w:trPr>
                <w:jc w:val="center"/>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rPr>
                      <w:rFonts w:asciiTheme="minorHAnsi" w:eastAsiaTheme="minorEastAsia" w:hAnsiTheme="minorHAnsi" w:cstheme="minorBidi"/>
                      <w:sz w:val="22"/>
                      <w:szCs w:val="22"/>
                    </w:rPr>
                  </w:pPr>
                </w:p>
              </w:tc>
              <w:tc>
                <w:tcPr>
                  <w:tcW w:w="7453" w:type="dxa"/>
                  <w:gridSpan w:val="5"/>
                  <w:tcBorders>
                    <w:top w:val="nil"/>
                    <w:left w:val="single" w:sz="8" w:space="0" w:color="auto"/>
                    <w:bottom w:val="single" w:sz="8" w:space="0" w:color="auto"/>
                    <w:right w:val="single" w:sz="8" w:space="0" w:color="auto"/>
                  </w:tcBorders>
                  <w:vAlign w:val="center"/>
                  <w:hideMark/>
                </w:tcPr>
                <w:p w:rsidR="005628A7" w:rsidRDefault="005628A7">
                  <w:pPr>
                    <w:rPr>
                      <w:rFonts w:asciiTheme="minorHAnsi" w:eastAsiaTheme="minorEastAsia" w:hAnsiTheme="minorHAnsi" w:cstheme="minorBidi"/>
                      <w:sz w:val="22"/>
                      <w:szCs w:val="22"/>
                    </w:rPr>
                  </w:pPr>
                </w:p>
              </w:tc>
            </w:tr>
            <w:tr w:rsidR="005628A7">
              <w:trPr>
                <w:jc w:val="center"/>
              </w:trPr>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28A7" w:rsidRDefault="005628A7">
                  <w:pPr>
                    <w:jc w:val="both"/>
                    <w:rPr>
                      <w:sz w:val="22"/>
                      <w:szCs w:val="22"/>
                    </w:rPr>
                  </w:pPr>
                  <w:r>
                    <w:rPr>
                      <w:sz w:val="22"/>
                      <w:szCs w:val="22"/>
                    </w:rPr>
                    <w:t>7. Cita informācija</w:t>
                  </w:r>
                </w:p>
              </w:tc>
              <w:tc>
                <w:tcPr>
                  <w:tcW w:w="7453" w:type="dxa"/>
                  <w:gridSpan w:val="5"/>
                  <w:tcBorders>
                    <w:top w:val="single" w:sz="8" w:space="0" w:color="auto"/>
                    <w:left w:val="single" w:sz="8" w:space="0" w:color="auto"/>
                    <w:bottom w:val="single" w:sz="8" w:space="0" w:color="auto"/>
                    <w:right w:val="single" w:sz="8" w:space="0" w:color="auto"/>
                  </w:tcBorders>
                  <w:vAlign w:val="center"/>
                  <w:hideMark/>
                </w:tcPr>
                <w:p w:rsidR="005628A7" w:rsidRDefault="005628A7">
                  <w:pPr>
                    <w:rPr>
                      <w:highlight w:val="yellow"/>
                    </w:rPr>
                  </w:pPr>
                  <w:r>
                    <w:t>Lai palielinātu finansējumu LNB projekta īstenošanai saskaņā ar likuma „Par valsts budžetu 2013. gadam” 48. pantu, Kultūras ministrija ir sagatavojusi informatīvo ziņojumu „Par turpmākajām darbībām Latvijas Nacionālās bibliotēkas projekta pabeigšanai” izskatīšanai Ministru kabinetā.</w:t>
                  </w:r>
                </w:p>
              </w:tc>
            </w:tr>
          </w:tbl>
          <w:p w:rsidR="005628A7" w:rsidRDefault="005628A7">
            <w:pPr>
              <w:pStyle w:val="naisnod"/>
              <w:spacing w:before="0" w:after="0"/>
              <w:rPr>
                <w:b w:val="0"/>
                <w:sz w:val="28"/>
                <w:szCs w:val="28"/>
              </w:rPr>
            </w:pPr>
          </w:p>
        </w:tc>
      </w:tr>
    </w:tbl>
    <w:p w:rsidR="0081616C" w:rsidRPr="005006BE" w:rsidRDefault="0081616C" w:rsidP="006C4607">
      <w:pPr>
        <w:pStyle w:val="naiskr"/>
        <w:tabs>
          <w:tab w:val="left" w:pos="2628"/>
        </w:tabs>
        <w:spacing w:before="0" w:after="0"/>
        <w:rPr>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24023" w:rsidRPr="002E7BD7" w:rsidTr="00780EB2">
        <w:trPr>
          <w:jc w:val="center"/>
        </w:trPr>
        <w:tc>
          <w:tcPr>
            <w:tcW w:w="5000" w:type="pct"/>
          </w:tcPr>
          <w:p w:rsidR="00924023" w:rsidRPr="002E7BD7" w:rsidRDefault="00492F04" w:rsidP="00711F59">
            <w:pPr>
              <w:pStyle w:val="naisnod"/>
              <w:spacing w:before="0" w:after="0"/>
              <w:rPr>
                <w:sz w:val="28"/>
                <w:szCs w:val="28"/>
              </w:rPr>
            </w:pPr>
            <w:r w:rsidRPr="00492F04">
              <w:rPr>
                <w:sz w:val="28"/>
                <w:szCs w:val="28"/>
              </w:rPr>
              <w:t>IV. Tiesību akta projekta ietekme uz spēkā esošo tiesību normu sistēmu</w:t>
            </w:r>
          </w:p>
        </w:tc>
      </w:tr>
      <w:tr w:rsidR="005E50A5" w:rsidRPr="002E7BD7" w:rsidTr="005E50A5">
        <w:trPr>
          <w:trHeight w:val="414"/>
          <w:jc w:val="center"/>
        </w:trPr>
        <w:tc>
          <w:tcPr>
            <w:tcW w:w="5000" w:type="pct"/>
          </w:tcPr>
          <w:p w:rsidR="005E50A5" w:rsidRPr="002E7BD7" w:rsidRDefault="00492F04" w:rsidP="005E50A5">
            <w:pPr>
              <w:pStyle w:val="naiskr"/>
              <w:tabs>
                <w:tab w:val="left" w:pos="2628"/>
              </w:tabs>
              <w:spacing w:before="0" w:after="0"/>
              <w:jc w:val="center"/>
              <w:rPr>
                <w:iCs/>
                <w:sz w:val="28"/>
                <w:szCs w:val="28"/>
                <w:highlight w:val="yellow"/>
              </w:rPr>
            </w:pPr>
            <w:r w:rsidRPr="00492F04">
              <w:rPr>
                <w:sz w:val="28"/>
                <w:szCs w:val="28"/>
              </w:rPr>
              <w:t>Likumprojekts šo jomu neskar</w:t>
            </w:r>
          </w:p>
        </w:tc>
      </w:tr>
    </w:tbl>
    <w:p w:rsidR="00C31E36" w:rsidRPr="002E7BD7" w:rsidRDefault="00C31E36" w:rsidP="00C31E36">
      <w:pPr>
        <w:ind w:firstLine="720"/>
        <w:jc w:val="both"/>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410"/>
      </w:tblGrid>
      <w:tr w:rsidR="00C31E36" w:rsidRPr="002E7BD7" w:rsidTr="00780EB2">
        <w:tc>
          <w:tcPr>
            <w:tcW w:w="5000" w:type="pct"/>
            <w:tcBorders>
              <w:top w:val="outset" w:sz="6" w:space="0" w:color="auto"/>
              <w:left w:val="outset" w:sz="6" w:space="0" w:color="auto"/>
              <w:bottom w:val="outset" w:sz="6" w:space="0" w:color="auto"/>
              <w:right w:val="outset" w:sz="6" w:space="0" w:color="auto"/>
            </w:tcBorders>
            <w:vAlign w:val="center"/>
          </w:tcPr>
          <w:p w:rsidR="00C31E36" w:rsidRPr="002E7BD7" w:rsidRDefault="00492F04" w:rsidP="00C31E36">
            <w:pPr>
              <w:jc w:val="center"/>
              <w:rPr>
                <w:b/>
                <w:sz w:val="28"/>
                <w:szCs w:val="28"/>
              </w:rPr>
            </w:pPr>
            <w:r w:rsidRPr="00492F04">
              <w:rPr>
                <w:b/>
                <w:sz w:val="28"/>
                <w:szCs w:val="28"/>
              </w:rPr>
              <w:t>V. Tiesību akta projekta atbilstība Latvijas Republikas starptautiskajām saistībām</w:t>
            </w:r>
          </w:p>
        </w:tc>
      </w:tr>
      <w:tr w:rsidR="00071425" w:rsidRPr="002E7BD7" w:rsidTr="00780EB2">
        <w:tc>
          <w:tcPr>
            <w:tcW w:w="5000" w:type="pct"/>
            <w:tcBorders>
              <w:top w:val="outset" w:sz="6" w:space="0" w:color="auto"/>
              <w:left w:val="outset" w:sz="6" w:space="0" w:color="auto"/>
              <w:bottom w:val="outset" w:sz="6" w:space="0" w:color="auto"/>
              <w:right w:val="outset" w:sz="6" w:space="0" w:color="auto"/>
            </w:tcBorders>
            <w:vAlign w:val="center"/>
          </w:tcPr>
          <w:p w:rsidR="00071425" w:rsidRPr="002E7BD7" w:rsidRDefault="00492F04" w:rsidP="00C31E36">
            <w:pPr>
              <w:jc w:val="center"/>
              <w:rPr>
                <w:sz w:val="28"/>
                <w:szCs w:val="28"/>
              </w:rPr>
            </w:pPr>
            <w:r w:rsidRPr="00492F04">
              <w:rPr>
                <w:sz w:val="28"/>
                <w:szCs w:val="28"/>
              </w:rPr>
              <w:t>Likumprojekts šo jomu neskar</w:t>
            </w:r>
          </w:p>
        </w:tc>
      </w:tr>
    </w:tbl>
    <w:p w:rsidR="00E46559" w:rsidRPr="002E7BD7" w:rsidRDefault="00E46559" w:rsidP="00071425">
      <w:pPr>
        <w:pStyle w:val="naisf"/>
        <w:spacing w:before="0" w:after="0"/>
        <w:ind w:firstLine="0"/>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364"/>
      </w:tblGrid>
      <w:tr w:rsidR="00277929" w:rsidRPr="002E7BD7" w:rsidTr="00780EB2">
        <w:trPr>
          <w:jc w:val="center"/>
        </w:trPr>
        <w:tc>
          <w:tcPr>
            <w:tcW w:w="5000" w:type="pct"/>
          </w:tcPr>
          <w:p w:rsidR="00277929" w:rsidRPr="002E7BD7" w:rsidRDefault="00492F04" w:rsidP="007D099D">
            <w:pPr>
              <w:pStyle w:val="naisnod"/>
              <w:spacing w:before="0" w:after="0"/>
              <w:ind w:left="57" w:right="57"/>
              <w:rPr>
                <w:sz w:val="28"/>
                <w:szCs w:val="28"/>
              </w:rPr>
            </w:pPr>
            <w:r w:rsidRPr="00492F04">
              <w:rPr>
                <w:sz w:val="28"/>
                <w:szCs w:val="28"/>
              </w:rPr>
              <w:t>VI. Sabiedrības līdzdalība un šīs līdzdalības rezultāti</w:t>
            </w:r>
          </w:p>
        </w:tc>
      </w:tr>
      <w:tr w:rsidR="00071425" w:rsidRPr="002E7BD7" w:rsidTr="005E50A5">
        <w:trPr>
          <w:trHeight w:val="437"/>
          <w:jc w:val="center"/>
        </w:trPr>
        <w:tc>
          <w:tcPr>
            <w:tcW w:w="5000" w:type="pct"/>
          </w:tcPr>
          <w:p w:rsidR="00071425" w:rsidRPr="002E7BD7" w:rsidRDefault="00492F04" w:rsidP="007D099D">
            <w:pPr>
              <w:pStyle w:val="naisnod"/>
              <w:spacing w:before="0" w:after="0"/>
              <w:ind w:left="57" w:right="57"/>
              <w:rPr>
                <w:b w:val="0"/>
                <w:sz w:val="28"/>
                <w:szCs w:val="28"/>
              </w:rPr>
            </w:pPr>
            <w:r w:rsidRPr="00492F04">
              <w:rPr>
                <w:b w:val="0"/>
                <w:sz w:val="28"/>
                <w:szCs w:val="28"/>
              </w:rPr>
              <w:t>Likumprojekts šo jomu neskar</w:t>
            </w:r>
          </w:p>
        </w:tc>
      </w:tr>
    </w:tbl>
    <w:p w:rsidR="0015060C" w:rsidRPr="002E7BD7" w:rsidRDefault="0015060C" w:rsidP="006C4607">
      <w:pPr>
        <w:pStyle w:val="naisf"/>
        <w:spacing w:before="0" w:after="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13"/>
        <w:gridCol w:w="3960"/>
        <w:gridCol w:w="4837"/>
      </w:tblGrid>
      <w:tr w:rsidR="0023436E" w:rsidRPr="002E7BD7" w:rsidTr="00780EB2">
        <w:tc>
          <w:tcPr>
            <w:tcW w:w="5000" w:type="pct"/>
            <w:gridSpan w:val="3"/>
            <w:tcBorders>
              <w:top w:val="single" w:sz="4" w:space="0" w:color="auto"/>
            </w:tcBorders>
          </w:tcPr>
          <w:p w:rsidR="0023436E" w:rsidRPr="002E7BD7" w:rsidRDefault="00492F04" w:rsidP="007D099D">
            <w:pPr>
              <w:pStyle w:val="naisnod"/>
              <w:spacing w:before="0" w:after="0"/>
              <w:ind w:left="57" w:right="57"/>
              <w:rPr>
                <w:sz w:val="28"/>
                <w:szCs w:val="28"/>
              </w:rPr>
            </w:pPr>
            <w:r w:rsidRPr="00492F04">
              <w:rPr>
                <w:sz w:val="28"/>
                <w:szCs w:val="28"/>
              </w:rPr>
              <w:t>VII. Tiesību akta projekta izpildes nodrošināšana un tās ietekme uz institūcijām</w:t>
            </w:r>
          </w:p>
        </w:tc>
      </w:tr>
      <w:tr w:rsidR="0023436E" w:rsidRPr="002E7BD7" w:rsidTr="004B3ED0">
        <w:trPr>
          <w:trHeight w:val="427"/>
        </w:trPr>
        <w:tc>
          <w:tcPr>
            <w:tcW w:w="326" w:type="pct"/>
          </w:tcPr>
          <w:p w:rsidR="0023436E" w:rsidRPr="002E7BD7" w:rsidRDefault="00492F04" w:rsidP="007D099D">
            <w:pPr>
              <w:pStyle w:val="naisnod"/>
              <w:spacing w:before="0" w:after="0"/>
              <w:ind w:left="57" w:right="57"/>
              <w:jc w:val="left"/>
              <w:rPr>
                <w:b w:val="0"/>
                <w:sz w:val="28"/>
                <w:szCs w:val="28"/>
              </w:rPr>
            </w:pPr>
            <w:r w:rsidRPr="00492F04">
              <w:rPr>
                <w:b w:val="0"/>
                <w:sz w:val="28"/>
                <w:szCs w:val="28"/>
              </w:rPr>
              <w:t>1.</w:t>
            </w:r>
          </w:p>
        </w:tc>
        <w:tc>
          <w:tcPr>
            <w:tcW w:w="2104" w:type="pct"/>
          </w:tcPr>
          <w:p w:rsidR="0023436E" w:rsidRPr="002E7BD7" w:rsidRDefault="00492F04" w:rsidP="007D099D">
            <w:pPr>
              <w:pStyle w:val="naisf"/>
              <w:spacing w:before="0" w:after="0"/>
              <w:ind w:left="57" w:right="57" w:firstLine="0"/>
              <w:jc w:val="left"/>
              <w:rPr>
                <w:sz w:val="28"/>
                <w:szCs w:val="28"/>
              </w:rPr>
            </w:pPr>
            <w:r w:rsidRPr="00492F04">
              <w:rPr>
                <w:sz w:val="28"/>
                <w:szCs w:val="28"/>
              </w:rPr>
              <w:t xml:space="preserve">Projekta izpildē iesaistītās institūcijas </w:t>
            </w:r>
          </w:p>
        </w:tc>
        <w:tc>
          <w:tcPr>
            <w:tcW w:w="2570" w:type="pct"/>
          </w:tcPr>
          <w:p w:rsidR="0023436E" w:rsidRPr="002E7BD7" w:rsidRDefault="00492F04" w:rsidP="005E50A5">
            <w:pPr>
              <w:pStyle w:val="naisnod"/>
              <w:spacing w:before="0" w:after="0"/>
              <w:ind w:left="57" w:right="57"/>
              <w:jc w:val="both"/>
              <w:rPr>
                <w:b w:val="0"/>
                <w:sz w:val="28"/>
                <w:szCs w:val="28"/>
                <w:highlight w:val="yellow"/>
              </w:rPr>
            </w:pPr>
            <w:r w:rsidRPr="00492F04">
              <w:rPr>
                <w:b w:val="0"/>
                <w:iCs/>
                <w:sz w:val="28"/>
                <w:szCs w:val="28"/>
              </w:rPr>
              <w:t>Kultūras ministrija.</w:t>
            </w:r>
          </w:p>
        </w:tc>
      </w:tr>
      <w:tr w:rsidR="0023436E" w:rsidRPr="002E7BD7" w:rsidTr="004B3ED0">
        <w:trPr>
          <w:trHeight w:val="463"/>
        </w:trPr>
        <w:tc>
          <w:tcPr>
            <w:tcW w:w="326" w:type="pct"/>
          </w:tcPr>
          <w:p w:rsidR="0023436E" w:rsidRPr="002E7BD7" w:rsidRDefault="00492F04" w:rsidP="007D099D">
            <w:pPr>
              <w:pStyle w:val="naisnod"/>
              <w:spacing w:before="0" w:after="0"/>
              <w:ind w:left="57" w:right="57"/>
              <w:jc w:val="left"/>
              <w:rPr>
                <w:b w:val="0"/>
                <w:sz w:val="28"/>
                <w:szCs w:val="28"/>
              </w:rPr>
            </w:pPr>
            <w:r w:rsidRPr="00492F04">
              <w:rPr>
                <w:b w:val="0"/>
                <w:sz w:val="28"/>
                <w:szCs w:val="28"/>
              </w:rPr>
              <w:t>2.</w:t>
            </w:r>
          </w:p>
        </w:tc>
        <w:tc>
          <w:tcPr>
            <w:tcW w:w="2104" w:type="pct"/>
          </w:tcPr>
          <w:p w:rsidR="0023436E" w:rsidRPr="002E7BD7" w:rsidRDefault="00492F04" w:rsidP="007D099D">
            <w:pPr>
              <w:pStyle w:val="naisf"/>
              <w:spacing w:before="0" w:after="0"/>
              <w:ind w:left="57" w:right="57" w:firstLine="0"/>
              <w:jc w:val="left"/>
              <w:rPr>
                <w:sz w:val="28"/>
                <w:szCs w:val="28"/>
              </w:rPr>
            </w:pPr>
            <w:r w:rsidRPr="00492F04">
              <w:rPr>
                <w:sz w:val="28"/>
                <w:szCs w:val="28"/>
              </w:rPr>
              <w:t xml:space="preserve">Projekta izpildes ietekme uz pārvaldes funkcijām </w:t>
            </w:r>
          </w:p>
        </w:tc>
        <w:tc>
          <w:tcPr>
            <w:tcW w:w="2570" w:type="pct"/>
          </w:tcPr>
          <w:p w:rsidR="0023436E" w:rsidRPr="002E7BD7" w:rsidRDefault="00492F04" w:rsidP="005E50A5">
            <w:pPr>
              <w:pStyle w:val="naisnod"/>
              <w:spacing w:before="0" w:after="0"/>
              <w:ind w:left="57" w:right="57"/>
              <w:jc w:val="both"/>
              <w:rPr>
                <w:b w:val="0"/>
                <w:sz w:val="28"/>
                <w:szCs w:val="28"/>
                <w:highlight w:val="yellow"/>
              </w:rPr>
            </w:pPr>
            <w:r w:rsidRPr="00492F04">
              <w:rPr>
                <w:b w:val="0"/>
                <w:iCs/>
                <w:sz w:val="28"/>
                <w:szCs w:val="28"/>
              </w:rPr>
              <w:t>Likumprojekts šo jomu neskar.</w:t>
            </w:r>
          </w:p>
        </w:tc>
      </w:tr>
      <w:tr w:rsidR="0023436E" w:rsidRPr="002E7BD7" w:rsidTr="004B3ED0">
        <w:trPr>
          <w:trHeight w:val="725"/>
        </w:trPr>
        <w:tc>
          <w:tcPr>
            <w:tcW w:w="326" w:type="pct"/>
          </w:tcPr>
          <w:p w:rsidR="0023436E" w:rsidRPr="002E7BD7" w:rsidRDefault="00492F04" w:rsidP="007D099D">
            <w:pPr>
              <w:pStyle w:val="naisnod"/>
              <w:spacing w:before="0" w:after="0"/>
              <w:ind w:left="57" w:right="57"/>
              <w:jc w:val="left"/>
              <w:rPr>
                <w:b w:val="0"/>
                <w:sz w:val="28"/>
                <w:szCs w:val="28"/>
              </w:rPr>
            </w:pPr>
            <w:r w:rsidRPr="00492F04">
              <w:rPr>
                <w:b w:val="0"/>
                <w:sz w:val="28"/>
                <w:szCs w:val="28"/>
              </w:rPr>
              <w:lastRenderedPageBreak/>
              <w:t>3.</w:t>
            </w:r>
          </w:p>
        </w:tc>
        <w:tc>
          <w:tcPr>
            <w:tcW w:w="2104" w:type="pct"/>
          </w:tcPr>
          <w:p w:rsidR="0023436E" w:rsidRPr="002E7BD7" w:rsidRDefault="00492F04" w:rsidP="007D099D">
            <w:pPr>
              <w:pStyle w:val="naisf"/>
              <w:spacing w:before="0" w:after="0"/>
              <w:ind w:left="57" w:right="57" w:firstLine="0"/>
              <w:jc w:val="left"/>
              <w:rPr>
                <w:sz w:val="28"/>
                <w:szCs w:val="28"/>
              </w:rPr>
            </w:pPr>
            <w:r w:rsidRPr="00492F04">
              <w:rPr>
                <w:sz w:val="28"/>
                <w:szCs w:val="28"/>
              </w:rPr>
              <w:t>Projekta izpildes ietekme uz pārvaldes institucionālo struktūru.</w:t>
            </w:r>
          </w:p>
          <w:p w:rsidR="0023436E" w:rsidRPr="002E7BD7" w:rsidRDefault="00492F04" w:rsidP="007D099D">
            <w:pPr>
              <w:pStyle w:val="naisf"/>
              <w:spacing w:before="0" w:after="0"/>
              <w:ind w:left="57" w:right="57" w:firstLine="0"/>
              <w:jc w:val="left"/>
              <w:rPr>
                <w:sz w:val="28"/>
                <w:szCs w:val="28"/>
              </w:rPr>
            </w:pPr>
            <w:r w:rsidRPr="00492F04">
              <w:rPr>
                <w:sz w:val="28"/>
                <w:szCs w:val="28"/>
              </w:rPr>
              <w:t>Jaunu institūciju izveide</w:t>
            </w:r>
          </w:p>
        </w:tc>
        <w:tc>
          <w:tcPr>
            <w:tcW w:w="2570" w:type="pct"/>
          </w:tcPr>
          <w:p w:rsidR="0023436E" w:rsidRPr="002E7BD7" w:rsidRDefault="00492F04" w:rsidP="005E50A5">
            <w:pPr>
              <w:pStyle w:val="naisnod"/>
              <w:spacing w:before="0" w:after="0"/>
              <w:ind w:left="57" w:right="57"/>
              <w:jc w:val="both"/>
              <w:rPr>
                <w:b w:val="0"/>
                <w:sz w:val="28"/>
                <w:szCs w:val="28"/>
                <w:highlight w:val="yellow"/>
              </w:rPr>
            </w:pPr>
            <w:r w:rsidRPr="00492F04">
              <w:rPr>
                <w:b w:val="0"/>
                <w:iCs/>
                <w:sz w:val="28"/>
                <w:szCs w:val="28"/>
              </w:rPr>
              <w:t>Likumprojekts neietekmē jaunu institūciju izveidi.</w:t>
            </w:r>
          </w:p>
        </w:tc>
      </w:tr>
      <w:tr w:rsidR="0023436E" w:rsidRPr="002E7BD7" w:rsidTr="004B3ED0">
        <w:trPr>
          <w:trHeight w:val="780"/>
        </w:trPr>
        <w:tc>
          <w:tcPr>
            <w:tcW w:w="326" w:type="pct"/>
          </w:tcPr>
          <w:p w:rsidR="0023436E" w:rsidRPr="002E7BD7" w:rsidRDefault="00492F04" w:rsidP="007D099D">
            <w:pPr>
              <w:pStyle w:val="naisnod"/>
              <w:spacing w:before="0" w:after="0"/>
              <w:ind w:left="57" w:right="57"/>
              <w:jc w:val="left"/>
              <w:rPr>
                <w:b w:val="0"/>
                <w:sz w:val="28"/>
                <w:szCs w:val="28"/>
              </w:rPr>
            </w:pPr>
            <w:r w:rsidRPr="00492F04">
              <w:rPr>
                <w:b w:val="0"/>
                <w:sz w:val="28"/>
                <w:szCs w:val="28"/>
              </w:rPr>
              <w:t>4.</w:t>
            </w:r>
          </w:p>
        </w:tc>
        <w:tc>
          <w:tcPr>
            <w:tcW w:w="2104" w:type="pct"/>
          </w:tcPr>
          <w:p w:rsidR="0023436E" w:rsidRPr="002E7BD7" w:rsidRDefault="00492F04" w:rsidP="007D099D">
            <w:pPr>
              <w:pStyle w:val="naisf"/>
              <w:spacing w:before="0" w:after="0"/>
              <w:ind w:left="57" w:right="57" w:firstLine="0"/>
              <w:jc w:val="left"/>
              <w:rPr>
                <w:sz w:val="28"/>
                <w:szCs w:val="28"/>
              </w:rPr>
            </w:pPr>
            <w:r w:rsidRPr="00492F04">
              <w:rPr>
                <w:sz w:val="28"/>
                <w:szCs w:val="28"/>
              </w:rPr>
              <w:t>Projekta izpildes ietekme uz pārvaldes institucionālo struktūru.</w:t>
            </w:r>
          </w:p>
          <w:p w:rsidR="0023436E" w:rsidRPr="002E7BD7" w:rsidRDefault="00492F04" w:rsidP="007D099D">
            <w:pPr>
              <w:pStyle w:val="naisf"/>
              <w:spacing w:before="0" w:after="0"/>
              <w:ind w:left="57" w:right="57" w:firstLine="0"/>
              <w:jc w:val="left"/>
              <w:rPr>
                <w:sz w:val="28"/>
                <w:szCs w:val="28"/>
              </w:rPr>
            </w:pPr>
            <w:r w:rsidRPr="00492F04">
              <w:rPr>
                <w:sz w:val="28"/>
                <w:szCs w:val="28"/>
              </w:rPr>
              <w:t>Esošu institūciju likvidācija</w:t>
            </w:r>
          </w:p>
        </w:tc>
        <w:tc>
          <w:tcPr>
            <w:tcW w:w="2570" w:type="pct"/>
          </w:tcPr>
          <w:p w:rsidR="0023436E" w:rsidRPr="002E7BD7" w:rsidRDefault="00492F04" w:rsidP="005E50A5">
            <w:pPr>
              <w:pStyle w:val="naisnod"/>
              <w:spacing w:before="0" w:after="0"/>
              <w:ind w:left="57" w:right="57"/>
              <w:jc w:val="both"/>
              <w:rPr>
                <w:b w:val="0"/>
                <w:sz w:val="28"/>
                <w:szCs w:val="28"/>
                <w:highlight w:val="yellow"/>
              </w:rPr>
            </w:pPr>
            <w:r w:rsidRPr="00492F04">
              <w:rPr>
                <w:b w:val="0"/>
                <w:iCs/>
                <w:sz w:val="28"/>
                <w:szCs w:val="28"/>
              </w:rPr>
              <w:t>Likumprojekts neietekmē esošo institūciju likvidāciju.</w:t>
            </w:r>
          </w:p>
        </w:tc>
      </w:tr>
      <w:tr w:rsidR="0023436E" w:rsidRPr="002E7BD7" w:rsidTr="004B3ED0">
        <w:trPr>
          <w:trHeight w:val="703"/>
        </w:trPr>
        <w:tc>
          <w:tcPr>
            <w:tcW w:w="326" w:type="pct"/>
          </w:tcPr>
          <w:p w:rsidR="0023436E" w:rsidRPr="002E7BD7" w:rsidRDefault="00492F04" w:rsidP="007D099D">
            <w:pPr>
              <w:pStyle w:val="naisnod"/>
              <w:spacing w:before="0" w:after="0"/>
              <w:ind w:left="57" w:right="57"/>
              <w:jc w:val="left"/>
              <w:rPr>
                <w:b w:val="0"/>
                <w:sz w:val="28"/>
                <w:szCs w:val="28"/>
              </w:rPr>
            </w:pPr>
            <w:r w:rsidRPr="00492F04">
              <w:rPr>
                <w:b w:val="0"/>
                <w:sz w:val="28"/>
                <w:szCs w:val="28"/>
              </w:rPr>
              <w:t>5.</w:t>
            </w:r>
          </w:p>
        </w:tc>
        <w:tc>
          <w:tcPr>
            <w:tcW w:w="2104" w:type="pct"/>
          </w:tcPr>
          <w:p w:rsidR="0023436E" w:rsidRPr="002E7BD7" w:rsidRDefault="00492F04" w:rsidP="007D099D">
            <w:pPr>
              <w:pStyle w:val="naisf"/>
              <w:spacing w:before="0" w:after="0"/>
              <w:ind w:left="57" w:right="57" w:firstLine="0"/>
              <w:jc w:val="left"/>
              <w:rPr>
                <w:sz w:val="28"/>
                <w:szCs w:val="28"/>
              </w:rPr>
            </w:pPr>
            <w:r w:rsidRPr="00492F04">
              <w:rPr>
                <w:sz w:val="28"/>
                <w:szCs w:val="28"/>
              </w:rPr>
              <w:t>Projekta izpildes ietekme uz pārvaldes institucionālo struktūru.</w:t>
            </w:r>
          </w:p>
          <w:p w:rsidR="0023436E" w:rsidRPr="002E7BD7" w:rsidRDefault="00492F04" w:rsidP="007D099D">
            <w:pPr>
              <w:pStyle w:val="naisf"/>
              <w:spacing w:before="0" w:after="0"/>
              <w:ind w:left="57" w:right="57" w:firstLine="0"/>
              <w:jc w:val="left"/>
              <w:rPr>
                <w:sz w:val="28"/>
                <w:szCs w:val="28"/>
              </w:rPr>
            </w:pPr>
            <w:r w:rsidRPr="00492F04">
              <w:rPr>
                <w:sz w:val="28"/>
                <w:szCs w:val="28"/>
              </w:rPr>
              <w:t>Esošu institūciju reorganizācija</w:t>
            </w:r>
          </w:p>
        </w:tc>
        <w:tc>
          <w:tcPr>
            <w:tcW w:w="2570" w:type="pct"/>
          </w:tcPr>
          <w:p w:rsidR="0023436E" w:rsidRPr="002E7BD7" w:rsidRDefault="00492F04" w:rsidP="005E50A5">
            <w:pPr>
              <w:pStyle w:val="naisnod"/>
              <w:spacing w:before="0" w:after="0"/>
              <w:ind w:left="57" w:right="57"/>
              <w:jc w:val="both"/>
              <w:rPr>
                <w:b w:val="0"/>
                <w:sz w:val="28"/>
                <w:szCs w:val="28"/>
                <w:highlight w:val="yellow"/>
              </w:rPr>
            </w:pPr>
            <w:r w:rsidRPr="00492F04">
              <w:rPr>
                <w:b w:val="0"/>
                <w:iCs/>
                <w:sz w:val="28"/>
                <w:szCs w:val="28"/>
              </w:rPr>
              <w:t xml:space="preserve">Likumprojekts neietekmē esošo institūciju reorganizāciju. </w:t>
            </w:r>
          </w:p>
        </w:tc>
      </w:tr>
      <w:tr w:rsidR="0023436E" w:rsidRPr="002E7BD7" w:rsidTr="004B3ED0">
        <w:trPr>
          <w:trHeight w:val="476"/>
        </w:trPr>
        <w:tc>
          <w:tcPr>
            <w:tcW w:w="326" w:type="pct"/>
          </w:tcPr>
          <w:p w:rsidR="0023436E" w:rsidRPr="002E7BD7" w:rsidRDefault="00492F04" w:rsidP="007D099D">
            <w:pPr>
              <w:pStyle w:val="naiskr"/>
              <w:spacing w:before="0" w:after="0"/>
              <w:ind w:left="57" w:right="57"/>
              <w:rPr>
                <w:sz w:val="28"/>
                <w:szCs w:val="28"/>
              </w:rPr>
            </w:pPr>
            <w:r w:rsidRPr="00492F04">
              <w:rPr>
                <w:sz w:val="28"/>
                <w:szCs w:val="28"/>
              </w:rPr>
              <w:t>6.</w:t>
            </w:r>
          </w:p>
        </w:tc>
        <w:tc>
          <w:tcPr>
            <w:tcW w:w="2104" w:type="pct"/>
          </w:tcPr>
          <w:p w:rsidR="0023436E" w:rsidRPr="002E7BD7" w:rsidRDefault="00492F04" w:rsidP="007D099D">
            <w:pPr>
              <w:pStyle w:val="naiskr"/>
              <w:spacing w:before="0" w:after="0"/>
              <w:ind w:left="57" w:right="57"/>
              <w:rPr>
                <w:sz w:val="28"/>
                <w:szCs w:val="28"/>
              </w:rPr>
            </w:pPr>
            <w:r w:rsidRPr="00492F04">
              <w:rPr>
                <w:sz w:val="28"/>
                <w:szCs w:val="28"/>
              </w:rPr>
              <w:t>Cita informācija</w:t>
            </w:r>
          </w:p>
        </w:tc>
        <w:tc>
          <w:tcPr>
            <w:tcW w:w="2570" w:type="pct"/>
          </w:tcPr>
          <w:p w:rsidR="0023436E" w:rsidRPr="002E7BD7" w:rsidRDefault="00492F04" w:rsidP="007D099D">
            <w:pPr>
              <w:pStyle w:val="naiskr"/>
              <w:spacing w:before="0" w:after="0"/>
              <w:ind w:left="57" w:right="57"/>
              <w:rPr>
                <w:sz w:val="28"/>
                <w:szCs w:val="28"/>
                <w:highlight w:val="yellow"/>
              </w:rPr>
            </w:pPr>
            <w:r w:rsidRPr="00492F04">
              <w:rPr>
                <w:sz w:val="28"/>
                <w:szCs w:val="28"/>
              </w:rPr>
              <w:t>Nav</w:t>
            </w:r>
          </w:p>
        </w:tc>
      </w:tr>
    </w:tbl>
    <w:p w:rsidR="00BF40ED" w:rsidRPr="002E7BD7" w:rsidRDefault="00BF40ED" w:rsidP="006C4607">
      <w:pPr>
        <w:pStyle w:val="naisf"/>
        <w:tabs>
          <w:tab w:val="left" w:pos="6804"/>
        </w:tabs>
        <w:spacing w:before="0" w:after="0"/>
        <w:ind w:firstLine="720"/>
        <w:rPr>
          <w:sz w:val="28"/>
          <w:szCs w:val="28"/>
        </w:rPr>
      </w:pPr>
    </w:p>
    <w:p w:rsidR="0081616C" w:rsidRPr="002E7BD7" w:rsidRDefault="0081616C" w:rsidP="006C4607">
      <w:pPr>
        <w:pStyle w:val="naisf"/>
        <w:tabs>
          <w:tab w:val="left" w:pos="6804"/>
        </w:tabs>
        <w:spacing w:before="0" w:after="0"/>
        <w:ind w:firstLine="720"/>
        <w:rPr>
          <w:sz w:val="28"/>
          <w:szCs w:val="28"/>
        </w:rPr>
      </w:pPr>
    </w:p>
    <w:p w:rsidR="00D1299A" w:rsidRDefault="00492F04" w:rsidP="00780EB2">
      <w:pPr>
        <w:ind w:firstLine="426"/>
        <w:rPr>
          <w:sz w:val="28"/>
          <w:szCs w:val="28"/>
        </w:rPr>
      </w:pPr>
      <w:r w:rsidRPr="00492F04">
        <w:rPr>
          <w:sz w:val="28"/>
          <w:szCs w:val="28"/>
        </w:rPr>
        <w:t>Kultūras ministr</w:t>
      </w:r>
      <w:r w:rsidR="00D1299A">
        <w:rPr>
          <w:sz w:val="28"/>
          <w:szCs w:val="28"/>
        </w:rPr>
        <w:t>a vietā –</w:t>
      </w:r>
    </w:p>
    <w:p w:rsidR="00780EB2" w:rsidRDefault="00D1299A" w:rsidP="00780EB2">
      <w:pPr>
        <w:ind w:firstLine="426"/>
        <w:rPr>
          <w:sz w:val="28"/>
          <w:szCs w:val="28"/>
        </w:rPr>
      </w:pPr>
      <w:r>
        <w:rPr>
          <w:sz w:val="28"/>
          <w:szCs w:val="28"/>
        </w:rPr>
        <w:t>Tieslietu ministrs</w:t>
      </w:r>
      <w:r w:rsidR="00492F04" w:rsidRPr="00492F04">
        <w:rPr>
          <w:sz w:val="28"/>
          <w:szCs w:val="28"/>
        </w:rPr>
        <w:tab/>
      </w:r>
      <w:r w:rsidR="00492F04" w:rsidRPr="00492F04">
        <w:rPr>
          <w:sz w:val="28"/>
          <w:szCs w:val="28"/>
        </w:rPr>
        <w:tab/>
      </w:r>
      <w:r w:rsidR="00492F04" w:rsidRPr="00492F04">
        <w:rPr>
          <w:sz w:val="28"/>
          <w:szCs w:val="28"/>
        </w:rPr>
        <w:tab/>
      </w:r>
      <w:r w:rsidR="00492F04" w:rsidRPr="00492F04">
        <w:rPr>
          <w:sz w:val="28"/>
          <w:szCs w:val="28"/>
        </w:rPr>
        <w:tab/>
      </w:r>
      <w:r w:rsidR="00492F04" w:rsidRPr="00492F04">
        <w:rPr>
          <w:sz w:val="28"/>
          <w:szCs w:val="28"/>
        </w:rPr>
        <w:tab/>
      </w:r>
      <w:r w:rsidR="00492F04" w:rsidRPr="00492F04">
        <w:rPr>
          <w:sz w:val="28"/>
          <w:szCs w:val="28"/>
        </w:rPr>
        <w:tab/>
      </w:r>
      <w:proofErr w:type="spellStart"/>
      <w:r>
        <w:rPr>
          <w:sz w:val="28"/>
          <w:szCs w:val="28"/>
        </w:rPr>
        <w:t>J.Bordāns</w:t>
      </w:r>
      <w:proofErr w:type="spellEnd"/>
      <w:r w:rsidR="00492F04" w:rsidRPr="00492F04">
        <w:rPr>
          <w:sz w:val="28"/>
          <w:szCs w:val="28"/>
        </w:rPr>
        <w:t xml:space="preserve"> </w:t>
      </w:r>
    </w:p>
    <w:p w:rsidR="00527475" w:rsidRPr="002E7BD7" w:rsidRDefault="00527475" w:rsidP="00780EB2">
      <w:pPr>
        <w:ind w:firstLine="426"/>
        <w:rPr>
          <w:sz w:val="28"/>
          <w:szCs w:val="28"/>
        </w:rPr>
      </w:pPr>
    </w:p>
    <w:p w:rsidR="00780EB2" w:rsidRPr="002E7BD7" w:rsidRDefault="00780EB2" w:rsidP="00780EB2">
      <w:pPr>
        <w:rPr>
          <w:sz w:val="28"/>
          <w:szCs w:val="28"/>
        </w:rPr>
      </w:pPr>
    </w:p>
    <w:p w:rsidR="00780EB2" w:rsidRPr="002E7BD7" w:rsidRDefault="00492F04" w:rsidP="00780EB2">
      <w:pPr>
        <w:rPr>
          <w:sz w:val="28"/>
          <w:szCs w:val="28"/>
        </w:rPr>
      </w:pPr>
      <w:r w:rsidRPr="00492F04">
        <w:rPr>
          <w:sz w:val="28"/>
          <w:szCs w:val="28"/>
        </w:rPr>
        <w:t xml:space="preserve">      Vīza: Valsts sekretārs</w:t>
      </w:r>
      <w:r w:rsidRPr="00492F04">
        <w:rPr>
          <w:sz w:val="28"/>
          <w:szCs w:val="28"/>
        </w:rPr>
        <w:tab/>
      </w:r>
      <w:r w:rsidRPr="00492F04">
        <w:rPr>
          <w:sz w:val="28"/>
          <w:szCs w:val="28"/>
        </w:rPr>
        <w:tab/>
      </w:r>
      <w:r w:rsidRPr="00492F04">
        <w:rPr>
          <w:sz w:val="28"/>
          <w:szCs w:val="28"/>
        </w:rPr>
        <w:tab/>
      </w:r>
      <w:r w:rsidRPr="00492F04">
        <w:rPr>
          <w:sz w:val="28"/>
          <w:szCs w:val="28"/>
        </w:rPr>
        <w:tab/>
      </w:r>
      <w:r w:rsidRPr="00492F04">
        <w:rPr>
          <w:sz w:val="28"/>
          <w:szCs w:val="28"/>
        </w:rPr>
        <w:tab/>
      </w:r>
      <w:r w:rsidRPr="00492F04">
        <w:rPr>
          <w:sz w:val="28"/>
          <w:szCs w:val="28"/>
        </w:rPr>
        <w:tab/>
        <w:t>G.Puķītis</w:t>
      </w:r>
    </w:p>
    <w:p w:rsidR="00780EB2" w:rsidRDefault="00780EB2" w:rsidP="00780EB2"/>
    <w:p w:rsidR="008D2D28" w:rsidRDefault="008D2D28" w:rsidP="00780EB2"/>
    <w:p w:rsidR="00780EB2" w:rsidRPr="002E7BD7" w:rsidRDefault="00EB60CB" w:rsidP="00780EB2">
      <w:pPr>
        <w:rPr>
          <w:sz w:val="22"/>
          <w:szCs w:val="22"/>
        </w:rPr>
      </w:pPr>
      <w:r w:rsidRPr="002E7BD7">
        <w:rPr>
          <w:sz w:val="22"/>
          <w:szCs w:val="22"/>
        </w:rPr>
        <w:t>2</w:t>
      </w:r>
      <w:r w:rsidR="00D1299A">
        <w:rPr>
          <w:sz w:val="22"/>
          <w:szCs w:val="22"/>
        </w:rPr>
        <w:t>9</w:t>
      </w:r>
      <w:r w:rsidR="00780EB2" w:rsidRPr="002E7BD7">
        <w:rPr>
          <w:sz w:val="22"/>
          <w:szCs w:val="22"/>
        </w:rPr>
        <w:t>.0</w:t>
      </w:r>
      <w:r w:rsidR="003C3681" w:rsidRPr="002E7BD7">
        <w:rPr>
          <w:sz w:val="22"/>
          <w:szCs w:val="22"/>
        </w:rPr>
        <w:t>5</w:t>
      </w:r>
      <w:r w:rsidR="00780EB2" w:rsidRPr="002E7BD7">
        <w:rPr>
          <w:sz w:val="22"/>
          <w:szCs w:val="22"/>
        </w:rPr>
        <w:t>.201</w:t>
      </w:r>
      <w:r w:rsidR="003C3681" w:rsidRPr="002E7BD7">
        <w:rPr>
          <w:sz w:val="22"/>
          <w:szCs w:val="22"/>
        </w:rPr>
        <w:t>3</w:t>
      </w:r>
      <w:r w:rsidR="00780EB2" w:rsidRPr="002E7BD7">
        <w:rPr>
          <w:sz w:val="22"/>
          <w:szCs w:val="22"/>
        </w:rPr>
        <w:t>.</w:t>
      </w:r>
    </w:p>
    <w:p w:rsidR="00780EB2" w:rsidRPr="002E7BD7" w:rsidRDefault="00B55906" w:rsidP="00780EB2">
      <w:pPr>
        <w:jc w:val="both"/>
        <w:rPr>
          <w:sz w:val="22"/>
          <w:szCs w:val="22"/>
        </w:rPr>
      </w:pPr>
      <w:fldSimple w:instr=" NUMWORDS   \* MERGEFORMAT ">
        <w:r w:rsidR="00527475" w:rsidRPr="00527475">
          <w:rPr>
            <w:noProof/>
            <w:sz w:val="22"/>
            <w:szCs w:val="22"/>
          </w:rPr>
          <w:t>1512</w:t>
        </w:r>
      </w:fldSimple>
    </w:p>
    <w:p w:rsidR="00E06941" w:rsidRPr="002E7BD7" w:rsidRDefault="00E06941" w:rsidP="00E06941">
      <w:pPr>
        <w:tabs>
          <w:tab w:val="left" w:pos="2100"/>
        </w:tabs>
        <w:rPr>
          <w:sz w:val="22"/>
          <w:szCs w:val="22"/>
        </w:rPr>
      </w:pPr>
      <w:r w:rsidRPr="002E7BD7">
        <w:rPr>
          <w:sz w:val="22"/>
          <w:szCs w:val="22"/>
        </w:rPr>
        <w:t>I.Builis</w:t>
      </w:r>
    </w:p>
    <w:p w:rsidR="00E06941" w:rsidRPr="002E7BD7" w:rsidRDefault="00E06941" w:rsidP="00E06941">
      <w:pPr>
        <w:tabs>
          <w:tab w:val="left" w:pos="2100"/>
        </w:tabs>
        <w:rPr>
          <w:sz w:val="22"/>
          <w:szCs w:val="22"/>
        </w:rPr>
      </w:pPr>
      <w:r w:rsidRPr="002E7BD7">
        <w:rPr>
          <w:sz w:val="22"/>
          <w:szCs w:val="22"/>
        </w:rPr>
        <w:t xml:space="preserve">67330282, </w:t>
      </w:r>
      <w:hyperlink r:id="rId8" w:history="1">
        <w:r w:rsidR="002E7BD7" w:rsidRPr="002E7BD7">
          <w:rPr>
            <w:rStyle w:val="Hipersaite"/>
            <w:sz w:val="22"/>
            <w:szCs w:val="22"/>
          </w:rPr>
          <w:t>Indriķis.Builis@km.gov.lv</w:t>
        </w:r>
      </w:hyperlink>
      <w:r w:rsidRPr="002E7BD7">
        <w:rPr>
          <w:sz w:val="22"/>
          <w:szCs w:val="22"/>
        </w:rPr>
        <w:t xml:space="preserve">;  </w:t>
      </w:r>
    </w:p>
    <w:p w:rsidR="00E06941" w:rsidRPr="002E7BD7" w:rsidRDefault="00E06941" w:rsidP="00E06941">
      <w:pPr>
        <w:rPr>
          <w:sz w:val="22"/>
          <w:szCs w:val="22"/>
        </w:rPr>
      </w:pPr>
      <w:r w:rsidRPr="002E7BD7">
        <w:rPr>
          <w:sz w:val="22"/>
          <w:szCs w:val="22"/>
        </w:rPr>
        <w:t xml:space="preserve">S.Cakuls </w:t>
      </w:r>
    </w:p>
    <w:p w:rsidR="00E06941" w:rsidRPr="002E7BD7" w:rsidRDefault="00E06941" w:rsidP="00E06941">
      <w:pPr>
        <w:tabs>
          <w:tab w:val="left" w:pos="2100"/>
        </w:tabs>
        <w:rPr>
          <w:sz w:val="22"/>
          <w:szCs w:val="22"/>
        </w:rPr>
      </w:pPr>
      <w:r w:rsidRPr="002E7BD7">
        <w:rPr>
          <w:sz w:val="22"/>
          <w:szCs w:val="22"/>
        </w:rPr>
        <w:t xml:space="preserve">67330323, </w:t>
      </w:r>
      <w:hyperlink r:id="rId9" w:history="1">
        <w:r w:rsidR="002E7BD7" w:rsidRPr="002E7BD7">
          <w:rPr>
            <w:rStyle w:val="Hipersaite"/>
            <w:sz w:val="22"/>
            <w:szCs w:val="22"/>
          </w:rPr>
          <w:t>Sandis.Cakuls@km.gov.lv</w:t>
        </w:r>
      </w:hyperlink>
      <w:r w:rsidR="002E7BD7" w:rsidRPr="002E7BD7">
        <w:rPr>
          <w:sz w:val="22"/>
          <w:szCs w:val="22"/>
        </w:rPr>
        <w:t xml:space="preserve"> </w:t>
      </w:r>
    </w:p>
    <w:p w:rsidR="00150436" w:rsidRDefault="00150436" w:rsidP="00150436">
      <w:pPr>
        <w:pStyle w:val="naisf"/>
        <w:tabs>
          <w:tab w:val="left" w:pos="6804"/>
        </w:tabs>
        <w:spacing w:before="0" w:after="0"/>
        <w:ind w:firstLine="0"/>
        <w:rPr>
          <w:sz w:val="28"/>
          <w:szCs w:val="28"/>
        </w:rPr>
      </w:pPr>
    </w:p>
    <w:sectPr w:rsidR="00150436" w:rsidSect="004B3ED0">
      <w:headerReference w:type="even" r:id="rId10"/>
      <w:headerReference w:type="default" r:id="rId11"/>
      <w:footerReference w:type="default" r:id="rId12"/>
      <w:foot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94" w:rsidRDefault="00606294">
      <w:r>
        <w:separator/>
      </w:r>
    </w:p>
  </w:endnote>
  <w:endnote w:type="continuationSeparator" w:id="0">
    <w:p w:rsidR="00606294" w:rsidRDefault="00606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94" w:rsidRPr="005006BE" w:rsidRDefault="00606294" w:rsidP="004B3ED0">
    <w:pPr>
      <w:pStyle w:val="Kjene"/>
      <w:jc w:val="both"/>
      <w:rPr>
        <w:sz w:val="22"/>
        <w:szCs w:val="22"/>
      </w:rPr>
    </w:pPr>
    <w:r>
      <w:rPr>
        <w:szCs w:val="16"/>
      </w:rPr>
      <w:tab/>
    </w:r>
    <w:r w:rsidRPr="005006BE">
      <w:rPr>
        <w:sz w:val="22"/>
        <w:szCs w:val="22"/>
      </w:rPr>
      <w:t>KM</w:t>
    </w:r>
    <w:r>
      <w:rPr>
        <w:sz w:val="22"/>
        <w:szCs w:val="22"/>
      </w:rPr>
      <w:t>a</w:t>
    </w:r>
    <w:r w:rsidRPr="005006BE">
      <w:rPr>
        <w:sz w:val="22"/>
        <w:szCs w:val="22"/>
      </w:rPr>
      <w:t>not_</w:t>
    </w:r>
    <w:r w:rsidR="00EB60CB" w:rsidRPr="002E7BD7">
      <w:rPr>
        <w:sz w:val="22"/>
        <w:szCs w:val="22"/>
      </w:rPr>
      <w:t>2</w:t>
    </w:r>
    <w:r w:rsidR="00D1299A">
      <w:rPr>
        <w:sz w:val="22"/>
        <w:szCs w:val="22"/>
      </w:rPr>
      <w:t>9</w:t>
    </w:r>
    <w:r w:rsidRPr="005006BE">
      <w:rPr>
        <w:sz w:val="22"/>
        <w:szCs w:val="22"/>
      </w:rPr>
      <w:t>0</w:t>
    </w:r>
    <w:r>
      <w:rPr>
        <w:sz w:val="22"/>
        <w:szCs w:val="22"/>
      </w:rPr>
      <w:t>5</w:t>
    </w:r>
    <w:r w:rsidRPr="005006BE">
      <w:rPr>
        <w:sz w:val="22"/>
        <w:szCs w:val="22"/>
      </w:rPr>
      <w:t>1</w:t>
    </w:r>
    <w:r>
      <w:rPr>
        <w:sz w:val="22"/>
        <w:szCs w:val="22"/>
      </w:rPr>
      <w:t>3</w:t>
    </w:r>
    <w:r w:rsidRPr="005006BE">
      <w:rPr>
        <w:sz w:val="22"/>
        <w:szCs w:val="22"/>
      </w:rPr>
      <w:t>_LNB; Likumprojekta „Grozījum</w:t>
    </w:r>
    <w:r>
      <w:rPr>
        <w:sz w:val="22"/>
        <w:szCs w:val="22"/>
      </w:rPr>
      <w:t>i</w:t>
    </w:r>
    <w:r w:rsidRPr="005006BE">
      <w:rPr>
        <w:sz w:val="22"/>
        <w:szCs w:val="22"/>
      </w:rPr>
      <w:t xml:space="preserve"> Latvijas Nacionālās bibliotēkas projekta īstenošanas likumā”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94" w:rsidRPr="005006BE" w:rsidRDefault="00606294" w:rsidP="005006BE">
    <w:pPr>
      <w:jc w:val="both"/>
      <w:rPr>
        <w:sz w:val="22"/>
        <w:szCs w:val="22"/>
      </w:rPr>
    </w:pPr>
    <w:r w:rsidRPr="005006BE">
      <w:rPr>
        <w:sz w:val="22"/>
        <w:szCs w:val="22"/>
      </w:rPr>
      <w:t>KM</w:t>
    </w:r>
    <w:r>
      <w:rPr>
        <w:sz w:val="22"/>
        <w:szCs w:val="22"/>
      </w:rPr>
      <w:t>a</w:t>
    </w:r>
    <w:r w:rsidRPr="005006BE">
      <w:rPr>
        <w:sz w:val="22"/>
        <w:szCs w:val="22"/>
      </w:rPr>
      <w:t>not_</w:t>
    </w:r>
    <w:r w:rsidR="00BE2FDA" w:rsidRPr="002E7BD7">
      <w:rPr>
        <w:sz w:val="22"/>
        <w:szCs w:val="22"/>
      </w:rPr>
      <w:t>2</w:t>
    </w:r>
    <w:r w:rsidR="00D1299A">
      <w:rPr>
        <w:sz w:val="22"/>
        <w:szCs w:val="22"/>
      </w:rPr>
      <w:t>9</w:t>
    </w:r>
    <w:r w:rsidRPr="005006BE">
      <w:rPr>
        <w:sz w:val="22"/>
        <w:szCs w:val="22"/>
      </w:rPr>
      <w:t>0</w:t>
    </w:r>
    <w:r>
      <w:rPr>
        <w:sz w:val="22"/>
        <w:szCs w:val="22"/>
      </w:rPr>
      <w:t>5</w:t>
    </w:r>
    <w:r w:rsidRPr="005006BE">
      <w:rPr>
        <w:sz w:val="22"/>
        <w:szCs w:val="22"/>
      </w:rPr>
      <w:t>1</w:t>
    </w:r>
    <w:r>
      <w:rPr>
        <w:sz w:val="22"/>
        <w:szCs w:val="22"/>
      </w:rPr>
      <w:t>3</w:t>
    </w:r>
    <w:r w:rsidRPr="005006BE">
      <w:rPr>
        <w:sz w:val="22"/>
        <w:szCs w:val="22"/>
      </w:rPr>
      <w:t>_LNB; Likumprojekta „Grozījum</w:t>
    </w:r>
    <w:r>
      <w:rPr>
        <w:sz w:val="22"/>
        <w:szCs w:val="22"/>
      </w:rPr>
      <w:t>i</w:t>
    </w:r>
    <w:r w:rsidRPr="005006BE">
      <w:rPr>
        <w:sz w:val="22"/>
        <w:szCs w:val="22"/>
      </w:rPr>
      <w:t xml:space="preserve"> Latvijas Nacionālās bibliotēkas projekta īstenošanas likumā”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94" w:rsidRDefault="00606294">
      <w:r>
        <w:separator/>
      </w:r>
    </w:p>
  </w:footnote>
  <w:footnote w:type="continuationSeparator" w:id="0">
    <w:p w:rsidR="00606294" w:rsidRDefault="00606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94" w:rsidRDefault="00B55906" w:rsidP="003C449B">
    <w:pPr>
      <w:pStyle w:val="Galvene"/>
      <w:framePr w:wrap="around" w:vAnchor="text" w:hAnchor="margin" w:xAlign="center" w:y="1"/>
      <w:rPr>
        <w:rStyle w:val="Lappusesnumurs"/>
      </w:rPr>
    </w:pPr>
    <w:r>
      <w:rPr>
        <w:rStyle w:val="Lappusesnumurs"/>
      </w:rPr>
      <w:fldChar w:fldCharType="begin"/>
    </w:r>
    <w:r w:rsidR="00606294">
      <w:rPr>
        <w:rStyle w:val="Lappusesnumurs"/>
      </w:rPr>
      <w:instrText xml:space="preserve">PAGE  </w:instrText>
    </w:r>
    <w:r>
      <w:rPr>
        <w:rStyle w:val="Lappusesnumurs"/>
      </w:rPr>
      <w:fldChar w:fldCharType="end"/>
    </w:r>
  </w:p>
  <w:p w:rsidR="00606294" w:rsidRDefault="0060629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94" w:rsidRPr="00780EB2" w:rsidRDefault="00B55906">
    <w:pPr>
      <w:pStyle w:val="Galvene"/>
      <w:jc w:val="center"/>
      <w:rPr>
        <w:sz w:val="22"/>
        <w:szCs w:val="22"/>
      </w:rPr>
    </w:pPr>
    <w:r w:rsidRPr="00780EB2">
      <w:rPr>
        <w:sz w:val="22"/>
        <w:szCs w:val="22"/>
      </w:rPr>
      <w:fldChar w:fldCharType="begin"/>
    </w:r>
    <w:r w:rsidR="00606294" w:rsidRPr="00780EB2">
      <w:rPr>
        <w:sz w:val="22"/>
        <w:szCs w:val="22"/>
      </w:rPr>
      <w:instrText xml:space="preserve"> PAGE   \* MERGEFORMAT </w:instrText>
    </w:r>
    <w:r w:rsidRPr="00780EB2">
      <w:rPr>
        <w:sz w:val="22"/>
        <w:szCs w:val="22"/>
      </w:rPr>
      <w:fldChar w:fldCharType="separate"/>
    </w:r>
    <w:r w:rsidR="00527475">
      <w:rPr>
        <w:noProof/>
        <w:sz w:val="22"/>
        <w:szCs w:val="22"/>
      </w:rPr>
      <w:t>7</w:t>
    </w:r>
    <w:r w:rsidRPr="00780EB2">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BB59D0"/>
    <w:multiLevelType w:val="hybridMultilevel"/>
    <w:tmpl w:val="6D2CB9C4"/>
    <w:lvl w:ilvl="0" w:tplc="8F86B4E4">
      <w:start w:val="21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447363"/>
    <w:multiLevelType w:val="hybridMultilevel"/>
    <w:tmpl w:val="3C3E9776"/>
    <w:lvl w:ilvl="0" w:tplc="CB480514">
      <w:start w:val="2"/>
      <w:numFmt w:val="decimal"/>
      <w:lvlText w:val="%1)"/>
      <w:lvlJc w:val="left"/>
      <w:pPr>
        <w:ind w:left="536"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510D2D"/>
    <w:multiLevelType w:val="hybridMultilevel"/>
    <w:tmpl w:val="37C625B4"/>
    <w:lvl w:ilvl="0" w:tplc="965CEDCE">
      <w:numFmt w:val="bullet"/>
      <w:lvlText w:val="-"/>
      <w:lvlJc w:val="left"/>
      <w:pPr>
        <w:ind w:left="1080" w:hanging="360"/>
      </w:pPr>
      <w:rPr>
        <w:rFonts w:ascii="Courier New" w:eastAsia="Times New Roman" w:hAnsi="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7FF2AEB"/>
    <w:multiLevelType w:val="hybridMultilevel"/>
    <w:tmpl w:val="666EE26A"/>
    <w:lvl w:ilvl="0" w:tplc="965CEDCE">
      <w:numFmt w:val="bullet"/>
      <w:lvlText w:val="-"/>
      <w:lvlJc w:val="left"/>
      <w:pPr>
        <w:ind w:left="720" w:hanging="360"/>
      </w:pPr>
      <w:rPr>
        <w:rFonts w:ascii="Courier New" w:eastAsia="Times New Roman"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1E46B65"/>
    <w:multiLevelType w:val="hybridMultilevel"/>
    <w:tmpl w:val="2974AEB2"/>
    <w:lvl w:ilvl="0" w:tplc="5F9AF104">
      <w:start w:val="3"/>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A855BF7"/>
    <w:multiLevelType w:val="hybridMultilevel"/>
    <w:tmpl w:val="24C62112"/>
    <w:lvl w:ilvl="0" w:tplc="6576EBA2">
      <w:start w:val="2"/>
      <w:numFmt w:val="decimal"/>
      <w:lvlText w:val="%1)"/>
      <w:lvlJc w:val="left"/>
      <w:pPr>
        <w:ind w:left="536"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7"/>
  </w:num>
  <w:num w:numId="3">
    <w:abstractNumId w:val="5"/>
  </w:num>
  <w:num w:numId="4">
    <w:abstractNumId w:val="2"/>
  </w:num>
  <w:num w:numId="5">
    <w:abstractNumId w:val="0"/>
  </w:num>
  <w:num w:numId="6">
    <w:abstractNumId w:val="13"/>
  </w:num>
  <w:num w:numId="7">
    <w:abstractNumId w:val="18"/>
  </w:num>
  <w:num w:numId="8">
    <w:abstractNumId w:val="9"/>
  </w:num>
  <w:num w:numId="9">
    <w:abstractNumId w:val="4"/>
  </w:num>
  <w:num w:numId="10">
    <w:abstractNumId w:val="10"/>
  </w:num>
  <w:num w:numId="11">
    <w:abstractNumId w:val="11"/>
  </w:num>
  <w:num w:numId="12">
    <w:abstractNumId w:val="14"/>
  </w:num>
  <w:num w:numId="13">
    <w:abstractNumId w:val="16"/>
  </w:num>
  <w:num w:numId="14">
    <w:abstractNumId w:val="7"/>
  </w:num>
  <w:num w:numId="15">
    <w:abstractNumId w:val="1"/>
  </w:num>
  <w:num w:numId="16">
    <w:abstractNumId w:val="12"/>
  </w:num>
  <w:num w:numId="17">
    <w:abstractNumId w:val="6"/>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8C5649"/>
    <w:rsid w:val="00006C43"/>
    <w:rsid w:val="00011D24"/>
    <w:rsid w:val="00013FF4"/>
    <w:rsid w:val="00020FE1"/>
    <w:rsid w:val="00022E13"/>
    <w:rsid w:val="00032388"/>
    <w:rsid w:val="00035CE2"/>
    <w:rsid w:val="00041B60"/>
    <w:rsid w:val="0005553B"/>
    <w:rsid w:val="000604D2"/>
    <w:rsid w:val="00070860"/>
    <w:rsid w:val="00071425"/>
    <w:rsid w:val="0009005E"/>
    <w:rsid w:val="000941C5"/>
    <w:rsid w:val="000A2924"/>
    <w:rsid w:val="000A36FA"/>
    <w:rsid w:val="000A6451"/>
    <w:rsid w:val="000B064E"/>
    <w:rsid w:val="000B591F"/>
    <w:rsid w:val="000B69CF"/>
    <w:rsid w:val="000C790C"/>
    <w:rsid w:val="000D5416"/>
    <w:rsid w:val="000F061D"/>
    <w:rsid w:val="000F4794"/>
    <w:rsid w:val="000F6DEC"/>
    <w:rsid w:val="00117FEB"/>
    <w:rsid w:val="00124F12"/>
    <w:rsid w:val="0013184F"/>
    <w:rsid w:val="001318A4"/>
    <w:rsid w:val="00144E3A"/>
    <w:rsid w:val="00150436"/>
    <w:rsid w:val="0015060C"/>
    <w:rsid w:val="0016018A"/>
    <w:rsid w:val="00161F0E"/>
    <w:rsid w:val="00170E2A"/>
    <w:rsid w:val="00177394"/>
    <w:rsid w:val="00182C18"/>
    <w:rsid w:val="00183CC2"/>
    <w:rsid w:val="001900E4"/>
    <w:rsid w:val="00190F88"/>
    <w:rsid w:val="001A4066"/>
    <w:rsid w:val="001A6AE4"/>
    <w:rsid w:val="001B01FD"/>
    <w:rsid w:val="001B4A71"/>
    <w:rsid w:val="001C3C68"/>
    <w:rsid w:val="001C3F75"/>
    <w:rsid w:val="001D154E"/>
    <w:rsid w:val="001D3D1A"/>
    <w:rsid w:val="001D5B54"/>
    <w:rsid w:val="001E1DBF"/>
    <w:rsid w:val="001E4639"/>
    <w:rsid w:val="001E46D1"/>
    <w:rsid w:val="001E4A7D"/>
    <w:rsid w:val="001E7705"/>
    <w:rsid w:val="001F07BE"/>
    <w:rsid w:val="001F4209"/>
    <w:rsid w:val="001F43A8"/>
    <w:rsid w:val="001F5CD6"/>
    <w:rsid w:val="0021263D"/>
    <w:rsid w:val="00213F0C"/>
    <w:rsid w:val="00214094"/>
    <w:rsid w:val="0021592D"/>
    <w:rsid w:val="00222D76"/>
    <w:rsid w:val="00223EB1"/>
    <w:rsid w:val="00231344"/>
    <w:rsid w:val="0023436E"/>
    <w:rsid w:val="002347C0"/>
    <w:rsid w:val="00241A6C"/>
    <w:rsid w:val="00242D2B"/>
    <w:rsid w:val="00262E2B"/>
    <w:rsid w:val="002640D2"/>
    <w:rsid w:val="00270429"/>
    <w:rsid w:val="002723E9"/>
    <w:rsid w:val="00277929"/>
    <w:rsid w:val="00283B82"/>
    <w:rsid w:val="002846E9"/>
    <w:rsid w:val="00284721"/>
    <w:rsid w:val="00284C34"/>
    <w:rsid w:val="0029066C"/>
    <w:rsid w:val="002A63F9"/>
    <w:rsid w:val="002B50DB"/>
    <w:rsid w:val="002C12AB"/>
    <w:rsid w:val="002C7CAC"/>
    <w:rsid w:val="002D3306"/>
    <w:rsid w:val="002D48AA"/>
    <w:rsid w:val="002D7BAA"/>
    <w:rsid w:val="002D7F54"/>
    <w:rsid w:val="002E3FF4"/>
    <w:rsid w:val="002E7BD7"/>
    <w:rsid w:val="002F78C8"/>
    <w:rsid w:val="00301CF3"/>
    <w:rsid w:val="00303B2D"/>
    <w:rsid w:val="0032715C"/>
    <w:rsid w:val="00332565"/>
    <w:rsid w:val="003368EC"/>
    <w:rsid w:val="00337CA5"/>
    <w:rsid w:val="003555D6"/>
    <w:rsid w:val="00362478"/>
    <w:rsid w:val="00375B25"/>
    <w:rsid w:val="0038132C"/>
    <w:rsid w:val="00396542"/>
    <w:rsid w:val="0039685B"/>
    <w:rsid w:val="003A31A6"/>
    <w:rsid w:val="003A7892"/>
    <w:rsid w:val="003A7F0C"/>
    <w:rsid w:val="003A7F79"/>
    <w:rsid w:val="003B6404"/>
    <w:rsid w:val="003C3681"/>
    <w:rsid w:val="003C3EDF"/>
    <w:rsid w:val="003C4473"/>
    <w:rsid w:val="003C449B"/>
    <w:rsid w:val="003D21FF"/>
    <w:rsid w:val="003F0112"/>
    <w:rsid w:val="003F071A"/>
    <w:rsid w:val="003F160B"/>
    <w:rsid w:val="003F5AC8"/>
    <w:rsid w:val="00400032"/>
    <w:rsid w:val="00400B5B"/>
    <w:rsid w:val="004033A0"/>
    <w:rsid w:val="00405A00"/>
    <w:rsid w:val="00420870"/>
    <w:rsid w:val="00432D0C"/>
    <w:rsid w:val="00436965"/>
    <w:rsid w:val="0043791B"/>
    <w:rsid w:val="00441483"/>
    <w:rsid w:val="00441BCB"/>
    <w:rsid w:val="0045176A"/>
    <w:rsid w:val="00456332"/>
    <w:rsid w:val="00461826"/>
    <w:rsid w:val="00463592"/>
    <w:rsid w:val="004800F9"/>
    <w:rsid w:val="00491098"/>
    <w:rsid w:val="0049134A"/>
    <w:rsid w:val="00492F04"/>
    <w:rsid w:val="004A58CB"/>
    <w:rsid w:val="004B1795"/>
    <w:rsid w:val="004B3ED0"/>
    <w:rsid w:val="004B56DD"/>
    <w:rsid w:val="004C020F"/>
    <w:rsid w:val="004C1AFD"/>
    <w:rsid w:val="004C558B"/>
    <w:rsid w:val="004F1F88"/>
    <w:rsid w:val="004F5F1B"/>
    <w:rsid w:val="005006BE"/>
    <w:rsid w:val="00502374"/>
    <w:rsid w:val="005060A1"/>
    <w:rsid w:val="00510DD7"/>
    <w:rsid w:val="00516072"/>
    <w:rsid w:val="00527475"/>
    <w:rsid w:val="005332EC"/>
    <w:rsid w:val="00534418"/>
    <w:rsid w:val="005353AB"/>
    <w:rsid w:val="00536B09"/>
    <w:rsid w:val="005560BC"/>
    <w:rsid w:val="005573BE"/>
    <w:rsid w:val="005628A7"/>
    <w:rsid w:val="00572700"/>
    <w:rsid w:val="00580468"/>
    <w:rsid w:val="00582231"/>
    <w:rsid w:val="0058603B"/>
    <w:rsid w:val="0059431B"/>
    <w:rsid w:val="005A39CC"/>
    <w:rsid w:val="005B4730"/>
    <w:rsid w:val="005B635C"/>
    <w:rsid w:val="005E05D7"/>
    <w:rsid w:val="005E2E30"/>
    <w:rsid w:val="005E41E7"/>
    <w:rsid w:val="005E450F"/>
    <w:rsid w:val="005E50A5"/>
    <w:rsid w:val="005F6AEF"/>
    <w:rsid w:val="00606294"/>
    <w:rsid w:val="00612AB1"/>
    <w:rsid w:val="0062128C"/>
    <w:rsid w:val="0062298A"/>
    <w:rsid w:val="00623E1F"/>
    <w:rsid w:val="00626475"/>
    <w:rsid w:val="00626514"/>
    <w:rsid w:val="00626589"/>
    <w:rsid w:val="006339A0"/>
    <w:rsid w:val="006413A8"/>
    <w:rsid w:val="00642E56"/>
    <w:rsid w:val="006509A8"/>
    <w:rsid w:val="00650AF8"/>
    <w:rsid w:val="00651E00"/>
    <w:rsid w:val="00674572"/>
    <w:rsid w:val="00687763"/>
    <w:rsid w:val="00692B0D"/>
    <w:rsid w:val="00693E0E"/>
    <w:rsid w:val="0069568A"/>
    <w:rsid w:val="006A1AE3"/>
    <w:rsid w:val="006C30E1"/>
    <w:rsid w:val="006C4607"/>
    <w:rsid w:val="006D48F1"/>
    <w:rsid w:val="006F0016"/>
    <w:rsid w:val="006F2380"/>
    <w:rsid w:val="006F45BE"/>
    <w:rsid w:val="007004FC"/>
    <w:rsid w:val="00706670"/>
    <w:rsid w:val="00711F59"/>
    <w:rsid w:val="0072417C"/>
    <w:rsid w:val="00733605"/>
    <w:rsid w:val="0073389B"/>
    <w:rsid w:val="00734450"/>
    <w:rsid w:val="00742F91"/>
    <w:rsid w:val="00745F67"/>
    <w:rsid w:val="0075039E"/>
    <w:rsid w:val="00752D9D"/>
    <w:rsid w:val="00754784"/>
    <w:rsid w:val="00757C6E"/>
    <w:rsid w:val="00762BDA"/>
    <w:rsid w:val="007805FD"/>
    <w:rsid w:val="00780EB2"/>
    <w:rsid w:val="00784422"/>
    <w:rsid w:val="00785888"/>
    <w:rsid w:val="007B3B54"/>
    <w:rsid w:val="007B3FA0"/>
    <w:rsid w:val="007C0F2C"/>
    <w:rsid w:val="007C2BCC"/>
    <w:rsid w:val="007C4EF0"/>
    <w:rsid w:val="007D099D"/>
    <w:rsid w:val="007E2664"/>
    <w:rsid w:val="007E3ABF"/>
    <w:rsid w:val="007E5BFA"/>
    <w:rsid w:val="007E6689"/>
    <w:rsid w:val="007E731C"/>
    <w:rsid w:val="007F0A03"/>
    <w:rsid w:val="00802478"/>
    <w:rsid w:val="00806B90"/>
    <w:rsid w:val="00810040"/>
    <w:rsid w:val="008110FB"/>
    <w:rsid w:val="0081616C"/>
    <w:rsid w:val="0082023A"/>
    <w:rsid w:val="00821A7A"/>
    <w:rsid w:val="008253F8"/>
    <w:rsid w:val="008325E4"/>
    <w:rsid w:val="00832A2B"/>
    <w:rsid w:val="00845811"/>
    <w:rsid w:val="00846994"/>
    <w:rsid w:val="00850451"/>
    <w:rsid w:val="00852042"/>
    <w:rsid w:val="008534C9"/>
    <w:rsid w:val="0085599D"/>
    <w:rsid w:val="0087510C"/>
    <w:rsid w:val="008968D2"/>
    <w:rsid w:val="0089738E"/>
    <w:rsid w:val="008B5FDB"/>
    <w:rsid w:val="008C50F4"/>
    <w:rsid w:val="008C5649"/>
    <w:rsid w:val="008D2D28"/>
    <w:rsid w:val="008E44A2"/>
    <w:rsid w:val="008E697D"/>
    <w:rsid w:val="008F26B0"/>
    <w:rsid w:val="00903263"/>
    <w:rsid w:val="00906A21"/>
    <w:rsid w:val="009079C3"/>
    <w:rsid w:val="00910462"/>
    <w:rsid w:val="00915AB1"/>
    <w:rsid w:val="00917532"/>
    <w:rsid w:val="00922D46"/>
    <w:rsid w:val="009235BA"/>
    <w:rsid w:val="00924023"/>
    <w:rsid w:val="00924CE2"/>
    <w:rsid w:val="00925B9F"/>
    <w:rsid w:val="009314B2"/>
    <w:rsid w:val="00931AED"/>
    <w:rsid w:val="0093243B"/>
    <w:rsid w:val="009476A3"/>
    <w:rsid w:val="0095334F"/>
    <w:rsid w:val="0096320B"/>
    <w:rsid w:val="00965897"/>
    <w:rsid w:val="0096765C"/>
    <w:rsid w:val="009727E4"/>
    <w:rsid w:val="009844C9"/>
    <w:rsid w:val="009934C5"/>
    <w:rsid w:val="00994C0F"/>
    <w:rsid w:val="009B22D7"/>
    <w:rsid w:val="009B72ED"/>
    <w:rsid w:val="009C6DEB"/>
    <w:rsid w:val="009D6504"/>
    <w:rsid w:val="009E12D7"/>
    <w:rsid w:val="009E661A"/>
    <w:rsid w:val="00A06781"/>
    <w:rsid w:val="00A074C3"/>
    <w:rsid w:val="00A1509C"/>
    <w:rsid w:val="00A2123D"/>
    <w:rsid w:val="00A249B9"/>
    <w:rsid w:val="00A34260"/>
    <w:rsid w:val="00A35FD3"/>
    <w:rsid w:val="00A6294C"/>
    <w:rsid w:val="00A70CFD"/>
    <w:rsid w:val="00A71E14"/>
    <w:rsid w:val="00A72A0B"/>
    <w:rsid w:val="00A81E42"/>
    <w:rsid w:val="00A85811"/>
    <w:rsid w:val="00A864FE"/>
    <w:rsid w:val="00A86F41"/>
    <w:rsid w:val="00A87D04"/>
    <w:rsid w:val="00A950C5"/>
    <w:rsid w:val="00AA1D25"/>
    <w:rsid w:val="00AB2B1A"/>
    <w:rsid w:val="00AB397F"/>
    <w:rsid w:val="00AB5832"/>
    <w:rsid w:val="00AC1550"/>
    <w:rsid w:val="00AC51F2"/>
    <w:rsid w:val="00AD3269"/>
    <w:rsid w:val="00AD550D"/>
    <w:rsid w:val="00AE5066"/>
    <w:rsid w:val="00AE5E24"/>
    <w:rsid w:val="00AE61B7"/>
    <w:rsid w:val="00AE6CBA"/>
    <w:rsid w:val="00AE79AD"/>
    <w:rsid w:val="00AF224C"/>
    <w:rsid w:val="00AF35E4"/>
    <w:rsid w:val="00AF5CDE"/>
    <w:rsid w:val="00B04A58"/>
    <w:rsid w:val="00B11A57"/>
    <w:rsid w:val="00B211C3"/>
    <w:rsid w:val="00B25597"/>
    <w:rsid w:val="00B267B9"/>
    <w:rsid w:val="00B33E09"/>
    <w:rsid w:val="00B341F1"/>
    <w:rsid w:val="00B50708"/>
    <w:rsid w:val="00B50C68"/>
    <w:rsid w:val="00B51293"/>
    <w:rsid w:val="00B52B1E"/>
    <w:rsid w:val="00B55481"/>
    <w:rsid w:val="00B55906"/>
    <w:rsid w:val="00B56C32"/>
    <w:rsid w:val="00B57ACF"/>
    <w:rsid w:val="00B64BB1"/>
    <w:rsid w:val="00B73166"/>
    <w:rsid w:val="00B8426C"/>
    <w:rsid w:val="00B91B8D"/>
    <w:rsid w:val="00B94E90"/>
    <w:rsid w:val="00B95EE0"/>
    <w:rsid w:val="00BA0B56"/>
    <w:rsid w:val="00BB0A82"/>
    <w:rsid w:val="00BB2B58"/>
    <w:rsid w:val="00BB7C94"/>
    <w:rsid w:val="00BC061F"/>
    <w:rsid w:val="00BC0A9D"/>
    <w:rsid w:val="00BC34BF"/>
    <w:rsid w:val="00BC4E1B"/>
    <w:rsid w:val="00BD53E8"/>
    <w:rsid w:val="00BE2FDA"/>
    <w:rsid w:val="00BF40ED"/>
    <w:rsid w:val="00BF5076"/>
    <w:rsid w:val="00BF5BC2"/>
    <w:rsid w:val="00C1133D"/>
    <w:rsid w:val="00C272D7"/>
    <w:rsid w:val="00C27A08"/>
    <w:rsid w:val="00C31312"/>
    <w:rsid w:val="00C31E36"/>
    <w:rsid w:val="00C322F9"/>
    <w:rsid w:val="00C326C6"/>
    <w:rsid w:val="00C35295"/>
    <w:rsid w:val="00C36ADD"/>
    <w:rsid w:val="00C36E74"/>
    <w:rsid w:val="00C40595"/>
    <w:rsid w:val="00C41621"/>
    <w:rsid w:val="00C43D80"/>
    <w:rsid w:val="00C449FA"/>
    <w:rsid w:val="00C4707A"/>
    <w:rsid w:val="00C5384F"/>
    <w:rsid w:val="00C56964"/>
    <w:rsid w:val="00C62E8B"/>
    <w:rsid w:val="00C656D5"/>
    <w:rsid w:val="00C67103"/>
    <w:rsid w:val="00C71BB9"/>
    <w:rsid w:val="00C94C28"/>
    <w:rsid w:val="00CA1952"/>
    <w:rsid w:val="00CA6E6D"/>
    <w:rsid w:val="00CB0247"/>
    <w:rsid w:val="00CB3440"/>
    <w:rsid w:val="00CC1692"/>
    <w:rsid w:val="00CD138B"/>
    <w:rsid w:val="00CD3E31"/>
    <w:rsid w:val="00CD4C7B"/>
    <w:rsid w:val="00CD74A3"/>
    <w:rsid w:val="00CE0527"/>
    <w:rsid w:val="00CE5B23"/>
    <w:rsid w:val="00CF266D"/>
    <w:rsid w:val="00CF70AD"/>
    <w:rsid w:val="00CF7729"/>
    <w:rsid w:val="00CF774C"/>
    <w:rsid w:val="00D00059"/>
    <w:rsid w:val="00D01042"/>
    <w:rsid w:val="00D107FA"/>
    <w:rsid w:val="00D12275"/>
    <w:rsid w:val="00D12766"/>
    <w:rsid w:val="00D1299A"/>
    <w:rsid w:val="00D20FF4"/>
    <w:rsid w:val="00D24D2C"/>
    <w:rsid w:val="00D266EE"/>
    <w:rsid w:val="00D35881"/>
    <w:rsid w:val="00D421DD"/>
    <w:rsid w:val="00D61CAD"/>
    <w:rsid w:val="00DA6E2B"/>
    <w:rsid w:val="00DA7DA5"/>
    <w:rsid w:val="00DA7FA1"/>
    <w:rsid w:val="00DB073B"/>
    <w:rsid w:val="00DB39AB"/>
    <w:rsid w:val="00DB78F0"/>
    <w:rsid w:val="00DC0CEA"/>
    <w:rsid w:val="00DC2E43"/>
    <w:rsid w:val="00DD095C"/>
    <w:rsid w:val="00DD1020"/>
    <w:rsid w:val="00DD1330"/>
    <w:rsid w:val="00DD4276"/>
    <w:rsid w:val="00DE0B83"/>
    <w:rsid w:val="00DE1A81"/>
    <w:rsid w:val="00DE1C13"/>
    <w:rsid w:val="00DE4E10"/>
    <w:rsid w:val="00E02ABF"/>
    <w:rsid w:val="00E06941"/>
    <w:rsid w:val="00E14995"/>
    <w:rsid w:val="00E179CD"/>
    <w:rsid w:val="00E23E8D"/>
    <w:rsid w:val="00E24196"/>
    <w:rsid w:val="00E31276"/>
    <w:rsid w:val="00E37F98"/>
    <w:rsid w:val="00E46559"/>
    <w:rsid w:val="00E6670C"/>
    <w:rsid w:val="00E722C5"/>
    <w:rsid w:val="00E776E8"/>
    <w:rsid w:val="00E82CE4"/>
    <w:rsid w:val="00E92C1F"/>
    <w:rsid w:val="00E95D4B"/>
    <w:rsid w:val="00EB199F"/>
    <w:rsid w:val="00EB60CB"/>
    <w:rsid w:val="00EC23F7"/>
    <w:rsid w:val="00EC4166"/>
    <w:rsid w:val="00EC4BD8"/>
    <w:rsid w:val="00EC63EB"/>
    <w:rsid w:val="00ED412F"/>
    <w:rsid w:val="00EF2F0A"/>
    <w:rsid w:val="00EF36B2"/>
    <w:rsid w:val="00F1246B"/>
    <w:rsid w:val="00F201EC"/>
    <w:rsid w:val="00F208A9"/>
    <w:rsid w:val="00F2226B"/>
    <w:rsid w:val="00F41D75"/>
    <w:rsid w:val="00F5139D"/>
    <w:rsid w:val="00F6090B"/>
    <w:rsid w:val="00F63DAC"/>
    <w:rsid w:val="00F70E6F"/>
    <w:rsid w:val="00F7248E"/>
    <w:rsid w:val="00F7454F"/>
    <w:rsid w:val="00F77988"/>
    <w:rsid w:val="00F77F48"/>
    <w:rsid w:val="00F863A8"/>
    <w:rsid w:val="00F94797"/>
    <w:rsid w:val="00F9580B"/>
    <w:rsid w:val="00FB30F1"/>
    <w:rsid w:val="00FB53E7"/>
    <w:rsid w:val="00FD2A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basedOn w:val="Noklusjumarindkopasfonts"/>
    <w:link w:val="Kjene"/>
    <w:uiPriority w:val="99"/>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character" w:customStyle="1" w:styleId="GalveneRakstz">
    <w:name w:val="Galvene Rakstz."/>
    <w:basedOn w:val="Noklusjumarindkopasfonts"/>
    <w:link w:val="Galvene"/>
    <w:uiPriority w:val="99"/>
    <w:rsid w:val="00780EB2"/>
    <w:rPr>
      <w:sz w:val="24"/>
      <w:szCs w:val="24"/>
    </w:rPr>
  </w:style>
  <w:style w:type="paragraph" w:styleId="Sarakstarindkopa">
    <w:name w:val="List Paragraph"/>
    <w:basedOn w:val="Parastais"/>
    <w:uiPriority w:val="34"/>
    <w:qFormat/>
    <w:rsid w:val="00D61CAD"/>
    <w:pPr>
      <w:ind w:left="720"/>
      <w:contextualSpacing/>
    </w:pPr>
  </w:style>
</w:styles>
</file>

<file path=word/webSettings.xml><?xml version="1.0" encoding="utf-8"?>
<w:webSettings xmlns:r="http://schemas.openxmlformats.org/officeDocument/2006/relationships" xmlns:w="http://schemas.openxmlformats.org/wordprocessingml/2006/main">
  <w:divs>
    <w:div w:id="183176981">
      <w:bodyDiv w:val="1"/>
      <w:marLeft w:val="0"/>
      <w:marRight w:val="0"/>
      <w:marTop w:val="0"/>
      <w:marBottom w:val="0"/>
      <w:divBdr>
        <w:top w:val="none" w:sz="0" w:space="0" w:color="auto"/>
        <w:left w:val="none" w:sz="0" w:space="0" w:color="auto"/>
        <w:bottom w:val="none" w:sz="0" w:space="0" w:color="auto"/>
        <w:right w:val="none" w:sz="0" w:space="0" w:color="auto"/>
      </w:divBdr>
    </w:div>
    <w:div w:id="7614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ri&#311;is.Builis@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is.Cakuls@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534DF-D7E5-4B33-981B-FAA6AEDC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1512</Words>
  <Characters>10166</Characters>
  <Application>Microsoft Office Word</Application>
  <DocSecurity>0</DocSecurity>
  <Lines>508</Lines>
  <Paragraphs>259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Latvijas Nacionālās bibliotēkas projekta īstenošanas likumā” sākotnējās ietekmes novērtējuma ziņojums (anotācija)</vt:lpstr>
      <vt:lpstr>Ministru kabineta instrukcijas projekts “Tiesību akta projekta sākotnējās ietekmes izvērtēšanas kārtība”</vt:lpstr>
    </vt:vector>
  </TitlesOfParts>
  <Manager>G.Puķītis</Manager>
  <Company>Kultūras ministrija</Company>
  <LinksUpToDate>false</LinksUpToDate>
  <CharactersWithSpaces>11419</CharactersWithSpaces>
  <SharedDoc>false</SharedDoc>
  <HLinks>
    <vt:vector size="6" baseType="variant">
      <vt:variant>
        <vt:i4>5832828</vt:i4>
      </vt:variant>
      <vt:variant>
        <vt:i4>3</vt:i4>
      </vt:variant>
      <vt:variant>
        <vt:i4>0</vt:i4>
      </vt:variant>
      <vt:variant>
        <vt:i4>5</vt:i4>
      </vt:variant>
      <vt:variant>
        <vt:lpwstr>mailto:Indrikis.Builis@km.gov.lv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Nacionālās bibliotēkas projekta īstenošanas likumā” sākotnējās ietekmes novērtējuma ziņojums (anotācija)</dc:title>
  <dc:subject>Likumprojekta sākotnējās ietekmes novērtējuma ziņojums (anotācija)</dc:subject>
  <dc:creator>I.Builis, S.Cakuls</dc:creator>
  <dc:description>I.Builis, Kultūras ministrijas LNB projekta īstenošanas nodaļas vadītājs,
Indrikis.Builis@km.gov.lv;
S.Cakuls, Kultūras ministrijas Eiropas Savienības fondu departamenta juriskonsults,
Sandis.Cakuls@km.gov.lv</dc:description>
  <cp:lastModifiedBy>SandisC</cp:lastModifiedBy>
  <cp:revision>4</cp:revision>
  <cp:lastPrinted>2012-06-01T09:41:00Z</cp:lastPrinted>
  <dcterms:created xsi:type="dcterms:W3CDTF">2013-05-29T07:11:00Z</dcterms:created>
  <dcterms:modified xsi:type="dcterms:W3CDTF">2013-05-29T07:14:00Z</dcterms:modified>
</cp:coreProperties>
</file>