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40E" w:rsidRDefault="0039740E" w:rsidP="007833C3">
      <w:pPr>
        <w:widowControl w:val="0"/>
        <w:overflowPunct w:val="0"/>
        <w:autoSpaceDE w:val="0"/>
        <w:autoSpaceDN w:val="0"/>
        <w:adjustRightInd w:val="0"/>
        <w:spacing w:after="0" w:line="240" w:lineRule="auto"/>
        <w:jc w:val="right"/>
        <w:rPr>
          <w:rFonts w:ascii="Times New Roman" w:eastAsia="Times New Roman" w:hAnsi="Times New Roman" w:cs="Times New Roman"/>
          <w:bCs/>
          <w:kern w:val="28"/>
          <w:sz w:val="24"/>
          <w:szCs w:val="24"/>
          <w:lang w:eastAsia="lv-LV"/>
        </w:rPr>
      </w:pPr>
      <w:bookmarkStart w:id="0" w:name="_Toc353934056"/>
      <w:r>
        <w:rPr>
          <w:rFonts w:ascii="Times New Roman" w:eastAsia="Times New Roman" w:hAnsi="Times New Roman" w:cs="Times New Roman"/>
          <w:bCs/>
          <w:kern w:val="28"/>
          <w:sz w:val="24"/>
          <w:szCs w:val="24"/>
          <w:lang w:eastAsia="lv-LV"/>
        </w:rPr>
        <w:t>Projekts</w:t>
      </w:r>
    </w:p>
    <w:p w:rsidR="0039740E" w:rsidRDefault="0039740E" w:rsidP="007833C3">
      <w:pPr>
        <w:widowControl w:val="0"/>
        <w:overflowPunct w:val="0"/>
        <w:autoSpaceDE w:val="0"/>
        <w:autoSpaceDN w:val="0"/>
        <w:adjustRightInd w:val="0"/>
        <w:spacing w:after="0" w:line="240" w:lineRule="auto"/>
        <w:jc w:val="right"/>
        <w:rPr>
          <w:rFonts w:ascii="Times New Roman" w:eastAsia="Times New Roman" w:hAnsi="Times New Roman" w:cs="Times New Roman"/>
          <w:bCs/>
          <w:kern w:val="28"/>
          <w:sz w:val="24"/>
          <w:szCs w:val="24"/>
          <w:lang w:eastAsia="lv-LV"/>
        </w:rPr>
      </w:pPr>
    </w:p>
    <w:p w:rsidR="007833C3" w:rsidRPr="007833C3" w:rsidRDefault="007833C3" w:rsidP="007833C3">
      <w:pPr>
        <w:widowControl w:val="0"/>
        <w:overflowPunct w:val="0"/>
        <w:autoSpaceDE w:val="0"/>
        <w:autoSpaceDN w:val="0"/>
        <w:adjustRightInd w:val="0"/>
        <w:spacing w:after="0" w:line="240" w:lineRule="auto"/>
        <w:jc w:val="right"/>
        <w:rPr>
          <w:rFonts w:ascii="Times New Roman" w:eastAsia="Times New Roman" w:hAnsi="Times New Roman" w:cs="Times New Roman"/>
          <w:bCs/>
          <w:kern w:val="28"/>
          <w:sz w:val="24"/>
          <w:szCs w:val="24"/>
          <w:lang w:eastAsia="lv-LV"/>
        </w:rPr>
      </w:pPr>
      <w:r w:rsidRPr="007833C3">
        <w:rPr>
          <w:rFonts w:ascii="Times New Roman" w:eastAsia="Times New Roman" w:hAnsi="Times New Roman" w:cs="Times New Roman"/>
          <w:bCs/>
          <w:kern w:val="28"/>
          <w:sz w:val="24"/>
          <w:szCs w:val="24"/>
          <w:lang w:eastAsia="lv-LV"/>
        </w:rPr>
        <w:t>Pielikums</w:t>
      </w:r>
    </w:p>
    <w:p w:rsidR="007833C3" w:rsidRPr="007833C3" w:rsidRDefault="007833C3" w:rsidP="007833C3">
      <w:pPr>
        <w:widowControl w:val="0"/>
        <w:overflowPunct w:val="0"/>
        <w:autoSpaceDE w:val="0"/>
        <w:autoSpaceDN w:val="0"/>
        <w:adjustRightInd w:val="0"/>
        <w:spacing w:after="0" w:line="240" w:lineRule="auto"/>
        <w:jc w:val="right"/>
        <w:rPr>
          <w:rFonts w:ascii="Times New Roman" w:eastAsia="Times New Roman" w:hAnsi="Times New Roman" w:cs="Times New Roman"/>
          <w:bCs/>
          <w:kern w:val="28"/>
          <w:sz w:val="24"/>
          <w:szCs w:val="24"/>
          <w:lang w:eastAsia="lv-LV"/>
        </w:rPr>
      </w:pPr>
      <w:r w:rsidRPr="007833C3">
        <w:rPr>
          <w:rFonts w:ascii="Times New Roman" w:eastAsia="Times New Roman" w:hAnsi="Times New Roman" w:cs="Times New Roman"/>
          <w:bCs/>
          <w:kern w:val="28"/>
          <w:sz w:val="24"/>
          <w:szCs w:val="24"/>
          <w:lang w:eastAsia="lv-LV"/>
        </w:rPr>
        <w:t xml:space="preserve">Informatīvajam ziņojumam </w:t>
      </w:r>
      <w:r w:rsidR="0092536C">
        <w:rPr>
          <w:rFonts w:ascii="Times New Roman" w:eastAsia="Times New Roman" w:hAnsi="Times New Roman" w:cs="Times New Roman"/>
          <w:bCs/>
          <w:kern w:val="28"/>
          <w:sz w:val="24"/>
          <w:szCs w:val="24"/>
          <w:lang w:eastAsia="lv-LV"/>
        </w:rPr>
        <w:t>„P</w:t>
      </w:r>
      <w:r w:rsidRPr="007833C3">
        <w:rPr>
          <w:rFonts w:ascii="Times New Roman" w:eastAsia="Times New Roman" w:hAnsi="Times New Roman" w:cs="Times New Roman"/>
          <w:bCs/>
          <w:kern w:val="28"/>
          <w:sz w:val="24"/>
          <w:szCs w:val="24"/>
          <w:lang w:eastAsia="lv-LV"/>
        </w:rPr>
        <w:t xml:space="preserve">ar </w:t>
      </w:r>
    </w:p>
    <w:p w:rsidR="007833C3" w:rsidRPr="007833C3" w:rsidRDefault="007833C3" w:rsidP="007833C3">
      <w:pPr>
        <w:widowControl w:val="0"/>
        <w:overflowPunct w:val="0"/>
        <w:autoSpaceDE w:val="0"/>
        <w:autoSpaceDN w:val="0"/>
        <w:adjustRightInd w:val="0"/>
        <w:spacing w:after="0" w:line="240" w:lineRule="auto"/>
        <w:jc w:val="right"/>
        <w:rPr>
          <w:rFonts w:ascii="Times New Roman" w:eastAsia="Times New Roman" w:hAnsi="Times New Roman" w:cs="Times New Roman"/>
          <w:bCs/>
          <w:kern w:val="28"/>
          <w:sz w:val="24"/>
          <w:szCs w:val="24"/>
          <w:lang w:eastAsia="lv-LV"/>
        </w:rPr>
      </w:pPr>
      <w:r w:rsidRPr="007833C3">
        <w:rPr>
          <w:rFonts w:ascii="Times New Roman" w:eastAsia="Times New Roman" w:hAnsi="Times New Roman" w:cs="Times New Roman"/>
          <w:bCs/>
          <w:kern w:val="28"/>
          <w:sz w:val="24"/>
          <w:szCs w:val="24"/>
          <w:lang w:eastAsia="lv-LV"/>
        </w:rPr>
        <w:t xml:space="preserve">Pretkorupcijas starpvalstu grupas (GRECO) </w:t>
      </w:r>
    </w:p>
    <w:p w:rsidR="007833C3" w:rsidRPr="007833C3" w:rsidRDefault="007833C3" w:rsidP="007833C3">
      <w:pPr>
        <w:widowControl w:val="0"/>
        <w:overflowPunct w:val="0"/>
        <w:autoSpaceDE w:val="0"/>
        <w:autoSpaceDN w:val="0"/>
        <w:adjustRightInd w:val="0"/>
        <w:spacing w:after="0" w:line="240" w:lineRule="auto"/>
        <w:jc w:val="right"/>
        <w:rPr>
          <w:rFonts w:ascii="Times New Roman" w:eastAsia="Times New Roman" w:hAnsi="Times New Roman" w:cs="Times New Roman"/>
          <w:b/>
          <w:bCs/>
          <w:kern w:val="28"/>
          <w:sz w:val="24"/>
          <w:szCs w:val="24"/>
          <w:lang w:eastAsia="lv-LV"/>
        </w:rPr>
      </w:pPr>
      <w:r w:rsidRPr="007833C3">
        <w:rPr>
          <w:rFonts w:ascii="Times New Roman" w:eastAsia="Times New Roman" w:hAnsi="Times New Roman" w:cs="Times New Roman"/>
          <w:bCs/>
          <w:kern w:val="28"/>
          <w:sz w:val="24"/>
          <w:szCs w:val="24"/>
          <w:lang w:eastAsia="lv-LV"/>
        </w:rPr>
        <w:t>rekomendācijām un to izpildes prasībām</w:t>
      </w:r>
      <w:r w:rsidR="0092536C">
        <w:rPr>
          <w:rFonts w:ascii="Times New Roman" w:eastAsia="Times New Roman" w:hAnsi="Times New Roman" w:cs="Times New Roman"/>
          <w:bCs/>
          <w:kern w:val="28"/>
          <w:sz w:val="24"/>
          <w:szCs w:val="24"/>
          <w:lang w:eastAsia="lv-LV"/>
        </w:rPr>
        <w:t>”</w:t>
      </w:r>
    </w:p>
    <w:p w:rsidR="007833C3" w:rsidRPr="007833C3" w:rsidRDefault="007833C3" w:rsidP="007833C3">
      <w:pPr>
        <w:keepNext/>
        <w:spacing w:after="0" w:line="240" w:lineRule="auto"/>
        <w:jc w:val="right"/>
        <w:outlineLvl w:val="0"/>
        <w:rPr>
          <w:rFonts w:ascii="Times New Roman" w:eastAsia="Times New Roman" w:hAnsi="Times New Roman" w:cs="Times New Roman"/>
          <w:bCs/>
          <w:caps/>
          <w:kern w:val="32"/>
          <w:sz w:val="24"/>
          <w:szCs w:val="24"/>
        </w:rPr>
      </w:pPr>
    </w:p>
    <w:p w:rsidR="007833C3" w:rsidRDefault="007833C3" w:rsidP="0071225F">
      <w:pPr>
        <w:keepNext/>
        <w:spacing w:after="0" w:line="240" w:lineRule="auto"/>
        <w:outlineLvl w:val="0"/>
        <w:rPr>
          <w:rFonts w:ascii="Verdana" w:eastAsia="Times New Roman" w:hAnsi="Verdana" w:cs="Times New Roman"/>
          <w:b/>
          <w:bCs/>
          <w:caps/>
          <w:kern w:val="32"/>
          <w:szCs w:val="32"/>
        </w:rPr>
      </w:pPr>
    </w:p>
    <w:p w:rsidR="0071225F" w:rsidRPr="0071225F" w:rsidRDefault="0071225F" w:rsidP="0071225F">
      <w:pPr>
        <w:keepNext/>
        <w:spacing w:after="0" w:line="240" w:lineRule="auto"/>
        <w:outlineLvl w:val="0"/>
        <w:rPr>
          <w:rFonts w:ascii="Times New Roman" w:eastAsia="Calibri" w:hAnsi="Times New Roman" w:cs="Times New Roman"/>
          <w:sz w:val="26"/>
          <w:szCs w:val="26"/>
        </w:rPr>
      </w:pPr>
      <w:r>
        <w:rPr>
          <w:rFonts w:ascii="Verdana" w:eastAsia="Times New Roman" w:hAnsi="Verdana" w:cs="Times New Roman"/>
          <w:b/>
          <w:bCs/>
          <w:caps/>
          <w:kern w:val="32"/>
          <w:szCs w:val="32"/>
        </w:rPr>
        <w:t xml:space="preserve">              </w:t>
      </w:r>
      <w:r w:rsidRPr="0071225F">
        <w:rPr>
          <w:rFonts w:ascii="Times New Roman" w:eastAsia="Times New Roman" w:hAnsi="Times New Roman" w:cs="Times New Roman"/>
          <w:b/>
          <w:bCs/>
          <w:caps/>
          <w:kern w:val="32"/>
          <w:sz w:val="26"/>
          <w:szCs w:val="26"/>
        </w:rPr>
        <w:t xml:space="preserve">GRECO IV kārtas REKOMENDĀCIJAS LATVIJAI </w:t>
      </w:r>
      <w:bookmarkEnd w:id="0"/>
    </w:p>
    <w:p w:rsidR="0071225F" w:rsidRPr="0071225F" w:rsidRDefault="0071225F" w:rsidP="0071225F">
      <w:pPr>
        <w:spacing w:after="0" w:line="240" w:lineRule="auto"/>
        <w:rPr>
          <w:rFonts w:ascii="Times New Roman" w:eastAsia="Calibri" w:hAnsi="Times New Roman" w:cs="Times New Roman"/>
          <w:i/>
          <w:sz w:val="26"/>
          <w:szCs w:val="26"/>
        </w:rPr>
      </w:pPr>
    </w:p>
    <w:p w:rsidR="0071225F" w:rsidRPr="0071225F" w:rsidRDefault="0071225F" w:rsidP="0071225F">
      <w:pPr>
        <w:spacing w:after="0" w:line="240" w:lineRule="auto"/>
        <w:rPr>
          <w:rFonts w:ascii="Times New Roman" w:eastAsia="Calibri" w:hAnsi="Times New Roman" w:cs="Times New Roman"/>
          <w:i/>
          <w:sz w:val="26"/>
          <w:szCs w:val="26"/>
        </w:rPr>
      </w:pPr>
      <w:r w:rsidRPr="0071225F">
        <w:rPr>
          <w:rFonts w:ascii="Times New Roman" w:eastAsia="Calibri" w:hAnsi="Times New Roman" w:cs="Times New Roman"/>
          <w:i/>
          <w:sz w:val="26"/>
          <w:szCs w:val="26"/>
        </w:rPr>
        <w:t>Vispārēji:</w:t>
      </w:r>
    </w:p>
    <w:p w:rsidR="0071225F" w:rsidRPr="0071225F" w:rsidRDefault="0071225F" w:rsidP="0071225F">
      <w:pPr>
        <w:autoSpaceDE w:val="0"/>
        <w:autoSpaceDN w:val="0"/>
        <w:adjustRightInd w:val="0"/>
        <w:spacing w:after="0" w:line="240" w:lineRule="auto"/>
        <w:jc w:val="both"/>
        <w:rPr>
          <w:rFonts w:ascii="Times New Roman" w:eastAsia="Calibri" w:hAnsi="Times New Roman" w:cs="Times New Roman"/>
          <w:i/>
          <w:iCs/>
          <w:sz w:val="26"/>
          <w:szCs w:val="26"/>
        </w:rPr>
      </w:pPr>
    </w:p>
    <w:p w:rsidR="0071225F" w:rsidRPr="0071225F" w:rsidRDefault="0071225F" w:rsidP="0071225F">
      <w:pPr>
        <w:autoSpaceDE w:val="0"/>
        <w:autoSpaceDN w:val="0"/>
        <w:adjustRightInd w:val="0"/>
        <w:spacing w:after="0" w:line="240" w:lineRule="auto"/>
        <w:ind w:left="567" w:right="567"/>
        <w:jc w:val="both"/>
        <w:rPr>
          <w:rFonts w:ascii="Times New Roman" w:eastAsia="Calibri" w:hAnsi="Times New Roman" w:cs="Times New Roman"/>
          <w:sz w:val="26"/>
          <w:szCs w:val="26"/>
        </w:rPr>
      </w:pPr>
      <w:r>
        <w:rPr>
          <w:rFonts w:ascii="Times New Roman" w:eastAsia="Calibri" w:hAnsi="Times New Roman" w:cs="Times New Roman"/>
          <w:bCs/>
          <w:sz w:val="26"/>
          <w:szCs w:val="26"/>
        </w:rPr>
        <w:t>1)</w:t>
      </w:r>
      <w:r w:rsidRPr="0071225F">
        <w:rPr>
          <w:rFonts w:ascii="Times New Roman" w:eastAsia="Calibri" w:hAnsi="Times New Roman" w:cs="Times New Roman"/>
          <w:bCs/>
          <w:sz w:val="26"/>
          <w:szCs w:val="26"/>
        </w:rPr>
        <w:t>veikt pasākumus, lai stiprinātu KNAB neatkarību, tādējādi nodrošinot, ka iestāde var veikt savas funkcijas neatkarīgi un objektīvi</w:t>
      </w:r>
      <w:r w:rsidRPr="0071225F">
        <w:rPr>
          <w:rFonts w:ascii="Times New Roman" w:eastAsia="Calibri" w:hAnsi="Times New Roman" w:cs="Times New Roman"/>
          <w:sz w:val="26"/>
          <w:szCs w:val="26"/>
        </w:rPr>
        <w:t>;</w:t>
      </w:r>
    </w:p>
    <w:p w:rsidR="0071225F" w:rsidRPr="0071225F" w:rsidRDefault="0071225F" w:rsidP="0071225F">
      <w:pPr>
        <w:autoSpaceDE w:val="0"/>
        <w:autoSpaceDN w:val="0"/>
        <w:adjustRightInd w:val="0"/>
        <w:spacing w:after="0" w:line="240" w:lineRule="auto"/>
        <w:jc w:val="both"/>
        <w:rPr>
          <w:rFonts w:ascii="Times New Roman" w:eastAsia="Calibri" w:hAnsi="Times New Roman" w:cs="Times New Roman"/>
          <w:sz w:val="26"/>
          <w:szCs w:val="26"/>
        </w:rPr>
      </w:pPr>
    </w:p>
    <w:p w:rsidR="0071225F" w:rsidRPr="0071225F" w:rsidRDefault="0071225F" w:rsidP="0071225F">
      <w:pPr>
        <w:autoSpaceDE w:val="0"/>
        <w:autoSpaceDN w:val="0"/>
        <w:adjustRightInd w:val="0"/>
        <w:spacing w:after="0" w:line="240" w:lineRule="auto"/>
        <w:jc w:val="both"/>
        <w:rPr>
          <w:rFonts w:ascii="Times New Roman" w:eastAsia="Calibri" w:hAnsi="Times New Roman" w:cs="Times New Roman"/>
          <w:i/>
          <w:iCs/>
          <w:sz w:val="26"/>
          <w:szCs w:val="26"/>
        </w:rPr>
      </w:pPr>
      <w:r w:rsidRPr="0071225F">
        <w:rPr>
          <w:rFonts w:ascii="Times New Roman" w:eastAsia="Calibri" w:hAnsi="Times New Roman" w:cs="Times New Roman"/>
          <w:i/>
          <w:iCs/>
          <w:sz w:val="26"/>
          <w:szCs w:val="26"/>
        </w:rPr>
        <w:t>Attiecībā uz parlamenta deputātiem:</w:t>
      </w:r>
    </w:p>
    <w:p w:rsidR="0071225F" w:rsidRPr="0071225F" w:rsidRDefault="0071225F" w:rsidP="0071225F">
      <w:pPr>
        <w:autoSpaceDE w:val="0"/>
        <w:autoSpaceDN w:val="0"/>
        <w:adjustRightInd w:val="0"/>
        <w:spacing w:after="0" w:line="240" w:lineRule="auto"/>
        <w:ind w:left="567"/>
        <w:jc w:val="both"/>
        <w:rPr>
          <w:rFonts w:ascii="Times New Roman" w:eastAsia="Calibri" w:hAnsi="Times New Roman" w:cs="Times New Roman"/>
          <w:i/>
          <w:iCs/>
          <w:sz w:val="26"/>
          <w:szCs w:val="26"/>
        </w:rPr>
      </w:pPr>
    </w:p>
    <w:p w:rsidR="0071225F" w:rsidRPr="0071225F" w:rsidRDefault="0071225F" w:rsidP="0071225F">
      <w:pPr>
        <w:autoSpaceDE w:val="0"/>
        <w:autoSpaceDN w:val="0"/>
        <w:adjustRightInd w:val="0"/>
        <w:spacing w:after="0" w:line="240" w:lineRule="auto"/>
        <w:ind w:left="567"/>
        <w:jc w:val="both"/>
        <w:rPr>
          <w:rFonts w:ascii="Times New Roman" w:eastAsia="Calibri" w:hAnsi="Times New Roman" w:cs="Times New Roman"/>
          <w:sz w:val="26"/>
          <w:szCs w:val="26"/>
        </w:rPr>
      </w:pPr>
      <w:r>
        <w:rPr>
          <w:rFonts w:ascii="Times New Roman" w:eastAsia="Calibri" w:hAnsi="Times New Roman" w:cs="Times New Roman"/>
          <w:bCs/>
          <w:sz w:val="26"/>
          <w:szCs w:val="26"/>
        </w:rPr>
        <w:t>2</w:t>
      </w:r>
      <w:r w:rsidRPr="0071225F">
        <w:rPr>
          <w:rFonts w:ascii="Times New Roman" w:eastAsia="Calibri" w:hAnsi="Times New Roman" w:cs="Times New Roman"/>
          <w:bCs/>
          <w:sz w:val="26"/>
          <w:szCs w:val="26"/>
        </w:rPr>
        <w:t>) ieviest normatīvo regulējumu, kas nosaka kārtību, kādā parlamenta deputāti komunicē ar lobētājiem un citām iesaistītajām pusēm, kas mēģina ietekmēt likumdošanas procesu</w:t>
      </w:r>
      <w:r w:rsidRPr="0071225F">
        <w:rPr>
          <w:rFonts w:ascii="Times New Roman" w:eastAsia="Calibri" w:hAnsi="Times New Roman" w:cs="Times New Roman"/>
          <w:sz w:val="26"/>
          <w:szCs w:val="26"/>
        </w:rPr>
        <w:t>;</w:t>
      </w:r>
    </w:p>
    <w:p w:rsidR="0071225F" w:rsidRPr="0071225F" w:rsidRDefault="0071225F" w:rsidP="0071225F">
      <w:pPr>
        <w:autoSpaceDE w:val="0"/>
        <w:autoSpaceDN w:val="0"/>
        <w:adjustRightInd w:val="0"/>
        <w:spacing w:after="0" w:line="240" w:lineRule="auto"/>
        <w:ind w:left="567"/>
        <w:jc w:val="both"/>
        <w:rPr>
          <w:rFonts w:ascii="Times New Roman" w:eastAsia="Calibri" w:hAnsi="Times New Roman" w:cs="Times New Roman"/>
          <w:sz w:val="26"/>
          <w:szCs w:val="26"/>
        </w:rPr>
      </w:pPr>
    </w:p>
    <w:p w:rsidR="0071225F" w:rsidRPr="0071225F" w:rsidRDefault="0071225F" w:rsidP="0071225F">
      <w:pPr>
        <w:autoSpaceDE w:val="0"/>
        <w:autoSpaceDN w:val="0"/>
        <w:adjustRightInd w:val="0"/>
        <w:spacing w:after="0" w:line="240" w:lineRule="auto"/>
        <w:ind w:left="567"/>
        <w:jc w:val="both"/>
        <w:rPr>
          <w:rFonts w:ascii="Times New Roman" w:eastAsia="Calibri" w:hAnsi="Times New Roman" w:cs="Times New Roman"/>
          <w:sz w:val="26"/>
          <w:szCs w:val="26"/>
        </w:rPr>
      </w:pPr>
      <w:r>
        <w:rPr>
          <w:rFonts w:ascii="Times New Roman" w:eastAsia="Calibri" w:hAnsi="Times New Roman" w:cs="Times New Roman"/>
          <w:bCs/>
          <w:sz w:val="26"/>
          <w:szCs w:val="26"/>
        </w:rPr>
        <w:t>3)</w:t>
      </w:r>
      <w:r w:rsidRPr="0071225F">
        <w:rPr>
          <w:rFonts w:ascii="Times New Roman" w:eastAsia="Calibri" w:hAnsi="Times New Roman" w:cs="Times New Roman"/>
          <w:bCs/>
          <w:sz w:val="26"/>
          <w:szCs w:val="26"/>
        </w:rPr>
        <w:t xml:space="preserve"> (i) pārskatīt un aktualizēt Ētikas kodeksu un (</w:t>
      </w:r>
      <w:proofErr w:type="spellStart"/>
      <w:r w:rsidRPr="0071225F">
        <w:rPr>
          <w:rFonts w:ascii="Times New Roman" w:eastAsia="Calibri" w:hAnsi="Times New Roman" w:cs="Times New Roman"/>
          <w:bCs/>
          <w:sz w:val="26"/>
          <w:szCs w:val="26"/>
        </w:rPr>
        <w:t>ii</w:t>
      </w:r>
      <w:proofErr w:type="spellEnd"/>
      <w:r w:rsidRPr="0071225F">
        <w:rPr>
          <w:rFonts w:ascii="Times New Roman" w:eastAsia="Calibri" w:hAnsi="Times New Roman" w:cs="Times New Roman"/>
          <w:bCs/>
          <w:sz w:val="26"/>
          <w:szCs w:val="26"/>
        </w:rPr>
        <w:t>) papildināt to ar praktiskiem pasākumiem, kas sniegtu atbilstošas vadlīnijas un ieteikumus Saeimas locekļiem par regulējumu, kas saistīts ar ētiku un korupcijas novēršanu</w:t>
      </w:r>
      <w:r w:rsidRPr="0071225F">
        <w:rPr>
          <w:rFonts w:ascii="Times New Roman" w:eastAsia="Calibri" w:hAnsi="Times New Roman" w:cs="Times New Roman"/>
          <w:sz w:val="26"/>
          <w:szCs w:val="26"/>
        </w:rPr>
        <w:t>;</w:t>
      </w:r>
    </w:p>
    <w:p w:rsidR="0071225F" w:rsidRPr="0071225F" w:rsidRDefault="0071225F" w:rsidP="0071225F">
      <w:pPr>
        <w:autoSpaceDE w:val="0"/>
        <w:autoSpaceDN w:val="0"/>
        <w:adjustRightInd w:val="0"/>
        <w:spacing w:after="0" w:line="240" w:lineRule="auto"/>
        <w:ind w:left="567"/>
        <w:jc w:val="both"/>
        <w:rPr>
          <w:rFonts w:ascii="Times New Roman" w:eastAsia="Calibri" w:hAnsi="Times New Roman" w:cs="Times New Roman"/>
          <w:sz w:val="26"/>
          <w:szCs w:val="26"/>
        </w:rPr>
      </w:pPr>
    </w:p>
    <w:p w:rsidR="0071225F" w:rsidRPr="0071225F" w:rsidRDefault="0071225F" w:rsidP="0071225F">
      <w:pPr>
        <w:autoSpaceDE w:val="0"/>
        <w:autoSpaceDN w:val="0"/>
        <w:adjustRightInd w:val="0"/>
        <w:spacing w:after="0" w:line="240" w:lineRule="auto"/>
        <w:ind w:left="567"/>
        <w:jc w:val="both"/>
        <w:rPr>
          <w:rFonts w:ascii="Times New Roman" w:eastAsia="Calibri" w:hAnsi="Times New Roman" w:cs="Times New Roman"/>
          <w:sz w:val="26"/>
          <w:szCs w:val="26"/>
        </w:rPr>
      </w:pPr>
      <w:r>
        <w:rPr>
          <w:rFonts w:ascii="Times New Roman" w:eastAsia="Calibri" w:hAnsi="Times New Roman" w:cs="Times New Roman"/>
          <w:bCs/>
          <w:sz w:val="26"/>
          <w:szCs w:val="26"/>
        </w:rPr>
        <w:t>4)</w:t>
      </w:r>
      <w:r w:rsidRPr="0071225F">
        <w:rPr>
          <w:rFonts w:ascii="Times New Roman" w:eastAsia="Calibri" w:hAnsi="Times New Roman" w:cs="Times New Roman"/>
          <w:bCs/>
          <w:sz w:val="26"/>
          <w:szCs w:val="26"/>
        </w:rPr>
        <w:t xml:space="preserve"> atcelt izņēmumu Interešu konflikta likumā, lai pilnībā aizliegtu Saeimas deputātiem noslēgt līgumus ar Valsts institūcijām</w:t>
      </w:r>
      <w:r w:rsidRPr="0071225F">
        <w:rPr>
          <w:rFonts w:ascii="Times New Roman" w:eastAsia="Calibri" w:hAnsi="Times New Roman" w:cs="Times New Roman"/>
          <w:sz w:val="26"/>
          <w:szCs w:val="26"/>
        </w:rPr>
        <w:t>;</w:t>
      </w:r>
    </w:p>
    <w:p w:rsidR="0071225F" w:rsidRPr="0071225F" w:rsidRDefault="0071225F" w:rsidP="0071225F">
      <w:pPr>
        <w:autoSpaceDE w:val="0"/>
        <w:autoSpaceDN w:val="0"/>
        <w:adjustRightInd w:val="0"/>
        <w:spacing w:after="0" w:line="240" w:lineRule="auto"/>
        <w:ind w:left="567"/>
        <w:jc w:val="both"/>
        <w:rPr>
          <w:rFonts w:ascii="Times New Roman" w:eastAsia="Calibri" w:hAnsi="Times New Roman" w:cs="Times New Roman"/>
          <w:sz w:val="26"/>
          <w:szCs w:val="26"/>
        </w:rPr>
      </w:pPr>
    </w:p>
    <w:p w:rsidR="0071225F" w:rsidRPr="0071225F" w:rsidRDefault="0071225F" w:rsidP="0071225F">
      <w:pPr>
        <w:autoSpaceDE w:val="0"/>
        <w:autoSpaceDN w:val="0"/>
        <w:adjustRightInd w:val="0"/>
        <w:spacing w:after="0" w:line="240" w:lineRule="auto"/>
        <w:ind w:left="567"/>
        <w:jc w:val="both"/>
        <w:rPr>
          <w:rFonts w:ascii="Times New Roman" w:eastAsia="Calibri" w:hAnsi="Times New Roman" w:cs="Times New Roman"/>
          <w:sz w:val="26"/>
          <w:szCs w:val="26"/>
        </w:rPr>
      </w:pPr>
      <w:r>
        <w:rPr>
          <w:rFonts w:ascii="Times New Roman" w:eastAsia="Calibri" w:hAnsi="Times New Roman" w:cs="Times New Roman"/>
          <w:bCs/>
          <w:sz w:val="26"/>
          <w:szCs w:val="26"/>
        </w:rPr>
        <w:t>5)</w:t>
      </w:r>
      <w:r w:rsidRPr="0071225F">
        <w:rPr>
          <w:rFonts w:ascii="Times New Roman" w:eastAsia="Calibri" w:hAnsi="Times New Roman" w:cs="Times New Roman"/>
          <w:bCs/>
          <w:sz w:val="26"/>
          <w:szCs w:val="26"/>
        </w:rPr>
        <w:t>tālāk attīstīt un skaidri noformulēt iekšējos Saeimas mehānismus Ētikas kodeksa ievērošanas nodrošināšanai, kā arī interešu konfliktu novēršanai, ar nolūku nodrošināt to aktīvu ieviešanu un efektivitāti</w:t>
      </w:r>
      <w:r w:rsidRPr="0071225F">
        <w:rPr>
          <w:rFonts w:ascii="Times New Roman" w:eastAsia="Calibri" w:hAnsi="Times New Roman" w:cs="Times New Roman"/>
          <w:sz w:val="26"/>
          <w:szCs w:val="26"/>
        </w:rPr>
        <w:t>;</w:t>
      </w:r>
    </w:p>
    <w:p w:rsidR="0071225F" w:rsidRPr="0071225F" w:rsidRDefault="0071225F" w:rsidP="0071225F">
      <w:pPr>
        <w:autoSpaceDE w:val="0"/>
        <w:autoSpaceDN w:val="0"/>
        <w:adjustRightInd w:val="0"/>
        <w:spacing w:after="0" w:line="240" w:lineRule="auto"/>
        <w:ind w:left="567"/>
        <w:jc w:val="both"/>
        <w:rPr>
          <w:rFonts w:ascii="Times New Roman" w:eastAsia="Calibri" w:hAnsi="Times New Roman" w:cs="Times New Roman"/>
          <w:sz w:val="26"/>
          <w:szCs w:val="26"/>
        </w:rPr>
      </w:pPr>
    </w:p>
    <w:p w:rsidR="0071225F" w:rsidRPr="0071225F" w:rsidRDefault="0071225F" w:rsidP="0071225F">
      <w:pPr>
        <w:autoSpaceDE w:val="0"/>
        <w:autoSpaceDN w:val="0"/>
        <w:adjustRightInd w:val="0"/>
        <w:spacing w:after="0" w:line="240" w:lineRule="auto"/>
        <w:ind w:left="567"/>
        <w:jc w:val="both"/>
        <w:rPr>
          <w:rFonts w:ascii="Times New Roman" w:eastAsia="Calibri" w:hAnsi="Times New Roman" w:cs="Times New Roman"/>
          <w:sz w:val="26"/>
          <w:szCs w:val="26"/>
        </w:rPr>
      </w:pPr>
      <w:r>
        <w:rPr>
          <w:rFonts w:ascii="Times New Roman" w:eastAsia="Calibri" w:hAnsi="Times New Roman" w:cs="Times New Roman"/>
          <w:bCs/>
          <w:sz w:val="26"/>
          <w:szCs w:val="26"/>
        </w:rPr>
        <w:t>6)</w:t>
      </w:r>
      <w:r w:rsidRPr="0071225F">
        <w:rPr>
          <w:rFonts w:ascii="Times New Roman" w:eastAsia="Calibri" w:hAnsi="Times New Roman" w:cs="Times New Roman"/>
          <w:bCs/>
          <w:sz w:val="26"/>
          <w:szCs w:val="26"/>
        </w:rPr>
        <w:t xml:space="preserve"> atcelt Saeimas deputātu administratīvo imunitāšu sistēmu</w:t>
      </w:r>
      <w:r w:rsidRPr="0071225F">
        <w:rPr>
          <w:rFonts w:ascii="Times New Roman" w:eastAsia="Calibri" w:hAnsi="Times New Roman" w:cs="Times New Roman"/>
          <w:sz w:val="26"/>
          <w:szCs w:val="26"/>
        </w:rPr>
        <w:t>;</w:t>
      </w:r>
    </w:p>
    <w:p w:rsidR="0071225F" w:rsidRPr="0071225F" w:rsidRDefault="0071225F" w:rsidP="0071225F">
      <w:pPr>
        <w:autoSpaceDE w:val="0"/>
        <w:autoSpaceDN w:val="0"/>
        <w:adjustRightInd w:val="0"/>
        <w:spacing w:after="0" w:line="240" w:lineRule="auto"/>
        <w:ind w:left="567"/>
        <w:jc w:val="both"/>
        <w:rPr>
          <w:rFonts w:ascii="Times New Roman" w:eastAsia="Calibri" w:hAnsi="Times New Roman" w:cs="Times New Roman"/>
          <w:i/>
          <w:iCs/>
          <w:sz w:val="26"/>
          <w:szCs w:val="26"/>
        </w:rPr>
      </w:pPr>
    </w:p>
    <w:p w:rsidR="0071225F" w:rsidRPr="0071225F" w:rsidRDefault="0071225F" w:rsidP="0071225F">
      <w:pPr>
        <w:autoSpaceDE w:val="0"/>
        <w:autoSpaceDN w:val="0"/>
        <w:adjustRightInd w:val="0"/>
        <w:spacing w:after="0" w:line="240" w:lineRule="auto"/>
        <w:jc w:val="both"/>
        <w:rPr>
          <w:rFonts w:ascii="Times New Roman" w:eastAsia="Calibri" w:hAnsi="Times New Roman" w:cs="Times New Roman"/>
          <w:i/>
          <w:iCs/>
          <w:sz w:val="26"/>
          <w:szCs w:val="26"/>
        </w:rPr>
      </w:pPr>
      <w:r w:rsidRPr="0071225F">
        <w:rPr>
          <w:rFonts w:ascii="Times New Roman" w:eastAsia="Calibri" w:hAnsi="Times New Roman" w:cs="Times New Roman"/>
          <w:i/>
          <w:iCs/>
          <w:sz w:val="26"/>
          <w:szCs w:val="26"/>
        </w:rPr>
        <w:t>Attiecībā uz tiesnešiem</w:t>
      </w:r>
    </w:p>
    <w:p w:rsidR="0071225F" w:rsidRPr="0071225F" w:rsidRDefault="0071225F" w:rsidP="0071225F">
      <w:pPr>
        <w:autoSpaceDE w:val="0"/>
        <w:autoSpaceDN w:val="0"/>
        <w:adjustRightInd w:val="0"/>
        <w:spacing w:after="0" w:line="240" w:lineRule="auto"/>
        <w:ind w:left="567"/>
        <w:jc w:val="both"/>
        <w:rPr>
          <w:rFonts w:ascii="Times New Roman" w:eastAsia="Calibri" w:hAnsi="Times New Roman" w:cs="Times New Roman"/>
          <w:bCs/>
          <w:sz w:val="26"/>
          <w:szCs w:val="26"/>
        </w:rPr>
      </w:pPr>
    </w:p>
    <w:p w:rsidR="0071225F" w:rsidRPr="0071225F" w:rsidRDefault="0071225F" w:rsidP="0071225F">
      <w:pPr>
        <w:autoSpaceDE w:val="0"/>
        <w:autoSpaceDN w:val="0"/>
        <w:adjustRightInd w:val="0"/>
        <w:spacing w:after="0" w:line="240" w:lineRule="auto"/>
        <w:ind w:left="567"/>
        <w:jc w:val="both"/>
        <w:rPr>
          <w:rFonts w:ascii="Times New Roman" w:eastAsia="Calibri" w:hAnsi="Times New Roman" w:cs="Times New Roman"/>
          <w:sz w:val="26"/>
          <w:szCs w:val="26"/>
        </w:rPr>
      </w:pPr>
      <w:r>
        <w:rPr>
          <w:rFonts w:ascii="Times New Roman" w:eastAsia="Calibri" w:hAnsi="Times New Roman" w:cs="Times New Roman"/>
          <w:bCs/>
          <w:sz w:val="26"/>
          <w:szCs w:val="26"/>
        </w:rPr>
        <w:t>7)</w:t>
      </w:r>
      <w:r w:rsidRPr="0071225F">
        <w:rPr>
          <w:rFonts w:ascii="Times New Roman" w:eastAsia="Calibri" w:hAnsi="Times New Roman" w:cs="Times New Roman"/>
          <w:bCs/>
          <w:sz w:val="26"/>
          <w:szCs w:val="26"/>
        </w:rPr>
        <w:t xml:space="preserve"> (i) stiprināt attiecīgu tiesu pašpārvaldes institūciju (piemēram, Tieslietu padome un Tiesnešu kvalifikācijas kolēģija) izšķirošo ietekmi tiesnešu iecelšanā, atkārtotā iecelšanā un karjeras virzībā, un (</w:t>
      </w:r>
      <w:proofErr w:type="spellStart"/>
      <w:r w:rsidRPr="0071225F">
        <w:rPr>
          <w:rFonts w:ascii="Times New Roman" w:eastAsia="Calibri" w:hAnsi="Times New Roman" w:cs="Times New Roman"/>
          <w:bCs/>
          <w:sz w:val="26"/>
          <w:szCs w:val="26"/>
        </w:rPr>
        <w:t>ii</w:t>
      </w:r>
      <w:proofErr w:type="spellEnd"/>
      <w:r w:rsidRPr="0071225F">
        <w:rPr>
          <w:rFonts w:ascii="Times New Roman" w:eastAsia="Calibri" w:hAnsi="Times New Roman" w:cs="Times New Roman"/>
          <w:bCs/>
          <w:sz w:val="26"/>
          <w:szCs w:val="26"/>
        </w:rPr>
        <w:t>) pārdomāt Saeimas pilnvaras šajā sfērā, it īpaši ierobežojot tās attiecībā uz tiesnešu apstiprināšanu, kā ieteikušas attiecīgās tiesu institūcijas, lai labāk kliedētu bažas par politiskās ietekmes riskiem</w:t>
      </w:r>
      <w:r w:rsidRPr="0071225F">
        <w:rPr>
          <w:rFonts w:ascii="Times New Roman" w:eastAsia="Calibri" w:hAnsi="Times New Roman" w:cs="Times New Roman"/>
          <w:sz w:val="26"/>
          <w:szCs w:val="26"/>
        </w:rPr>
        <w:t>;</w:t>
      </w:r>
    </w:p>
    <w:p w:rsidR="0071225F" w:rsidRPr="0071225F" w:rsidRDefault="0071225F" w:rsidP="0071225F">
      <w:pPr>
        <w:autoSpaceDE w:val="0"/>
        <w:autoSpaceDN w:val="0"/>
        <w:adjustRightInd w:val="0"/>
        <w:spacing w:after="0" w:line="240" w:lineRule="auto"/>
        <w:ind w:left="567"/>
        <w:jc w:val="both"/>
        <w:rPr>
          <w:rFonts w:ascii="Times New Roman" w:eastAsia="Calibri" w:hAnsi="Times New Roman" w:cs="Times New Roman"/>
          <w:sz w:val="26"/>
          <w:szCs w:val="26"/>
        </w:rPr>
      </w:pPr>
    </w:p>
    <w:p w:rsidR="0071225F" w:rsidRPr="0071225F" w:rsidRDefault="0071225F" w:rsidP="0071225F">
      <w:pPr>
        <w:autoSpaceDE w:val="0"/>
        <w:autoSpaceDN w:val="0"/>
        <w:adjustRightInd w:val="0"/>
        <w:spacing w:after="0" w:line="240" w:lineRule="auto"/>
        <w:ind w:left="567"/>
        <w:jc w:val="both"/>
        <w:rPr>
          <w:rFonts w:ascii="Times New Roman" w:eastAsia="Calibri" w:hAnsi="Times New Roman" w:cs="Times New Roman"/>
          <w:sz w:val="26"/>
          <w:szCs w:val="26"/>
        </w:rPr>
      </w:pPr>
      <w:r>
        <w:rPr>
          <w:rFonts w:ascii="Times New Roman" w:eastAsia="Calibri" w:hAnsi="Times New Roman" w:cs="Times New Roman"/>
          <w:bCs/>
          <w:sz w:val="26"/>
          <w:szCs w:val="26"/>
        </w:rPr>
        <w:t xml:space="preserve">8) </w:t>
      </w:r>
      <w:r w:rsidRPr="0071225F">
        <w:rPr>
          <w:rFonts w:ascii="Times New Roman" w:eastAsia="Calibri" w:hAnsi="Times New Roman" w:cs="Times New Roman"/>
          <w:bCs/>
          <w:sz w:val="26"/>
          <w:szCs w:val="26"/>
        </w:rPr>
        <w:t>institūcijām turpināt centienus, lai nodrošinātu, ka tiesas spriedumi sabiedrībai ir viegli pieejami un atrodami, ņemot vērā nepieciešamību nodrošināt privātās dzīves aizsardzības pr</w:t>
      </w:r>
      <w:r>
        <w:rPr>
          <w:rFonts w:ascii="Times New Roman" w:eastAsia="Calibri" w:hAnsi="Times New Roman" w:cs="Times New Roman"/>
          <w:bCs/>
          <w:sz w:val="26"/>
          <w:szCs w:val="26"/>
        </w:rPr>
        <w:t>asības</w:t>
      </w:r>
      <w:r w:rsidRPr="0071225F">
        <w:rPr>
          <w:rFonts w:ascii="Times New Roman" w:eastAsia="Calibri" w:hAnsi="Times New Roman" w:cs="Times New Roman"/>
          <w:sz w:val="26"/>
          <w:szCs w:val="26"/>
        </w:rPr>
        <w:t>;</w:t>
      </w:r>
    </w:p>
    <w:p w:rsidR="0071225F" w:rsidRPr="0071225F" w:rsidRDefault="0071225F" w:rsidP="0071225F">
      <w:pPr>
        <w:autoSpaceDE w:val="0"/>
        <w:autoSpaceDN w:val="0"/>
        <w:adjustRightInd w:val="0"/>
        <w:spacing w:after="0" w:line="240" w:lineRule="auto"/>
        <w:ind w:left="567"/>
        <w:jc w:val="both"/>
        <w:rPr>
          <w:rFonts w:ascii="Times New Roman" w:eastAsia="Calibri" w:hAnsi="Times New Roman" w:cs="Times New Roman"/>
          <w:sz w:val="26"/>
          <w:szCs w:val="26"/>
        </w:rPr>
      </w:pPr>
    </w:p>
    <w:p w:rsidR="0071225F" w:rsidRPr="0071225F" w:rsidRDefault="0071225F" w:rsidP="0071225F">
      <w:pPr>
        <w:autoSpaceDE w:val="0"/>
        <w:autoSpaceDN w:val="0"/>
        <w:adjustRightInd w:val="0"/>
        <w:spacing w:after="0" w:line="240" w:lineRule="auto"/>
        <w:ind w:left="567"/>
        <w:jc w:val="both"/>
        <w:rPr>
          <w:rFonts w:ascii="Times New Roman" w:eastAsia="Calibri" w:hAnsi="Times New Roman" w:cs="Times New Roman"/>
          <w:bCs/>
          <w:sz w:val="26"/>
          <w:szCs w:val="26"/>
        </w:rPr>
      </w:pPr>
      <w:r>
        <w:rPr>
          <w:rFonts w:ascii="Times New Roman" w:eastAsia="Calibri" w:hAnsi="Times New Roman" w:cs="Times New Roman"/>
          <w:bCs/>
          <w:sz w:val="26"/>
          <w:szCs w:val="26"/>
        </w:rPr>
        <w:t>9)</w:t>
      </w:r>
      <w:r w:rsidRPr="0071225F">
        <w:rPr>
          <w:rFonts w:ascii="Times New Roman" w:eastAsia="Calibri" w:hAnsi="Times New Roman" w:cs="Times New Roman"/>
          <w:bCs/>
          <w:sz w:val="26"/>
          <w:szCs w:val="26"/>
        </w:rPr>
        <w:t xml:space="preserve"> palielināt Tiesnešu ētikas komisijas lomu un resursus, lai tālāk attīstītu tās darbu un nodrošinātu to, ka Tiesnešu ētikas kodekss tiek aktualizēts un regulāri tiek sniegti ieteikumi par ta</w:t>
      </w:r>
      <w:r w:rsidR="00F86188">
        <w:rPr>
          <w:rFonts w:ascii="Times New Roman" w:eastAsia="Calibri" w:hAnsi="Times New Roman" w:cs="Times New Roman"/>
          <w:bCs/>
          <w:sz w:val="26"/>
          <w:szCs w:val="26"/>
        </w:rPr>
        <w:t>jā noteikto normu interpretācija</w:t>
      </w:r>
      <w:r w:rsidRPr="0071225F">
        <w:rPr>
          <w:rFonts w:ascii="Times New Roman" w:eastAsia="Calibri" w:hAnsi="Times New Roman" w:cs="Times New Roman"/>
          <w:sz w:val="26"/>
          <w:szCs w:val="26"/>
        </w:rPr>
        <w:t>;</w:t>
      </w:r>
    </w:p>
    <w:p w:rsidR="0071225F" w:rsidRPr="0071225F" w:rsidRDefault="0071225F" w:rsidP="0071225F">
      <w:pPr>
        <w:autoSpaceDE w:val="0"/>
        <w:autoSpaceDN w:val="0"/>
        <w:adjustRightInd w:val="0"/>
        <w:spacing w:after="0" w:line="240" w:lineRule="auto"/>
        <w:ind w:left="567"/>
        <w:jc w:val="both"/>
        <w:rPr>
          <w:rFonts w:ascii="Times New Roman" w:eastAsia="Calibri" w:hAnsi="Times New Roman" w:cs="Times New Roman"/>
          <w:sz w:val="26"/>
          <w:szCs w:val="26"/>
        </w:rPr>
      </w:pPr>
    </w:p>
    <w:p w:rsidR="0071225F" w:rsidRPr="0071225F" w:rsidRDefault="0071225F" w:rsidP="0071225F">
      <w:pPr>
        <w:autoSpaceDE w:val="0"/>
        <w:autoSpaceDN w:val="0"/>
        <w:adjustRightInd w:val="0"/>
        <w:spacing w:after="0" w:line="240" w:lineRule="auto"/>
        <w:ind w:left="567"/>
        <w:jc w:val="both"/>
        <w:rPr>
          <w:rFonts w:ascii="Times New Roman" w:eastAsia="Calibri" w:hAnsi="Times New Roman" w:cs="Times New Roman"/>
          <w:sz w:val="26"/>
          <w:szCs w:val="26"/>
        </w:rPr>
      </w:pPr>
      <w:r>
        <w:rPr>
          <w:rFonts w:ascii="Times New Roman" w:eastAsia="Calibri" w:hAnsi="Times New Roman" w:cs="Times New Roman"/>
          <w:bCs/>
          <w:sz w:val="26"/>
          <w:szCs w:val="26"/>
        </w:rPr>
        <w:t>10)</w:t>
      </w:r>
      <w:r w:rsidRPr="0071225F">
        <w:rPr>
          <w:rFonts w:ascii="Times New Roman" w:eastAsia="Calibri" w:hAnsi="Times New Roman" w:cs="Times New Roman"/>
          <w:bCs/>
          <w:sz w:val="26"/>
          <w:szCs w:val="26"/>
        </w:rPr>
        <w:t xml:space="preserve"> atcelt tiesnešu administratīvās imunitātes sistēmu</w:t>
      </w:r>
      <w:r w:rsidRPr="0071225F">
        <w:rPr>
          <w:rFonts w:ascii="Times New Roman" w:eastAsia="Calibri" w:hAnsi="Times New Roman" w:cs="Times New Roman"/>
          <w:sz w:val="26"/>
          <w:szCs w:val="26"/>
        </w:rPr>
        <w:t>;</w:t>
      </w:r>
    </w:p>
    <w:p w:rsidR="0071225F" w:rsidRPr="0071225F" w:rsidRDefault="0071225F" w:rsidP="0071225F">
      <w:pPr>
        <w:autoSpaceDE w:val="0"/>
        <w:autoSpaceDN w:val="0"/>
        <w:adjustRightInd w:val="0"/>
        <w:spacing w:after="0" w:line="240" w:lineRule="auto"/>
        <w:ind w:left="567"/>
        <w:rPr>
          <w:rFonts w:ascii="Times New Roman" w:eastAsia="Calibri" w:hAnsi="Times New Roman" w:cs="Times New Roman"/>
          <w:sz w:val="26"/>
          <w:szCs w:val="26"/>
        </w:rPr>
      </w:pPr>
    </w:p>
    <w:p w:rsidR="0071225F" w:rsidRPr="0071225F" w:rsidRDefault="0071225F" w:rsidP="0071225F">
      <w:pPr>
        <w:autoSpaceDE w:val="0"/>
        <w:autoSpaceDN w:val="0"/>
        <w:adjustRightInd w:val="0"/>
        <w:spacing w:after="0" w:line="240" w:lineRule="auto"/>
        <w:ind w:left="567"/>
        <w:jc w:val="both"/>
        <w:rPr>
          <w:rFonts w:ascii="Times New Roman" w:eastAsia="Calibri" w:hAnsi="Times New Roman" w:cs="Times New Roman"/>
          <w:bCs/>
          <w:sz w:val="26"/>
          <w:szCs w:val="26"/>
        </w:rPr>
      </w:pPr>
      <w:r>
        <w:rPr>
          <w:rFonts w:ascii="Times New Roman" w:eastAsia="Calibri" w:hAnsi="Times New Roman" w:cs="Times New Roman"/>
          <w:bCs/>
          <w:sz w:val="26"/>
          <w:szCs w:val="26"/>
        </w:rPr>
        <w:t>11)</w:t>
      </w:r>
      <w:r w:rsidRPr="0071225F">
        <w:rPr>
          <w:rFonts w:ascii="Times New Roman" w:eastAsia="Calibri" w:hAnsi="Times New Roman" w:cs="Times New Roman"/>
          <w:bCs/>
          <w:sz w:val="26"/>
          <w:szCs w:val="26"/>
        </w:rPr>
        <w:t xml:space="preserve"> veikt pasākumus, lai nodrošinātu, ka disciplinārlietas saistībā ar neatbilstošu tiesnešu rīcību tiek izlemtas pirms noilguma termiņa beigām, piemēram, paredzot sankciju piemērošanas perioda pagarināšanu no pārkāpuma atklāšanas brīža, noilguma perioda kā tāda pārskatīšanu, kā arī noilguma perioda apturēšanas paredzēšanu noteiktos apstākļos</w:t>
      </w:r>
      <w:r w:rsidRPr="0071225F">
        <w:rPr>
          <w:rFonts w:ascii="Times New Roman" w:eastAsia="Calibri" w:hAnsi="Times New Roman" w:cs="Times New Roman"/>
          <w:sz w:val="26"/>
          <w:szCs w:val="26"/>
        </w:rPr>
        <w:t>;</w:t>
      </w:r>
    </w:p>
    <w:p w:rsidR="0071225F" w:rsidRPr="0071225F" w:rsidRDefault="0071225F" w:rsidP="0071225F">
      <w:pPr>
        <w:autoSpaceDE w:val="0"/>
        <w:autoSpaceDN w:val="0"/>
        <w:adjustRightInd w:val="0"/>
        <w:spacing w:after="0" w:line="240" w:lineRule="auto"/>
        <w:ind w:left="567"/>
        <w:jc w:val="both"/>
        <w:rPr>
          <w:rFonts w:ascii="Times New Roman" w:eastAsia="Calibri" w:hAnsi="Times New Roman" w:cs="Times New Roman"/>
          <w:sz w:val="26"/>
          <w:szCs w:val="26"/>
        </w:rPr>
      </w:pPr>
    </w:p>
    <w:p w:rsidR="0071225F" w:rsidRPr="0071225F" w:rsidRDefault="0071225F" w:rsidP="0071225F">
      <w:pPr>
        <w:autoSpaceDE w:val="0"/>
        <w:autoSpaceDN w:val="0"/>
        <w:adjustRightInd w:val="0"/>
        <w:spacing w:after="0" w:line="240" w:lineRule="auto"/>
        <w:ind w:left="567"/>
        <w:jc w:val="both"/>
        <w:rPr>
          <w:rFonts w:ascii="Times New Roman" w:eastAsia="Calibri" w:hAnsi="Times New Roman" w:cs="Times New Roman"/>
          <w:sz w:val="26"/>
          <w:szCs w:val="26"/>
        </w:rPr>
      </w:pPr>
      <w:r>
        <w:rPr>
          <w:rFonts w:ascii="Times New Roman" w:eastAsia="Calibri" w:hAnsi="Times New Roman" w:cs="Times New Roman"/>
          <w:bCs/>
          <w:sz w:val="26"/>
          <w:szCs w:val="26"/>
        </w:rPr>
        <w:t>12)</w:t>
      </w:r>
      <w:r w:rsidRPr="0071225F">
        <w:rPr>
          <w:rFonts w:ascii="Times New Roman" w:eastAsia="Calibri" w:hAnsi="Times New Roman" w:cs="Times New Roman"/>
          <w:bCs/>
          <w:sz w:val="26"/>
          <w:szCs w:val="26"/>
        </w:rPr>
        <w:t xml:space="preserve"> (i) noteikt augstāku prioritāti korupcijas novēršanas, ētikas un godprātīguma profesionālajai apmācībai tiesu sistēmā, piešķirt tai atbilstošus līdzekļus un nodrošināt, ka tā tiek iekļauta tiesnešu regulāro apmācību programmā; (</w:t>
      </w:r>
      <w:proofErr w:type="spellStart"/>
      <w:r w:rsidRPr="0071225F">
        <w:rPr>
          <w:rFonts w:ascii="Times New Roman" w:eastAsia="Calibri" w:hAnsi="Times New Roman" w:cs="Times New Roman"/>
          <w:bCs/>
          <w:sz w:val="26"/>
          <w:szCs w:val="26"/>
        </w:rPr>
        <w:t>ii</w:t>
      </w:r>
      <w:proofErr w:type="spellEnd"/>
      <w:r w:rsidRPr="0071225F">
        <w:rPr>
          <w:rFonts w:ascii="Times New Roman" w:eastAsia="Calibri" w:hAnsi="Times New Roman" w:cs="Times New Roman"/>
          <w:bCs/>
          <w:sz w:val="26"/>
          <w:szCs w:val="26"/>
        </w:rPr>
        <w:t>) izveidot specifisku apmācību tiesu priekšsēdētājiem, lai viņi labāk spētu tiesās risināt jautājumus, kas saistīti ar ētiku, interešu konfliktu, godprātību un citiem pretkorupcijas jautājumiem</w:t>
      </w:r>
      <w:r w:rsidRPr="0071225F">
        <w:rPr>
          <w:rFonts w:ascii="Times New Roman" w:eastAsia="Calibri" w:hAnsi="Times New Roman" w:cs="Times New Roman"/>
          <w:sz w:val="26"/>
          <w:szCs w:val="26"/>
        </w:rPr>
        <w:t>;</w:t>
      </w:r>
    </w:p>
    <w:p w:rsidR="0071225F" w:rsidRPr="0071225F" w:rsidRDefault="0071225F" w:rsidP="0071225F">
      <w:pPr>
        <w:autoSpaceDE w:val="0"/>
        <w:autoSpaceDN w:val="0"/>
        <w:adjustRightInd w:val="0"/>
        <w:spacing w:after="0" w:line="240" w:lineRule="auto"/>
        <w:ind w:left="567"/>
        <w:jc w:val="both"/>
        <w:rPr>
          <w:rFonts w:ascii="Times New Roman" w:eastAsia="Calibri" w:hAnsi="Times New Roman" w:cs="Times New Roman"/>
          <w:sz w:val="26"/>
          <w:szCs w:val="26"/>
        </w:rPr>
      </w:pPr>
    </w:p>
    <w:p w:rsidR="0071225F" w:rsidRPr="0071225F" w:rsidRDefault="0071225F" w:rsidP="0071225F">
      <w:pPr>
        <w:spacing w:after="0" w:line="240" w:lineRule="auto"/>
        <w:jc w:val="both"/>
        <w:rPr>
          <w:rFonts w:ascii="Times New Roman" w:eastAsia="Calibri" w:hAnsi="Times New Roman" w:cs="Times New Roman"/>
          <w:i/>
          <w:sz w:val="26"/>
          <w:szCs w:val="26"/>
        </w:rPr>
      </w:pPr>
      <w:r w:rsidRPr="0071225F">
        <w:rPr>
          <w:rFonts w:ascii="Times New Roman" w:eastAsia="Calibri" w:hAnsi="Times New Roman" w:cs="Times New Roman"/>
          <w:i/>
          <w:sz w:val="26"/>
          <w:szCs w:val="26"/>
        </w:rPr>
        <w:t>Attiecībā uz prokuroriem</w:t>
      </w:r>
    </w:p>
    <w:p w:rsidR="0071225F" w:rsidRPr="0071225F" w:rsidRDefault="0071225F" w:rsidP="0071225F">
      <w:pPr>
        <w:autoSpaceDE w:val="0"/>
        <w:autoSpaceDN w:val="0"/>
        <w:adjustRightInd w:val="0"/>
        <w:spacing w:after="0" w:line="240" w:lineRule="auto"/>
        <w:ind w:left="567"/>
        <w:jc w:val="both"/>
        <w:rPr>
          <w:rFonts w:ascii="Times New Roman" w:eastAsia="Calibri" w:hAnsi="Times New Roman" w:cs="Times New Roman"/>
          <w:i/>
          <w:iCs/>
          <w:sz w:val="26"/>
          <w:szCs w:val="26"/>
        </w:rPr>
      </w:pPr>
    </w:p>
    <w:p w:rsidR="0071225F" w:rsidRPr="0071225F" w:rsidRDefault="0071225F" w:rsidP="0071225F">
      <w:pPr>
        <w:autoSpaceDE w:val="0"/>
        <w:autoSpaceDN w:val="0"/>
        <w:adjustRightInd w:val="0"/>
        <w:spacing w:after="0" w:line="240" w:lineRule="auto"/>
        <w:ind w:left="567"/>
        <w:jc w:val="both"/>
        <w:rPr>
          <w:rFonts w:ascii="Times New Roman" w:eastAsia="Calibri" w:hAnsi="Times New Roman" w:cs="Times New Roman"/>
          <w:sz w:val="26"/>
          <w:szCs w:val="26"/>
        </w:rPr>
      </w:pPr>
      <w:r>
        <w:rPr>
          <w:rFonts w:ascii="Times New Roman" w:eastAsia="Calibri" w:hAnsi="Times New Roman" w:cs="Times New Roman"/>
          <w:bCs/>
          <w:sz w:val="26"/>
          <w:szCs w:val="26"/>
        </w:rPr>
        <w:t>13)</w:t>
      </w:r>
      <w:r w:rsidRPr="0071225F">
        <w:rPr>
          <w:rFonts w:ascii="Times New Roman" w:eastAsia="Calibri" w:hAnsi="Times New Roman" w:cs="Times New Roman"/>
          <w:bCs/>
          <w:sz w:val="26"/>
          <w:szCs w:val="26"/>
        </w:rPr>
        <w:t xml:space="preserve"> atcelt prokuroru administratīvo imunitāšu sistēmu</w:t>
      </w:r>
      <w:r w:rsidRPr="0071225F">
        <w:rPr>
          <w:rFonts w:ascii="Times New Roman" w:eastAsia="Calibri" w:hAnsi="Times New Roman" w:cs="Times New Roman"/>
          <w:sz w:val="26"/>
          <w:szCs w:val="26"/>
        </w:rPr>
        <w:t>;</w:t>
      </w:r>
    </w:p>
    <w:p w:rsidR="0071225F" w:rsidRPr="0071225F" w:rsidRDefault="0071225F" w:rsidP="0071225F">
      <w:pPr>
        <w:autoSpaceDE w:val="0"/>
        <w:autoSpaceDN w:val="0"/>
        <w:adjustRightInd w:val="0"/>
        <w:spacing w:after="0" w:line="240" w:lineRule="auto"/>
        <w:ind w:left="567"/>
        <w:jc w:val="both"/>
        <w:rPr>
          <w:rFonts w:ascii="Times New Roman" w:eastAsia="Calibri" w:hAnsi="Times New Roman" w:cs="Times New Roman"/>
          <w:bCs/>
          <w:sz w:val="26"/>
          <w:szCs w:val="26"/>
        </w:rPr>
      </w:pPr>
    </w:p>
    <w:p w:rsidR="0071225F" w:rsidRPr="0071225F" w:rsidRDefault="0071225F" w:rsidP="0071225F">
      <w:pPr>
        <w:autoSpaceDE w:val="0"/>
        <w:autoSpaceDN w:val="0"/>
        <w:adjustRightInd w:val="0"/>
        <w:spacing w:after="0" w:line="240" w:lineRule="auto"/>
        <w:ind w:left="567"/>
        <w:jc w:val="both"/>
        <w:rPr>
          <w:rFonts w:ascii="Times New Roman" w:eastAsia="Calibri" w:hAnsi="Times New Roman" w:cs="Times New Roman"/>
          <w:sz w:val="26"/>
          <w:szCs w:val="26"/>
        </w:rPr>
      </w:pPr>
      <w:r>
        <w:rPr>
          <w:rFonts w:ascii="Times New Roman" w:eastAsia="Calibri" w:hAnsi="Times New Roman" w:cs="Times New Roman"/>
          <w:bCs/>
          <w:sz w:val="26"/>
          <w:szCs w:val="26"/>
        </w:rPr>
        <w:t>14)</w:t>
      </w:r>
      <w:r w:rsidRPr="0071225F">
        <w:rPr>
          <w:rFonts w:ascii="Times New Roman" w:eastAsia="Calibri" w:hAnsi="Times New Roman" w:cs="Times New Roman"/>
          <w:bCs/>
          <w:sz w:val="26"/>
          <w:szCs w:val="26"/>
        </w:rPr>
        <w:t xml:space="preserve"> piešķirt augstāku prioritāti apmācībai par korupcijas novēršanas jautājumiem (ieskaitot jautājumus par konfidencialitātes nodrošināšanu un ziņošanu par pārkāpumiem) un ētikas un godprātības jautājumiem, kas paredzēta īpaši prokuroriem, kā arī piešķirt tam nepieciešamos resursus, lai apmācība veidotu stabilu regulārās programmas daļu</w:t>
      </w:r>
      <w:r w:rsidRPr="0071225F">
        <w:rPr>
          <w:rFonts w:ascii="Times New Roman" w:eastAsia="Calibri" w:hAnsi="Times New Roman" w:cs="Times New Roman"/>
          <w:sz w:val="26"/>
          <w:szCs w:val="26"/>
        </w:rPr>
        <w:t>.</w:t>
      </w:r>
    </w:p>
    <w:p w:rsidR="0071225F" w:rsidRDefault="0071225F" w:rsidP="0071225F">
      <w:pPr>
        <w:autoSpaceDE w:val="0"/>
        <w:autoSpaceDN w:val="0"/>
        <w:adjustRightInd w:val="0"/>
        <w:spacing w:after="0" w:line="240" w:lineRule="auto"/>
        <w:ind w:left="567"/>
        <w:jc w:val="both"/>
        <w:rPr>
          <w:rFonts w:ascii="Times New Roman" w:eastAsia="Calibri" w:hAnsi="Times New Roman" w:cs="Times New Roman"/>
          <w:sz w:val="26"/>
          <w:szCs w:val="26"/>
        </w:rPr>
      </w:pPr>
    </w:p>
    <w:p w:rsidR="003D391D" w:rsidRDefault="003D391D" w:rsidP="003D391D">
      <w:pPr>
        <w:pStyle w:val="naisf"/>
        <w:spacing w:before="0" w:after="0"/>
        <w:ind w:firstLine="0"/>
        <w:rPr>
          <w:sz w:val="26"/>
          <w:szCs w:val="26"/>
        </w:rPr>
      </w:pPr>
    </w:p>
    <w:p w:rsidR="003D391D" w:rsidRPr="003D391D" w:rsidRDefault="003D391D" w:rsidP="003D391D">
      <w:pPr>
        <w:pStyle w:val="naisf"/>
        <w:spacing w:before="0" w:after="0"/>
        <w:ind w:firstLine="0"/>
        <w:rPr>
          <w:sz w:val="26"/>
          <w:szCs w:val="26"/>
        </w:rPr>
      </w:pPr>
      <w:r w:rsidRPr="003D391D">
        <w:rPr>
          <w:sz w:val="26"/>
          <w:szCs w:val="26"/>
        </w:rPr>
        <w:t xml:space="preserve">Ministru prezidents </w:t>
      </w:r>
      <w:r w:rsidRPr="003D391D">
        <w:rPr>
          <w:sz w:val="26"/>
          <w:szCs w:val="26"/>
        </w:rPr>
        <w:tab/>
      </w:r>
      <w:r w:rsidRPr="003D391D">
        <w:rPr>
          <w:sz w:val="26"/>
          <w:szCs w:val="26"/>
        </w:rPr>
        <w:tab/>
      </w:r>
      <w:r w:rsidRPr="003D391D">
        <w:rPr>
          <w:sz w:val="26"/>
          <w:szCs w:val="26"/>
        </w:rPr>
        <w:tab/>
      </w:r>
      <w:r w:rsidRPr="003D391D">
        <w:rPr>
          <w:sz w:val="26"/>
          <w:szCs w:val="26"/>
        </w:rPr>
        <w:tab/>
      </w:r>
      <w:r w:rsidRPr="003D391D">
        <w:rPr>
          <w:sz w:val="26"/>
          <w:szCs w:val="26"/>
        </w:rPr>
        <w:tab/>
      </w:r>
      <w:r w:rsidRPr="003D391D">
        <w:rPr>
          <w:sz w:val="26"/>
          <w:szCs w:val="26"/>
        </w:rPr>
        <w:tab/>
      </w:r>
      <w:r>
        <w:rPr>
          <w:sz w:val="26"/>
          <w:szCs w:val="26"/>
        </w:rPr>
        <w:t xml:space="preserve">             </w:t>
      </w:r>
      <w:proofErr w:type="spellStart"/>
      <w:r w:rsidRPr="003D391D">
        <w:rPr>
          <w:sz w:val="26"/>
          <w:szCs w:val="26"/>
        </w:rPr>
        <w:t>V.Dombrovskis</w:t>
      </w:r>
      <w:proofErr w:type="spellEnd"/>
    </w:p>
    <w:p w:rsidR="003D391D" w:rsidRPr="003D391D" w:rsidRDefault="003D391D" w:rsidP="003D391D">
      <w:pPr>
        <w:pStyle w:val="naisf"/>
        <w:spacing w:before="0" w:after="0"/>
        <w:ind w:firstLine="0"/>
        <w:rPr>
          <w:sz w:val="26"/>
          <w:szCs w:val="26"/>
        </w:rPr>
      </w:pPr>
    </w:p>
    <w:p w:rsidR="003D391D" w:rsidRPr="003D391D" w:rsidRDefault="003D391D" w:rsidP="003D391D">
      <w:pPr>
        <w:pStyle w:val="naisf"/>
        <w:spacing w:before="0" w:after="0"/>
        <w:ind w:firstLine="0"/>
        <w:rPr>
          <w:sz w:val="26"/>
          <w:szCs w:val="26"/>
        </w:rPr>
      </w:pPr>
    </w:p>
    <w:p w:rsidR="003D391D" w:rsidRPr="003D391D" w:rsidRDefault="003D391D" w:rsidP="003D391D">
      <w:pPr>
        <w:pStyle w:val="naisf"/>
        <w:tabs>
          <w:tab w:val="left" w:pos="6804"/>
        </w:tabs>
        <w:spacing w:before="0" w:after="0"/>
        <w:ind w:firstLine="0"/>
        <w:rPr>
          <w:sz w:val="26"/>
          <w:szCs w:val="26"/>
        </w:rPr>
      </w:pPr>
      <w:r w:rsidRPr="003D391D">
        <w:rPr>
          <w:sz w:val="26"/>
          <w:szCs w:val="26"/>
        </w:rPr>
        <w:t xml:space="preserve">Iesniedzējs: </w:t>
      </w:r>
      <w:r w:rsidRPr="003D391D">
        <w:rPr>
          <w:sz w:val="26"/>
          <w:szCs w:val="26"/>
        </w:rPr>
        <w:t>Ministr</w:t>
      </w:r>
      <w:r w:rsidRPr="003D391D">
        <w:rPr>
          <w:sz w:val="26"/>
          <w:szCs w:val="26"/>
        </w:rPr>
        <w:t xml:space="preserve">u </w:t>
      </w:r>
      <w:r w:rsidRPr="003D391D">
        <w:rPr>
          <w:sz w:val="26"/>
          <w:szCs w:val="26"/>
        </w:rPr>
        <w:t>prezident</w:t>
      </w:r>
      <w:r w:rsidRPr="003D391D">
        <w:rPr>
          <w:sz w:val="26"/>
          <w:szCs w:val="26"/>
        </w:rPr>
        <w:t xml:space="preserve">s </w:t>
      </w:r>
      <w:r>
        <w:rPr>
          <w:sz w:val="26"/>
          <w:szCs w:val="26"/>
        </w:rPr>
        <w:t xml:space="preserve">                                                </w:t>
      </w:r>
      <w:bookmarkStart w:id="1" w:name="_GoBack"/>
      <w:bookmarkEnd w:id="1"/>
      <w:proofErr w:type="spellStart"/>
      <w:r w:rsidRPr="003D391D">
        <w:rPr>
          <w:sz w:val="26"/>
          <w:szCs w:val="26"/>
        </w:rPr>
        <w:t>V.Dombrovskis</w:t>
      </w:r>
      <w:proofErr w:type="spellEnd"/>
    </w:p>
    <w:p w:rsidR="003D391D" w:rsidRPr="003D391D" w:rsidRDefault="003D391D" w:rsidP="003D391D">
      <w:pPr>
        <w:pStyle w:val="naisf"/>
        <w:spacing w:before="0" w:after="0"/>
        <w:ind w:firstLine="0"/>
        <w:rPr>
          <w:sz w:val="26"/>
          <w:szCs w:val="26"/>
        </w:rPr>
      </w:pPr>
    </w:p>
    <w:p w:rsidR="003D391D" w:rsidRPr="003D391D" w:rsidRDefault="003D391D" w:rsidP="003D391D">
      <w:pPr>
        <w:pStyle w:val="naisf"/>
        <w:tabs>
          <w:tab w:val="left" w:pos="6804"/>
        </w:tabs>
        <w:spacing w:before="0" w:after="0"/>
        <w:ind w:firstLine="0"/>
        <w:rPr>
          <w:sz w:val="26"/>
          <w:szCs w:val="26"/>
        </w:rPr>
      </w:pPr>
    </w:p>
    <w:p w:rsidR="003D391D" w:rsidRPr="003D391D" w:rsidRDefault="003D391D" w:rsidP="003D391D">
      <w:pPr>
        <w:pStyle w:val="naisf"/>
        <w:tabs>
          <w:tab w:val="left" w:pos="6804"/>
        </w:tabs>
        <w:spacing w:before="0" w:after="0"/>
        <w:ind w:firstLine="0"/>
        <w:rPr>
          <w:sz w:val="26"/>
          <w:szCs w:val="26"/>
        </w:rPr>
      </w:pPr>
      <w:r w:rsidRPr="003D391D">
        <w:rPr>
          <w:sz w:val="26"/>
          <w:szCs w:val="26"/>
        </w:rPr>
        <w:t>Vīza: Korupcijas novēršanas un</w:t>
      </w:r>
    </w:p>
    <w:p w:rsidR="003D391D" w:rsidRPr="003D391D" w:rsidRDefault="003D391D" w:rsidP="003D391D">
      <w:pPr>
        <w:pStyle w:val="naisf"/>
        <w:tabs>
          <w:tab w:val="left" w:pos="6804"/>
        </w:tabs>
        <w:spacing w:before="0" w:after="0"/>
        <w:ind w:firstLine="0"/>
        <w:rPr>
          <w:sz w:val="26"/>
          <w:szCs w:val="26"/>
        </w:rPr>
      </w:pPr>
      <w:r w:rsidRPr="003D391D">
        <w:rPr>
          <w:sz w:val="26"/>
          <w:szCs w:val="26"/>
        </w:rPr>
        <w:t>Apkarošanas biroja priekšnieks</w:t>
      </w:r>
      <w:r w:rsidRPr="003D391D">
        <w:rPr>
          <w:sz w:val="26"/>
          <w:szCs w:val="26"/>
        </w:rPr>
        <w:tab/>
      </w:r>
      <w:proofErr w:type="spellStart"/>
      <w:r w:rsidRPr="003D391D">
        <w:rPr>
          <w:sz w:val="26"/>
          <w:szCs w:val="26"/>
        </w:rPr>
        <w:t>J.Streļčenoks</w:t>
      </w:r>
      <w:proofErr w:type="spellEnd"/>
      <w:r w:rsidRPr="003D391D">
        <w:rPr>
          <w:sz w:val="26"/>
          <w:szCs w:val="26"/>
        </w:rPr>
        <w:t xml:space="preserve"> </w:t>
      </w:r>
    </w:p>
    <w:p w:rsidR="003D391D" w:rsidRPr="003D391D" w:rsidRDefault="003D391D" w:rsidP="003D391D">
      <w:pPr>
        <w:pStyle w:val="naisf"/>
        <w:spacing w:before="0" w:after="0"/>
        <w:ind w:firstLine="0"/>
        <w:rPr>
          <w:sz w:val="26"/>
          <w:szCs w:val="26"/>
        </w:rPr>
      </w:pPr>
    </w:p>
    <w:p w:rsidR="0039740E" w:rsidRDefault="0039740E" w:rsidP="0071225F">
      <w:pPr>
        <w:autoSpaceDE w:val="0"/>
        <w:autoSpaceDN w:val="0"/>
        <w:adjustRightInd w:val="0"/>
        <w:spacing w:after="0" w:line="240" w:lineRule="auto"/>
        <w:ind w:left="567"/>
        <w:jc w:val="both"/>
        <w:rPr>
          <w:rFonts w:ascii="Times New Roman" w:eastAsia="Calibri" w:hAnsi="Times New Roman" w:cs="Times New Roman"/>
          <w:sz w:val="26"/>
          <w:szCs w:val="26"/>
        </w:rPr>
      </w:pPr>
    </w:p>
    <w:p w:rsidR="003D391D" w:rsidRPr="003D391D" w:rsidRDefault="003D391D" w:rsidP="003D391D">
      <w:pPr>
        <w:autoSpaceDN w:val="0"/>
        <w:spacing w:after="0" w:line="240" w:lineRule="auto"/>
        <w:rPr>
          <w:rFonts w:ascii="Times New Roman" w:eastAsia="MS Mincho" w:hAnsi="Times New Roman" w:cs="Times New Roman"/>
          <w:sz w:val="20"/>
          <w:szCs w:val="24"/>
          <w:lang w:eastAsia="ja-JP"/>
        </w:rPr>
      </w:pPr>
      <w:r w:rsidRPr="003D391D">
        <w:rPr>
          <w:rFonts w:ascii="Times New Roman" w:eastAsia="MS Mincho" w:hAnsi="Times New Roman" w:cs="Times New Roman"/>
          <w:sz w:val="20"/>
          <w:szCs w:val="24"/>
          <w:lang w:eastAsia="ja-JP"/>
        </w:rPr>
        <w:t>2013.10.23.</w:t>
      </w:r>
    </w:p>
    <w:p w:rsidR="003D391D" w:rsidRPr="003D391D" w:rsidRDefault="003D391D" w:rsidP="003D391D">
      <w:pPr>
        <w:autoSpaceDN w:val="0"/>
        <w:spacing w:after="0" w:line="240" w:lineRule="auto"/>
        <w:rPr>
          <w:rFonts w:ascii="Times New Roman" w:eastAsia="MS Mincho" w:hAnsi="Times New Roman" w:cs="Times New Roman"/>
          <w:sz w:val="20"/>
          <w:szCs w:val="24"/>
          <w:lang w:eastAsia="ja-JP"/>
        </w:rPr>
      </w:pPr>
      <w:r>
        <w:rPr>
          <w:rFonts w:ascii="Times New Roman" w:eastAsia="MS Mincho" w:hAnsi="Times New Roman" w:cs="Times New Roman"/>
          <w:sz w:val="20"/>
          <w:szCs w:val="24"/>
          <w:lang w:eastAsia="ja-JP"/>
        </w:rPr>
        <w:t>428</w:t>
      </w:r>
    </w:p>
    <w:p w:rsidR="003D391D" w:rsidRPr="003D391D" w:rsidRDefault="003D391D" w:rsidP="003D391D">
      <w:pPr>
        <w:autoSpaceDN w:val="0"/>
        <w:spacing w:after="0" w:line="240" w:lineRule="auto"/>
        <w:rPr>
          <w:rFonts w:ascii="Times New Roman" w:eastAsia="MS Mincho" w:hAnsi="Times New Roman" w:cs="Times New Roman"/>
          <w:sz w:val="20"/>
          <w:szCs w:val="24"/>
          <w:lang w:eastAsia="ja-JP"/>
        </w:rPr>
      </w:pPr>
      <w:r w:rsidRPr="003D391D">
        <w:rPr>
          <w:rFonts w:ascii="Times New Roman" w:eastAsia="MS Mincho" w:hAnsi="Times New Roman" w:cs="Times New Roman"/>
          <w:sz w:val="20"/>
          <w:szCs w:val="24"/>
          <w:lang w:eastAsia="ja-JP"/>
        </w:rPr>
        <w:t>Korupcijas novēršanas un apkarošanas biroja</w:t>
      </w:r>
    </w:p>
    <w:p w:rsidR="003D391D" w:rsidRPr="003D391D" w:rsidRDefault="003D391D" w:rsidP="003D391D">
      <w:pPr>
        <w:autoSpaceDN w:val="0"/>
        <w:spacing w:after="0" w:line="240" w:lineRule="auto"/>
        <w:rPr>
          <w:rFonts w:ascii="Times New Roman" w:eastAsia="MS Mincho" w:hAnsi="Times New Roman" w:cs="Times New Roman"/>
          <w:sz w:val="20"/>
          <w:szCs w:val="24"/>
          <w:lang w:eastAsia="ja-JP"/>
        </w:rPr>
      </w:pPr>
      <w:r w:rsidRPr="003D391D">
        <w:rPr>
          <w:rFonts w:ascii="Times New Roman" w:eastAsia="MS Mincho" w:hAnsi="Times New Roman" w:cs="Times New Roman"/>
          <w:sz w:val="20"/>
          <w:szCs w:val="24"/>
          <w:lang w:eastAsia="ja-JP"/>
        </w:rPr>
        <w:t>galvenā speciāliste</w:t>
      </w:r>
    </w:p>
    <w:p w:rsidR="003D391D" w:rsidRPr="003D391D" w:rsidRDefault="003D391D" w:rsidP="003D391D">
      <w:pPr>
        <w:autoSpaceDN w:val="0"/>
        <w:spacing w:after="0" w:line="240" w:lineRule="auto"/>
        <w:rPr>
          <w:rFonts w:ascii="Times New Roman" w:eastAsia="MS Mincho" w:hAnsi="Times New Roman" w:cs="Times New Roman"/>
          <w:sz w:val="20"/>
          <w:szCs w:val="24"/>
          <w:lang w:eastAsia="ja-JP"/>
        </w:rPr>
      </w:pPr>
      <w:proofErr w:type="spellStart"/>
      <w:r w:rsidRPr="003D391D">
        <w:rPr>
          <w:rFonts w:ascii="Times New Roman" w:eastAsia="MS Mincho" w:hAnsi="Times New Roman" w:cs="Times New Roman"/>
          <w:sz w:val="20"/>
          <w:szCs w:val="24"/>
          <w:lang w:eastAsia="ja-JP"/>
        </w:rPr>
        <w:t>I.Terinka</w:t>
      </w:r>
      <w:proofErr w:type="spellEnd"/>
      <w:r w:rsidRPr="003D391D">
        <w:rPr>
          <w:rFonts w:ascii="Times New Roman" w:eastAsia="MS Mincho" w:hAnsi="Times New Roman" w:cs="Times New Roman"/>
          <w:sz w:val="20"/>
          <w:szCs w:val="24"/>
          <w:lang w:eastAsia="ja-JP"/>
        </w:rPr>
        <w:t xml:space="preserve">, 67356165 - 268, </w:t>
      </w:r>
    </w:p>
    <w:p w:rsidR="003D391D" w:rsidRPr="003D391D" w:rsidRDefault="003D391D" w:rsidP="003D391D">
      <w:pPr>
        <w:autoSpaceDN w:val="0"/>
        <w:spacing w:after="0" w:line="240" w:lineRule="auto"/>
        <w:rPr>
          <w:rFonts w:ascii="Calibri" w:eastAsia="MS Mincho" w:hAnsi="Calibri" w:cs="Arial"/>
          <w:kern w:val="3"/>
          <w:lang w:eastAsia="ja-JP"/>
        </w:rPr>
      </w:pPr>
      <w:r w:rsidRPr="003D391D">
        <w:rPr>
          <w:rFonts w:ascii="Times New Roman" w:eastAsia="MS Mincho" w:hAnsi="Times New Roman" w:cs="Times New Roman"/>
          <w:sz w:val="20"/>
          <w:szCs w:val="24"/>
          <w:lang w:eastAsia="ja-JP"/>
        </w:rPr>
        <w:t>Inese.Terinka</w:t>
      </w:r>
      <w:hyperlink r:id="rId7" w:history="1">
        <w:r w:rsidRPr="003D391D">
          <w:rPr>
            <w:rFonts w:ascii="Times New Roman" w:eastAsia="MS Mincho" w:hAnsi="Times New Roman" w:cs="Times New Roman"/>
            <w:sz w:val="20"/>
            <w:szCs w:val="24"/>
            <w:lang w:eastAsia="ja-JP"/>
          </w:rPr>
          <w:t>@knab.gov.lv</w:t>
        </w:r>
      </w:hyperlink>
    </w:p>
    <w:p w:rsidR="0039740E" w:rsidRPr="0039740E" w:rsidRDefault="0039740E" w:rsidP="0039740E">
      <w:pPr>
        <w:widowControl w:val="0"/>
        <w:suppressAutoHyphens/>
        <w:overflowPunct w:val="0"/>
        <w:autoSpaceDE w:val="0"/>
        <w:autoSpaceDN w:val="0"/>
        <w:spacing w:after="0" w:line="240" w:lineRule="auto"/>
        <w:ind w:firstLine="708"/>
        <w:jc w:val="both"/>
        <w:textAlignment w:val="baseline"/>
        <w:rPr>
          <w:rFonts w:ascii="Times New Roman" w:eastAsia="MS Mincho" w:hAnsi="Times New Roman" w:cs="Times New Roman"/>
          <w:kern w:val="3"/>
          <w:sz w:val="28"/>
          <w:szCs w:val="28"/>
          <w:lang w:eastAsia="ja-JP"/>
        </w:rPr>
      </w:pPr>
    </w:p>
    <w:sectPr w:rsidR="0039740E" w:rsidRPr="0039740E" w:rsidSect="003D391D">
      <w:footerReference w:type="default" r:id="rId8"/>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4F0" w:rsidRDefault="00B304F0" w:rsidP="00A2061B">
      <w:pPr>
        <w:spacing w:after="0" w:line="240" w:lineRule="auto"/>
      </w:pPr>
      <w:r>
        <w:separator/>
      </w:r>
    </w:p>
  </w:endnote>
  <w:endnote w:type="continuationSeparator" w:id="0">
    <w:p w:rsidR="00B304F0" w:rsidRDefault="00B304F0" w:rsidP="00A20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61B" w:rsidRPr="00B606FC" w:rsidRDefault="00A2061B" w:rsidP="00B606FC">
    <w:pPr>
      <w:pStyle w:val="Footer"/>
      <w:jc w:val="both"/>
      <w:rPr>
        <w:rFonts w:ascii="Times New Roman" w:hAnsi="Times New Roman" w:cs="Times New Roman"/>
        <w:sz w:val="20"/>
        <w:szCs w:val="20"/>
      </w:rPr>
    </w:pPr>
    <w:r w:rsidRPr="00B606FC">
      <w:rPr>
        <w:rFonts w:ascii="Times New Roman" w:hAnsi="Times New Roman" w:cs="Times New Roman"/>
        <w:sz w:val="20"/>
        <w:szCs w:val="20"/>
      </w:rPr>
      <w:t>KNABzinoP_</w:t>
    </w:r>
    <w:r w:rsidR="00605DD9">
      <w:rPr>
        <w:rFonts w:ascii="Times New Roman" w:hAnsi="Times New Roman" w:cs="Times New Roman"/>
        <w:sz w:val="20"/>
        <w:szCs w:val="20"/>
      </w:rPr>
      <w:t>04</w:t>
    </w:r>
    <w:r w:rsidR="00B606FC" w:rsidRPr="00B606FC">
      <w:rPr>
        <w:rFonts w:ascii="Times New Roman" w:hAnsi="Times New Roman" w:cs="Times New Roman"/>
        <w:sz w:val="20"/>
        <w:szCs w:val="20"/>
      </w:rPr>
      <w:t>.</w:t>
    </w:r>
    <w:r w:rsidR="00605DD9">
      <w:rPr>
        <w:rFonts w:ascii="Times New Roman" w:hAnsi="Times New Roman" w:cs="Times New Roman"/>
        <w:sz w:val="20"/>
        <w:szCs w:val="20"/>
      </w:rPr>
      <w:t>1</w:t>
    </w:r>
    <w:r w:rsidR="00B606FC" w:rsidRPr="00B606FC">
      <w:rPr>
        <w:rFonts w:ascii="Times New Roman" w:hAnsi="Times New Roman" w:cs="Times New Roman"/>
        <w:sz w:val="20"/>
        <w:szCs w:val="20"/>
      </w:rPr>
      <w:t>0.2013_GRECO.; Pielikums Informatīvajam ziņojumam „Par Pretkorupcijas starpvalstu grupas (GRECO) rekomendācijām un to izpildes prasībām</w:t>
    </w:r>
    <w:r w:rsidR="0092536C">
      <w:rPr>
        <w:rFonts w:ascii="Times New Roman" w:hAnsi="Times New Roman" w:cs="Times New Roman"/>
        <w:sz w:val="20"/>
        <w:szCs w:val="20"/>
      </w:rPr>
      <w:t>”</w:t>
    </w:r>
    <w:r w:rsidR="00B606FC">
      <w:rPr>
        <w:rFonts w:ascii="Times New Roman" w:hAnsi="Times New Roman" w:cs="Times New Roman"/>
        <w:sz w:val="20"/>
        <w:szCs w:val="20"/>
      </w:rPr>
      <w:t>.</w:t>
    </w:r>
  </w:p>
  <w:p w:rsidR="00A2061B" w:rsidRDefault="00A20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4F0" w:rsidRDefault="00B304F0" w:rsidP="00A2061B">
      <w:pPr>
        <w:spacing w:after="0" w:line="240" w:lineRule="auto"/>
      </w:pPr>
      <w:r>
        <w:separator/>
      </w:r>
    </w:p>
  </w:footnote>
  <w:footnote w:type="continuationSeparator" w:id="0">
    <w:p w:rsidR="00B304F0" w:rsidRDefault="00B304F0" w:rsidP="00A206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25F"/>
    <w:rsid w:val="00121BC7"/>
    <w:rsid w:val="0039740E"/>
    <w:rsid w:val="003D391D"/>
    <w:rsid w:val="004E342F"/>
    <w:rsid w:val="00605DD9"/>
    <w:rsid w:val="0071225F"/>
    <w:rsid w:val="007833C3"/>
    <w:rsid w:val="00885882"/>
    <w:rsid w:val="0092536C"/>
    <w:rsid w:val="00A2061B"/>
    <w:rsid w:val="00A930A8"/>
    <w:rsid w:val="00B2642F"/>
    <w:rsid w:val="00B304F0"/>
    <w:rsid w:val="00B606FC"/>
    <w:rsid w:val="00B738B5"/>
    <w:rsid w:val="00BB64D7"/>
    <w:rsid w:val="00BC7D95"/>
    <w:rsid w:val="00BF4574"/>
    <w:rsid w:val="00D63043"/>
    <w:rsid w:val="00DF4585"/>
    <w:rsid w:val="00F048C8"/>
    <w:rsid w:val="00F6581B"/>
    <w:rsid w:val="00F8333D"/>
    <w:rsid w:val="00F86188"/>
    <w:rsid w:val="00FB6B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6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061B"/>
  </w:style>
  <w:style w:type="paragraph" w:styleId="Footer">
    <w:name w:val="footer"/>
    <w:basedOn w:val="Normal"/>
    <w:link w:val="FooterChar"/>
    <w:uiPriority w:val="99"/>
    <w:unhideWhenUsed/>
    <w:rsid w:val="00A206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061B"/>
  </w:style>
  <w:style w:type="paragraph" w:styleId="BalloonText">
    <w:name w:val="Balloon Text"/>
    <w:basedOn w:val="Normal"/>
    <w:link w:val="BalloonTextChar"/>
    <w:uiPriority w:val="99"/>
    <w:semiHidden/>
    <w:unhideWhenUsed/>
    <w:rsid w:val="00A20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61B"/>
    <w:rPr>
      <w:rFonts w:ascii="Tahoma" w:hAnsi="Tahoma" w:cs="Tahoma"/>
      <w:sz w:val="16"/>
      <w:szCs w:val="16"/>
    </w:rPr>
  </w:style>
  <w:style w:type="paragraph" w:customStyle="1" w:styleId="naisf">
    <w:name w:val="naisf"/>
    <w:basedOn w:val="Normal"/>
    <w:uiPriority w:val="99"/>
    <w:rsid w:val="003D391D"/>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6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061B"/>
  </w:style>
  <w:style w:type="paragraph" w:styleId="Footer">
    <w:name w:val="footer"/>
    <w:basedOn w:val="Normal"/>
    <w:link w:val="FooterChar"/>
    <w:uiPriority w:val="99"/>
    <w:unhideWhenUsed/>
    <w:rsid w:val="00A206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061B"/>
  </w:style>
  <w:style w:type="paragraph" w:styleId="BalloonText">
    <w:name w:val="Balloon Text"/>
    <w:basedOn w:val="Normal"/>
    <w:link w:val="BalloonTextChar"/>
    <w:uiPriority w:val="99"/>
    <w:semiHidden/>
    <w:unhideWhenUsed/>
    <w:rsid w:val="00A20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61B"/>
    <w:rPr>
      <w:rFonts w:ascii="Tahoma" w:hAnsi="Tahoma" w:cs="Tahoma"/>
      <w:sz w:val="16"/>
      <w:szCs w:val="16"/>
    </w:rPr>
  </w:style>
  <w:style w:type="paragraph" w:customStyle="1" w:styleId="naisf">
    <w:name w:val="naisf"/>
    <w:basedOn w:val="Normal"/>
    <w:uiPriority w:val="99"/>
    <w:rsid w:val="003D391D"/>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ika.Munca@fm.gov.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447</Words>
  <Characters>3258</Characters>
  <Application>Microsoft Office Word</Application>
  <DocSecurity>0</DocSecurity>
  <Lines>101</Lines>
  <Paragraphs>40</Paragraphs>
  <ScaleCrop>false</ScaleCrop>
  <HeadingPairs>
    <vt:vector size="2" baseType="variant">
      <vt:variant>
        <vt:lpstr>Title</vt:lpstr>
      </vt:variant>
      <vt:variant>
        <vt:i4>1</vt:i4>
      </vt:variant>
    </vt:vector>
  </HeadingPairs>
  <TitlesOfParts>
    <vt:vector size="1" baseType="lpstr">
      <vt:lpstr>Pielikums</vt:lpstr>
    </vt:vector>
  </TitlesOfParts>
  <Company>KNAB</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dc:title>
  <dc:subject>Informatīvajam ziņojumam GRECO rekomendācijām un to izpildes nodrošināšanai</dc:subject>
  <dc:creator>Inese Terinka</dc:creator>
  <dc:description>inese.terinka@knba.gov.lv_x000d_
67356165-268</dc:description>
  <cp:lastModifiedBy>Inese Terinka</cp:lastModifiedBy>
  <cp:revision>11</cp:revision>
  <cp:lastPrinted>2013-10-23T08:33:00Z</cp:lastPrinted>
  <dcterms:created xsi:type="dcterms:W3CDTF">2013-05-30T12:05:00Z</dcterms:created>
  <dcterms:modified xsi:type="dcterms:W3CDTF">2013-10-23T08:33:00Z</dcterms:modified>
</cp:coreProperties>
</file>