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E8" w:rsidRPr="008964E8" w:rsidRDefault="008964E8" w:rsidP="008964E8">
      <w:pPr>
        <w:spacing w:after="0" w:line="240" w:lineRule="auto"/>
        <w:jc w:val="center"/>
        <w:rPr>
          <w:rFonts w:ascii="Times New Roman" w:eastAsia="Times New Roman" w:hAnsi="Times New Roman" w:cs="Times New Roman"/>
          <w:b/>
          <w:sz w:val="28"/>
          <w:szCs w:val="28"/>
          <w:lang w:eastAsia="lv-LV"/>
        </w:rPr>
      </w:pPr>
      <w:r w:rsidRPr="008964E8">
        <w:rPr>
          <w:rFonts w:ascii="Times New Roman" w:eastAsia="Times New Roman" w:hAnsi="Times New Roman" w:cs="Times New Roman"/>
          <w:b/>
          <w:sz w:val="28"/>
          <w:szCs w:val="28"/>
          <w:lang w:eastAsia="lv-LV"/>
        </w:rPr>
        <w:t>Ministru kabineta noteikumu projekta „Noteikumi par Sociālās integrācijas valsts aģentūras sniegto maksas pakalpojumu cenrādi” sākotnējās ietekmes novērtējuma ziņojums (anotācija)</w:t>
      </w:r>
    </w:p>
    <w:p w:rsidR="008964E8" w:rsidRPr="008964E8" w:rsidRDefault="008964E8" w:rsidP="008964E8">
      <w:pPr>
        <w:spacing w:after="0" w:line="240" w:lineRule="auto"/>
        <w:jc w:val="center"/>
        <w:rPr>
          <w:rFonts w:ascii="Times New Roman" w:eastAsia="Times New Roman" w:hAnsi="Times New Roman" w:cs="Times New Roman"/>
          <w:b/>
          <w:sz w:val="28"/>
          <w:szCs w:val="28"/>
          <w:lang w:eastAsia="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
        <w:gridCol w:w="129"/>
        <w:gridCol w:w="48"/>
        <w:gridCol w:w="2146"/>
        <w:gridCol w:w="193"/>
        <w:gridCol w:w="71"/>
        <w:gridCol w:w="986"/>
        <w:gridCol w:w="2090"/>
        <w:gridCol w:w="1119"/>
        <w:gridCol w:w="1119"/>
        <w:gridCol w:w="1475"/>
        <w:gridCol w:w="272"/>
      </w:tblGrid>
      <w:tr w:rsidR="008964E8" w:rsidRPr="008964E8" w:rsidTr="00A2740C">
        <w:trPr>
          <w:gridAfter w:val="1"/>
          <w:wAfter w:w="272" w:type="dxa"/>
          <w:trHeight w:val="687"/>
        </w:trPr>
        <w:tc>
          <w:tcPr>
            <w:tcW w:w="9652" w:type="dxa"/>
            <w:gridSpan w:val="11"/>
            <w:vAlign w:val="center"/>
          </w:tcPr>
          <w:p w:rsidR="008964E8" w:rsidRPr="008964E8" w:rsidRDefault="008964E8" w:rsidP="008964E8">
            <w:pPr>
              <w:spacing w:after="0" w:line="240" w:lineRule="auto"/>
              <w:jc w:val="center"/>
              <w:rPr>
                <w:rFonts w:ascii="Times New Roman" w:eastAsia="Times New Roman" w:hAnsi="Times New Roman" w:cs="Times New Roman"/>
                <w:b/>
                <w:sz w:val="24"/>
                <w:szCs w:val="24"/>
                <w:lang w:eastAsia="lv-LV"/>
              </w:rPr>
            </w:pPr>
            <w:r w:rsidRPr="008964E8">
              <w:rPr>
                <w:rFonts w:ascii="Times New Roman" w:eastAsia="Times New Roman" w:hAnsi="Times New Roman" w:cs="Times New Roman"/>
                <w:b/>
                <w:sz w:val="24"/>
                <w:szCs w:val="24"/>
                <w:lang w:eastAsia="lv-LV"/>
              </w:rPr>
              <w:t>I Tiesību akta projekta izstrādes nepieciešamība</w:t>
            </w:r>
          </w:p>
        </w:tc>
      </w:tr>
      <w:tr w:rsidR="008964E8" w:rsidRPr="008964E8" w:rsidTr="00A2740C">
        <w:trPr>
          <w:gridAfter w:val="1"/>
          <w:wAfter w:w="272" w:type="dxa"/>
          <w:trHeight w:val="4241"/>
        </w:trPr>
        <w:tc>
          <w:tcPr>
            <w:tcW w:w="453" w:type="dxa"/>
            <w:gridSpan w:val="3"/>
            <w:shd w:val="clear" w:color="auto" w:fill="auto"/>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1.</w:t>
            </w:r>
          </w:p>
        </w:tc>
        <w:tc>
          <w:tcPr>
            <w:tcW w:w="2339" w:type="dxa"/>
            <w:gridSpan w:val="2"/>
            <w:shd w:val="clear" w:color="auto" w:fill="auto"/>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Pamatojums</w:t>
            </w:r>
          </w:p>
        </w:tc>
        <w:tc>
          <w:tcPr>
            <w:tcW w:w="6860" w:type="dxa"/>
            <w:gridSpan w:val="6"/>
            <w:shd w:val="clear" w:color="auto" w:fill="auto"/>
            <w:vAlign w:val="center"/>
          </w:tcPr>
          <w:p w:rsidR="008964E8" w:rsidRPr="008964E8" w:rsidRDefault="008964E8" w:rsidP="00A2740C">
            <w:pPr>
              <w:spacing w:after="0" w:line="240" w:lineRule="auto"/>
              <w:ind w:firstLine="338"/>
              <w:jc w:val="both"/>
              <w:rPr>
                <w:rFonts w:ascii="Times New Roman" w:hAnsi="Times New Roman" w:cs="Times New Roman"/>
                <w:sz w:val="24"/>
                <w:szCs w:val="24"/>
              </w:rPr>
            </w:pPr>
            <w:r w:rsidRPr="008964E8">
              <w:rPr>
                <w:rFonts w:ascii="Times New Roman" w:hAnsi="Times New Roman" w:cs="Times New Roman"/>
                <w:sz w:val="24"/>
                <w:szCs w:val="24"/>
              </w:rPr>
              <w:t>Ministru kabineta noteikumu projekts „Noteikumi par Sociālās integrācijas valsts aģentūras sniegto maksas pakalpojumu cenrādi” (turpmāk – noteikumu projekts) izstrādāts saskaņā ar Likuma par budžetu un finanšu vadību 5.panta devīto daļu, kā arī lai ieviestu Valsts kontroles 2012.gada 7.novembra revīzijas ziņojuma Nr.5.1-2-5/2012 „Valsts budžeta izlietojuma likumība un efektivitāte, nodrošinot invalīdu un personu ar funkcionāliem traucējumiem sociālo un profesionālo rehabilitāciju” (turpmāk – Valsts kontroles ziņojums) ieteikumus.</w:t>
            </w:r>
          </w:p>
          <w:p w:rsidR="008964E8" w:rsidRPr="008964E8" w:rsidRDefault="008964E8" w:rsidP="00A2740C">
            <w:pPr>
              <w:spacing w:after="0" w:line="240" w:lineRule="auto"/>
              <w:ind w:firstLine="338"/>
              <w:jc w:val="both"/>
              <w:rPr>
                <w:rFonts w:ascii="Times New Roman" w:hAnsi="Times New Roman" w:cs="Times New Roman"/>
                <w:sz w:val="24"/>
                <w:szCs w:val="24"/>
              </w:rPr>
            </w:pPr>
            <w:r w:rsidRPr="008964E8">
              <w:rPr>
                <w:rFonts w:ascii="Times New Roman" w:hAnsi="Times New Roman" w:cs="Times New Roman"/>
                <w:sz w:val="24"/>
                <w:szCs w:val="24"/>
              </w:rPr>
              <w:t xml:space="preserve">Vienlaikus, lai atvieglotu administratīvo slogu un nodrošinātu pāreju uz </w:t>
            </w:r>
            <w:proofErr w:type="spellStart"/>
            <w:r w:rsidRPr="008964E8">
              <w:rPr>
                <w:rFonts w:ascii="Times New Roman" w:hAnsi="Times New Roman" w:cs="Times New Roman"/>
                <w:i/>
                <w:sz w:val="24"/>
                <w:szCs w:val="24"/>
              </w:rPr>
              <w:t>euro</w:t>
            </w:r>
            <w:proofErr w:type="spellEnd"/>
            <w:r w:rsidRPr="008964E8">
              <w:rPr>
                <w:rFonts w:ascii="Times New Roman" w:hAnsi="Times New Roman" w:cs="Times New Roman"/>
                <w:sz w:val="24"/>
                <w:szCs w:val="24"/>
              </w:rPr>
              <w:t xml:space="preserve">, noteikumu projektā ņemts vērā </w:t>
            </w:r>
            <w:proofErr w:type="spellStart"/>
            <w:r w:rsidRPr="008964E8">
              <w:rPr>
                <w:rFonts w:ascii="Times New Roman" w:hAnsi="Times New Roman" w:cs="Times New Roman"/>
                <w:i/>
                <w:sz w:val="24"/>
                <w:szCs w:val="24"/>
              </w:rPr>
              <w:t>Euro</w:t>
            </w:r>
            <w:proofErr w:type="spellEnd"/>
            <w:r w:rsidRPr="008964E8">
              <w:rPr>
                <w:rFonts w:ascii="Times New Roman" w:hAnsi="Times New Roman" w:cs="Times New Roman"/>
                <w:sz w:val="24"/>
                <w:szCs w:val="24"/>
              </w:rPr>
              <w:t xml:space="preserve"> ieviešanas kārtības likuma 30.panta pirmajā daļā un Ministru kabineta 2012.gada 27.jūnija rīkojuma Nr.282 „Par „Koncepciju par normatīvo aktu sakārtošanu saistībā ar eiro ieviešanu Latvijā”” 7.1.apakšpunktā noteiktais, un attiecīgās cenas pārrēķinātas </w:t>
            </w:r>
            <w:proofErr w:type="spellStart"/>
            <w:r w:rsidRPr="008964E8">
              <w:rPr>
                <w:rFonts w:ascii="Times New Roman" w:hAnsi="Times New Roman" w:cs="Times New Roman"/>
                <w:i/>
                <w:sz w:val="24"/>
                <w:szCs w:val="24"/>
              </w:rPr>
              <w:t>euro</w:t>
            </w:r>
            <w:proofErr w:type="spellEnd"/>
            <w:r w:rsidRPr="008964E8">
              <w:rPr>
                <w:rFonts w:ascii="Times New Roman" w:hAnsi="Times New Roman" w:cs="Times New Roman"/>
                <w:sz w:val="24"/>
                <w:szCs w:val="24"/>
              </w:rPr>
              <w:t>.</w:t>
            </w:r>
          </w:p>
        </w:tc>
      </w:tr>
      <w:tr w:rsidR="008964E8" w:rsidRPr="008964E8" w:rsidTr="00A2740C">
        <w:trPr>
          <w:gridAfter w:val="1"/>
          <w:wAfter w:w="272" w:type="dxa"/>
          <w:trHeight w:val="4667"/>
        </w:trPr>
        <w:tc>
          <w:tcPr>
            <w:tcW w:w="453" w:type="dxa"/>
            <w:gridSpan w:val="3"/>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 xml:space="preserve">2. </w:t>
            </w:r>
          </w:p>
        </w:tc>
        <w:tc>
          <w:tcPr>
            <w:tcW w:w="2339" w:type="dxa"/>
            <w:gridSpan w:val="2"/>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Pašreizējā situācija un problēmas</w:t>
            </w:r>
          </w:p>
        </w:tc>
        <w:tc>
          <w:tcPr>
            <w:tcW w:w="6860" w:type="dxa"/>
            <w:gridSpan w:val="6"/>
            <w:shd w:val="clear" w:color="auto" w:fill="FFFFFF" w:themeFill="background1"/>
            <w:vAlign w:val="center"/>
          </w:tcPr>
          <w:p w:rsidR="008964E8" w:rsidRPr="008964E8" w:rsidRDefault="008964E8" w:rsidP="00A2740C">
            <w:pPr>
              <w:spacing w:after="0" w:line="240" w:lineRule="auto"/>
              <w:ind w:firstLine="338"/>
              <w:jc w:val="both"/>
              <w:rPr>
                <w:rFonts w:ascii="Times New Roman" w:hAnsi="Times New Roman" w:cs="Times New Roman"/>
                <w:sz w:val="24"/>
                <w:szCs w:val="24"/>
              </w:rPr>
            </w:pPr>
            <w:r w:rsidRPr="008964E8">
              <w:rPr>
                <w:rFonts w:ascii="Times New Roman" w:hAnsi="Times New Roman" w:cs="Times New Roman"/>
                <w:sz w:val="24"/>
                <w:szCs w:val="24"/>
              </w:rPr>
              <w:t>Pamatojoties uz Ministru kabineta 2012.gada 18.decembra noteikumu Nr.914 „Sociālās integrācijas valsts aģentūras nolikums” (turpmāk – MK noteikumi Nr.914) 8.2.apakšpunktu, Sociālās integrācijas valsts aģentūras (turpmāk – Aģentūra) finanšu līdzekļus veido arī ieņēmumi no Aģentūras sniegtajiem maksas pakalpojumiem.</w:t>
            </w:r>
          </w:p>
          <w:p w:rsidR="008964E8" w:rsidRPr="008964E8" w:rsidRDefault="008964E8" w:rsidP="00A2740C">
            <w:pPr>
              <w:spacing w:after="0" w:line="240" w:lineRule="auto"/>
              <w:ind w:firstLine="338"/>
              <w:jc w:val="both"/>
              <w:rPr>
                <w:rFonts w:ascii="Times New Roman" w:hAnsi="Times New Roman" w:cs="Times New Roman"/>
                <w:sz w:val="24"/>
                <w:szCs w:val="24"/>
              </w:rPr>
            </w:pPr>
            <w:r w:rsidRPr="008964E8">
              <w:rPr>
                <w:rFonts w:ascii="Times New Roman" w:hAnsi="Times New Roman" w:cs="Times New Roman"/>
                <w:sz w:val="24"/>
                <w:szCs w:val="24"/>
              </w:rPr>
              <w:t>Šobrīd Aģentūras sniegto maksas pakalpojumu cenrādi nosaka Ministru kabineta 2011.gada 10.maija noteikumi Nr.355 „Noteikumi par Sociālās integrācijas valsts aģentūras sniegto publisko maksas pakalpojumu cenrādi” (turpmāk – MK noteikumi Nr.355).</w:t>
            </w:r>
          </w:p>
          <w:p w:rsidR="008964E8" w:rsidRPr="008964E8" w:rsidRDefault="008964E8" w:rsidP="00A2740C">
            <w:pPr>
              <w:spacing w:after="0" w:line="240" w:lineRule="auto"/>
              <w:ind w:right="130" w:firstLine="338"/>
              <w:jc w:val="both"/>
              <w:rPr>
                <w:rFonts w:ascii="Times New Roman" w:hAnsi="Times New Roman" w:cs="Times New Roman"/>
                <w:iCs/>
                <w:sz w:val="24"/>
                <w:szCs w:val="24"/>
              </w:rPr>
            </w:pPr>
            <w:r w:rsidRPr="008964E8">
              <w:rPr>
                <w:rFonts w:ascii="Times New Roman" w:hAnsi="Times New Roman" w:cs="Times New Roman"/>
                <w:sz w:val="24"/>
                <w:szCs w:val="24"/>
              </w:rPr>
              <w:t xml:space="preserve">MK noteikumos Nr.355 ir nepieciešami grozījumi, jo to 7.punkts un 9.-12.punkts paredz </w:t>
            </w:r>
            <w:r w:rsidRPr="008964E8">
              <w:rPr>
                <w:rFonts w:ascii="Times New Roman" w:hAnsi="Times New Roman" w:cs="Times New Roman"/>
                <w:iCs/>
                <w:sz w:val="24"/>
                <w:szCs w:val="24"/>
              </w:rPr>
              <w:t xml:space="preserve">pievienotās vērtības nodokli </w:t>
            </w:r>
            <w:r w:rsidRPr="008964E8">
              <w:rPr>
                <w:rFonts w:ascii="Times New Roman" w:hAnsi="Times New Roman" w:cs="Times New Roman"/>
                <w:sz w:val="24"/>
                <w:szCs w:val="24"/>
              </w:rPr>
              <w:t xml:space="preserve">22%, bet </w:t>
            </w:r>
            <w:r w:rsidRPr="008964E8">
              <w:rPr>
                <w:rFonts w:ascii="Times New Roman" w:hAnsi="Times New Roman" w:cs="Times New Roman"/>
                <w:iCs/>
                <w:sz w:val="24"/>
                <w:szCs w:val="24"/>
              </w:rPr>
              <w:t>Pievienotās vērtības nodokļa likuma 41.panta pirmās daļas 1.punkts nosaka šī nodokļa standartlikmi 21%, apmērā.</w:t>
            </w:r>
          </w:p>
          <w:p w:rsidR="008964E8" w:rsidRPr="008964E8" w:rsidRDefault="008964E8" w:rsidP="00A2740C">
            <w:pPr>
              <w:spacing w:after="0" w:line="240" w:lineRule="auto"/>
              <w:ind w:right="130" w:firstLine="338"/>
              <w:jc w:val="both"/>
              <w:rPr>
                <w:rFonts w:ascii="Times New Roman" w:hAnsi="Times New Roman" w:cs="Times New Roman"/>
                <w:sz w:val="24"/>
                <w:szCs w:val="24"/>
              </w:rPr>
            </w:pPr>
            <w:r w:rsidRPr="008964E8">
              <w:rPr>
                <w:rFonts w:ascii="Times New Roman" w:hAnsi="Times New Roman" w:cs="Times New Roman"/>
                <w:sz w:val="24"/>
                <w:szCs w:val="24"/>
              </w:rPr>
              <w:t xml:space="preserve">SIA „Ernst &amp; </w:t>
            </w:r>
            <w:proofErr w:type="spellStart"/>
            <w:r w:rsidRPr="008964E8">
              <w:rPr>
                <w:rFonts w:ascii="Times New Roman" w:hAnsi="Times New Roman" w:cs="Times New Roman"/>
                <w:sz w:val="24"/>
                <w:szCs w:val="24"/>
              </w:rPr>
              <w:t>Young</w:t>
            </w:r>
            <w:proofErr w:type="spellEnd"/>
            <w:r w:rsidRPr="008964E8">
              <w:rPr>
                <w:rFonts w:ascii="Times New Roman" w:hAnsi="Times New Roman" w:cs="Times New Roman"/>
                <w:sz w:val="24"/>
                <w:szCs w:val="24"/>
              </w:rPr>
              <w:t xml:space="preserve"> </w:t>
            </w:r>
            <w:proofErr w:type="spellStart"/>
            <w:r w:rsidRPr="008964E8">
              <w:rPr>
                <w:rFonts w:ascii="Times New Roman" w:hAnsi="Times New Roman" w:cs="Times New Roman"/>
                <w:sz w:val="24"/>
                <w:szCs w:val="24"/>
              </w:rPr>
              <w:t>Baltic</w:t>
            </w:r>
            <w:proofErr w:type="spellEnd"/>
            <w:r w:rsidRPr="008964E8">
              <w:rPr>
                <w:rFonts w:ascii="Times New Roman" w:hAnsi="Times New Roman" w:cs="Times New Roman"/>
                <w:sz w:val="24"/>
                <w:szCs w:val="24"/>
              </w:rPr>
              <w:t xml:space="preserve">” veica Aģentūras sniegto maksas pakalpojumu pašizmaksas kalkulāciju aprēķinus, kuru rezultāta tika secināts, ka </w:t>
            </w:r>
            <w:r w:rsidRPr="008964E8">
              <w:rPr>
                <w:rFonts w:ascii="Times New Roman" w:hAnsi="Times New Roman" w:cs="Times New Roman"/>
                <w:iCs/>
                <w:sz w:val="24"/>
                <w:szCs w:val="24"/>
              </w:rPr>
              <w:t xml:space="preserve">MK noteikumos Nr.355 </w:t>
            </w:r>
            <w:r w:rsidRPr="008964E8">
              <w:rPr>
                <w:rFonts w:ascii="Times New Roman" w:hAnsi="Times New Roman" w:cs="Times New Roman"/>
                <w:sz w:val="24"/>
                <w:szCs w:val="24"/>
              </w:rPr>
              <w:t xml:space="preserve">noteiktās cenas neatbilst Aģentūras sniegto maksas pakalpojumu faktiskajām izmaksām. Ņemot vērā maksas pakalpojumu faktiskās izmaksas, maksas pakalpojumu cenas kopš MK noteikumu Nr.355 spēkā stāšanās brīža ir gan palielinājušās, gan samazinājušās. Maksas pakalpojumu cenas ir samazinājušās, piemēram, modulārās apmācības programmām, ārsta konsultācijām hidroterapijai (izņemot </w:t>
            </w:r>
            <w:proofErr w:type="spellStart"/>
            <w:r w:rsidRPr="008964E8">
              <w:rPr>
                <w:rFonts w:ascii="Times New Roman" w:hAnsi="Times New Roman" w:cs="Times New Roman"/>
                <w:sz w:val="24"/>
                <w:szCs w:val="24"/>
              </w:rPr>
              <w:t>šarko</w:t>
            </w:r>
            <w:proofErr w:type="spellEnd"/>
            <w:r w:rsidRPr="008964E8">
              <w:rPr>
                <w:rFonts w:ascii="Times New Roman" w:hAnsi="Times New Roman" w:cs="Times New Roman"/>
                <w:sz w:val="24"/>
                <w:szCs w:val="24"/>
              </w:rPr>
              <w:t xml:space="preserve"> dušu un baseina izmantošanu vienai personai), fizikālas terapijas procedūrām, savukārt palielinājušās, piemēram, Profesionālās vidusskolas izglītības programmām, Koledžas studiju programmām, automašīnu pielāgošanai invalīdu vajadzībām u.c.</w:t>
            </w:r>
          </w:p>
          <w:p w:rsidR="008964E8" w:rsidRPr="008964E8" w:rsidRDefault="008964E8" w:rsidP="00A2740C">
            <w:pPr>
              <w:autoSpaceDE w:val="0"/>
              <w:autoSpaceDN w:val="0"/>
              <w:adjustRightInd w:val="0"/>
              <w:spacing w:after="0" w:line="240" w:lineRule="auto"/>
              <w:ind w:firstLine="369"/>
              <w:jc w:val="both"/>
              <w:rPr>
                <w:rFonts w:ascii="Times New Roman" w:hAnsi="Times New Roman" w:cs="Times New Roman"/>
                <w:sz w:val="24"/>
                <w:szCs w:val="24"/>
              </w:rPr>
            </w:pPr>
            <w:r w:rsidRPr="008964E8">
              <w:rPr>
                <w:rFonts w:ascii="Times New Roman" w:hAnsi="Times New Roman" w:cs="Times New Roman"/>
                <w:sz w:val="24"/>
                <w:szCs w:val="24"/>
              </w:rPr>
              <w:t xml:space="preserve">Izmaiņas maksas cenrādī nepieciešamas, jo Valsts kontroles ziņojuma 129.punktā noteikts, ka Aģentūrai jāizvērtē maksas </w:t>
            </w:r>
            <w:r w:rsidRPr="008964E8">
              <w:rPr>
                <w:rFonts w:ascii="Times New Roman" w:hAnsi="Times New Roman" w:cs="Times New Roman"/>
                <w:sz w:val="24"/>
                <w:szCs w:val="24"/>
              </w:rPr>
              <w:lastRenderedPageBreak/>
              <w:t xml:space="preserve">pakalpojumu cenrādī iekļauto pakalpojumu izcenojumi un tie jānosaka atbilstoši ar pakalpojumu sniegšanu saistītajām tiešajām un netiešajām izmaksām (uzdevuma izpildes </w:t>
            </w:r>
            <w:proofErr w:type="gramStart"/>
            <w:r w:rsidRPr="008964E8">
              <w:rPr>
                <w:rFonts w:ascii="Times New Roman" w:hAnsi="Times New Roman" w:cs="Times New Roman"/>
                <w:sz w:val="24"/>
                <w:szCs w:val="24"/>
              </w:rPr>
              <w:t>termiņš</w:t>
            </w:r>
            <w:proofErr w:type="gramEnd"/>
            <w:r w:rsidRPr="008964E8">
              <w:rPr>
                <w:rFonts w:ascii="Times New Roman" w:hAnsi="Times New Roman" w:cs="Times New Roman"/>
                <w:sz w:val="24"/>
                <w:szCs w:val="24"/>
              </w:rPr>
              <w:t xml:space="preserve"> noteikts 2013.gada 30.jūlijs).</w:t>
            </w:r>
          </w:p>
          <w:p w:rsidR="008964E8" w:rsidRPr="008964E8" w:rsidRDefault="008964E8" w:rsidP="00A2740C">
            <w:pPr>
              <w:spacing w:after="0" w:line="240" w:lineRule="auto"/>
              <w:ind w:right="130" w:firstLine="338"/>
              <w:jc w:val="both"/>
              <w:rPr>
                <w:rFonts w:ascii="Times New Roman" w:hAnsi="Times New Roman" w:cs="Times New Roman"/>
                <w:sz w:val="24"/>
                <w:szCs w:val="24"/>
              </w:rPr>
            </w:pPr>
            <w:r w:rsidRPr="008964E8">
              <w:rPr>
                <w:rFonts w:ascii="Times New Roman" w:hAnsi="Times New Roman" w:cs="Times New Roman"/>
                <w:sz w:val="24"/>
                <w:szCs w:val="24"/>
              </w:rPr>
              <w:t>Aģentūra ir attīstījusi arī jaunus pakalpojumus, jo sabiedrībā pēc tiem ir pieprasījums.</w:t>
            </w:r>
          </w:p>
          <w:p w:rsidR="008964E8" w:rsidRPr="008964E8" w:rsidRDefault="008964E8" w:rsidP="00A2740C">
            <w:pPr>
              <w:spacing w:after="0" w:line="240" w:lineRule="auto"/>
              <w:ind w:right="130" w:firstLine="338"/>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Noteikumu projektā nav jāiekļauj tādi maksas pakalpojumi, kā tālākizglītības programmas, vairākas profesionālās vidusskolas un Aģentūras koledžas izglītības programmas, sociālā darbinieka konsultācijas, apdrukas pakalpojumi u.c., jo pēc šiem maksas pakalpojumiem nav pieprasījuma (Aģentūra šos maksas pakalpojums pēdējā gada laikā nav sniegusi).</w:t>
            </w:r>
          </w:p>
          <w:p w:rsidR="008964E8" w:rsidRPr="008964E8" w:rsidRDefault="008964E8" w:rsidP="00A2740C">
            <w:pPr>
              <w:spacing w:after="0" w:line="240" w:lineRule="auto"/>
              <w:ind w:right="130" w:firstLine="338"/>
              <w:jc w:val="both"/>
              <w:rPr>
                <w:rFonts w:ascii="Times New Roman" w:hAnsi="Times New Roman" w:cs="Times New Roman"/>
                <w:sz w:val="24"/>
                <w:szCs w:val="24"/>
              </w:rPr>
            </w:pPr>
            <w:r w:rsidRPr="008964E8">
              <w:rPr>
                <w:rFonts w:ascii="Times New Roman" w:hAnsi="Times New Roman" w:cs="Times New Roman"/>
                <w:sz w:val="24"/>
                <w:szCs w:val="24"/>
              </w:rPr>
              <w:t xml:space="preserve">Ņemot vērā paredzamo grozījumu apjomu, kā arī to, ka ar 2014.gada 1.janvāri Latvijā plānots ieviest </w:t>
            </w:r>
            <w:proofErr w:type="spellStart"/>
            <w:r w:rsidRPr="008964E8">
              <w:rPr>
                <w:rFonts w:ascii="Times New Roman" w:hAnsi="Times New Roman" w:cs="Times New Roman"/>
                <w:i/>
                <w:sz w:val="24"/>
                <w:szCs w:val="24"/>
              </w:rPr>
              <w:t>euro</w:t>
            </w:r>
            <w:proofErr w:type="spellEnd"/>
            <w:r w:rsidRPr="008964E8">
              <w:rPr>
                <w:rFonts w:ascii="Times New Roman" w:hAnsi="Times New Roman" w:cs="Times New Roman"/>
                <w:sz w:val="24"/>
                <w:szCs w:val="24"/>
              </w:rPr>
              <w:t xml:space="preserve"> un atbilstoši </w:t>
            </w:r>
            <w:proofErr w:type="spellStart"/>
            <w:r w:rsidRPr="008964E8">
              <w:rPr>
                <w:rFonts w:ascii="Times New Roman" w:hAnsi="Times New Roman" w:cs="Times New Roman"/>
                <w:i/>
                <w:sz w:val="24"/>
                <w:szCs w:val="24"/>
              </w:rPr>
              <w:t>Euro</w:t>
            </w:r>
            <w:proofErr w:type="spellEnd"/>
            <w:r w:rsidRPr="008964E8">
              <w:rPr>
                <w:rFonts w:ascii="Times New Roman" w:hAnsi="Times New Roman" w:cs="Times New Roman"/>
                <w:sz w:val="24"/>
                <w:szCs w:val="24"/>
              </w:rPr>
              <w:t xml:space="preserve"> ieviešanas kārtības likuma 30.panta pirmajai daļai, nepieciešams izdot jaunus noteikumus, kā arī Aģentūras sniedzamo pakalpojumu</w:t>
            </w:r>
            <w:r w:rsidRPr="008964E8">
              <w:rPr>
                <w:rFonts w:ascii="Times New Roman" w:eastAsia="Times New Roman" w:hAnsi="Times New Roman" w:cs="Times New Roman"/>
                <w:sz w:val="24"/>
                <w:szCs w:val="24"/>
                <w:lang w:eastAsia="lv-LV"/>
              </w:rPr>
              <w:t xml:space="preserve"> cenas nepieciešams izteikt gan latos, gan </w:t>
            </w:r>
            <w:proofErr w:type="spellStart"/>
            <w:r w:rsidRPr="008964E8">
              <w:rPr>
                <w:rFonts w:ascii="Times New Roman" w:eastAsia="Times New Roman" w:hAnsi="Times New Roman" w:cs="Times New Roman"/>
                <w:i/>
                <w:sz w:val="24"/>
                <w:szCs w:val="24"/>
                <w:lang w:eastAsia="lv-LV"/>
              </w:rPr>
              <w:t>euro</w:t>
            </w:r>
            <w:proofErr w:type="spellEnd"/>
            <w:r w:rsidRPr="008964E8">
              <w:rPr>
                <w:rFonts w:ascii="Times New Roman" w:eastAsia="Times New Roman" w:hAnsi="Times New Roman" w:cs="Times New Roman"/>
                <w:sz w:val="24"/>
                <w:szCs w:val="24"/>
                <w:lang w:eastAsia="lv-LV"/>
              </w:rPr>
              <w:t>.</w:t>
            </w:r>
          </w:p>
        </w:tc>
      </w:tr>
      <w:tr w:rsidR="008964E8" w:rsidRPr="008964E8" w:rsidTr="00A2740C">
        <w:trPr>
          <w:gridAfter w:val="1"/>
          <w:wAfter w:w="272" w:type="dxa"/>
        </w:trPr>
        <w:tc>
          <w:tcPr>
            <w:tcW w:w="453" w:type="dxa"/>
            <w:gridSpan w:val="3"/>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lastRenderedPageBreak/>
              <w:t xml:space="preserve">3. </w:t>
            </w:r>
          </w:p>
        </w:tc>
        <w:tc>
          <w:tcPr>
            <w:tcW w:w="2339" w:type="dxa"/>
            <w:gridSpan w:val="2"/>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Saistītie politikas ietekmes novērtējumi un pētījumi</w:t>
            </w:r>
          </w:p>
        </w:tc>
        <w:tc>
          <w:tcPr>
            <w:tcW w:w="6860" w:type="dxa"/>
            <w:gridSpan w:val="6"/>
            <w:shd w:val="clear" w:color="auto" w:fill="FFFFFF" w:themeFill="background1"/>
          </w:tcPr>
          <w:p w:rsidR="008964E8" w:rsidRPr="008964E8" w:rsidRDefault="008964E8" w:rsidP="008964E8">
            <w:pPr>
              <w:spacing w:after="0" w:line="240" w:lineRule="auto"/>
              <w:jc w:val="both"/>
              <w:rPr>
                <w:rFonts w:ascii="Times New Roman" w:eastAsia="Times New Roman" w:hAnsi="Times New Roman" w:cs="Times New Roman"/>
                <w:sz w:val="24"/>
                <w:szCs w:val="24"/>
                <w:lang w:eastAsia="lv-LV"/>
              </w:rPr>
            </w:pPr>
            <w:r w:rsidRPr="008964E8">
              <w:rPr>
                <w:rFonts w:ascii="Times New Roman" w:eastAsia="Calibri" w:hAnsi="Times New Roman" w:cs="Times New Roman"/>
                <w:sz w:val="24"/>
                <w:szCs w:val="24"/>
              </w:rPr>
              <w:t>Noteikumu projekts šo jomu neskar.</w:t>
            </w:r>
          </w:p>
        </w:tc>
      </w:tr>
      <w:tr w:rsidR="008964E8" w:rsidRPr="008964E8" w:rsidTr="00A2740C">
        <w:trPr>
          <w:gridAfter w:val="1"/>
          <w:wAfter w:w="272" w:type="dxa"/>
          <w:trHeight w:val="3675"/>
        </w:trPr>
        <w:tc>
          <w:tcPr>
            <w:tcW w:w="453" w:type="dxa"/>
            <w:gridSpan w:val="3"/>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4.</w:t>
            </w:r>
          </w:p>
        </w:tc>
        <w:tc>
          <w:tcPr>
            <w:tcW w:w="2339" w:type="dxa"/>
            <w:gridSpan w:val="2"/>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Tiesiskā regulējuma mērķis un būtība</w:t>
            </w:r>
          </w:p>
        </w:tc>
        <w:tc>
          <w:tcPr>
            <w:tcW w:w="6860" w:type="dxa"/>
            <w:gridSpan w:val="6"/>
            <w:shd w:val="clear" w:color="auto" w:fill="FFFFFF" w:themeFill="background1"/>
          </w:tcPr>
          <w:p w:rsidR="008964E8" w:rsidRPr="008964E8" w:rsidRDefault="008964E8" w:rsidP="008964E8">
            <w:pPr>
              <w:spacing w:after="0" w:line="240" w:lineRule="auto"/>
              <w:ind w:right="130" w:firstLine="338"/>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 xml:space="preserve">Noteikumu projekts paredz aktualizēt Aģentūras sniegto maksas pakalpojumu cenas un noteikt tās gan latos, gan </w:t>
            </w:r>
            <w:proofErr w:type="spellStart"/>
            <w:r w:rsidRPr="008964E8">
              <w:rPr>
                <w:rFonts w:ascii="Times New Roman" w:eastAsia="Times New Roman" w:hAnsi="Times New Roman" w:cs="Times New Roman"/>
                <w:i/>
                <w:sz w:val="24"/>
                <w:szCs w:val="24"/>
                <w:lang w:eastAsia="lv-LV"/>
              </w:rPr>
              <w:t>euro</w:t>
            </w:r>
            <w:proofErr w:type="spellEnd"/>
            <w:r w:rsidRPr="008964E8">
              <w:rPr>
                <w:rFonts w:ascii="Times New Roman" w:eastAsia="Times New Roman" w:hAnsi="Times New Roman" w:cs="Times New Roman"/>
                <w:sz w:val="24"/>
                <w:szCs w:val="24"/>
                <w:lang w:eastAsia="lv-LV"/>
              </w:rPr>
              <w:t>.</w:t>
            </w:r>
          </w:p>
          <w:p w:rsidR="008964E8" w:rsidRPr="008964E8" w:rsidRDefault="008964E8" w:rsidP="008964E8">
            <w:pPr>
              <w:spacing w:after="0" w:line="240" w:lineRule="auto"/>
              <w:ind w:right="130" w:firstLine="338"/>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 xml:space="preserve">Noteikumu projekta mērķis ir ieviest tādus Aģentūras maksas pakalpojumus, kuru izmaksas atbilst reālajām cenām un pēc kuriem ir pieprasījums, kā arī pielāgot Aģentūras sniegto maksas pakalpojumu cenrādi </w:t>
            </w:r>
            <w:proofErr w:type="spellStart"/>
            <w:r w:rsidRPr="008964E8">
              <w:rPr>
                <w:rFonts w:ascii="Times New Roman" w:eastAsia="Times New Roman" w:hAnsi="Times New Roman" w:cs="Times New Roman"/>
                <w:i/>
                <w:sz w:val="24"/>
                <w:szCs w:val="24"/>
                <w:lang w:eastAsia="lv-LV"/>
              </w:rPr>
              <w:t>euro</w:t>
            </w:r>
            <w:proofErr w:type="spellEnd"/>
            <w:r w:rsidRPr="008964E8">
              <w:rPr>
                <w:rFonts w:ascii="Times New Roman" w:eastAsia="Times New Roman" w:hAnsi="Times New Roman" w:cs="Times New Roman"/>
                <w:sz w:val="24"/>
                <w:szCs w:val="24"/>
                <w:lang w:eastAsia="lv-LV"/>
              </w:rPr>
              <w:t xml:space="preserve"> ieviešanai, t.i., konvertēt Aģentūras sniegto pakalpojumu cenas no latiem uz </w:t>
            </w:r>
            <w:proofErr w:type="spellStart"/>
            <w:r w:rsidRPr="008964E8">
              <w:rPr>
                <w:rFonts w:ascii="Times New Roman" w:eastAsia="Times New Roman" w:hAnsi="Times New Roman" w:cs="Times New Roman"/>
                <w:i/>
                <w:sz w:val="24"/>
                <w:szCs w:val="24"/>
                <w:lang w:eastAsia="lv-LV"/>
              </w:rPr>
              <w:t>euro</w:t>
            </w:r>
            <w:proofErr w:type="spellEnd"/>
            <w:r w:rsidRPr="008964E8">
              <w:rPr>
                <w:rFonts w:ascii="Times New Roman" w:eastAsia="Times New Roman" w:hAnsi="Times New Roman" w:cs="Times New Roman"/>
                <w:sz w:val="24"/>
                <w:szCs w:val="24"/>
                <w:lang w:eastAsia="lv-LV"/>
              </w:rPr>
              <w:t xml:space="preserve"> atbilstoši </w:t>
            </w:r>
            <w:proofErr w:type="spellStart"/>
            <w:r w:rsidRPr="008964E8">
              <w:rPr>
                <w:rFonts w:ascii="Times New Roman" w:eastAsia="Times New Roman" w:hAnsi="Times New Roman" w:cs="Times New Roman"/>
                <w:i/>
                <w:sz w:val="24"/>
                <w:szCs w:val="24"/>
                <w:lang w:eastAsia="lv-LV"/>
              </w:rPr>
              <w:t>Euro</w:t>
            </w:r>
            <w:proofErr w:type="spellEnd"/>
            <w:r w:rsidRPr="008964E8">
              <w:rPr>
                <w:rFonts w:ascii="Times New Roman" w:eastAsia="Times New Roman" w:hAnsi="Times New Roman" w:cs="Times New Roman"/>
                <w:i/>
                <w:sz w:val="24"/>
                <w:szCs w:val="24"/>
                <w:lang w:eastAsia="lv-LV"/>
              </w:rPr>
              <w:t xml:space="preserve"> </w:t>
            </w:r>
            <w:r w:rsidRPr="008964E8">
              <w:rPr>
                <w:rFonts w:ascii="Times New Roman" w:eastAsia="Times New Roman" w:hAnsi="Times New Roman" w:cs="Times New Roman"/>
                <w:sz w:val="24"/>
                <w:szCs w:val="24"/>
                <w:lang w:eastAsia="lv-LV"/>
              </w:rPr>
              <w:t>ieviešanas kārtības likuma 6.pantā atrunātajam principam, kas balstīts uz Eiropas Savienības Padomes noteikto valūtas maiņas kursu un matemātiskās noapaļošanas principiem. Aprēķins veikts, izmantojot kursu EUR 1 = LVL 0,702804.</w:t>
            </w:r>
          </w:p>
          <w:p w:rsidR="008964E8" w:rsidRPr="008964E8" w:rsidRDefault="008964E8" w:rsidP="008964E8">
            <w:pPr>
              <w:spacing w:after="0" w:line="240" w:lineRule="auto"/>
              <w:ind w:right="130" w:firstLine="338"/>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 xml:space="preserve">Pamatojoties uz Valsts kontroles ziņojuma 129.punktu un </w:t>
            </w:r>
            <w:r w:rsidRPr="008964E8">
              <w:rPr>
                <w:rFonts w:ascii="Times New Roman" w:hAnsi="Times New Roman" w:cs="Times New Roman"/>
                <w:sz w:val="24"/>
                <w:szCs w:val="24"/>
              </w:rPr>
              <w:t xml:space="preserve">Ministru kabineta 2011.gada 3.maija noteikumos Nr.333 „Kārtība, kādā plānojami un uzskaitāmi ieņēmumi no maksas pakalpojumiem un ar šo pakalpojumu sniegšanu saistītie izdevumi’” (turpmāk – MK noteikumi Nr.333) </w:t>
            </w:r>
            <w:r w:rsidRPr="008964E8">
              <w:rPr>
                <w:rFonts w:ascii="Times New Roman" w:eastAsia="Times New Roman" w:hAnsi="Times New Roman" w:cs="Times New Roman"/>
                <w:sz w:val="24"/>
                <w:szCs w:val="24"/>
                <w:lang w:eastAsia="lv-LV"/>
              </w:rPr>
              <w:t xml:space="preserve">noteikto, noteikumu projektā iekļauto pakalpojumu izcenojumi noteikti atbilstoši ar pakalpojumu sniegšanu saistītajām tiešajām un netiešajām izmaksām (skat. anotācijas 1.-10.pielikumā). Veicot ar pakalpojuma sniegšanu saistīto tiešo un netiešo izmaksu aprēķinu, cenas par pakalpojumiem attiecībā pret MK noteikumos Nr.355 noteiktajām cenām ir gan palielinājušās, gan samazinājušās, kas saistīts ar pakalpojumu faktiskajām izmaksām. </w:t>
            </w:r>
          </w:p>
          <w:p w:rsidR="008964E8" w:rsidRPr="008964E8" w:rsidRDefault="008964E8" w:rsidP="008964E8">
            <w:pPr>
              <w:spacing w:after="0" w:line="240" w:lineRule="auto"/>
              <w:ind w:right="130" w:firstLine="338"/>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Pamatojoties uz Valsts kontroles ziņojuma 156.punktu, noteikumu projektā iekļauti tikai tādi pakalpojumi, kas saistīti ar Aģentūras darbības mērķi vai arī ar Aģentūras klientiem nepieciešamo pakalpojumu sniegšanu.</w:t>
            </w:r>
          </w:p>
          <w:p w:rsidR="008964E8" w:rsidRPr="008964E8" w:rsidRDefault="008964E8" w:rsidP="008964E8">
            <w:pPr>
              <w:spacing w:after="0" w:line="240" w:lineRule="auto"/>
              <w:ind w:right="130" w:firstLine="369"/>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Izvērtējot Aģentūras klientu pieprasījuma pēc jauniem pakalpojumiem un pakalpojumu atbilstību Aģentūras darbības mērķim, Aģentūra noteikumu projektā iekļauj jaunus maksas pakalpojumus:</w:t>
            </w:r>
          </w:p>
          <w:p w:rsidR="008964E8" w:rsidRPr="008964E8" w:rsidRDefault="008964E8" w:rsidP="008964E8">
            <w:pPr>
              <w:numPr>
                <w:ilvl w:val="0"/>
                <w:numId w:val="8"/>
              </w:numPr>
              <w:spacing w:after="0" w:line="240" w:lineRule="auto"/>
              <w:ind w:left="509" w:right="130" w:hanging="142"/>
              <w:contextualSpacing/>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 xml:space="preserve">Profesionālās pilnveides 570 stundu programma (noteikumu </w:t>
            </w:r>
            <w:r w:rsidRPr="008964E8">
              <w:rPr>
                <w:rFonts w:ascii="Times New Roman" w:eastAsia="Times New Roman" w:hAnsi="Times New Roman" w:cs="Times New Roman"/>
                <w:sz w:val="24"/>
                <w:szCs w:val="24"/>
                <w:lang w:eastAsia="lv-LV"/>
              </w:rPr>
              <w:lastRenderedPageBreak/>
              <w:t>projekta sākotnējās ietekmes novērtējuma ziņojuma (anotācijas) 1.pielikuma 1.3.apakšpunkts);</w:t>
            </w:r>
          </w:p>
          <w:p w:rsidR="008964E8" w:rsidRPr="008964E8" w:rsidRDefault="008964E8" w:rsidP="008964E8">
            <w:pPr>
              <w:numPr>
                <w:ilvl w:val="0"/>
                <w:numId w:val="8"/>
              </w:numPr>
              <w:spacing w:after="0" w:line="240" w:lineRule="auto"/>
              <w:ind w:left="509" w:right="130" w:hanging="142"/>
              <w:contextualSpacing/>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Funkcionālo speciālistu konsultācijas:</w:t>
            </w:r>
          </w:p>
          <w:p w:rsidR="008964E8" w:rsidRPr="008964E8" w:rsidRDefault="008964E8" w:rsidP="008964E8">
            <w:pPr>
              <w:numPr>
                <w:ilvl w:val="0"/>
                <w:numId w:val="13"/>
              </w:numPr>
              <w:spacing w:after="0" w:line="240" w:lineRule="auto"/>
              <w:ind w:left="1076" w:right="130" w:hanging="284"/>
              <w:contextualSpacing/>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logopēda konsultācijas (noteikumu projekta sākotnējās ietekmes novērtējuma ziņojuma (anotācijas) 1.pielikuma 5.1.3.3.apakšpunkts).</w:t>
            </w:r>
          </w:p>
          <w:p w:rsidR="008964E8" w:rsidRPr="008964E8" w:rsidRDefault="008964E8" w:rsidP="008964E8">
            <w:pPr>
              <w:numPr>
                <w:ilvl w:val="0"/>
                <w:numId w:val="8"/>
              </w:numPr>
              <w:spacing w:after="0" w:line="240" w:lineRule="auto"/>
              <w:ind w:left="509" w:right="130" w:hanging="142"/>
              <w:contextualSpacing/>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Klasiskā masāža:</w:t>
            </w:r>
          </w:p>
          <w:p w:rsidR="008964E8" w:rsidRPr="008964E8" w:rsidRDefault="008964E8" w:rsidP="008964E8">
            <w:pPr>
              <w:numPr>
                <w:ilvl w:val="0"/>
                <w:numId w:val="12"/>
              </w:numPr>
              <w:spacing w:after="0" w:line="240" w:lineRule="auto"/>
              <w:ind w:left="1076" w:right="130" w:hanging="284"/>
              <w:contextualSpacing/>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grūtnieču masāža (noteikumu projekta sākotnējās ietekmes novērtējuma ziņojuma (anotācijas) 1.pielikuma 5.4.9.apakšpunkts);</w:t>
            </w:r>
          </w:p>
          <w:p w:rsidR="008964E8" w:rsidRPr="008964E8" w:rsidRDefault="008964E8" w:rsidP="008964E8">
            <w:pPr>
              <w:numPr>
                <w:ilvl w:val="0"/>
                <w:numId w:val="12"/>
              </w:numPr>
              <w:spacing w:after="0" w:line="240" w:lineRule="auto"/>
              <w:ind w:left="1076" w:right="130" w:hanging="284"/>
              <w:contextualSpacing/>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vispārēja masāža bērniem (1-5 gadiem, 6-10 gadiem un 11-14 gadiem) (noteikumu projekta sākotnējās ietekmes novērtējuma ziņojuma (anotācijas) 1.pielikuma 5.4.10.1., 5.4.10.2. un 5.4.10.3.apakšpunkts).</w:t>
            </w:r>
          </w:p>
          <w:p w:rsidR="008964E8" w:rsidRPr="008964E8" w:rsidRDefault="008964E8" w:rsidP="008964E8">
            <w:pPr>
              <w:numPr>
                <w:ilvl w:val="0"/>
                <w:numId w:val="8"/>
              </w:numPr>
              <w:spacing w:after="0" w:line="240" w:lineRule="auto"/>
              <w:ind w:left="509" w:right="130" w:hanging="142"/>
              <w:contextualSpacing/>
              <w:jc w:val="both"/>
              <w:rPr>
                <w:sz w:val="24"/>
                <w:szCs w:val="24"/>
              </w:rPr>
            </w:pPr>
            <w:r w:rsidRPr="008964E8">
              <w:rPr>
                <w:rFonts w:ascii="Times New Roman" w:eastAsia="Times New Roman" w:hAnsi="Times New Roman" w:cs="Times New Roman"/>
                <w:sz w:val="24"/>
                <w:szCs w:val="24"/>
                <w:lang w:eastAsia="lv-LV"/>
              </w:rPr>
              <w:t>Nodarbības funkcionālā speciālista vadībā</w:t>
            </w:r>
            <w:r w:rsidRPr="008964E8">
              <w:rPr>
                <w:sz w:val="24"/>
                <w:szCs w:val="24"/>
              </w:rPr>
              <w:t>:</w:t>
            </w:r>
          </w:p>
          <w:p w:rsidR="008964E8" w:rsidRPr="008964E8" w:rsidRDefault="008964E8" w:rsidP="008964E8">
            <w:pPr>
              <w:numPr>
                <w:ilvl w:val="0"/>
                <w:numId w:val="12"/>
              </w:numPr>
              <w:spacing w:after="0" w:line="240" w:lineRule="auto"/>
              <w:ind w:left="1076" w:right="130" w:hanging="284"/>
              <w:contextualSpacing/>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fizioterapija individuāli ar individuālu vingrojumu kompleksu izstrādi (noteikumu projekta sākotnējās ietekmes novērtējuma ziņojuma (anotācijas) 1.pielikuma 5.5.5.apakšpunkts);</w:t>
            </w:r>
          </w:p>
          <w:p w:rsidR="008964E8" w:rsidRPr="008964E8" w:rsidRDefault="008964E8" w:rsidP="008964E8">
            <w:pPr>
              <w:numPr>
                <w:ilvl w:val="0"/>
                <w:numId w:val="15"/>
              </w:numPr>
              <w:spacing w:after="0" w:line="240" w:lineRule="auto"/>
              <w:ind w:left="1076" w:right="130" w:hanging="284"/>
              <w:contextualSpacing/>
              <w:jc w:val="both"/>
              <w:rPr>
                <w:sz w:val="24"/>
                <w:szCs w:val="24"/>
              </w:rPr>
            </w:pPr>
            <w:r w:rsidRPr="008964E8">
              <w:rPr>
                <w:rFonts w:ascii="Times New Roman" w:eastAsia="Times New Roman" w:hAnsi="Times New Roman" w:cs="Times New Roman"/>
                <w:sz w:val="24"/>
                <w:szCs w:val="24"/>
                <w:lang w:eastAsia="lv-LV"/>
              </w:rPr>
              <w:t>fizioterapija individuāli bērniem no 4-14 gadu vecumam (noteikumu projekta sākotnējās ietekmes novērtējuma ziņojuma (anotācijas) 1.pielikuma 5.5.6.apakšpunkts);</w:t>
            </w:r>
          </w:p>
          <w:p w:rsidR="008964E8" w:rsidRPr="008964E8" w:rsidRDefault="008964E8" w:rsidP="008964E8">
            <w:pPr>
              <w:numPr>
                <w:ilvl w:val="0"/>
                <w:numId w:val="15"/>
              </w:numPr>
              <w:spacing w:after="0" w:line="240" w:lineRule="auto"/>
              <w:ind w:left="1076" w:right="130" w:hanging="284"/>
              <w:contextualSpacing/>
              <w:jc w:val="both"/>
              <w:rPr>
                <w:sz w:val="24"/>
                <w:szCs w:val="24"/>
              </w:rPr>
            </w:pPr>
            <w:r w:rsidRPr="008964E8">
              <w:rPr>
                <w:rFonts w:ascii="Times New Roman" w:eastAsia="Times New Roman" w:hAnsi="Times New Roman" w:cs="Times New Roman"/>
                <w:sz w:val="24"/>
                <w:szCs w:val="24"/>
                <w:lang w:eastAsia="lv-LV"/>
              </w:rPr>
              <w:t>fiziskās aktivitātes trenažieru zālē ar dozētu slodzi (ar ārsta norīkojumu) (noteikumu projekta sākotnējās ietekmes novērtējuma ziņojuma (anotācijas) 1.pielikuma 5.5.9.apakšpunkts).</w:t>
            </w:r>
          </w:p>
          <w:p w:rsidR="008964E8" w:rsidRPr="008964E8" w:rsidRDefault="008964E8" w:rsidP="008964E8">
            <w:pPr>
              <w:numPr>
                <w:ilvl w:val="0"/>
                <w:numId w:val="8"/>
              </w:numPr>
              <w:spacing w:after="0" w:line="240" w:lineRule="auto"/>
              <w:ind w:left="509" w:right="130" w:hanging="142"/>
              <w:contextualSpacing/>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Medicīniskās manipulācijas:</w:t>
            </w:r>
          </w:p>
          <w:p w:rsidR="008964E8" w:rsidRPr="008964E8" w:rsidRDefault="008964E8" w:rsidP="008964E8">
            <w:pPr>
              <w:numPr>
                <w:ilvl w:val="0"/>
                <w:numId w:val="16"/>
              </w:numPr>
              <w:spacing w:after="0" w:line="240" w:lineRule="auto"/>
              <w:ind w:left="1076" w:right="130" w:hanging="284"/>
              <w:contextualSpacing/>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 xml:space="preserve">urīnpūšļa </w:t>
            </w:r>
            <w:proofErr w:type="spellStart"/>
            <w:r w:rsidRPr="008964E8">
              <w:rPr>
                <w:rFonts w:ascii="Times New Roman" w:eastAsia="Times New Roman" w:hAnsi="Times New Roman" w:cs="Times New Roman"/>
                <w:sz w:val="24"/>
                <w:szCs w:val="24"/>
                <w:lang w:eastAsia="lv-LV"/>
              </w:rPr>
              <w:t>kateterizācija</w:t>
            </w:r>
            <w:proofErr w:type="spellEnd"/>
            <w:r w:rsidRPr="008964E8">
              <w:rPr>
                <w:rFonts w:ascii="Times New Roman" w:eastAsia="Times New Roman" w:hAnsi="Times New Roman" w:cs="Times New Roman"/>
                <w:sz w:val="24"/>
                <w:szCs w:val="24"/>
                <w:lang w:eastAsia="lv-LV"/>
              </w:rPr>
              <w:t xml:space="preserve"> ar vienreizējo </w:t>
            </w:r>
            <w:proofErr w:type="spellStart"/>
            <w:r w:rsidRPr="008964E8">
              <w:rPr>
                <w:rFonts w:ascii="Times New Roman" w:eastAsia="Times New Roman" w:hAnsi="Times New Roman" w:cs="Times New Roman"/>
                <w:sz w:val="24"/>
                <w:szCs w:val="24"/>
                <w:lang w:eastAsia="lv-LV"/>
              </w:rPr>
              <w:t>kateteri</w:t>
            </w:r>
            <w:proofErr w:type="spellEnd"/>
            <w:r w:rsidRPr="008964E8">
              <w:rPr>
                <w:rFonts w:ascii="Times New Roman" w:eastAsia="Times New Roman" w:hAnsi="Times New Roman" w:cs="Times New Roman"/>
                <w:sz w:val="24"/>
                <w:szCs w:val="24"/>
                <w:lang w:eastAsia="lv-LV"/>
              </w:rPr>
              <w:t xml:space="preserve"> (noteikumu projekta sākotnējās ietekmes novērtējuma ziņojuma (anotācijas) 1.pielikuma 5.7.8.apakšpunkts);</w:t>
            </w:r>
          </w:p>
          <w:p w:rsidR="008964E8" w:rsidRPr="008964E8" w:rsidRDefault="008964E8" w:rsidP="008964E8">
            <w:pPr>
              <w:numPr>
                <w:ilvl w:val="0"/>
                <w:numId w:val="16"/>
              </w:numPr>
              <w:spacing w:after="0" w:line="240" w:lineRule="auto"/>
              <w:ind w:left="1076" w:right="130" w:hanging="284"/>
              <w:contextualSpacing/>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 xml:space="preserve">urīnpūšļa skalošana ielikta pastāvīgā </w:t>
            </w:r>
            <w:proofErr w:type="spellStart"/>
            <w:r w:rsidRPr="008964E8">
              <w:rPr>
                <w:rFonts w:ascii="Times New Roman" w:eastAsia="Times New Roman" w:hAnsi="Times New Roman" w:cs="Times New Roman"/>
                <w:sz w:val="24"/>
                <w:szCs w:val="24"/>
                <w:lang w:eastAsia="lv-LV"/>
              </w:rPr>
              <w:t>katetera</w:t>
            </w:r>
            <w:proofErr w:type="spellEnd"/>
            <w:r w:rsidRPr="008964E8">
              <w:rPr>
                <w:rFonts w:ascii="Times New Roman" w:eastAsia="Times New Roman" w:hAnsi="Times New Roman" w:cs="Times New Roman"/>
                <w:sz w:val="24"/>
                <w:szCs w:val="24"/>
                <w:lang w:eastAsia="lv-LV"/>
              </w:rPr>
              <w:t xml:space="preserve"> gadījumā (noteikumu projekta sākotnējās ietekmes novērtējuma ziņojuma (anotācijas) 1.pielikuma 5.7.9.apakšpunkts);</w:t>
            </w:r>
          </w:p>
          <w:p w:rsidR="008964E8" w:rsidRPr="008964E8" w:rsidRDefault="008964E8" w:rsidP="008964E8">
            <w:pPr>
              <w:numPr>
                <w:ilvl w:val="0"/>
                <w:numId w:val="16"/>
              </w:numPr>
              <w:spacing w:after="0" w:line="240" w:lineRule="auto"/>
              <w:ind w:left="1076" w:right="130" w:hanging="284"/>
              <w:contextualSpacing/>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izgulējumu apstrāde (noteikumu projekta sākotnējās ietekmes novērtējuma ziņojuma (anotācijas) 1.pielikuma 5.7.10.apakšpunkts);</w:t>
            </w:r>
          </w:p>
          <w:p w:rsidR="008964E8" w:rsidRPr="008964E8" w:rsidRDefault="008964E8" w:rsidP="008964E8">
            <w:pPr>
              <w:numPr>
                <w:ilvl w:val="0"/>
                <w:numId w:val="16"/>
              </w:numPr>
              <w:spacing w:after="0" w:line="240" w:lineRule="auto"/>
              <w:ind w:left="1076" w:right="130" w:hanging="284"/>
              <w:contextualSpacing/>
              <w:jc w:val="both"/>
              <w:rPr>
                <w:sz w:val="24"/>
                <w:szCs w:val="24"/>
              </w:rPr>
            </w:pPr>
            <w:r w:rsidRPr="008964E8">
              <w:rPr>
                <w:rFonts w:ascii="Times New Roman" w:eastAsia="Times New Roman" w:hAnsi="Times New Roman" w:cs="Times New Roman"/>
                <w:sz w:val="24"/>
                <w:szCs w:val="24"/>
                <w:lang w:eastAsia="lv-LV"/>
              </w:rPr>
              <w:t>asinsspiediena mērīšana bez ārsta nozīmējuma (noteikumu projekta sākotnējās ietekmes novērtējuma ziņojuma (anotācijas) 1.pielikuma 5.7.11.apakšpunkts).</w:t>
            </w:r>
          </w:p>
          <w:p w:rsidR="008964E8" w:rsidRPr="008964E8" w:rsidRDefault="008964E8" w:rsidP="008964E8">
            <w:pPr>
              <w:spacing w:after="0" w:line="240" w:lineRule="auto"/>
              <w:ind w:firstLine="369"/>
              <w:jc w:val="both"/>
              <w:rPr>
                <w:rFonts w:ascii="Times New Roman" w:hAnsi="Times New Roman" w:cs="Times New Roman"/>
                <w:sz w:val="24"/>
                <w:szCs w:val="24"/>
              </w:rPr>
            </w:pPr>
            <w:r w:rsidRPr="008964E8">
              <w:rPr>
                <w:rFonts w:ascii="Times New Roman" w:eastAsia="Calibri" w:hAnsi="Times New Roman" w:cs="Times New Roman"/>
                <w:sz w:val="24"/>
                <w:szCs w:val="24"/>
              </w:rPr>
              <w:t>Jaunajiem maksas pakalpojumu</w:t>
            </w:r>
            <w:r w:rsidRPr="008964E8">
              <w:rPr>
                <w:sz w:val="24"/>
                <w:szCs w:val="24"/>
              </w:rPr>
              <w:t xml:space="preserve"> </w:t>
            </w:r>
            <w:r w:rsidRPr="008964E8">
              <w:rPr>
                <w:rFonts w:ascii="Times New Roman" w:eastAsia="Calibri" w:hAnsi="Times New Roman" w:cs="Times New Roman"/>
                <w:sz w:val="24"/>
                <w:szCs w:val="24"/>
              </w:rPr>
              <w:t xml:space="preserve">cenas noteiktas pamatojoties uz </w:t>
            </w:r>
            <w:r w:rsidRPr="008964E8">
              <w:rPr>
                <w:rFonts w:ascii="Times New Roman" w:hAnsi="Times New Roman" w:cs="Times New Roman"/>
                <w:sz w:val="24"/>
                <w:szCs w:val="24"/>
              </w:rPr>
              <w:t xml:space="preserve">SIA „Ernst &amp; </w:t>
            </w:r>
            <w:proofErr w:type="spellStart"/>
            <w:r w:rsidRPr="008964E8">
              <w:rPr>
                <w:rFonts w:ascii="Times New Roman" w:hAnsi="Times New Roman" w:cs="Times New Roman"/>
                <w:sz w:val="24"/>
                <w:szCs w:val="24"/>
              </w:rPr>
              <w:t>Young</w:t>
            </w:r>
            <w:proofErr w:type="spellEnd"/>
            <w:r w:rsidRPr="008964E8">
              <w:rPr>
                <w:rFonts w:ascii="Times New Roman" w:hAnsi="Times New Roman" w:cs="Times New Roman"/>
                <w:sz w:val="24"/>
                <w:szCs w:val="24"/>
              </w:rPr>
              <w:t xml:space="preserve"> </w:t>
            </w:r>
            <w:proofErr w:type="spellStart"/>
            <w:r w:rsidRPr="008964E8">
              <w:rPr>
                <w:rFonts w:ascii="Times New Roman" w:hAnsi="Times New Roman" w:cs="Times New Roman"/>
                <w:sz w:val="24"/>
                <w:szCs w:val="24"/>
              </w:rPr>
              <w:t>Baltic</w:t>
            </w:r>
            <w:proofErr w:type="spellEnd"/>
            <w:r w:rsidRPr="008964E8">
              <w:rPr>
                <w:rFonts w:ascii="Times New Roman" w:hAnsi="Times New Roman" w:cs="Times New Roman"/>
                <w:sz w:val="24"/>
                <w:szCs w:val="24"/>
              </w:rPr>
              <w:t>” veiktajiem pašizmaksas kalkulācijas aprēķiniem</w:t>
            </w:r>
            <w:r w:rsidRPr="008964E8">
              <w:rPr>
                <w:sz w:val="24"/>
                <w:szCs w:val="24"/>
              </w:rPr>
              <w:t xml:space="preserve">, </w:t>
            </w:r>
            <w:r w:rsidRPr="008964E8">
              <w:rPr>
                <w:rFonts w:ascii="Times New Roman" w:hAnsi="Times New Roman" w:cs="Times New Roman"/>
                <w:sz w:val="24"/>
                <w:szCs w:val="24"/>
              </w:rPr>
              <w:t>kas katra pakalpojuma specifikai ir piemērojis noteikta veida metodiku pašizmaksas kalkulācijas veikšanai (jauno maksas pakalpojuma izcenojuma aprēķinu skat. noteikumu projekta sākotnējās ietekmes novērtējuma ziņojuma (anotācijas) 1.pielikumā, 3.pielikumā un 4.pielikumā ”Maksas pakalpojuma izcenojuma aprēķins”).</w:t>
            </w:r>
          </w:p>
          <w:p w:rsidR="008964E8" w:rsidRPr="008964E8" w:rsidRDefault="008964E8" w:rsidP="008964E8">
            <w:pPr>
              <w:spacing w:after="0" w:line="240" w:lineRule="auto"/>
              <w:ind w:firstLine="369"/>
              <w:jc w:val="both"/>
              <w:rPr>
                <w:rFonts w:ascii="Times New Roman" w:hAnsi="Times New Roman" w:cs="Times New Roman"/>
                <w:sz w:val="24"/>
                <w:szCs w:val="24"/>
              </w:rPr>
            </w:pPr>
            <w:r w:rsidRPr="008964E8">
              <w:rPr>
                <w:rFonts w:ascii="Times New Roman" w:hAnsi="Times New Roman" w:cs="Times New Roman"/>
                <w:sz w:val="24"/>
                <w:szCs w:val="24"/>
              </w:rPr>
              <w:t xml:space="preserve">Tā kā atsevišķu Aģentūras pakalpojumu (2.1., 3.1. un 3.2.apakšpunktā noteiktos pakalpojumus) cenas būtiski tiek palielinātas un, lai ievērotu tiesiskās paļāvības principu, noteikumu projektā iekļauts punkts, kas paredz, ka attiecībā uz jau noslēgtajiem </w:t>
            </w:r>
            <w:r w:rsidRPr="008964E8">
              <w:rPr>
                <w:rFonts w:ascii="Times New Roman" w:hAnsi="Times New Roman" w:cs="Times New Roman"/>
                <w:sz w:val="24"/>
                <w:szCs w:val="24"/>
              </w:rPr>
              <w:lastRenderedPageBreak/>
              <w:t>līgumiem līdz izglītības programmas apguves pabeigšanai, bet ne ilgāk kā līdz 2016.gada 31.decembrim, tiek piemērotas iepriekšējās cenas.</w:t>
            </w:r>
          </w:p>
          <w:p w:rsidR="008964E8" w:rsidRPr="008964E8" w:rsidRDefault="00DC58E3" w:rsidP="008964E8">
            <w:pPr>
              <w:spacing w:after="0" w:line="240" w:lineRule="auto"/>
              <w:ind w:firstLine="369"/>
              <w:jc w:val="both"/>
              <w:rPr>
                <w:rFonts w:ascii="Times New Roman" w:hAnsi="Times New Roman" w:cs="Times New Roman"/>
                <w:sz w:val="24"/>
                <w:szCs w:val="24"/>
              </w:rPr>
            </w:pPr>
            <w:r>
              <w:rPr>
                <w:rFonts w:ascii="Times New Roman" w:hAnsi="Times New Roman" w:cs="Times New Roman"/>
                <w:sz w:val="24"/>
                <w:szCs w:val="24"/>
              </w:rPr>
              <w:t xml:space="preserve">Ņemot vērā, ka </w:t>
            </w:r>
            <w:r w:rsidR="008964E8" w:rsidRPr="008964E8">
              <w:rPr>
                <w:rFonts w:ascii="Times New Roman" w:hAnsi="Times New Roman" w:cs="Times New Roman"/>
                <w:sz w:val="24"/>
                <w:szCs w:val="24"/>
              </w:rPr>
              <w:t>Aģentūra izglītojamajiem, kuri izglītības un studiju programmas,</w:t>
            </w:r>
            <w:r>
              <w:rPr>
                <w:rFonts w:ascii="Times New Roman" w:hAnsi="Times New Roman" w:cs="Times New Roman"/>
                <w:sz w:val="24"/>
                <w:szCs w:val="24"/>
              </w:rPr>
              <w:t xml:space="preserve"> kā arī</w:t>
            </w:r>
            <w:r w:rsidR="008964E8" w:rsidRPr="008964E8">
              <w:t xml:space="preserve"> </w:t>
            </w:r>
            <w:r w:rsidR="008964E8" w:rsidRPr="008964E8">
              <w:rPr>
                <w:rFonts w:ascii="Times New Roman" w:hAnsi="Times New Roman" w:cs="Times New Roman"/>
                <w:sz w:val="24"/>
                <w:szCs w:val="24"/>
              </w:rPr>
              <w:t xml:space="preserve">modulārās apmācības un profesionālās pilnveides kursus apgūst par pašu līdzekļiem, </w:t>
            </w:r>
            <w:r>
              <w:rPr>
                <w:rFonts w:ascii="Times New Roman" w:hAnsi="Times New Roman" w:cs="Times New Roman"/>
                <w:sz w:val="24"/>
                <w:szCs w:val="24"/>
              </w:rPr>
              <w:t>sniedz</w:t>
            </w:r>
            <w:r w:rsidR="008964E8" w:rsidRPr="008964E8">
              <w:rPr>
                <w:rFonts w:ascii="Times New Roman" w:hAnsi="Times New Roman" w:cs="Times New Roman"/>
                <w:sz w:val="24"/>
                <w:szCs w:val="24"/>
              </w:rPr>
              <w:t xml:space="preserve"> tikai izglītības pakalpojum</w:t>
            </w:r>
            <w:r>
              <w:rPr>
                <w:rFonts w:ascii="Times New Roman" w:hAnsi="Times New Roman" w:cs="Times New Roman"/>
                <w:sz w:val="24"/>
                <w:szCs w:val="24"/>
              </w:rPr>
              <w:t>u</w:t>
            </w:r>
            <w:r w:rsidR="008964E8" w:rsidRPr="008964E8">
              <w:rPr>
                <w:rFonts w:ascii="Times New Roman" w:hAnsi="Times New Roman" w:cs="Times New Roman"/>
                <w:sz w:val="24"/>
                <w:szCs w:val="24"/>
              </w:rPr>
              <w:t>, līdz ar to noteikumu projekta 1.pielikuma un 2.pielikuma 1., 2. un 3.punktā noteiktajiem pakalpojumiem pievienotās vērtības nodokli nepiemēro saskaņā ar Pievienotās vērtības nodokļa likuma (stājušies spēkā 2013.gada 1.janvārī) 52.panta pirmās daļas 12.punktu.</w:t>
            </w:r>
          </w:p>
          <w:p w:rsidR="008964E8" w:rsidRPr="008964E8" w:rsidRDefault="008964E8" w:rsidP="008964E8">
            <w:pPr>
              <w:spacing w:after="0" w:line="240" w:lineRule="auto"/>
              <w:ind w:firstLine="369"/>
              <w:jc w:val="both"/>
              <w:rPr>
                <w:sz w:val="24"/>
                <w:szCs w:val="24"/>
              </w:rPr>
            </w:pPr>
            <w:r w:rsidRPr="008964E8">
              <w:rPr>
                <w:rFonts w:ascii="Times New Roman" w:hAnsi="Times New Roman" w:cs="Times New Roman"/>
                <w:sz w:val="24"/>
                <w:szCs w:val="24"/>
              </w:rPr>
              <w:t>Vienlaikus noteikumu projektā paredzēts, ka par spēku zaudējušiem tiek atzīti MK noteikumi Nr.355.</w:t>
            </w:r>
          </w:p>
        </w:tc>
      </w:tr>
      <w:tr w:rsidR="008964E8" w:rsidRPr="008964E8" w:rsidTr="00A2740C">
        <w:trPr>
          <w:gridAfter w:val="1"/>
          <w:wAfter w:w="272" w:type="dxa"/>
        </w:trPr>
        <w:tc>
          <w:tcPr>
            <w:tcW w:w="453" w:type="dxa"/>
            <w:gridSpan w:val="3"/>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lastRenderedPageBreak/>
              <w:t>5.</w:t>
            </w:r>
          </w:p>
        </w:tc>
        <w:tc>
          <w:tcPr>
            <w:tcW w:w="2339" w:type="dxa"/>
            <w:gridSpan w:val="2"/>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Projekta izstrādē iesaistītās institūcijas</w:t>
            </w:r>
          </w:p>
        </w:tc>
        <w:tc>
          <w:tcPr>
            <w:tcW w:w="6860" w:type="dxa"/>
            <w:gridSpan w:val="6"/>
            <w:shd w:val="clear" w:color="auto" w:fill="FFFFFF" w:themeFill="background1"/>
          </w:tcPr>
          <w:p w:rsidR="008964E8" w:rsidRPr="008964E8" w:rsidRDefault="008964E8" w:rsidP="008964E8">
            <w:pPr>
              <w:spacing w:after="0" w:line="240" w:lineRule="auto"/>
              <w:jc w:val="both"/>
              <w:rPr>
                <w:rFonts w:ascii="Times New Roman" w:eastAsia="Times New Roman" w:hAnsi="Times New Roman" w:cs="Times New Roman"/>
                <w:sz w:val="24"/>
                <w:szCs w:val="24"/>
                <w:lang w:eastAsia="lv-LV"/>
              </w:rPr>
            </w:pPr>
            <w:r w:rsidRPr="008964E8">
              <w:rPr>
                <w:rFonts w:ascii="Times New Roman" w:eastAsia="Calibri" w:hAnsi="Times New Roman" w:cs="Times New Roman"/>
                <w:sz w:val="24"/>
                <w:szCs w:val="24"/>
              </w:rPr>
              <w:t>Labklājības ministrija un Aģentūra</w:t>
            </w:r>
          </w:p>
        </w:tc>
      </w:tr>
      <w:tr w:rsidR="008964E8" w:rsidRPr="008964E8" w:rsidTr="00A2740C">
        <w:trPr>
          <w:gridAfter w:val="1"/>
          <w:wAfter w:w="272" w:type="dxa"/>
          <w:trHeight w:val="1693"/>
        </w:trPr>
        <w:tc>
          <w:tcPr>
            <w:tcW w:w="453" w:type="dxa"/>
            <w:gridSpan w:val="3"/>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6.</w:t>
            </w:r>
          </w:p>
        </w:tc>
        <w:tc>
          <w:tcPr>
            <w:tcW w:w="2339" w:type="dxa"/>
            <w:gridSpan w:val="2"/>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Iemesli, kādēļ netika nodrošināta sabiedrības līdzdalība</w:t>
            </w:r>
          </w:p>
        </w:tc>
        <w:tc>
          <w:tcPr>
            <w:tcW w:w="6860" w:type="dxa"/>
            <w:gridSpan w:val="6"/>
            <w:shd w:val="clear" w:color="auto" w:fill="FFFFFF" w:themeFill="background1"/>
            <w:vAlign w:val="center"/>
          </w:tcPr>
          <w:p w:rsidR="008964E8" w:rsidRPr="008964E8" w:rsidRDefault="008964E8" w:rsidP="00A2740C">
            <w:pPr>
              <w:spacing w:after="0" w:line="240" w:lineRule="auto"/>
              <w:ind w:firstLine="338"/>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Noteikumu projekts neparedz būtiskas cenu izmaiņas Aģentūras sniegtajiem pakalpojumiem, tāpēc sabiedrības līdzdalības nodrošināšana nebija nepieciešama.</w:t>
            </w:r>
          </w:p>
          <w:p w:rsidR="008964E8" w:rsidRPr="008964E8" w:rsidRDefault="008964E8" w:rsidP="00A2740C">
            <w:pPr>
              <w:spacing w:after="0" w:line="240" w:lineRule="auto"/>
              <w:ind w:firstLine="338"/>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 xml:space="preserve">Savukārt </w:t>
            </w:r>
            <w:proofErr w:type="spellStart"/>
            <w:r w:rsidRPr="008964E8">
              <w:rPr>
                <w:rFonts w:ascii="Times New Roman" w:hAnsi="Times New Roman" w:cs="Times New Roman"/>
                <w:i/>
                <w:iCs/>
                <w:sz w:val="24"/>
                <w:szCs w:val="24"/>
              </w:rPr>
              <w:t>euro</w:t>
            </w:r>
            <w:proofErr w:type="spellEnd"/>
            <w:r w:rsidRPr="008964E8">
              <w:rPr>
                <w:rFonts w:ascii="Times New Roman" w:hAnsi="Times New Roman" w:cs="Times New Roman"/>
                <w:iCs/>
                <w:sz w:val="24"/>
                <w:szCs w:val="24"/>
              </w:rPr>
              <w:t xml:space="preserve"> pielāgošanā sabiedrības līdzdalība netika nodrošināta, jo noteikumu projekts nemaina tiesisko regulējumu pēc būtības.</w:t>
            </w:r>
          </w:p>
        </w:tc>
      </w:tr>
      <w:tr w:rsidR="008964E8" w:rsidRPr="008964E8" w:rsidTr="00A2740C">
        <w:trPr>
          <w:gridAfter w:val="1"/>
          <w:wAfter w:w="272" w:type="dxa"/>
          <w:trHeight w:val="3953"/>
        </w:trPr>
        <w:tc>
          <w:tcPr>
            <w:tcW w:w="453" w:type="dxa"/>
            <w:gridSpan w:val="3"/>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 xml:space="preserve">7. </w:t>
            </w:r>
          </w:p>
        </w:tc>
        <w:tc>
          <w:tcPr>
            <w:tcW w:w="2339" w:type="dxa"/>
            <w:gridSpan w:val="2"/>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Cita informācija</w:t>
            </w:r>
          </w:p>
        </w:tc>
        <w:tc>
          <w:tcPr>
            <w:tcW w:w="6860" w:type="dxa"/>
            <w:gridSpan w:val="6"/>
            <w:shd w:val="clear" w:color="auto" w:fill="FFFFFF" w:themeFill="background1"/>
          </w:tcPr>
          <w:p w:rsidR="008964E8" w:rsidRPr="008964E8" w:rsidRDefault="008964E8" w:rsidP="008964E8">
            <w:pPr>
              <w:tabs>
                <w:tab w:val="left" w:pos="5279"/>
              </w:tabs>
              <w:spacing w:after="0" w:line="240" w:lineRule="auto"/>
              <w:ind w:right="31" w:firstLine="338"/>
              <w:jc w:val="both"/>
              <w:rPr>
                <w:rFonts w:ascii="Times New Roman" w:hAnsi="Times New Roman" w:cs="Times New Roman"/>
                <w:sz w:val="24"/>
                <w:szCs w:val="24"/>
              </w:rPr>
            </w:pPr>
            <w:r w:rsidRPr="008964E8">
              <w:rPr>
                <w:rFonts w:ascii="Times New Roman" w:hAnsi="Times New Roman" w:cs="Times New Roman"/>
                <w:sz w:val="24"/>
                <w:szCs w:val="24"/>
              </w:rPr>
              <w:t xml:space="preserve">Saskaņā ar Valsts kontroles ziņojumā noteikto Aģentūrai līdz 2013.gada 30.jūlijam maksas pakalpojumu cenrādī iekļauto pakalpojumu izcenojumi jānosaka atbilstoši ar pakalpojumu sniegšanu saistītajām tiešajām un netiešajām izmaksām. Savukārt saskaņā ar </w:t>
            </w:r>
            <w:proofErr w:type="spellStart"/>
            <w:r w:rsidRPr="008964E8">
              <w:rPr>
                <w:rFonts w:ascii="Times New Roman" w:hAnsi="Times New Roman" w:cs="Times New Roman"/>
                <w:i/>
                <w:sz w:val="24"/>
                <w:szCs w:val="24"/>
              </w:rPr>
              <w:t>Euro</w:t>
            </w:r>
            <w:proofErr w:type="spellEnd"/>
            <w:r w:rsidRPr="008964E8">
              <w:rPr>
                <w:rFonts w:ascii="Times New Roman" w:hAnsi="Times New Roman" w:cs="Times New Roman"/>
                <w:sz w:val="24"/>
                <w:szCs w:val="24"/>
              </w:rPr>
              <w:t xml:space="preserve"> ieviešanas kārtības likuma 13.panta pirmo daļu, preču un pakalpojumu cenu paralēlās atspoguļošanas periods sākas trīs mēnešus pirms </w:t>
            </w:r>
            <w:proofErr w:type="spellStart"/>
            <w:r w:rsidRPr="008964E8">
              <w:rPr>
                <w:rFonts w:ascii="Times New Roman" w:hAnsi="Times New Roman" w:cs="Times New Roman"/>
                <w:i/>
                <w:sz w:val="24"/>
                <w:szCs w:val="24"/>
              </w:rPr>
              <w:t>euro</w:t>
            </w:r>
            <w:proofErr w:type="spellEnd"/>
            <w:r w:rsidRPr="008964E8">
              <w:rPr>
                <w:rFonts w:ascii="Times New Roman" w:hAnsi="Times New Roman" w:cs="Times New Roman"/>
                <w:sz w:val="24"/>
                <w:szCs w:val="24"/>
              </w:rPr>
              <w:t xml:space="preserve"> ieviešanas dienas, tādēļ šim noteikumu projektam ir jābūt izskatītam Ministru kabinetā un publicētam oficiālajā izdevumā „Latvijas Vēstnesis” līdz 2013.gada 1.oktobrim.</w:t>
            </w:r>
          </w:p>
          <w:p w:rsidR="008964E8" w:rsidRPr="008964E8" w:rsidRDefault="008964E8" w:rsidP="008964E8">
            <w:pPr>
              <w:tabs>
                <w:tab w:val="left" w:pos="5279"/>
              </w:tabs>
              <w:spacing w:after="0" w:line="240" w:lineRule="auto"/>
              <w:ind w:right="31" w:firstLine="338"/>
              <w:jc w:val="both"/>
              <w:rPr>
                <w:rFonts w:ascii="Times New Roman" w:eastAsia="Times New Roman" w:hAnsi="Times New Roman" w:cs="Times New Roman"/>
                <w:sz w:val="24"/>
                <w:szCs w:val="24"/>
                <w:lang w:eastAsia="lv-LV"/>
              </w:rPr>
            </w:pPr>
            <w:r w:rsidRPr="008964E8">
              <w:rPr>
                <w:rFonts w:ascii="Times New Roman" w:hAnsi="Times New Roman" w:cs="Times New Roman"/>
                <w:sz w:val="24"/>
                <w:szCs w:val="24"/>
              </w:rPr>
              <w:t>Atbilstoši Ministru kabineta uzdevumam (18.12.2012. protokols Nr.71 44.§ 2.punkts) Labklājības ministrijai sadarbībā ar Tieslietu ministriju un Izglītības ministriju jāsagatavo un līdz 2013.gada 1.oktobrim noteiktā kārtībā jāiesniedz izskatīšanai Ministru kabinetā priekšlikumi par Aģentūras institucionālā modeļa un darbības efektivizāciju. Izpildot minēto uzdevumu, Labklājības ministrija vērtēs gan Aģentūras statusu, funkcijas un uzdevumus, gan sniedzamos maksas pakalpojumus, tai skaitā iespēju atteikties no atsevišķu maksas pakalpojumu sniegšanas.</w:t>
            </w:r>
          </w:p>
        </w:tc>
      </w:tr>
      <w:tr w:rsidR="008964E8" w:rsidRPr="008964E8" w:rsidTr="00A2740C">
        <w:trPr>
          <w:gridAfter w:val="1"/>
          <w:wAfter w:w="272" w:type="dxa"/>
          <w:trHeight w:val="689"/>
        </w:trPr>
        <w:tc>
          <w:tcPr>
            <w:tcW w:w="9652" w:type="dxa"/>
            <w:gridSpan w:val="11"/>
            <w:vAlign w:val="center"/>
          </w:tcPr>
          <w:p w:rsidR="008964E8" w:rsidRPr="008964E8" w:rsidRDefault="008964E8" w:rsidP="008964E8">
            <w:pPr>
              <w:spacing w:after="0" w:line="240" w:lineRule="auto"/>
              <w:jc w:val="center"/>
              <w:rPr>
                <w:rFonts w:ascii="Times New Roman" w:eastAsia="Times New Roman" w:hAnsi="Times New Roman" w:cs="Times New Roman"/>
                <w:b/>
                <w:sz w:val="24"/>
                <w:szCs w:val="24"/>
                <w:lang w:eastAsia="lv-LV"/>
              </w:rPr>
            </w:pPr>
            <w:r w:rsidRPr="008964E8">
              <w:rPr>
                <w:rFonts w:ascii="Times New Roman" w:eastAsia="Times New Roman" w:hAnsi="Times New Roman" w:cs="Times New Roman"/>
                <w:b/>
                <w:sz w:val="24"/>
                <w:szCs w:val="24"/>
                <w:lang w:eastAsia="lv-LV"/>
              </w:rPr>
              <w:t>II Tiesību akta projekta ietekme uz sabiedrību</w:t>
            </w:r>
          </w:p>
        </w:tc>
      </w:tr>
      <w:tr w:rsidR="008964E8" w:rsidRPr="008964E8" w:rsidTr="00A2740C">
        <w:trPr>
          <w:gridAfter w:val="1"/>
          <w:wAfter w:w="272" w:type="dxa"/>
          <w:trHeight w:val="1978"/>
        </w:trPr>
        <w:tc>
          <w:tcPr>
            <w:tcW w:w="405" w:type="dxa"/>
            <w:gridSpan w:val="2"/>
            <w:shd w:val="clear" w:color="auto" w:fill="FFFFFF" w:themeFill="background1"/>
          </w:tcPr>
          <w:p w:rsidR="008964E8" w:rsidRPr="008964E8" w:rsidRDefault="008964E8" w:rsidP="008964E8">
            <w:pPr>
              <w:spacing w:after="0" w:line="240" w:lineRule="auto"/>
              <w:ind w:left="-143" w:right="-108"/>
              <w:jc w:val="center"/>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1.</w:t>
            </w:r>
          </w:p>
        </w:tc>
        <w:tc>
          <w:tcPr>
            <w:tcW w:w="2387" w:type="dxa"/>
            <w:gridSpan w:val="3"/>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Sabiedrības mērķgrupa</w:t>
            </w:r>
          </w:p>
        </w:tc>
        <w:tc>
          <w:tcPr>
            <w:tcW w:w="6860" w:type="dxa"/>
            <w:gridSpan w:val="6"/>
            <w:shd w:val="clear" w:color="auto" w:fill="FFFFFF" w:themeFill="background1"/>
          </w:tcPr>
          <w:p w:rsidR="008964E8" w:rsidRPr="008964E8" w:rsidRDefault="008964E8" w:rsidP="008964E8">
            <w:pPr>
              <w:spacing w:after="0" w:line="240" w:lineRule="auto"/>
              <w:ind w:hanging="30"/>
              <w:jc w:val="both"/>
              <w:rPr>
                <w:rFonts w:ascii="Times New Roman" w:eastAsia="Times New Roman" w:hAnsi="Times New Roman" w:cs="Times New Roman"/>
                <w:bCs/>
                <w:sz w:val="24"/>
                <w:szCs w:val="24"/>
                <w:lang w:eastAsia="lv-LV"/>
              </w:rPr>
            </w:pPr>
            <w:r w:rsidRPr="008964E8">
              <w:rPr>
                <w:rFonts w:ascii="Times New Roman" w:eastAsia="Times New Roman" w:hAnsi="Times New Roman" w:cs="Times New Roman"/>
                <w:bCs/>
                <w:sz w:val="24"/>
                <w:szCs w:val="24"/>
                <w:lang w:eastAsia="lv-LV"/>
              </w:rPr>
              <w:t>Noteikumu projekts attiecas uz:</w:t>
            </w:r>
          </w:p>
          <w:p w:rsidR="008964E8" w:rsidRPr="008964E8" w:rsidRDefault="008964E8" w:rsidP="008964E8">
            <w:pPr>
              <w:numPr>
                <w:ilvl w:val="0"/>
                <w:numId w:val="3"/>
              </w:numPr>
              <w:tabs>
                <w:tab w:val="clear" w:pos="720"/>
              </w:tabs>
              <w:spacing w:after="0" w:line="240" w:lineRule="auto"/>
              <w:ind w:left="227" w:hanging="227"/>
              <w:contextualSpacing/>
              <w:jc w:val="both"/>
              <w:rPr>
                <w:rFonts w:ascii="Times New Roman" w:eastAsia="Times New Roman" w:hAnsi="Times New Roman" w:cs="Times New Roman"/>
                <w:bCs/>
                <w:sz w:val="24"/>
                <w:szCs w:val="24"/>
                <w:lang w:eastAsia="lv-LV"/>
              </w:rPr>
            </w:pPr>
            <w:r w:rsidRPr="008964E8">
              <w:rPr>
                <w:rFonts w:ascii="Times New Roman" w:eastAsia="Times New Roman" w:hAnsi="Times New Roman" w:cs="Times New Roman"/>
                <w:bCs/>
                <w:sz w:val="24"/>
                <w:szCs w:val="24"/>
                <w:lang w:eastAsia="lv-LV"/>
              </w:rPr>
              <w:t>personām ar funkcionāliem traucējumiem un personām, kurām nepieciešama veselības un darbspēju uzlabošana (2012.gadā tika pārdotas 14193 maksas rehabilitācijas gultas dienas);</w:t>
            </w:r>
          </w:p>
          <w:p w:rsidR="008964E8" w:rsidRPr="008964E8" w:rsidRDefault="008964E8" w:rsidP="008964E8">
            <w:pPr>
              <w:numPr>
                <w:ilvl w:val="0"/>
                <w:numId w:val="3"/>
              </w:numPr>
              <w:tabs>
                <w:tab w:val="clear" w:pos="720"/>
              </w:tabs>
              <w:spacing w:after="0" w:line="240" w:lineRule="auto"/>
              <w:ind w:left="227" w:hanging="227"/>
              <w:contextualSpacing/>
              <w:jc w:val="both"/>
              <w:rPr>
                <w:rFonts w:ascii="Times New Roman" w:eastAsia="Times New Roman" w:hAnsi="Times New Roman" w:cs="Times New Roman"/>
                <w:bCs/>
                <w:sz w:val="24"/>
                <w:szCs w:val="24"/>
                <w:lang w:eastAsia="lv-LV"/>
              </w:rPr>
            </w:pPr>
            <w:r w:rsidRPr="008964E8">
              <w:rPr>
                <w:rFonts w:ascii="Tms Rmn" w:eastAsia="Times New Roman" w:hAnsi="Tms Rmn" w:cs="Tms Rmn"/>
                <w:color w:val="000000"/>
                <w:sz w:val="24"/>
                <w:szCs w:val="24"/>
                <w:lang w:eastAsia="lv-LV"/>
              </w:rPr>
              <w:t>audzēkņiem un studentiem (izglītojamiem) Jūrmalas profesionālajā vidusskolā un Koledžā (vidēji 2012.gadā par maksu mācījās 25 izglītojamie).</w:t>
            </w:r>
          </w:p>
        </w:tc>
      </w:tr>
      <w:tr w:rsidR="008964E8" w:rsidRPr="008964E8" w:rsidTr="00A2740C">
        <w:trPr>
          <w:gridAfter w:val="1"/>
          <w:wAfter w:w="272" w:type="dxa"/>
        </w:trPr>
        <w:tc>
          <w:tcPr>
            <w:tcW w:w="405" w:type="dxa"/>
            <w:gridSpan w:val="2"/>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 xml:space="preserve">2. </w:t>
            </w:r>
          </w:p>
        </w:tc>
        <w:tc>
          <w:tcPr>
            <w:tcW w:w="2387" w:type="dxa"/>
            <w:gridSpan w:val="3"/>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 xml:space="preserve">Citas sabiedrības grupas (bez mērķgrupas), kuras </w:t>
            </w:r>
            <w:r w:rsidRPr="008964E8">
              <w:rPr>
                <w:rFonts w:ascii="Times New Roman" w:eastAsia="Times New Roman" w:hAnsi="Times New Roman" w:cs="Times New Roman"/>
                <w:sz w:val="24"/>
                <w:szCs w:val="24"/>
                <w:lang w:eastAsia="lv-LV"/>
              </w:rPr>
              <w:lastRenderedPageBreak/>
              <w:t>tiesiskais regulējuma arī ietekmē vai varētu ietekmēt</w:t>
            </w:r>
          </w:p>
        </w:tc>
        <w:tc>
          <w:tcPr>
            <w:tcW w:w="6860" w:type="dxa"/>
            <w:gridSpan w:val="6"/>
            <w:shd w:val="clear" w:color="auto" w:fill="FFFFFF" w:themeFill="background1"/>
          </w:tcPr>
          <w:p w:rsidR="008964E8" w:rsidRPr="008964E8" w:rsidRDefault="008964E8" w:rsidP="008964E8">
            <w:pPr>
              <w:spacing w:after="0" w:line="240" w:lineRule="auto"/>
              <w:jc w:val="both"/>
              <w:rPr>
                <w:rFonts w:ascii="Times New Roman" w:eastAsia="Times New Roman" w:hAnsi="Times New Roman" w:cs="Times New Roman"/>
                <w:iCs/>
                <w:sz w:val="24"/>
                <w:szCs w:val="24"/>
                <w:lang w:eastAsia="lv-LV"/>
              </w:rPr>
            </w:pPr>
            <w:r w:rsidRPr="008964E8">
              <w:rPr>
                <w:rFonts w:ascii="Times New Roman" w:eastAsia="Times New Roman" w:hAnsi="Times New Roman" w:cs="Times New Roman"/>
                <w:iCs/>
                <w:sz w:val="24"/>
                <w:szCs w:val="24"/>
                <w:lang w:eastAsia="lv-LV"/>
              </w:rPr>
              <w:lastRenderedPageBreak/>
              <w:t>Nav attiecināms.</w:t>
            </w:r>
          </w:p>
        </w:tc>
      </w:tr>
      <w:tr w:rsidR="008964E8" w:rsidRPr="008964E8" w:rsidTr="00A2740C">
        <w:trPr>
          <w:gridAfter w:val="1"/>
          <w:wAfter w:w="272" w:type="dxa"/>
          <w:trHeight w:val="629"/>
        </w:trPr>
        <w:tc>
          <w:tcPr>
            <w:tcW w:w="405" w:type="dxa"/>
            <w:gridSpan w:val="2"/>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lastRenderedPageBreak/>
              <w:t xml:space="preserve">3. </w:t>
            </w:r>
          </w:p>
        </w:tc>
        <w:tc>
          <w:tcPr>
            <w:tcW w:w="2387" w:type="dxa"/>
            <w:gridSpan w:val="3"/>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Tiesiskā regulējuma finansiālā ietekme</w:t>
            </w:r>
          </w:p>
        </w:tc>
        <w:tc>
          <w:tcPr>
            <w:tcW w:w="6860" w:type="dxa"/>
            <w:gridSpan w:val="6"/>
            <w:shd w:val="clear" w:color="auto" w:fill="FFFFFF" w:themeFill="background1"/>
          </w:tcPr>
          <w:p w:rsidR="008964E8" w:rsidRPr="008964E8" w:rsidRDefault="008964E8" w:rsidP="008964E8">
            <w:pPr>
              <w:spacing w:after="0" w:line="240" w:lineRule="auto"/>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Mērķa grupas izdevumi atkarībā no to izmantotajiem maksas pakalpojumiem (skat. noteikumu projekta 1.un 2.pielikumu).</w:t>
            </w:r>
          </w:p>
        </w:tc>
      </w:tr>
      <w:tr w:rsidR="008964E8" w:rsidRPr="008964E8" w:rsidTr="00A2740C">
        <w:trPr>
          <w:gridAfter w:val="1"/>
          <w:wAfter w:w="272" w:type="dxa"/>
        </w:trPr>
        <w:tc>
          <w:tcPr>
            <w:tcW w:w="405" w:type="dxa"/>
            <w:gridSpan w:val="2"/>
            <w:shd w:val="clear" w:color="auto" w:fill="FFFFFF" w:themeFill="background1"/>
          </w:tcPr>
          <w:p w:rsidR="008964E8" w:rsidRPr="008964E8" w:rsidRDefault="008964E8" w:rsidP="008964E8">
            <w:pPr>
              <w:spacing w:after="0" w:line="240" w:lineRule="auto"/>
              <w:ind w:left="-143" w:right="-108"/>
              <w:jc w:val="center"/>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4.</w:t>
            </w:r>
          </w:p>
        </w:tc>
        <w:tc>
          <w:tcPr>
            <w:tcW w:w="2387" w:type="dxa"/>
            <w:gridSpan w:val="3"/>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Tiesiskā regulējuma nefinansiālā ietekme</w:t>
            </w:r>
          </w:p>
        </w:tc>
        <w:tc>
          <w:tcPr>
            <w:tcW w:w="6860" w:type="dxa"/>
            <w:gridSpan w:val="6"/>
            <w:shd w:val="clear" w:color="auto" w:fill="FFFFFF" w:themeFill="background1"/>
          </w:tcPr>
          <w:p w:rsidR="008964E8" w:rsidRPr="008964E8" w:rsidRDefault="008964E8" w:rsidP="008964E8">
            <w:pPr>
              <w:spacing w:after="0" w:line="240" w:lineRule="auto"/>
              <w:jc w:val="both"/>
              <w:rPr>
                <w:rFonts w:ascii="Times New Roman" w:eastAsia="Times New Roman" w:hAnsi="Times New Roman" w:cs="Times New Roman"/>
                <w:bCs/>
                <w:sz w:val="24"/>
                <w:szCs w:val="24"/>
                <w:lang w:eastAsia="lv-LV"/>
              </w:rPr>
            </w:pPr>
            <w:r w:rsidRPr="008964E8">
              <w:rPr>
                <w:rFonts w:ascii="Times New Roman" w:eastAsia="Times New Roman" w:hAnsi="Times New Roman" w:cs="Times New Roman"/>
                <w:sz w:val="24"/>
                <w:szCs w:val="24"/>
                <w:lang w:eastAsia="lv-LV"/>
              </w:rPr>
              <w:t>Tiek ieviesti jauni maksas pakalpojumi.</w:t>
            </w:r>
          </w:p>
        </w:tc>
      </w:tr>
      <w:tr w:rsidR="008964E8" w:rsidRPr="008964E8" w:rsidTr="00A2740C">
        <w:trPr>
          <w:gridAfter w:val="1"/>
          <w:wAfter w:w="272" w:type="dxa"/>
        </w:trPr>
        <w:tc>
          <w:tcPr>
            <w:tcW w:w="405" w:type="dxa"/>
            <w:gridSpan w:val="2"/>
            <w:shd w:val="clear" w:color="auto" w:fill="FFFFFF" w:themeFill="background1"/>
          </w:tcPr>
          <w:p w:rsidR="008964E8" w:rsidRPr="008964E8" w:rsidRDefault="008964E8" w:rsidP="008964E8">
            <w:pPr>
              <w:spacing w:after="0" w:line="240" w:lineRule="auto"/>
              <w:ind w:left="-143" w:right="-108"/>
              <w:jc w:val="center"/>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5.</w:t>
            </w:r>
          </w:p>
        </w:tc>
        <w:tc>
          <w:tcPr>
            <w:tcW w:w="2387" w:type="dxa"/>
            <w:gridSpan w:val="3"/>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Administratīvās procedūras raksturojums</w:t>
            </w:r>
          </w:p>
        </w:tc>
        <w:tc>
          <w:tcPr>
            <w:tcW w:w="6860" w:type="dxa"/>
            <w:gridSpan w:val="6"/>
            <w:shd w:val="clear" w:color="auto" w:fill="FFFFFF" w:themeFill="background1"/>
          </w:tcPr>
          <w:p w:rsidR="008964E8" w:rsidRPr="008964E8" w:rsidRDefault="008964E8" w:rsidP="008964E8">
            <w:pPr>
              <w:spacing w:after="0" w:line="240" w:lineRule="auto"/>
              <w:jc w:val="both"/>
              <w:rPr>
                <w:rFonts w:ascii="Times New Roman" w:eastAsia="Times New Roman" w:hAnsi="Times New Roman" w:cs="Times New Roman"/>
                <w:bCs/>
                <w:sz w:val="24"/>
                <w:szCs w:val="24"/>
                <w:u w:val="single"/>
                <w:lang w:eastAsia="lv-LV"/>
              </w:rPr>
            </w:pPr>
            <w:r w:rsidRPr="008964E8">
              <w:rPr>
                <w:rFonts w:ascii="Times New Roman" w:eastAsia="Times New Roman" w:hAnsi="Times New Roman" w:cs="Times New Roman"/>
                <w:sz w:val="24"/>
                <w:szCs w:val="24"/>
                <w:lang w:eastAsia="lv-LV"/>
              </w:rPr>
              <w:t>Noteikumu projekts šo jomu neskar.</w:t>
            </w:r>
          </w:p>
        </w:tc>
      </w:tr>
      <w:tr w:rsidR="008964E8" w:rsidRPr="008964E8" w:rsidTr="00A2740C">
        <w:trPr>
          <w:gridAfter w:val="1"/>
          <w:wAfter w:w="272" w:type="dxa"/>
        </w:trPr>
        <w:tc>
          <w:tcPr>
            <w:tcW w:w="405" w:type="dxa"/>
            <w:gridSpan w:val="2"/>
            <w:tcBorders>
              <w:bottom w:val="single" w:sz="4" w:space="0" w:color="auto"/>
            </w:tcBorders>
            <w:shd w:val="clear" w:color="auto" w:fill="FFFFFF" w:themeFill="background1"/>
          </w:tcPr>
          <w:p w:rsidR="008964E8" w:rsidRPr="008964E8" w:rsidRDefault="008964E8" w:rsidP="008964E8">
            <w:pPr>
              <w:spacing w:after="0" w:line="240" w:lineRule="auto"/>
              <w:ind w:left="-143" w:right="-108"/>
              <w:jc w:val="center"/>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6.</w:t>
            </w:r>
          </w:p>
        </w:tc>
        <w:tc>
          <w:tcPr>
            <w:tcW w:w="2387" w:type="dxa"/>
            <w:gridSpan w:val="3"/>
            <w:tcBorders>
              <w:bottom w:val="single" w:sz="4" w:space="0" w:color="auto"/>
            </w:tcBorders>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Administratīvo izmaksu monetārs novērtējums</w:t>
            </w:r>
          </w:p>
        </w:tc>
        <w:tc>
          <w:tcPr>
            <w:tcW w:w="6860" w:type="dxa"/>
            <w:gridSpan w:val="6"/>
            <w:tcBorders>
              <w:bottom w:val="single" w:sz="4" w:space="0" w:color="auto"/>
            </w:tcBorders>
            <w:shd w:val="clear" w:color="auto" w:fill="FFFFFF" w:themeFill="background1"/>
          </w:tcPr>
          <w:p w:rsidR="008964E8" w:rsidRPr="008964E8" w:rsidRDefault="008964E8" w:rsidP="008964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Noteikumu projekts šo jomu neskar.</w:t>
            </w:r>
          </w:p>
        </w:tc>
      </w:tr>
      <w:tr w:rsidR="008964E8" w:rsidRPr="008964E8" w:rsidTr="00A2740C">
        <w:trPr>
          <w:gridAfter w:val="1"/>
          <w:wAfter w:w="272" w:type="dxa"/>
          <w:trHeight w:val="241"/>
        </w:trPr>
        <w:tc>
          <w:tcPr>
            <w:tcW w:w="405" w:type="dxa"/>
            <w:gridSpan w:val="2"/>
            <w:tcBorders>
              <w:bottom w:val="single" w:sz="4" w:space="0" w:color="auto"/>
            </w:tcBorders>
            <w:shd w:val="clear" w:color="auto" w:fill="FFFFFF" w:themeFill="background1"/>
          </w:tcPr>
          <w:p w:rsidR="008964E8" w:rsidRPr="008964E8" w:rsidRDefault="008964E8" w:rsidP="008964E8">
            <w:pPr>
              <w:spacing w:after="0" w:line="240" w:lineRule="auto"/>
              <w:ind w:left="-143" w:right="-108"/>
              <w:jc w:val="center"/>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7.</w:t>
            </w:r>
          </w:p>
        </w:tc>
        <w:tc>
          <w:tcPr>
            <w:tcW w:w="2387" w:type="dxa"/>
            <w:gridSpan w:val="3"/>
            <w:tcBorders>
              <w:bottom w:val="single" w:sz="4" w:space="0" w:color="auto"/>
            </w:tcBorders>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Cita informācija</w:t>
            </w:r>
          </w:p>
        </w:tc>
        <w:tc>
          <w:tcPr>
            <w:tcW w:w="6860" w:type="dxa"/>
            <w:gridSpan w:val="6"/>
            <w:tcBorders>
              <w:bottom w:val="single" w:sz="4" w:space="0" w:color="auto"/>
            </w:tcBorders>
            <w:shd w:val="clear" w:color="auto" w:fill="FFFFFF" w:themeFill="background1"/>
          </w:tcPr>
          <w:p w:rsidR="008964E8" w:rsidRPr="008964E8" w:rsidRDefault="008964E8" w:rsidP="008964E8">
            <w:pPr>
              <w:spacing w:after="0" w:line="240" w:lineRule="auto"/>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Nav</w:t>
            </w:r>
          </w:p>
        </w:tc>
      </w:tr>
      <w:tr w:rsidR="008964E8" w:rsidRPr="008964E8" w:rsidTr="00A2740C">
        <w:tblPrEx>
          <w:jc w:val="center"/>
        </w:tblPrEx>
        <w:trPr>
          <w:gridBefore w:val="1"/>
          <w:wBefore w:w="276" w:type="dxa"/>
          <w:trHeight w:val="698"/>
          <w:jc w:val="center"/>
        </w:trPr>
        <w:tc>
          <w:tcPr>
            <w:tcW w:w="9648"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4E8" w:rsidRPr="008964E8" w:rsidRDefault="008964E8" w:rsidP="008964E8">
            <w:pPr>
              <w:spacing w:before="75" w:after="75" w:line="240" w:lineRule="auto"/>
              <w:ind w:firstLine="375"/>
              <w:jc w:val="center"/>
              <w:rPr>
                <w:rFonts w:ascii="Times New Roman" w:eastAsia="Times New Roman" w:hAnsi="Times New Roman" w:cs="Times New Roman"/>
                <w:b/>
                <w:sz w:val="24"/>
                <w:szCs w:val="24"/>
                <w:lang w:eastAsia="lv-LV"/>
              </w:rPr>
            </w:pPr>
            <w:r w:rsidRPr="008964E8">
              <w:rPr>
                <w:rFonts w:ascii="Times New Roman" w:eastAsia="Times New Roman" w:hAnsi="Times New Roman" w:cs="Times New Roman"/>
                <w:b/>
                <w:sz w:val="24"/>
                <w:szCs w:val="24"/>
                <w:lang w:eastAsia="lv-LV"/>
              </w:rPr>
              <w:t>III. Tiesību akta projekta ietekme uz valsts budžetu un pašvaldību budžetiem</w:t>
            </w:r>
          </w:p>
        </w:tc>
      </w:tr>
      <w:tr w:rsidR="008964E8" w:rsidRPr="008964E8" w:rsidTr="00A2740C">
        <w:tblPrEx>
          <w:jc w:val="center"/>
        </w:tblPrEx>
        <w:trPr>
          <w:gridBefore w:val="1"/>
          <w:wBefore w:w="276" w:type="dxa"/>
          <w:jc w:val="center"/>
        </w:trPr>
        <w:tc>
          <w:tcPr>
            <w:tcW w:w="2587" w:type="dxa"/>
            <w:gridSpan w:val="5"/>
            <w:vMerge w:val="restart"/>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lang w:eastAsia="lv-LV"/>
              </w:rPr>
            </w:pPr>
            <w:r w:rsidRPr="008964E8">
              <w:rPr>
                <w:rFonts w:ascii="Times New Roman" w:eastAsia="Times New Roman" w:hAnsi="Times New Roman" w:cs="Times New Roman"/>
                <w:b/>
                <w:lang w:eastAsia="lv-LV"/>
              </w:rPr>
              <w:t>Rādītāji</w:t>
            </w:r>
          </w:p>
        </w:tc>
        <w:tc>
          <w:tcPr>
            <w:tcW w:w="3076" w:type="dxa"/>
            <w:gridSpan w:val="2"/>
            <w:vMerge w:val="restart"/>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lang w:eastAsia="lv-LV"/>
              </w:rPr>
            </w:pPr>
            <w:r w:rsidRPr="008964E8">
              <w:rPr>
                <w:rFonts w:ascii="Times New Roman" w:eastAsia="Times New Roman" w:hAnsi="Times New Roman" w:cs="Times New Roman"/>
                <w:b/>
                <w:lang w:eastAsia="lv-LV"/>
              </w:rPr>
              <w:t>2013.gads</w:t>
            </w:r>
          </w:p>
        </w:tc>
        <w:tc>
          <w:tcPr>
            <w:tcW w:w="3985" w:type="dxa"/>
            <w:gridSpan w:val="4"/>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lang w:eastAsia="lv-LV"/>
              </w:rPr>
              <w:t>Turpmākie trīs gadi (tūkst. latu)</w:t>
            </w:r>
          </w:p>
        </w:tc>
      </w:tr>
      <w:tr w:rsidR="008964E8" w:rsidRPr="008964E8" w:rsidTr="00A2740C">
        <w:tblPrEx>
          <w:jc w:val="center"/>
        </w:tblPrEx>
        <w:trPr>
          <w:gridBefore w:val="1"/>
          <w:wBefore w:w="276" w:type="dxa"/>
          <w:jc w:val="center"/>
        </w:trPr>
        <w:tc>
          <w:tcPr>
            <w:tcW w:w="2587" w:type="dxa"/>
            <w:gridSpan w:val="5"/>
            <w:vMerge/>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p>
        </w:tc>
        <w:tc>
          <w:tcPr>
            <w:tcW w:w="3076" w:type="dxa"/>
            <w:gridSpan w:val="2"/>
            <w:vMerge/>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p>
        </w:tc>
        <w:tc>
          <w:tcPr>
            <w:tcW w:w="1119"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bCs/>
                <w:lang w:eastAsia="lv-LV"/>
              </w:rPr>
              <w:t>2014</w:t>
            </w:r>
          </w:p>
        </w:tc>
        <w:tc>
          <w:tcPr>
            <w:tcW w:w="1119"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bCs/>
                <w:lang w:eastAsia="lv-LV"/>
              </w:rPr>
              <w:t>2015</w:t>
            </w:r>
          </w:p>
        </w:tc>
        <w:tc>
          <w:tcPr>
            <w:tcW w:w="1747" w:type="dxa"/>
            <w:gridSpan w:val="2"/>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bCs/>
                <w:lang w:eastAsia="lv-LV"/>
              </w:rPr>
              <w:t>2016</w:t>
            </w:r>
          </w:p>
        </w:tc>
      </w:tr>
      <w:tr w:rsidR="008964E8" w:rsidRPr="008964E8" w:rsidTr="00A2740C">
        <w:tblPrEx>
          <w:jc w:val="center"/>
        </w:tblPrEx>
        <w:trPr>
          <w:gridBefore w:val="1"/>
          <w:wBefore w:w="276" w:type="dxa"/>
          <w:jc w:val="center"/>
        </w:trPr>
        <w:tc>
          <w:tcPr>
            <w:tcW w:w="2587" w:type="dxa"/>
            <w:gridSpan w:val="5"/>
            <w:vMerge/>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p>
        </w:tc>
        <w:tc>
          <w:tcPr>
            <w:tcW w:w="986"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lang w:eastAsia="lv-LV"/>
              </w:rPr>
              <w:t>Saskaņā ar valsts budžetu kārtējam gadam</w:t>
            </w:r>
          </w:p>
        </w:tc>
        <w:tc>
          <w:tcPr>
            <w:tcW w:w="2090"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lang w:eastAsia="lv-LV"/>
              </w:rPr>
              <w:t>Izmaiņas kārtējā gadā, salīdzinot ar budžetu kārtējam gadam</w:t>
            </w:r>
          </w:p>
        </w:tc>
        <w:tc>
          <w:tcPr>
            <w:tcW w:w="1119"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lang w:eastAsia="lv-LV"/>
              </w:rPr>
              <w:t>Izmaiņas, salīdzinot ar kārtējo (n) gadu</w:t>
            </w:r>
          </w:p>
        </w:tc>
        <w:tc>
          <w:tcPr>
            <w:tcW w:w="1119"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lang w:eastAsia="lv-LV"/>
              </w:rPr>
              <w:t>Izmaiņas, salīdzinot ar kārtējo (n) gadu</w:t>
            </w:r>
          </w:p>
        </w:tc>
        <w:tc>
          <w:tcPr>
            <w:tcW w:w="1747" w:type="dxa"/>
            <w:gridSpan w:val="2"/>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lang w:eastAsia="lv-LV"/>
              </w:rPr>
              <w:t>Izmaiņas, salīdzinot ar kārtējo (n) gadu</w:t>
            </w:r>
          </w:p>
        </w:tc>
      </w:tr>
      <w:tr w:rsidR="008964E8" w:rsidRPr="008964E8" w:rsidTr="00A2740C">
        <w:tblPrEx>
          <w:jc w:val="center"/>
        </w:tblPrEx>
        <w:trPr>
          <w:gridBefore w:val="1"/>
          <w:wBefore w:w="276" w:type="dxa"/>
          <w:jc w:val="center"/>
        </w:trPr>
        <w:tc>
          <w:tcPr>
            <w:tcW w:w="2587" w:type="dxa"/>
            <w:gridSpan w:val="5"/>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Cs/>
                <w:lang w:eastAsia="lv-LV"/>
              </w:rPr>
            </w:pPr>
            <w:r w:rsidRPr="008964E8">
              <w:rPr>
                <w:rFonts w:ascii="Times New Roman" w:eastAsia="Times New Roman" w:hAnsi="Times New Roman" w:cs="Times New Roman"/>
                <w:bCs/>
                <w:lang w:eastAsia="lv-LV"/>
              </w:rPr>
              <w:t>1</w:t>
            </w:r>
          </w:p>
        </w:tc>
        <w:tc>
          <w:tcPr>
            <w:tcW w:w="986"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Cs/>
                <w:lang w:eastAsia="lv-LV"/>
              </w:rPr>
            </w:pPr>
            <w:r w:rsidRPr="008964E8">
              <w:rPr>
                <w:rFonts w:ascii="Times New Roman" w:eastAsia="Times New Roman" w:hAnsi="Times New Roman" w:cs="Times New Roman"/>
                <w:bCs/>
                <w:lang w:eastAsia="lv-LV"/>
              </w:rPr>
              <w:t>2</w:t>
            </w:r>
          </w:p>
        </w:tc>
        <w:tc>
          <w:tcPr>
            <w:tcW w:w="2090"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Cs/>
                <w:lang w:eastAsia="lv-LV"/>
              </w:rPr>
            </w:pPr>
            <w:r w:rsidRPr="008964E8">
              <w:rPr>
                <w:rFonts w:ascii="Times New Roman" w:eastAsia="Times New Roman" w:hAnsi="Times New Roman" w:cs="Times New Roman"/>
                <w:bCs/>
                <w:lang w:eastAsia="lv-LV"/>
              </w:rPr>
              <w:t>3</w:t>
            </w:r>
          </w:p>
        </w:tc>
        <w:tc>
          <w:tcPr>
            <w:tcW w:w="1119"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Cs/>
                <w:lang w:eastAsia="lv-LV"/>
              </w:rPr>
            </w:pPr>
            <w:r w:rsidRPr="008964E8">
              <w:rPr>
                <w:rFonts w:ascii="Times New Roman" w:eastAsia="Times New Roman" w:hAnsi="Times New Roman" w:cs="Times New Roman"/>
                <w:bCs/>
                <w:lang w:eastAsia="lv-LV"/>
              </w:rPr>
              <w:t>4</w:t>
            </w:r>
          </w:p>
        </w:tc>
        <w:tc>
          <w:tcPr>
            <w:tcW w:w="1119"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Cs/>
                <w:lang w:eastAsia="lv-LV"/>
              </w:rPr>
            </w:pPr>
            <w:r w:rsidRPr="008964E8">
              <w:rPr>
                <w:rFonts w:ascii="Times New Roman" w:eastAsia="Times New Roman" w:hAnsi="Times New Roman" w:cs="Times New Roman"/>
                <w:bCs/>
                <w:lang w:eastAsia="lv-LV"/>
              </w:rPr>
              <w:t>5</w:t>
            </w:r>
          </w:p>
        </w:tc>
        <w:tc>
          <w:tcPr>
            <w:tcW w:w="1747" w:type="dxa"/>
            <w:gridSpan w:val="2"/>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Cs/>
                <w:lang w:eastAsia="lv-LV"/>
              </w:rPr>
            </w:pPr>
            <w:r w:rsidRPr="008964E8">
              <w:rPr>
                <w:rFonts w:ascii="Times New Roman" w:eastAsia="Times New Roman" w:hAnsi="Times New Roman" w:cs="Times New Roman"/>
                <w:bCs/>
                <w:lang w:eastAsia="lv-LV"/>
              </w:rPr>
              <w:t>6</w:t>
            </w:r>
          </w:p>
        </w:tc>
      </w:tr>
      <w:tr w:rsidR="008964E8" w:rsidRPr="008964E8" w:rsidTr="00A2740C">
        <w:tblPrEx>
          <w:jc w:val="center"/>
        </w:tblPrEx>
        <w:trPr>
          <w:gridBefore w:val="1"/>
          <w:wBefore w:w="276" w:type="dxa"/>
          <w:jc w:val="center"/>
        </w:trPr>
        <w:tc>
          <w:tcPr>
            <w:tcW w:w="2587" w:type="dxa"/>
            <w:gridSpan w:val="5"/>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i/>
                <w:lang w:eastAsia="lv-LV"/>
              </w:rPr>
            </w:pPr>
            <w:r w:rsidRPr="008964E8">
              <w:rPr>
                <w:rFonts w:ascii="Times New Roman" w:eastAsia="Times New Roman" w:hAnsi="Times New Roman" w:cs="Times New Roman"/>
                <w:lang w:eastAsia="lv-LV"/>
              </w:rPr>
              <w:t>1. Budžeta ieņēmumi:</w:t>
            </w:r>
          </w:p>
        </w:tc>
        <w:tc>
          <w:tcPr>
            <w:tcW w:w="986"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783,4</w:t>
            </w:r>
          </w:p>
        </w:tc>
        <w:tc>
          <w:tcPr>
            <w:tcW w:w="2090"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-65,0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-65,0</w:t>
            </w:r>
          </w:p>
        </w:tc>
        <w:tc>
          <w:tcPr>
            <w:tcW w:w="1747" w:type="dxa"/>
            <w:gridSpan w:val="2"/>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-65,0</w:t>
            </w:r>
          </w:p>
        </w:tc>
      </w:tr>
      <w:tr w:rsidR="008964E8" w:rsidRPr="008964E8" w:rsidTr="00A2740C">
        <w:tblPrEx>
          <w:jc w:val="center"/>
        </w:tblPrEx>
        <w:trPr>
          <w:gridBefore w:val="1"/>
          <w:wBefore w:w="276" w:type="dxa"/>
          <w:jc w:val="center"/>
        </w:trPr>
        <w:tc>
          <w:tcPr>
            <w:tcW w:w="2587" w:type="dxa"/>
            <w:gridSpan w:val="5"/>
            <w:shd w:val="clear" w:color="auto" w:fill="FFFFFF" w:themeFill="background1"/>
            <w:vAlign w:val="center"/>
          </w:tcPr>
          <w:p w:rsidR="008964E8" w:rsidRPr="008964E8" w:rsidRDefault="008964E8" w:rsidP="008964E8">
            <w:pPr>
              <w:spacing w:after="0" w:line="240" w:lineRule="auto"/>
              <w:rPr>
                <w:rFonts w:ascii="Times New Roman" w:eastAsia="Times New Roman" w:hAnsi="Times New Roman" w:cs="Times New Roman"/>
                <w:i/>
                <w:lang w:eastAsia="lv-LV"/>
              </w:rPr>
            </w:pPr>
            <w:r w:rsidRPr="008964E8">
              <w:rPr>
                <w:rFonts w:ascii="Times New Roman" w:eastAsia="Times New Roman" w:hAnsi="Times New Roman" w:cs="Times New Roman"/>
                <w:lang w:eastAsia="lv-LV"/>
              </w:rPr>
              <w:t>1.1. valsts pamatbudžets, tai skaitā ieņēmumi no maksas pakalpojumiem un citi pašu ieņēmumi</w:t>
            </w:r>
          </w:p>
        </w:tc>
        <w:tc>
          <w:tcPr>
            <w:tcW w:w="986"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783,4</w:t>
            </w:r>
          </w:p>
        </w:tc>
        <w:tc>
          <w:tcPr>
            <w:tcW w:w="2090"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-65,0</w:t>
            </w:r>
          </w:p>
        </w:tc>
        <w:tc>
          <w:tcPr>
            <w:tcW w:w="1119"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-65,0</w:t>
            </w:r>
          </w:p>
        </w:tc>
        <w:tc>
          <w:tcPr>
            <w:tcW w:w="1747" w:type="dxa"/>
            <w:gridSpan w:val="2"/>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-65,0</w:t>
            </w:r>
          </w:p>
        </w:tc>
      </w:tr>
      <w:tr w:rsidR="008964E8" w:rsidRPr="008964E8" w:rsidTr="00A2740C">
        <w:tblPrEx>
          <w:jc w:val="center"/>
        </w:tblPrEx>
        <w:trPr>
          <w:gridBefore w:val="1"/>
          <w:wBefore w:w="276" w:type="dxa"/>
          <w:jc w:val="center"/>
        </w:trPr>
        <w:tc>
          <w:tcPr>
            <w:tcW w:w="2587" w:type="dxa"/>
            <w:gridSpan w:val="5"/>
            <w:shd w:val="clear" w:color="auto" w:fill="FFFFFF" w:themeFill="background1"/>
            <w:vAlign w:val="center"/>
          </w:tcPr>
          <w:p w:rsidR="008964E8" w:rsidRPr="008964E8" w:rsidRDefault="008964E8" w:rsidP="008964E8">
            <w:pPr>
              <w:spacing w:after="0" w:line="240" w:lineRule="auto"/>
              <w:rPr>
                <w:rFonts w:ascii="Times New Roman" w:eastAsia="Times New Roman" w:hAnsi="Times New Roman" w:cs="Times New Roman"/>
                <w:i/>
                <w:lang w:eastAsia="lv-LV"/>
              </w:rPr>
            </w:pPr>
            <w:r w:rsidRPr="008964E8">
              <w:rPr>
                <w:rFonts w:ascii="Times New Roman" w:eastAsia="Times New Roman" w:hAnsi="Times New Roman" w:cs="Times New Roman"/>
                <w:lang w:eastAsia="lv-LV"/>
              </w:rPr>
              <w:t>1.2. valsts speciālais budžets</w:t>
            </w:r>
          </w:p>
        </w:tc>
        <w:tc>
          <w:tcPr>
            <w:tcW w:w="986"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2090"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747" w:type="dxa"/>
            <w:gridSpan w:val="2"/>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r>
      <w:tr w:rsidR="008964E8" w:rsidRPr="008964E8" w:rsidTr="00A2740C">
        <w:tblPrEx>
          <w:jc w:val="center"/>
        </w:tblPrEx>
        <w:trPr>
          <w:gridBefore w:val="1"/>
          <w:wBefore w:w="276" w:type="dxa"/>
          <w:jc w:val="center"/>
        </w:trPr>
        <w:tc>
          <w:tcPr>
            <w:tcW w:w="2587" w:type="dxa"/>
            <w:gridSpan w:val="5"/>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i/>
                <w:lang w:eastAsia="lv-LV"/>
              </w:rPr>
            </w:pPr>
            <w:r w:rsidRPr="008964E8">
              <w:rPr>
                <w:rFonts w:ascii="Times New Roman" w:eastAsia="Times New Roman" w:hAnsi="Times New Roman" w:cs="Times New Roman"/>
                <w:lang w:eastAsia="lv-LV"/>
              </w:rPr>
              <w:t>1.3. pašvaldību budžets</w:t>
            </w:r>
          </w:p>
        </w:tc>
        <w:tc>
          <w:tcPr>
            <w:tcW w:w="986"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2090"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747" w:type="dxa"/>
            <w:gridSpan w:val="2"/>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r>
      <w:tr w:rsidR="008964E8" w:rsidRPr="008964E8" w:rsidTr="00A2740C">
        <w:tblPrEx>
          <w:jc w:val="center"/>
        </w:tblPrEx>
        <w:trPr>
          <w:gridBefore w:val="1"/>
          <w:wBefore w:w="276" w:type="dxa"/>
          <w:jc w:val="center"/>
        </w:trPr>
        <w:tc>
          <w:tcPr>
            <w:tcW w:w="2587" w:type="dxa"/>
            <w:gridSpan w:val="5"/>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lang w:eastAsia="lv-LV"/>
              </w:rPr>
            </w:pPr>
            <w:r w:rsidRPr="008964E8">
              <w:rPr>
                <w:rFonts w:ascii="Times New Roman" w:eastAsia="Times New Roman" w:hAnsi="Times New Roman" w:cs="Times New Roman"/>
                <w:lang w:eastAsia="lv-LV"/>
              </w:rPr>
              <w:t>2. Budžeta izdevumi:</w:t>
            </w:r>
          </w:p>
        </w:tc>
        <w:tc>
          <w:tcPr>
            <w:tcW w:w="986"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783,4</w:t>
            </w:r>
          </w:p>
        </w:tc>
        <w:tc>
          <w:tcPr>
            <w:tcW w:w="2090"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-65,0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-65,0</w:t>
            </w:r>
          </w:p>
        </w:tc>
        <w:tc>
          <w:tcPr>
            <w:tcW w:w="1747" w:type="dxa"/>
            <w:gridSpan w:val="2"/>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-65,0</w:t>
            </w:r>
          </w:p>
        </w:tc>
      </w:tr>
      <w:tr w:rsidR="008964E8" w:rsidRPr="008964E8" w:rsidTr="00A2740C">
        <w:tblPrEx>
          <w:jc w:val="center"/>
        </w:tblPrEx>
        <w:trPr>
          <w:gridBefore w:val="1"/>
          <w:wBefore w:w="276" w:type="dxa"/>
          <w:jc w:val="center"/>
        </w:trPr>
        <w:tc>
          <w:tcPr>
            <w:tcW w:w="2587" w:type="dxa"/>
            <w:gridSpan w:val="5"/>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lang w:eastAsia="lv-LV"/>
              </w:rPr>
            </w:pPr>
            <w:r w:rsidRPr="008964E8">
              <w:rPr>
                <w:rFonts w:ascii="Times New Roman" w:eastAsia="Times New Roman" w:hAnsi="Times New Roman" w:cs="Times New Roman"/>
                <w:lang w:eastAsia="lv-LV"/>
              </w:rPr>
              <w:t>2.1. valsts pamatbudžets</w:t>
            </w:r>
          </w:p>
        </w:tc>
        <w:tc>
          <w:tcPr>
            <w:tcW w:w="986"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783,4</w:t>
            </w:r>
          </w:p>
        </w:tc>
        <w:tc>
          <w:tcPr>
            <w:tcW w:w="2090"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-65,0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-65,0</w:t>
            </w:r>
          </w:p>
        </w:tc>
        <w:tc>
          <w:tcPr>
            <w:tcW w:w="1747" w:type="dxa"/>
            <w:gridSpan w:val="2"/>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-65,0</w:t>
            </w:r>
          </w:p>
        </w:tc>
      </w:tr>
      <w:tr w:rsidR="008964E8" w:rsidRPr="008964E8" w:rsidTr="00A2740C">
        <w:tblPrEx>
          <w:jc w:val="center"/>
        </w:tblPrEx>
        <w:trPr>
          <w:gridBefore w:val="1"/>
          <w:wBefore w:w="276" w:type="dxa"/>
          <w:jc w:val="center"/>
        </w:trPr>
        <w:tc>
          <w:tcPr>
            <w:tcW w:w="2587" w:type="dxa"/>
            <w:gridSpan w:val="5"/>
            <w:shd w:val="clear" w:color="auto" w:fill="FFFFFF" w:themeFill="background1"/>
            <w:vAlign w:val="center"/>
          </w:tcPr>
          <w:p w:rsidR="008964E8" w:rsidRPr="008964E8" w:rsidRDefault="008964E8" w:rsidP="008964E8">
            <w:pPr>
              <w:spacing w:after="0" w:line="240" w:lineRule="auto"/>
              <w:rPr>
                <w:rFonts w:ascii="Times New Roman" w:eastAsia="Times New Roman" w:hAnsi="Times New Roman" w:cs="Times New Roman"/>
                <w:lang w:eastAsia="lv-LV"/>
              </w:rPr>
            </w:pPr>
            <w:r w:rsidRPr="008964E8">
              <w:rPr>
                <w:rFonts w:ascii="Times New Roman" w:eastAsia="Times New Roman" w:hAnsi="Times New Roman" w:cs="Times New Roman"/>
                <w:lang w:eastAsia="lv-LV"/>
              </w:rPr>
              <w:t>2.2. valsts speciālais budžets</w:t>
            </w:r>
          </w:p>
        </w:tc>
        <w:tc>
          <w:tcPr>
            <w:tcW w:w="986"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2090"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747" w:type="dxa"/>
            <w:gridSpan w:val="2"/>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r>
      <w:tr w:rsidR="008964E8" w:rsidRPr="008964E8" w:rsidTr="00A2740C">
        <w:tblPrEx>
          <w:jc w:val="center"/>
        </w:tblPrEx>
        <w:trPr>
          <w:gridBefore w:val="1"/>
          <w:wBefore w:w="276" w:type="dxa"/>
          <w:jc w:val="center"/>
        </w:trPr>
        <w:tc>
          <w:tcPr>
            <w:tcW w:w="2587" w:type="dxa"/>
            <w:gridSpan w:val="5"/>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lang w:eastAsia="lv-LV"/>
              </w:rPr>
            </w:pPr>
            <w:r w:rsidRPr="008964E8">
              <w:rPr>
                <w:rFonts w:ascii="Times New Roman" w:eastAsia="Times New Roman" w:hAnsi="Times New Roman" w:cs="Times New Roman"/>
                <w:lang w:eastAsia="lv-LV"/>
              </w:rPr>
              <w:t xml:space="preserve">2.3. pašvaldību budžets </w:t>
            </w:r>
          </w:p>
        </w:tc>
        <w:tc>
          <w:tcPr>
            <w:tcW w:w="986"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2090"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747" w:type="dxa"/>
            <w:gridSpan w:val="2"/>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r>
      <w:tr w:rsidR="008964E8" w:rsidRPr="008964E8" w:rsidTr="00A2740C">
        <w:tblPrEx>
          <w:jc w:val="center"/>
        </w:tblPrEx>
        <w:trPr>
          <w:gridBefore w:val="1"/>
          <w:wBefore w:w="276" w:type="dxa"/>
          <w:jc w:val="center"/>
        </w:trPr>
        <w:tc>
          <w:tcPr>
            <w:tcW w:w="2587" w:type="dxa"/>
            <w:gridSpan w:val="5"/>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lang w:eastAsia="lv-LV"/>
              </w:rPr>
            </w:pPr>
            <w:r w:rsidRPr="008964E8">
              <w:rPr>
                <w:rFonts w:ascii="Times New Roman" w:eastAsia="Times New Roman" w:hAnsi="Times New Roman" w:cs="Times New Roman"/>
                <w:lang w:eastAsia="lv-LV"/>
              </w:rPr>
              <w:t>3. Finansiālā ietekme:</w:t>
            </w:r>
          </w:p>
        </w:tc>
        <w:tc>
          <w:tcPr>
            <w:tcW w:w="986"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2090"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747" w:type="dxa"/>
            <w:gridSpan w:val="2"/>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r>
      <w:tr w:rsidR="008964E8" w:rsidRPr="008964E8" w:rsidTr="00A2740C">
        <w:tblPrEx>
          <w:jc w:val="center"/>
        </w:tblPrEx>
        <w:trPr>
          <w:gridBefore w:val="1"/>
          <w:wBefore w:w="276" w:type="dxa"/>
          <w:jc w:val="center"/>
        </w:trPr>
        <w:tc>
          <w:tcPr>
            <w:tcW w:w="2587" w:type="dxa"/>
            <w:gridSpan w:val="5"/>
            <w:shd w:val="clear" w:color="auto" w:fill="FFFFFF" w:themeFill="background1"/>
            <w:vAlign w:val="center"/>
          </w:tcPr>
          <w:p w:rsidR="008964E8" w:rsidRPr="008964E8" w:rsidRDefault="008964E8" w:rsidP="008964E8">
            <w:pPr>
              <w:spacing w:after="0" w:line="240" w:lineRule="auto"/>
              <w:rPr>
                <w:rFonts w:ascii="Times New Roman" w:eastAsia="Times New Roman" w:hAnsi="Times New Roman" w:cs="Times New Roman"/>
                <w:lang w:eastAsia="lv-LV"/>
              </w:rPr>
            </w:pPr>
            <w:r w:rsidRPr="008964E8">
              <w:rPr>
                <w:rFonts w:ascii="Times New Roman" w:eastAsia="Times New Roman" w:hAnsi="Times New Roman" w:cs="Times New Roman"/>
                <w:lang w:eastAsia="lv-LV"/>
              </w:rPr>
              <w:t>3.1. valsts pamatbudžets</w:t>
            </w:r>
          </w:p>
        </w:tc>
        <w:tc>
          <w:tcPr>
            <w:tcW w:w="986"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2090"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747" w:type="dxa"/>
            <w:gridSpan w:val="2"/>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r>
      <w:tr w:rsidR="008964E8" w:rsidRPr="008964E8" w:rsidTr="00A2740C">
        <w:tblPrEx>
          <w:jc w:val="center"/>
        </w:tblPrEx>
        <w:trPr>
          <w:gridBefore w:val="1"/>
          <w:wBefore w:w="276" w:type="dxa"/>
          <w:jc w:val="center"/>
        </w:trPr>
        <w:tc>
          <w:tcPr>
            <w:tcW w:w="2587" w:type="dxa"/>
            <w:gridSpan w:val="5"/>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lang w:eastAsia="lv-LV"/>
              </w:rPr>
            </w:pPr>
            <w:r w:rsidRPr="008964E8">
              <w:rPr>
                <w:rFonts w:ascii="Times New Roman" w:eastAsia="Times New Roman" w:hAnsi="Times New Roman" w:cs="Times New Roman"/>
                <w:lang w:eastAsia="lv-LV"/>
              </w:rPr>
              <w:t>3.2. speciālais budžets</w:t>
            </w:r>
          </w:p>
        </w:tc>
        <w:tc>
          <w:tcPr>
            <w:tcW w:w="986"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2090"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747" w:type="dxa"/>
            <w:gridSpan w:val="2"/>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r>
      <w:tr w:rsidR="008964E8" w:rsidRPr="008964E8" w:rsidTr="00A2740C">
        <w:tblPrEx>
          <w:jc w:val="center"/>
        </w:tblPrEx>
        <w:trPr>
          <w:gridBefore w:val="1"/>
          <w:wBefore w:w="276" w:type="dxa"/>
          <w:jc w:val="center"/>
        </w:trPr>
        <w:tc>
          <w:tcPr>
            <w:tcW w:w="2587" w:type="dxa"/>
            <w:gridSpan w:val="5"/>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lang w:eastAsia="lv-LV"/>
              </w:rPr>
            </w:pPr>
            <w:r w:rsidRPr="008964E8">
              <w:rPr>
                <w:rFonts w:ascii="Times New Roman" w:eastAsia="Times New Roman" w:hAnsi="Times New Roman" w:cs="Times New Roman"/>
                <w:lang w:eastAsia="lv-LV"/>
              </w:rPr>
              <w:t xml:space="preserve">3.3. pašvaldību budžets </w:t>
            </w:r>
          </w:p>
        </w:tc>
        <w:tc>
          <w:tcPr>
            <w:tcW w:w="986"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2090"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747" w:type="dxa"/>
            <w:gridSpan w:val="2"/>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r>
      <w:tr w:rsidR="008964E8" w:rsidRPr="008964E8" w:rsidTr="00A2740C">
        <w:tblPrEx>
          <w:jc w:val="center"/>
        </w:tblPrEx>
        <w:trPr>
          <w:gridBefore w:val="1"/>
          <w:wBefore w:w="276" w:type="dxa"/>
          <w:trHeight w:val="1201"/>
          <w:jc w:val="center"/>
        </w:trPr>
        <w:tc>
          <w:tcPr>
            <w:tcW w:w="2587" w:type="dxa"/>
            <w:gridSpan w:val="5"/>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lang w:eastAsia="lv-LV"/>
              </w:rPr>
            </w:pPr>
            <w:r w:rsidRPr="008964E8">
              <w:rPr>
                <w:rFonts w:ascii="Times New Roman" w:eastAsia="Times New Roman" w:hAnsi="Times New Roman" w:cs="Times New Roman"/>
                <w:lang w:eastAsia="lv-LV"/>
              </w:rPr>
              <w:t>4. Finanšu līdzekļi papildu izde</w:t>
            </w:r>
            <w:r w:rsidRPr="008964E8">
              <w:rPr>
                <w:rFonts w:ascii="Times New Roman" w:eastAsia="Times New Roman" w:hAnsi="Times New Roman" w:cs="Times New Roman"/>
                <w:lang w:eastAsia="lv-LV"/>
              </w:rPr>
              <w:softHyphen/>
              <w:t>vumu finansēšanai (kompensējošu izdevumu samazinājumu norāda ar "+" zīmi)</w:t>
            </w:r>
          </w:p>
        </w:tc>
        <w:tc>
          <w:tcPr>
            <w:tcW w:w="986"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i/>
                <w:lang w:eastAsia="lv-LV"/>
              </w:rPr>
            </w:pPr>
            <w:r w:rsidRPr="008964E8">
              <w:rPr>
                <w:rFonts w:ascii="Times New Roman" w:eastAsia="Times New Roman" w:hAnsi="Times New Roman" w:cs="Times New Roman"/>
                <w:lang w:eastAsia="lv-LV"/>
              </w:rPr>
              <w:t>X</w:t>
            </w:r>
          </w:p>
        </w:tc>
        <w:tc>
          <w:tcPr>
            <w:tcW w:w="2090" w:type="dxa"/>
            <w:shd w:val="clear" w:color="auto" w:fill="FFFFFF" w:themeFill="background1"/>
            <w:vAlign w:val="center"/>
          </w:tcPr>
          <w:p w:rsidR="008964E8" w:rsidRPr="008964E8" w:rsidRDefault="008964E8" w:rsidP="008964E8">
            <w:pPr>
              <w:spacing w:after="0" w:line="240" w:lineRule="auto"/>
              <w:ind w:firstLine="375"/>
              <w:jc w:val="both"/>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vAlign w:val="center"/>
          </w:tcPr>
          <w:p w:rsidR="008964E8" w:rsidRPr="008964E8" w:rsidRDefault="008964E8" w:rsidP="008964E8">
            <w:pPr>
              <w:spacing w:after="0" w:line="240" w:lineRule="auto"/>
              <w:ind w:firstLine="375"/>
              <w:jc w:val="both"/>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vAlign w:val="center"/>
          </w:tcPr>
          <w:p w:rsidR="008964E8" w:rsidRPr="008964E8" w:rsidRDefault="008964E8" w:rsidP="008964E8">
            <w:pPr>
              <w:spacing w:after="0" w:line="240" w:lineRule="auto"/>
              <w:ind w:firstLine="375"/>
              <w:jc w:val="both"/>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747" w:type="dxa"/>
            <w:gridSpan w:val="2"/>
            <w:shd w:val="clear" w:color="auto" w:fill="FFFFFF" w:themeFill="background1"/>
            <w:vAlign w:val="center"/>
          </w:tcPr>
          <w:p w:rsidR="008964E8" w:rsidRPr="008964E8" w:rsidRDefault="008964E8" w:rsidP="008964E8">
            <w:pPr>
              <w:spacing w:after="0" w:line="240" w:lineRule="auto"/>
              <w:ind w:firstLine="375"/>
              <w:jc w:val="both"/>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r>
      <w:tr w:rsidR="008964E8" w:rsidRPr="008964E8" w:rsidTr="00A2740C">
        <w:tblPrEx>
          <w:jc w:val="center"/>
        </w:tblPrEx>
        <w:trPr>
          <w:gridBefore w:val="1"/>
          <w:wBefore w:w="276" w:type="dxa"/>
          <w:jc w:val="center"/>
        </w:trPr>
        <w:tc>
          <w:tcPr>
            <w:tcW w:w="2587" w:type="dxa"/>
            <w:gridSpan w:val="5"/>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lang w:eastAsia="lv-LV"/>
              </w:rPr>
            </w:pPr>
            <w:r w:rsidRPr="008964E8">
              <w:rPr>
                <w:rFonts w:ascii="Times New Roman" w:eastAsia="Times New Roman" w:hAnsi="Times New Roman" w:cs="Times New Roman"/>
                <w:lang w:eastAsia="lv-LV"/>
              </w:rPr>
              <w:t>5. Precizēta finansiālā ietekme:</w:t>
            </w:r>
          </w:p>
        </w:tc>
        <w:tc>
          <w:tcPr>
            <w:tcW w:w="986" w:type="dxa"/>
            <w:vMerge w:val="restart"/>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i/>
                <w:lang w:eastAsia="lv-LV"/>
              </w:rPr>
            </w:pPr>
            <w:r w:rsidRPr="008964E8">
              <w:rPr>
                <w:rFonts w:ascii="Times New Roman" w:eastAsia="Times New Roman" w:hAnsi="Times New Roman" w:cs="Times New Roman"/>
                <w:lang w:eastAsia="lv-LV"/>
              </w:rPr>
              <w:t>X</w:t>
            </w:r>
          </w:p>
        </w:tc>
        <w:tc>
          <w:tcPr>
            <w:tcW w:w="2090"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747" w:type="dxa"/>
            <w:gridSpan w:val="2"/>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r>
      <w:tr w:rsidR="008964E8" w:rsidRPr="008964E8" w:rsidTr="00A2740C">
        <w:tblPrEx>
          <w:jc w:val="center"/>
        </w:tblPrEx>
        <w:trPr>
          <w:gridBefore w:val="1"/>
          <w:wBefore w:w="276" w:type="dxa"/>
          <w:jc w:val="center"/>
        </w:trPr>
        <w:tc>
          <w:tcPr>
            <w:tcW w:w="2587" w:type="dxa"/>
            <w:gridSpan w:val="5"/>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lang w:eastAsia="lv-LV"/>
              </w:rPr>
            </w:pPr>
            <w:r w:rsidRPr="008964E8">
              <w:rPr>
                <w:rFonts w:ascii="Times New Roman" w:eastAsia="Times New Roman" w:hAnsi="Times New Roman" w:cs="Times New Roman"/>
                <w:lang w:eastAsia="lv-LV"/>
              </w:rPr>
              <w:t>5.1. valsts pamatbudžets</w:t>
            </w:r>
          </w:p>
        </w:tc>
        <w:tc>
          <w:tcPr>
            <w:tcW w:w="986" w:type="dxa"/>
            <w:vMerge/>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i/>
                <w:lang w:eastAsia="lv-LV"/>
              </w:rPr>
            </w:pPr>
          </w:p>
        </w:tc>
        <w:tc>
          <w:tcPr>
            <w:tcW w:w="2090"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tcPr>
          <w:p w:rsidR="008964E8" w:rsidRPr="008964E8" w:rsidRDefault="008964E8" w:rsidP="008964E8">
            <w:pPr>
              <w:tabs>
                <w:tab w:val="left" w:pos="780"/>
              </w:tabs>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747" w:type="dxa"/>
            <w:gridSpan w:val="2"/>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r>
      <w:tr w:rsidR="008964E8" w:rsidRPr="008964E8" w:rsidTr="00A2740C">
        <w:tblPrEx>
          <w:jc w:val="center"/>
        </w:tblPrEx>
        <w:trPr>
          <w:gridBefore w:val="1"/>
          <w:wBefore w:w="276" w:type="dxa"/>
          <w:trHeight w:val="60"/>
          <w:jc w:val="center"/>
        </w:trPr>
        <w:tc>
          <w:tcPr>
            <w:tcW w:w="2587" w:type="dxa"/>
            <w:gridSpan w:val="5"/>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lang w:eastAsia="lv-LV"/>
              </w:rPr>
            </w:pPr>
            <w:r w:rsidRPr="008964E8">
              <w:rPr>
                <w:rFonts w:ascii="Times New Roman" w:eastAsia="Times New Roman" w:hAnsi="Times New Roman" w:cs="Times New Roman"/>
                <w:lang w:eastAsia="lv-LV"/>
              </w:rPr>
              <w:t>5.2. speciālais budžets</w:t>
            </w:r>
          </w:p>
        </w:tc>
        <w:tc>
          <w:tcPr>
            <w:tcW w:w="986" w:type="dxa"/>
            <w:vMerge/>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i/>
                <w:lang w:eastAsia="lv-LV"/>
              </w:rPr>
            </w:pPr>
          </w:p>
        </w:tc>
        <w:tc>
          <w:tcPr>
            <w:tcW w:w="2090"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747" w:type="dxa"/>
            <w:gridSpan w:val="2"/>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r>
      <w:tr w:rsidR="008964E8" w:rsidRPr="008964E8" w:rsidTr="00A2740C">
        <w:tblPrEx>
          <w:jc w:val="center"/>
        </w:tblPrEx>
        <w:trPr>
          <w:gridBefore w:val="1"/>
          <w:wBefore w:w="276" w:type="dxa"/>
          <w:jc w:val="center"/>
        </w:trPr>
        <w:tc>
          <w:tcPr>
            <w:tcW w:w="2587" w:type="dxa"/>
            <w:gridSpan w:val="5"/>
            <w:shd w:val="clear" w:color="auto" w:fill="FFFFFF" w:themeFill="background1"/>
          </w:tcPr>
          <w:p w:rsidR="008964E8" w:rsidRPr="008964E8" w:rsidRDefault="008964E8" w:rsidP="008964E8">
            <w:pPr>
              <w:spacing w:after="0" w:line="240" w:lineRule="auto"/>
              <w:rPr>
                <w:rFonts w:ascii="Times New Roman" w:eastAsia="Times New Roman" w:hAnsi="Times New Roman" w:cs="Times New Roman"/>
                <w:lang w:eastAsia="lv-LV"/>
              </w:rPr>
            </w:pPr>
            <w:r w:rsidRPr="008964E8">
              <w:rPr>
                <w:rFonts w:ascii="Times New Roman" w:eastAsia="Times New Roman" w:hAnsi="Times New Roman" w:cs="Times New Roman"/>
                <w:lang w:eastAsia="lv-LV"/>
              </w:rPr>
              <w:t xml:space="preserve">5.3. pašvaldību budžets </w:t>
            </w:r>
          </w:p>
        </w:tc>
        <w:tc>
          <w:tcPr>
            <w:tcW w:w="986" w:type="dxa"/>
            <w:vMerge/>
            <w:shd w:val="clear" w:color="auto" w:fill="FFFFFF" w:themeFill="background1"/>
            <w:vAlign w:val="center"/>
          </w:tcPr>
          <w:p w:rsidR="008964E8" w:rsidRPr="008964E8" w:rsidRDefault="008964E8" w:rsidP="008964E8">
            <w:pPr>
              <w:spacing w:after="0" w:line="240" w:lineRule="auto"/>
              <w:jc w:val="center"/>
              <w:rPr>
                <w:rFonts w:ascii="Times New Roman" w:eastAsia="Times New Roman" w:hAnsi="Times New Roman" w:cs="Times New Roman"/>
                <w:i/>
                <w:lang w:eastAsia="lv-LV"/>
              </w:rPr>
            </w:pPr>
          </w:p>
        </w:tc>
        <w:tc>
          <w:tcPr>
            <w:tcW w:w="2090"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119" w:type="dxa"/>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c>
          <w:tcPr>
            <w:tcW w:w="1747" w:type="dxa"/>
            <w:gridSpan w:val="2"/>
            <w:shd w:val="clear" w:color="auto" w:fill="FFFFFF" w:themeFill="background1"/>
          </w:tcPr>
          <w:p w:rsidR="008964E8" w:rsidRPr="008964E8" w:rsidRDefault="008964E8" w:rsidP="008964E8">
            <w:pPr>
              <w:spacing w:after="0" w:line="240" w:lineRule="auto"/>
              <w:jc w:val="center"/>
              <w:rPr>
                <w:rFonts w:ascii="Times New Roman" w:eastAsia="Times New Roman" w:hAnsi="Times New Roman" w:cs="Times New Roman"/>
                <w:b/>
                <w:i/>
                <w:lang w:eastAsia="lv-LV"/>
              </w:rPr>
            </w:pPr>
            <w:r w:rsidRPr="008964E8">
              <w:rPr>
                <w:rFonts w:ascii="Times New Roman" w:eastAsia="Times New Roman" w:hAnsi="Times New Roman" w:cs="Times New Roman"/>
                <w:b/>
                <w:i/>
                <w:lang w:eastAsia="lv-LV"/>
              </w:rPr>
              <w:t>0</w:t>
            </w:r>
          </w:p>
        </w:tc>
      </w:tr>
      <w:tr w:rsidR="008964E8" w:rsidRPr="008964E8" w:rsidTr="00A2740C">
        <w:tblPrEx>
          <w:jc w:val="center"/>
        </w:tblPrEx>
        <w:trPr>
          <w:gridBefore w:val="1"/>
          <w:wBefore w:w="276" w:type="dxa"/>
          <w:trHeight w:val="2257"/>
          <w:jc w:val="center"/>
        </w:trPr>
        <w:tc>
          <w:tcPr>
            <w:tcW w:w="9648" w:type="dxa"/>
            <w:gridSpan w:val="11"/>
          </w:tcPr>
          <w:p w:rsidR="008964E8" w:rsidRPr="008964E8" w:rsidRDefault="008964E8" w:rsidP="008964E8">
            <w:pPr>
              <w:spacing w:after="0" w:line="240" w:lineRule="auto"/>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lastRenderedPageBreak/>
              <w:t>6. Detalizēts ieņēmumu un izdevu</w:t>
            </w:r>
            <w:r w:rsidRPr="008964E8">
              <w:rPr>
                <w:rFonts w:ascii="Times New Roman" w:eastAsia="Times New Roman" w:hAnsi="Times New Roman" w:cs="Times New Roman"/>
                <w:sz w:val="24"/>
                <w:szCs w:val="24"/>
                <w:lang w:eastAsia="lv-LV"/>
              </w:rPr>
              <w:softHyphen/>
              <w:t>mu aprēķins (ja nepieciešams, detalizētu ieņēmumu un izdevumu aprēķinu var pievienot anotācijas pielikumā):</w:t>
            </w:r>
          </w:p>
          <w:p w:rsidR="008964E8" w:rsidRPr="008964E8" w:rsidRDefault="008964E8" w:rsidP="008964E8">
            <w:pPr>
              <w:spacing w:after="0" w:line="240" w:lineRule="auto"/>
              <w:jc w:val="both"/>
              <w:rPr>
                <w:rFonts w:ascii="EYInterstate Light" w:hAnsi="EYInterstate Light"/>
                <w:kern w:val="12"/>
                <w:sz w:val="24"/>
                <w:szCs w:val="24"/>
              </w:rPr>
            </w:pPr>
            <w:r w:rsidRPr="008964E8">
              <w:rPr>
                <w:rFonts w:ascii="Times New Roman" w:hAnsi="Times New Roman" w:cs="Times New Roman"/>
                <w:kern w:val="12"/>
                <w:sz w:val="24"/>
                <w:szCs w:val="24"/>
              </w:rPr>
              <w:t xml:space="preserve">Aktualizējot maksas pakalpojumu izcenojumus atbilstoši MK noteikumiem Nr.333, tika izvērtēti katra maksas pakalpojuma nodrošināšanai nepieciešamie tiešie izdevumi. Aprēķinā iekļautas arī uz katra pakalpojuma sniegšanu attiecināmās netiešās izmaksas. Aprēķini veikti balstoties uz iepirkuma rezultātā izraudzīta pakalpojumu sniedzēja SIA „ Ernst &amp; </w:t>
            </w:r>
            <w:proofErr w:type="spellStart"/>
            <w:r w:rsidRPr="008964E8">
              <w:rPr>
                <w:rFonts w:ascii="Times New Roman" w:hAnsi="Times New Roman" w:cs="Times New Roman"/>
                <w:kern w:val="12"/>
                <w:sz w:val="24"/>
                <w:szCs w:val="24"/>
              </w:rPr>
              <w:t>Young</w:t>
            </w:r>
            <w:proofErr w:type="spellEnd"/>
            <w:r w:rsidRPr="008964E8">
              <w:rPr>
                <w:rFonts w:ascii="Times New Roman" w:hAnsi="Times New Roman" w:cs="Times New Roman"/>
                <w:kern w:val="12"/>
                <w:sz w:val="24"/>
                <w:szCs w:val="24"/>
              </w:rPr>
              <w:t xml:space="preserve"> </w:t>
            </w:r>
            <w:proofErr w:type="spellStart"/>
            <w:r w:rsidRPr="008964E8">
              <w:rPr>
                <w:rFonts w:ascii="Times New Roman" w:hAnsi="Times New Roman" w:cs="Times New Roman"/>
                <w:kern w:val="12"/>
                <w:sz w:val="24"/>
                <w:szCs w:val="24"/>
              </w:rPr>
              <w:t>Baltic</w:t>
            </w:r>
            <w:proofErr w:type="spellEnd"/>
            <w:r w:rsidRPr="008964E8">
              <w:rPr>
                <w:rFonts w:ascii="Times New Roman" w:hAnsi="Times New Roman" w:cs="Times New Roman"/>
                <w:kern w:val="12"/>
                <w:sz w:val="24"/>
                <w:szCs w:val="24"/>
              </w:rPr>
              <w:t>” veiktajiem pašizmaksas kalkulācijas aprēķiniem</w:t>
            </w:r>
            <w:r w:rsidRPr="008964E8">
              <w:rPr>
                <w:rFonts w:ascii="EYInterstate Light" w:hAnsi="EYInterstate Light"/>
                <w:kern w:val="12"/>
                <w:sz w:val="24"/>
                <w:szCs w:val="24"/>
              </w:rPr>
              <w:t xml:space="preserve">, </w:t>
            </w:r>
            <w:r w:rsidRPr="008964E8">
              <w:rPr>
                <w:rFonts w:ascii="Times New Roman" w:hAnsi="Times New Roman" w:cs="Times New Roman"/>
                <w:kern w:val="12"/>
                <w:sz w:val="24"/>
                <w:szCs w:val="24"/>
              </w:rPr>
              <w:t>kas katra pakalpojuma specifikai ir piemērojis noteikta veida metodiku pašizmaksas kalkulācijas veikšanai.</w:t>
            </w:r>
          </w:p>
        </w:tc>
      </w:tr>
      <w:tr w:rsidR="008964E8" w:rsidRPr="008964E8" w:rsidTr="00A2740C">
        <w:tblPrEx>
          <w:jc w:val="center"/>
        </w:tblPrEx>
        <w:trPr>
          <w:gridBefore w:val="1"/>
          <w:wBefore w:w="276" w:type="dxa"/>
          <w:trHeight w:val="5278"/>
          <w:jc w:val="center"/>
        </w:trPr>
        <w:tc>
          <w:tcPr>
            <w:tcW w:w="2587" w:type="dxa"/>
            <w:gridSpan w:val="5"/>
          </w:tcPr>
          <w:p w:rsidR="008964E8" w:rsidRPr="008964E8" w:rsidRDefault="008964E8" w:rsidP="008964E8">
            <w:pPr>
              <w:widowControl w:val="0"/>
              <w:spacing w:after="0" w:line="240" w:lineRule="auto"/>
              <w:jc w:val="both"/>
              <w:rPr>
                <w:rFonts w:ascii="Times New Roman" w:eastAsia="Times New Roman" w:hAnsi="Times New Roman" w:cs="Times New Roman"/>
                <w:lang w:eastAsia="lv-LV"/>
              </w:rPr>
            </w:pPr>
            <w:r w:rsidRPr="008964E8">
              <w:rPr>
                <w:rFonts w:ascii="Times New Roman" w:eastAsia="Times New Roman" w:hAnsi="Times New Roman" w:cs="Times New Roman"/>
                <w:lang w:eastAsia="lv-LV"/>
              </w:rPr>
              <w:t>6.1. detalizēts ieņēmumu aprēķins</w:t>
            </w:r>
          </w:p>
        </w:tc>
        <w:tc>
          <w:tcPr>
            <w:tcW w:w="7061" w:type="dxa"/>
            <w:gridSpan w:val="6"/>
            <w:shd w:val="clear" w:color="auto" w:fill="auto"/>
          </w:tcPr>
          <w:p w:rsidR="008964E8" w:rsidRPr="008964E8" w:rsidRDefault="008964E8" w:rsidP="008964E8">
            <w:pPr>
              <w:widowControl w:val="0"/>
              <w:spacing w:after="0" w:line="240" w:lineRule="auto"/>
              <w:ind w:firstLine="447"/>
              <w:jc w:val="both"/>
              <w:rPr>
                <w:rFonts w:ascii="Times New Roman" w:hAnsi="Times New Roman" w:cs="Times New Roman"/>
                <w:kern w:val="12"/>
                <w:sz w:val="24"/>
                <w:szCs w:val="24"/>
              </w:rPr>
            </w:pPr>
            <w:r w:rsidRPr="008964E8">
              <w:rPr>
                <w:rFonts w:ascii="Times New Roman" w:hAnsi="Times New Roman" w:cs="Times New Roman"/>
                <w:kern w:val="12"/>
                <w:sz w:val="24"/>
                <w:szCs w:val="24"/>
              </w:rPr>
              <w:t xml:space="preserve">Saskaņā ar likumu „Par budžetu 2013.gadam” ieņēmumi no maksas pakalpojumiem un citiem pašu ieņēmumiem Labklājības ministrijas pamatbudžeta programmas 05.00.00 „Valsts sociālie pakalpojumi” apakšprogrammā 05.37.00 „Sociālās integrācijas valsts aģentūras administrēšanas un profesionālās un sociālās rehabilitācijas pakalpojumu nodrošināšana" plānoti 783 400 latu apmērā. Ņemot vērā veikto cenu kalkulāciju 2013.gadā prognozēta maksas pakalpojumu un citu pašu ieņēmumu neizpilde 65 000 latu apmērā un 2014.gadā un turpmākajos gados plānots ieņēmumu no maksas pakalpojumiem un citu pašu ieņēmumu samazinājums </w:t>
            </w:r>
            <w:r w:rsidRPr="008964E8">
              <w:rPr>
                <w:rFonts w:ascii="Times New Roman" w:hAnsi="Times New Roman" w:cs="Times New Roman"/>
                <w:b/>
                <w:kern w:val="12"/>
                <w:sz w:val="24"/>
                <w:szCs w:val="24"/>
              </w:rPr>
              <w:t xml:space="preserve">65 000 latu </w:t>
            </w:r>
            <w:r w:rsidRPr="008964E8">
              <w:rPr>
                <w:rFonts w:ascii="Times New Roman" w:hAnsi="Times New Roman" w:cs="Times New Roman"/>
                <w:kern w:val="12"/>
                <w:sz w:val="24"/>
                <w:szCs w:val="24"/>
              </w:rPr>
              <w:t xml:space="preserve">apmērā. </w:t>
            </w:r>
          </w:p>
          <w:p w:rsidR="008964E8" w:rsidRPr="008964E8" w:rsidRDefault="008964E8" w:rsidP="008964E8">
            <w:pPr>
              <w:widowControl w:val="0"/>
              <w:spacing w:after="0" w:line="240" w:lineRule="auto"/>
              <w:ind w:firstLine="447"/>
              <w:jc w:val="both"/>
              <w:rPr>
                <w:rFonts w:ascii="EYInterstate Light" w:hAnsi="EYInterstate Light"/>
                <w:kern w:val="12"/>
                <w:sz w:val="24"/>
                <w:szCs w:val="24"/>
              </w:rPr>
            </w:pPr>
            <w:r w:rsidRPr="008964E8">
              <w:rPr>
                <w:rFonts w:ascii="Times New Roman" w:hAnsi="Times New Roman" w:cs="Times New Roman"/>
                <w:kern w:val="12"/>
                <w:sz w:val="24"/>
                <w:szCs w:val="24"/>
              </w:rPr>
              <w:t>Detalizētu ieņēmumu aprēķinu skatīt noteikumu projekta sākotnējās ietekmes novērtējuma ziņojuma (anotācijas) 12.pielikumā „Plānotie ieņēmumi no sniegtajiem maksas pakalpojumiem un citiem pašu ieņēmumiem no 2013. gada 1.janvāra līdz 30.jūnijam”, 13.pielikumā „Plānotie ieņēmumi no sniegtajiem maksas pakalpojumiem un citiem pašu ieņēmumiem no 2013. gada 1.jūlija līdz 31.decembrim” un 14.pielikumā „Plānotie ieņēmumi no sniegtajiem maksas pakalpojumiem un citiem pašu ieņēmumiem 2014.gadā un turpmākajos gados”.</w:t>
            </w:r>
          </w:p>
        </w:tc>
      </w:tr>
      <w:tr w:rsidR="008964E8" w:rsidRPr="008964E8" w:rsidTr="00A2740C">
        <w:tblPrEx>
          <w:jc w:val="center"/>
        </w:tblPrEx>
        <w:trPr>
          <w:gridBefore w:val="1"/>
          <w:wBefore w:w="276" w:type="dxa"/>
          <w:trHeight w:val="1974"/>
          <w:jc w:val="center"/>
        </w:trPr>
        <w:tc>
          <w:tcPr>
            <w:tcW w:w="2587" w:type="dxa"/>
            <w:gridSpan w:val="5"/>
          </w:tcPr>
          <w:p w:rsidR="008964E8" w:rsidRPr="008964E8" w:rsidRDefault="008964E8" w:rsidP="008964E8">
            <w:pPr>
              <w:widowControl w:val="0"/>
              <w:spacing w:after="0" w:line="240" w:lineRule="auto"/>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6.2. detalizēts izdevumu aprēķins</w:t>
            </w:r>
          </w:p>
        </w:tc>
        <w:tc>
          <w:tcPr>
            <w:tcW w:w="7061" w:type="dxa"/>
            <w:gridSpan w:val="6"/>
            <w:shd w:val="clear" w:color="auto" w:fill="auto"/>
          </w:tcPr>
          <w:p w:rsidR="008964E8" w:rsidRPr="008964E8" w:rsidRDefault="008964E8" w:rsidP="008964E8">
            <w:pPr>
              <w:widowControl w:val="0"/>
              <w:spacing w:after="0" w:line="240" w:lineRule="auto"/>
              <w:ind w:left="22" w:firstLine="425"/>
              <w:jc w:val="both"/>
              <w:rPr>
                <w:rFonts w:ascii="Times New Roman" w:hAnsi="Times New Roman" w:cs="Times New Roman"/>
                <w:sz w:val="24"/>
                <w:szCs w:val="24"/>
              </w:rPr>
            </w:pPr>
            <w:r w:rsidRPr="008964E8">
              <w:rPr>
                <w:rFonts w:ascii="Times New Roman" w:hAnsi="Times New Roman" w:cs="Times New Roman"/>
                <w:sz w:val="24"/>
                <w:szCs w:val="24"/>
              </w:rPr>
              <w:t>Šobrīd Labklājības ministrijas pamatbudžeta programmas 05.00.00 „Valsts sociālie pakalpojumi” apakšprogrammā 05.37.00 „Sociālās integrācijas valsts aģentūras administrēšanas un profesionālās un sociālās rehabilitācijas pakalpojumu nodrošināšana" plānoti izdevumi no maksas pakalpojumiem un citiem pašu ieņēmumiem 783 400 latu apmērā, t.sk.: atlīdzībai 364 724 latu (atalgojums 293 919 latu), precēm un pakalpojumiem 367 736 latu, sociālajiem pabalstiem 27 940 latu un pamatkapitāla veidošanai 23 000 latu.</w:t>
            </w:r>
          </w:p>
          <w:p w:rsidR="008964E8" w:rsidRPr="008964E8" w:rsidRDefault="008964E8" w:rsidP="008964E8">
            <w:pPr>
              <w:widowControl w:val="0"/>
              <w:spacing w:after="0" w:line="240" w:lineRule="auto"/>
              <w:ind w:left="22" w:firstLine="425"/>
              <w:jc w:val="both"/>
              <w:rPr>
                <w:rFonts w:ascii="Times New Roman" w:hAnsi="Times New Roman" w:cs="Times New Roman"/>
                <w:sz w:val="24"/>
                <w:szCs w:val="24"/>
              </w:rPr>
            </w:pPr>
            <w:r w:rsidRPr="008964E8">
              <w:rPr>
                <w:rFonts w:ascii="Times New Roman" w:hAnsi="Times New Roman" w:cs="Times New Roman"/>
                <w:sz w:val="24"/>
                <w:szCs w:val="24"/>
              </w:rPr>
              <w:t xml:space="preserve">2013.gadā, salīdzinājumā ar šobrīd plānotajiem ieņēmumiem no maksas pakalpojumiem un citiem pašu ieņēmumiem tiek prognozēta ieņēmumu no maksas pakalpojumiem un citu pašu ieņēmumu un tiem atbilstošu izdevumu neizpilde 65 000 latu apmērā, t.sk.: </w:t>
            </w:r>
          </w:p>
          <w:p w:rsidR="008964E8" w:rsidRPr="008964E8" w:rsidRDefault="008964E8" w:rsidP="008964E8">
            <w:pPr>
              <w:widowControl w:val="0"/>
              <w:spacing w:after="0" w:line="240" w:lineRule="auto"/>
              <w:ind w:left="22" w:firstLine="425"/>
              <w:jc w:val="both"/>
              <w:rPr>
                <w:rFonts w:ascii="Times New Roman" w:hAnsi="Times New Roman" w:cs="Times New Roman"/>
                <w:sz w:val="24"/>
                <w:szCs w:val="24"/>
              </w:rPr>
            </w:pPr>
            <w:r w:rsidRPr="008964E8">
              <w:rPr>
                <w:rFonts w:ascii="Times New Roman" w:hAnsi="Times New Roman" w:cs="Times New Roman"/>
                <w:sz w:val="24"/>
                <w:szCs w:val="24"/>
              </w:rPr>
              <w:t xml:space="preserve">1. </w:t>
            </w:r>
            <w:r w:rsidRPr="008964E8">
              <w:rPr>
                <w:rFonts w:ascii="Times New Roman" w:hAnsi="Times New Roman" w:cs="Times New Roman"/>
                <w:sz w:val="24"/>
                <w:szCs w:val="24"/>
                <w:u w:val="single"/>
              </w:rPr>
              <w:t>neizpilde:</w:t>
            </w:r>
            <w:r w:rsidRPr="008964E8">
              <w:rPr>
                <w:rFonts w:ascii="Times New Roman" w:hAnsi="Times New Roman" w:cs="Times New Roman"/>
                <w:sz w:val="24"/>
                <w:szCs w:val="24"/>
              </w:rPr>
              <w:t xml:space="preserve"> atlīdzībai 1 022 lati (atalgojumam 1 979 lati), precēm un pakalpojumiem 68 302 lati;</w:t>
            </w:r>
          </w:p>
          <w:p w:rsidR="008964E8" w:rsidRPr="008964E8" w:rsidRDefault="008964E8" w:rsidP="008964E8">
            <w:pPr>
              <w:widowControl w:val="0"/>
              <w:spacing w:after="0" w:line="240" w:lineRule="auto"/>
              <w:ind w:left="22" w:firstLine="425"/>
              <w:jc w:val="both"/>
              <w:rPr>
                <w:rFonts w:ascii="Times New Roman" w:hAnsi="Times New Roman" w:cs="Times New Roman"/>
                <w:sz w:val="24"/>
                <w:szCs w:val="24"/>
              </w:rPr>
            </w:pPr>
            <w:r w:rsidRPr="008964E8">
              <w:rPr>
                <w:rFonts w:ascii="Times New Roman" w:hAnsi="Times New Roman" w:cs="Times New Roman"/>
                <w:sz w:val="24"/>
                <w:szCs w:val="24"/>
              </w:rPr>
              <w:t>2.</w:t>
            </w:r>
            <w:r w:rsidRPr="008964E8">
              <w:rPr>
                <w:rFonts w:ascii="Times New Roman" w:hAnsi="Times New Roman" w:cs="Times New Roman"/>
                <w:sz w:val="24"/>
                <w:szCs w:val="24"/>
                <w:u w:val="single"/>
              </w:rPr>
              <w:t>pārpilde:</w:t>
            </w:r>
            <w:r w:rsidRPr="008964E8">
              <w:rPr>
                <w:rFonts w:ascii="Times New Roman" w:hAnsi="Times New Roman" w:cs="Times New Roman"/>
                <w:sz w:val="24"/>
                <w:szCs w:val="24"/>
              </w:rPr>
              <w:t xml:space="preserve"> sociālajiem pabalstiem 2 160 latu un pamatkapitāla veidošanai 2 164 lati.</w:t>
            </w:r>
          </w:p>
          <w:p w:rsidR="008964E8" w:rsidRPr="008964E8" w:rsidRDefault="008964E8" w:rsidP="008964E8">
            <w:pPr>
              <w:widowControl w:val="0"/>
              <w:spacing w:after="0" w:line="240" w:lineRule="auto"/>
              <w:ind w:left="22" w:firstLine="425"/>
              <w:jc w:val="both"/>
              <w:rPr>
                <w:rFonts w:ascii="Times New Roman" w:hAnsi="Times New Roman" w:cs="Times New Roman"/>
                <w:sz w:val="24"/>
                <w:szCs w:val="24"/>
              </w:rPr>
            </w:pPr>
            <w:r w:rsidRPr="008964E8">
              <w:rPr>
                <w:rFonts w:ascii="Times New Roman" w:hAnsi="Times New Roman" w:cs="Times New Roman"/>
                <w:sz w:val="24"/>
                <w:szCs w:val="24"/>
              </w:rPr>
              <w:t>2014.gadā un turpmākajos gados, salīdzinājumā ar šobrīd 2013.gadā plānotajiem izdevumiem, izdevumu samazinājums no maksas pakalpojumiem un citiem pašu ieņēmumiem plānots 65 000 latu apmērā, t.sk.: samazinājums atlīdzībai 14 lati (atalgojumam 12 lati), precēm un pakalpojumiem 59 933 lati, sociālajiem pabalstiem 2 940 latu un pamatkapitāla veidošanai 2 113 lati.</w:t>
            </w:r>
          </w:p>
          <w:p w:rsidR="008964E8" w:rsidRPr="008964E8" w:rsidRDefault="008964E8" w:rsidP="008964E8">
            <w:pPr>
              <w:widowControl w:val="0"/>
              <w:spacing w:after="0" w:line="240" w:lineRule="auto"/>
              <w:ind w:left="22" w:firstLine="425"/>
              <w:jc w:val="both"/>
              <w:rPr>
                <w:rFonts w:ascii="Times New Roman" w:hAnsi="Times New Roman" w:cs="Times New Roman"/>
                <w:sz w:val="24"/>
                <w:szCs w:val="24"/>
              </w:rPr>
            </w:pPr>
            <w:r w:rsidRPr="008964E8">
              <w:rPr>
                <w:rFonts w:ascii="Times New Roman" w:hAnsi="Times New Roman" w:cs="Times New Roman"/>
                <w:sz w:val="24"/>
                <w:szCs w:val="24"/>
              </w:rPr>
              <w:t xml:space="preserve">Detalizētu izdevumu aprēķinu 2013.gadam un turpmākajiem gadiem skatīt noteikumu projekta sākotnējās ietekmes novērtējuma </w:t>
            </w:r>
            <w:r w:rsidRPr="008964E8">
              <w:rPr>
                <w:rFonts w:ascii="Times New Roman" w:hAnsi="Times New Roman" w:cs="Times New Roman"/>
                <w:sz w:val="24"/>
                <w:szCs w:val="24"/>
              </w:rPr>
              <w:lastRenderedPageBreak/>
              <w:t>ziņojuma (anotācijas) 15.pielikumā „Plānotie izdevumi no ieņēmumiem no maksas pakalpojumiem un citiem pašu ieņēmumiem 2013.gadā un turpmākajos gados”.</w:t>
            </w:r>
          </w:p>
          <w:p w:rsidR="008964E8" w:rsidRPr="008964E8" w:rsidRDefault="008964E8" w:rsidP="008964E8">
            <w:pPr>
              <w:widowControl w:val="0"/>
              <w:spacing w:after="0" w:line="240" w:lineRule="auto"/>
              <w:ind w:left="22" w:firstLine="425"/>
              <w:jc w:val="both"/>
              <w:rPr>
                <w:rFonts w:ascii="Times New Roman" w:eastAsia="Times New Roman" w:hAnsi="Times New Roman" w:cs="Times New Roman"/>
                <w:color w:val="FF0000"/>
                <w:sz w:val="24"/>
                <w:szCs w:val="24"/>
                <w:lang w:eastAsia="lv-LV"/>
              </w:rPr>
            </w:pPr>
            <w:r w:rsidRPr="008964E8">
              <w:rPr>
                <w:rFonts w:ascii="Times New Roman" w:hAnsi="Times New Roman" w:cs="Times New Roman"/>
                <w:sz w:val="24"/>
                <w:szCs w:val="24"/>
              </w:rPr>
              <w:t>Detalizētu informācija par maksas pakalpojumu izcenojumiem 2013.gadam un turpmākajiem gadiem skatīt noteikumu projekta sākotnējās ietekmes novērtējuma ziņojuma (anotācijas) 1.-10.pielikumā „Maksas pakalpojumu izcenojuma aprēķins”.</w:t>
            </w:r>
          </w:p>
        </w:tc>
      </w:tr>
      <w:tr w:rsidR="008964E8" w:rsidRPr="008964E8" w:rsidTr="00A2740C">
        <w:tblPrEx>
          <w:jc w:val="center"/>
        </w:tblPrEx>
        <w:trPr>
          <w:gridBefore w:val="1"/>
          <w:wBefore w:w="276" w:type="dxa"/>
          <w:trHeight w:val="5516"/>
          <w:jc w:val="center"/>
        </w:trPr>
        <w:tc>
          <w:tcPr>
            <w:tcW w:w="2587" w:type="dxa"/>
            <w:gridSpan w:val="5"/>
          </w:tcPr>
          <w:p w:rsidR="008964E8" w:rsidRPr="008964E8" w:rsidRDefault="008964E8" w:rsidP="008964E8">
            <w:pPr>
              <w:spacing w:after="0" w:line="240" w:lineRule="auto"/>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lastRenderedPageBreak/>
              <w:t>7. Cita informācija</w:t>
            </w:r>
          </w:p>
        </w:tc>
        <w:tc>
          <w:tcPr>
            <w:tcW w:w="7061" w:type="dxa"/>
            <w:gridSpan w:val="6"/>
            <w:shd w:val="clear" w:color="auto" w:fill="auto"/>
          </w:tcPr>
          <w:p w:rsidR="008964E8" w:rsidRPr="008964E8" w:rsidRDefault="008964E8" w:rsidP="008964E8">
            <w:pPr>
              <w:tabs>
                <w:tab w:val="left" w:pos="4644"/>
              </w:tabs>
              <w:spacing w:after="0" w:line="240" w:lineRule="auto"/>
              <w:ind w:firstLine="448"/>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Ieņēmumi no Aģentūras maksas pakalpojumiem tiks ieskaitīti budžeta programmas 05.00.00. „Valsts sociālie pakalpojumi” ietvaros tiek īstenota apakšprogramma 05.37.00 „Sociālās integrācijas valsts aģentūras administrēšana un profesionālās un sociālās rehabilitācijas pakalpojumu nodrošināšana” un tiks izlietoti izdevumu, kas saistīti ar maksas pakalpojumu sniegšanu, segšanai.</w:t>
            </w:r>
          </w:p>
          <w:p w:rsidR="008964E8" w:rsidRPr="008964E8" w:rsidRDefault="008964E8" w:rsidP="008964E8">
            <w:pPr>
              <w:tabs>
                <w:tab w:val="left" w:pos="4644"/>
              </w:tabs>
              <w:spacing w:after="0" w:line="240" w:lineRule="auto"/>
              <w:ind w:firstLine="448"/>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 xml:space="preserve">Savukārt noteikumu projekta 2.pielikumam finansiālā ietekme uz valsts budžeta ieņēmumiem un izdevumiem atbilstoši </w:t>
            </w:r>
            <w:proofErr w:type="spellStart"/>
            <w:r w:rsidRPr="008964E8">
              <w:rPr>
                <w:rFonts w:ascii="Times New Roman" w:eastAsia="Times New Roman" w:hAnsi="Times New Roman" w:cs="Times New Roman"/>
                <w:i/>
                <w:sz w:val="24"/>
                <w:szCs w:val="24"/>
                <w:lang w:eastAsia="lv-LV"/>
              </w:rPr>
              <w:t>Euro</w:t>
            </w:r>
            <w:proofErr w:type="spellEnd"/>
            <w:r w:rsidRPr="008964E8">
              <w:rPr>
                <w:rFonts w:ascii="Times New Roman" w:eastAsia="Times New Roman" w:hAnsi="Times New Roman" w:cs="Times New Roman"/>
                <w:sz w:val="24"/>
                <w:szCs w:val="24"/>
                <w:lang w:eastAsia="lv-LV"/>
              </w:rPr>
              <w:t xml:space="preserve"> ieviešanas kārtības likuma 6.pantā norādītajiem principiem netiek plānota.</w:t>
            </w:r>
          </w:p>
          <w:p w:rsidR="008964E8" w:rsidRPr="008964E8" w:rsidRDefault="008964E8" w:rsidP="008964E8">
            <w:pPr>
              <w:spacing w:after="0" w:line="240" w:lineRule="auto"/>
              <w:ind w:firstLine="448"/>
              <w:jc w:val="both"/>
              <w:rPr>
                <w:rFonts w:ascii="Times New Roman" w:hAnsi="Times New Roman" w:cs="Times New Roman"/>
                <w:color w:val="0070C0"/>
                <w:sz w:val="24"/>
                <w:szCs w:val="24"/>
              </w:rPr>
            </w:pPr>
            <w:r w:rsidRPr="008964E8">
              <w:rPr>
                <w:rFonts w:ascii="Times New Roman" w:hAnsi="Times New Roman" w:cs="Times New Roman"/>
                <w:sz w:val="24"/>
                <w:szCs w:val="24"/>
              </w:rPr>
              <w:t>Plānoto ieņēmumu no maksas pakalpojumiem un citu pašu ieņēmumu un tiem atbilstošu izdevumu neizpilde 2013.gadā tiek prognozēta 65 000 latu apmērā. Ja 2013.gadā tiks ierosināti grozījumi likumā „Par valsts budžetu 2013.gadam” ministrija sniegs priekšlikumus ieņēmumu no maksas pakalpojumiem un citu pašu ieņēmumu un tiem atbilstošu izdevumu samazināšanai. Par ieņēmumu no maksas pakalpojumiem un citu pašu ieņēmumu un tiem atbilstošu izdevumu samazināšanu 2014.gadam un turpmākajiem gadiem ministrija sniegs priekšlikumus MK likumprojekta „Par valsts budžetu 2014.gadam” un likumprojekta „Par vidēja termiņa budžeta ietvaru 2014.-2016.gadam” sagatavošanas un izskatīšanas procesā.</w:t>
            </w:r>
          </w:p>
        </w:tc>
      </w:tr>
      <w:tr w:rsidR="008964E8" w:rsidRPr="008964E8" w:rsidTr="00A2740C">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gridAfter w:val="1"/>
          <w:wAfter w:w="272" w:type="dxa"/>
          <w:trHeight w:val="666"/>
        </w:trPr>
        <w:tc>
          <w:tcPr>
            <w:tcW w:w="9652" w:type="dxa"/>
            <w:gridSpan w:val="11"/>
            <w:tcBorders>
              <w:top w:val="single" w:sz="6" w:space="0" w:color="414142"/>
              <w:left w:val="single" w:sz="6" w:space="0" w:color="414142"/>
              <w:bottom w:val="outset" w:sz="6" w:space="0" w:color="414142"/>
              <w:right w:val="single" w:sz="6" w:space="0" w:color="414142"/>
            </w:tcBorders>
            <w:shd w:val="clear" w:color="auto" w:fill="FFFFFF"/>
            <w:vAlign w:val="center"/>
            <w:hideMark/>
          </w:tcPr>
          <w:p w:rsidR="008964E8" w:rsidRPr="008964E8" w:rsidRDefault="008964E8" w:rsidP="008964E8">
            <w:pPr>
              <w:spacing w:after="0" w:line="240" w:lineRule="auto"/>
              <w:jc w:val="center"/>
              <w:rPr>
                <w:rFonts w:ascii="Times New Roman" w:eastAsia="Times New Roman" w:hAnsi="Times New Roman" w:cs="Times New Roman"/>
                <w:b/>
                <w:sz w:val="24"/>
                <w:szCs w:val="24"/>
                <w:lang w:eastAsia="lv-LV"/>
              </w:rPr>
            </w:pPr>
            <w:r w:rsidRPr="008964E8">
              <w:rPr>
                <w:rFonts w:ascii="Times New Roman" w:eastAsia="Times New Roman" w:hAnsi="Times New Roman" w:cs="Times New Roman"/>
                <w:b/>
                <w:sz w:val="24"/>
                <w:szCs w:val="24"/>
                <w:lang w:eastAsia="lv-LV"/>
              </w:rPr>
              <w:t>IV. Tiesību akta projekta ietekme uz spēkā esošo tiesību normu sistēmu</w:t>
            </w:r>
          </w:p>
        </w:tc>
      </w:tr>
      <w:tr w:rsidR="008964E8" w:rsidRPr="008964E8" w:rsidTr="00A2740C">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gridAfter w:val="1"/>
          <w:wAfter w:w="272" w:type="dxa"/>
        </w:trPr>
        <w:tc>
          <w:tcPr>
            <w:tcW w:w="2599" w:type="dxa"/>
            <w:gridSpan w:val="4"/>
            <w:tcBorders>
              <w:top w:val="outset" w:sz="6" w:space="0" w:color="414142"/>
              <w:left w:val="outset" w:sz="6" w:space="0" w:color="414142"/>
              <w:bottom w:val="outset" w:sz="6" w:space="0" w:color="414142"/>
              <w:right w:val="outset" w:sz="6" w:space="0" w:color="414142"/>
            </w:tcBorders>
            <w:shd w:val="clear" w:color="auto" w:fill="FFFFFF"/>
            <w:hideMark/>
          </w:tcPr>
          <w:p w:rsidR="008964E8" w:rsidRPr="008964E8" w:rsidRDefault="008964E8" w:rsidP="008964E8">
            <w:pPr>
              <w:spacing w:after="0" w:line="240" w:lineRule="auto"/>
              <w:ind w:left="112"/>
              <w:contextualSpacing/>
              <w:jc w:val="both"/>
              <w:rPr>
                <w:rFonts w:ascii="Times New Roman" w:eastAsia="Times New Roman" w:hAnsi="Times New Roman" w:cs="Times New Roman"/>
                <w:sz w:val="24"/>
                <w:szCs w:val="24"/>
                <w:lang w:eastAsia="lv-LV"/>
              </w:rPr>
            </w:pPr>
            <w:proofErr w:type="gramStart"/>
            <w:r w:rsidRPr="008964E8">
              <w:rPr>
                <w:rFonts w:ascii="Times New Roman" w:eastAsia="Times New Roman" w:hAnsi="Times New Roman" w:cs="Times New Roman"/>
                <w:sz w:val="24"/>
                <w:szCs w:val="24"/>
                <w:lang w:eastAsia="lv-LV"/>
              </w:rPr>
              <w:t>1.Nepieciešamie saistītie tiesību aktu projekti</w:t>
            </w:r>
            <w:proofErr w:type="gramEnd"/>
          </w:p>
        </w:tc>
        <w:tc>
          <w:tcPr>
            <w:tcW w:w="7053"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rsidR="008964E8" w:rsidRPr="008964E8" w:rsidRDefault="008964E8" w:rsidP="008964E8">
            <w:pPr>
              <w:spacing w:after="0" w:line="240" w:lineRule="auto"/>
              <w:ind w:firstLine="27"/>
              <w:jc w:val="both"/>
              <w:rPr>
                <w:rFonts w:ascii="Times New Roman" w:hAnsi="Times New Roman" w:cs="Times New Roman"/>
                <w:sz w:val="24"/>
                <w:szCs w:val="24"/>
              </w:rPr>
            </w:pPr>
            <w:r w:rsidRPr="008964E8">
              <w:rPr>
                <w:rFonts w:ascii="Times New Roman" w:hAnsi="Times New Roman" w:cs="Times New Roman"/>
                <w:sz w:val="24"/>
                <w:szCs w:val="24"/>
              </w:rPr>
              <w:t>Stājoties spēkā noteikumu projektam, spēku zaudē MK noteikumi Nr.355.</w:t>
            </w:r>
          </w:p>
        </w:tc>
      </w:tr>
      <w:tr w:rsidR="008964E8" w:rsidRPr="008964E8" w:rsidTr="00A2740C">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gridAfter w:val="1"/>
          <w:wAfter w:w="272" w:type="dxa"/>
        </w:trPr>
        <w:tc>
          <w:tcPr>
            <w:tcW w:w="2599" w:type="dxa"/>
            <w:gridSpan w:val="4"/>
            <w:tcBorders>
              <w:top w:val="outset" w:sz="6" w:space="0" w:color="414142"/>
              <w:left w:val="outset" w:sz="6" w:space="0" w:color="414142"/>
              <w:bottom w:val="outset" w:sz="6" w:space="0" w:color="414142"/>
              <w:right w:val="outset" w:sz="6" w:space="0" w:color="414142"/>
            </w:tcBorders>
            <w:shd w:val="clear" w:color="auto" w:fill="FFFFFF"/>
            <w:hideMark/>
          </w:tcPr>
          <w:p w:rsidR="008964E8" w:rsidRPr="008964E8" w:rsidRDefault="008964E8" w:rsidP="008964E8">
            <w:pPr>
              <w:spacing w:after="0" w:line="240" w:lineRule="auto"/>
              <w:ind w:left="720" w:hanging="608"/>
              <w:contextualSpacing/>
              <w:jc w:val="both"/>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2.Cita informācija</w:t>
            </w:r>
          </w:p>
        </w:tc>
        <w:tc>
          <w:tcPr>
            <w:tcW w:w="7053"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rsidR="008964E8" w:rsidRPr="008964E8" w:rsidRDefault="008964E8" w:rsidP="008964E8">
            <w:pPr>
              <w:spacing w:after="0" w:line="240" w:lineRule="auto"/>
              <w:ind w:firstLine="18"/>
              <w:jc w:val="both"/>
              <w:rPr>
                <w:rFonts w:ascii="Arial" w:eastAsia="Times New Roman" w:hAnsi="Arial" w:cs="Arial"/>
                <w:color w:val="414142"/>
                <w:sz w:val="24"/>
                <w:szCs w:val="24"/>
                <w:lang w:eastAsia="lv-LV"/>
              </w:rPr>
            </w:pPr>
            <w:r w:rsidRPr="008964E8">
              <w:rPr>
                <w:rFonts w:ascii="Times New Roman" w:hAnsi="Times New Roman" w:cs="Times New Roman"/>
                <w:sz w:val="24"/>
                <w:szCs w:val="24"/>
              </w:rPr>
              <w:t>Nav</w:t>
            </w:r>
          </w:p>
        </w:tc>
      </w:tr>
    </w:tbl>
    <w:p w:rsidR="008964E8" w:rsidRPr="008964E8" w:rsidRDefault="008964E8" w:rsidP="008964E8">
      <w:pPr>
        <w:spacing w:after="0" w:line="240" w:lineRule="auto"/>
        <w:ind w:firstLine="900"/>
        <w:jc w:val="center"/>
        <w:rPr>
          <w:rFonts w:ascii="Times New Roman" w:eastAsia="Times New Roman" w:hAnsi="Times New Roman" w:cs="Times New Roman"/>
          <w:i/>
          <w:sz w:val="20"/>
          <w:szCs w:val="20"/>
          <w:lang w:eastAsia="lv-LV"/>
        </w:rPr>
      </w:pPr>
    </w:p>
    <w:p w:rsidR="008964E8" w:rsidRPr="008964E8" w:rsidRDefault="008964E8" w:rsidP="008964E8">
      <w:pPr>
        <w:spacing w:after="0" w:line="240" w:lineRule="auto"/>
        <w:ind w:firstLine="900"/>
        <w:jc w:val="center"/>
        <w:rPr>
          <w:rFonts w:ascii="Times New Roman" w:eastAsia="Times New Roman" w:hAnsi="Times New Roman" w:cs="Times New Roman"/>
          <w:i/>
          <w:sz w:val="24"/>
          <w:szCs w:val="24"/>
          <w:lang w:eastAsia="lv-LV"/>
        </w:rPr>
      </w:pPr>
      <w:r w:rsidRPr="008964E8">
        <w:rPr>
          <w:rFonts w:ascii="Times New Roman" w:eastAsia="Times New Roman" w:hAnsi="Times New Roman" w:cs="Times New Roman"/>
          <w:i/>
          <w:sz w:val="24"/>
          <w:szCs w:val="24"/>
          <w:lang w:eastAsia="lv-LV"/>
        </w:rPr>
        <w:t>Anotācijas V - VI sadaļa – projekts šīs jomas neskar.</w:t>
      </w:r>
    </w:p>
    <w:p w:rsidR="008964E8" w:rsidRPr="008964E8" w:rsidRDefault="008964E8" w:rsidP="008964E8">
      <w:pPr>
        <w:shd w:val="clear" w:color="auto" w:fill="FFFFFF" w:themeFill="background1"/>
        <w:spacing w:after="0" w:line="240" w:lineRule="auto"/>
        <w:ind w:firstLine="900"/>
        <w:jc w:val="center"/>
        <w:rPr>
          <w:rFonts w:ascii="Times New Roman" w:eastAsia="Times New Roman" w:hAnsi="Times New Roman" w:cs="Times New Roman"/>
          <w:sz w:val="24"/>
          <w:szCs w:val="24"/>
          <w:lang w:eastAsia="lv-LV"/>
        </w:rPr>
      </w:pPr>
    </w:p>
    <w:tbl>
      <w:tblPr>
        <w:tblpPr w:leftFromText="180" w:rightFromText="180" w:vertAnchor="text" w:horzAnchor="margin" w:tblpX="-150" w:tblpY="-96"/>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520"/>
        <w:gridCol w:w="3601"/>
        <w:gridCol w:w="5528"/>
      </w:tblGrid>
      <w:tr w:rsidR="008964E8" w:rsidRPr="008964E8" w:rsidTr="00DD1149">
        <w:trPr>
          <w:trHeight w:val="685"/>
          <w:tblCellSpacing w:w="0" w:type="dxa"/>
        </w:trPr>
        <w:tc>
          <w:tcPr>
            <w:tcW w:w="9649" w:type="dxa"/>
            <w:gridSpan w:val="3"/>
            <w:shd w:val="clear" w:color="auto" w:fill="FFFFFF" w:themeFill="background1"/>
            <w:vAlign w:val="center"/>
          </w:tcPr>
          <w:p w:rsidR="008964E8" w:rsidRPr="008964E8" w:rsidRDefault="008964E8" w:rsidP="008964E8">
            <w:pPr>
              <w:shd w:val="clear" w:color="auto" w:fill="FFFFFF" w:themeFill="background1"/>
              <w:spacing w:before="150" w:after="150" w:line="240" w:lineRule="auto"/>
              <w:ind w:left="180" w:hanging="180"/>
              <w:jc w:val="center"/>
              <w:rPr>
                <w:rFonts w:ascii="Times New Roman" w:eastAsia="Times New Roman" w:hAnsi="Times New Roman" w:cs="Times New Roman"/>
                <w:b/>
                <w:bCs/>
                <w:iCs/>
                <w:sz w:val="24"/>
                <w:szCs w:val="24"/>
                <w:lang w:eastAsia="lv-LV"/>
              </w:rPr>
            </w:pPr>
            <w:r w:rsidRPr="008964E8">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8964E8" w:rsidRPr="008964E8" w:rsidTr="00AD07C9">
        <w:trPr>
          <w:trHeight w:val="471"/>
          <w:tblCellSpacing w:w="0" w:type="dxa"/>
        </w:trPr>
        <w:tc>
          <w:tcPr>
            <w:tcW w:w="520" w:type="dxa"/>
            <w:shd w:val="clear" w:color="auto" w:fill="FFFFFF" w:themeFill="background1"/>
            <w:vAlign w:val="center"/>
          </w:tcPr>
          <w:p w:rsidR="008964E8" w:rsidRPr="008964E8" w:rsidRDefault="008964E8" w:rsidP="008964E8">
            <w:pPr>
              <w:shd w:val="clear" w:color="auto" w:fill="FFFFFF" w:themeFill="background1"/>
              <w:spacing w:after="0" w:line="240" w:lineRule="auto"/>
              <w:ind w:left="180" w:hanging="180"/>
              <w:jc w:val="center"/>
              <w:rPr>
                <w:rFonts w:ascii="Times New Roman" w:eastAsia="Times New Roman" w:hAnsi="Times New Roman" w:cs="Times New Roman"/>
                <w:bCs/>
                <w:lang w:eastAsia="lv-LV"/>
              </w:rPr>
            </w:pPr>
            <w:r w:rsidRPr="008964E8">
              <w:rPr>
                <w:rFonts w:ascii="Times New Roman" w:eastAsia="Times New Roman" w:hAnsi="Times New Roman" w:cs="Times New Roman"/>
                <w:bCs/>
                <w:lang w:eastAsia="lv-LV"/>
              </w:rPr>
              <w:t>1.</w:t>
            </w:r>
          </w:p>
        </w:tc>
        <w:tc>
          <w:tcPr>
            <w:tcW w:w="3601" w:type="dxa"/>
            <w:shd w:val="clear" w:color="auto" w:fill="FFFFFF" w:themeFill="background1"/>
            <w:vAlign w:val="center"/>
          </w:tcPr>
          <w:p w:rsidR="008964E8" w:rsidRPr="008964E8" w:rsidRDefault="008964E8" w:rsidP="008964E8">
            <w:pPr>
              <w:shd w:val="clear" w:color="auto" w:fill="FFFFFF" w:themeFill="background1"/>
              <w:spacing w:after="0" w:line="240" w:lineRule="auto"/>
              <w:ind w:left="170"/>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 xml:space="preserve">Projekta izpildē iesaistītās institūcijas </w:t>
            </w:r>
          </w:p>
        </w:tc>
        <w:tc>
          <w:tcPr>
            <w:tcW w:w="5528" w:type="dxa"/>
            <w:shd w:val="clear" w:color="auto" w:fill="FFFFFF" w:themeFill="background1"/>
            <w:vAlign w:val="center"/>
          </w:tcPr>
          <w:p w:rsidR="008964E8" w:rsidRPr="008964E8" w:rsidRDefault="008964E8" w:rsidP="008964E8">
            <w:pPr>
              <w:shd w:val="clear" w:color="auto" w:fill="FFFFFF" w:themeFill="background1"/>
              <w:spacing w:after="0" w:line="240" w:lineRule="auto"/>
              <w:ind w:left="170" w:right="180" w:hanging="29"/>
              <w:jc w:val="both"/>
              <w:rPr>
                <w:rFonts w:ascii="Times New Roman" w:eastAsia="Times New Roman" w:hAnsi="Times New Roman" w:cs="Times New Roman"/>
                <w:bCs/>
                <w:sz w:val="24"/>
                <w:szCs w:val="24"/>
                <w:lang w:eastAsia="lv-LV"/>
              </w:rPr>
            </w:pPr>
            <w:r w:rsidRPr="008964E8">
              <w:rPr>
                <w:rFonts w:ascii="Times New Roman" w:eastAsia="Times New Roman" w:hAnsi="Times New Roman" w:cs="Times New Roman"/>
                <w:bCs/>
                <w:iCs/>
                <w:sz w:val="24"/>
                <w:szCs w:val="24"/>
                <w:lang w:eastAsia="lv-LV"/>
              </w:rPr>
              <w:t>Aģentūra</w:t>
            </w:r>
          </w:p>
        </w:tc>
      </w:tr>
      <w:tr w:rsidR="008964E8" w:rsidRPr="008964E8" w:rsidTr="00AD07C9">
        <w:trPr>
          <w:trHeight w:val="653"/>
          <w:tblCellSpacing w:w="0" w:type="dxa"/>
        </w:trPr>
        <w:tc>
          <w:tcPr>
            <w:tcW w:w="520" w:type="dxa"/>
            <w:shd w:val="clear" w:color="auto" w:fill="FFFFFF" w:themeFill="background1"/>
          </w:tcPr>
          <w:p w:rsidR="008964E8" w:rsidRPr="008964E8" w:rsidRDefault="008964E8" w:rsidP="008964E8">
            <w:pPr>
              <w:shd w:val="clear" w:color="auto" w:fill="FFFFFF" w:themeFill="background1"/>
              <w:spacing w:before="150" w:after="150" w:line="240" w:lineRule="auto"/>
              <w:jc w:val="center"/>
              <w:rPr>
                <w:rFonts w:ascii="Times New Roman" w:eastAsia="Times New Roman" w:hAnsi="Times New Roman" w:cs="Times New Roman"/>
                <w:bCs/>
                <w:lang w:eastAsia="lv-LV"/>
              </w:rPr>
            </w:pPr>
            <w:r w:rsidRPr="008964E8">
              <w:rPr>
                <w:rFonts w:ascii="Times New Roman" w:eastAsia="Times New Roman" w:hAnsi="Times New Roman" w:cs="Times New Roman"/>
                <w:bCs/>
                <w:lang w:eastAsia="lv-LV"/>
              </w:rPr>
              <w:t>2.</w:t>
            </w:r>
          </w:p>
        </w:tc>
        <w:tc>
          <w:tcPr>
            <w:tcW w:w="3601" w:type="dxa"/>
            <w:shd w:val="clear" w:color="auto" w:fill="FFFFFF" w:themeFill="background1"/>
          </w:tcPr>
          <w:p w:rsidR="008964E8" w:rsidRPr="008964E8" w:rsidRDefault="008964E8" w:rsidP="008964E8">
            <w:pPr>
              <w:shd w:val="clear" w:color="auto" w:fill="FFFFFF" w:themeFill="background1"/>
              <w:spacing w:before="75" w:after="75" w:line="240" w:lineRule="auto"/>
              <w:ind w:left="170"/>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 xml:space="preserve">Projekta izpildes ietekme uz pārvaldes funkcijām </w:t>
            </w:r>
          </w:p>
        </w:tc>
        <w:tc>
          <w:tcPr>
            <w:tcW w:w="5528" w:type="dxa"/>
            <w:shd w:val="clear" w:color="auto" w:fill="FFFFFF" w:themeFill="background1"/>
            <w:vAlign w:val="center"/>
          </w:tcPr>
          <w:p w:rsidR="008964E8" w:rsidRPr="008964E8" w:rsidRDefault="008964E8" w:rsidP="008964E8">
            <w:pPr>
              <w:shd w:val="clear" w:color="auto" w:fill="FFFFFF" w:themeFill="background1"/>
              <w:spacing w:after="0" w:line="240" w:lineRule="auto"/>
              <w:ind w:firstLine="141"/>
              <w:rPr>
                <w:rFonts w:ascii="Times New Roman" w:eastAsia="Times New Roman" w:hAnsi="Times New Roman" w:cs="Times New Roman"/>
                <w:bCs/>
                <w:sz w:val="24"/>
                <w:szCs w:val="24"/>
                <w:lang w:eastAsia="lv-LV"/>
              </w:rPr>
            </w:pPr>
            <w:r w:rsidRPr="008964E8">
              <w:rPr>
                <w:rFonts w:ascii="Times New Roman" w:eastAsia="Times New Roman" w:hAnsi="Times New Roman" w:cs="Times New Roman"/>
                <w:bCs/>
                <w:iCs/>
                <w:sz w:val="24"/>
                <w:szCs w:val="24"/>
                <w:lang w:eastAsia="lv-LV"/>
              </w:rPr>
              <w:t>Noteikumu projekts šo jomu neskar.</w:t>
            </w:r>
          </w:p>
        </w:tc>
      </w:tr>
      <w:tr w:rsidR="008964E8" w:rsidRPr="008964E8" w:rsidTr="00AD07C9">
        <w:trPr>
          <w:trHeight w:val="725"/>
          <w:tblCellSpacing w:w="0" w:type="dxa"/>
        </w:trPr>
        <w:tc>
          <w:tcPr>
            <w:tcW w:w="520" w:type="dxa"/>
            <w:shd w:val="clear" w:color="auto" w:fill="FFFFFF" w:themeFill="background1"/>
            <w:vAlign w:val="center"/>
          </w:tcPr>
          <w:p w:rsidR="008964E8" w:rsidRPr="008964E8" w:rsidRDefault="008964E8" w:rsidP="008964E8">
            <w:pPr>
              <w:shd w:val="clear" w:color="auto" w:fill="FFFFFF" w:themeFill="background1"/>
              <w:spacing w:after="0" w:line="240" w:lineRule="auto"/>
              <w:jc w:val="center"/>
              <w:rPr>
                <w:rFonts w:ascii="Times New Roman" w:eastAsia="Times New Roman" w:hAnsi="Times New Roman" w:cs="Times New Roman"/>
                <w:bCs/>
                <w:lang w:eastAsia="lv-LV"/>
              </w:rPr>
            </w:pPr>
            <w:r w:rsidRPr="008964E8">
              <w:rPr>
                <w:rFonts w:ascii="Times New Roman" w:eastAsia="Times New Roman" w:hAnsi="Times New Roman" w:cs="Times New Roman"/>
                <w:bCs/>
                <w:lang w:eastAsia="lv-LV"/>
              </w:rPr>
              <w:t>3.</w:t>
            </w:r>
          </w:p>
        </w:tc>
        <w:tc>
          <w:tcPr>
            <w:tcW w:w="3601" w:type="dxa"/>
            <w:shd w:val="clear" w:color="auto" w:fill="FFFFFF" w:themeFill="background1"/>
            <w:vAlign w:val="center"/>
          </w:tcPr>
          <w:p w:rsidR="008964E8" w:rsidRPr="008964E8" w:rsidRDefault="008964E8" w:rsidP="008964E8">
            <w:pPr>
              <w:shd w:val="clear" w:color="auto" w:fill="FFFFFF" w:themeFill="background1"/>
              <w:spacing w:after="0" w:line="240" w:lineRule="auto"/>
              <w:ind w:left="170"/>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Projekta izpildes ietekme uz pārvaldes institucionālo struktūru. Jaunu institūciju izveide.</w:t>
            </w:r>
          </w:p>
        </w:tc>
        <w:tc>
          <w:tcPr>
            <w:tcW w:w="5528" w:type="dxa"/>
            <w:shd w:val="clear" w:color="auto" w:fill="FFFFFF" w:themeFill="background1"/>
          </w:tcPr>
          <w:p w:rsidR="008964E8" w:rsidRPr="008964E8" w:rsidRDefault="008964E8" w:rsidP="008964E8">
            <w:pPr>
              <w:shd w:val="clear" w:color="auto" w:fill="FFFFFF" w:themeFill="background1"/>
              <w:spacing w:after="0" w:line="240" w:lineRule="auto"/>
              <w:ind w:firstLine="141"/>
              <w:rPr>
                <w:rFonts w:ascii="Times New Roman" w:eastAsia="Times New Roman" w:hAnsi="Times New Roman" w:cs="Times New Roman"/>
                <w:bCs/>
                <w:sz w:val="24"/>
                <w:szCs w:val="24"/>
                <w:lang w:eastAsia="lv-LV"/>
              </w:rPr>
            </w:pPr>
            <w:r w:rsidRPr="008964E8">
              <w:rPr>
                <w:rFonts w:ascii="Times New Roman" w:eastAsia="Times New Roman" w:hAnsi="Times New Roman" w:cs="Times New Roman"/>
                <w:bCs/>
                <w:iCs/>
                <w:sz w:val="24"/>
                <w:szCs w:val="24"/>
                <w:lang w:eastAsia="lv-LV"/>
              </w:rPr>
              <w:t>Noteikumu projekts šo jomu neskar.</w:t>
            </w:r>
          </w:p>
        </w:tc>
      </w:tr>
      <w:tr w:rsidR="008964E8" w:rsidRPr="008964E8" w:rsidTr="00AD07C9">
        <w:trPr>
          <w:trHeight w:val="761"/>
          <w:tblCellSpacing w:w="0" w:type="dxa"/>
        </w:trPr>
        <w:tc>
          <w:tcPr>
            <w:tcW w:w="520" w:type="dxa"/>
            <w:shd w:val="clear" w:color="auto" w:fill="FFFFFF" w:themeFill="background1"/>
            <w:vAlign w:val="center"/>
          </w:tcPr>
          <w:p w:rsidR="008964E8" w:rsidRPr="008964E8" w:rsidRDefault="008964E8" w:rsidP="008964E8">
            <w:pPr>
              <w:shd w:val="clear" w:color="auto" w:fill="FFFFFF" w:themeFill="background1"/>
              <w:spacing w:after="0" w:line="240" w:lineRule="auto"/>
              <w:jc w:val="center"/>
              <w:rPr>
                <w:rFonts w:ascii="Times New Roman" w:eastAsia="Times New Roman" w:hAnsi="Times New Roman" w:cs="Times New Roman"/>
                <w:bCs/>
                <w:lang w:eastAsia="lv-LV"/>
              </w:rPr>
            </w:pPr>
            <w:r w:rsidRPr="008964E8">
              <w:rPr>
                <w:rFonts w:ascii="Times New Roman" w:eastAsia="Times New Roman" w:hAnsi="Times New Roman" w:cs="Times New Roman"/>
                <w:bCs/>
                <w:lang w:eastAsia="lv-LV"/>
              </w:rPr>
              <w:t>4.</w:t>
            </w:r>
          </w:p>
        </w:tc>
        <w:tc>
          <w:tcPr>
            <w:tcW w:w="3601" w:type="dxa"/>
            <w:shd w:val="clear" w:color="auto" w:fill="FFFFFF" w:themeFill="background1"/>
          </w:tcPr>
          <w:p w:rsidR="008964E8" w:rsidRPr="008964E8" w:rsidRDefault="008964E8" w:rsidP="008964E8">
            <w:pPr>
              <w:shd w:val="clear" w:color="auto" w:fill="FFFFFF" w:themeFill="background1"/>
              <w:spacing w:after="0" w:line="240" w:lineRule="auto"/>
              <w:ind w:left="170"/>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Projekta izpildes ietekme uz pārvaldes institucionālo struktūru. Esošu institūciju likvidācija.</w:t>
            </w:r>
          </w:p>
        </w:tc>
        <w:tc>
          <w:tcPr>
            <w:tcW w:w="5528" w:type="dxa"/>
            <w:shd w:val="clear" w:color="auto" w:fill="FFFFFF" w:themeFill="background1"/>
          </w:tcPr>
          <w:p w:rsidR="008964E8" w:rsidRPr="008964E8" w:rsidRDefault="008964E8" w:rsidP="008964E8">
            <w:pPr>
              <w:shd w:val="clear" w:color="auto" w:fill="FFFFFF" w:themeFill="background1"/>
              <w:spacing w:after="0" w:line="240" w:lineRule="auto"/>
              <w:ind w:firstLine="141"/>
              <w:rPr>
                <w:rFonts w:ascii="Times New Roman" w:eastAsia="Times New Roman" w:hAnsi="Times New Roman" w:cs="Times New Roman"/>
                <w:b/>
                <w:sz w:val="24"/>
                <w:szCs w:val="24"/>
                <w:lang w:eastAsia="lv-LV"/>
              </w:rPr>
            </w:pPr>
            <w:r w:rsidRPr="008964E8">
              <w:rPr>
                <w:rFonts w:ascii="Times New Roman" w:eastAsia="Times New Roman" w:hAnsi="Times New Roman" w:cs="Times New Roman"/>
                <w:sz w:val="24"/>
                <w:szCs w:val="24"/>
                <w:lang w:eastAsia="lv-LV"/>
              </w:rPr>
              <w:t>Noteikumu projekts šo jomu neskar.</w:t>
            </w:r>
          </w:p>
        </w:tc>
      </w:tr>
      <w:tr w:rsidR="008964E8" w:rsidRPr="008964E8" w:rsidTr="00AD07C9">
        <w:trPr>
          <w:trHeight w:val="697"/>
          <w:tblCellSpacing w:w="0" w:type="dxa"/>
        </w:trPr>
        <w:tc>
          <w:tcPr>
            <w:tcW w:w="520" w:type="dxa"/>
            <w:shd w:val="clear" w:color="auto" w:fill="FFFFFF" w:themeFill="background1"/>
            <w:vAlign w:val="center"/>
          </w:tcPr>
          <w:p w:rsidR="008964E8" w:rsidRPr="008964E8" w:rsidRDefault="008964E8" w:rsidP="008964E8">
            <w:pPr>
              <w:shd w:val="clear" w:color="auto" w:fill="FFFFFF" w:themeFill="background1"/>
              <w:spacing w:after="0" w:line="240" w:lineRule="auto"/>
              <w:jc w:val="center"/>
              <w:rPr>
                <w:rFonts w:ascii="Times New Roman" w:eastAsia="Times New Roman" w:hAnsi="Times New Roman" w:cs="Times New Roman"/>
                <w:bCs/>
                <w:lang w:eastAsia="lv-LV"/>
              </w:rPr>
            </w:pPr>
            <w:r w:rsidRPr="008964E8">
              <w:rPr>
                <w:rFonts w:ascii="Times New Roman" w:eastAsia="Times New Roman" w:hAnsi="Times New Roman" w:cs="Times New Roman"/>
                <w:bCs/>
                <w:lang w:eastAsia="lv-LV"/>
              </w:rPr>
              <w:t>5.</w:t>
            </w:r>
          </w:p>
        </w:tc>
        <w:tc>
          <w:tcPr>
            <w:tcW w:w="3601" w:type="dxa"/>
            <w:shd w:val="clear" w:color="auto" w:fill="FFFFFF" w:themeFill="background1"/>
          </w:tcPr>
          <w:p w:rsidR="008964E8" w:rsidRPr="008964E8" w:rsidRDefault="008964E8" w:rsidP="008964E8">
            <w:pPr>
              <w:shd w:val="clear" w:color="auto" w:fill="FFFFFF" w:themeFill="background1"/>
              <w:spacing w:after="0" w:line="240" w:lineRule="auto"/>
              <w:ind w:left="170"/>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Projekta izpildes ietekme uz pārvaldes institucionālo struktūru. Esošu institūciju reorganizācija.</w:t>
            </w:r>
          </w:p>
        </w:tc>
        <w:tc>
          <w:tcPr>
            <w:tcW w:w="5528" w:type="dxa"/>
            <w:shd w:val="clear" w:color="auto" w:fill="FFFFFF" w:themeFill="background1"/>
          </w:tcPr>
          <w:p w:rsidR="008964E8" w:rsidRPr="008964E8" w:rsidRDefault="008964E8" w:rsidP="008964E8">
            <w:pPr>
              <w:shd w:val="clear" w:color="auto" w:fill="FFFFFF" w:themeFill="background1"/>
              <w:spacing w:after="0" w:line="240" w:lineRule="auto"/>
              <w:ind w:firstLine="141"/>
              <w:rPr>
                <w:rFonts w:ascii="Times New Roman" w:eastAsia="Times New Roman" w:hAnsi="Times New Roman" w:cs="Times New Roman"/>
                <w:i/>
                <w:sz w:val="24"/>
                <w:szCs w:val="24"/>
                <w:lang w:eastAsia="lv-LV"/>
              </w:rPr>
            </w:pPr>
            <w:r w:rsidRPr="008964E8">
              <w:rPr>
                <w:rFonts w:ascii="Times New Roman" w:eastAsia="Times New Roman" w:hAnsi="Times New Roman" w:cs="Times New Roman"/>
                <w:iCs/>
                <w:sz w:val="24"/>
                <w:szCs w:val="24"/>
                <w:lang w:eastAsia="lv-LV"/>
              </w:rPr>
              <w:t>Noteikumu projekts šo jomu neskar</w:t>
            </w:r>
            <w:r w:rsidRPr="008964E8">
              <w:rPr>
                <w:rFonts w:ascii="Times New Roman" w:eastAsia="Times New Roman" w:hAnsi="Times New Roman" w:cs="Times New Roman"/>
                <w:sz w:val="24"/>
                <w:szCs w:val="24"/>
                <w:lang w:eastAsia="lv-LV"/>
              </w:rPr>
              <w:t>.</w:t>
            </w:r>
          </w:p>
        </w:tc>
      </w:tr>
      <w:tr w:rsidR="008964E8" w:rsidRPr="008964E8" w:rsidTr="00AD07C9">
        <w:trPr>
          <w:trHeight w:val="274"/>
          <w:tblCellSpacing w:w="0" w:type="dxa"/>
        </w:trPr>
        <w:tc>
          <w:tcPr>
            <w:tcW w:w="520" w:type="dxa"/>
            <w:shd w:val="clear" w:color="auto" w:fill="FFFFFF" w:themeFill="background1"/>
            <w:vAlign w:val="center"/>
          </w:tcPr>
          <w:p w:rsidR="008964E8" w:rsidRPr="008964E8" w:rsidRDefault="008964E8" w:rsidP="008964E8">
            <w:pPr>
              <w:shd w:val="clear" w:color="auto" w:fill="FFFFFF" w:themeFill="background1"/>
              <w:spacing w:after="0" w:line="240" w:lineRule="auto"/>
              <w:jc w:val="center"/>
              <w:rPr>
                <w:rFonts w:ascii="Times New Roman" w:eastAsia="Times New Roman" w:hAnsi="Times New Roman" w:cs="Times New Roman"/>
                <w:lang w:eastAsia="lv-LV"/>
              </w:rPr>
            </w:pPr>
            <w:r w:rsidRPr="008964E8">
              <w:rPr>
                <w:rFonts w:ascii="Times New Roman" w:eastAsia="Times New Roman" w:hAnsi="Times New Roman" w:cs="Times New Roman"/>
                <w:lang w:eastAsia="lv-LV"/>
              </w:rPr>
              <w:t>6.</w:t>
            </w:r>
          </w:p>
        </w:tc>
        <w:tc>
          <w:tcPr>
            <w:tcW w:w="3601" w:type="dxa"/>
            <w:shd w:val="clear" w:color="auto" w:fill="FFFFFF" w:themeFill="background1"/>
            <w:vAlign w:val="center"/>
          </w:tcPr>
          <w:p w:rsidR="008964E8" w:rsidRPr="008964E8" w:rsidRDefault="008964E8" w:rsidP="008964E8">
            <w:pPr>
              <w:shd w:val="clear" w:color="auto" w:fill="FFFFFF" w:themeFill="background1"/>
              <w:spacing w:after="0" w:line="240" w:lineRule="auto"/>
              <w:ind w:left="170"/>
              <w:rPr>
                <w:rFonts w:ascii="Times New Roman" w:eastAsia="Times New Roman" w:hAnsi="Times New Roman" w:cs="Times New Roman"/>
                <w:sz w:val="24"/>
                <w:szCs w:val="24"/>
                <w:lang w:eastAsia="lv-LV"/>
              </w:rPr>
            </w:pPr>
            <w:r w:rsidRPr="008964E8">
              <w:rPr>
                <w:rFonts w:ascii="Times New Roman" w:eastAsia="Times New Roman" w:hAnsi="Times New Roman" w:cs="Times New Roman"/>
                <w:sz w:val="24"/>
                <w:szCs w:val="24"/>
                <w:lang w:eastAsia="lv-LV"/>
              </w:rPr>
              <w:t>Cita informācija.</w:t>
            </w:r>
          </w:p>
        </w:tc>
        <w:tc>
          <w:tcPr>
            <w:tcW w:w="5528" w:type="dxa"/>
            <w:shd w:val="clear" w:color="auto" w:fill="FFFFFF" w:themeFill="background1"/>
            <w:vAlign w:val="center"/>
          </w:tcPr>
          <w:p w:rsidR="008964E8" w:rsidRPr="008964E8" w:rsidRDefault="008964E8" w:rsidP="008964E8">
            <w:pPr>
              <w:shd w:val="clear" w:color="auto" w:fill="FFFFFF" w:themeFill="background1"/>
              <w:spacing w:after="0" w:line="240" w:lineRule="auto"/>
              <w:ind w:firstLine="141"/>
              <w:jc w:val="both"/>
              <w:rPr>
                <w:rFonts w:ascii="Times New Roman" w:eastAsia="Times New Roman" w:hAnsi="Times New Roman" w:cs="Times New Roman"/>
                <w:i/>
                <w:sz w:val="24"/>
                <w:szCs w:val="24"/>
                <w:lang w:eastAsia="lv-LV"/>
              </w:rPr>
            </w:pPr>
            <w:r w:rsidRPr="008964E8">
              <w:rPr>
                <w:rFonts w:ascii="Times New Roman" w:eastAsia="Times New Roman" w:hAnsi="Times New Roman" w:cs="Times New Roman"/>
                <w:bCs/>
                <w:noProof/>
                <w:sz w:val="24"/>
                <w:szCs w:val="24"/>
                <w:lang w:eastAsia="lv-LV"/>
              </w:rPr>
              <w:t>Nav</w:t>
            </w:r>
          </w:p>
        </w:tc>
      </w:tr>
    </w:tbl>
    <w:p w:rsidR="008964E8" w:rsidRPr="008964E8" w:rsidRDefault="008964E8" w:rsidP="008964E8">
      <w:pPr>
        <w:spacing w:after="0" w:line="240" w:lineRule="auto"/>
        <w:ind w:right="-427"/>
        <w:rPr>
          <w:rFonts w:ascii="Times New Roman" w:eastAsia="Times New Roman" w:hAnsi="Times New Roman" w:cs="Times New Roman"/>
          <w:sz w:val="28"/>
          <w:szCs w:val="28"/>
          <w:lang w:eastAsia="lv-LV"/>
        </w:rPr>
      </w:pPr>
    </w:p>
    <w:p w:rsidR="008964E8" w:rsidRPr="008964E8" w:rsidRDefault="008964E8" w:rsidP="008964E8">
      <w:pPr>
        <w:spacing w:after="0" w:line="240" w:lineRule="auto"/>
        <w:ind w:right="-427"/>
        <w:rPr>
          <w:rFonts w:ascii="Times New Roman" w:eastAsia="Times New Roman" w:hAnsi="Times New Roman" w:cs="Times New Roman"/>
          <w:sz w:val="24"/>
          <w:szCs w:val="24"/>
          <w:highlight w:val="yellow"/>
          <w:lang w:eastAsia="lv-LV"/>
        </w:rPr>
      </w:pPr>
      <w:r w:rsidRPr="008964E8">
        <w:rPr>
          <w:rFonts w:ascii="Times New Roman" w:eastAsia="Times New Roman" w:hAnsi="Times New Roman" w:cs="Times New Roman"/>
          <w:sz w:val="28"/>
          <w:szCs w:val="28"/>
          <w:lang w:eastAsia="lv-LV"/>
        </w:rPr>
        <w:t>Labklājības ministre</w:t>
      </w:r>
      <w:r w:rsidRPr="008964E8">
        <w:rPr>
          <w:rFonts w:ascii="Times New Roman" w:eastAsia="Times New Roman" w:hAnsi="Times New Roman" w:cs="Times New Roman"/>
          <w:sz w:val="28"/>
          <w:szCs w:val="28"/>
          <w:lang w:eastAsia="lv-LV"/>
        </w:rPr>
        <w:tab/>
      </w:r>
      <w:r w:rsidRPr="008964E8">
        <w:rPr>
          <w:rFonts w:ascii="Times New Roman" w:eastAsia="Times New Roman" w:hAnsi="Times New Roman" w:cs="Times New Roman"/>
          <w:sz w:val="28"/>
          <w:szCs w:val="28"/>
          <w:lang w:eastAsia="lv-LV"/>
        </w:rPr>
        <w:tab/>
      </w:r>
      <w:r w:rsidRPr="008964E8">
        <w:rPr>
          <w:rFonts w:ascii="Times New Roman" w:eastAsia="Times New Roman" w:hAnsi="Times New Roman" w:cs="Times New Roman"/>
          <w:sz w:val="28"/>
          <w:szCs w:val="28"/>
          <w:lang w:eastAsia="lv-LV"/>
        </w:rPr>
        <w:tab/>
      </w:r>
      <w:r w:rsidRPr="008964E8">
        <w:rPr>
          <w:rFonts w:ascii="Times New Roman" w:eastAsia="Times New Roman" w:hAnsi="Times New Roman" w:cs="Times New Roman"/>
          <w:sz w:val="28"/>
          <w:szCs w:val="28"/>
          <w:lang w:eastAsia="lv-LV"/>
        </w:rPr>
        <w:tab/>
      </w:r>
      <w:r w:rsidRPr="008964E8">
        <w:rPr>
          <w:rFonts w:ascii="Times New Roman" w:eastAsia="Times New Roman" w:hAnsi="Times New Roman" w:cs="Times New Roman"/>
          <w:sz w:val="28"/>
          <w:szCs w:val="28"/>
          <w:lang w:eastAsia="lv-LV"/>
        </w:rPr>
        <w:tab/>
      </w:r>
      <w:r w:rsidRPr="008964E8">
        <w:rPr>
          <w:rFonts w:ascii="Times New Roman" w:eastAsia="Times New Roman" w:hAnsi="Times New Roman" w:cs="Times New Roman"/>
          <w:sz w:val="28"/>
          <w:szCs w:val="28"/>
          <w:lang w:eastAsia="lv-LV"/>
        </w:rPr>
        <w:tab/>
      </w:r>
      <w:r w:rsidRPr="008964E8">
        <w:rPr>
          <w:rFonts w:ascii="Times New Roman" w:eastAsia="Times New Roman" w:hAnsi="Times New Roman" w:cs="Times New Roman"/>
          <w:sz w:val="28"/>
          <w:szCs w:val="28"/>
          <w:lang w:eastAsia="lv-LV"/>
        </w:rPr>
        <w:tab/>
      </w:r>
      <w:r w:rsidRPr="008964E8">
        <w:rPr>
          <w:rFonts w:ascii="Times New Roman" w:eastAsia="Times New Roman" w:hAnsi="Times New Roman" w:cs="Times New Roman"/>
          <w:sz w:val="28"/>
          <w:szCs w:val="28"/>
          <w:lang w:eastAsia="lv-LV"/>
        </w:rPr>
        <w:tab/>
      </w:r>
      <w:proofErr w:type="spellStart"/>
      <w:r w:rsidRPr="008964E8">
        <w:rPr>
          <w:rFonts w:ascii="Times New Roman" w:eastAsia="Times New Roman" w:hAnsi="Times New Roman" w:cs="Times New Roman"/>
          <w:sz w:val="28"/>
          <w:szCs w:val="28"/>
          <w:lang w:eastAsia="lv-LV"/>
        </w:rPr>
        <w:t>I.Viņķele</w:t>
      </w:r>
      <w:proofErr w:type="spellEnd"/>
    </w:p>
    <w:p w:rsidR="008964E8" w:rsidRPr="008964E8" w:rsidRDefault="008964E8" w:rsidP="008964E8">
      <w:pPr>
        <w:spacing w:after="0" w:line="240" w:lineRule="auto"/>
        <w:rPr>
          <w:rFonts w:ascii="Times New Roman" w:eastAsia="Times New Roman" w:hAnsi="Times New Roman" w:cs="Times New Roman"/>
          <w:sz w:val="24"/>
          <w:szCs w:val="24"/>
          <w:highlight w:val="yellow"/>
          <w:lang w:eastAsia="lv-LV"/>
        </w:rPr>
      </w:pPr>
    </w:p>
    <w:p w:rsidR="008964E8" w:rsidRPr="008964E8" w:rsidRDefault="008964E8" w:rsidP="008964E8">
      <w:pPr>
        <w:spacing w:after="0" w:line="240" w:lineRule="auto"/>
        <w:rPr>
          <w:rFonts w:ascii="Times New Roman" w:eastAsia="Times New Roman" w:hAnsi="Times New Roman" w:cs="Times New Roman"/>
          <w:sz w:val="24"/>
          <w:szCs w:val="24"/>
          <w:highlight w:val="yellow"/>
          <w:lang w:eastAsia="lv-LV"/>
        </w:rPr>
      </w:pPr>
    </w:p>
    <w:p w:rsidR="008964E8" w:rsidRPr="008964E8" w:rsidRDefault="002A56DE" w:rsidP="008964E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w:t>
      </w:r>
      <w:r w:rsidR="008964E8" w:rsidRPr="008964E8">
        <w:rPr>
          <w:rFonts w:ascii="Times New Roman" w:eastAsia="Times New Roman" w:hAnsi="Times New Roman" w:cs="Times New Roman"/>
          <w:sz w:val="20"/>
          <w:szCs w:val="20"/>
          <w:lang w:eastAsia="lv-LV"/>
        </w:rPr>
        <w:t xml:space="preserve">.09.2013., </w:t>
      </w:r>
      <w:r>
        <w:rPr>
          <w:rFonts w:ascii="Times New Roman" w:eastAsia="Times New Roman" w:hAnsi="Times New Roman" w:cs="Times New Roman"/>
          <w:sz w:val="20"/>
          <w:szCs w:val="20"/>
          <w:lang w:eastAsia="lv-LV"/>
        </w:rPr>
        <w:t>09:2</w:t>
      </w:r>
      <w:r w:rsidR="00EB7708">
        <w:rPr>
          <w:rFonts w:ascii="Times New Roman" w:eastAsia="Times New Roman" w:hAnsi="Times New Roman" w:cs="Times New Roman"/>
          <w:sz w:val="20"/>
          <w:szCs w:val="20"/>
          <w:lang w:eastAsia="lv-LV"/>
        </w:rPr>
        <w:t>7</w:t>
      </w:r>
      <w:bookmarkStart w:id="0" w:name="_GoBack"/>
      <w:bookmarkEnd w:id="0"/>
    </w:p>
    <w:p w:rsidR="008964E8" w:rsidRPr="008964E8" w:rsidRDefault="008964E8" w:rsidP="008964E8">
      <w:pPr>
        <w:spacing w:after="0" w:line="240" w:lineRule="auto"/>
        <w:rPr>
          <w:rFonts w:ascii="Times New Roman" w:eastAsia="Times New Roman" w:hAnsi="Times New Roman" w:cs="Times New Roman"/>
          <w:sz w:val="20"/>
          <w:szCs w:val="20"/>
          <w:lang w:eastAsia="lv-LV"/>
        </w:rPr>
      </w:pPr>
      <w:r w:rsidRPr="008964E8">
        <w:rPr>
          <w:rFonts w:ascii="Times New Roman" w:eastAsia="Times New Roman" w:hAnsi="Times New Roman" w:cs="Times New Roman"/>
          <w:sz w:val="20"/>
          <w:szCs w:val="20"/>
          <w:lang w:eastAsia="lv-LV"/>
        </w:rPr>
        <w:t>227</w:t>
      </w:r>
      <w:r w:rsidR="00EB7708">
        <w:rPr>
          <w:rFonts w:ascii="Times New Roman" w:eastAsia="Times New Roman" w:hAnsi="Times New Roman" w:cs="Times New Roman"/>
          <w:sz w:val="20"/>
          <w:szCs w:val="20"/>
          <w:lang w:eastAsia="lv-LV"/>
        </w:rPr>
        <w:t>9</w:t>
      </w:r>
      <w:r w:rsidRPr="008964E8">
        <w:rPr>
          <w:rFonts w:ascii="Times New Roman" w:eastAsia="Times New Roman" w:hAnsi="Times New Roman" w:cs="Times New Roman"/>
          <w:sz w:val="20"/>
          <w:szCs w:val="20"/>
          <w:lang w:eastAsia="lv-LV"/>
        </w:rPr>
        <w:t>,</w:t>
      </w:r>
    </w:p>
    <w:p w:rsidR="008964E8" w:rsidRPr="008964E8" w:rsidRDefault="008964E8" w:rsidP="008964E8">
      <w:pPr>
        <w:spacing w:after="0" w:line="240" w:lineRule="auto"/>
        <w:rPr>
          <w:rFonts w:ascii="Times New Roman" w:eastAsia="Times New Roman" w:hAnsi="Times New Roman" w:cs="Times New Roman"/>
          <w:sz w:val="20"/>
          <w:szCs w:val="20"/>
          <w:lang w:eastAsia="lv-LV"/>
        </w:rPr>
      </w:pPr>
      <w:proofErr w:type="spellStart"/>
      <w:r w:rsidRPr="008964E8">
        <w:rPr>
          <w:rFonts w:ascii="Times New Roman" w:eastAsia="Times New Roman" w:hAnsi="Times New Roman" w:cs="Times New Roman"/>
          <w:sz w:val="20"/>
          <w:szCs w:val="20"/>
          <w:lang w:eastAsia="lv-LV"/>
        </w:rPr>
        <w:t>L.Juste</w:t>
      </w:r>
      <w:proofErr w:type="spellEnd"/>
      <w:r w:rsidRPr="008964E8">
        <w:rPr>
          <w:rFonts w:ascii="Times New Roman" w:eastAsia="Times New Roman" w:hAnsi="Times New Roman" w:cs="Times New Roman"/>
          <w:sz w:val="20"/>
          <w:szCs w:val="20"/>
          <w:lang w:eastAsia="lv-LV"/>
        </w:rPr>
        <w:t xml:space="preserve">, 67021669, </w:t>
      </w:r>
    </w:p>
    <w:p w:rsidR="008964E8" w:rsidRPr="008964E8" w:rsidRDefault="00EB7708" w:rsidP="008964E8">
      <w:pPr>
        <w:spacing w:after="0" w:line="240" w:lineRule="auto"/>
        <w:rPr>
          <w:rFonts w:ascii="Times New Roman" w:eastAsia="Times New Roman" w:hAnsi="Times New Roman" w:cs="Times New Roman"/>
          <w:sz w:val="20"/>
          <w:szCs w:val="20"/>
          <w:lang w:eastAsia="lv-LV"/>
        </w:rPr>
      </w:pPr>
      <w:hyperlink r:id="rId8" w:history="1">
        <w:r w:rsidR="008964E8" w:rsidRPr="008964E8">
          <w:rPr>
            <w:rFonts w:ascii="Times New Roman" w:eastAsia="Times New Roman" w:hAnsi="Times New Roman" w:cs="Times New Roman"/>
            <w:sz w:val="20"/>
            <w:szCs w:val="20"/>
            <w:lang w:eastAsia="lv-LV"/>
          </w:rPr>
          <w:t>Liga.Juste@lm.gov.lv</w:t>
        </w:r>
      </w:hyperlink>
    </w:p>
    <w:p w:rsidR="00EB7708" w:rsidRDefault="00EB7708" w:rsidP="00EB7708">
      <w:pPr>
        <w:spacing w:after="0" w:line="240" w:lineRule="auto"/>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I.Ķīse</w:t>
      </w:r>
      <w:proofErr w:type="spellEnd"/>
      <w:r>
        <w:rPr>
          <w:rFonts w:ascii="Times New Roman" w:eastAsia="Times New Roman" w:hAnsi="Times New Roman" w:cs="Times New Roman"/>
          <w:sz w:val="20"/>
          <w:szCs w:val="20"/>
          <w:lang w:eastAsia="lv-LV"/>
        </w:rPr>
        <w:t>, 67021651,</w:t>
      </w:r>
    </w:p>
    <w:p w:rsidR="00EB7708" w:rsidRDefault="00EB7708" w:rsidP="00EB770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Inese.Kise@lm.gov.lv</w:t>
      </w:r>
      <w:r w:rsidRPr="00EB7708">
        <w:rPr>
          <w:rFonts w:ascii="Times New Roman" w:eastAsia="Times New Roman" w:hAnsi="Times New Roman" w:cs="Times New Roman"/>
          <w:sz w:val="20"/>
          <w:szCs w:val="20"/>
          <w:lang w:eastAsia="lv-LV"/>
        </w:rPr>
        <w:t xml:space="preserve"> </w:t>
      </w:r>
    </w:p>
    <w:p w:rsidR="00EB7708" w:rsidRDefault="00EB7708" w:rsidP="00EB7708">
      <w:pPr>
        <w:spacing w:after="0" w:line="240" w:lineRule="auto"/>
        <w:rPr>
          <w:rFonts w:ascii="Times New Roman" w:eastAsia="Times New Roman" w:hAnsi="Times New Roman" w:cs="Times New Roman"/>
          <w:sz w:val="20"/>
          <w:szCs w:val="20"/>
          <w:lang w:eastAsia="lv-LV"/>
        </w:rPr>
      </w:pPr>
      <w:r w:rsidRPr="008964E8">
        <w:rPr>
          <w:rFonts w:ascii="Times New Roman" w:eastAsia="Times New Roman" w:hAnsi="Times New Roman" w:cs="Times New Roman"/>
          <w:sz w:val="20"/>
          <w:szCs w:val="20"/>
          <w:lang w:eastAsia="lv-LV"/>
        </w:rPr>
        <w:t>fakss 67021678</w:t>
      </w:r>
    </w:p>
    <w:p w:rsidR="00EB7708" w:rsidRPr="008964E8" w:rsidRDefault="00EB7708" w:rsidP="008964E8">
      <w:pPr>
        <w:spacing w:after="0" w:line="240" w:lineRule="auto"/>
        <w:rPr>
          <w:rFonts w:ascii="Times New Roman" w:eastAsia="Times New Roman" w:hAnsi="Times New Roman" w:cs="Times New Roman"/>
          <w:b/>
          <w:sz w:val="28"/>
          <w:szCs w:val="28"/>
          <w:lang w:eastAsia="lv-LV"/>
        </w:rPr>
      </w:pPr>
    </w:p>
    <w:sectPr w:rsidR="00EB7708" w:rsidRPr="008964E8" w:rsidSect="004324D6">
      <w:headerReference w:type="even" r:id="rId9"/>
      <w:headerReference w:type="default" r:id="rId10"/>
      <w:footerReference w:type="default" r:id="rId11"/>
      <w:footerReference w:type="first" r:id="rId12"/>
      <w:footnotePr>
        <w:numRestart w:val="eachPage"/>
      </w:footnotePr>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58" w:rsidRDefault="00B17758" w:rsidP="00AF0396">
      <w:pPr>
        <w:spacing w:after="0" w:line="240" w:lineRule="auto"/>
      </w:pPr>
      <w:r>
        <w:separator/>
      </w:r>
    </w:p>
  </w:endnote>
  <w:endnote w:type="continuationSeparator" w:id="0">
    <w:p w:rsidR="00B17758" w:rsidRDefault="00B17758" w:rsidP="00AF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YInterstate Light">
    <w:altName w:val="Franklin Gothic Medium Cond"/>
    <w:charset w:val="BA"/>
    <w:family w:val="auto"/>
    <w:pitch w:val="variable"/>
    <w:sig w:usb0="00000001" w:usb1="5000206A" w:usb2="00000000" w:usb3="00000000" w:csb0="0000009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58" w:rsidRPr="000D7879" w:rsidRDefault="00B17758" w:rsidP="000D7879">
    <w:pPr>
      <w:pStyle w:val="Footer"/>
      <w:jc w:val="both"/>
      <w:rPr>
        <w:rFonts w:ascii="Times New Roman" w:hAnsi="Times New Roman" w:cs="Times New Roman"/>
        <w:sz w:val="20"/>
        <w:szCs w:val="20"/>
      </w:rPr>
    </w:pPr>
    <w:r w:rsidRPr="000D7879">
      <w:rPr>
        <w:rFonts w:ascii="Times New Roman" w:hAnsi="Times New Roman" w:cs="Times New Roman"/>
        <w:sz w:val="20"/>
        <w:szCs w:val="20"/>
      </w:rPr>
      <w:t>LMAnot_</w:t>
    </w:r>
    <w:r w:rsidR="002A56DE">
      <w:rPr>
        <w:rFonts w:ascii="Times New Roman" w:hAnsi="Times New Roman" w:cs="Times New Roman"/>
        <w:sz w:val="20"/>
        <w:szCs w:val="20"/>
      </w:rPr>
      <w:t>13</w:t>
    </w:r>
    <w:r w:rsidR="003F08B6">
      <w:rPr>
        <w:rFonts w:ascii="Times New Roman" w:hAnsi="Times New Roman" w:cs="Times New Roman"/>
        <w:sz w:val="20"/>
        <w:szCs w:val="20"/>
      </w:rPr>
      <w:t>09</w:t>
    </w:r>
    <w:r w:rsidRPr="000D7879">
      <w:rPr>
        <w:rFonts w:ascii="Times New Roman" w:hAnsi="Times New Roman" w:cs="Times New Roman"/>
        <w:sz w:val="20"/>
        <w:szCs w:val="20"/>
      </w:rPr>
      <w:t>13_SIVA; Noteikumi par Sociālās integrācijas valsts aģentūras sniegto maksas pakalpojumu cenrādi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58" w:rsidRPr="000D7879" w:rsidRDefault="00B17758" w:rsidP="000D7879">
    <w:pPr>
      <w:pStyle w:val="Footer"/>
      <w:jc w:val="both"/>
      <w:rPr>
        <w:rFonts w:ascii="Times New Roman" w:hAnsi="Times New Roman" w:cs="Times New Roman"/>
        <w:sz w:val="20"/>
        <w:szCs w:val="20"/>
      </w:rPr>
    </w:pPr>
    <w:r w:rsidRPr="000D7879">
      <w:rPr>
        <w:rFonts w:ascii="Times New Roman" w:hAnsi="Times New Roman" w:cs="Times New Roman"/>
        <w:sz w:val="20"/>
        <w:szCs w:val="20"/>
      </w:rPr>
      <w:t>LMAnot_</w:t>
    </w:r>
    <w:r w:rsidR="002A56DE">
      <w:rPr>
        <w:rFonts w:ascii="Times New Roman" w:hAnsi="Times New Roman" w:cs="Times New Roman"/>
        <w:sz w:val="20"/>
        <w:szCs w:val="20"/>
      </w:rPr>
      <w:t>13</w:t>
    </w:r>
    <w:r w:rsidR="003F08B6">
      <w:rPr>
        <w:rFonts w:ascii="Times New Roman" w:hAnsi="Times New Roman" w:cs="Times New Roman"/>
        <w:sz w:val="20"/>
        <w:szCs w:val="20"/>
      </w:rPr>
      <w:t>09</w:t>
    </w:r>
    <w:r w:rsidRPr="000D7879">
      <w:rPr>
        <w:rFonts w:ascii="Times New Roman" w:hAnsi="Times New Roman" w:cs="Times New Roman"/>
        <w:sz w:val="20"/>
        <w:szCs w:val="20"/>
      </w:rPr>
      <w:t>13_SIVA; Noteikumi par Sociālās integrācijas valsts aģentūras sniegto maksas pakalpojumu cenrādi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58" w:rsidRDefault="00B17758" w:rsidP="00AF0396">
      <w:pPr>
        <w:spacing w:after="0" w:line="240" w:lineRule="auto"/>
      </w:pPr>
      <w:r>
        <w:separator/>
      </w:r>
    </w:p>
  </w:footnote>
  <w:footnote w:type="continuationSeparator" w:id="0">
    <w:p w:rsidR="00B17758" w:rsidRDefault="00B17758" w:rsidP="00AF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58" w:rsidRDefault="00B17758" w:rsidP="00AB24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7758" w:rsidRDefault="00B17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58" w:rsidRPr="008519D9" w:rsidRDefault="00B17758" w:rsidP="00AB242C">
    <w:pPr>
      <w:pStyle w:val="Header"/>
      <w:framePr w:wrap="around" w:vAnchor="text" w:hAnchor="margin" w:xAlign="center" w:y="1"/>
      <w:rPr>
        <w:rStyle w:val="PageNumber"/>
        <w:rFonts w:ascii="Times New Roman" w:hAnsi="Times New Roman" w:cs="Times New Roman"/>
      </w:rPr>
    </w:pPr>
    <w:r w:rsidRPr="008519D9">
      <w:rPr>
        <w:rStyle w:val="PageNumber"/>
        <w:rFonts w:ascii="Times New Roman" w:hAnsi="Times New Roman" w:cs="Times New Roman"/>
      </w:rPr>
      <w:fldChar w:fldCharType="begin"/>
    </w:r>
    <w:r w:rsidRPr="008519D9">
      <w:rPr>
        <w:rStyle w:val="PageNumber"/>
        <w:rFonts w:ascii="Times New Roman" w:hAnsi="Times New Roman" w:cs="Times New Roman"/>
      </w:rPr>
      <w:instrText xml:space="preserve">PAGE  </w:instrText>
    </w:r>
    <w:r w:rsidRPr="008519D9">
      <w:rPr>
        <w:rStyle w:val="PageNumber"/>
        <w:rFonts w:ascii="Times New Roman" w:hAnsi="Times New Roman" w:cs="Times New Roman"/>
      </w:rPr>
      <w:fldChar w:fldCharType="separate"/>
    </w:r>
    <w:r w:rsidR="00EB7708">
      <w:rPr>
        <w:rStyle w:val="PageNumber"/>
        <w:rFonts w:ascii="Times New Roman" w:hAnsi="Times New Roman" w:cs="Times New Roman"/>
        <w:noProof/>
      </w:rPr>
      <w:t>8</w:t>
    </w:r>
    <w:r w:rsidRPr="008519D9">
      <w:rPr>
        <w:rStyle w:val="PageNumber"/>
        <w:rFonts w:ascii="Times New Roman" w:hAnsi="Times New Roman" w:cs="Times New Roman"/>
      </w:rPr>
      <w:fldChar w:fldCharType="end"/>
    </w:r>
  </w:p>
  <w:p w:rsidR="00B17758" w:rsidRDefault="00B17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6B25"/>
    <w:multiLevelType w:val="hybridMultilevel"/>
    <w:tmpl w:val="5C662A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D8E2748"/>
    <w:multiLevelType w:val="hybridMultilevel"/>
    <w:tmpl w:val="741AA2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C5927CF"/>
    <w:multiLevelType w:val="hybridMultilevel"/>
    <w:tmpl w:val="852C7178"/>
    <w:lvl w:ilvl="0" w:tplc="F8902D8A">
      <w:numFmt w:val="bullet"/>
      <w:lvlText w:val="•"/>
      <w:lvlJc w:val="left"/>
      <w:pPr>
        <w:ind w:left="1080" w:hanging="72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EE32D32"/>
    <w:multiLevelType w:val="hybridMultilevel"/>
    <w:tmpl w:val="36E076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236A529B"/>
    <w:multiLevelType w:val="hybridMultilevel"/>
    <w:tmpl w:val="94DAEDBA"/>
    <w:lvl w:ilvl="0" w:tplc="0426000F">
      <w:start w:val="1"/>
      <w:numFmt w:val="decimal"/>
      <w:lvlText w:val="%1."/>
      <w:lvlJc w:val="left"/>
      <w:pPr>
        <w:ind w:left="1483" w:hanging="360"/>
      </w:pPr>
    </w:lvl>
    <w:lvl w:ilvl="1" w:tplc="04260019" w:tentative="1">
      <w:start w:val="1"/>
      <w:numFmt w:val="lowerLetter"/>
      <w:lvlText w:val="%2."/>
      <w:lvlJc w:val="left"/>
      <w:pPr>
        <w:ind w:left="2203" w:hanging="360"/>
      </w:pPr>
    </w:lvl>
    <w:lvl w:ilvl="2" w:tplc="0426001B" w:tentative="1">
      <w:start w:val="1"/>
      <w:numFmt w:val="lowerRoman"/>
      <w:lvlText w:val="%3."/>
      <w:lvlJc w:val="right"/>
      <w:pPr>
        <w:ind w:left="2923" w:hanging="180"/>
      </w:pPr>
    </w:lvl>
    <w:lvl w:ilvl="3" w:tplc="0426000F" w:tentative="1">
      <w:start w:val="1"/>
      <w:numFmt w:val="decimal"/>
      <w:lvlText w:val="%4."/>
      <w:lvlJc w:val="left"/>
      <w:pPr>
        <w:ind w:left="3643" w:hanging="360"/>
      </w:pPr>
    </w:lvl>
    <w:lvl w:ilvl="4" w:tplc="04260019" w:tentative="1">
      <w:start w:val="1"/>
      <w:numFmt w:val="lowerLetter"/>
      <w:lvlText w:val="%5."/>
      <w:lvlJc w:val="left"/>
      <w:pPr>
        <w:ind w:left="4363" w:hanging="360"/>
      </w:pPr>
    </w:lvl>
    <w:lvl w:ilvl="5" w:tplc="0426001B" w:tentative="1">
      <w:start w:val="1"/>
      <w:numFmt w:val="lowerRoman"/>
      <w:lvlText w:val="%6."/>
      <w:lvlJc w:val="right"/>
      <w:pPr>
        <w:ind w:left="5083" w:hanging="180"/>
      </w:pPr>
    </w:lvl>
    <w:lvl w:ilvl="6" w:tplc="0426000F" w:tentative="1">
      <w:start w:val="1"/>
      <w:numFmt w:val="decimal"/>
      <w:lvlText w:val="%7."/>
      <w:lvlJc w:val="left"/>
      <w:pPr>
        <w:ind w:left="5803" w:hanging="360"/>
      </w:pPr>
    </w:lvl>
    <w:lvl w:ilvl="7" w:tplc="04260019" w:tentative="1">
      <w:start w:val="1"/>
      <w:numFmt w:val="lowerLetter"/>
      <w:lvlText w:val="%8."/>
      <w:lvlJc w:val="left"/>
      <w:pPr>
        <w:ind w:left="6523" w:hanging="360"/>
      </w:pPr>
    </w:lvl>
    <w:lvl w:ilvl="8" w:tplc="0426001B" w:tentative="1">
      <w:start w:val="1"/>
      <w:numFmt w:val="lowerRoman"/>
      <w:lvlText w:val="%9."/>
      <w:lvlJc w:val="right"/>
      <w:pPr>
        <w:ind w:left="7243" w:hanging="180"/>
      </w:pPr>
    </w:lvl>
  </w:abstractNum>
  <w:abstractNum w:abstractNumId="5">
    <w:nsid w:val="33A627C1"/>
    <w:multiLevelType w:val="hybridMultilevel"/>
    <w:tmpl w:val="C2D61E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4433D3A"/>
    <w:multiLevelType w:val="hybridMultilevel"/>
    <w:tmpl w:val="5978A32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6186FE2"/>
    <w:multiLevelType w:val="hybridMultilevel"/>
    <w:tmpl w:val="3D9C1C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9F64872"/>
    <w:multiLevelType w:val="hybridMultilevel"/>
    <w:tmpl w:val="ECBEC9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41EC39BD"/>
    <w:multiLevelType w:val="hybridMultilevel"/>
    <w:tmpl w:val="6C02F23A"/>
    <w:lvl w:ilvl="0" w:tplc="2664303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C1A38F6"/>
    <w:multiLevelType w:val="multilevel"/>
    <w:tmpl w:val="98CAEE0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1">
    <w:nsid w:val="4FA07A0C"/>
    <w:multiLevelType w:val="hybridMultilevel"/>
    <w:tmpl w:val="E5E66D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516972A1"/>
    <w:multiLevelType w:val="hybridMultilevel"/>
    <w:tmpl w:val="B8CE2590"/>
    <w:lvl w:ilvl="0" w:tplc="0426000F">
      <w:start w:val="1"/>
      <w:numFmt w:val="decimal"/>
      <w:lvlText w:val="%1."/>
      <w:lvlJc w:val="left"/>
      <w:pPr>
        <w:ind w:left="1167" w:hanging="360"/>
      </w:pPr>
    </w:lvl>
    <w:lvl w:ilvl="1" w:tplc="04260019" w:tentative="1">
      <w:start w:val="1"/>
      <w:numFmt w:val="lowerLetter"/>
      <w:lvlText w:val="%2."/>
      <w:lvlJc w:val="left"/>
      <w:pPr>
        <w:ind w:left="1887" w:hanging="360"/>
      </w:pPr>
    </w:lvl>
    <w:lvl w:ilvl="2" w:tplc="0426001B" w:tentative="1">
      <w:start w:val="1"/>
      <w:numFmt w:val="lowerRoman"/>
      <w:lvlText w:val="%3."/>
      <w:lvlJc w:val="right"/>
      <w:pPr>
        <w:ind w:left="2607" w:hanging="180"/>
      </w:pPr>
    </w:lvl>
    <w:lvl w:ilvl="3" w:tplc="0426000F" w:tentative="1">
      <w:start w:val="1"/>
      <w:numFmt w:val="decimal"/>
      <w:lvlText w:val="%4."/>
      <w:lvlJc w:val="left"/>
      <w:pPr>
        <w:ind w:left="3327" w:hanging="360"/>
      </w:pPr>
    </w:lvl>
    <w:lvl w:ilvl="4" w:tplc="04260019" w:tentative="1">
      <w:start w:val="1"/>
      <w:numFmt w:val="lowerLetter"/>
      <w:lvlText w:val="%5."/>
      <w:lvlJc w:val="left"/>
      <w:pPr>
        <w:ind w:left="4047" w:hanging="360"/>
      </w:pPr>
    </w:lvl>
    <w:lvl w:ilvl="5" w:tplc="0426001B" w:tentative="1">
      <w:start w:val="1"/>
      <w:numFmt w:val="lowerRoman"/>
      <w:lvlText w:val="%6."/>
      <w:lvlJc w:val="right"/>
      <w:pPr>
        <w:ind w:left="4767" w:hanging="180"/>
      </w:pPr>
    </w:lvl>
    <w:lvl w:ilvl="6" w:tplc="0426000F" w:tentative="1">
      <w:start w:val="1"/>
      <w:numFmt w:val="decimal"/>
      <w:lvlText w:val="%7."/>
      <w:lvlJc w:val="left"/>
      <w:pPr>
        <w:ind w:left="5487" w:hanging="360"/>
      </w:pPr>
    </w:lvl>
    <w:lvl w:ilvl="7" w:tplc="04260019" w:tentative="1">
      <w:start w:val="1"/>
      <w:numFmt w:val="lowerLetter"/>
      <w:lvlText w:val="%8."/>
      <w:lvlJc w:val="left"/>
      <w:pPr>
        <w:ind w:left="6207" w:hanging="360"/>
      </w:pPr>
    </w:lvl>
    <w:lvl w:ilvl="8" w:tplc="0426001B" w:tentative="1">
      <w:start w:val="1"/>
      <w:numFmt w:val="lowerRoman"/>
      <w:lvlText w:val="%9."/>
      <w:lvlJc w:val="right"/>
      <w:pPr>
        <w:ind w:left="6927" w:hanging="180"/>
      </w:pPr>
    </w:lvl>
  </w:abstractNum>
  <w:abstractNum w:abstractNumId="13">
    <w:nsid w:val="56220C5A"/>
    <w:multiLevelType w:val="hybridMultilevel"/>
    <w:tmpl w:val="339898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56512FC9"/>
    <w:multiLevelType w:val="hybridMultilevel"/>
    <w:tmpl w:val="46D6C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FF20391"/>
    <w:multiLevelType w:val="hybridMultilevel"/>
    <w:tmpl w:val="1D70AA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6AC12DE7"/>
    <w:multiLevelType w:val="multilevel"/>
    <w:tmpl w:val="104A4A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C1B99"/>
    <w:multiLevelType w:val="multilevel"/>
    <w:tmpl w:val="104A4A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E24E49"/>
    <w:multiLevelType w:val="hybridMultilevel"/>
    <w:tmpl w:val="C09E0400"/>
    <w:lvl w:ilvl="0" w:tplc="0658B6DC">
      <w:start w:val="1"/>
      <w:numFmt w:val="decimal"/>
      <w:lvlText w:val="%1)"/>
      <w:lvlJc w:val="left"/>
      <w:pPr>
        <w:ind w:left="720" w:hanging="360"/>
      </w:pPr>
      <w:rPr>
        <w:rFonts w:hint="default"/>
        <w:color w:val="2A2A2A"/>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6"/>
  </w:num>
  <w:num w:numId="3">
    <w:abstractNumId w:val="17"/>
  </w:num>
  <w:num w:numId="4">
    <w:abstractNumId w:val="18"/>
  </w:num>
  <w:num w:numId="5">
    <w:abstractNumId w:val="10"/>
  </w:num>
  <w:num w:numId="6">
    <w:abstractNumId w:val="14"/>
  </w:num>
  <w:num w:numId="7">
    <w:abstractNumId w:val="7"/>
  </w:num>
  <w:num w:numId="8">
    <w:abstractNumId w:val="9"/>
  </w:num>
  <w:num w:numId="9">
    <w:abstractNumId w:val="1"/>
  </w:num>
  <w:num w:numId="10">
    <w:abstractNumId w:val="4"/>
  </w:num>
  <w:num w:numId="11">
    <w:abstractNumId w:val="11"/>
  </w:num>
  <w:num w:numId="12">
    <w:abstractNumId w:val="15"/>
  </w:num>
  <w:num w:numId="13">
    <w:abstractNumId w:val="8"/>
  </w:num>
  <w:num w:numId="14">
    <w:abstractNumId w:val="13"/>
  </w:num>
  <w:num w:numId="15">
    <w:abstractNumId w:val="3"/>
  </w:num>
  <w:num w:numId="16">
    <w:abstractNumId w:val="0"/>
  </w:num>
  <w:num w:numId="17">
    <w:abstractNumId w:val="5"/>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96"/>
    <w:rsid w:val="00027C76"/>
    <w:rsid w:val="00043190"/>
    <w:rsid w:val="00051608"/>
    <w:rsid w:val="000543D2"/>
    <w:rsid w:val="00070B1B"/>
    <w:rsid w:val="0008501F"/>
    <w:rsid w:val="00085FB4"/>
    <w:rsid w:val="000D7879"/>
    <w:rsid w:val="000E47E0"/>
    <w:rsid w:val="00102B56"/>
    <w:rsid w:val="001105FF"/>
    <w:rsid w:val="00115C0D"/>
    <w:rsid w:val="001511FE"/>
    <w:rsid w:val="00160173"/>
    <w:rsid w:val="001666DD"/>
    <w:rsid w:val="001B0773"/>
    <w:rsid w:val="001B4BA5"/>
    <w:rsid w:val="001B5C6E"/>
    <w:rsid w:val="002073F6"/>
    <w:rsid w:val="00232EAB"/>
    <w:rsid w:val="002419D5"/>
    <w:rsid w:val="00252223"/>
    <w:rsid w:val="0026094D"/>
    <w:rsid w:val="002668A2"/>
    <w:rsid w:val="00271CE2"/>
    <w:rsid w:val="00281264"/>
    <w:rsid w:val="002A56DE"/>
    <w:rsid w:val="002D4A67"/>
    <w:rsid w:val="002E20D2"/>
    <w:rsid w:val="002E2A35"/>
    <w:rsid w:val="002E4633"/>
    <w:rsid w:val="002F72AB"/>
    <w:rsid w:val="002F7ABB"/>
    <w:rsid w:val="00313512"/>
    <w:rsid w:val="003464B7"/>
    <w:rsid w:val="0036391E"/>
    <w:rsid w:val="003801B2"/>
    <w:rsid w:val="003C46D7"/>
    <w:rsid w:val="003F08B6"/>
    <w:rsid w:val="003F6849"/>
    <w:rsid w:val="004324D6"/>
    <w:rsid w:val="0043414A"/>
    <w:rsid w:val="00463A85"/>
    <w:rsid w:val="00481CA6"/>
    <w:rsid w:val="004932A6"/>
    <w:rsid w:val="004A2FD7"/>
    <w:rsid w:val="004A6106"/>
    <w:rsid w:val="004E013F"/>
    <w:rsid w:val="004E7609"/>
    <w:rsid w:val="004E7E0F"/>
    <w:rsid w:val="00516F46"/>
    <w:rsid w:val="005578E8"/>
    <w:rsid w:val="0056165C"/>
    <w:rsid w:val="005F5EEC"/>
    <w:rsid w:val="006125A2"/>
    <w:rsid w:val="00624272"/>
    <w:rsid w:val="00627D07"/>
    <w:rsid w:val="006754D2"/>
    <w:rsid w:val="00682F3B"/>
    <w:rsid w:val="006967CB"/>
    <w:rsid w:val="006A3811"/>
    <w:rsid w:val="006A4591"/>
    <w:rsid w:val="006B5C4E"/>
    <w:rsid w:val="006C4281"/>
    <w:rsid w:val="006F3C13"/>
    <w:rsid w:val="00715E4C"/>
    <w:rsid w:val="00727217"/>
    <w:rsid w:val="0072749C"/>
    <w:rsid w:val="0074106B"/>
    <w:rsid w:val="007431BB"/>
    <w:rsid w:val="00756F49"/>
    <w:rsid w:val="00772C81"/>
    <w:rsid w:val="00775977"/>
    <w:rsid w:val="00776A3A"/>
    <w:rsid w:val="00783535"/>
    <w:rsid w:val="007A16EC"/>
    <w:rsid w:val="007B3048"/>
    <w:rsid w:val="007C4290"/>
    <w:rsid w:val="007D295E"/>
    <w:rsid w:val="00800EC2"/>
    <w:rsid w:val="0083227F"/>
    <w:rsid w:val="008519D9"/>
    <w:rsid w:val="0085759D"/>
    <w:rsid w:val="00860D59"/>
    <w:rsid w:val="0086102F"/>
    <w:rsid w:val="008964E8"/>
    <w:rsid w:val="008E35B2"/>
    <w:rsid w:val="009151FB"/>
    <w:rsid w:val="0094426A"/>
    <w:rsid w:val="009758F2"/>
    <w:rsid w:val="009A6C01"/>
    <w:rsid w:val="009C4DE2"/>
    <w:rsid w:val="009D6A9B"/>
    <w:rsid w:val="009F4E7F"/>
    <w:rsid w:val="00A2740C"/>
    <w:rsid w:val="00A42562"/>
    <w:rsid w:val="00A45543"/>
    <w:rsid w:val="00A66381"/>
    <w:rsid w:val="00A94F96"/>
    <w:rsid w:val="00AB0234"/>
    <w:rsid w:val="00AB242C"/>
    <w:rsid w:val="00AD3D4C"/>
    <w:rsid w:val="00AE4ADA"/>
    <w:rsid w:val="00AF0396"/>
    <w:rsid w:val="00AF209B"/>
    <w:rsid w:val="00B17758"/>
    <w:rsid w:val="00B33C88"/>
    <w:rsid w:val="00B53738"/>
    <w:rsid w:val="00B85B4C"/>
    <w:rsid w:val="00B94B8D"/>
    <w:rsid w:val="00BB2E3A"/>
    <w:rsid w:val="00BB43E2"/>
    <w:rsid w:val="00BC561E"/>
    <w:rsid w:val="00BF719B"/>
    <w:rsid w:val="00C21F37"/>
    <w:rsid w:val="00C85B4A"/>
    <w:rsid w:val="00C90AD8"/>
    <w:rsid w:val="00C933C7"/>
    <w:rsid w:val="00C97DC6"/>
    <w:rsid w:val="00CF012F"/>
    <w:rsid w:val="00CF4FA9"/>
    <w:rsid w:val="00D0407B"/>
    <w:rsid w:val="00D138A1"/>
    <w:rsid w:val="00D17690"/>
    <w:rsid w:val="00D24A49"/>
    <w:rsid w:val="00D547C2"/>
    <w:rsid w:val="00D826D1"/>
    <w:rsid w:val="00DA1378"/>
    <w:rsid w:val="00DC58E3"/>
    <w:rsid w:val="00DD1149"/>
    <w:rsid w:val="00DD18B9"/>
    <w:rsid w:val="00DE38F6"/>
    <w:rsid w:val="00DE65A3"/>
    <w:rsid w:val="00E0249B"/>
    <w:rsid w:val="00E61B41"/>
    <w:rsid w:val="00E84143"/>
    <w:rsid w:val="00E939F7"/>
    <w:rsid w:val="00E96BDD"/>
    <w:rsid w:val="00E97AE5"/>
    <w:rsid w:val="00EA11C6"/>
    <w:rsid w:val="00EB7708"/>
    <w:rsid w:val="00EC3460"/>
    <w:rsid w:val="00EF2FFD"/>
    <w:rsid w:val="00F2493E"/>
    <w:rsid w:val="00F33C31"/>
    <w:rsid w:val="00F552A4"/>
    <w:rsid w:val="00F82C57"/>
    <w:rsid w:val="00FA5DAE"/>
    <w:rsid w:val="00FB425D"/>
    <w:rsid w:val="00FC4C11"/>
    <w:rsid w:val="00FD590B"/>
    <w:rsid w:val="00FD6E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A2"/>
  </w:style>
  <w:style w:type="paragraph" w:styleId="Heading1">
    <w:name w:val="heading 1"/>
    <w:basedOn w:val="Normal"/>
    <w:next w:val="Normal"/>
    <w:link w:val="Heading1Char"/>
    <w:qFormat/>
    <w:rsid w:val="00AB242C"/>
    <w:pPr>
      <w:keepNext/>
      <w:spacing w:after="0" w:line="240" w:lineRule="auto"/>
      <w:ind w:left="-284" w:right="-766" w:firstLine="425"/>
      <w:jc w:val="center"/>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0396"/>
    <w:pPr>
      <w:tabs>
        <w:tab w:val="center" w:pos="4153"/>
        <w:tab w:val="right" w:pos="8306"/>
      </w:tabs>
      <w:spacing w:after="0" w:line="240" w:lineRule="auto"/>
    </w:pPr>
  </w:style>
  <w:style w:type="character" w:customStyle="1" w:styleId="HeaderChar">
    <w:name w:val="Header Char"/>
    <w:basedOn w:val="DefaultParagraphFont"/>
    <w:link w:val="Header"/>
    <w:rsid w:val="00AF0396"/>
  </w:style>
  <w:style w:type="paragraph" w:styleId="Footer">
    <w:name w:val="footer"/>
    <w:basedOn w:val="Normal"/>
    <w:link w:val="FooterChar"/>
    <w:unhideWhenUsed/>
    <w:rsid w:val="00AF0396"/>
    <w:pPr>
      <w:tabs>
        <w:tab w:val="center" w:pos="4153"/>
        <w:tab w:val="right" w:pos="8306"/>
      </w:tabs>
      <w:spacing w:after="0" w:line="240" w:lineRule="auto"/>
    </w:pPr>
  </w:style>
  <w:style w:type="character" w:customStyle="1" w:styleId="FooterChar">
    <w:name w:val="Footer Char"/>
    <w:basedOn w:val="DefaultParagraphFont"/>
    <w:link w:val="Footer"/>
    <w:rsid w:val="00AF0396"/>
  </w:style>
  <w:style w:type="character" w:styleId="PageNumber">
    <w:name w:val="page number"/>
    <w:basedOn w:val="DefaultParagraphFont"/>
    <w:rsid w:val="00AF0396"/>
  </w:style>
  <w:style w:type="paragraph" w:styleId="ListParagraph">
    <w:name w:val="List Paragraph"/>
    <w:basedOn w:val="Normal"/>
    <w:uiPriority w:val="34"/>
    <w:qFormat/>
    <w:rsid w:val="001511FE"/>
    <w:pPr>
      <w:ind w:left="720"/>
      <w:contextualSpacing/>
    </w:pPr>
  </w:style>
  <w:style w:type="paragraph" w:customStyle="1" w:styleId="naiskr">
    <w:name w:val="naiskr"/>
    <w:basedOn w:val="Normal"/>
    <w:rsid w:val="004A2FD7"/>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4A2FD7"/>
    <w:pPr>
      <w:spacing w:before="75" w:after="75" w:line="240" w:lineRule="auto"/>
      <w:jc w:val="center"/>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rsid w:val="00AB242C"/>
    <w:rPr>
      <w:rFonts w:ascii="Times New Roman" w:eastAsia="Times New Roman" w:hAnsi="Times New Roman" w:cs="Times New Roman"/>
      <w:sz w:val="28"/>
      <w:szCs w:val="20"/>
    </w:rPr>
  </w:style>
  <w:style w:type="character" w:styleId="Hyperlink">
    <w:name w:val="Hyperlink"/>
    <w:rsid w:val="00AB242C"/>
    <w:rPr>
      <w:color w:val="0000FF"/>
      <w:u w:val="single"/>
    </w:rPr>
  </w:style>
  <w:style w:type="paragraph" w:customStyle="1" w:styleId="naisnod">
    <w:name w:val="naisnod"/>
    <w:basedOn w:val="Normal"/>
    <w:rsid w:val="00AB24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YBodytextwithoutparaspaceCharChar">
    <w:name w:val="EY Body text (without para space) Char Char"/>
    <w:basedOn w:val="DefaultParagraphFont"/>
    <w:link w:val="EYBodytextwithoutparaspace"/>
    <w:rsid w:val="001B0773"/>
    <w:rPr>
      <w:rFonts w:ascii="EYInterstate Light" w:hAnsi="EYInterstate Light"/>
      <w:kern w:val="12"/>
      <w:szCs w:val="24"/>
    </w:rPr>
  </w:style>
  <w:style w:type="paragraph" w:customStyle="1" w:styleId="EYBodytextwithoutparaspace">
    <w:name w:val="EY Body text (without para space)"/>
    <w:basedOn w:val="Normal"/>
    <w:link w:val="EYBodytextwithoutparaspaceCharChar"/>
    <w:rsid w:val="001B0773"/>
    <w:pPr>
      <w:spacing w:after="0" w:line="240" w:lineRule="auto"/>
    </w:pPr>
    <w:rPr>
      <w:rFonts w:ascii="EYInterstate Light" w:hAnsi="EYInterstate Light"/>
      <w:kern w:val="12"/>
      <w:szCs w:val="24"/>
    </w:rPr>
  </w:style>
  <w:style w:type="paragraph" w:styleId="BalloonText">
    <w:name w:val="Balloon Text"/>
    <w:basedOn w:val="Normal"/>
    <w:link w:val="BalloonTextChar"/>
    <w:uiPriority w:val="99"/>
    <w:semiHidden/>
    <w:unhideWhenUsed/>
    <w:rsid w:val="00C21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F37"/>
    <w:rPr>
      <w:rFonts w:ascii="Tahoma" w:hAnsi="Tahoma" w:cs="Tahoma"/>
      <w:sz w:val="16"/>
      <w:szCs w:val="16"/>
    </w:rPr>
  </w:style>
  <w:style w:type="paragraph" w:customStyle="1" w:styleId="tvhtml">
    <w:name w:val="tv_html"/>
    <w:basedOn w:val="Normal"/>
    <w:rsid w:val="003464B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A2"/>
  </w:style>
  <w:style w:type="paragraph" w:styleId="Heading1">
    <w:name w:val="heading 1"/>
    <w:basedOn w:val="Normal"/>
    <w:next w:val="Normal"/>
    <w:link w:val="Heading1Char"/>
    <w:qFormat/>
    <w:rsid w:val="00AB242C"/>
    <w:pPr>
      <w:keepNext/>
      <w:spacing w:after="0" w:line="240" w:lineRule="auto"/>
      <w:ind w:left="-284" w:right="-766" w:firstLine="425"/>
      <w:jc w:val="center"/>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0396"/>
    <w:pPr>
      <w:tabs>
        <w:tab w:val="center" w:pos="4153"/>
        <w:tab w:val="right" w:pos="8306"/>
      </w:tabs>
      <w:spacing w:after="0" w:line="240" w:lineRule="auto"/>
    </w:pPr>
  </w:style>
  <w:style w:type="character" w:customStyle="1" w:styleId="HeaderChar">
    <w:name w:val="Header Char"/>
    <w:basedOn w:val="DefaultParagraphFont"/>
    <w:link w:val="Header"/>
    <w:rsid w:val="00AF0396"/>
  </w:style>
  <w:style w:type="paragraph" w:styleId="Footer">
    <w:name w:val="footer"/>
    <w:basedOn w:val="Normal"/>
    <w:link w:val="FooterChar"/>
    <w:unhideWhenUsed/>
    <w:rsid w:val="00AF0396"/>
    <w:pPr>
      <w:tabs>
        <w:tab w:val="center" w:pos="4153"/>
        <w:tab w:val="right" w:pos="8306"/>
      </w:tabs>
      <w:spacing w:after="0" w:line="240" w:lineRule="auto"/>
    </w:pPr>
  </w:style>
  <w:style w:type="character" w:customStyle="1" w:styleId="FooterChar">
    <w:name w:val="Footer Char"/>
    <w:basedOn w:val="DefaultParagraphFont"/>
    <w:link w:val="Footer"/>
    <w:rsid w:val="00AF0396"/>
  </w:style>
  <w:style w:type="character" w:styleId="PageNumber">
    <w:name w:val="page number"/>
    <w:basedOn w:val="DefaultParagraphFont"/>
    <w:rsid w:val="00AF0396"/>
  </w:style>
  <w:style w:type="paragraph" w:styleId="ListParagraph">
    <w:name w:val="List Paragraph"/>
    <w:basedOn w:val="Normal"/>
    <w:uiPriority w:val="34"/>
    <w:qFormat/>
    <w:rsid w:val="001511FE"/>
    <w:pPr>
      <w:ind w:left="720"/>
      <w:contextualSpacing/>
    </w:pPr>
  </w:style>
  <w:style w:type="paragraph" w:customStyle="1" w:styleId="naiskr">
    <w:name w:val="naiskr"/>
    <w:basedOn w:val="Normal"/>
    <w:rsid w:val="004A2FD7"/>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4A2FD7"/>
    <w:pPr>
      <w:spacing w:before="75" w:after="75" w:line="240" w:lineRule="auto"/>
      <w:jc w:val="center"/>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rsid w:val="00AB242C"/>
    <w:rPr>
      <w:rFonts w:ascii="Times New Roman" w:eastAsia="Times New Roman" w:hAnsi="Times New Roman" w:cs="Times New Roman"/>
      <w:sz w:val="28"/>
      <w:szCs w:val="20"/>
    </w:rPr>
  </w:style>
  <w:style w:type="character" w:styleId="Hyperlink">
    <w:name w:val="Hyperlink"/>
    <w:rsid w:val="00AB242C"/>
    <w:rPr>
      <w:color w:val="0000FF"/>
      <w:u w:val="single"/>
    </w:rPr>
  </w:style>
  <w:style w:type="paragraph" w:customStyle="1" w:styleId="naisnod">
    <w:name w:val="naisnod"/>
    <w:basedOn w:val="Normal"/>
    <w:rsid w:val="00AB24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YBodytextwithoutparaspaceCharChar">
    <w:name w:val="EY Body text (without para space) Char Char"/>
    <w:basedOn w:val="DefaultParagraphFont"/>
    <w:link w:val="EYBodytextwithoutparaspace"/>
    <w:rsid w:val="001B0773"/>
    <w:rPr>
      <w:rFonts w:ascii="EYInterstate Light" w:hAnsi="EYInterstate Light"/>
      <w:kern w:val="12"/>
      <w:szCs w:val="24"/>
    </w:rPr>
  </w:style>
  <w:style w:type="paragraph" w:customStyle="1" w:styleId="EYBodytextwithoutparaspace">
    <w:name w:val="EY Body text (without para space)"/>
    <w:basedOn w:val="Normal"/>
    <w:link w:val="EYBodytextwithoutparaspaceCharChar"/>
    <w:rsid w:val="001B0773"/>
    <w:pPr>
      <w:spacing w:after="0" w:line="240" w:lineRule="auto"/>
    </w:pPr>
    <w:rPr>
      <w:rFonts w:ascii="EYInterstate Light" w:hAnsi="EYInterstate Light"/>
      <w:kern w:val="12"/>
      <w:szCs w:val="24"/>
    </w:rPr>
  </w:style>
  <w:style w:type="paragraph" w:styleId="BalloonText">
    <w:name w:val="Balloon Text"/>
    <w:basedOn w:val="Normal"/>
    <w:link w:val="BalloonTextChar"/>
    <w:uiPriority w:val="99"/>
    <w:semiHidden/>
    <w:unhideWhenUsed/>
    <w:rsid w:val="00C21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F37"/>
    <w:rPr>
      <w:rFonts w:ascii="Tahoma" w:hAnsi="Tahoma" w:cs="Tahoma"/>
      <w:sz w:val="16"/>
      <w:szCs w:val="16"/>
    </w:rPr>
  </w:style>
  <w:style w:type="paragraph" w:customStyle="1" w:styleId="tvhtml">
    <w:name w:val="tv_html"/>
    <w:basedOn w:val="Normal"/>
    <w:rsid w:val="003464B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59667">
      <w:bodyDiv w:val="1"/>
      <w:marLeft w:val="0"/>
      <w:marRight w:val="0"/>
      <w:marTop w:val="0"/>
      <w:marBottom w:val="0"/>
      <w:divBdr>
        <w:top w:val="none" w:sz="0" w:space="0" w:color="auto"/>
        <w:left w:val="none" w:sz="0" w:space="0" w:color="auto"/>
        <w:bottom w:val="none" w:sz="0" w:space="0" w:color="auto"/>
        <w:right w:val="none" w:sz="0" w:space="0" w:color="auto"/>
      </w:divBdr>
    </w:div>
    <w:div w:id="1285040373">
      <w:bodyDiv w:val="1"/>
      <w:marLeft w:val="0"/>
      <w:marRight w:val="0"/>
      <w:marTop w:val="0"/>
      <w:marBottom w:val="0"/>
      <w:divBdr>
        <w:top w:val="none" w:sz="0" w:space="0" w:color="auto"/>
        <w:left w:val="none" w:sz="0" w:space="0" w:color="auto"/>
        <w:bottom w:val="none" w:sz="0" w:space="0" w:color="auto"/>
        <w:right w:val="none" w:sz="0" w:space="0" w:color="auto"/>
      </w:divBdr>
    </w:div>
    <w:div w:id="21423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Juste@l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2618</TotalTime>
  <Pages>8</Pages>
  <Words>11978</Words>
  <Characters>6829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Sociālās integrācijas valsts aģentūras sniegto publisko maksas pakalpojumu cenrādis</vt:lpstr>
    </vt:vector>
  </TitlesOfParts>
  <Company>Labklājības ministrija</Company>
  <LinksUpToDate>false</LinksUpToDate>
  <CharactersWithSpaces>18770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Sociālās integrācijas valsts aģentūras sniegto publisko maksas pakalpojumu cenrādis</dc:title>
  <dc:subject>Anotācija</dc:subject>
  <dc:creator>Liga Juste</dc:creator>
  <dc:description>Līga Juste
Liga.Juste@lm.gov.lv,
67021669
fakss 67276445</dc:description>
  <cp:lastModifiedBy>Liga Juste</cp:lastModifiedBy>
  <cp:revision>63</cp:revision>
  <cp:lastPrinted>2013-09-04T07:21:00Z</cp:lastPrinted>
  <dcterms:created xsi:type="dcterms:W3CDTF">2013-06-10T06:22:00Z</dcterms:created>
  <dcterms:modified xsi:type="dcterms:W3CDTF">2013-09-13T06:27:00Z</dcterms:modified>
</cp:coreProperties>
</file>