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B4" w:rsidRPr="008E2C91" w:rsidRDefault="00C662B4" w:rsidP="00DD7216">
      <w:pPr>
        <w:jc w:val="both"/>
        <w:rPr>
          <w:sz w:val="26"/>
          <w:szCs w:val="26"/>
        </w:rPr>
      </w:pPr>
      <w:r w:rsidRPr="008E2C91">
        <w:rPr>
          <w:sz w:val="26"/>
          <w:szCs w:val="26"/>
        </w:rPr>
        <w:t xml:space="preserve">2012.gada     </w:t>
      </w:r>
      <w:r w:rsidRPr="008E2C91">
        <w:rPr>
          <w:sz w:val="26"/>
          <w:szCs w:val="26"/>
        </w:rPr>
        <w:tab/>
      </w:r>
      <w:r w:rsidRPr="008E2C91">
        <w:rPr>
          <w:sz w:val="26"/>
          <w:szCs w:val="26"/>
        </w:rPr>
        <w:tab/>
      </w:r>
      <w:r w:rsidRPr="008E2C91">
        <w:rPr>
          <w:sz w:val="26"/>
          <w:szCs w:val="26"/>
        </w:rPr>
        <w:tab/>
      </w:r>
      <w:r w:rsidRPr="008E2C91">
        <w:rPr>
          <w:sz w:val="26"/>
          <w:szCs w:val="26"/>
        </w:rPr>
        <w:tab/>
      </w:r>
      <w:r w:rsidRPr="008E2C91">
        <w:rPr>
          <w:sz w:val="26"/>
          <w:szCs w:val="26"/>
        </w:rPr>
        <w:tab/>
      </w:r>
      <w:r w:rsidRPr="008E2C91">
        <w:rPr>
          <w:sz w:val="26"/>
          <w:szCs w:val="26"/>
        </w:rPr>
        <w:tab/>
        <w:t xml:space="preserve">          </w:t>
      </w:r>
      <w:r w:rsidRPr="008E2C91">
        <w:rPr>
          <w:sz w:val="26"/>
          <w:szCs w:val="26"/>
        </w:rPr>
        <w:tab/>
      </w:r>
      <w:r w:rsidRPr="008E2C91">
        <w:rPr>
          <w:sz w:val="26"/>
          <w:szCs w:val="26"/>
        </w:rPr>
        <w:tab/>
        <w:t>Noteikumi Nr.</w:t>
      </w:r>
    </w:p>
    <w:p w:rsidR="00C662B4" w:rsidRPr="008E2C91" w:rsidRDefault="00C662B4" w:rsidP="00DD7216">
      <w:pPr>
        <w:jc w:val="both"/>
        <w:rPr>
          <w:sz w:val="26"/>
          <w:szCs w:val="26"/>
        </w:rPr>
      </w:pPr>
      <w:r w:rsidRPr="008E2C91">
        <w:rPr>
          <w:sz w:val="26"/>
          <w:szCs w:val="26"/>
        </w:rPr>
        <w:t>Rīgā</w:t>
      </w:r>
      <w:r w:rsidRPr="008E2C91">
        <w:rPr>
          <w:sz w:val="26"/>
          <w:szCs w:val="26"/>
        </w:rPr>
        <w:tab/>
      </w:r>
      <w:r w:rsidRPr="008E2C91">
        <w:rPr>
          <w:sz w:val="26"/>
          <w:szCs w:val="26"/>
        </w:rPr>
        <w:tab/>
      </w:r>
      <w:r w:rsidRPr="008E2C91">
        <w:rPr>
          <w:sz w:val="26"/>
          <w:szCs w:val="26"/>
        </w:rPr>
        <w:tab/>
      </w:r>
      <w:r w:rsidRPr="008E2C91">
        <w:rPr>
          <w:sz w:val="26"/>
          <w:szCs w:val="26"/>
        </w:rPr>
        <w:tab/>
      </w:r>
      <w:r w:rsidRPr="008E2C91">
        <w:rPr>
          <w:sz w:val="26"/>
          <w:szCs w:val="26"/>
        </w:rPr>
        <w:tab/>
      </w:r>
      <w:r w:rsidRPr="008E2C91">
        <w:rPr>
          <w:sz w:val="26"/>
          <w:szCs w:val="26"/>
        </w:rPr>
        <w:tab/>
      </w:r>
      <w:r w:rsidRPr="008E2C91">
        <w:rPr>
          <w:sz w:val="26"/>
          <w:szCs w:val="26"/>
        </w:rPr>
        <w:tab/>
      </w:r>
      <w:r w:rsidRPr="008E2C91">
        <w:rPr>
          <w:sz w:val="26"/>
          <w:szCs w:val="26"/>
        </w:rPr>
        <w:tab/>
      </w:r>
      <w:r w:rsidRPr="008E2C91">
        <w:rPr>
          <w:sz w:val="26"/>
          <w:szCs w:val="26"/>
        </w:rPr>
        <w:tab/>
        <w:t>(prot. Nr.          .§)</w:t>
      </w:r>
    </w:p>
    <w:p w:rsidR="00C662B4" w:rsidRPr="008E2C91" w:rsidRDefault="00C662B4" w:rsidP="00DD7216">
      <w:pPr>
        <w:pStyle w:val="NormalWeb"/>
        <w:spacing w:before="0" w:after="0"/>
        <w:jc w:val="both"/>
        <w:rPr>
          <w:b/>
          <w:bCs/>
          <w:sz w:val="26"/>
          <w:szCs w:val="26"/>
        </w:rPr>
      </w:pPr>
    </w:p>
    <w:p w:rsidR="00C662B4" w:rsidRPr="008E2C91" w:rsidRDefault="00C662B4" w:rsidP="00DD7216">
      <w:pPr>
        <w:pStyle w:val="NormalWeb"/>
        <w:spacing w:before="0" w:after="0"/>
        <w:jc w:val="center"/>
        <w:rPr>
          <w:sz w:val="26"/>
          <w:szCs w:val="26"/>
        </w:rPr>
      </w:pPr>
      <w:r w:rsidRPr="008E2C91">
        <w:rPr>
          <w:b/>
          <w:bCs/>
          <w:sz w:val="26"/>
          <w:szCs w:val="26"/>
        </w:rPr>
        <w:t>Grozījum</w:t>
      </w:r>
      <w:r>
        <w:rPr>
          <w:b/>
          <w:bCs/>
          <w:sz w:val="26"/>
          <w:szCs w:val="26"/>
        </w:rPr>
        <w:t>i</w:t>
      </w:r>
      <w:r w:rsidRPr="008E2C91">
        <w:rPr>
          <w:b/>
          <w:bCs/>
          <w:sz w:val="26"/>
          <w:szCs w:val="26"/>
        </w:rPr>
        <w:t xml:space="preserve"> Ministru kabineta 2008.gada 14.jūlija noteikumos Nr.560 „Noteikumi par darbības programmas „Cilvēkresursi un nodarbinātība” papildinājuma 1.4.1.2.2.apakšaktivitāti „Sociālās rehabilitācijas pakalpojumu attīstība personām ar redzes un dzirdes traucējumiem””</w:t>
      </w:r>
    </w:p>
    <w:p w:rsidR="00C662B4" w:rsidRPr="008E2C91" w:rsidRDefault="00C662B4" w:rsidP="00DD7216">
      <w:pPr>
        <w:pStyle w:val="naisf"/>
        <w:spacing w:before="0" w:after="0"/>
        <w:rPr>
          <w:i/>
          <w:iCs/>
          <w:color w:val="000000"/>
          <w:sz w:val="26"/>
          <w:szCs w:val="26"/>
        </w:rPr>
      </w:pPr>
      <w:r w:rsidRPr="008E2C91">
        <w:rPr>
          <w:i/>
          <w:iCs/>
          <w:sz w:val="26"/>
          <w:szCs w:val="26"/>
        </w:rPr>
        <w:t> </w:t>
      </w:r>
    </w:p>
    <w:p w:rsidR="00C662B4" w:rsidRPr="008E2C91" w:rsidRDefault="00C662B4" w:rsidP="00DD7216">
      <w:pPr>
        <w:pStyle w:val="naislab"/>
        <w:spacing w:before="0" w:after="0"/>
        <w:rPr>
          <w:color w:val="000000"/>
          <w:sz w:val="26"/>
          <w:szCs w:val="26"/>
        </w:rPr>
      </w:pPr>
      <w:r w:rsidRPr="008E2C91">
        <w:rPr>
          <w:color w:val="000000"/>
          <w:sz w:val="26"/>
          <w:szCs w:val="26"/>
        </w:rPr>
        <w:t>Izdoti saskaņā ar Eiropas Savienības struktūrfondu un</w:t>
      </w:r>
    </w:p>
    <w:p w:rsidR="00C662B4" w:rsidRPr="008E2C91" w:rsidRDefault="00C662B4" w:rsidP="00DD7216">
      <w:pPr>
        <w:pStyle w:val="naislab"/>
        <w:spacing w:before="0" w:after="0"/>
        <w:rPr>
          <w:color w:val="000000"/>
          <w:sz w:val="26"/>
          <w:szCs w:val="26"/>
        </w:rPr>
      </w:pPr>
      <w:r w:rsidRPr="008E2C91">
        <w:rPr>
          <w:color w:val="000000"/>
          <w:sz w:val="26"/>
          <w:szCs w:val="26"/>
        </w:rPr>
        <w:t xml:space="preserve">Kohēzijas fonda vadības likuma </w:t>
      </w:r>
      <w:hyperlink r:id="rId7" w:anchor="1" w:tgtFrame="_top" w:tooltip="Eiropas Savienības struktūrfondu un Kohēzijas fonda vadības likums" w:history="1">
        <w:r w:rsidRPr="008E2C91">
          <w:rPr>
            <w:rStyle w:val="Hyperlink"/>
            <w:color w:val="000000"/>
            <w:sz w:val="26"/>
            <w:szCs w:val="26"/>
            <w:u w:val="none"/>
          </w:rPr>
          <w:t>18.panta 10.punktu</w:t>
        </w:r>
      </w:hyperlink>
    </w:p>
    <w:p w:rsidR="00C662B4" w:rsidRPr="008E2C91" w:rsidRDefault="00C662B4" w:rsidP="00DD7216">
      <w:pPr>
        <w:pStyle w:val="naisf"/>
        <w:spacing w:before="0" w:after="0"/>
        <w:ind w:firstLine="900"/>
        <w:rPr>
          <w:sz w:val="26"/>
          <w:szCs w:val="26"/>
        </w:rPr>
      </w:pPr>
      <w:r w:rsidRPr="008E2C91">
        <w:rPr>
          <w:sz w:val="26"/>
          <w:szCs w:val="26"/>
        </w:rPr>
        <w:t> </w:t>
      </w:r>
    </w:p>
    <w:p w:rsidR="00C662B4" w:rsidRPr="008E2C91" w:rsidRDefault="00C662B4" w:rsidP="00DD7216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8E2C91">
        <w:rPr>
          <w:sz w:val="26"/>
          <w:szCs w:val="26"/>
        </w:rPr>
        <w:t>Izdarīt Ministru kabineta 2008.gada 14.jūlija</w:t>
      </w:r>
      <w:r w:rsidRPr="008E2C91">
        <w:rPr>
          <w:b/>
          <w:sz w:val="26"/>
          <w:szCs w:val="26"/>
        </w:rPr>
        <w:t xml:space="preserve"> </w:t>
      </w:r>
      <w:r w:rsidRPr="008E2C91">
        <w:rPr>
          <w:sz w:val="26"/>
          <w:szCs w:val="26"/>
        </w:rPr>
        <w:t>noteikumos Nr.560 „Noteikumi par darbības programmas Cilvēkresursi un nodarbinātība” papildinājuma apakšaktivitāti „</w:t>
      </w:r>
      <w:r w:rsidRPr="008E2C91">
        <w:rPr>
          <w:bCs/>
          <w:sz w:val="26"/>
          <w:szCs w:val="26"/>
        </w:rPr>
        <w:t>Sociālās rehabilitācijas pakalpojumu attīstība personām ar redzes un dzirdes traucējumiem</w:t>
      </w:r>
      <w:r w:rsidRPr="008E2C91">
        <w:rPr>
          <w:sz w:val="26"/>
          <w:szCs w:val="26"/>
        </w:rPr>
        <w:t>”” (Latvijas Vēstnesis, 2008, 123.nr., 2009, 62., 181.nr., 2011, 60., 162.nr.) šādu</w:t>
      </w:r>
      <w:r>
        <w:rPr>
          <w:sz w:val="26"/>
          <w:szCs w:val="26"/>
        </w:rPr>
        <w:t>s</w:t>
      </w:r>
      <w:r w:rsidRPr="008E2C91">
        <w:rPr>
          <w:sz w:val="26"/>
          <w:szCs w:val="26"/>
        </w:rPr>
        <w:t xml:space="preserve"> grozījumu</w:t>
      </w:r>
      <w:r>
        <w:rPr>
          <w:sz w:val="26"/>
          <w:szCs w:val="26"/>
        </w:rPr>
        <w:t>s</w:t>
      </w:r>
      <w:r w:rsidRPr="008E2C91">
        <w:rPr>
          <w:sz w:val="26"/>
          <w:szCs w:val="26"/>
        </w:rPr>
        <w:t xml:space="preserve">: </w:t>
      </w:r>
    </w:p>
    <w:p w:rsidR="00C662B4" w:rsidRPr="008E2C91" w:rsidRDefault="00C662B4" w:rsidP="00DD7216">
      <w:pPr>
        <w:pStyle w:val="NormalWeb"/>
        <w:spacing w:before="0" w:after="0"/>
        <w:ind w:firstLine="720"/>
        <w:jc w:val="both"/>
        <w:rPr>
          <w:sz w:val="26"/>
          <w:szCs w:val="26"/>
        </w:rPr>
      </w:pPr>
    </w:p>
    <w:p w:rsidR="00C662B4" w:rsidRPr="008E2C91" w:rsidRDefault="00C662B4" w:rsidP="00DD7216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8E2C91">
        <w:rPr>
          <w:sz w:val="26"/>
          <w:szCs w:val="26"/>
        </w:rPr>
        <w:t>1. Izteikt noteikumu 61.1.apakšpunktu šādā redakcijā:</w:t>
      </w:r>
    </w:p>
    <w:p w:rsidR="00C662B4" w:rsidRDefault="00C662B4" w:rsidP="0076118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2C91">
        <w:rPr>
          <w:sz w:val="26"/>
          <w:szCs w:val="26"/>
        </w:rPr>
        <w:t>„61.1. persona ar redzes traucējumiem</w:t>
      </w:r>
      <w:r>
        <w:rPr>
          <w:sz w:val="26"/>
          <w:szCs w:val="26"/>
        </w:rPr>
        <w:t>, kurai normatīvajos aktos noteiktajā kārtībā redzes traucējumu dēļ noteikta invaliditāte,</w:t>
      </w:r>
      <w:r w:rsidRPr="008E2C91">
        <w:rPr>
          <w:sz w:val="26"/>
          <w:szCs w:val="26"/>
        </w:rPr>
        <w:t xml:space="preserve"> iesniedz iesniegumu par atbalsta piešķiršanu šo noteikumu 13.punktā minētajam sadarbības partnerim</w:t>
      </w:r>
      <w:r>
        <w:rPr>
          <w:sz w:val="26"/>
          <w:szCs w:val="26"/>
        </w:rPr>
        <w:t>.  Ja personai ar redzes traucējumiem nav noteikta invaliditāte, persona iesniegumam</w:t>
      </w:r>
      <w:r w:rsidRPr="00761181">
        <w:rPr>
          <w:sz w:val="26"/>
          <w:szCs w:val="26"/>
        </w:rPr>
        <w:t xml:space="preserve"> </w:t>
      </w:r>
      <w:r w:rsidRPr="008E2C91">
        <w:rPr>
          <w:sz w:val="26"/>
          <w:szCs w:val="26"/>
        </w:rPr>
        <w:t>par atbalsta piešķiršanu</w:t>
      </w:r>
      <w:r>
        <w:rPr>
          <w:sz w:val="26"/>
          <w:szCs w:val="26"/>
        </w:rPr>
        <w:t xml:space="preserve"> pievieno</w:t>
      </w:r>
      <w:r w:rsidRPr="008E2C91">
        <w:rPr>
          <w:sz w:val="26"/>
          <w:szCs w:val="26"/>
        </w:rPr>
        <w:t xml:space="preserve"> sertificēta oftalmologa atzinumu, kas apliecina, ka personas redzes asums labāk redzošajai acij ar maksimālu korekciju ir zemāks par 0,1 un redzes lauks sašaurinās mazāk par 20 grādiem no fiksācijas punkta</w:t>
      </w:r>
      <w:r>
        <w:rPr>
          <w:sz w:val="26"/>
          <w:szCs w:val="26"/>
        </w:rPr>
        <w:t>. Iesniegumu par šo noteikumu 5.4.apakšpunktā noteiktā atbalsta piešķiršanu var iesniegt un šo atbalstu var saņemt personas, kurām normatīvajos aktos noteiktajā kārtībā noteikta I grupas invaliditāte redzes traucējumu dēļ</w:t>
      </w:r>
      <w:r w:rsidRPr="00DC0EE4">
        <w:rPr>
          <w:sz w:val="26"/>
          <w:szCs w:val="26"/>
        </w:rPr>
        <w:t>;</w:t>
      </w:r>
      <w:r>
        <w:rPr>
          <w:sz w:val="26"/>
          <w:szCs w:val="26"/>
        </w:rPr>
        <w:t>”.</w:t>
      </w:r>
    </w:p>
    <w:p w:rsidR="00C662B4" w:rsidRDefault="00C662B4" w:rsidP="00DD72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662B4" w:rsidRDefault="00C662B4" w:rsidP="00DD72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Svītrot šo noteikumu 61.1.1. un 61.1.2.apakšpunktu.</w:t>
      </w:r>
    </w:p>
    <w:p w:rsidR="00C662B4" w:rsidRDefault="00C662B4" w:rsidP="00DD72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662B4" w:rsidRDefault="00C662B4" w:rsidP="00DD72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Papildināt noteikumus ar 61.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punktu šādā redakcijā:</w:t>
      </w:r>
    </w:p>
    <w:p w:rsidR="00C662B4" w:rsidRDefault="00C662B4" w:rsidP="00DD72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„61.</w:t>
      </w:r>
      <w:r>
        <w:rPr>
          <w:sz w:val="26"/>
          <w:szCs w:val="26"/>
          <w:vertAlign w:val="superscript"/>
        </w:rPr>
        <w:t xml:space="preserve">1 </w:t>
      </w:r>
      <w:r>
        <w:rPr>
          <w:sz w:val="26"/>
          <w:szCs w:val="26"/>
        </w:rPr>
        <w:t xml:space="preserve">Iesniegumā par atbalsta piešķiršanu persona, kurai normatīvajos aktos noteiktajā kārtībā noteikta invaliditāte, izsaka rakstveida piekrišanu, ka </w:t>
      </w:r>
      <w:r w:rsidRPr="008E2C91">
        <w:rPr>
          <w:sz w:val="26"/>
          <w:szCs w:val="26"/>
        </w:rPr>
        <w:t>šo noteikumu 13.punktā</w:t>
      </w:r>
      <w:r>
        <w:rPr>
          <w:sz w:val="26"/>
          <w:szCs w:val="26"/>
        </w:rPr>
        <w:t xml:space="preserve"> minētais</w:t>
      </w:r>
      <w:r w:rsidRPr="008E2C91">
        <w:rPr>
          <w:sz w:val="26"/>
          <w:szCs w:val="26"/>
        </w:rPr>
        <w:t xml:space="preserve"> sadarbības partneri</w:t>
      </w:r>
      <w:r>
        <w:rPr>
          <w:sz w:val="26"/>
          <w:szCs w:val="26"/>
        </w:rPr>
        <w:t xml:space="preserve">s pieprasa un saņem no </w:t>
      </w:r>
      <w:r w:rsidRPr="008E2C91">
        <w:rPr>
          <w:sz w:val="26"/>
          <w:szCs w:val="26"/>
        </w:rPr>
        <w:t>Veselības un darbspēju ekspertīzes ārstu valsts komisijas</w:t>
      </w:r>
      <w:r>
        <w:rPr>
          <w:sz w:val="26"/>
          <w:szCs w:val="26"/>
        </w:rPr>
        <w:t xml:space="preserve"> informāciju par to, vai šai personai invaliditāte noteikta redzes traucējumu dēļ vai uzrāda invaliditātes apliecību un iesniegumam pievieno dokumentus, kas apliecina, ka personai invaliditāte ir piešķirta redzes traucējumu dēļ,</w:t>
      </w:r>
      <w:r w:rsidRPr="0078435B">
        <w:rPr>
          <w:sz w:val="26"/>
          <w:szCs w:val="26"/>
        </w:rPr>
        <w:t xml:space="preserve"> </w:t>
      </w:r>
      <w:r>
        <w:rPr>
          <w:sz w:val="26"/>
          <w:szCs w:val="26"/>
        </w:rPr>
        <w:t>ja šāda piekrišana iesniegumā nav izteikta.”.</w:t>
      </w:r>
    </w:p>
    <w:p w:rsidR="00C662B4" w:rsidRDefault="00C662B4" w:rsidP="00DD72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662B4" w:rsidRDefault="00C662B4" w:rsidP="007D4F8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Izteikt šo noteikumu 63.punktu šādā redakcijā:</w:t>
      </w:r>
    </w:p>
    <w:p w:rsidR="00C662B4" w:rsidRPr="00CF3402" w:rsidRDefault="00C662B4" w:rsidP="007D4F8E">
      <w:pPr>
        <w:autoSpaceDE w:val="0"/>
        <w:autoSpaceDN w:val="0"/>
        <w:adjustRightInd w:val="0"/>
        <w:ind w:firstLine="720"/>
        <w:jc w:val="both"/>
        <w:rPr>
          <w:rFonts w:ascii="Tms Rmn" w:hAnsi="Tms Rmn" w:cs="Tms Rmn"/>
          <w:color w:val="000000"/>
          <w:u w:val="single"/>
        </w:rPr>
      </w:pPr>
      <w:r>
        <w:rPr>
          <w:sz w:val="26"/>
          <w:szCs w:val="26"/>
        </w:rPr>
        <w:t xml:space="preserve">„63. </w:t>
      </w:r>
      <w:r w:rsidRPr="006D2490">
        <w:rPr>
          <w:sz w:val="26"/>
          <w:szCs w:val="26"/>
        </w:rPr>
        <w:t xml:space="preserve">Pēc šo noteikumu </w:t>
      </w:r>
      <w:r w:rsidRPr="007C4F2B">
        <w:rPr>
          <w:sz w:val="26"/>
          <w:szCs w:val="26"/>
        </w:rPr>
        <w:t>61.</w:t>
      </w:r>
      <w:r>
        <w:rPr>
          <w:sz w:val="26"/>
          <w:szCs w:val="26"/>
        </w:rPr>
        <w:t>1.apakš</w:t>
      </w:r>
      <w:r w:rsidRPr="007C4F2B">
        <w:rPr>
          <w:sz w:val="26"/>
          <w:szCs w:val="26"/>
        </w:rPr>
        <w:t>punktā</w:t>
      </w:r>
      <w:r w:rsidRPr="006D2490">
        <w:rPr>
          <w:sz w:val="26"/>
          <w:szCs w:val="26"/>
        </w:rPr>
        <w:t xml:space="preserve"> minēt</w:t>
      </w:r>
      <w:r>
        <w:rPr>
          <w:sz w:val="26"/>
          <w:szCs w:val="26"/>
        </w:rPr>
        <w:t>ā</w:t>
      </w:r>
      <w:r w:rsidRPr="006D2490">
        <w:rPr>
          <w:sz w:val="26"/>
          <w:szCs w:val="26"/>
        </w:rPr>
        <w:t xml:space="preserve"> iesniegum</w:t>
      </w:r>
      <w:r>
        <w:rPr>
          <w:sz w:val="26"/>
          <w:szCs w:val="26"/>
        </w:rPr>
        <w:t>a</w:t>
      </w:r>
      <w:r w:rsidRPr="006D24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</w:t>
      </w:r>
      <w:r w:rsidRPr="00CA7882">
        <w:rPr>
          <w:color w:val="000000"/>
          <w:sz w:val="26"/>
          <w:szCs w:val="26"/>
        </w:rPr>
        <w:t>nepieciešamības gadījumā saskaņā ar šo noteikumu 61.</w:t>
      </w:r>
      <w:r w:rsidRPr="00CA7882">
        <w:rPr>
          <w:color w:val="000000"/>
          <w:sz w:val="26"/>
          <w:szCs w:val="26"/>
          <w:vertAlign w:val="superscript"/>
        </w:rPr>
        <w:t>1</w:t>
      </w:r>
      <w:r w:rsidRPr="00CA7882">
        <w:rPr>
          <w:color w:val="000000"/>
          <w:sz w:val="26"/>
          <w:szCs w:val="26"/>
        </w:rPr>
        <w:t>punktā noteikto</w:t>
      </w:r>
      <w:r w:rsidRPr="00F603C6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no </w:t>
      </w:r>
      <w:r w:rsidRPr="008E2C91">
        <w:rPr>
          <w:sz w:val="26"/>
          <w:szCs w:val="26"/>
        </w:rPr>
        <w:t>Veselības un darbspēju ekspertīzes ārstu valsts komisijas</w:t>
      </w:r>
      <w:r>
        <w:rPr>
          <w:sz w:val="26"/>
          <w:szCs w:val="26"/>
        </w:rPr>
        <w:t xml:space="preserve"> saņemtās informācijas par to, ka personai invaliditāte piešķirta redzes traucējumu dēļ,</w:t>
      </w:r>
      <w:r w:rsidRPr="00375BEC">
        <w:rPr>
          <w:sz w:val="26"/>
          <w:szCs w:val="26"/>
        </w:rPr>
        <w:t xml:space="preserve"> izskatīšanas</w:t>
      </w:r>
      <w:r w:rsidRPr="006D2490">
        <w:rPr>
          <w:sz w:val="26"/>
          <w:szCs w:val="26"/>
        </w:rPr>
        <w:t xml:space="preserve"> šo noteikumu </w:t>
      </w:r>
      <w:r w:rsidRPr="007C4F2B">
        <w:rPr>
          <w:sz w:val="26"/>
          <w:szCs w:val="26"/>
        </w:rPr>
        <w:t>13.punktā</w:t>
      </w:r>
      <w:r w:rsidRPr="006D2490">
        <w:rPr>
          <w:sz w:val="26"/>
          <w:szCs w:val="26"/>
        </w:rPr>
        <w:t xml:space="preserve"> minētais sadarbības partneris pieņem lēmumu par šo noteikumu 5.2., 5.3. un 5.4.apakšpunktā minētā atbalsta piešķiršanu personai ar redzes traucējumiem vai atteikumu piešķirt atbalstu.</w:t>
      </w:r>
      <w:r>
        <w:rPr>
          <w:sz w:val="26"/>
          <w:szCs w:val="26"/>
        </w:rPr>
        <w:t>”.</w:t>
      </w:r>
    </w:p>
    <w:p w:rsidR="00C662B4" w:rsidRDefault="00C662B4" w:rsidP="00DD72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662B4" w:rsidRPr="00375BEC" w:rsidRDefault="00C662B4" w:rsidP="00DD72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Aizstāt noteikumu 64.punktā skaitli un vārdu „61.punktā” ar skaitli un vārdu „61.2.apakšpunktā”.</w:t>
      </w:r>
    </w:p>
    <w:p w:rsidR="00C662B4" w:rsidRDefault="00C662B4" w:rsidP="00DD72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662B4" w:rsidRDefault="00C662B4" w:rsidP="00DD72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Papildināt noteikumus ar 84.punktu šādā redakcijā:</w:t>
      </w:r>
    </w:p>
    <w:p w:rsidR="00C662B4" w:rsidRDefault="00C662B4" w:rsidP="00DD72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„84. Ja persona, iesniedzot iesniegumu par atbalsta piešķiršanu, ir uzrādījusi </w:t>
      </w:r>
      <w:r w:rsidRPr="008E2C91">
        <w:rPr>
          <w:sz w:val="26"/>
          <w:szCs w:val="26"/>
        </w:rPr>
        <w:t>Rīgas pilsētas 9.veselības un darbspēju ekspertīzes nodaļas (specializētās acu komisijas)</w:t>
      </w:r>
      <w:r>
        <w:rPr>
          <w:sz w:val="26"/>
          <w:szCs w:val="26"/>
        </w:rPr>
        <w:t xml:space="preserve"> izsniegto invalīda apliecību, </w:t>
      </w:r>
      <w:r w:rsidRPr="008E2C91">
        <w:rPr>
          <w:sz w:val="26"/>
          <w:szCs w:val="26"/>
        </w:rPr>
        <w:t xml:space="preserve">šo noteikumu </w:t>
      </w:r>
      <w:hyperlink r:id="rId8" w:anchor="p13#p13" w:history="1">
        <w:r w:rsidRPr="008E2C91">
          <w:rPr>
            <w:sz w:val="26"/>
            <w:szCs w:val="26"/>
          </w:rPr>
          <w:t>13.punktā</w:t>
        </w:r>
      </w:hyperlink>
      <w:r w:rsidRPr="008E2C91">
        <w:rPr>
          <w:sz w:val="26"/>
          <w:szCs w:val="26"/>
        </w:rPr>
        <w:t xml:space="preserve"> minēta</w:t>
      </w:r>
      <w:r>
        <w:rPr>
          <w:sz w:val="26"/>
          <w:szCs w:val="26"/>
        </w:rPr>
        <w:t xml:space="preserve">is sadarbības partneris, lemjot par atbalsta piešķiršanu personai, no </w:t>
      </w:r>
      <w:r w:rsidRPr="008E2C91">
        <w:rPr>
          <w:sz w:val="26"/>
          <w:szCs w:val="26"/>
        </w:rPr>
        <w:t>Veselības un darbspēju ekspertīzes ārstu valsts komisijas</w:t>
      </w:r>
      <w:r>
        <w:rPr>
          <w:sz w:val="26"/>
          <w:szCs w:val="26"/>
        </w:rPr>
        <w:t xml:space="preserve"> šo noteikumu 61.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punktā minēto informāciju nepieprasa.”.</w:t>
      </w:r>
    </w:p>
    <w:p w:rsidR="00C662B4" w:rsidRDefault="00C662B4" w:rsidP="007C4F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62B4" w:rsidRDefault="00C662B4" w:rsidP="007C4F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62B4" w:rsidRDefault="00C662B4" w:rsidP="007C4F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095"/>
        <w:gridCol w:w="3096"/>
        <w:gridCol w:w="3096"/>
      </w:tblGrid>
      <w:tr w:rsidR="00C662B4" w:rsidTr="003B52F9">
        <w:tc>
          <w:tcPr>
            <w:tcW w:w="3095" w:type="dxa"/>
          </w:tcPr>
          <w:p w:rsidR="00C662B4" w:rsidRPr="003B52F9" w:rsidRDefault="00C662B4" w:rsidP="003B5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52F9">
              <w:rPr>
                <w:sz w:val="26"/>
                <w:szCs w:val="26"/>
              </w:rPr>
              <w:t xml:space="preserve">Ministru prezidents                                                         </w:t>
            </w:r>
          </w:p>
        </w:tc>
        <w:tc>
          <w:tcPr>
            <w:tcW w:w="3096" w:type="dxa"/>
          </w:tcPr>
          <w:p w:rsidR="00C662B4" w:rsidRPr="003B52F9" w:rsidRDefault="00C662B4" w:rsidP="003B5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96" w:type="dxa"/>
          </w:tcPr>
          <w:p w:rsidR="00C662B4" w:rsidRPr="003B52F9" w:rsidRDefault="00C662B4" w:rsidP="003B52F9">
            <w:pPr>
              <w:ind w:firstLine="720"/>
              <w:jc w:val="right"/>
              <w:rPr>
                <w:sz w:val="26"/>
                <w:szCs w:val="26"/>
              </w:rPr>
            </w:pPr>
            <w:r w:rsidRPr="003B52F9">
              <w:rPr>
                <w:sz w:val="26"/>
                <w:szCs w:val="26"/>
              </w:rPr>
              <w:t>V.Dombrovskis</w:t>
            </w:r>
          </w:p>
        </w:tc>
      </w:tr>
      <w:tr w:rsidR="00C662B4" w:rsidTr="003B52F9">
        <w:tc>
          <w:tcPr>
            <w:tcW w:w="3095" w:type="dxa"/>
          </w:tcPr>
          <w:p w:rsidR="00C662B4" w:rsidRPr="003B52F9" w:rsidRDefault="00C662B4" w:rsidP="003B5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96" w:type="dxa"/>
          </w:tcPr>
          <w:p w:rsidR="00C662B4" w:rsidRPr="003B52F9" w:rsidRDefault="00C662B4" w:rsidP="003B5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96" w:type="dxa"/>
          </w:tcPr>
          <w:p w:rsidR="00C662B4" w:rsidRPr="003B52F9" w:rsidRDefault="00C662B4" w:rsidP="003B5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662B4" w:rsidRPr="003B52F9" w:rsidRDefault="00C662B4" w:rsidP="003B5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662B4" w:rsidTr="003B52F9">
        <w:tc>
          <w:tcPr>
            <w:tcW w:w="3095" w:type="dxa"/>
          </w:tcPr>
          <w:p w:rsidR="00C662B4" w:rsidRPr="003B52F9" w:rsidRDefault="00C662B4" w:rsidP="003B5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52F9">
              <w:rPr>
                <w:sz w:val="26"/>
                <w:szCs w:val="26"/>
              </w:rPr>
              <w:t xml:space="preserve">Labklājības ministre                                                          </w:t>
            </w:r>
          </w:p>
        </w:tc>
        <w:tc>
          <w:tcPr>
            <w:tcW w:w="3096" w:type="dxa"/>
          </w:tcPr>
          <w:p w:rsidR="00C662B4" w:rsidRPr="003B52F9" w:rsidRDefault="00C662B4" w:rsidP="003B5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96" w:type="dxa"/>
          </w:tcPr>
          <w:p w:rsidR="00C662B4" w:rsidRPr="003B52F9" w:rsidRDefault="00C662B4" w:rsidP="003B52F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2F9">
              <w:rPr>
                <w:sz w:val="26"/>
                <w:szCs w:val="26"/>
              </w:rPr>
              <w:t>I.Viņķele</w:t>
            </w:r>
          </w:p>
        </w:tc>
      </w:tr>
    </w:tbl>
    <w:p w:rsidR="00C662B4" w:rsidRDefault="00C662B4" w:rsidP="007C4F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62B4" w:rsidRPr="008E2C91" w:rsidRDefault="00C662B4" w:rsidP="00DD72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662B4" w:rsidRDefault="00C662B4" w:rsidP="00DD7216">
      <w:pPr>
        <w:pStyle w:val="NormalWeb"/>
        <w:spacing w:before="0" w:after="0"/>
        <w:jc w:val="both"/>
        <w:rPr>
          <w:sz w:val="26"/>
          <w:szCs w:val="26"/>
        </w:rPr>
      </w:pPr>
    </w:p>
    <w:p w:rsidR="00C662B4" w:rsidRPr="008E2C91" w:rsidRDefault="00C662B4" w:rsidP="00DD7216">
      <w:pPr>
        <w:pStyle w:val="NormalWeb"/>
        <w:spacing w:before="0" w:after="0"/>
        <w:jc w:val="both"/>
        <w:rPr>
          <w:sz w:val="26"/>
          <w:szCs w:val="26"/>
        </w:rPr>
      </w:pPr>
    </w:p>
    <w:p w:rsidR="00C662B4" w:rsidRPr="008E2C91" w:rsidRDefault="00C662B4" w:rsidP="00DD7216">
      <w:pPr>
        <w:rPr>
          <w:sz w:val="26"/>
          <w:szCs w:val="26"/>
        </w:rPr>
      </w:pPr>
    </w:p>
    <w:p w:rsidR="00C662B4" w:rsidRPr="008E2C91" w:rsidRDefault="00C662B4" w:rsidP="00DD7216">
      <w:pPr>
        <w:rPr>
          <w:sz w:val="26"/>
          <w:szCs w:val="26"/>
        </w:rPr>
      </w:pPr>
    </w:p>
    <w:p w:rsidR="00C662B4" w:rsidRPr="008E2C91" w:rsidRDefault="00C662B4" w:rsidP="00DD7216">
      <w:pPr>
        <w:rPr>
          <w:sz w:val="26"/>
          <w:szCs w:val="26"/>
        </w:rPr>
      </w:pPr>
      <w:r w:rsidRPr="008E2C91">
        <w:rPr>
          <w:sz w:val="26"/>
          <w:szCs w:val="26"/>
        </w:rPr>
        <w:tab/>
      </w:r>
    </w:p>
    <w:p w:rsidR="00C662B4" w:rsidRPr="00FC5555" w:rsidRDefault="00C662B4" w:rsidP="00DD7216">
      <w:pPr>
        <w:jc w:val="both"/>
        <w:rPr>
          <w:sz w:val="20"/>
          <w:szCs w:val="20"/>
        </w:rPr>
      </w:pPr>
    </w:p>
    <w:p w:rsidR="00C662B4" w:rsidRPr="00FC5555" w:rsidRDefault="00C662B4" w:rsidP="00DD7216">
      <w:pPr>
        <w:jc w:val="both"/>
        <w:rPr>
          <w:sz w:val="20"/>
          <w:szCs w:val="20"/>
        </w:rPr>
      </w:pPr>
    </w:p>
    <w:p w:rsidR="00C662B4" w:rsidRPr="00FC5555" w:rsidRDefault="00C662B4" w:rsidP="00DD7216">
      <w:pPr>
        <w:jc w:val="both"/>
        <w:rPr>
          <w:sz w:val="20"/>
          <w:szCs w:val="20"/>
        </w:rPr>
      </w:pPr>
      <w:r>
        <w:rPr>
          <w:sz w:val="20"/>
          <w:szCs w:val="20"/>
        </w:rPr>
        <w:t>05</w:t>
      </w:r>
      <w:r w:rsidRPr="00FC5555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FC5555">
        <w:rPr>
          <w:sz w:val="20"/>
          <w:szCs w:val="20"/>
        </w:rPr>
        <w:t xml:space="preserve">.12. </w:t>
      </w:r>
      <w:r>
        <w:rPr>
          <w:sz w:val="20"/>
          <w:szCs w:val="20"/>
        </w:rPr>
        <w:t>13</w:t>
      </w:r>
      <w:r w:rsidRPr="00FC5555">
        <w:rPr>
          <w:sz w:val="20"/>
          <w:szCs w:val="20"/>
        </w:rPr>
        <w:t>:</w:t>
      </w:r>
      <w:r>
        <w:rPr>
          <w:sz w:val="20"/>
          <w:szCs w:val="20"/>
        </w:rPr>
        <w:t>35</w:t>
      </w:r>
    </w:p>
    <w:p w:rsidR="00C662B4" w:rsidRPr="00FC5555" w:rsidRDefault="00C662B4" w:rsidP="00DD7216">
      <w:pPr>
        <w:rPr>
          <w:sz w:val="20"/>
          <w:szCs w:val="20"/>
        </w:rPr>
      </w:pPr>
      <w:r>
        <w:rPr>
          <w:sz w:val="20"/>
          <w:szCs w:val="20"/>
        </w:rPr>
        <w:t>421</w:t>
      </w:r>
    </w:p>
    <w:p w:rsidR="00C662B4" w:rsidRPr="00350648" w:rsidRDefault="00C662B4" w:rsidP="00DD7216">
      <w:pPr>
        <w:rPr>
          <w:sz w:val="20"/>
          <w:szCs w:val="20"/>
        </w:rPr>
      </w:pPr>
      <w:r w:rsidRPr="00350648">
        <w:rPr>
          <w:sz w:val="20"/>
          <w:szCs w:val="20"/>
        </w:rPr>
        <w:t>Anna Vībe, 67021648</w:t>
      </w:r>
    </w:p>
    <w:p w:rsidR="00C662B4" w:rsidRPr="009B7F3A" w:rsidRDefault="00C662B4" w:rsidP="00005CBD">
      <w:pPr>
        <w:tabs>
          <w:tab w:val="left" w:pos="960"/>
        </w:tabs>
        <w:jc w:val="both"/>
        <w:rPr>
          <w:sz w:val="20"/>
          <w:szCs w:val="20"/>
          <w:u w:val="single"/>
        </w:rPr>
      </w:pPr>
      <w:r w:rsidRPr="009B7F3A">
        <w:rPr>
          <w:sz w:val="20"/>
          <w:szCs w:val="20"/>
          <w:u w:val="single"/>
        </w:rPr>
        <w:t xml:space="preserve">Anna.Vibe@lm.gov.lv    </w:t>
      </w:r>
    </w:p>
    <w:sectPr w:rsidR="00C662B4" w:rsidRPr="009B7F3A" w:rsidSect="00DD721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B4" w:rsidRDefault="00C662B4">
      <w:r>
        <w:separator/>
      </w:r>
    </w:p>
  </w:endnote>
  <w:endnote w:type="continuationSeparator" w:id="1">
    <w:p w:rsidR="00C662B4" w:rsidRDefault="00C6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B4" w:rsidRPr="0063095D" w:rsidRDefault="00C662B4" w:rsidP="0063095D">
    <w:pPr>
      <w:pStyle w:val="NormalWeb"/>
      <w:jc w:val="both"/>
      <w:rPr>
        <w:sz w:val="20"/>
        <w:szCs w:val="20"/>
      </w:rPr>
    </w:pPr>
    <w:r>
      <w:rPr>
        <w:sz w:val="20"/>
        <w:szCs w:val="20"/>
      </w:rPr>
      <w:t>LMNot_011112</w:t>
    </w:r>
    <w:r w:rsidRPr="0063095D">
      <w:rPr>
        <w:sz w:val="20"/>
        <w:szCs w:val="20"/>
      </w:rPr>
      <w:t>_560</w:t>
    </w:r>
    <w:r>
      <w:rPr>
        <w:sz w:val="20"/>
        <w:szCs w:val="20"/>
      </w:rPr>
      <w:t>_groz</w:t>
    </w:r>
    <w:r w:rsidRPr="0063095D">
      <w:rPr>
        <w:sz w:val="20"/>
        <w:szCs w:val="20"/>
      </w:rPr>
      <w:t>; Grozījumi Ministru kabineta 2008.gada 14.jūlija noteikumos Nr.560 ”Noteikumi par darbības programmas ”Cilvēkresursi un nodarbinātība” papildinājuma 1.4.1.2.2.apakšaktivitāti ”Sociālās rehabilitācijas pakalpojumu attīstība personām ar redzes un dzirdes traucējumiem””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B4" w:rsidRPr="0063095D" w:rsidRDefault="00C662B4" w:rsidP="0063333C">
    <w:pPr>
      <w:pStyle w:val="NormalWeb"/>
      <w:jc w:val="both"/>
      <w:rPr>
        <w:sz w:val="20"/>
        <w:szCs w:val="20"/>
      </w:rPr>
    </w:pPr>
    <w:r>
      <w:rPr>
        <w:sz w:val="20"/>
        <w:szCs w:val="20"/>
      </w:rPr>
      <w:t>LMNot_011112</w:t>
    </w:r>
    <w:r w:rsidRPr="00224DCA">
      <w:rPr>
        <w:sz w:val="20"/>
        <w:szCs w:val="20"/>
      </w:rPr>
      <w:t>_</w:t>
    </w:r>
    <w:r>
      <w:rPr>
        <w:sz w:val="20"/>
        <w:szCs w:val="20"/>
      </w:rPr>
      <w:t>560_groz</w:t>
    </w:r>
    <w:r w:rsidRPr="00224DCA">
      <w:rPr>
        <w:sz w:val="20"/>
        <w:szCs w:val="20"/>
      </w:rPr>
      <w:t xml:space="preserve">; </w:t>
    </w:r>
    <w:r>
      <w:rPr>
        <w:bCs/>
        <w:sz w:val="20"/>
        <w:szCs w:val="20"/>
      </w:rPr>
      <w:t>Grozījumi</w:t>
    </w:r>
    <w:r w:rsidRPr="0063095D">
      <w:rPr>
        <w:bCs/>
        <w:sz w:val="20"/>
        <w:szCs w:val="20"/>
      </w:rPr>
      <w:t xml:space="preserve"> Ministru kabineta 2008.gada 14.jūlija noteikumos Nr.560 ”Noteikumi par darbības programmas ”Cilvēkresursi un nodarbinātība” papildinājuma 1.4.1.2.2.apakšaktivitāti ”Sociālās rehabilitācijas pakalpojumu attīstība personām ar redzes un dzirdes traucējumiem””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B4" w:rsidRDefault="00C662B4">
      <w:r>
        <w:separator/>
      </w:r>
    </w:p>
  </w:footnote>
  <w:footnote w:type="continuationSeparator" w:id="1">
    <w:p w:rsidR="00C662B4" w:rsidRDefault="00C6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B4" w:rsidRDefault="00C662B4" w:rsidP="009C32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662B4" w:rsidRDefault="00C662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B4" w:rsidRDefault="00C662B4" w:rsidP="009C32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62B4" w:rsidRDefault="00C662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577"/>
    <w:multiLevelType w:val="hybridMultilevel"/>
    <w:tmpl w:val="E064114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C14312"/>
    <w:multiLevelType w:val="hybridMultilevel"/>
    <w:tmpl w:val="2D244394"/>
    <w:lvl w:ilvl="0" w:tplc="0D64FF78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">
    <w:nsid w:val="3C164EF0"/>
    <w:multiLevelType w:val="hybridMultilevel"/>
    <w:tmpl w:val="237CBE98"/>
    <w:lvl w:ilvl="0" w:tplc="2CA2D0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636"/>
    <w:rsid w:val="00005CBD"/>
    <w:rsid w:val="00005CF2"/>
    <w:rsid w:val="0002559D"/>
    <w:rsid w:val="000269E9"/>
    <w:rsid w:val="00031087"/>
    <w:rsid w:val="00034C70"/>
    <w:rsid w:val="00041854"/>
    <w:rsid w:val="000507F5"/>
    <w:rsid w:val="000529AF"/>
    <w:rsid w:val="000617CF"/>
    <w:rsid w:val="00071B73"/>
    <w:rsid w:val="00083547"/>
    <w:rsid w:val="00083A1F"/>
    <w:rsid w:val="00090092"/>
    <w:rsid w:val="000A01FF"/>
    <w:rsid w:val="000C0BCF"/>
    <w:rsid w:val="000C2853"/>
    <w:rsid w:val="000D0421"/>
    <w:rsid w:val="000D2AE1"/>
    <w:rsid w:val="000D3EB6"/>
    <w:rsid w:val="000D56DA"/>
    <w:rsid w:val="000D740F"/>
    <w:rsid w:val="000F5853"/>
    <w:rsid w:val="00105143"/>
    <w:rsid w:val="00105CCB"/>
    <w:rsid w:val="00110C7B"/>
    <w:rsid w:val="00111311"/>
    <w:rsid w:val="00114C0F"/>
    <w:rsid w:val="00122067"/>
    <w:rsid w:val="001312FD"/>
    <w:rsid w:val="00140A57"/>
    <w:rsid w:val="0014707C"/>
    <w:rsid w:val="001623DF"/>
    <w:rsid w:val="00164DA3"/>
    <w:rsid w:val="00171E15"/>
    <w:rsid w:val="00174F27"/>
    <w:rsid w:val="001773DE"/>
    <w:rsid w:val="00191CDC"/>
    <w:rsid w:val="001A4884"/>
    <w:rsid w:val="001A4C27"/>
    <w:rsid w:val="001B3057"/>
    <w:rsid w:val="001B4505"/>
    <w:rsid w:val="001D17FB"/>
    <w:rsid w:val="001E1293"/>
    <w:rsid w:val="001E39FB"/>
    <w:rsid w:val="001F1527"/>
    <w:rsid w:val="001F172A"/>
    <w:rsid w:val="001F77D2"/>
    <w:rsid w:val="00206EBF"/>
    <w:rsid w:val="00211314"/>
    <w:rsid w:val="002122A8"/>
    <w:rsid w:val="002249E8"/>
    <w:rsid w:val="00224DCA"/>
    <w:rsid w:val="00230DF3"/>
    <w:rsid w:val="0024445E"/>
    <w:rsid w:val="0024593D"/>
    <w:rsid w:val="00260FF2"/>
    <w:rsid w:val="002753C4"/>
    <w:rsid w:val="002755E8"/>
    <w:rsid w:val="002811BE"/>
    <w:rsid w:val="002A07B8"/>
    <w:rsid w:val="002A293F"/>
    <w:rsid w:val="002B3AFA"/>
    <w:rsid w:val="002C03DB"/>
    <w:rsid w:val="002C6AEB"/>
    <w:rsid w:val="002D7404"/>
    <w:rsid w:val="002F103B"/>
    <w:rsid w:val="002F1648"/>
    <w:rsid w:val="00300580"/>
    <w:rsid w:val="00301031"/>
    <w:rsid w:val="00304F3C"/>
    <w:rsid w:val="00310617"/>
    <w:rsid w:val="003174F3"/>
    <w:rsid w:val="003232BA"/>
    <w:rsid w:val="00335FFF"/>
    <w:rsid w:val="0033747C"/>
    <w:rsid w:val="00350648"/>
    <w:rsid w:val="00360CBD"/>
    <w:rsid w:val="003753A8"/>
    <w:rsid w:val="00375BEC"/>
    <w:rsid w:val="00381AD9"/>
    <w:rsid w:val="003A1894"/>
    <w:rsid w:val="003A4B1C"/>
    <w:rsid w:val="003B31EE"/>
    <w:rsid w:val="003B45EE"/>
    <w:rsid w:val="003B52F9"/>
    <w:rsid w:val="003D18F3"/>
    <w:rsid w:val="003D42A2"/>
    <w:rsid w:val="004050A8"/>
    <w:rsid w:val="00405F0F"/>
    <w:rsid w:val="0042085B"/>
    <w:rsid w:val="00424C4F"/>
    <w:rsid w:val="00430334"/>
    <w:rsid w:val="00432437"/>
    <w:rsid w:val="00434742"/>
    <w:rsid w:val="004630D6"/>
    <w:rsid w:val="00470929"/>
    <w:rsid w:val="00473FEF"/>
    <w:rsid w:val="004845AD"/>
    <w:rsid w:val="004A2576"/>
    <w:rsid w:val="004A28C7"/>
    <w:rsid w:val="004B0241"/>
    <w:rsid w:val="004B15D0"/>
    <w:rsid w:val="004C5290"/>
    <w:rsid w:val="004D6A75"/>
    <w:rsid w:val="004E76AF"/>
    <w:rsid w:val="004F12A8"/>
    <w:rsid w:val="004F61D1"/>
    <w:rsid w:val="005113EA"/>
    <w:rsid w:val="00512C7E"/>
    <w:rsid w:val="00514EF1"/>
    <w:rsid w:val="005163E7"/>
    <w:rsid w:val="0052170F"/>
    <w:rsid w:val="005340A5"/>
    <w:rsid w:val="0053707B"/>
    <w:rsid w:val="00541DFE"/>
    <w:rsid w:val="00546DE6"/>
    <w:rsid w:val="00547A75"/>
    <w:rsid w:val="005516B0"/>
    <w:rsid w:val="005575A4"/>
    <w:rsid w:val="005578E7"/>
    <w:rsid w:val="00566089"/>
    <w:rsid w:val="00570402"/>
    <w:rsid w:val="005714F1"/>
    <w:rsid w:val="00575556"/>
    <w:rsid w:val="005974AC"/>
    <w:rsid w:val="005A2D7E"/>
    <w:rsid w:val="005A7CF6"/>
    <w:rsid w:val="005C0E6F"/>
    <w:rsid w:val="005C1767"/>
    <w:rsid w:val="005C79E7"/>
    <w:rsid w:val="005F23AE"/>
    <w:rsid w:val="005F56EF"/>
    <w:rsid w:val="00605D07"/>
    <w:rsid w:val="00616EAC"/>
    <w:rsid w:val="0063095D"/>
    <w:rsid w:val="0063333C"/>
    <w:rsid w:val="006359C3"/>
    <w:rsid w:val="00657488"/>
    <w:rsid w:val="00657A6E"/>
    <w:rsid w:val="00663A4B"/>
    <w:rsid w:val="00672F95"/>
    <w:rsid w:val="00683FDB"/>
    <w:rsid w:val="00691B4C"/>
    <w:rsid w:val="006940A7"/>
    <w:rsid w:val="006A34D0"/>
    <w:rsid w:val="006B33A9"/>
    <w:rsid w:val="006B68A6"/>
    <w:rsid w:val="006B6C0F"/>
    <w:rsid w:val="006B7518"/>
    <w:rsid w:val="006C5499"/>
    <w:rsid w:val="006D2490"/>
    <w:rsid w:val="006D265D"/>
    <w:rsid w:val="006E22FA"/>
    <w:rsid w:val="006E55B1"/>
    <w:rsid w:val="006E71B0"/>
    <w:rsid w:val="006F22B1"/>
    <w:rsid w:val="006F7727"/>
    <w:rsid w:val="00703761"/>
    <w:rsid w:val="00715E0F"/>
    <w:rsid w:val="007258CA"/>
    <w:rsid w:val="0074546F"/>
    <w:rsid w:val="00747AEF"/>
    <w:rsid w:val="00747CF6"/>
    <w:rsid w:val="00750913"/>
    <w:rsid w:val="00761181"/>
    <w:rsid w:val="0076527D"/>
    <w:rsid w:val="007658E3"/>
    <w:rsid w:val="00782AD0"/>
    <w:rsid w:val="0078435B"/>
    <w:rsid w:val="00796700"/>
    <w:rsid w:val="007A012A"/>
    <w:rsid w:val="007A2E22"/>
    <w:rsid w:val="007A529A"/>
    <w:rsid w:val="007A5DDB"/>
    <w:rsid w:val="007C3548"/>
    <w:rsid w:val="007C4F2B"/>
    <w:rsid w:val="007C7769"/>
    <w:rsid w:val="007D256A"/>
    <w:rsid w:val="007D4F8E"/>
    <w:rsid w:val="007E1F17"/>
    <w:rsid w:val="007E2496"/>
    <w:rsid w:val="00811818"/>
    <w:rsid w:val="008215C4"/>
    <w:rsid w:val="00855670"/>
    <w:rsid w:val="00861A58"/>
    <w:rsid w:val="00863E02"/>
    <w:rsid w:val="0086460A"/>
    <w:rsid w:val="008665BE"/>
    <w:rsid w:val="00870FBB"/>
    <w:rsid w:val="00872304"/>
    <w:rsid w:val="00872D08"/>
    <w:rsid w:val="00881F08"/>
    <w:rsid w:val="00883192"/>
    <w:rsid w:val="008B5200"/>
    <w:rsid w:val="008C353C"/>
    <w:rsid w:val="008C404F"/>
    <w:rsid w:val="008C695E"/>
    <w:rsid w:val="008C6C02"/>
    <w:rsid w:val="008D574B"/>
    <w:rsid w:val="008D655F"/>
    <w:rsid w:val="008D7873"/>
    <w:rsid w:val="008E2C91"/>
    <w:rsid w:val="0090280F"/>
    <w:rsid w:val="0090555B"/>
    <w:rsid w:val="00907336"/>
    <w:rsid w:val="00921B3C"/>
    <w:rsid w:val="00957688"/>
    <w:rsid w:val="00963B2C"/>
    <w:rsid w:val="00984F44"/>
    <w:rsid w:val="009A4232"/>
    <w:rsid w:val="009A4F3B"/>
    <w:rsid w:val="009A6489"/>
    <w:rsid w:val="009A7106"/>
    <w:rsid w:val="009B788D"/>
    <w:rsid w:val="009B7F3A"/>
    <w:rsid w:val="009C32FB"/>
    <w:rsid w:val="009D4004"/>
    <w:rsid w:val="009E27F1"/>
    <w:rsid w:val="009E2ADA"/>
    <w:rsid w:val="009E5318"/>
    <w:rsid w:val="009F1ACC"/>
    <w:rsid w:val="00A03288"/>
    <w:rsid w:val="00A05256"/>
    <w:rsid w:val="00A05CA8"/>
    <w:rsid w:val="00A13299"/>
    <w:rsid w:val="00A21100"/>
    <w:rsid w:val="00A30AC5"/>
    <w:rsid w:val="00A35B73"/>
    <w:rsid w:val="00A44B3F"/>
    <w:rsid w:val="00A534C7"/>
    <w:rsid w:val="00A54471"/>
    <w:rsid w:val="00A77753"/>
    <w:rsid w:val="00A823DB"/>
    <w:rsid w:val="00A84500"/>
    <w:rsid w:val="00AA4042"/>
    <w:rsid w:val="00AB4632"/>
    <w:rsid w:val="00AC6F1E"/>
    <w:rsid w:val="00AE0513"/>
    <w:rsid w:val="00AE065C"/>
    <w:rsid w:val="00AF291A"/>
    <w:rsid w:val="00AF2B58"/>
    <w:rsid w:val="00AF2BC6"/>
    <w:rsid w:val="00B029F5"/>
    <w:rsid w:val="00B2516E"/>
    <w:rsid w:val="00B31636"/>
    <w:rsid w:val="00B32025"/>
    <w:rsid w:val="00B42111"/>
    <w:rsid w:val="00B5753D"/>
    <w:rsid w:val="00B85449"/>
    <w:rsid w:val="00BE1556"/>
    <w:rsid w:val="00C223F1"/>
    <w:rsid w:val="00C32011"/>
    <w:rsid w:val="00C43D16"/>
    <w:rsid w:val="00C5414F"/>
    <w:rsid w:val="00C662B4"/>
    <w:rsid w:val="00C71088"/>
    <w:rsid w:val="00C80C59"/>
    <w:rsid w:val="00C80D12"/>
    <w:rsid w:val="00C96AC2"/>
    <w:rsid w:val="00CA7882"/>
    <w:rsid w:val="00CB7694"/>
    <w:rsid w:val="00CB7D04"/>
    <w:rsid w:val="00CC12ED"/>
    <w:rsid w:val="00CD4E22"/>
    <w:rsid w:val="00CD7405"/>
    <w:rsid w:val="00CF2EC7"/>
    <w:rsid w:val="00CF3402"/>
    <w:rsid w:val="00D03E16"/>
    <w:rsid w:val="00D15421"/>
    <w:rsid w:val="00D22C97"/>
    <w:rsid w:val="00D2432B"/>
    <w:rsid w:val="00D31067"/>
    <w:rsid w:val="00D43536"/>
    <w:rsid w:val="00D537E7"/>
    <w:rsid w:val="00D5428D"/>
    <w:rsid w:val="00D56DB5"/>
    <w:rsid w:val="00D61A0D"/>
    <w:rsid w:val="00D8198B"/>
    <w:rsid w:val="00D93BEA"/>
    <w:rsid w:val="00DB4764"/>
    <w:rsid w:val="00DC0EE4"/>
    <w:rsid w:val="00DC2083"/>
    <w:rsid w:val="00DC2845"/>
    <w:rsid w:val="00DC386B"/>
    <w:rsid w:val="00DC501C"/>
    <w:rsid w:val="00DC76A7"/>
    <w:rsid w:val="00DD7216"/>
    <w:rsid w:val="00DE2DA8"/>
    <w:rsid w:val="00DE38DA"/>
    <w:rsid w:val="00DF50E6"/>
    <w:rsid w:val="00DF5870"/>
    <w:rsid w:val="00E00931"/>
    <w:rsid w:val="00E00FA3"/>
    <w:rsid w:val="00E43D4B"/>
    <w:rsid w:val="00E45BE0"/>
    <w:rsid w:val="00E46835"/>
    <w:rsid w:val="00E64F0B"/>
    <w:rsid w:val="00E73A05"/>
    <w:rsid w:val="00E81543"/>
    <w:rsid w:val="00E96BBC"/>
    <w:rsid w:val="00EA239B"/>
    <w:rsid w:val="00EA4B4F"/>
    <w:rsid w:val="00EA4C31"/>
    <w:rsid w:val="00EA70E0"/>
    <w:rsid w:val="00EA78E8"/>
    <w:rsid w:val="00EC09CD"/>
    <w:rsid w:val="00ED1B0A"/>
    <w:rsid w:val="00EE455F"/>
    <w:rsid w:val="00F043D1"/>
    <w:rsid w:val="00F11EC8"/>
    <w:rsid w:val="00F12F2B"/>
    <w:rsid w:val="00F14B67"/>
    <w:rsid w:val="00F14DAA"/>
    <w:rsid w:val="00F21016"/>
    <w:rsid w:val="00F22C07"/>
    <w:rsid w:val="00F25626"/>
    <w:rsid w:val="00F3788E"/>
    <w:rsid w:val="00F4760E"/>
    <w:rsid w:val="00F54D36"/>
    <w:rsid w:val="00F603C6"/>
    <w:rsid w:val="00F7545E"/>
    <w:rsid w:val="00FA6A31"/>
    <w:rsid w:val="00FC5555"/>
    <w:rsid w:val="00FC5AA1"/>
    <w:rsid w:val="00FC7BC3"/>
    <w:rsid w:val="00FD1EA8"/>
    <w:rsid w:val="00FD6FC1"/>
    <w:rsid w:val="00FE10FD"/>
    <w:rsid w:val="00FE593A"/>
    <w:rsid w:val="00FF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1636"/>
    <w:pPr>
      <w:keepNext/>
      <w:tabs>
        <w:tab w:val="left" w:pos="6521"/>
        <w:tab w:val="left" w:pos="7938"/>
      </w:tabs>
      <w:ind w:firstLine="7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4F44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B31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84F4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31636"/>
    <w:pPr>
      <w:spacing w:before="75" w:after="75"/>
    </w:pPr>
  </w:style>
  <w:style w:type="paragraph" w:customStyle="1" w:styleId="naisf">
    <w:name w:val="naisf"/>
    <w:basedOn w:val="Normal"/>
    <w:uiPriority w:val="99"/>
    <w:rsid w:val="00B31636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B31636"/>
    <w:pPr>
      <w:spacing w:before="75" w:after="75"/>
      <w:jc w:val="right"/>
    </w:pPr>
  </w:style>
  <w:style w:type="character" w:styleId="Hyperlink">
    <w:name w:val="Hyperlink"/>
    <w:basedOn w:val="DefaultParagraphFont"/>
    <w:uiPriority w:val="99"/>
    <w:rsid w:val="00B31636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B31636"/>
    <w:pPr>
      <w:ind w:right="288" w:firstLine="720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84F44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B3163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316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95E"/>
    <w:rPr>
      <w:rFonts w:cs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6D2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4F44"/>
    <w:rPr>
      <w:rFonts w:cs="Times New Roman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3374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uiPriority w:val="99"/>
    <w:rsid w:val="007E24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vdoctopindex1">
    <w:name w:val="tv_doc_top_index1"/>
    <w:basedOn w:val="DefaultParagraphFont"/>
    <w:uiPriority w:val="99"/>
    <w:rsid w:val="004D6A75"/>
    <w:rPr>
      <w:rFonts w:cs="Times New Roman"/>
      <w:color w:val="64646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93B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3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4F4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3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4F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F44"/>
    <w:rPr>
      <w:rFonts w:cs="Times New Roman"/>
      <w:sz w:val="2"/>
    </w:rPr>
  </w:style>
  <w:style w:type="table" w:styleId="TableGrid">
    <w:name w:val="Table Grid"/>
    <w:basedOn w:val="TableNormal"/>
    <w:uiPriority w:val="99"/>
    <w:rsid w:val="008C69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B8544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6460A"/>
    <w:pPr>
      <w:spacing w:before="75" w:after="75"/>
      <w:jc w:val="center"/>
    </w:pPr>
  </w:style>
  <w:style w:type="paragraph" w:customStyle="1" w:styleId="tv2131">
    <w:name w:val="tv2131"/>
    <w:basedOn w:val="Normal"/>
    <w:uiPriority w:val="99"/>
    <w:rsid w:val="00CF2EC7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labojumupamats1">
    <w:name w:val="labojumu_pamats1"/>
    <w:basedOn w:val="Normal"/>
    <w:uiPriority w:val="99"/>
    <w:rsid w:val="00CF2EC7"/>
    <w:pPr>
      <w:spacing w:before="45" w:line="360" w:lineRule="auto"/>
      <w:ind w:firstLine="300"/>
    </w:pPr>
    <w:rPr>
      <w:rFonts w:ascii="Verdana" w:hAnsi="Verdana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796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.nais.lv/naiser/text.cfm?Ref=0101032007103000732&amp;Req=0101032007103000732&amp;Key=0103012007021532768&amp;Hash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2533</Words>
  <Characters>1445</Characters>
  <Application>Microsoft Office Outlook</Application>
  <DocSecurity>0</DocSecurity>
  <Lines>0</Lines>
  <Paragraphs>0</Paragraphs>
  <ScaleCrop>false</ScaleCrop>
  <Company>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14.jūlija noteikumos Nr.560 ”Noteikumi par darbības programmas ”Cilvēkresursi un nodarbinātība” papildinājuma 1.4.1.2.2.apakšaktivitāti ”Sociālās rehabilitācijas pakalpojumu attīstība personām ar redzes un dzirdes tra</dc:title>
  <dc:subject>MK noteikumu projekts</dc:subject>
  <dc:creator>Anna Vībe</dc:creator>
  <cp:keywords/>
  <dc:description>A.Vībe, Tālr.: 67021648,E-pasts: Anna.Vibe@lm.gov.lv</dc:description>
  <cp:lastModifiedBy>AnnaV</cp:lastModifiedBy>
  <cp:revision>18</cp:revision>
  <cp:lastPrinted>2012-10-02T10:28:00Z</cp:lastPrinted>
  <dcterms:created xsi:type="dcterms:W3CDTF">2012-10-02T10:46:00Z</dcterms:created>
  <dcterms:modified xsi:type="dcterms:W3CDTF">2012-11-05T11:35:00Z</dcterms:modified>
</cp:coreProperties>
</file>