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FC3" w:rsidRPr="001C7C0B" w:rsidRDefault="002F1FC3" w:rsidP="00164C13">
      <w:pPr>
        <w:pStyle w:val="naislab"/>
        <w:tabs>
          <w:tab w:val="left" w:pos="6480"/>
        </w:tabs>
        <w:spacing w:before="0" w:beforeAutospacing="0" w:after="0" w:afterAutospacing="0"/>
        <w:jc w:val="both"/>
        <w:rPr>
          <w:sz w:val="26"/>
          <w:szCs w:val="26"/>
        </w:rPr>
      </w:pPr>
      <w:r w:rsidRPr="001C7C0B">
        <w:rPr>
          <w:sz w:val="26"/>
          <w:szCs w:val="26"/>
        </w:rPr>
        <w:t>2012.gada</w:t>
      </w:r>
      <w:r w:rsidRPr="001C7C0B">
        <w:rPr>
          <w:sz w:val="26"/>
          <w:szCs w:val="26"/>
        </w:rPr>
        <w:tab/>
        <w:t>Noteikumi Nr.</w:t>
      </w:r>
    </w:p>
    <w:p w:rsidR="002F1FC3" w:rsidRPr="001C7C0B" w:rsidRDefault="002F1FC3" w:rsidP="00164C13">
      <w:pPr>
        <w:pStyle w:val="naislab"/>
        <w:tabs>
          <w:tab w:val="left" w:pos="6480"/>
        </w:tabs>
        <w:spacing w:before="0" w:beforeAutospacing="0" w:after="0" w:afterAutospacing="0"/>
        <w:jc w:val="both"/>
        <w:rPr>
          <w:sz w:val="26"/>
          <w:szCs w:val="26"/>
        </w:rPr>
      </w:pPr>
      <w:r w:rsidRPr="001C7C0B">
        <w:rPr>
          <w:sz w:val="26"/>
          <w:szCs w:val="26"/>
        </w:rPr>
        <w:t>Rīgā</w:t>
      </w:r>
      <w:r w:rsidRPr="001C7C0B">
        <w:rPr>
          <w:sz w:val="26"/>
          <w:szCs w:val="26"/>
        </w:rPr>
        <w:tab/>
        <w:t>(prot. Nr.      .§)</w:t>
      </w:r>
    </w:p>
    <w:p w:rsidR="002F1FC3" w:rsidRPr="001C7C0B" w:rsidRDefault="002F1FC3" w:rsidP="00164C13">
      <w:pPr>
        <w:jc w:val="center"/>
        <w:rPr>
          <w:b/>
          <w:sz w:val="26"/>
          <w:szCs w:val="26"/>
        </w:rPr>
      </w:pPr>
    </w:p>
    <w:p w:rsidR="002F1FC3" w:rsidRPr="001C7C0B" w:rsidRDefault="002F1FC3" w:rsidP="00164C13">
      <w:pPr>
        <w:jc w:val="center"/>
        <w:rPr>
          <w:b/>
          <w:sz w:val="26"/>
          <w:szCs w:val="26"/>
        </w:rPr>
      </w:pPr>
      <w:bookmarkStart w:id="0" w:name="OLE_LINK1"/>
      <w:bookmarkStart w:id="1" w:name="OLE_LINK2"/>
      <w:r w:rsidRPr="001C7C0B">
        <w:rPr>
          <w:b/>
          <w:sz w:val="26"/>
          <w:szCs w:val="26"/>
        </w:rPr>
        <w:t>Grozījum</w:t>
      </w:r>
      <w:r>
        <w:rPr>
          <w:b/>
          <w:sz w:val="26"/>
          <w:szCs w:val="26"/>
        </w:rPr>
        <w:t>i</w:t>
      </w:r>
      <w:r w:rsidRPr="001C7C0B">
        <w:rPr>
          <w:b/>
          <w:sz w:val="26"/>
          <w:szCs w:val="26"/>
        </w:rPr>
        <w:t xml:space="preserve"> Ministru kabineta 2007.gada 30.oktobra noteikumos Nr.732 </w:t>
      </w:r>
      <w:bookmarkEnd w:id="0"/>
      <w:bookmarkEnd w:id="1"/>
      <w:r w:rsidRPr="001C7C0B">
        <w:rPr>
          <w:b/>
          <w:sz w:val="26"/>
          <w:szCs w:val="26"/>
        </w:rPr>
        <w:t>„</w:t>
      </w:r>
      <w:r w:rsidRPr="001C7C0B">
        <w:rPr>
          <w:b/>
          <w:color w:val="000000"/>
          <w:sz w:val="26"/>
          <w:szCs w:val="26"/>
        </w:rPr>
        <w:t>Noteikumi par darbības programmas „Cilvēkresursi un nodarbinātība” papildinājuma apakšaktivitātes „Bezdarbnieku un darba meklētāju apmācība” pirmo un otro kārtu</w:t>
      </w:r>
      <w:r w:rsidRPr="001C7C0B">
        <w:rPr>
          <w:b/>
          <w:sz w:val="26"/>
          <w:szCs w:val="26"/>
        </w:rPr>
        <w:t>"</w:t>
      </w:r>
    </w:p>
    <w:p w:rsidR="002F1FC3" w:rsidRPr="001C7C0B" w:rsidRDefault="002F1FC3" w:rsidP="00164C13">
      <w:pPr>
        <w:jc w:val="center"/>
        <w:rPr>
          <w:b/>
          <w:sz w:val="26"/>
          <w:szCs w:val="26"/>
        </w:rPr>
      </w:pPr>
    </w:p>
    <w:p w:rsidR="002F1FC3" w:rsidRPr="001C7C0B" w:rsidRDefault="002F1FC3" w:rsidP="00164C13">
      <w:pPr>
        <w:jc w:val="right"/>
        <w:rPr>
          <w:sz w:val="26"/>
          <w:szCs w:val="26"/>
        </w:rPr>
      </w:pPr>
      <w:r w:rsidRPr="001C7C0B">
        <w:rPr>
          <w:sz w:val="26"/>
          <w:szCs w:val="26"/>
        </w:rPr>
        <w:t xml:space="preserve">Izdoti saskaņā ar Eiropas Savienības struktūrfondu un </w:t>
      </w:r>
    </w:p>
    <w:p w:rsidR="002F1FC3" w:rsidRPr="001C7C0B" w:rsidRDefault="002F1FC3" w:rsidP="00164C13">
      <w:pPr>
        <w:jc w:val="right"/>
        <w:rPr>
          <w:sz w:val="26"/>
          <w:szCs w:val="26"/>
        </w:rPr>
      </w:pPr>
      <w:r w:rsidRPr="001C7C0B">
        <w:rPr>
          <w:sz w:val="26"/>
          <w:szCs w:val="26"/>
        </w:rPr>
        <w:t>Kohēzijas fonda vadības likuma 18.panta 10.punktu</w:t>
      </w:r>
    </w:p>
    <w:p w:rsidR="002F1FC3" w:rsidRPr="001C7C0B" w:rsidRDefault="002F1FC3" w:rsidP="00164C13">
      <w:pPr>
        <w:ind w:firstLine="720"/>
        <w:jc w:val="both"/>
        <w:rPr>
          <w:sz w:val="26"/>
          <w:szCs w:val="26"/>
        </w:rPr>
      </w:pPr>
    </w:p>
    <w:p w:rsidR="002F1FC3" w:rsidRPr="001C7C0B" w:rsidRDefault="002F1FC3" w:rsidP="00164C13">
      <w:pPr>
        <w:ind w:firstLine="720"/>
        <w:jc w:val="both"/>
        <w:rPr>
          <w:sz w:val="26"/>
          <w:szCs w:val="26"/>
        </w:rPr>
      </w:pPr>
      <w:r w:rsidRPr="001C7C0B">
        <w:rPr>
          <w:sz w:val="26"/>
          <w:szCs w:val="26"/>
        </w:rPr>
        <w:t>Izdarīt Ministru kabineta 2007.gada 30.oktobra noteikumos Nr.732 „Noteikumi par darbības programmas „Cilvēkresursi un nodarbinātība” papildinājuma apakšaktivitāt</w:t>
      </w:r>
      <w:r>
        <w:rPr>
          <w:sz w:val="26"/>
          <w:szCs w:val="26"/>
        </w:rPr>
        <w:t>es</w:t>
      </w:r>
      <w:r w:rsidRPr="001C7C0B">
        <w:rPr>
          <w:sz w:val="26"/>
          <w:szCs w:val="26"/>
        </w:rPr>
        <w:t xml:space="preserve"> </w:t>
      </w:r>
      <w:r w:rsidRPr="001C7C0B">
        <w:rPr>
          <w:color w:val="000000"/>
          <w:sz w:val="26"/>
          <w:szCs w:val="26"/>
        </w:rPr>
        <w:t>„Bezdarbnieku un darba meklētāju apmācība” pirmo un otro kārtu</w:t>
      </w:r>
      <w:r w:rsidRPr="001C7C0B">
        <w:rPr>
          <w:sz w:val="26"/>
          <w:szCs w:val="26"/>
        </w:rPr>
        <w:t>”” (Latvijas Vēstnesis, 2007, 182.nr.; 2008, 33.nr.; 2009, 38., 122., 146.nr.; 2010, 34., 81., 130., 196.nr.; 2011, 27., 66., 99., 141., 196.nr.; 2012, 45., 121.nr.)</w:t>
      </w:r>
      <w:r w:rsidRPr="001C7C0B">
        <w:rPr>
          <w:b/>
          <w:sz w:val="26"/>
          <w:szCs w:val="26"/>
        </w:rPr>
        <w:t xml:space="preserve"> </w:t>
      </w:r>
      <w:r w:rsidRPr="001C7C0B">
        <w:rPr>
          <w:sz w:val="26"/>
          <w:szCs w:val="26"/>
        </w:rPr>
        <w:t>šādu</w:t>
      </w:r>
      <w:r>
        <w:rPr>
          <w:sz w:val="26"/>
          <w:szCs w:val="26"/>
        </w:rPr>
        <w:t>s</w:t>
      </w:r>
      <w:r w:rsidRPr="001C7C0B">
        <w:rPr>
          <w:sz w:val="26"/>
          <w:szCs w:val="26"/>
        </w:rPr>
        <w:t xml:space="preserve"> grozījumu</w:t>
      </w:r>
      <w:r>
        <w:rPr>
          <w:sz w:val="26"/>
          <w:szCs w:val="26"/>
        </w:rPr>
        <w:t>s</w:t>
      </w:r>
      <w:r w:rsidRPr="001C7C0B">
        <w:rPr>
          <w:sz w:val="26"/>
          <w:szCs w:val="26"/>
        </w:rPr>
        <w:t>:</w:t>
      </w:r>
    </w:p>
    <w:p w:rsidR="002F1FC3" w:rsidRPr="001C7C0B" w:rsidRDefault="002F1FC3" w:rsidP="00164C13">
      <w:pPr>
        <w:ind w:firstLine="720"/>
        <w:jc w:val="both"/>
        <w:rPr>
          <w:sz w:val="26"/>
          <w:szCs w:val="26"/>
        </w:rPr>
      </w:pPr>
    </w:p>
    <w:p w:rsidR="002F1FC3" w:rsidRDefault="002F1FC3" w:rsidP="003605F3">
      <w:pPr>
        <w:ind w:left="360" w:firstLine="360"/>
        <w:jc w:val="both"/>
        <w:rPr>
          <w:sz w:val="26"/>
          <w:szCs w:val="26"/>
        </w:rPr>
      </w:pPr>
      <w:r>
        <w:rPr>
          <w:sz w:val="26"/>
          <w:szCs w:val="26"/>
        </w:rPr>
        <w:t>1. Papildināt 5.</w:t>
      </w:r>
      <w:r>
        <w:rPr>
          <w:sz w:val="26"/>
          <w:szCs w:val="26"/>
          <w:vertAlign w:val="superscript"/>
        </w:rPr>
        <w:t>6</w:t>
      </w:r>
      <w:r>
        <w:rPr>
          <w:sz w:val="26"/>
          <w:szCs w:val="26"/>
        </w:rPr>
        <w:t>punktu ar otro teikumu šādā redakcijā:</w:t>
      </w:r>
    </w:p>
    <w:p w:rsidR="002F1FC3" w:rsidRDefault="002F1FC3" w:rsidP="003605F3">
      <w:pPr>
        <w:pStyle w:val="tv213tvp"/>
        <w:spacing w:before="0" w:beforeAutospacing="0" w:after="0" w:afterAutospacing="0"/>
        <w:ind w:firstLine="720"/>
        <w:jc w:val="both"/>
        <w:rPr>
          <w:sz w:val="26"/>
          <w:szCs w:val="26"/>
        </w:rPr>
      </w:pPr>
      <w:r>
        <w:rPr>
          <w:sz w:val="26"/>
          <w:szCs w:val="26"/>
        </w:rPr>
        <w:t>„</w:t>
      </w:r>
      <w:r w:rsidRPr="00731216">
        <w:rPr>
          <w:sz w:val="26"/>
          <w:szCs w:val="26"/>
        </w:rPr>
        <w:t xml:space="preserve">Sniedzot finanšu atbalstu šo noteikumu 5.3.apakšpunktā minētās atbalstāmās darbības ietvaros, papildus ievēro Komisijas 2007.gada 24.jūlija Regulu (EK) Nr.875/2007 par Līguma 87. un 88.panta piemērošanu </w:t>
      </w:r>
      <w:r w:rsidRPr="00731216">
        <w:rPr>
          <w:i/>
          <w:sz w:val="26"/>
          <w:szCs w:val="26"/>
        </w:rPr>
        <w:t>de minimis</w:t>
      </w:r>
      <w:r w:rsidRPr="00731216">
        <w:rPr>
          <w:sz w:val="26"/>
          <w:szCs w:val="26"/>
        </w:rPr>
        <w:t xml:space="preserve"> atbalstam zivsaimniecības nozarē un par Regulas (EK) Nr.1860/2004 grozīšanu (Eiropas Savienības Oficiālais Vēstnesis, 2007.gada 25.jūlijs, Nr. L 193) (turpmāk – Komisijas regula Nr.875/2007) </w:t>
      </w:r>
      <w:r w:rsidRPr="006421F6">
        <w:rPr>
          <w:sz w:val="26"/>
          <w:szCs w:val="26"/>
        </w:rPr>
        <w:t>attiecībā uz zivsaimniecības uzņēmumiem, kas darbojas saskaņā ar  Padomes 1999.gada 17.decembra Regulu (EK) Nr.104/2000 par zivsaimniecības un akvakultūras produktu tirgu kopīgo organizāciju (Eiropas Savienības Oficiālais Vēstnesis, 2000.gada 21.janvāris, Nr. L 17) (turpmāk – Padomes regula Nr.104/2000)</w:t>
      </w:r>
      <w:r w:rsidRPr="00731216">
        <w:rPr>
          <w:sz w:val="26"/>
          <w:szCs w:val="26"/>
        </w:rPr>
        <w:t xml:space="preserve">, un Komisijas 2007.gada 20.decembra Regulu (EK) Nr.1535/2007 par EK Līguma 87. un 88.panta piemērošanu </w:t>
      </w:r>
      <w:r w:rsidRPr="00731216">
        <w:rPr>
          <w:i/>
          <w:sz w:val="26"/>
          <w:szCs w:val="26"/>
        </w:rPr>
        <w:t>de minimis</w:t>
      </w:r>
      <w:r w:rsidRPr="00731216">
        <w:rPr>
          <w:sz w:val="26"/>
          <w:szCs w:val="26"/>
        </w:rPr>
        <w:t xml:space="preserve"> atbalstam lauksaimniecības produktu ražošanas nozarē (Eiropas Savienības Oficiālais Vēstnesis, 2007.gada 21.decembris, Nr. L 337) (turpmāk – Komisijas regula Nr.1535/2007)</w:t>
      </w:r>
      <w:r w:rsidRPr="003605F3">
        <w:rPr>
          <w:sz w:val="26"/>
          <w:szCs w:val="26"/>
        </w:rPr>
        <w:t>.</w:t>
      </w:r>
      <w:r>
        <w:rPr>
          <w:sz w:val="26"/>
          <w:szCs w:val="26"/>
        </w:rPr>
        <w:t xml:space="preserve">”. </w:t>
      </w:r>
    </w:p>
    <w:p w:rsidR="002F1FC3" w:rsidRDefault="002F1FC3" w:rsidP="003605F3">
      <w:pPr>
        <w:pStyle w:val="tv213tvp"/>
        <w:spacing w:before="0" w:beforeAutospacing="0" w:after="0" w:afterAutospacing="0"/>
        <w:ind w:firstLine="720"/>
        <w:jc w:val="both"/>
        <w:rPr>
          <w:sz w:val="26"/>
          <w:szCs w:val="26"/>
        </w:rPr>
      </w:pPr>
    </w:p>
    <w:p w:rsidR="002F1FC3" w:rsidRDefault="002F1FC3" w:rsidP="003605F3">
      <w:pPr>
        <w:pStyle w:val="tv213tvp"/>
        <w:spacing w:before="0" w:beforeAutospacing="0" w:after="0" w:afterAutospacing="0"/>
        <w:ind w:firstLine="720"/>
        <w:jc w:val="both"/>
        <w:rPr>
          <w:sz w:val="26"/>
          <w:szCs w:val="26"/>
        </w:rPr>
      </w:pPr>
      <w:r>
        <w:rPr>
          <w:sz w:val="26"/>
          <w:szCs w:val="26"/>
        </w:rPr>
        <w:t>2. Papildināt noteikumus ar 5.</w:t>
      </w:r>
      <w:r>
        <w:rPr>
          <w:sz w:val="26"/>
          <w:szCs w:val="26"/>
          <w:vertAlign w:val="superscript"/>
        </w:rPr>
        <w:t xml:space="preserve">8 </w:t>
      </w:r>
      <w:r>
        <w:rPr>
          <w:sz w:val="26"/>
          <w:szCs w:val="26"/>
        </w:rPr>
        <w:t>un 5.</w:t>
      </w:r>
      <w:r>
        <w:rPr>
          <w:sz w:val="26"/>
          <w:szCs w:val="26"/>
          <w:vertAlign w:val="superscript"/>
        </w:rPr>
        <w:t>9</w:t>
      </w:r>
      <w:r>
        <w:rPr>
          <w:sz w:val="26"/>
          <w:szCs w:val="26"/>
        </w:rPr>
        <w:t>punktu šādā redakcijā:</w:t>
      </w:r>
    </w:p>
    <w:p w:rsidR="002F1FC3" w:rsidRPr="00D45415" w:rsidRDefault="002F1FC3" w:rsidP="006D48EB">
      <w:pPr>
        <w:pStyle w:val="tv213tvp"/>
        <w:spacing w:before="0" w:beforeAutospacing="0" w:after="0" w:afterAutospacing="0"/>
        <w:ind w:firstLine="720"/>
        <w:jc w:val="both"/>
        <w:rPr>
          <w:sz w:val="26"/>
          <w:szCs w:val="26"/>
        </w:rPr>
      </w:pPr>
      <w:r>
        <w:rPr>
          <w:sz w:val="26"/>
          <w:szCs w:val="26"/>
        </w:rPr>
        <w:t>„5.</w:t>
      </w:r>
      <w:r>
        <w:rPr>
          <w:sz w:val="26"/>
          <w:szCs w:val="26"/>
          <w:vertAlign w:val="superscript"/>
        </w:rPr>
        <w:t>8</w:t>
      </w:r>
      <w:r>
        <w:rPr>
          <w:sz w:val="26"/>
          <w:szCs w:val="26"/>
        </w:rPr>
        <w:t xml:space="preserve"> P</w:t>
      </w:r>
      <w:r w:rsidRPr="00443E5B">
        <w:rPr>
          <w:sz w:val="26"/>
          <w:szCs w:val="26"/>
        </w:rPr>
        <w:t xml:space="preserve">ieņemot lēmumu par </w:t>
      </w:r>
      <w:r w:rsidRPr="00443E5B">
        <w:rPr>
          <w:i/>
          <w:sz w:val="26"/>
          <w:szCs w:val="26"/>
        </w:rPr>
        <w:t>de minimis</w:t>
      </w:r>
      <w:r w:rsidRPr="00443E5B">
        <w:rPr>
          <w:sz w:val="26"/>
          <w:szCs w:val="26"/>
        </w:rPr>
        <w:t xml:space="preserve"> atbalsta piešķiršanu šo noteikumu 5.3.apakšpunktā minētās atbalstāmās darbības ietvaros, papildus</w:t>
      </w:r>
      <w:r>
        <w:rPr>
          <w:sz w:val="26"/>
          <w:szCs w:val="26"/>
        </w:rPr>
        <w:t xml:space="preserve"> šo noteikumu 5.</w:t>
      </w:r>
      <w:r>
        <w:rPr>
          <w:sz w:val="26"/>
          <w:szCs w:val="26"/>
          <w:vertAlign w:val="superscript"/>
        </w:rPr>
        <w:t>7</w:t>
      </w:r>
      <w:r>
        <w:rPr>
          <w:sz w:val="26"/>
          <w:szCs w:val="26"/>
        </w:rPr>
        <w:t xml:space="preserve">punktā minētajam </w:t>
      </w:r>
      <w:r w:rsidRPr="00443E5B">
        <w:rPr>
          <w:sz w:val="26"/>
          <w:szCs w:val="26"/>
        </w:rPr>
        <w:t>ievēro šādus nosacījumus:</w:t>
      </w:r>
    </w:p>
    <w:p w:rsidR="002F1FC3" w:rsidRPr="006D48EB" w:rsidRDefault="002F1FC3" w:rsidP="006D48EB">
      <w:pPr>
        <w:pStyle w:val="tv213tvp"/>
        <w:spacing w:before="0" w:beforeAutospacing="0" w:after="0" w:afterAutospacing="0"/>
        <w:ind w:firstLine="720"/>
        <w:jc w:val="both"/>
        <w:rPr>
          <w:sz w:val="26"/>
          <w:szCs w:val="26"/>
        </w:rPr>
      </w:pPr>
      <w:r w:rsidRPr="006D48EB">
        <w:rPr>
          <w:sz w:val="26"/>
          <w:szCs w:val="26"/>
        </w:rPr>
        <w:t>5.</w:t>
      </w:r>
      <w:r>
        <w:rPr>
          <w:sz w:val="26"/>
          <w:szCs w:val="26"/>
          <w:vertAlign w:val="superscript"/>
        </w:rPr>
        <w:t>8</w:t>
      </w:r>
      <w:r w:rsidRPr="006D48EB">
        <w:rPr>
          <w:sz w:val="26"/>
          <w:szCs w:val="26"/>
        </w:rPr>
        <w:t xml:space="preserve">1. </w:t>
      </w:r>
      <w:r w:rsidRPr="00D45415">
        <w:rPr>
          <w:sz w:val="26"/>
          <w:szCs w:val="26"/>
        </w:rPr>
        <w:t>d</w:t>
      </w:r>
      <w:r w:rsidRPr="006D48EB">
        <w:rPr>
          <w:sz w:val="26"/>
          <w:szCs w:val="26"/>
        </w:rPr>
        <w:t xml:space="preserve">arba devējiem, kuri darbojas zivsaimniecības </w:t>
      </w:r>
      <w:r w:rsidRPr="006845D8">
        <w:rPr>
          <w:sz w:val="26"/>
          <w:szCs w:val="26"/>
        </w:rPr>
        <w:t xml:space="preserve">nozarē saskaņā ar Padomes </w:t>
      </w:r>
      <w:r>
        <w:rPr>
          <w:sz w:val="26"/>
          <w:szCs w:val="26"/>
        </w:rPr>
        <w:t>r</w:t>
      </w:r>
      <w:r w:rsidRPr="006845D8">
        <w:rPr>
          <w:sz w:val="26"/>
          <w:szCs w:val="26"/>
        </w:rPr>
        <w:t>egulas Nr.104/2000</w:t>
      </w:r>
      <w:r w:rsidRPr="006D48EB">
        <w:rPr>
          <w:sz w:val="26"/>
          <w:szCs w:val="26"/>
        </w:rPr>
        <w:t xml:space="preserve">, </w:t>
      </w:r>
      <w:r w:rsidRPr="006D48EB">
        <w:rPr>
          <w:i/>
          <w:sz w:val="26"/>
          <w:szCs w:val="26"/>
        </w:rPr>
        <w:t>de minimis</w:t>
      </w:r>
      <w:r w:rsidRPr="006D48EB">
        <w:rPr>
          <w:sz w:val="26"/>
          <w:szCs w:val="26"/>
        </w:rPr>
        <w:t xml:space="preserve"> atbalstu piešķir, ievērojot Komisijas regulas Nr.</w:t>
      </w:r>
      <w:hyperlink r:id="rId7" w:tgtFrame="_blank" w:tooltip="Atvērt regulu latviešu valodā" w:history="1">
        <w:r w:rsidRPr="006D48EB">
          <w:rPr>
            <w:sz w:val="26"/>
            <w:szCs w:val="26"/>
          </w:rPr>
          <w:t>875/2007</w:t>
        </w:r>
      </w:hyperlink>
      <w:r w:rsidRPr="006D48EB">
        <w:rPr>
          <w:sz w:val="26"/>
          <w:szCs w:val="26"/>
        </w:rPr>
        <w:t xml:space="preserve"> nosacījumus, un darba devējiem, kuri darbojas lauksaimniecības produktu ražošanas nozarē, </w:t>
      </w:r>
      <w:r w:rsidRPr="006D48EB">
        <w:rPr>
          <w:i/>
          <w:sz w:val="26"/>
          <w:szCs w:val="26"/>
        </w:rPr>
        <w:t>de minimis</w:t>
      </w:r>
      <w:r w:rsidRPr="006D48EB">
        <w:rPr>
          <w:sz w:val="26"/>
          <w:szCs w:val="26"/>
        </w:rPr>
        <w:t xml:space="preserve"> atbalstu piešķir, ievērojot Komisijas regulas Nr.</w:t>
      </w:r>
      <w:hyperlink r:id="rId8" w:tgtFrame="_blank" w:tooltip="Atvērt regulu latviešu valodā" w:history="1">
        <w:r w:rsidRPr="006D48EB">
          <w:rPr>
            <w:sz w:val="26"/>
            <w:szCs w:val="26"/>
          </w:rPr>
          <w:t>1535/2007</w:t>
        </w:r>
      </w:hyperlink>
      <w:r w:rsidRPr="006D48EB">
        <w:rPr>
          <w:sz w:val="26"/>
          <w:szCs w:val="26"/>
        </w:rPr>
        <w:t xml:space="preserve"> nosacījumus; </w:t>
      </w:r>
    </w:p>
    <w:p w:rsidR="002F1FC3" w:rsidRPr="006D48EB" w:rsidRDefault="002F1FC3" w:rsidP="006D48EB">
      <w:pPr>
        <w:pStyle w:val="tv213tvp"/>
        <w:spacing w:before="0" w:beforeAutospacing="0" w:after="0" w:afterAutospacing="0"/>
        <w:ind w:firstLine="720"/>
        <w:jc w:val="both"/>
        <w:rPr>
          <w:sz w:val="26"/>
          <w:szCs w:val="26"/>
        </w:rPr>
      </w:pPr>
      <w:r w:rsidRPr="006D48EB">
        <w:rPr>
          <w:sz w:val="26"/>
          <w:szCs w:val="26"/>
        </w:rPr>
        <w:t>5.</w:t>
      </w:r>
      <w:r>
        <w:rPr>
          <w:sz w:val="26"/>
          <w:szCs w:val="26"/>
          <w:vertAlign w:val="superscript"/>
        </w:rPr>
        <w:t>8</w:t>
      </w:r>
      <w:r w:rsidRPr="006D48EB">
        <w:rPr>
          <w:sz w:val="26"/>
          <w:szCs w:val="26"/>
        </w:rPr>
        <w:t xml:space="preserve">2. pirms finanšu atbalsta piešķiršanas finansējuma saņēmējs pārbauda, vai darba devējam minētais finanšu atbalsts nepalielina attiecīgajā fiskālajā gadā, kā arī iepriekšējos divos fiskālajos gados saņemtā </w:t>
      </w:r>
      <w:r w:rsidRPr="006D48EB">
        <w:rPr>
          <w:i/>
          <w:sz w:val="26"/>
          <w:szCs w:val="26"/>
        </w:rPr>
        <w:t>de minimis</w:t>
      </w:r>
      <w:r w:rsidRPr="006D48EB">
        <w:rPr>
          <w:sz w:val="26"/>
          <w:szCs w:val="26"/>
        </w:rPr>
        <w:t xml:space="preserve"> atbalsta kopējo apmēru līdz līmenim, kas pārsniedz Komisijas regulas Nr.</w:t>
      </w:r>
      <w:hyperlink r:id="rId9" w:tgtFrame="_blank" w:tooltip="Atvērt regulu latviešu valodā" w:history="1">
        <w:r w:rsidRPr="006D48EB">
          <w:rPr>
            <w:sz w:val="26"/>
            <w:szCs w:val="26"/>
          </w:rPr>
          <w:t>875/2007</w:t>
        </w:r>
      </w:hyperlink>
      <w:r w:rsidRPr="006D48EB">
        <w:rPr>
          <w:sz w:val="26"/>
          <w:szCs w:val="26"/>
        </w:rPr>
        <w:t xml:space="preserve"> 3.panta 2.punktā noteikto maksimālo </w:t>
      </w:r>
      <w:r w:rsidRPr="006D48EB">
        <w:rPr>
          <w:i/>
          <w:sz w:val="26"/>
          <w:szCs w:val="26"/>
        </w:rPr>
        <w:t>de minimis</w:t>
      </w:r>
      <w:r w:rsidRPr="006D48EB">
        <w:rPr>
          <w:sz w:val="26"/>
          <w:szCs w:val="26"/>
        </w:rPr>
        <w:t xml:space="preserve"> atbalsta apmēru (darba devējiem, kuri darbojas zivsaimniecības </w:t>
      </w:r>
      <w:r w:rsidRPr="006845D8">
        <w:rPr>
          <w:sz w:val="26"/>
          <w:szCs w:val="26"/>
        </w:rPr>
        <w:t xml:space="preserve">nozarē saskaņā ar Padomes </w:t>
      </w:r>
      <w:r>
        <w:rPr>
          <w:sz w:val="26"/>
          <w:szCs w:val="26"/>
        </w:rPr>
        <w:t>r</w:t>
      </w:r>
      <w:r w:rsidRPr="006845D8">
        <w:rPr>
          <w:sz w:val="26"/>
          <w:szCs w:val="26"/>
        </w:rPr>
        <w:t>egulas Nr.104/2000</w:t>
      </w:r>
      <w:r w:rsidRPr="006D48EB">
        <w:rPr>
          <w:sz w:val="26"/>
          <w:szCs w:val="26"/>
        </w:rPr>
        <w:t>), vai Komisijas regulas Nr.</w:t>
      </w:r>
      <w:hyperlink r:id="rId10" w:tgtFrame="_blank" w:tooltip="Atvērt regulu latviešu valodā" w:history="1">
        <w:r w:rsidRPr="006D48EB">
          <w:rPr>
            <w:sz w:val="26"/>
            <w:szCs w:val="26"/>
          </w:rPr>
          <w:t>1535/2007</w:t>
        </w:r>
      </w:hyperlink>
      <w:r w:rsidRPr="006D48EB">
        <w:rPr>
          <w:sz w:val="26"/>
          <w:szCs w:val="26"/>
        </w:rPr>
        <w:t xml:space="preserve"> 3.panta 2.punktā noteikto maksimālo </w:t>
      </w:r>
      <w:r w:rsidRPr="006D48EB">
        <w:rPr>
          <w:i/>
          <w:sz w:val="26"/>
          <w:szCs w:val="26"/>
        </w:rPr>
        <w:t>de minimis</w:t>
      </w:r>
      <w:r w:rsidRPr="006D48EB">
        <w:rPr>
          <w:sz w:val="26"/>
          <w:szCs w:val="26"/>
        </w:rPr>
        <w:t xml:space="preserve"> atbalsta apmēru (darba devējiem, kuri darbojas lauksaimniecības produktu ražošanas nozarē)</w:t>
      </w:r>
      <w:r>
        <w:rPr>
          <w:sz w:val="26"/>
          <w:szCs w:val="26"/>
        </w:rPr>
        <w:t xml:space="preserve">. </w:t>
      </w:r>
    </w:p>
    <w:p w:rsidR="002F1FC3" w:rsidRDefault="002F1FC3" w:rsidP="003605F3">
      <w:pPr>
        <w:ind w:left="360" w:firstLine="360"/>
        <w:jc w:val="both"/>
        <w:rPr>
          <w:sz w:val="26"/>
          <w:szCs w:val="26"/>
        </w:rPr>
      </w:pPr>
    </w:p>
    <w:p w:rsidR="002F1FC3" w:rsidRDefault="002F1FC3" w:rsidP="002111EB">
      <w:pPr>
        <w:ind w:firstLine="720"/>
        <w:jc w:val="both"/>
        <w:rPr>
          <w:sz w:val="26"/>
          <w:szCs w:val="26"/>
        </w:rPr>
      </w:pPr>
      <w:r w:rsidRPr="0085739D">
        <w:rPr>
          <w:sz w:val="26"/>
          <w:szCs w:val="26"/>
        </w:rPr>
        <w:t>5.</w:t>
      </w:r>
      <w:r w:rsidRPr="002111EB">
        <w:rPr>
          <w:sz w:val="26"/>
          <w:szCs w:val="26"/>
          <w:vertAlign w:val="superscript"/>
        </w:rPr>
        <w:t>9</w:t>
      </w:r>
      <w:r w:rsidRPr="0085739D">
        <w:rPr>
          <w:sz w:val="26"/>
          <w:szCs w:val="26"/>
        </w:rPr>
        <w:t xml:space="preserve"> </w:t>
      </w:r>
      <w:r w:rsidRPr="002111EB">
        <w:rPr>
          <w:sz w:val="26"/>
          <w:szCs w:val="26"/>
        </w:rPr>
        <w:t>Šo noteikumu 5.3.</w:t>
      </w:r>
      <w:r w:rsidRPr="002111EB">
        <w:rPr>
          <w:sz w:val="26"/>
          <w:szCs w:val="26"/>
          <w:vertAlign w:val="superscript"/>
        </w:rPr>
        <w:t>1</w:t>
      </w:r>
      <w:r w:rsidRPr="002111EB">
        <w:rPr>
          <w:sz w:val="26"/>
          <w:szCs w:val="26"/>
        </w:rPr>
        <w:t xml:space="preserve">apakšpunktā minētajā atbalstāmajā darbībā var atkārtoti iesaistīt bezdarbniekus </w:t>
      </w:r>
      <w:r>
        <w:rPr>
          <w:sz w:val="26"/>
          <w:szCs w:val="26"/>
        </w:rPr>
        <w:t xml:space="preserve">ne ātrāk kā divus gadus pēc iepriekšējās dalības pabeigšanas šo noteikumu 5.3. vai </w:t>
      </w:r>
      <w:r w:rsidRPr="0085739D">
        <w:rPr>
          <w:sz w:val="26"/>
          <w:szCs w:val="26"/>
        </w:rPr>
        <w:t>5.3.</w:t>
      </w:r>
      <w:r w:rsidRPr="004A7583">
        <w:rPr>
          <w:sz w:val="26"/>
          <w:szCs w:val="26"/>
          <w:vertAlign w:val="superscript"/>
        </w:rPr>
        <w:t>1</w:t>
      </w:r>
      <w:r w:rsidRPr="0085739D">
        <w:rPr>
          <w:sz w:val="26"/>
          <w:szCs w:val="26"/>
        </w:rPr>
        <w:t>apakšpunktā minētajā atbalstāmajā darbībā</w:t>
      </w:r>
      <w:r>
        <w:rPr>
          <w:sz w:val="26"/>
          <w:szCs w:val="26"/>
        </w:rPr>
        <w:t xml:space="preserve"> </w:t>
      </w:r>
      <w:r w:rsidRPr="002111EB">
        <w:rPr>
          <w:sz w:val="26"/>
          <w:szCs w:val="26"/>
        </w:rPr>
        <w:t>atbilstoši normatīvajiem aktiem, kas nosaka kārtību, kādā īstenojami aktīvo nodarbinātības pasākumu un preventīvo bezdarba samazināšanas pasākumu organizēšanas un finansēšanas kārtību un pasākumu īstenotāju izvēles principiem. Šis ierobežojums neattiecas uz gadījumiem, kad dalība pasākumā ir pārtraukta no bezdarbnieka neatkarīgu iemeslu dēļ un tā ilgusi mazāk par pusi no paredzētā dalības laika.</w:t>
      </w:r>
      <w:r w:rsidRPr="0085739D">
        <w:rPr>
          <w:sz w:val="26"/>
          <w:szCs w:val="26"/>
        </w:rPr>
        <w:t>”</w:t>
      </w:r>
      <w:r>
        <w:rPr>
          <w:sz w:val="26"/>
          <w:szCs w:val="26"/>
        </w:rPr>
        <w:t>.</w:t>
      </w:r>
    </w:p>
    <w:p w:rsidR="002F1FC3" w:rsidRDefault="002F1FC3" w:rsidP="003605F3">
      <w:pPr>
        <w:ind w:left="360" w:firstLine="360"/>
        <w:jc w:val="both"/>
        <w:rPr>
          <w:sz w:val="26"/>
          <w:szCs w:val="26"/>
        </w:rPr>
      </w:pPr>
    </w:p>
    <w:p w:rsidR="002F1FC3" w:rsidRPr="001C7C0B" w:rsidRDefault="002F1FC3" w:rsidP="003605F3">
      <w:pPr>
        <w:ind w:left="360" w:firstLine="360"/>
        <w:jc w:val="both"/>
        <w:rPr>
          <w:sz w:val="26"/>
          <w:szCs w:val="26"/>
        </w:rPr>
      </w:pPr>
      <w:r>
        <w:rPr>
          <w:sz w:val="26"/>
          <w:szCs w:val="26"/>
        </w:rPr>
        <w:t xml:space="preserve">3. </w:t>
      </w:r>
      <w:r w:rsidRPr="001C7C0B">
        <w:rPr>
          <w:sz w:val="26"/>
          <w:szCs w:val="26"/>
        </w:rPr>
        <w:t>Izteikt 7.punktu šādā redakcijā:</w:t>
      </w:r>
    </w:p>
    <w:p w:rsidR="002F1FC3" w:rsidRPr="0037151D" w:rsidRDefault="002F1FC3" w:rsidP="0037151D">
      <w:pPr>
        <w:pStyle w:val="tv213tvp"/>
        <w:spacing w:before="0" w:beforeAutospacing="0" w:after="0" w:afterAutospacing="0"/>
        <w:ind w:firstLine="720"/>
        <w:jc w:val="both"/>
        <w:rPr>
          <w:sz w:val="26"/>
          <w:szCs w:val="26"/>
        </w:rPr>
      </w:pPr>
      <w:r w:rsidRPr="001C7C0B">
        <w:rPr>
          <w:sz w:val="26"/>
          <w:szCs w:val="26"/>
        </w:rPr>
        <w:t>„</w:t>
      </w:r>
      <w:r>
        <w:rPr>
          <w:sz w:val="26"/>
          <w:szCs w:val="26"/>
        </w:rPr>
        <w:t xml:space="preserve">7. </w:t>
      </w:r>
      <w:r w:rsidRPr="0037151D">
        <w:rPr>
          <w:sz w:val="26"/>
          <w:szCs w:val="26"/>
        </w:rPr>
        <w:t xml:space="preserve">Aktivitātes pirmajai un otrajai kārtai pieejamais kopējais attiecināmais finansējums ir 75 </w:t>
      </w:r>
      <w:r>
        <w:rPr>
          <w:sz w:val="26"/>
          <w:szCs w:val="26"/>
        </w:rPr>
        <w:t>221</w:t>
      </w:r>
      <w:r w:rsidRPr="0037151D">
        <w:rPr>
          <w:sz w:val="26"/>
          <w:szCs w:val="26"/>
        </w:rPr>
        <w:t xml:space="preserve"> 92</w:t>
      </w:r>
      <w:r>
        <w:rPr>
          <w:sz w:val="26"/>
          <w:szCs w:val="26"/>
        </w:rPr>
        <w:t>2</w:t>
      </w:r>
      <w:r w:rsidRPr="0037151D">
        <w:rPr>
          <w:sz w:val="26"/>
          <w:szCs w:val="26"/>
        </w:rPr>
        <w:t xml:space="preserve"> lat</w:t>
      </w:r>
      <w:r>
        <w:rPr>
          <w:sz w:val="26"/>
          <w:szCs w:val="26"/>
        </w:rPr>
        <w:t>i</w:t>
      </w:r>
      <w:r w:rsidRPr="0037151D">
        <w:rPr>
          <w:sz w:val="26"/>
          <w:szCs w:val="26"/>
        </w:rPr>
        <w:t xml:space="preserve">, tai skaitā Eiropas Sociālā fonda finansējums – 69 </w:t>
      </w:r>
      <w:r>
        <w:rPr>
          <w:sz w:val="26"/>
          <w:szCs w:val="26"/>
        </w:rPr>
        <w:t>381</w:t>
      </w:r>
      <w:r w:rsidRPr="0037151D">
        <w:rPr>
          <w:sz w:val="26"/>
          <w:szCs w:val="26"/>
        </w:rPr>
        <w:t xml:space="preserve"> 1</w:t>
      </w:r>
      <w:r>
        <w:rPr>
          <w:sz w:val="26"/>
          <w:szCs w:val="26"/>
        </w:rPr>
        <w:t>97</w:t>
      </w:r>
      <w:r w:rsidRPr="0037151D">
        <w:rPr>
          <w:sz w:val="26"/>
          <w:szCs w:val="26"/>
        </w:rPr>
        <w:t xml:space="preserve"> lati un attiecināmais valsts budžeta finansējums – 5 8</w:t>
      </w:r>
      <w:r>
        <w:rPr>
          <w:sz w:val="26"/>
          <w:szCs w:val="26"/>
        </w:rPr>
        <w:t>40</w:t>
      </w:r>
      <w:r w:rsidRPr="0037151D">
        <w:rPr>
          <w:sz w:val="26"/>
          <w:szCs w:val="26"/>
        </w:rPr>
        <w:t xml:space="preserve"> 7</w:t>
      </w:r>
      <w:r>
        <w:rPr>
          <w:sz w:val="26"/>
          <w:szCs w:val="26"/>
        </w:rPr>
        <w:t>2</w:t>
      </w:r>
      <w:r w:rsidRPr="0037151D">
        <w:rPr>
          <w:sz w:val="26"/>
          <w:szCs w:val="26"/>
        </w:rPr>
        <w:t>5 lati:</w:t>
      </w:r>
    </w:p>
    <w:p w:rsidR="002F1FC3" w:rsidRPr="00731216" w:rsidRDefault="002F1FC3" w:rsidP="0037151D">
      <w:pPr>
        <w:pStyle w:val="tv213limenis2"/>
        <w:spacing w:before="0" w:beforeAutospacing="0" w:after="0" w:afterAutospacing="0"/>
        <w:ind w:firstLine="720"/>
        <w:jc w:val="both"/>
        <w:rPr>
          <w:sz w:val="26"/>
          <w:szCs w:val="26"/>
        </w:rPr>
      </w:pPr>
      <w:r w:rsidRPr="0037151D">
        <w:rPr>
          <w:sz w:val="26"/>
          <w:szCs w:val="26"/>
        </w:rPr>
        <w:t xml:space="preserve">7.1. šo </w:t>
      </w:r>
      <w:r w:rsidRPr="00731216">
        <w:rPr>
          <w:sz w:val="26"/>
          <w:szCs w:val="26"/>
        </w:rPr>
        <w:t xml:space="preserve">noteikumu </w:t>
      </w:r>
      <w:hyperlink r:id="rId11" w:anchor="p56" w:history="1">
        <w:r w:rsidRPr="00731216">
          <w:rPr>
            <w:sz w:val="26"/>
            <w:szCs w:val="26"/>
          </w:rPr>
          <w:t>56.1.apakšpunktā</w:t>
        </w:r>
      </w:hyperlink>
      <w:r w:rsidRPr="00731216">
        <w:rPr>
          <w:sz w:val="26"/>
          <w:szCs w:val="26"/>
        </w:rPr>
        <w:t xml:space="preserve"> minētajā gadījumā – 11 509 842 lati, tai skaitā Eiropas Sociālā fonda finansējums – 9 783 365 lati un attiecināmais valsts budžeta finansējums – 1 726 477 lati;</w:t>
      </w:r>
    </w:p>
    <w:p w:rsidR="002F1FC3" w:rsidRPr="00731216" w:rsidRDefault="002F1FC3" w:rsidP="0037151D">
      <w:pPr>
        <w:tabs>
          <w:tab w:val="left" w:pos="720"/>
        </w:tabs>
        <w:ind w:firstLine="720"/>
        <w:jc w:val="both"/>
        <w:rPr>
          <w:sz w:val="26"/>
          <w:szCs w:val="26"/>
        </w:rPr>
      </w:pPr>
      <w:r w:rsidRPr="00731216">
        <w:rPr>
          <w:sz w:val="26"/>
          <w:szCs w:val="26"/>
        </w:rPr>
        <w:t>7.2. šo noteikumu 56.2.apakšpunktā minētajā gadījumā – 63 712 080 lati, tai skaitā Eiropas Sociālā fonda finansējums – 59 597 832 lati un attiecināmais valsts budžeta finansējums – 4 114 248 lati. Aktivitātei pieejamais attiecināmais saistību apjoms, kas pārsniedz šajā punktā norādīto kopējo attiecināmo finansējumu, ir 7 571 089 lati, tai skaitā Eiropas Sociālā fonda finansējums – 6 979 029 lati un valsts budžeta finansējums – 592 060 lati.”.</w:t>
      </w:r>
    </w:p>
    <w:p w:rsidR="002F1FC3" w:rsidRPr="00731216" w:rsidRDefault="002F1FC3" w:rsidP="004B5BAA">
      <w:pPr>
        <w:tabs>
          <w:tab w:val="left" w:pos="720"/>
        </w:tabs>
        <w:ind w:firstLine="720"/>
        <w:jc w:val="both"/>
        <w:rPr>
          <w:sz w:val="26"/>
          <w:szCs w:val="26"/>
        </w:rPr>
      </w:pPr>
    </w:p>
    <w:p w:rsidR="002F1FC3" w:rsidRPr="00731216" w:rsidRDefault="002F1FC3" w:rsidP="004B5BAA">
      <w:pPr>
        <w:tabs>
          <w:tab w:val="left" w:pos="720"/>
        </w:tabs>
        <w:ind w:firstLine="720"/>
        <w:jc w:val="both"/>
        <w:rPr>
          <w:sz w:val="26"/>
          <w:szCs w:val="26"/>
        </w:rPr>
      </w:pPr>
      <w:r w:rsidRPr="00731216">
        <w:rPr>
          <w:sz w:val="26"/>
          <w:szCs w:val="26"/>
        </w:rPr>
        <w:t>4. Aizstāt noteikumu 13.2.apakšpunktā skaitli „93,54” ar skaitli „93,40”.</w:t>
      </w:r>
    </w:p>
    <w:p w:rsidR="002F1FC3" w:rsidRPr="00731216" w:rsidRDefault="002F1FC3" w:rsidP="004B5BAA">
      <w:pPr>
        <w:tabs>
          <w:tab w:val="left" w:pos="720"/>
        </w:tabs>
        <w:ind w:firstLine="720"/>
        <w:jc w:val="both"/>
        <w:rPr>
          <w:sz w:val="26"/>
          <w:szCs w:val="26"/>
        </w:rPr>
      </w:pPr>
    </w:p>
    <w:p w:rsidR="002F1FC3" w:rsidRPr="00731216" w:rsidRDefault="002F1FC3">
      <w:pPr>
        <w:ind w:firstLine="720"/>
        <w:jc w:val="both"/>
        <w:rPr>
          <w:sz w:val="26"/>
          <w:szCs w:val="26"/>
        </w:rPr>
      </w:pPr>
      <w:r w:rsidRPr="00731216">
        <w:rPr>
          <w:sz w:val="26"/>
          <w:szCs w:val="26"/>
        </w:rPr>
        <w:t>5.  Aizstāt noteikumu 14.punktā skaitli „71 370 168” ar skaitli „71 283 169”.</w:t>
      </w:r>
    </w:p>
    <w:p w:rsidR="002F1FC3" w:rsidRPr="00731216" w:rsidRDefault="002F1FC3" w:rsidP="004B5BAA">
      <w:pPr>
        <w:tabs>
          <w:tab w:val="left" w:pos="720"/>
        </w:tabs>
        <w:ind w:firstLine="720"/>
        <w:jc w:val="both"/>
        <w:rPr>
          <w:sz w:val="26"/>
          <w:szCs w:val="26"/>
        </w:rPr>
      </w:pPr>
    </w:p>
    <w:p w:rsidR="002F1FC3" w:rsidRPr="00731216" w:rsidRDefault="002F1FC3" w:rsidP="004B5BAA">
      <w:pPr>
        <w:tabs>
          <w:tab w:val="left" w:pos="720"/>
        </w:tabs>
        <w:ind w:firstLine="720"/>
        <w:jc w:val="both"/>
        <w:rPr>
          <w:sz w:val="26"/>
          <w:szCs w:val="26"/>
        </w:rPr>
      </w:pPr>
      <w:r w:rsidRPr="00731216">
        <w:rPr>
          <w:sz w:val="26"/>
          <w:szCs w:val="26"/>
        </w:rPr>
        <w:t>6. Aizstāt noteikumu 62.</w:t>
      </w:r>
      <w:r w:rsidRPr="00731216">
        <w:rPr>
          <w:sz w:val="26"/>
          <w:szCs w:val="26"/>
          <w:vertAlign w:val="superscript"/>
        </w:rPr>
        <w:t>1</w:t>
      </w:r>
      <w:r w:rsidRPr="00731216">
        <w:rPr>
          <w:sz w:val="26"/>
          <w:szCs w:val="26"/>
        </w:rPr>
        <w:t>punktā skaitli „</w:t>
      </w:r>
      <w:hyperlink r:id="rId12" w:anchor="p5.4" w:history="1">
        <w:r w:rsidRPr="00731216">
          <w:rPr>
            <w:rStyle w:val="Hyperlink"/>
            <w:color w:val="auto"/>
            <w:sz w:val="26"/>
            <w:szCs w:val="26"/>
            <w:u w:val="none"/>
          </w:rPr>
          <w:t>5.</w:t>
        </w:r>
        <w:r w:rsidRPr="00731216">
          <w:rPr>
            <w:rStyle w:val="Hyperlink"/>
            <w:color w:val="auto"/>
            <w:sz w:val="26"/>
            <w:szCs w:val="26"/>
            <w:u w:val="none"/>
            <w:vertAlign w:val="superscript"/>
          </w:rPr>
          <w:t>4</w:t>
        </w:r>
      </w:hyperlink>
      <w:r w:rsidRPr="00731216">
        <w:rPr>
          <w:sz w:val="26"/>
          <w:szCs w:val="26"/>
        </w:rPr>
        <w:t>” ar skaitļiem un vārdu „</w:t>
      </w:r>
      <w:hyperlink r:id="rId13" w:anchor="p5.4" w:history="1">
        <w:r w:rsidRPr="00731216">
          <w:rPr>
            <w:rStyle w:val="Hyperlink"/>
            <w:color w:val="auto"/>
            <w:sz w:val="26"/>
            <w:szCs w:val="26"/>
            <w:u w:val="none"/>
          </w:rPr>
          <w:t>5.</w:t>
        </w:r>
        <w:r w:rsidRPr="00731216">
          <w:rPr>
            <w:rStyle w:val="Hyperlink"/>
            <w:color w:val="auto"/>
            <w:sz w:val="26"/>
            <w:szCs w:val="26"/>
            <w:u w:val="none"/>
            <w:vertAlign w:val="superscript"/>
          </w:rPr>
          <w:t>4</w:t>
        </w:r>
      </w:hyperlink>
      <w:r w:rsidRPr="00731216">
        <w:rPr>
          <w:sz w:val="26"/>
          <w:szCs w:val="26"/>
        </w:rPr>
        <w:t xml:space="preserve"> un 5.</w:t>
      </w:r>
      <w:r w:rsidRPr="00731216">
        <w:rPr>
          <w:sz w:val="26"/>
          <w:szCs w:val="26"/>
          <w:vertAlign w:val="superscript"/>
        </w:rPr>
        <w:t>9</w:t>
      </w:r>
      <w:r w:rsidRPr="00731216">
        <w:rPr>
          <w:sz w:val="26"/>
          <w:szCs w:val="26"/>
        </w:rPr>
        <w:t>”.</w:t>
      </w:r>
    </w:p>
    <w:p w:rsidR="002F1FC3" w:rsidRPr="00731216" w:rsidRDefault="002F1FC3" w:rsidP="00DF499C">
      <w:pPr>
        <w:pStyle w:val="tv213limenis2"/>
        <w:spacing w:before="0" w:beforeAutospacing="0" w:after="0" w:afterAutospacing="0"/>
        <w:jc w:val="both"/>
        <w:rPr>
          <w:sz w:val="26"/>
          <w:szCs w:val="26"/>
        </w:rPr>
      </w:pPr>
    </w:p>
    <w:p w:rsidR="002F1FC3" w:rsidRPr="00731216" w:rsidRDefault="002F1FC3" w:rsidP="00DF499C">
      <w:pPr>
        <w:pStyle w:val="tv213limenis2"/>
        <w:spacing w:before="0" w:beforeAutospacing="0" w:after="0" w:afterAutospacing="0"/>
        <w:jc w:val="both"/>
        <w:rPr>
          <w:sz w:val="26"/>
          <w:szCs w:val="26"/>
        </w:rPr>
      </w:pPr>
      <w:r w:rsidRPr="00731216">
        <w:rPr>
          <w:sz w:val="26"/>
          <w:szCs w:val="26"/>
        </w:rPr>
        <w:tab/>
        <w:t>7. Izteikt 62.</w:t>
      </w:r>
      <w:r w:rsidRPr="00731216">
        <w:rPr>
          <w:sz w:val="26"/>
          <w:szCs w:val="26"/>
          <w:vertAlign w:val="superscript"/>
        </w:rPr>
        <w:t>3</w:t>
      </w:r>
      <w:r w:rsidRPr="00731216">
        <w:rPr>
          <w:sz w:val="26"/>
          <w:szCs w:val="26"/>
        </w:rPr>
        <w:t xml:space="preserve"> punkta ievaddaļu šādā redakcijā:</w:t>
      </w:r>
    </w:p>
    <w:p w:rsidR="002F1FC3" w:rsidRDefault="002F1FC3" w:rsidP="002111EB">
      <w:pPr>
        <w:pStyle w:val="tv213limenis2"/>
        <w:spacing w:before="0" w:beforeAutospacing="0" w:after="0" w:afterAutospacing="0"/>
        <w:ind w:firstLine="720"/>
        <w:jc w:val="both"/>
        <w:rPr>
          <w:sz w:val="26"/>
          <w:szCs w:val="26"/>
        </w:rPr>
      </w:pPr>
      <w:r w:rsidRPr="00731216">
        <w:rPr>
          <w:sz w:val="26"/>
          <w:szCs w:val="26"/>
        </w:rPr>
        <w:t>„62.</w:t>
      </w:r>
      <w:r w:rsidRPr="00731216">
        <w:rPr>
          <w:sz w:val="26"/>
          <w:szCs w:val="26"/>
          <w:vertAlign w:val="superscript"/>
        </w:rPr>
        <w:t>3</w:t>
      </w:r>
      <w:r w:rsidRPr="00731216">
        <w:rPr>
          <w:sz w:val="26"/>
          <w:szCs w:val="26"/>
        </w:rPr>
        <w:t xml:space="preserve"> Lai īstenotu šo noteikumu</w:t>
      </w:r>
      <w:r w:rsidRPr="002111EB">
        <w:rPr>
          <w:sz w:val="26"/>
          <w:szCs w:val="26"/>
        </w:rPr>
        <w:t xml:space="preserve"> 5.3.</w:t>
      </w:r>
      <w:r w:rsidRPr="002111EB">
        <w:rPr>
          <w:sz w:val="26"/>
          <w:szCs w:val="26"/>
          <w:vertAlign w:val="superscript"/>
        </w:rPr>
        <w:t>1</w:t>
      </w:r>
      <w:r w:rsidRPr="002111EB">
        <w:rPr>
          <w:sz w:val="26"/>
          <w:szCs w:val="26"/>
        </w:rPr>
        <w:t xml:space="preserve"> apakšpunktā minēto atbalstāmo darbību, darba devējs (</w:t>
      </w:r>
      <w:r>
        <w:rPr>
          <w:sz w:val="26"/>
          <w:szCs w:val="26"/>
        </w:rPr>
        <w:t>komersants (izņemot ārstniecības iestādi, kā arī izglītības iestādi, kuras pamatuzdevums ir izglītības programmu īstenošana), pašnodarbināta persona, biedrība vai nodibinājums (izņemot politisko partiju)</w:t>
      </w:r>
      <w:r w:rsidRPr="002111EB">
        <w:rPr>
          <w:sz w:val="26"/>
          <w:szCs w:val="26"/>
        </w:rPr>
        <w:t>):</w:t>
      </w:r>
      <w:r>
        <w:rPr>
          <w:sz w:val="26"/>
          <w:szCs w:val="26"/>
        </w:rPr>
        <w:t>”.</w:t>
      </w:r>
    </w:p>
    <w:p w:rsidR="002F1FC3" w:rsidRDefault="002F1FC3" w:rsidP="00DF499C">
      <w:pPr>
        <w:pStyle w:val="tv213limenis2"/>
        <w:spacing w:before="0" w:beforeAutospacing="0" w:after="0" w:afterAutospacing="0"/>
        <w:jc w:val="both"/>
        <w:rPr>
          <w:sz w:val="26"/>
          <w:szCs w:val="26"/>
        </w:rPr>
      </w:pPr>
    </w:p>
    <w:p w:rsidR="002F1FC3" w:rsidRDefault="002F1FC3">
      <w:pPr>
        <w:pStyle w:val="tv213limenis2"/>
        <w:spacing w:before="0" w:beforeAutospacing="0" w:after="0" w:afterAutospacing="0"/>
        <w:ind w:firstLine="720"/>
        <w:jc w:val="both"/>
        <w:rPr>
          <w:bCs/>
          <w:sz w:val="26"/>
          <w:szCs w:val="26"/>
        </w:rPr>
      </w:pPr>
      <w:r>
        <w:rPr>
          <w:sz w:val="26"/>
          <w:szCs w:val="26"/>
        </w:rPr>
        <w:t>8</w:t>
      </w:r>
      <w:r w:rsidRPr="00650D55">
        <w:rPr>
          <w:bCs/>
          <w:sz w:val="26"/>
          <w:szCs w:val="26"/>
        </w:rPr>
        <w:t>. Izteikt noteikumu pielikuma 2.10.apakšsadaļu „Projektā sasniedzamie uzraudzības rādītāji atbilstoši normatīvaj</w:t>
      </w:r>
      <w:r>
        <w:rPr>
          <w:bCs/>
          <w:sz w:val="26"/>
          <w:szCs w:val="26"/>
        </w:rPr>
        <w:t>am</w:t>
      </w:r>
      <w:r w:rsidRPr="00650D55">
        <w:rPr>
          <w:bCs/>
          <w:sz w:val="26"/>
          <w:szCs w:val="26"/>
        </w:rPr>
        <w:t xml:space="preserve"> akt</w:t>
      </w:r>
      <w:r>
        <w:rPr>
          <w:bCs/>
          <w:sz w:val="26"/>
          <w:szCs w:val="26"/>
        </w:rPr>
        <w:t>am</w:t>
      </w:r>
      <w:r w:rsidRPr="00650D55">
        <w:rPr>
          <w:bCs/>
          <w:sz w:val="26"/>
          <w:szCs w:val="26"/>
        </w:rPr>
        <w:t xml:space="preserve"> par darbības programmas „Cilvēkresursi un nodarbinātība” papildinājuma apakšaktivitātes</w:t>
      </w:r>
      <w:r>
        <w:rPr>
          <w:bCs/>
          <w:sz w:val="26"/>
          <w:szCs w:val="26"/>
        </w:rPr>
        <w:t xml:space="preserve"> „</w:t>
      </w:r>
      <w:r w:rsidRPr="00650D55">
        <w:rPr>
          <w:bCs/>
          <w:sz w:val="26"/>
          <w:szCs w:val="26"/>
        </w:rPr>
        <w:t>Bezdarbnieku un darba meklētāju apmācība” pirmās un otrās kārtas īstenošanu:” šādā redakcijā:</w:t>
      </w:r>
    </w:p>
    <w:p w:rsidR="002F1FC3" w:rsidRPr="00650D55" w:rsidRDefault="002F1FC3" w:rsidP="00976F04">
      <w:pPr>
        <w:ind w:left="-142"/>
        <w:jc w:val="both"/>
        <w:rPr>
          <w:bCs/>
          <w:sz w:val="26"/>
          <w:szCs w:val="26"/>
        </w:rPr>
      </w:pPr>
      <w:r w:rsidRPr="00650D55">
        <w:rPr>
          <w:sz w:val="26"/>
          <w:szCs w:val="26"/>
        </w:rPr>
        <w:tab/>
      </w:r>
      <w:r>
        <w:rPr>
          <w:sz w:val="26"/>
          <w:szCs w:val="26"/>
        </w:rPr>
        <w:tab/>
      </w:r>
      <w:r w:rsidRPr="00650D55">
        <w:rPr>
          <w:sz w:val="26"/>
          <w:szCs w:val="26"/>
        </w:rPr>
        <w:t>„</w:t>
      </w:r>
      <w:r w:rsidRPr="00650D55">
        <w:rPr>
          <w:bCs/>
          <w:sz w:val="26"/>
          <w:szCs w:val="26"/>
        </w:rPr>
        <w:t>2.10.</w:t>
      </w:r>
      <w:r w:rsidRPr="00650D55">
        <w:rPr>
          <w:b/>
          <w:bCs/>
          <w:sz w:val="26"/>
          <w:szCs w:val="26"/>
        </w:rPr>
        <w:t xml:space="preserve"> </w:t>
      </w:r>
      <w:r w:rsidRPr="00650D55">
        <w:rPr>
          <w:bCs/>
          <w:sz w:val="26"/>
          <w:szCs w:val="26"/>
        </w:rPr>
        <w:t>Projektā sasniedzamie uzraudzības rādītāji atbilstoši normatīvaj</w:t>
      </w:r>
      <w:r>
        <w:rPr>
          <w:bCs/>
          <w:sz w:val="26"/>
          <w:szCs w:val="26"/>
        </w:rPr>
        <w:t>am</w:t>
      </w:r>
      <w:r w:rsidRPr="00650D55">
        <w:rPr>
          <w:bCs/>
          <w:sz w:val="26"/>
          <w:szCs w:val="26"/>
        </w:rPr>
        <w:t xml:space="preserve"> akt</w:t>
      </w:r>
      <w:r>
        <w:rPr>
          <w:bCs/>
          <w:sz w:val="26"/>
          <w:szCs w:val="26"/>
        </w:rPr>
        <w:t>am</w:t>
      </w:r>
      <w:r w:rsidRPr="00650D55">
        <w:rPr>
          <w:bCs/>
          <w:sz w:val="26"/>
          <w:szCs w:val="26"/>
        </w:rPr>
        <w:t xml:space="preserve"> par darbības programmas </w:t>
      </w:r>
      <w:r>
        <w:rPr>
          <w:bCs/>
          <w:sz w:val="26"/>
          <w:szCs w:val="26"/>
        </w:rPr>
        <w:t>„</w:t>
      </w:r>
      <w:r w:rsidRPr="00650D55">
        <w:rPr>
          <w:bCs/>
          <w:sz w:val="26"/>
          <w:szCs w:val="26"/>
        </w:rPr>
        <w:t>Cilvēkresursi un nodarbinātība</w:t>
      </w:r>
      <w:r>
        <w:rPr>
          <w:bCs/>
          <w:sz w:val="26"/>
          <w:szCs w:val="26"/>
        </w:rPr>
        <w:t>”</w:t>
      </w:r>
      <w:r w:rsidRPr="00650D55">
        <w:rPr>
          <w:bCs/>
          <w:sz w:val="26"/>
          <w:szCs w:val="26"/>
        </w:rPr>
        <w:t xml:space="preserve"> papildinājuma apakšaktivitātes </w:t>
      </w:r>
      <w:r>
        <w:rPr>
          <w:bCs/>
          <w:sz w:val="26"/>
          <w:szCs w:val="26"/>
        </w:rPr>
        <w:t>„</w:t>
      </w:r>
      <w:r w:rsidRPr="00650D55">
        <w:rPr>
          <w:bCs/>
          <w:sz w:val="26"/>
          <w:szCs w:val="26"/>
        </w:rPr>
        <w:t>Bezdarbnieku un darba meklētāju apmācība</w:t>
      </w:r>
      <w:r>
        <w:rPr>
          <w:bCs/>
          <w:sz w:val="26"/>
          <w:szCs w:val="26"/>
        </w:rPr>
        <w:t>”</w:t>
      </w:r>
      <w:r w:rsidRPr="00650D55">
        <w:rPr>
          <w:sz w:val="26"/>
          <w:szCs w:val="26"/>
        </w:rPr>
        <w:t xml:space="preserve"> pirmās un otrās kārtas īstenošanu</w:t>
      </w:r>
      <w:r w:rsidRPr="00650D55">
        <w:rPr>
          <w:bCs/>
          <w:sz w:val="26"/>
          <w:szCs w:val="26"/>
        </w:rPr>
        <w:t>:</w:t>
      </w:r>
    </w:p>
    <w:p w:rsidR="002F1FC3" w:rsidRDefault="002F1FC3" w:rsidP="00976F04">
      <w:pPr>
        <w:outlineLvl w:val="0"/>
      </w:pPr>
    </w:p>
    <w:p w:rsidR="002F1FC3" w:rsidRPr="00650D55" w:rsidRDefault="002F1FC3" w:rsidP="00976F04">
      <w:pPr>
        <w:outlineLvl w:val="0"/>
      </w:pPr>
      <w:r w:rsidRPr="00650D55">
        <w:t xml:space="preserve">2.10.1. Iznākuma rādītāji:  </w:t>
      </w:r>
    </w:p>
    <w:tbl>
      <w:tblPr>
        <w:tblpPr w:leftFromText="180" w:rightFromText="180" w:vertAnchor="text" w:horzAnchor="margin" w:tblpY="168"/>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2568"/>
        <w:gridCol w:w="1620"/>
        <w:gridCol w:w="2340"/>
        <w:gridCol w:w="2160"/>
      </w:tblGrid>
      <w:tr w:rsidR="002F1FC3" w:rsidRPr="00650D55" w:rsidTr="0062545E">
        <w:tc>
          <w:tcPr>
            <w:tcW w:w="600" w:type="dxa"/>
          </w:tcPr>
          <w:p w:rsidR="002F1FC3" w:rsidRPr="00650D55" w:rsidRDefault="002F1FC3" w:rsidP="00976F04">
            <w:pPr>
              <w:pStyle w:val="Header"/>
              <w:tabs>
                <w:tab w:val="clear" w:pos="4153"/>
                <w:tab w:val="clear" w:pos="8306"/>
              </w:tabs>
              <w:ind w:left="12"/>
            </w:pPr>
            <w:r w:rsidRPr="00650D55">
              <w:t>Nr.</w:t>
            </w:r>
          </w:p>
        </w:tc>
        <w:tc>
          <w:tcPr>
            <w:tcW w:w="2568" w:type="dxa"/>
          </w:tcPr>
          <w:p w:rsidR="002F1FC3" w:rsidRPr="00650D55" w:rsidRDefault="002F1FC3" w:rsidP="00976F04">
            <w:pPr>
              <w:ind w:left="82"/>
            </w:pPr>
            <w:r w:rsidRPr="00650D55">
              <w:t>Rādītāja nosaukums</w:t>
            </w:r>
          </w:p>
        </w:tc>
        <w:tc>
          <w:tcPr>
            <w:tcW w:w="1620" w:type="dxa"/>
          </w:tcPr>
          <w:p w:rsidR="002F1FC3" w:rsidRPr="00650D55" w:rsidRDefault="002F1FC3" w:rsidP="00976F04">
            <w:pPr>
              <w:ind w:left="187"/>
              <w:jc w:val="center"/>
            </w:pPr>
            <w:r w:rsidRPr="00650D55">
              <w:t>Skaits, 2013.g.</w:t>
            </w:r>
          </w:p>
        </w:tc>
        <w:tc>
          <w:tcPr>
            <w:tcW w:w="2340" w:type="dxa"/>
          </w:tcPr>
          <w:p w:rsidR="002F1FC3" w:rsidRPr="00650D55" w:rsidRDefault="002F1FC3" w:rsidP="00976F04">
            <w:pPr>
              <w:ind w:left="187"/>
              <w:jc w:val="center"/>
            </w:pPr>
            <w:r w:rsidRPr="00650D55">
              <w:t>Skaits, līdz projekta īstenošanas termiņa beigām</w:t>
            </w:r>
          </w:p>
        </w:tc>
        <w:tc>
          <w:tcPr>
            <w:tcW w:w="2160" w:type="dxa"/>
          </w:tcPr>
          <w:p w:rsidR="002F1FC3" w:rsidRPr="00650D55" w:rsidRDefault="002F1FC3" w:rsidP="00976F04">
            <w:pPr>
              <w:ind w:left="187"/>
              <w:jc w:val="center"/>
            </w:pPr>
            <w:r w:rsidRPr="00650D55">
              <w:t>Mērvienība</w:t>
            </w:r>
          </w:p>
        </w:tc>
      </w:tr>
      <w:tr w:rsidR="002F1FC3" w:rsidRPr="00650D55" w:rsidTr="0062545E">
        <w:trPr>
          <w:trHeight w:val="320"/>
        </w:trPr>
        <w:tc>
          <w:tcPr>
            <w:tcW w:w="600" w:type="dxa"/>
            <w:vMerge w:val="restart"/>
          </w:tcPr>
          <w:p w:rsidR="002F1FC3" w:rsidRPr="00650D55" w:rsidRDefault="002F1FC3" w:rsidP="00976F04">
            <w:pPr>
              <w:pStyle w:val="EE-paragr"/>
              <w:tabs>
                <w:tab w:val="clear" w:pos="0"/>
              </w:tabs>
              <w:ind w:left="12" w:firstLine="0"/>
            </w:pPr>
            <w:r w:rsidRPr="00650D55">
              <w:rPr>
                <w:sz w:val="22"/>
                <w:szCs w:val="22"/>
              </w:rPr>
              <w:t>1.</w:t>
            </w:r>
          </w:p>
        </w:tc>
        <w:tc>
          <w:tcPr>
            <w:tcW w:w="2568" w:type="dxa"/>
            <w:vMerge w:val="restart"/>
          </w:tcPr>
          <w:p w:rsidR="002F1FC3" w:rsidRPr="00650D55" w:rsidRDefault="002F1FC3" w:rsidP="00976F04">
            <w:pPr>
              <w:ind w:left="82"/>
            </w:pPr>
            <w:r w:rsidRPr="00650D55">
              <w:rPr>
                <w:color w:val="000000"/>
                <w:sz w:val="22"/>
                <w:szCs w:val="22"/>
              </w:rPr>
              <w:t>Neformālās izglītības, pārkvalifikācijas un tālākizglītības pasākumos atbalstu saņēmušo bezdarbnieku un darba meklētāju skaits</w:t>
            </w:r>
          </w:p>
        </w:tc>
        <w:tc>
          <w:tcPr>
            <w:tcW w:w="1620" w:type="dxa"/>
          </w:tcPr>
          <w:p w:rsidR="002F1FC3" w:rsidRPr="00650D55" w:rsidDel="00E729B5" w:rsidRDefault="002F1FC3" w:rsidP="00976F04">
            <w:pPr>
              <w:ind w:left="187"/>
            </w:pPr>
            <w:r w:rsidRPr="00650D55">
              <w:rPr>
                <w:b/>
                <w:bCs/>
                <w:sz w:val="22"/>
                <w:szCs w:val="22"/>
              </w:rPr>
              <w:t>Kopā</w:t>
            </w:r>
            <w:r w:rsidRPr="00650D55">
              <w:rPr>
                <w:sz w:val="22"/>
                <w:szCs w:val="22"/>
              </w:rPr>
              <w:t>-</w:t>
            </w:r>
          </w:p>
        </w:tc>
        <w:tc>
          <w:tcPr>
            <w:tcW w:w="2340" w:type="dxa"/>
          </w:tcPr>
          <w:p w:rsidR="002F1FC3" w:rsidRPr="00650D55" w:rsidRDefault="002F1FC3" w:rsidP="00976F04">
            <w:pPr>
              <w:ind w:left="187"/>
            </w:pPr>
            <w:r w:rsidRPr="00650D55">
              <w:rPr>
                <w:b/>
                <w:bCs/>
                <w:sz w:val="22"/>
                <w:szCs w:val="22"/>
              </w:rPr>
              <w:t>Kopā</w:t>
            </w:r>
            <w:r w:rsidRPr="00650D55">
              <w:rPr>
                <w:sz w:val="22"/>
                <w:szCs w:val="22"/>
              </w:rPr>
              <w:t>-</w:t>
            </w:r>
          </w:p>
        </w:tc>
        <w:tc>
          <w:tcPr>
            <w:tcW w:w="2160" w:type="dxa"/>
          </w:tcPr>
          <w:p w:rsidR="002F1FC3" w:rsidRPr="00650D55" w:rsidRDefault="002F1FC3" w:rsidP="00976F04">
            <w:pPr>
              <w:ind w:left="187"/>
              <w:jc w:val="center"/>
            </w:pPr>
          </w:p>
        </w:tc>
      </w:tr>
      <w:tr w:rsidR="002F1FC3" w:rsidRPr="00650D55" w:rsidTr="0062545E">
        <w:trPr>
          <w:trHeight w:val="160"/>
        </w:trPr>
        <w:tc>
          <w:tcPr>
            <w:tcW w:w="600" w:type="dxa"/>
            <w:vMerge/>
          </w:tcPr>
          <w:p w:rsidR="002F1FC3" w:rsidRPr="00650D55" w:rsidRDefault="002F1FC3" w:rsidP="00976F04">
            <w:pPr>
              <w:pStyle w:val="Heading8"/>
              <w:ind w:left="480"/>
            </w:pPr>
          </w:p>
        </w:tc>
        <w:tc>
          <w:tcPr>
            <w:tcW w:w="2568" w:type="dxa"/>
            <w:vMerge/>
          </w:tcPr>
          <w:p w:rsidR="002F1FC3" w:rsidRPr="00650D55" w:rsidRDefault="002F1FC3" w:rsidP="00976F04">
            <w:pPr>
              <w:ind w:left="480"/>
            </w:pPr>
          </w:p>
        </w:tc>
        <w:tc>
          <w:tcPr>
            <w:tcW w:w="1620" w:type="dxa"/>
          </w:tcPr>
          <w:p w:rsidR="002F1FC3" w:rsidRPr="00650D55" w:rsidRDefault="002F1FC3" w:rsidP="00976F04">
            <w:pPr>
              <w:ind w:left="187"/>
              <w:rPr>
                <w:color w:val="000000"/>
              </w:rPr>
            </w:pPr>
            <w:r w:rsidRPr="00A87791">
              <w:rPr>
                <w:color w:val="000000"/>
              </w:rPr>
              <w:t>R</w:t>
            </w:r>
            <w:r w:rsidRPr="0027117C">
              <w:rPr>
                <w:rStyle w:val="FootnoteReference"/>
                <w:color w:val="000000"/>
                <w:sz w:val="20"/>
                <w:szCs w:val="20"/>
              </w:rPr>
              <w:t>2</w:t>
            </w:r>
            <w:r w:rsidRPr="0027117C">
              <w:rPr>
                <w:color w:val="000000"/>
                <w:vertAlign w:val="superscript"/>
              </w:rPr>
              <w:t>1</w:t>
            </w:r>
            <w:r w:rsidRPr="00A87791">
              <w:rPr>
                <w:color w:val="000000"/>
              </w:rPr>
              <w:t>-</w:t>
            </w:r>
          </w:p>
        </w:tc>
        <w:tc>
          <w:tcPr>
            <w:tcW w:w="2340" w:type="dxa"/>
          </w:tcPr>
          <w:p w:rsidR="002F1FC3" w:rsidRPr="00650D55" w:rsidRDefault="002F1FC3" w:rsidP="00976F04">
            <w:pPr>
              <w:ind w:left="187"/>
            </w:pPr>
            <w:r w:rsidRPr="00A87791">
              <w:rPr>
                <w:color w:val="000000"/>
              </w:rPr>
              <w:t>R</w:t>
            </w:r>
            <w:r w:rsidRPr="0027117C">
              <w:rPr>
                <w:rStyle w:val="FootnoteReference"/>
                <w:color w:val="000000"/>
                <w:sz w:val="20"/>
                <w:szCs w:val="20"/>
              </w:rPr>
              <w:t>2</w:t>
            </w:r>
            <w:r w:rsidRPr="0027117C">
              <w:rPr>
                <w:color w:val="000000"/>
                <w:vertAlign w:val="superscript"/>
              </w:rPr>
              <w:t>1</w:t>
            </w:r>
            <w:r w:rsidRPr="00A87791">
              <w:rPr>
                <w:color w:val="000000"/>
              </w:rPr>
              <w:t>-</w:t>
            </w:r>
          </w:p>
        </w:tc>
        <w:tc>
          <w:tcPr>
            <w:tcW w:w="2160" w:type="dxa"/>
          </w:tcPr>
          <w:p w:rsidR="002F1FC3" w:rsidRPr="00650D55" w:rsidRDefault="002F1FC3" w:rsidP="00976F04">
            <w:pPr>
              <w:ind w:left="187"/>
              <w:jc w:val="center"/>
            </w:pPr>
          </w:p>
        </w:tc>
      </w:tr>
      <w:tr w:rsidR="002F1FC3" w:rsidRPr="00650D55" w:rsidTr="0062545E">
        <w:trPr>
          <w:trHeight w:val="240"/>
        </w:trPr>
        <w:tc>
          <w:tcPr>
            <w:tcW w:w="600" w:type="dxa"/>
            <w:vMerge/>
          </w:tcPr>
          <w:p w:rsidR="002F1FC3" w:rsidRPr="00650D55" w:rsidRDefault="002F1FC3" w:rsidP="00976F04">
            <w:pPr>
              <w:pStyle w:val="Heading8"/>
              <w:ind w:left="480"/>
            </w:pPr>
          </w:p>
        </w:tc>
        <w:tc>
          <w:tcPr>
            <w:tcW w:w="2568" w:type="dxa"/>
            <w:vMerge/>
          </w:tcPr>
          <w:p w:rsidR="002F1FC3" w:rsidRPr="00650D55" w:rsidRDefault="002F1FC3" w:rsidP="00976F04">
            <w:pPr>
              <w:ind w:left="480"/>
            </w:pPr>
          </w:p>
        </w:tc>
        <w:tc>
          <w:tcPr>
            <w:tcW w:w="1620" w:type="dxa"/>
          </w:tcPr>
          <w:p w:rsidR="002F1FC3" w:rsidRPr="00650D55" w:rsidRDefault="002F1FC3" w:rsidP="00976F04">
            <w:pPr>
              <w:ind w:left="187"/>
              <w:rPr>
                <w:color w:val="000000"/>
              </w:rPr>
            </w:pPr>
            <w:r w:rsidRPr="00A87791">
              <w:rPr>
                <w:color w:val="000000"/>
              </w:rPr>
              <w:t>V</w:t>
            </w:r>
            <w:r w:rsidRPr="0027117C">
              <w:rPr>
                <w:color w:val="000000"/>
                <w:sz w:val="20"/>
                <w:szCs w:val="20"/>
                <w:vertAlign w:val="superscript"/>
              </w:rPr>
              <w:t>2</w:t>
            </w:r>
            <w:r>
              <w:rPr>
                <w:color w:val="000000"/>
                <w:vertAlign w:val="superscript"/>
              </w:rPr>
              <w:t>2</w:t>
            </w:r>
            <w:r w:rsidRPr="00A87791">
              <w:rPr>
                <w:color w:val="000000"/>
              </w:rPr>
              <w:t>-</w:t>
            </w:r>
          </w:p>
        </w:tc>
        <w:tc>
          <w:tcPr>
            <w:tcW w:w="2340" w:type="dxa"/>
          </w:tcPr>
          <w:p w:rsidR="002F1FC3" w:rsidRPr="00650D55" w:rsidRDefault="002F1FC3" w:rsidP="00976F04">
            <w:pPr>
              <w:ind w:left="187"/>
            </w:pPr>
            <w:r w:rsidRPr="00A87791">
              <w:rPr>
                <w:color w:val="000000"/>
              </w:rPr>
              <w:t>V</w:t>
            </w:r>
            <w:r w:rsidRPr="0027117C">
              <w:rPr>
                <w:color w:val="000000"/>
                <w:sz w:val="20"/>
                <w:szCs w:val="20"/>
                <w:vertAlign w:val="superscript"/>
              </w:rPr>
              <w:t>2</w:t>
            </w:r>
            <w:r>
              <w:rPr>
                <w:color w:val="000000"/>
                <w:vertAlign w:val="superscript"/>
              </w:rPr>
              <w:t>2</w:t>
            </w:r>
            <w:r w:rsidRPr="00A87791">
              <w:rPr>
                <w:color w:val="000000"/>
              </w:rPr>
              <w:t>-</w:t>
            </w:r>
          </w:p>
        </w:tc>
        <w:tc>
          <w:tcPr>
            <w:tcW w:w="2160" w:type="dxa"/>
          </w:tcPr>
          <w:p w:rsidR="002F1FC3" w:rsidRPr="00650D55" w:rsidRDefault="002F1FC3" w:rsidP="00976F04">
            <w:pPr>
              <w:ind w:left="187"/>
              <w:jc w:val="center"/>
            </w:pPr>
          </w:p>
        </w:tc>
      </w:tr>
      <w:tr w:rsidR="002F1FC3" w:rsidRPr="00650D55" w:rsidTr="0062545E">
        <w:trPr>
          <w:trHeight w:val="300"/>
        </w:trPr>
        <w:tc>
          <w:tcPr>
            <w:tcW w:w="600" w:type="dxa"/>
            <w:vMerge/>
          </w:tcPr>
          <w:p w:rsidR="002F1FC3" w:rsidRPr="00650D55" w:rsidRDefault="002F1FC3" w:rsidP="00976F04">
            <w:pPr>
              <w:pStyle w:val="Heading8"/>
              <w:ind w:left="480"/>
            </w:pPr>
          </w:p>
        </w:tc>
        <w:tc>
          <w:tcPr>
            <w:tcW w:w="2568" w:type="dxa"/>
            <w:vMerge/>
          </w:tcPr>
          <w:p w:rsidR="002F1FC3" w:rsidRPr="00650D55" w:rsidRDefault="002F1FC3" w:rsidP="00976F04">
            <w:pPr>
              <w:ind w:left="480"/>
            </w:pPr>
          </w:p>
        </w:tc>
        <w:tc>
          <w:tcPr>
            <w:tcW w:w="1620" w:type="dxa"/>
          </w:tcPr>
          <w:p w:rsidR="002F1FC3" w:rsidRPr="00650D55" w:rsidRDefault="002F1FC3" w:rsidP="00976F04">
            <w:pPr>
              <w:ind w:left="187"/>
              <w:rPr>
                <w:color w:val="000000"/>
              </w:rPr>
            </w:pPr>
            <w:r w:rsidRPr="00A87791">
              <w:rPr>
                <w:color w:val="000000"/>
              </w:rPr>
              <w:t>K</w:t>
            </w:r>
            <w:r w:rsidRPr="0027117C">
              <w:rPr>
                <w:rStyle w:val="FootnoteReference"/>
                <w:color w:val="000000"/>
                <w:sz w:val="20"/>
                <w:szCs w:val="20"/>
              </w:rPr>
              <w:t>2</w:t>
            </w:r>
            <w:r w:rsidRPr="0027117C">
              <w:rPr>
                <w:vertAlign w:val="superscript"/>
              </w:rPr>
              <w:t>3</w:t>
            </w:r>
            <w:r w:rsidRPr="00A87791">
              <w:rPr>
                <w:color w:val="000000"/>
              </w:rPr>
              <w:t>-</w:t>
            </w:r>
          </w:p>
        </w:tc>
        <w:tc>
          <w:tcPr>
            <w:tcW w:w="2340" w:type="dxa"/>
          </w:tcPr>
          <w:p w:rsidR="002F1FC3" w:rsidRPr="00650D55" w:rsidRDefault="002F1FC3" w:rsidP="00976F04">
            <w:pPr>
              <w:ind w:left="187"/>
            </w:pPr>
            <w:r w:rsidRPr="00A87791">
              <w:rPr>
                <w:color w:val="000000"/>
              </w:rPr>
              <w:t>K</w:t>
            </w:r>
            <w:r w:rsidRPr="0027117C">
              <w:rPr>
                <w:rStyle w:val="FootnoteReference"/>
                <w:color w:val="000000"/>
                <w:sz w:val="20"/>
                <w:szCs w:val="20"/>
              </w:rPr>
              <w:t>2</w:t>
            </w:r>
            <w:r w:rsidRPr="0027117C">
              <w:rPr>
                <w:vertAlign w:val="superscript"/>
              </w:rPr>
              <w:t>3</w:t>
            </w:r>
            <w:r w:rsidRPr="00A87791">
              <w:rPr>
                <w:color w:val="000000"/>
              </w:rPr>
              <w:t>-</w:t>
            </w:r>
          </w:p>
        </w:tc>
        <w:tc>
          <w:tcPr>
            <w:tcW w:w="2160" w:type="dxa"/>
          </w:tcPr>
          <w:p w:rsidR="002F1FC3" w:rsidRPr="00650D55" w:rsidRDefault="002F1FC3" w:rsidP="00976F04">
            <w:pPr>
              <w:ind w:left="187"/>
              <w:jc w:val="center"/>
            </w:pPr>
          </w:p>
        </w:tc>
      </w:tr>
      <w:tr w:rsidR="002F1FC3" w:rsidRPr="00650D55" w:rsidTr="0062545E">
        <w:trPr>
          <w:trHeight w:val="360"/>
        </w:trPr>
        <w:tc>
          <w:tcPr>
            <w:tcW w:w="600" w:type="dxa"/>
            <w:vMerge/>
          </w:tcPr>
          <w:p w:rsidR="002F1FC3" w:rsidRPr="00650D55" w:rsidRDefault="002F1FC3" w:rsidP="00976F04">
            <w:pPr>
              <w:pStyle w:val="Heading8"/>
              <w:ind w:left="480"/>
            </w:pPr>
          </w:p>
        </w:tc>
        <w:tc>
          <w:tcPr>
            <w:tcW w:w="2568" w:type="dxa"/>
            <w:vMerge/>
          </w:tcPr>
          <w:p w:rsidR="002F1FC3" w:rsidRPr="00650D55" w:rsidRDefault="002F1FC3" w:rsidP="00976F04">
            <w:pPr>
              <w:ind w:left="480"/>
            </w:pPr>
          </w:p>
        </w:tc>
        <w:tc>
          <w:tcPr>
            <w:tcW w:w="1620" w:type="dxa"/>
          </w:tcPr>
          <w:p w:rsidR="002F1FC3" w:rsidRPr="00650D55" w:rsidRDefault="002F1FC3" w:rsidP="00976F04">
            <w:pPr>
              <w:ind w:left="187"/>
            </w:pPr>
            <w:r>
              <w:t>Z</w:t>
            </w:r>
            <w:r w:rsidRPr="006B12C9">
              <w:rPr>
                <w:rStyle w:val="FootnoteReference"/>
                <w:sz w:val="20"/>
                <w:szCs w:val="20"/>
              </w:rPr>
              <w:t>2</w:t>
            </w:r>
            <w:r>
              <w:rPr>
                <w:vertAlign w:val="superscript"/>
              </w:rPr>
              <w:t>4</w:t>
            </w:r>
            <w:r>
              <w:t>-</w:t>
            </w:r>
          </w:p>
        </w:tc>
        <w:tc>
          <w:tcPr>
            <w:tcW w:w="2340" w:type="dxa"/>
          </w:tcPr>
          <w:p w:rsidR="002F1FC3" w:rsidRPr="00650D55" w:rsidRDefault="002F1FC3" w:rsidP="00976F04">
            <w:pPr>
              <w:ind w:left="187"/>
            </w:pPr>
            <w:r>
              <w:t>Z</w:t>
            </w:r>
            <w:r w:rsidRPr="006B12C9">
              <w:rPr>
                <w:rStyle w:val="FootnoteReference"/>
                <w:sz w:val="20"/>
                <w:szCs w:val="20"/>
              </w:rPr>
              <w:t>2</w:t>
            </w:r>
            <w:r>
              <w:rPr>
                <w:vertAlign w:val="superscript"/>
              </w:rPr>
              <w:t>4</w:t>
            </w:r>
            <w:r>
              <w:t>-</w:t>
            </w:r>
          </w:p>
        </w:tc>
        <w:tc>
          <w:tcPr>
            <w:tcW w:w="2160" w:type="dxa"/>
          </w:tcPr>
          <w:p w:rsidR="002F1FC3" w:rsidRPr="00650D55" w:rsidRDefault="002F1FC3" w:rsidP="00976F04">
            <w:pPr>
              <w:ind w:left="187"/>
              <w:jc w:val="center"/>
            </w:pPr>
          </w:p>
        </w:tc>
      </w:tr>
      <w:tr w:rsidR="002F1FC3" w:rsidRPr="00650D55" w:rsidTr="0062545E">
        <w:trPr>
          <w:trHeight w:val="320"/>
        </w:trPr>
        <w:tc>
          <w:tcPr>
            <w:tcW w:w="600" w:type="dxa"/>
            <w:vMerge/>
          </w:tcPr>
          <w:p w:rsidR="002F1FC3" w:rsidRPr="00650D55" w:rsidRDefault="002F1FC3" w:rsidP="00976F04">
            <w:pPr>
              <w:pStyle w:val="Heading8"/>
              <w:ind w:left="480"/>
            </w:pPr>
          </w:p>
        </w:tc>
        <w:tc>
          <w:tcPr>
            <w:tcW w:w="2568" w:type="dxa"/>
            <w:vMerge/>
          </w:tcPr>
          <w:p w:rsidR="002F1FC3" w:rsidRPr="00650D55" w:rsidRDefault="002F1FC3" w:rsidP="00976F04">
            <w:pPr>
              <w:ind w:left="480"/>
            </w:pPr>
          </w:p>
        </w:tc>
        <w:tc>
          <w:tcPr>
            <w:tcW w:w="1620" w:type="dxa"/>
          </w:tcPr>
          <w:p w:rsidR="002F1FC3" w:rsidRPr="00650D55" w:rsidRDefault="002F1FC3" w:rsidP="00976F04">
            <w:pPr>
              <w:ind w:left="187"/>
              <w:rPr>
                <w:color w:val="000000"/>
              </w:rPr>
            </w:pPr>
            <w:r w:rsidRPr="00A87791">
              <w:rPr>
                <w:color w:val="000000"/>
              </w:rPr>
              <w:t>L</w:t>
            </w:r>
            <w:r w:rsidRPr="006B12C9">
              <w:rPr>
                <w:color w:val="000000"/>
                <w:sz w:val="20"/>
                <w:szCs w:val="20"/>
                <w:vertAlign w:val="superscript"/>
              </w:rPr>
              <w:t>2</w:t>
            </w:r>
            <w:r>
              <w:rPr>
                <w:color w:val="000000"/>
                <w:vertAlign w:val="superscript"/>
              </w:rPr>
              <w:t>5</w:t>
            </w:r>
            <w:r w:rsidRPr="00A87791">
              <w:rPr>
                <w:color w:val="000000"/>
              </w:rPr>
              <w:t>-</w:t>
            </w:r>
          </w:p>
        </w:tc>
        <w:tc>
          <w:tcPr>
            <w:tcW w:w="2340" w:type="dxa"/>
          </w:tcPr>
          <w:p w:rsidR="002F1FC3" w:rsidRPr="00650D55" w:rsidRDefault="002F1FC3" w:rsidP="00976F04">
            <w:pPr>
              <w:ind w:left="187"/>
            </w:pPr>
            <w:r w:rsidRPr="00A87791">
              <w:rPr>
                <w:color w:val="000000"/>
              </w:rPr>
              <w:t>L</w:t>
            </w:r>
            <w:r w:rsidRPr="006B12C9">
              <w:rPr>
                <w:color w:val="000000"/>
                <w:sz w:val="20"/>
                <w:szCs w:val="20"/>
                <w:vertAlign w:val="superscript"/>
              </w:rPr>
              <w:t>2</w:t>
            </w:r>
            <w:r>
              <w:rPr>
                <w:color w:val="000000"/>
                <w:vertAlign w:val="superscript"/>
              </w:rPr>
              <w:t>5</w:t>
            </w:r>
            <w:r w:rsidRPr="00A87791">
              <w:rPr>
                <w:color w:val="000000"/>
              </w:rPr>
              <w:t>-</w:t>
            </w:r>
          </w:p>
        </w:tc>
        <w:tc>
          <w:tcPr>
            <w:tcW w:w="2160" w:type="dxa"/>
          </w:tcPr>
          <w:p w:rsidR="002F1FC3" w:rsidRPr="00650D55" w:rsidRDefault="002F1FC3" w:rsidP="00976F04">
            <w:pPr>
              <w:ind w:left="187"/>
              <w:jc w:val="center"/>
            </w:pPr>
          </w:p>
        </w:tc>
      </w:tr>
    </w:tbl>
    <w:p w:rsidR="002F1FC3" w:rsidRPr="00650D55" w:rsidRDefault="002F1FC3" w:rsidP="00976F04">
      <w:pPr>
        <w:pStyle w:val="FootnoteText"/>
        <w:ind w:left="480"/>
        <w:rPr>
          <w:sz w:val="22"/>
          <w:szCs w:val="22"/>
        </w:rPr>
      </w:pPr>
    </w:p>
    <w:p w:rsidR="002F1FC3" w:rsidRPr="00650D55" w:rsidRDefault="002F1FC3" w:rsidP="00976F04">
      <w:pPr>
        <w:outlineLvl w:val="0"/>
      </w:pPr>
      <w:r w:rsidRPr="00650D55">
        <w:t xml:space="preserve">2.10.2. Rezultāta rādītāji: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140"/>
        <w:gridCol w:w="2340"/>
        <w:gridCol w:w="2160"/>
      </w:tblGrid>
      <w:tr w:rsidR="002F1FC3" w:rsidRPr="00650D55" w:rsidTr="00D51EE9">
        <w:tc>
          <w:tcPr>
            <w:tcW w:w="648" w:type="dxa"/>
          </w:tcPr>
          <w:p w:rsidR="002F1FC3" w:rsidRPr="00650D55" w:rsidRDefault="002F1FC3" w:rsidP="00D51EE9">
            <w:pPr>
              <w:pStyle w:val="Header"/>
              <w:tabs>
                <w:tab w:val="clear" w:pos="4153"/>
                <w:tab w:val="clear" w:pos="8306"/>
              </w:tabs>
              <w:ind w:left="12"/>
            </w:pPr>
            <w:r w:rsidRPr="00650D55">
              <w:t>Nr.</w:t>
            </w:r>
          </w:p>
        </w:tc>
        <w:tc>
          <w:tcPr>
            <w:tcW w:w="4140" w:type="dxa"/>
          </w:tcPr>
          <w:p w:rsidR="002F1FC3" w:rsidRPr="00650D55" w:rsidRDefault="002F1FC3" w:rsidP="00D51EE9">
            <w:pPr>
              <w:pStyle w:val="Header"/>
              <w:tabs>
                <w:tab w:val="clear" w:pos="4153"/>
                <w:tab w:val="clear" w:pos="8306"/>
              </w:tabs>
              <w:ind w:left="12"/>
              <w:jc w:val="center"/>
            </w:pPr>
            <w:r w:rsidRPr="00650D55">
              <w:t>Rādītāja nosaukums</w:t>
            </w:r>
          </w:p>
        </w:tc>
        <w:tc>
          <w:tcPr>
            <w:tcW w:w="2340" w:type="dxa"/>
          </w:tcPr>
          <w:p w:rsidR="002F1FC3" w:rsidRPr="00650D55" w:rsidRDefault="002F1FC3" w:rsidP="00D51EE9">
            <w:pPr>
              <w:pStyle w:val="Header"/>
              <w:tabs>
                <w:tab w:val="clear" w:pos="4153"/>
                <w:tab w:val="clear" w:pos="8306"/>
              </w:tabs>
              <w:ind w:left="12"/>
              <w:jc w:val="center"/>
            </w:pPr>
            <w:r w:rsidRPr="00650D55">
              <w:t>Skaits (%) plānošanas reģionā</w:t>
            </w:r>
          </w:p>
        </w:tc>
        <w:tc>
          <w:tcPr>
            <w:tcW w:w="2160" w:type="dxa"/>
          </w:tcPr>
          <w:p w:rsidR="002F1FC3" w:rsidRPr="00650D55" w:rsidRDefault="002F1FC3" w:rsidP="00D51EE9">
            <w:pPr>
              <w:pStyle w:val="Header"/>
              <w:tabs>
                <w:tab w:val="clear" w:pos="4153"/>
                <w:tab w:val="clear" w:pos="8306"/>
              </w:tabs>
              <w:ind w:left="12"/>
              <w:jc w:val="center"/>
            </w:pPr>
            <w:r w:rsidRPr="00650D55">
              <w:t>Mērvienība</w:t>
            </w:r>
          </w:p>
        </w:tc>
      </w:tr>
      <w:tr w:rsidR="002F1FC3" w:rsidRPr="00650D55" w:rsidTr="00D51EE9">
        <w:tc>
          <w:tcPr>
            <w:tcW w:w="648" w:type="dxa"/>
            <w:vMerge w:val="restart"/>
          </w:tcPr>
          <w:p w:rsidR="002F1FC3" w:rsidRPr="00D51EE9" w:rsidRDefault="002F1FC3" w:rsidP="00D51EE9">
            <w:pPr>
              <w:pStyle w:val="Header"/>
              <w:tabs>
                <w:tab w:val="clear" w:pos="4153"/>
                <w:tab w:val="clear" w:pos="8306"/>
              </w:tabs>
              <w:ind w:left="12"/>
            </w:pPr>
            <w:r w:rsidRPr="00D51EE9">
              <w:rPr>
                <w:sz w:val="22"/>
                <w:szCs w:val="22"/>
              </w:rPr>
              <w:t>1.</w:t>
            </w:r>
          </w:p>
        </w:tc>
        <w:tc>
          <w:tcPr>
            <w:tcW w:w="4140" w:type="dxa"/>
            <w:vMerge w:val="restart"/>
          </w:tcPr>
          <w:p w:rsidR="002F1FC3" w:rsidRPr="00D51EE9" w:rsidRDefault="002F1FC3" w:rsidP="00D51EE9">
            <w:pPr>
              <w:pStyle w:val="Header"/>
              <w:tabs>
                <w:tab w:val="clear" w:pos="4153"/>
                <w:tab w:val="clear" w:pos="8306"/>
              </w:tabs>
              <w:ind w:left="12"/>
              <w:jc w:val="both"/>
            </w:pPr>
            <w:r w:rsidRPr="00D51EE9">
              <w:rPr>
                <w:sz w:val="22"/>
                <w:szCs w:val="22"/>
              </w:rPr>
              <w:t>Atbalstu saņēmušo bezdarbnieku un darba meklētāju īpatsvars, kas iekārtojas darbā 6 mēnešu laikā pēc apmācībām</w:t>
            </w:r>
          </w:p>
        </w:tc>
        <w:tc>
          <w:tcPr>
            <w:tcW w:w="2340" w:type="dxa"/>
          </w:tcPr>
          <w:p w:rsidR="002F1FC3" w:rsidRPr="00D51EE9" w:rsidRDefault="002F1FC3" w:rsidP="00D51EE9">
            <w:pPr>
              <w:pStyle w:val="Header"/>
              <w:tabs>
                <w:tab w:val="clear" w:pos="4153"/>
                <w:tab w:val="clear" w:pos="8306"/>
              </w:tabs>
              <w:ind w:left="252"/>
            </w:pPr>
            <w:r w:rsidRPr="00D51EE9">
              <w:rPr>
                <w:b/>
                <w:bCs/>
                <w:sz w:val="22"/>
                <w:szCs w:val="22"/>
              </w:rPr>
              <w:t>Kopā</w:t>
            </w:r>
            <w:r w:rsidRPr="00D51EE9">
              <w:rPr>
                <w:sz w:val="22"/>
                <w:szCs w:val="22"/>
              </w:rPr>
              <w:t>-</w:t>
            </w:r>
          </w:p>
        </w:tc>
        <w:tc>
          <w:tcPr>
            <w:tcW w:w="2160" w:type="dxa"/>
          </w:tcPr>
          <w:p w:rsidR="002F1FC3" w:rsidRPr="00D51EE9" w:rsidRDefault="002F1FC3" w:rsidP="00D51EE9">
            <w:pPr>
              <w:pStyle w:val="Header"/>
              <w:tabs>
                <w:tab w:val="clear" w:pos="4153"/>
                <w:tab w:val="clear" w:pos="8306"/>
              </w:tabs>
              <w:ind w:left="12"/>
            </w:pPr>
          </w:p>
        </w:tc>
      </w:tr>
      <w:tr w:rsidR="002F1FC3" w:rsidRPr="00650D55" w:rsidTr="00D51EE9">
        <w:tc>
          <w:tcPr>
            <w:tcW w:w="648" w:type="dxa"/>
            <w:vMerge/>
          </w:tcPr>
          <w:p w:rsidR="002F1FC3" w:rsidRPr="00D51EE9" w:rsidRDefault="002F1FC3" w:rsidP="00D51EE9">
            <w:pPr>
              <w:pStyle w:val="NormalWeb"/>
              <w:ind w:left="12"/>
              <w:rPr>
                <w:sz w:val="22"/>
                <w:szCs w:val="22"/>
              </w:rPr>
            </w:pPr>
          </w:p>
        </w:tc>
        <w:tc>
          <w:tcPr>
            <w:tcW w:w="4140" w:type="dxa"/>
            <w:vMerge/>
          </w:tcPr>
          <w:p w:rsidR="002F1FC3" w:rsidRPr="00D51EE9" w:rsidRDefault="002F1FC3" w:rsidP="00D51EE9">
            <w:pPr>
              <w:pStyle w:val="NormalWeb"/>
              <w:ind w:left="12"/>
              <w:rPr>
                <w:sz w:val="22"/>
                <w:szCs w:val="22"/>
              </w:rPr>
            </w:pPr>
          </w:p>
        </w:tc>
        <w:tc>
          <w:tcPr>
            <w:tcW w:w="2340" w:type="dxa"/>
          </w:tcPr>
          <w:p w:rsidR="002F1FC3" w:rsidRPr="00D51EE9" w:rsidRDefault="002F1FC3" w:rsidP="00D51EE9">
            <w:pPr>
              <w:pStyle w:val="NormalWeb"/>
              <w:ind w:left="252"/>
              <w:rPr>
                <w:rFonts w:ascii="Times New Roman" w:hAnsi="Times New Roman"/>
                <w:sz w:val="24"/>
                <w:szCs w:val="24"/>
              </w:rPr>
            </w:pPr>
            <w:r w:rsidRPr="00D51EE9">
              <w:rPr>
                <w:rFonts w:ascii="Times New Roman" w:hAnsi="Times New Roman"/>
                <w:color w:val="000000"/>
                <w:sz w:val="24"/>
                <w:szCs w:val="24"/>
              </w:rPr>
              <w:t>R</w:t>
            </w:r>
            <w:r w:rsidRPr="00D51EE9">
              <w:rPr>
                <w:rStyle w:val="FootnoteReference"/>
                <w:rFonts w:ascii="Times New Roman" w:hAnsi="Times New Roman"/>
                <w:color w:val="000000"/>
                <w:sz w:val="20"/>
                <w:szCs w:val="20"/>
              </w:rPr>
              <w:t>2</w:t>
            </w:r>
            <w:r w:rsidRPr="00D51EE9">
              <w:rPr>
                <w:rFonts w:ascii="Times New Roman" w:hAnsi="Times New Roman"/>
                <w:color w:val="000000"/>
                <w:sz w:val="24"/>
                <w:szCs w:val="24"/>
                <w:vertAlign w:val="superscript"/>
              </w:rPr>
              <w:t>1</w:t>
            </w:r>
            <w:r w:rsidRPr="00D51EE9">
              <w:rPr>
                <w:rFonts w:ascii="Times New Roman" w:hAnsi="Times New Roman"/>
                <w:color w:val="000000"/>
                <w:sz w:val="24"/>
                <w:szCs w:val="24"/>
              </w:rPr>
              <w:t>-</w:t>
            </w:r>
          </w:p>
        </w:tc>
        <w:tc>
          <w:tcPr>
            <w:tcW w:w="2160" w:type="dxa"/>
          </w:tcPr>
          <w:p w:rsidR="002F1FC3" w:rsidRPr="00D51EE9" w:rsidRDefault="002F1FC3" w:rsidP="00D51EE9">
            <w:pPr>
              <w:pStyle w:val="NormalWeb"/>
              <w:ind w:left="12"/>
              <w:rPr>
                <w:sz w:val="22"/>
                <w:szCs w:val="22"/>
              </w:rPr>
            </w:pPr>
          </w:p>
        </w:tc>
      </w:tr>
      <w:tr w:rsidR="002F1FC3" w:rsidRPr="00650D55" w:rsidTr="00D51EE9">
        <w:tc>
          <w:tcPr>
            <w:tcW w:w="648" w:type="dxa"/>
            <w:vMerge/>
          </w:tcPr>
          <w:p w:rsidR="002F1FC3" w:rsidRPr="00D51EE9" w:rsidRDefault="002F1FC3" w:rsidP="00D51EE9">
            <w:pPr>
              <w:pStyle w:val="NormalWeb"/>
              <w:ind w:left="12"/>
              <w:rPr>
                <w:sz w:val="22"/>
                <w:szCs w:val="22"/>
              </w:rPr>
            </w:pPr>
          </w:p>
        </w:tc>
        <w:tc>
          <w:tcPr>
            <w:tcW w:w="4140" w:type="dxa"/>
            <w:vMerge/>
          </w:tcPr>
          <w:p w:rsidR="002F1FC3" w:rsidRPr="00D51EE9" w:rsidRDefault="002F1FC3" w:rsidP="00D51EE9">
            <w:pPr>
              <w:pStyle w:val="NormalWeb"/>
              <w:ind w:left="12"/>
              <w:rPr>
                <w:sz w:val="22"/>
                <w:szCs w:val="22"/>
              </w:rPr>
            </w:pPr>
          </w:p>
        </w:tc>
        <w:tc>
          <w:tcPr>
            <w:tcW w:w="2340" w:type="dxa"/>
          </w:tcPr>
          <w:p w:rsidR="002F1FC3" w:rsidRPr="00D51EE9" w:rsidRDefault="002F1FC3" w:rsidP="00D51EE9">
            <w:pPr>
              <w:pStyle w:val="NormalWeb"/>
              <w:ind w:left="252"/>
              <w:rPr>
                <w:rFonts w:ascii="Times New Roman" w:hAnsi="Times New Roman"/>
                <w:sz w:val="24"/>
                <w:szCs w:val="24"/>
              </w:rPr>
            </w:pPr>
            <w:r w:rsidRPr="00D51EE9">
              <w:rPr>
                <w:rFonts w:ascii="Times New Roman" w:hAnsi="Times New Roman"/>
                <w:color w:val="000000"/>
                <w:sz w:val="24"/>
                <w:szCs w:val="24"/>
              </w:rPr>
              <w:t>V</w:t>
            </w:r>
            <w:r w:rsidRPr="00D51EE9">
              <w:rPr>
                <w:rFonts w:ascii="Times New Roman" w:hAnsi="Times New Roman"/>
                <w:color w:val="000000"/>
                <w:sz w:val="20"/>
                <w:szCs w:val="20"/>
                <w:vertAlign w:val="superscript"/>
              </w:rPr>
              <w:t>2</w:t>
            </w:r>
            <w:r w:rsidRPr="00D51EE9">
              <w:rPr>
                <w:rFonts w:ascii="Times New Roman" w:hAnsi="Times New Roman"/>
                <w:color w:val="000000"/>
                <w:sz w:val="24"/>
                <w:szCs w:val="24"/>
                <w:vertAlign w:val="superscript"/>
              </w:rPr>
              <w:t>2</w:t>
            </w:r>
            <w:r w:rsidRPr="00D51EE9">
              <w:rPr>
                <w:rFonts w:ascii="Times New Roman" w:hAnsi="Times New Roman"/>
                <w:sz w:val="24"/>
                <w:szCs w:val="24"/>
              </w:rPr>
              <w:t xml:space="preserve"> </w:t>
            </w:r>
            <w:r w:rsidRPr="00D51EE9">
              <w:rPr>
                <w:rFonts w:ascii="Times New Roman" w:hAnsi="Times New Roman"/>
                <w:color w:val="000000"/>
                <w:sz w:val="24"/>
                <w:szCs w:val="24"/>
              </w:rPr>
              <w:t>-</w:t>
            </w:r>
          </w:p>
        </w:tc>
        <w:tc>
          <w:tcPr>
            <w:tcW w:w="2160" w:type="dxa"/>
          </w:tcPr>
          <w:p w:rsidR="002F1FC3" w:rsidRPr="00D51EE9" w:rsidRDefault="002F1FC3" w:rsidP="00D51EE9">
            <w:pPr>
              <w:pStyle w:val="NormalWeb"/>
              <w:ind w:left="12"/>
              <w:rPr>
                <w:sz w:val="22"/>
                <w:szCs w:val="22"/>
              </w:rPr>
            </w:pPr>
          </w:p>
        </w:tc>
      </w:tr>
      <w:tr w:rsidR="002F1FC3" w:rsidRPr="00650D55" w:rsidTr="00D51EE9">
        <w:tc>
          <w:tcPr>
            <w:tcW w:w="648" w:type="dxa"/>
            <w:vMerge/>
          </w:tcPr>
          <w:p w:rsidR="002F1FC3" w:rsidRPr="00D51EE9" w:rsidRDefault="002F1FC3" w:rsidP="00D51EE9">
            <w:pPr>
              <w:pStyle w:val="NormalWeb"/>
              <w:ind w:left="12"/>
              <w:rPr>
                <w:sz w:val="22"/>
                <w:szCs w:val="22"/>
              </w:rPr>
            </w:pPr>
          </w:p>
        </w:tc>
        <w:tc>
          <w:tcPr>
            <w:tcW w:w="4140" w:type="dxa"/>
            <w:vMerge/>
          </w:tcPr>
          <w:p w:rsidR="002F1FC3" w:rsidRPr="00D51EE9" w:rsidRDefault="002F1FC3" w:rsidP="00D51EE9">
            <w:pPr>
              <w:pStyle w:val="NormalWeb"/>
              <w:ind w:left="12"/>
              <w:rPr>
                <w:sz w:val="22"/>
                <w:szCs w:val="22"/>
              </w:rPr>
            </w:pPr>
          </w:p>
        </w:tc>
        <w:tc>
          <w:tcPr>
            <w:tcW w:w="2340" w:type="dxa"/>
          </w:tcPr>
          <w:p w:rsidR="002F1FC3" w:rsidRPr="00D51EE9" w:rsidRDefault="002F1FC3" w:rsidP="00D51EE9">
            <w:pPr>
              <w:pStyle w:val="NormalWeb"/>
              <w:ind w:left="252"/>
              <w:rPr>
                <w:rFonts w:ascii="Times New Roman" w:hAnsi="Times New Roman"/>
                <w:sz w:val="24"/>
                <w:szCs w:val="24"/>
              </w:rPr>
            </w:pPr>
            <w:r w:rsidRPr="00D51EE9">
              <w:rPr>
                <w:rFonts w:ascii="Times New Roman" w:hAnsi="Times New Roman"/>
                <w:color w:val="000000"/>
                <w:sz w:val="24"/>
                <w:szCs w:val="24"/>
              </w:rPr>
              <w:t>K</w:t>
            </w:r>
            <w:r w:rsidRPr="00D51EE9">
              <w:rPr>
                <w:rStyle w:val="FootnoteReference"/>
                <w:rFonts w:ascii="Times New Roman" w:hAnsi="Times New Roman"/>
                <w:color w:val="000000"/>
                <w:sz w:val="20"/>
                <w:szCs w:val="20"/>
              </w:rPr>
              <w:t>2</w:t>
            </w:r>
            <w:r w:rsidRPr="00D51EE9">
              <w:rPr>
                <w:rFonts w:ascii="Times New Roman" w:hAnsi="Times New Roman"/>
                <w:sz w:val="24"/>
                <w:szCs w:val="24"/>
                <w:vertAlign w:val="superscript"/>
              </w:rPr>
              <w:t>3</w:t>
            </w:r>
            <w:r w:rsidRPr="00D51EE9">
              <w:rPr>
                <w:rFonts w:ascii="Times New Roman" w:hAnsi="Times New Roman"/>
                <w:color w:val="000000"/>
                <w:sz w:val="24"/>
                <w:szCs w:val="24"/>
              </w:rPr>
              <w:t>-</w:t>
            </w:r>
          </w:p>
        </w:tc>
        <w:tc>
          <w:tcPr>
            <w:tcW w:w="2160" w:type="dxa"/>
          </w:tcPr>
          <w:p w:rsidR="002F1FC3" w:rsidRPr="00D51EE9" w:rsidRDefault="002F1FC3" w:rsidP="00D51EE9">
            <w:pPr>
              <w:pStyle w:val="NormalWeb"/>
              <w:ind w:left="12"/>
              <w:rPr>
                <w:sz w:val="22"/>
                <w:szCs w:val="22"/>
              </w:rPr>
            </w:pPr>
          </w:p>
        </w:tc>
      </w:tr>
      <w:tr w:rsidR="002F1FC3" w:rsidRPr="00650D55" w:rsidTr="00D51EE9">
        <w:tc>
          <w:tcPr>
            <w:tcW w:w="648" w:type="dxa"/>
            <w:vMerge/>
          </w:tcPr>
          <w:p w:rsidR="002F1FC3" w:rsidRPr="00D51EE9" w:rsidRDefault="002F1FC3" w:rsidP="00D51EE9">
            <w:pPr>
              <w:pStyle w:val="NormalWeb"/>
              <w:ind w:left="12"/>
              <w:rPr>
                <w:sz w:val="22"/>
                <w:szCs w:val="22"/>
              </w:rPr>
            </w:pPr>
          </w:p>
        </w:tc>
        <w:tc>
          <w:tcPr>
            <w:tcW w:w="4140" w:type="dxa"/>
            <w:vMerge/>
          </w:tcPr>
          <w:p w:rsidR="002F1FC3" w:rsidRPr="00D51EE9" w:rsidRDefault="002F1FC3" w:rsidP="00D51EE9">
            <w:pPr>
              <w:pStyle w:val="NormalWeb"/>
              <w:ind w:left="12"/>
              <w:rPr>
                <w:sz w:val="22"/>
                <w:szCs w:val="22"/>
              </w:rPr>
            </w:pPr>
          </w:p>
        </w:tc>
        <w:tc>
          <w:tcPr>
            <w:tcW w:w="2340" w:type="dxa"/>
          </w:tcPr>
          <w:p w:rsidR="002F1FC3" w:rsidRPr="00D51EE9" w:rsidRDefault="002F1FC3" w:rsidP="00D51EE9">
            <w:pPr>
              <w:pStyle w:val="NormalWeb"/>
              <w:ind w:left="252"/>
              <w:rPr>
                <w:rFonts w:ascii="Times New Roman" w:hAnsi="Times New Roman"/>
                <w:sz w:val="24"/>
                <w:szCs w:val="24"/>
              </w:rPr>
            </w:pPr>
            <w:r w:rsidRPr="00D51EE9">
              <w:rPr>
                <w:rFonts w:ascii="Times New Roman" w:hAnsi="Times New Roman"/>
                <w:sz w:val="24"/>
                <w:szCs w:val="24"/>
              </w:rPr>
              <w:t>Z</w:t>
            </w:r>
            <w:r w:rsidRPr="00D51EE9">
              <w:rPr>
                <w:rStyle w:val="FootnoteReference"/>
                <w:rFonts w:ascii="Times New Roman" w:hAnsi="Times New Roman"/>
                <w:sz w:val="20"/>
                <w:szCs w:val="20"/>
              </w:rPr>
              <w:t>2</w:t>
            </w:r>
            <w:r w:rsidRPr="00D51EE9">
              <w:rPr>
                <w:rFonts w:ascii="Times New Roman" w:hAnsi="Times New Roman"/>
                <w:sz w:val="24"/>
                <w:szCs w:val="24"/>
                <w:vertAlign w:val="superscript"/>
              </w:rPr>
              <w:t>4</w:t>
            </w:r>
            <w:r w:rsidRPr="00D51EE9">
              <w:rPr>
                <w:rFonts w:ascii="Times New Roman" w:hAnsi="Times New Roman"/>
                <w:sz w:val="24"/>
                <w:szCs w:val="24"/>
              </w:rPr>
              <w:t>-</w:t>
            </w:r>
          </w:p>
        </w:tc>
        <w:tc>
          <w:tcPr>
            <w:tcW w:w="2160" w:type="dxa"/>
          </w:tcPr>
          <w:p w:rsidR="002F1FC3" w:rsidRPr="00D51EE9" w:rsidRDefault="002F1FC3" w:rsidP="00D51EE9">
            <w:pPr>
              <w:pStyle w:val="NormalWeb"/>
              <w:ind w:left="12"/>
              <w:rPr>
                <w:sz w:val="22"/>
                <w:szCs w:val="22"/>
              </w:rPr>
            </w:pPr>
          </w:p>
        </w:tc>
      </w:tr>
      <w:tr w:rsidR="002F1FC3" w:rsidRPr="00650D55" w:rsidTr="00D51EE9">
        <w:tc>
          <w:tcPr>
            <w:tcW w:w="648" w:type="dxa"/>
            <w:vMerge/>
          </w:tcPr>
          <w:p w:rsidR="002F1FC3" w:rsidRPr="00D51EE9" w:rsidRDefault="002F1FC3" w:rsidP="00D51EE9">
            <w:pPr>
              <w:pStyle w:val="NormalWeb"/>
              <w:ind w:left="12"/>
              <w:rPr>
                <w:sz w:val="22"/>
                <w:szCs w:val="22"/>
              </w:rPr>
            </w:pPr>
          </w:p>
        </w:tc>
        <w:tc>
          <w:tcPr>
            <w:tcW w:w="4140" w:type="dxa"/>
            <w:vMerge/>
          </w:tcPr>
          <w:p w:rsidR="002F1FC3" w:rsidRPr="00D51EE9" w:rsidRDefault="002F1FC3" w:rsidP="00D51EE9">
            <w:pPr>
              <w:pStyle w:val="NormalWeb"/>
              <w:ind w:left="12"/>
              <w:rPr>
                <w:sz w:val="22"/>
                <w:szCs w:val="22"/>
              </w:rPr>
            </w:pPr>
          </w:p>
        </w:tc>
        <w:tc>
          <w:tcPr>
            <w:tcW w:w="2340" w:type="dxa"/>
          </w:tcPr>
          <w:p w:rsidR="002F1FC3" w:rsidRPr="00D51EE9" w:rsidRDefault="002F1FC3" w:rsidP="00D51EE9">
            <w:pPr>
              <w:pStyle w:val="NormalWeb"/>
              <w:ind w:left="252"/>
              <w:rPr>
                <w:rFonts w:ascii="Times New Roman" w:hAnsi="Times New Roman"/>
                <w:sz w:val="24"/>
                <w:szCs w:val="24"/>
              </w:rPr>
            </w:pPr>
            <w:r w:rsidRPr="00D51EE9">
              <w:rPr>
                <w:rFonts w:ascii="Times New Roman" w:hAnsi="Times New Roman"/>
                <w:color w:val="000000"/>
                <w:sz w:val="24"/>
                <w:szCs w:val="24"/>
              </w:rPr>
              <w:t>L</w:t>
            </w:r>
            <w:r w:rsidRPr="00D51EE9">
              <w:rPr>
                <w:rFonts w:ascii="Times New Roman" w:hAnsi="Times New Roman"/>
                <w:color w:val="000000"/>
                <w:sz w:val="20"/>
                <w:szCs w:val="20"/>
                <w:vertAlign w:val="superscript"/>
              </w:rPr>
              <w:t>2</w:t>
            </w:r>
            <w:r w:rsidRPr="00D51EE9">
              <w:rPr>
                <w:rFonts w:ascii="Times New Roman" w:hAnsi="Times New Roman"/>
                <w:color w:val="000000"/>
                <w:sz w:val="24"/>
                <w:szCs w:val="24"/>
                <w:vertAlign w:val="superscript"/>
              </w:rPr>
              <w:t>5</w:t>
            </w:r>
            <w:r w:rsidRPr="00D51EE9">
              <w:rPr>
                <w:rFonts w:ascii="Times New Roman" w:hAnsi="Times New Roman"/>
                <w:color w:val="000000"/>
                <w:sz w:val="24"/>
                <w:szCs w:val="24"/>
              </w:rPr>
              <w:t>-</w:t>
            </w:r>
          </w:p>
        </w:tc>
        <w:tc>
          <w:tcPr>
            <w:tcW w:w="2160" w:type="dxa"/>
          </w:tcPr>
          <w:p w:rsidR="002F1FC3" w:rsidRPr="00D51EE9" w:rsidRDefault="002F1FC3" w:rsidP="00D51EE9">
            <w:pPr>
              <w:pStyle w:val="NormalWeb"/>
              <w:ind w:left="12"/>
              <w:rPr>
                <w:sz w:val="22"/>
                <w:szCs w:val="22"/>
              </w:rPr>
            </w:pPr>
          </w:p>
        </w:tc>
      </w:tr>
    </w:tbl>
    <w:p w:rsidR="002F1FC3" w:rsidRDefault="002F1FC3" w:rsidP="00E843BD">
      <w:pPr>
        <w:pStyle w:val="FootnoteText"/>
        <w:ind w:left="480"/>
        <w:rPr>
          <w:color w:val="000000"/>
        </w:rPr>
      </w:pPr>
    </w:p>
    <w:p w:rsidR="002F1FC3" w:rsidRPr="00C5362B" w:rsidRDefault="002F1FC3" w:rsidP="00E843BD">
      <w:pPr>
        <w:pStyle w:val="FootnoteText"/>
        <w:ind w:left="480"/>
      </w:pPr>
      <w:r w:rsidRPr="0027117C">
        <w:rPr>
          <w:rStyle w:val="FootnoteReference"/>
          <w:color w:val="000000"/>
        </w:rPr>
        <w:t>2</w:t>
      </w:r>
      <w:r w:rsidRPr="0027117C">
        <w:rPr>
          <w:color w:val="000000"/>
          <w:sz w:val="24"/>
          <w:szCs w:val="24"/>
          <w:vertAlign w:val="superscript"/>
        </w:rPr>
        <w:t>1</w:t>
      </w:r>
      <w:r w:rsidRPr="00C5362B">
        <w:t>Rīgas plānošanas reģionā</w:t>
      </w:r>
    </w:p>
    <w:p w:rsidR="002F1FC3" w:rsidRPr="00C5362B" w:rsidRDefault="002F1FC3" w:rsidP="00E843BD">
      <w:pPr>
        <w:pStyle w:val="FootnoteText"/>
        <w:ind w:left="480"/>
      </w:pPr>
      <w:r w:rsidRPr="0027117C">
        <w:rPr>
          <w:color w:val="000000"/>
          <w:vertAlign w:val="superscript"/>
        </w:rPr>
        <w:t>2</w:t>
      </w:r>
      <w:r w:rsidRPr="006B12C9">
        <w:rPr>
          <w:color w:val="000000"/>
          <w:sz w:val="24"/>
          <w:szCs w:val="24"/>
          <w:vertAlign w:val="superscript"/>
        </w:rPr>
        <w:t>2</w:t>
      </w:r>
      <w:r>
        <w:rPr>
          <w:sz w:val="24"/>
          <w:szCs w:val="24"/>
        </w:rPr>
        <w:t xml:space="preserve"> </w:t>
      </w:r>
      <w:r w:rsidRPr="00C5362B">
        <w:t>Vidzemes plānošanas reģionā</w:t>
      </w:r>
    </w:p>
    <w:p w:rsidR="002F1FC3" w:rsidRPr="00C5362B" w:rsidRDefault="002F1FC3" w:rsidP="00E843BD">
      <w:pPr>
        <w:pStyle w:val="FootnoteText"/>
        <w:ind w:left="480"/>
      </w:pPr>
      <w:r w:rsidRPr="0027117C">
        <w:rPr>
          <w:rStyle w:val="FootnoteReference"/>
          <w:color w:val="000000"/>
        </w:rPr>
        <w:t>2</w:t>
      </w:r>
      <w:r w:rsidRPr="006B12C9">
        <w:rPr>
          <w:sz w:val="24"/>
          <w:szCs w:val="24"/>
          <w:vertAlign w:val="superscript"/>
        </w:rPr>
        <w:t>3</w:t>
      </w:r>
      <w:r>
        <w:rPr>
          <w:sz w:val="24"/>
          <w:szCs w:val="24"/>
        </w:rPr>
        <w:t xml:space="preserve"> </w:t>
      </w:r>
      <w:r w:rsidRPr="00C5362B">
        <w:t>Kurzemes plānošanas reģionā</w:t>
      </w:r>
    </w:p>
    <w:p w:rsidR="002F1FC3" w:rsidRPr="00C5362B" w:rsidRDefault="002F1FC3" w:rsidP="00E843BD">
      <w:pPr>
        <w:pStyle w:val="FootnoteText"/>
        <w:ind w:left="480"/>
      </w:pPr>
      <w:r w:rsidRPr="006B12C9">
        <w:rPr>
          <w:rStyle w:val="FootnoteReference"/>
        </w:rPr>
        <w:t>2</w:t>
      </w:r>
      <w:r w:rsidRPr="006B12C9">
        <w:rPr>
          <w:sz w:val="24"/>
          <w:szCs w:val="24"/>
          <w:vertAlign w:val="superscript"/>
        </w:rPr>
        <w:t>4</w:t>
      </w:r>
      <w:r w:rsidRPr="00C5362B">
        <w:t>Zemgales plānošanas reģionā</w:t>
      </w:r>
    </w:p>
    <w:p w:rsidR="002F1FC3" w:rsidRPr="00E843BD" w:rsidRDefault="002F1FC3" w:rsidP="00E843BD">
      <w:pPr>
        <w:pStyle w:val="FootnoteText"/>
        <w:ind w:left="480"/>
      </w:pPr>
      <w:r w:rsidRPr="006B12C9">
        <w:rPr>
          <w:color w:val="000000"/>
          <w:vertAlign w:val="superscript"/>
        </w:rPr>
        <w:t>2</w:t>
      </w:r>
      <w:r w:rsidRPr="006B12C9">
        <w:rPr>
          <w:color w:val="000000"/>
          <w:sz w:val="24"/>
          <w:szCs w:val="24"/>
          <w:vertAlign w:val="superscript"/>
        </w:rPr>
        <w:t>5</w:t>
      </w:r>
      <w:r w:rsidRPr="00C5362B">
        <w:t xml:space="preserve"> Latgales plānošanas reģionā</w:t>
      </w:r>
      <w:r>
        <w:t xml:space="preserve">”. </w:t>
      </w:r>
    </w:p>
    <w:p w:rsidR="002F1FC3" w:rsidRPr="00DF499C" w:rsidRDefault="002F1FC3" w:rsidP="00DF499C">
      <w:pPr>
        <w:pStyle w:val="tv213limenis2"/>
        <w:spacing w:before="0" w:beforeAutospacing="0" w:after="0" w:afterAutospacing="0"/>
        <w:jc w:val="both"/>
        <w:rPr>
          <w:sz w:val="26"/>
          <w:szCs w:val="26"/>
        </w:rPr>
      </w:pPr>
    </w:p>
    <w:p w:rsidR="002F1FC3" w:rsidRPr="001C7C0B" w:rsidRDefault="002F1FC3" w:rsidP="006552AE">
      <w:pPr>
        <w:tabs>
          <w:tab w:val="left" w:pos="720"/>
        </w:tabs>
        <w:jc w:val="both"/>
        <w:rPr>
          <w:sz w:val="26"/>
          <w:szCs w:val="26"/>
        </w:rPr>
      </w:pPr>
    </w:p>
    <w:p w:rsidR="002F1FC3" w:rsidRPr="001C7C0B" w:rsidRDefault="002F1FC3" w:rsidP="006552AE">
      <w:pPr>
        <w:tabs>
          <w:tab w:val="left" w:pos="720"/>
        </w:tabs>
        <w:jc w:val="both"/>
        <w:rPr>
          <w:sz w:val="26"/>
          <w:szCs w:val="26"/>
        </w:rPr>
      </w:pPr>
    </w:p>
    <w:tbl>
      <w:tblPr>
        <w:tblW w:w="0" w:type="auto"/>
        <w:tblLook w:val="01E0"/>
      </w:tblPr>
      <w:tblGrid>
        <w:gridCol w:w="2840"/>
        <w:gridCol w:w="2841"/>
        <w:gridCol w:w="2841"/>
      </w:tblGrid>
      <w:tr w:rsidR="002F1FC3" w:rsidRPr="001C7C0B" w:rsidTr="00D51EE9">
        <w:tc>
          <w:tcPr>
            <w:tcW w:w="2840" w:type="dxa"/>
          </w:tcPr>
          <w:p w:rsidR="002F1FC3" w:rsidRPr="00D51EE9" w:rsidRDefault="002F1FC3" w:rsidP="00D51EE9">
            <w:pPr>
              <w:autoSpaceDE w:val="0"/>
              <w:autoSpaceDN w:val="0"/>
              <w:adjustRightInd w:val="0"/>
              <w:jc w:val="both"/>
              <w:rPr>
                <w:noProof/>
                <w:sz w:val="26"/>
                <w:szCs w:val="26"/>
              </w:rPr>
            </w:pPr>
            <w:r w:rsidRPr="00D51EE9">
              <w:rPr>
                <w:noProof/>
                <w:sz w:val="26"/>
                <w:szCs w:val="26"/>
              </w:rPr>
              <w:t>Ministru prezidents</w:t>
            </w:r>
          </w:p>
        </w:tc>
        <w:tc>
          <w:tcPr>
            <w:tcW w:w="2841" w:type="dxa"/>
          </w:tcPr>
          <w:p w:rsidR="002F1FC3" w:rsidRPr="00D51EE9" w:rsidRDefault="002F1FC3" w:rsidP="00D51EE9">
            <w:pPr>
              <w:autoSpaceDE w:val="0"/>
              <w:autoSpaceDN w:val="0"/>
              <w:adjustRightInd w:val="0"/>
              <w:jc w:val="both"/>
              <w:rPr>
                <w:noProof/>
                <w:sz w:val="26"/>
                <w:szCs w:val="26"/>
              </w:rPr>
            </w:pPr>
          </w:p>
        </w:tc>
        <w:tc>
          <w:tcPr>
            <w:tcW w:w="2841" w:type="dxa"/>
          </w:tcPr>
          <w:p w:rsidR="002F1FC3" w:rsidRPr="00D51EE9" w:rsidRDefault="002F1FC3" w:rsidP="00D51EE9">
            <w:pPr>
              <w:autoSpaceDE w:val="0"/>
              <w:autoSpaceDN w:val="0"/>
              <w:adjustRightInd w:val="0"/>
              <w:jc w:val="right"/>
              <w:rPr>
                <w:noProof/>
                <w:sz w:val="26"/>
                <w:szCs w:val="26"/>
              </w:rPr>
            </w:pPr>
            <w:r w:rsidRPr="00D51EE9">
              <w:rPr>
                <w:color w:val="000000"/>
                <w:sz w:val="26"/>
                <w:szCs w:val="26"/>
              </w:rPr>
              <w:t>V.Dombrovskis</w:t>
            </w:r>
          </w:p>
        </w:tc>
      </w:tr>
      <w:tr w:rsidR="002F1FC3" w:rsidRPr="001C7C0B" w:rsidTr="00D51EE9">
        <w:tc>
          <w:tcPr>
            <w:tcW w:w="2840" w:type="dxa"/>
          </w:tcPr>
          <w:p w:rsidR="002F1FC3" w:rsidRPr="00D51EE9" w:rsidRDefault="002F1FC3" w:rsidP="00D51EE9">
            <w:pPr>
              <w:autoSpaceDE w:val="0"/>
              <w:autoSpaceDN w:val="0"/>
              <w:adjustRightInd w:val="0"/>
              <w:jc w:val="both"/>
              <w:rPr>
                <w:noProof/>
                <w:sz w:val="26"/>
                <w:szCs w:val="26"/>
              </w:rPr>
            </w:pPr>
          </w:p>
          <w:p w:rsidR="002F1FC3" w:rsidRPr="00D51EE9" w:rsidRDefault="002F1FC3" w:rsidP="00D51EE9">
            <w:pPr>
              <w:autoSpaceDE w:val="0"/>
              <w:autoSpaceDN w:val="0"/>
              <w:adjustRightInd w:val="0"/>
              <w:jc w:val="both"/>
              <w:rPr>
                <w:noProof/>
                <w:sz w:val="26"/>
                <w:szCs w:val="26"/>
              </w:rPr>
            </w:pPr>
          </w:p>
        </w:tc>
        <w:tc>
          <w:tcPr>
            <w:tcW w:w="2841" w:type="dxa"/>
          </w:tcPr>
          <w:p w:rsidR="002F1FC3" w:rsidRPr="00D51EE9" w:rsidRDefault="002F1FC3" w:rsidP="00D51EE9">
            <w:pPr>
              <w:autoSpaceDE w:val="0"/>
              <w:autoSpaceDN w:val="0"/>
              <w:adjustRightInd w:val="0"/>
              <w:jc w:val="both"/>
              <w:rPr>
                <w:noProof/>
                <w:sz w:val="26"/>
                <w:szCs w:val="26"/>
              </w:rPr>
            </w:pPr>
          </w:p>
        </w:tc>
        <w:tc>
          <w:tcPr>
            <w:tcW w:w="2841" w:type="dxa"/>
          </w:tcPr>
          <w:p w:rsidR="002F1FC3" w:rsidRPr="00D51EE9" w:rsidRDefault="002F1FC3" w:rsidP="00D51EE9">
            <w:pPr>
              <w:autoSpaceDE w:val="0"/>
              <w:autoSpaceDN w:val="0"/>
              <w:adjustRightInd w:val="0"/>
              <w:jc w:val="both"/>
              <w:rPr>
                <w:noProof/>
                <w:sz w:val="26"/>
                <w:szCs w:val="26"/>
              </w:rPr>
            </w:pPr>
          </w:p>
        </w:tc>
      </w:tr>
      <w:tr w:rsidR="002F1FC3" w:rsidRPr="001C7C0B" w:rsidTr="00D51EE9">
        <w:tc>
          <w:tcPr>
            <w:tcW w:w="2840" w:type="dxa"/>
          </w:tcPr>
          <w:p w:rsidR="002F1FC3" w:rsidRPr="00D51EE9" w:rsidRDefault="002F1FC3" w:rsidP="00D51EE9">
            <w:pPr>
              <w:autoSpaceDE w:val="0"/>
              <w:autoSpaceDN w:val="0"/>
              <w:adjustRightInd w:val="0"/>
              <w:jc w:val="both"/>
              <w:rPr>
                <w:noProof/>
                <w:sz w:val="26"/>
                <w:szCs w:val="26"/>
              </w:rPr>
            </w:pPr>
            <w:r w:rsidRPr="00D51EE9">
              <w:rPr>
                <w:noProof/>
                <w:sz w:val="26"/>
                <w:szCs w:val="26"/>
              </w:rPr>
              <w:t>Labklājības ministre</w:t>
            </w:r>
          </w:p>
        </w:tc>
        <w:tc>
          <w:tcPr>
            <w:tcW w:w="2841" w:type="dxa"/>
          </w:tcPr>
          <w:p w:rsidR="002F1FC3" w:rsidRPr="00D51EE9" w:rsidRDefault="002F1FC3" w:rsidP="00D51EE9">
            <w:pPr>
              <w:autoSpaceDE w:val="0"/>
              <w:autoSpaceDN w:val="0"/>
              <w:adjustRightInd w:val="0"/>
              <w:jc w:val="both"/>
              <w:rPr>
                <w:noProof/>
                <w:sz w:val="26"/>
                <w:szCs w:val="26"/>
              </w:rPr>
            </w:pPr>
          </w:p>
        </w:tc>
        <w:tc>
          <w:tcPr>
            <w:tcW w:w="2841" w:type="dxa"/>
          </w:tcPr>
          <w:p w:rsidR="002F1FC3" w:rsidRPr="00D51EE9" w:rsidRDefault="002F1FC3" w:rsidP="00D51EE9">
            <w:pPr>
              <w:autoSpaceDE w:val="0"/>
              <w:autoSpaceDN w:val="0"/>
              <w:adjustRightInd w:val="0"/>
              <w:jc w:val="right"/>
              <w:rPr>
                <w:noProof/>
                <w:sz w:val="26"/>
                <w:szCs w:val="26"/>
              </w:rPr>
            </w:pPr>
            <w:r w:rsidRPr="00D51EE9">
              <w:rPr>
                <w:noProof/>
                <w:sz w:val="26"/>
                <w:szCs w:val="26"/>
              </w:rPr>
              <w:t xml:space="preserve">            I.Viņķele</w:t>
            </w:r>
          </w:p>
        </w:tc>
      </w:tr>
    </w:tbl>
    <w:p w:rsidR="002F1FC3" w:rsidRDefault="002F1FC3" w:rsidP="00625BA6">
      <w:pPr>
        <w:autoSpaceDE w:val="0"/>
        <w:autoSpaceDN w:val="0"/>
        <w:adjustRightInd w:val="0"/>
        <w:jc w:val="both"/>
        <w:rPr>
          <w:sz w:val="22"/>
          <w:szCs w:val="22"/>
        </w:rPr>
      </w:pPr>
      <w:r w:rsidRPr="00A75F21">
        <w:rPr>
          <w:noProof/>
        </w:rPr>
        <w:tab/>
      </w:r>
    </w:p>
    <w:p w:rsidR="002F1FC3" w:rsidRDefault="002F1FC3" w:rsidP="006552AE">
      <w:pPr>
        <w:rPr>
          <w:sz w:val="22"/>
          <w:szCs w:val="22"/>
        </w:rPr>
      </w:pPr>
    </w:p>
    <w:p w:rsidR="002F1FC3" w:rsidRDefault="002F1FC3" w:rsidP="006552AE">
      <w:pPr>
        <w:rPr>
          <w:sz w:val="20"/>
          <w:szCs w:val="20"/>
        </w:rPr>
      </w:pPr>
      <w:r>
        <w:rPr>
          <w:sz w:val="20"/>
          <w:szCs w:val="20"/>
        </w:rPr>
        <w:t>13.11</w:t>
      </w:r>
      <w:r w:rsidRPr="00C111F3">
        <w:rPr>
          <w:sz w:val="20"/>
          <w:szCs w:val="20"/>
        </w:rPr>
        <w:t xml:space="preserve">.2012. </w:t>
      </w:r>
      <w:r>
        <w:rPr>
          <w:sz w:val="20"/>
          <w:szCs w:val="20"/>
        </w:rPr>
        <w:t>12</w:t>
      </w:r>
      <w:r w:rsidRPr="00C111F3">
        <w:rPr>
          <w:sz w:val="20"/>
          <w:szCs w:val="20"/>
        </w:rPr>
        <w:t>:</w:t>
      </w:r>
      <w:r>
        <w:rPr>
          <w:sz w:val="20"/>
          <w:szCs w:val="20"/>
        </w:rPr>
        <w:t>45</w:t>
      </w:r>
    </w:p>
    <w:p w:rsidR="002F1FC3" w:rsidRPr="00A96454" w:rsidRDefault="002F1FC3" w:rsidP="006552AE">
      <w:pPr>
        <w:rPr>
          <w:sz w:val="20"/>
          <w:szCs w:val="20"/>
        </w:rPr>
      </w:pPr>
      <w:r>
        <w:rPr>
          <w:sz w:val="20"/>
          <w:szCs w:val="20"/>
        </w:rPr>
        <w:t>817</w:t>
      </w:r>
    </w:p>
    <w:p w:rsidR="002F1FC3" w:rsidRPr="00A96454" w:rsidRDefault="002F1FC3" w:rsidP="006552AE">
      <w:pPr>
        <w:pStyle w:val="Header"/>
        <w:rPr>
          <w:sz w:val="20"/>
          <w:szCs w:val="20"/>
        </w:rPr>
      </w:pPr>
      <w:r w:rsidRPr="00A96454">
        <w:rPr>
          <w:sz w:val="20"/>
          <w:szCs w:val="20"/>
        </w:rPr>
        <w:t>A.Vībe, 67021648,</w:t>
      </w:r>
    </w:p>
    <w:p w:rsidR="002F1FC3" w:rsidRPr="006552AE" w:rsidRDefault="002F1FC3" w:rsidP="001C39CF">
      <w:pPr>
        <w:pStyle w:val="Header"/>
      </w:pPr>
      <w:r w:rsidRPr="00A96454">
        <w:rPr>
          <w:sz w:val="20"/>
          <w:szCs w:val="20"/>
          <w:u w:val="single"/>
        </w:rPr>
        <w:t xml:space="preserve">Anna.Vibe@lm.gov.lv   </w:t>
      </w:r>
    </w:p>
    <w:sectPr w:rsidR="002F1FC3" w:rsidRPr="006552AE" w:rsidSect="00E93A5E">
      <w:headerReference w:type="even" r:id="rId14"/>
      <w:headerReference w:type="default" r:id="rId15"/>
      <w:footerReference w:type="default" r:id="rId16"/>
      <w:footerReference w:type="first" r:id="rId17"/>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1FC3" w:rsidRDefault="002F1FC3">
      <w:r>
        <w:separator/>
      </w:r>
    </w:p>
  </w:endnote>
  <w:endnote w:type="continuationSeparator" w:id="1">
    <w:p w:rsidR="002F1FC3" w:rsidRDefault="002F1F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ourier New">
    <w:panose1 w:val="02070309020205020404"/>
    <w:charset w:val="BA"/>
    <w:family w:val="modern"/>
    <w:pitch w:val="fixed"/>
    <w:sig w:usb0="20002A87" w:usb1="80000000" w:usb2="00000008" w:usb3="00000000" w:csb0="0000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FC3" w:rsidRPr="009559A4" w:rsidRDefault="002F1FC3" w:rsidP="009559A4">
    <w:pPr>
      <w:jc w:val="both"/>
      <w:rPr>
        <w:sz w:val="20"/>
        <w:szCs w:val="20"/>
      </w:rPr>
    </w:pPr>
    <w:r w:rsidRPr="009559A4">
      <w:rPr>
        <w:sz w:val="20"/>
        <w:szCs w:val="20"/>
      </w:rPr>
      <w:t>LMNot_</w:t>
    </w:r>
    <w:r>
      <w:rPr>
        <w:sz w:val="20"/>
        <w:szCs w:val="20"/>
      </w:rPr>
      <w:t>131112</w:t>
    </w:r>
    <w:r w:rsidRPr="009559A4">
      <w:rPr>
        <w:sz w:val="20"/>
        <w:szCs w:val="20"/>
      </w:rPr>
      <w:t>_732</w:t>
    </w:r>
    <w:r>
      <w:rPr>
        <w:sz w:val="20"/>
        <w:szCs w:val="20"/>
      </w:rPr>
      <w:t>groz</w:t>
    </w:r>
    <w:r w:rsidRPr="009559A4">
      <w:rPr>
        <w:sz w:val="20"/>
        <w:szCs w:val="20"/>
      </w:rPr>
      <w:t>; Ministru kabineta noteikumu projekts „Grozījum</w:t>
    </w:r>
    <w:r>
      <w:rPr>
        <w:sz w:val="20"/>
        <w:szCs w:val="20"/>
      </w:rPr>
      <w:t>i</w:t>
    </w:r>
    <w:r w:rsidRPr="009559A4">
      <w:rPr>
        <w:sz w:val="20"/>
        <w:szCs w:val="20"/>
      </w:rPr>
      <w:t xml:space="preserve"> Ministru kabineta 2007.gada 30.oktobra noteikumos Nr.732 „Noteikumi par darbības programmas „Cilvēkresursi un nodarbinātība” papildinājuma apakšaktivitāt</w:t>
    </w:r>
    <w:r>
      <w:rPr>
        <w:sz w:val="20"/>
        <w:szCs w:val="20"/>
      </w:rPr>
      <w:t>es</w:t>
    </w:r>
    <w:r w:rsidRPr="009559A4">
      <w:rPr>
        <w:sz w:val="20"/>
        <w:szCs w:val="20"/>
      </w:rPr>
      <w:t xml:space="preserve"> „</w:t>
    </w:r>
    <w:r w:rsidRPr="009559A4">
      <w:rPr>
        <w:color w:val="000000"/>
        <w:sz w:val="20"/>
        <w:szCs w:val="20"/>
      </w:rPr>
      <w:t>Bezdarbnieku un darba meklētāju apmācība” pirmo un otro kārtu</w:t>
    </w:r>
    <w:r w:rsidRPr="009559A4">
      <w:rPr>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FC3" w:rsidRPr="00CF5CB7" w:rsidRDefault="002F1FC3" w:rsidP="00CF5CB7">
    <w:pPr>
      <w:jc w:val="both"/>
      <w:rPr>
        <w:sz w:val="20"/>
        <w:szCs w:val="20"/>
      </w:rPr>
    </w:pPr>
    <w:r w:rsidRPr="00CF5CB7">
      <w:rPr>
        <w:sz w:val="20"/>
        <w:szCs w:val="20"/>
      </w:rPr>
      <w:t>LMNot_</w:t>
    </w:r>
    <w:r>
      <w:rPr>
        <w:sz w:val="20"/>
        <w:szCs w:val="20"/>
      </w:rPr>
      <w:t>1311</w:t>
    </w:r>
    <w:r w:rsidRPr="00CF5CB7">
      <w:rPr>
        <w:sz w:val="20"/>
        <w:szCs w:val="20"/>
      </w:rPr>
      <w:t>12_732groz; Ministru kabineta noteikumu projekts „Grozījumi Ministru kabineta 2007.gada 30.oktobra noteikumos Nr.732 „Noteikumi par darbības programmas „Cilvēkresursi un nodarbinātība” papildinājuma apakšaktivitātes „</w:t>
    </w:r>
    <w:r w:rsidRPr="00CF5CB7">
      <w:rPr>
        <w:color w:val="000000"/>
        <w:sz w:val="20"/>
        <w:szCs w:val="20"/>
      </w:rPr>
      <w:t>Bezdarbnieku un darba meklētāju apmācība” pirmo un otro kārtu</w:t>
    </w:r>
    <w:r w:rsidRPr="00CF5CB7">
      <w:rP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1FC3" w:rsidRDefault="002F1FC3">
      <w:r>
        <w:separator/>
      </w:r>
    </w:p>
  </w:footnote>
  <w:footnote w:type="continuationSeparator" w:id="1">
    <w:p w:rsidR="002F1FC3" w:rsidRDefault="002F1F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FC3" w:rsidRDefault="002F1FC3" w:rsidP="00E93A5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1FC3" w:rsidRDefault="002F1F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FC3" w:rsidRDefault="002F1FC3" w:rsidP="00E93A5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2F1FC3" w:rsidRDefault="002F1F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5669C"/>
    <w:multiLevelType w:val="hybridMultilevel"/>
    <w:tmpl w:val="8DEC22C6"/>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
    <w:nsid w:val="3AD35E9F"/>
    <w:multiLevelType w:val="hybridMultilevel"/>
    <w:tmpl w:val="A85C61AA"/>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4C13"/>
    <w:rsid w:val="00010FC2"/>
    <w:rsid w:val="0003278D"/>
    <w:rsid w:val="0007262E"/>
    <w:rsid w:val="000905EC"/>
    <w:rsid w:val="000A7299"/>
    <w:rsid w:val="000B473D"/>
    <w:rsid w:val="000F2999"/>
    <w:rsid w:val="001074C9"/>
    <w:rsid w:val="00120107"/>
    <w:rsid w:val="00164C13"/>
    <w:rsid w:val="00184041"/>
    <w:rsid w:val="001946D5"/>
    <w:rsid w:val="001978DE"/>
    <w:rsid w:val="001C39CF"/>
    <w:rsid w:val="001C7C0B"/>
    <w:rsid w:val="001D3451"/>
    <w:rsid w:val="002041B5"/>
    <w:rsid w:val="002111EB"/>
    <w:rsid w:val="00213D62"/>
    <w:rsid w:val="00263E2A"/>
    <w:rsid w:val="0027117C"/>
    <w:rsid w:val="00274CA6"/>
    <w:rsid w:val="002832BE"/>
    <w:rsid w:val="002A03D4"/>
    <w:rsid w:val="002D6A6D"/>
    <w:rsid w:val="002F1FC3"/>
    <w:rsid w:val="00327C6B"/>
    <w:rsid w:val="00337A0A"/>
    <w:rsid w:val="003605F3"/>
    <w:rsid w:val="0037151D"/>
    <w:rsid w:val="003957C5"/>
    <w:rsid w:val="003E596A"/>
    <w:rsid w:val="00402C84"/>
    <w:rsid w:val="00406F81"/>
    <w:rsid w:val="004171B9"/>
    <w:rsid w:val="0043350F"/>
    <w:rsid w:val="00443E5B"/>
    <w:rsid w:val="0044486F"/>
    <w:rsid w:val="004772F6"/>
    <w:rsid w:val="004A7583"/>
    <w:rsid w:val="004B0EB7"/>
    <w:rsid w:val="004B5BAA"/>
    <w:rsid w:val="00516EDF"/>
    <w:rsid w:val="00516EFD"/>
    <w:rsid w:val="00522F96"/>
    <w:rsid w:val="005478EA"/>
    <w:rsid w:val="00570EBD"/>
    <w:rsid w:val="00591653"/>
    <w:rsid w:val="00594448"/>
    <w:rsid w:val="005A29E3"/>
    <w:rsid w:val="005E7F1C"/>
    <w:rsid w:val="005F07C9"/>
    <w:rsid w:val="006002C4"/>
    <w:rsid w:val="00617D75"/>
    <w:rsid w:val="0062545E"/>
    <w:rsid w:val="00625BA6"/>
    <w:rsid w:val="00636125"/>
    <w:rsid w:val="0064041F"/>
    <w:rsid w:val="00641575"/>
    <w:rsid w:val="006421F6"/>
    <w:rsid w:val="00643365"/>
    <w:rsid w:val="00650D55"/>
    <w:rsid w:val="006514B5"/>
    <w:rsid w:val="0065450F"/>
    <w:rsid w:val="006552AE"/>
    <w:rsid w:val="00656561"/>
    <w:rsid w:val="006845D8"/>
    <w:rsid w:val="006A2C97"/>
    <w:rsid w:val="006A5E92"/>
    <w:rsid w:val="006B12C9"/>
    <w:rsid w:val="006D48EB"/>
    <w:rsid w:val="007154CE"/>
    <w:rsid w:val="00717728"/>
    <w:rsid w:val="00731216"/>
    <w:rsid w:val="00745C30"/>
    <w:rsid w:val="00787887"/>
    <w:rsid w:val="007950A7"/>
    <w:rsid w:val="007A009E"/>
    <w:rsid w:val="007C0736"/>
    <w:rsid w:val="007F602F"/>
    <w:rsid w:val="007F7240"/>
    <w:rsid w:val="00821E21"/>
    <w:rsid w:val="00851D3C"/>
    <w:rsid w:val="0085739D"/>
    <w:rsid w:val="00885923"/>
    <w:rsid w:val="008C2EFF"/>
    <w:rsid w:val="008C764D"/>
    <w:rsid w:val="00910E55"/>
    <w:rsid w:val="00923E53"/>
    <w:rsid w:val="00947F4F"/>
    <w:rsid w:val="009559A4"/>
    <w:rsid w:val="00960DA5"/>
    <w:rsid w:val="00976F04"/>
    <w:rsid w:val="009B33EE"/>
    <w:rsid w:val="009F0187"/>
    <w:rsid w:val="00A4232A"/>
    <w:rsid w:val="00A45023"/>
    <w:rsid w:val="00A45624"/>
    <w:rsid w:val="00A615A5"/>
    <w:rsid w:val="00A75F21"/>
    <w:rsid w:val="00A848E7"/>
    <w:rsid w:val="00A87791"/>
    <w:rsid w:val="00A96454"/>
    <w:rsid w:val="00AD5297"/>
    <w:rsid w:val="00AF21B3"/>
    <w:rsid w:val="00B43835"/>
    <w:rsid w:val="00B73EAF"/>
    <w:rsid w:val="00B816F4"/>
    <w:rsid w:val="00B83868"/>
    <w:rsid w:val="00BA6C9B"/>
    <w:rsid w:val="00BB0619"/>
    <w:rsid w:val="00BE4473"/>
    <w:rsid w:val="00C111F3"/>
    <w:rsid w:val="00C2431E"/>
    <w:rsid w:val="00C411ED"/>
    <w:rsid w:val="00C45095"/>
    <w:rsid w:val="00C514FA"/>
    <w:rsid w:val="00C5362B"/>
    <w:rsid w:val="00C60AB2"/>
    <w:rsid w:val="00C83C0E"/>
    <w:rsid w:val="00C91F1C"/>
    <w:rsid w:val="00CB5B04"/>
    <w:rsid w:val="00CD364B"/>
    <w:rsid w:val="00CF5CB7"/>
    <w:rsid w:val="00D011DF"/>
    <w:rsid w:val="00D076A9"/>
    <w:rsid w:val="00D430C4"/>
    <w:rsid w:val="00D45415"/>
    <w:rsid w:val="00D50C18"/>
    <w:rsid w:val="00D51EE9"/>
    <w:rsid w:val="00D57E1E"/>
    <w:rsid w:val="00D744C2"/>
    <w:rsid w:val="00D75CAA"/>
    <w:rsid w:val="00D91084"/>
    <w:rsid w:val="00DA0F47"/>
    <w:rsid w:val="00DC1268"/>
    <w:rsid w:val="00DD0B17"/>
    <w:rsid w:val="00DF21D1"/>
    <w:rsid w:val="00DF499C"/>
    <w:rsid w:val="00E3252F"/>
    <w:rsid w:val="00E729B5"/>
    <w:rsid w:val="00E7474D"/>
    <w:rsid w:val="00E820C9"/>
    <w:rsid w:val="00E843BD"/>
    <w:rsid w:val="00E93A5E"/>
    <w:rsid w:val="00EC1E86"/>
    <w:rsid w:val="00EC490F"/>
    <w:rsid w:val="00EE17D4"/>
    <w:rsid w:val="00EF305B"/>
    <w:rsid w:val="00EF30F4"/>
    <w:rsid w:val="00F00C80"/>
    <w:rsid w:val="00F46658"/>
    <w:rsid w:val="00F6487C"/>
    <w:rsid w:val="00FA3D76"/>
    <w:rsid w:val="00FB1554"/>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C13"/>
    <w:rPr>
      <w:sz w:val="24"/>
      <w:szCs w:val="24"/>
    </w:rPr>
  </w:style>
  <w:style w:type="paragraph" w:styleId="Heading8">
    <w:name w:val="heading 8"/>
    <w:aliases w:val="Char"/>
    <w:basedOn w:val="Normal"/>
    <w:next w:val="Normal"/>
    <w:link w:val="Heading8Char"/>
    <w:uiPriority w:val="99"/>
    <w:qFormat/>
    <w:rsid w:val="00DF499C"/>
    <w:pPr>
      <w:keepNext/>
      <w:outlineLvl w:val="7"/>
    </w:pPr>
    <w:rPr>
      <w:b/>
      <w:bCs/>
      <w:color w:val="333399"/>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aliases w:val="Char Char"/>
    <w:basedOn w:val="DefaultParagraphFont"/>
    <w:link w:val="Heading8"/>
    <w:uiPriority w:val="99"/>
    <w:locked/>
    <w:rsid w:val="00DF499C"/>
    <w:rPr>
      <w:rFonts w:cs="Times New Roman"/>
      <w:b/>
      <w:color w:val="333399"/>
      <w:sz w:val="24"/>
      <w:lang w:val="lv-LV" w:eastAsia="en-US"/>
    </w:rPr>
  </w:style>
  <w:style w:type="paragraph" w:customStyle="1" w:styleId="naislab">
    <w:name w:val="naislab"/>
    <w:basedOn w:val="Normal"/>
    <w:uiPriority w:val="99"/>
    <w:rsid w:val="00164C13"/>
    <w:pPr>
      <w:spacing w:before="100" w:beforeAutospacing="1" w:after="100" w:afterAutospacing="1"/>
    </w:pPr>
  </w:style>
  <w:style w:type="character" w:styleId="FootnoteReference">
    <w:name w:val="footnote reference"/>
    <w:aliases w:val="Footnote Reference Number"/>
    <w:basedOn w:val="DefaultParagraphFont"/>
    <w:uiPriority w:val="99"/>
    <w:rsid w:val="00C514FA"/>
    <w:rPr>
      <w:rFonts w:cs="Times New Roman"/>
      <w:vertAlign w:val="superscript"/>
    </w:rPr>
  </w:style>
  <w:style w:type="paragraph" w:styleId="Footer">
    <w:name w:val="footer"/>
    <w:basedOn w:val="Normal"/>
    <w:link w:val="FooterChar"/>
    <w:uiPriority w:val="99"/>
    <w:rsid w:val="00C514FA"/>
    <w:pPr>
      <w:tabs>
        <w:tab w:val="center" w:pos="4153"/>
        <w:tab w:val="right" w:pos="8306"/>
      </w:tabs>
    </w:pPr>
  </w:style>
  <w:style w:type="character" w:customStyle="1" w:styleId="FooterChar">
    <w:name w:val="Footer Char"/>
    <w:basedOn w:val="DefaultParagraphFont"/>
    <w:link w:val="Footer"/>
    <w:uiPriority w:val="99"/>
    <w:locked/>
    <w:rsid w:val="00C514FA"/>
    <w:rPr>
      <w:rFonts w:cs="Times New Roman"/>
      <w:sz w:val="24"/>
      <w:szCs w:val="24"/>
      <w:lang w:val="lv-LV" w:eastAsia="lv-LV" w:bidi="ar-SA"/>
    </w:rPr>
  </w:style>
  <w:style w:type="paragraph" w:styleId="Header">
    <w:name w:val="header"/>
    <w:basedOn w:val="Normal"/>
    <w:link w:val="HeaderChar"/>
    <w:uiPriority w:val="99"/>
    <w:rsid w:val="009559A4"/>
    <w:pPr>
      <w:tabs>
        <w:tab w:val="center" w:pos="4153"/>
        <w:tab w:val="right" w:pos="8306"/>
      </w:tabs>
    </w:pPr>
  </w:style>
  <w:style w:type="character" w:customStyle="1" w:styleId="HeaderChar">
    <w:name w:val="Header Char"/>
    <w:basedOn w:val="DefaultParagraphFont"/>
    <w:link w:val="Header"/>
    <w:uiPriority w:val="99"/>
    <w:locked/>
    <w:rsid w:val="006552AE"/>
    <w:rPr>
      <w:rFonts w:cs="Times New Roman"/>
      <w:sz w:val="24"/>
      <w:szCs w:val="24"/>
      <w:lang w:val="lv-LV" w:eastAsia="lv-LV" w:bidi="ar-SA"/>
    </w:rPr>
  </w:style>
  <w:style w:type="paragraph" w:customStyle="1" w:styleId="naisf">
    <w:name w:val="naisf"/>
    <w:basedOn w:val="Normal"/>
    <w:uiPriority w:val="99"/>
    <w:rsid w:val="00E3252F"/>
    <w:pPr>
      <w:spacing w:before="68" w:after="68"/>
      <w:ind w:firstLine="340"/>
      <w:jc w:val="both"/>
    </w:pPr>
  </w:style>
  <w:style w:type="paragraph" w:styleId="BalloonText">
    <w:name w:val="Balloon Text"/>
    <w:basedOn w:val="Normal"/>
    <w:link w:val="BalloonTextChar"/>
    <w:uiPriority w:val="99"/>
    <w:semiHidden/>
    <w:rsid w:val="004B5B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72F6"/>
    <w:rPr>
      <w:rFonts w:cs="Times New Roman"/>
      <w:sz w:val="2"/>
    </w:rPr>
  </w:style>
  <w:style w:type="character" w:styleId="Hyperlink">
    <w:name w:val="Hyperlink"/>
    <w:basedOn w:val="DefaultParagraphFont"/>
    <w:uiPriority w:val="99"/>
    <w:rsid w:val="006552AE"/>
    <w:rPr>
      <w:rFonts w:cs="Times New Roman"/>
      <w:color w:val="0000FF"/>
      <w:u w:val="single"/>
    </w:rPr>
  </w:style>
  <w:style w:type="paragraph" w:styleId="HTMLPreformatted">
    <w:name w:val="HTML Preformatted"/>
    <w:basedOn w:val="Normal"/>
    <w:link w:val="HTMLPreformattedChar"/>
    <w:uiPriority w:val="99"/>
    <w:rsid w:val="00655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4772F6"/>
    <w:rPr>
      <w:rFonts w:ascii="Courier New" w:hAnsi="Courier New" w:cs="Courier New"/>
      <w:sz w:val="20"/>
      <w:szCs w:val="20"/>
    </w:rPr>
  </w:style>
  <w:style w:type="table" w:styleId="TableGrid">
    <w:name w:val="Table Grid"/>
    <w:basedOn w:val="TableNormal"/>
    <w:uiPriority w:val="99"/>
    <w:rsid w:val="006552A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tvp">
    <w:name w:val="tv213 tvp"/>
    <w:basedOn w:val="Normal"/>
    <w:uiPriority w:val="99"/>
    <w:rsid w:val="0037151D"/>
    <w:pPr>
      <w:spacing w:before="100" w:beforeAutospacing="1" w:after="100" w:afterAutospacing="1"/>
    </w:pPr>
  </w:style>
  <w:style w:type="paragraph" w:customStyle="1" w:styleId="tv213limenis2">
    <w:name w:val="tv213 limenis2"/>
    <w:basedOn w:val="Normal"/>
    <w:uiPriority w:val="99"/>
    <w:rsid w:val="0037151D"/>
    <w:pPr>
      <w:spacing w:before="100" w:beforeAutospacing="1" w:after="100" w:afterAutospacing="1"/>
    </w:pPr>
  </w:style>
  <w:style w:type="character" w:customStyle="1" w:styleId="tvhtmlmktable">
    <w:name w:val="tv_html mk_table"/>
    <w:basedOn w:val="DefaultParagraphFont"/>
    <w:uiPriority w:val="99"/>
    <w:rsid w:val="00591653"/>
    <w:rPr>
      <w:rFonts w:cs="Times New Roman"/>
    </w:rPr>
  </w:style>
  <w:style w:type="character" w:customStyle="1" w:styleId="tvhtmlmktable1">
    <w:name w:val="tv_html mk_table1"/>
    <w:basedOn w:val="DefaultParagraphFont"/>
    <w:uiPriority w:val="99"/>
    <w:rsid w:val="00591653"/>
    <w:rPr>
      <w:rFonts w:cs="Times New Roman"/>
    </w:rPr>
  </w:style>
  <w:style w:type="paragraph" w:styleId="FootnoteText">
    <w:name w:val="footnote text"/>
    <w:basedOn w:val="Normal"/>
    <w:link w:val="FootnoteTextChar"/>
    <w:uiPriority w:val="99"/>
    <w:semiHidden/>
    <w:rsid w:val="00DF499C"/>
    <w:rPr>
      <w:sz w:val="20"/>
      <w:szCs w:val="20"/>
    </w:rPr>
  </w:style>
  <w:style w:type="character" w:customStyle="1" w:styleId="FootnoteTextChar">
    <w:name w:val="Footnote Text Char"/>
    <w:basedOn w:val="DefaultParagraphFont"/>
    <w:link w:val="FootnoteText"/>
    <w:uiPriority w:val="99"/>
    <w:semiHidden/>
    <w:locked/>
    <w:rsid w:val="00DF499C"/>
    <w:rPr>
      <w:rFonts w:cs="Times New Roman"/>
      <w:lang w:val="lv-LV" w:eastAsia="lv-LV"/>
    </w:rPr>
  </w:style>
  <w:style w:type="paragraph" w:customStyle="1" w:styleId="EE-paragr">
    <w:name w:val="EE-paragr"/>
    <w:basedOn w:val="Normal"/>
    <w:uiPriority w:val="99"/>
    <w:rsid w:val="00DF499C"/>
    <w:pPr>
      <w:tabs>
        <w:tab w:val="num" w:pos="0"/>
      </w:tabs>
      <w:ind w:left="567" w:hanging="567"/>
    </w:pPr>
    <w:rPr>
      <w:lang w:eastAsia="en-US"/>
    </w:rPr>
  </w:style>
  <w:style w:type="paragraph" w:styleId="NormalWeb">
    <w:name w:val="Normal (Web)"/>
    <w:basedOn w:val="Normal"/>
    <w:uiPriority w:val="99"/>
    <w:rsid w:val="005E7F1C"/>
    <w:pPr>
      <w:spacing w:before="100" w:beforeAutospacing="1" w:after="100" w:afterAutospacing="1"/>
    </w:pPr>
    <w:rPr>
      <w:rFonts w:ascii="Verdana" w:hAnsi="Verdana"/>
      <w:sz w:val="18"/>
      <w:szCs w:val="18"/>
    </w:rPr>
  </w:style>
  <w:style w:type="paragraph" w:customStyle="1" w:styleId="RakstzCharCharRakstzCharCharRakstz">
    <w:name w:val="Rakstz. Char Char Rakstz. Char Char Rakstz."/>
    <w:basedOn w:val="Normal"/>
    <w:uiPriority w:val="99"/>
    <w:rsid w:val="005E7F1C"/>
    <w:pPr>
      <w:spacing w:after="160" w:line="240" w:lineRule="exact"/>
    </w:pPr>
    <w:rPr>
      <w:rFonts w:ascii="Tahoma" w:hAnsi="Tahoma"/>
      <w:sz w:val="20"/>
      <w:szCs w:val="20"/>
      <w:lang w:val="en-US" w:eastAsia="en-US"/>
    </w:rPr>
  </w:style>
  <w:style w:type="character" w:styleId="PageNumber">
    <w:name w:val="page number"/>
    <w:basedOn w:val="DefaultParagraphFont"/>
    <w:uiPriority w:val="99"/>
    <w:rsid w:val="00E93A5E"/>
    <w:rPr>
      <w:rFonts w:cs="Times New Roman"/>
    </w:rPr>
  </w:style>
  <w:style w:type="character" w:styleId="CommentReference">
    <w:name w:val="annotation reference"/>
    <w:basedOn w:val="DefaultParagraphFont"/>
    <w:uiPriority w:val="99"/>
    <w:rsid w:val="001D3451"/>
    <w:rPr>
      <w:rFonts w:cs="Times New Roman"/>
      <w:sz w:val="16"/>
      <w:szCs w:val="16"/>
    </w:rPr>
  </w:style>
  <w:style w:type="paragraph" w:styleId="CommentText">
    <w:name w:val="annotation text"/>
    <w:basedOn w:val="Normal"/>
    <w:link w:val="CommentTextChar"/>
    <w:uiPriority w:val="99"/>
    <w:rsid w:val="001D3451"/>
    <w:rPr>
      <w:sz w:val="20"/>
      <w:szCs w:val="20"/>
    </w:rPr>
  </w:style>
  <w:style w:type="character" w:customStyle="1" w:styleId="CommentTextChar">
    <w:name w:val="Comment Text Char"/>
    <w:basedOn w:val="DefaultParagraphFont"/>
    <w:link w:val="CommentText"/>
    <w:uiPriority w:val="99"/>
    <w:locked/>
    <w:rsid w:val="001D3451"/>
    <w:rPr>
      <w:rFonts w:cs="Times New Roman"/>
    </w:rPr>
  </w:style>
  <w:style w:type="paragraph" w:styleId="CommentSubject">
    <w:name w:val="annotation subject"/>
    <w:basedOn w:val="CommentText"/>
    <w:next w:val="CommentText"/>
    <w:link w:val="CommentSubjectChar"/>
    <w:uiPriority w:val="99"/>
    <w:rsid w:val="001D3451"/>
    <w:rPr>
      <w:b/>
      <w:bCs/>
    </w:rPr>
  </w:style>
  <w:style w:type="character" w:customStyle="1" w:styleId="CommentSubjectChar">
    <w:name w:val="Comment Subject Char"/>
    <w:basedOn w:val="CommentTextChar"/>
    <w:link w:val="CommentSubject"/>
    <w:uiPriority w:val="99"/>
    <w:locked/>
    <w:rsid w:val="001D3451"/>
    <w:rPr>
      <w:b/>
      <w:bCs/>
    </w:rPr>
  </w:style>
</w:styles>
</file>

<file path=word/webSettings.xml><?xml version="1.0" encoding="utf-8"?>
<w:webSettings xmlns:r="http://schemas.openxmlformats.org/officeDocument/2006/relationships" xmlns:w="http://schemas.openxmlformats.org/wordprocessingml/2006/main">
  <w:divs>
    <w:div w:id="1005935063">
      <w:marLeft w:val="0"/>
      <w:marRight w:val="0"/>
      <w:marTop w:val="0"/>
      <w:marBottom w:val="0"/>
      <w:divBdr>
        <w:top w:val="none" w:sz="0" w:space="0" w:color="auto"/>
        <w:left w:val="none" w:sz="0" w:space="0" w:color="auto"/>
        <w:bottom w:val="none" w:sz="0" w:space="0" w:color="auto"/>
        <w:right w:val="none" w:sz="0" w:space="0" w:color="auto"/>
      </w:divBdr>
    </w:div>
    <w:div w:id="1005935064">
      <w:marLeft w:val="0"/>
      <w:marRight w:val="0"/>
      <w:marTop w:val="0"/>
      <w:marBottom w:val="0"/>
      <w:divBdr>
        <w:top w:val="none" w:sz="0" w:space="0" w:color="auto"/>
        <w:left w:val="none" w:sz="0" w:space="0" w:color="auto"/>
        <w:bottom w:val="none" w:sz="0" w:space="0" w:color="auto"/>
        <w:right w:val="none" w:sz="0" w:space="0" w:color="auto"/>
      </w:divBdr>
    </w:div>
    <w:div w:id="10059350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OJ:L:2007:337:0035:01:LV:HTML" TargetMode="External"/><Relationship Id="rId13" Type="http://schemas.openxmlformats.org/officeDocument/2006/relationships/hyperlink" Target="http://www.likumi.lv/doc.php?id=16611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ur-lex.europa.eu/LexUriServ/LexUriServ.do?uri=OJ:L:2007:193:0006:01:LV:HTML" TargetMode="External"/><Relationship Id="rId12" Type="http://schemas.openxmlformats.org/officeDocument/2006/relationships/hyperlink" Target="http://www.likumi.lv/doc.php?id=166116"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kumi.lv/doc.php?id=166116"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eur-lex.europa.eu/LexUriServ/LexUriServ.do?uri=OJ:L:2007:337:0035:01:LV: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ur-lex.europa.eu/LexUriServ/LexUriServ.do?uri=OJ:L:2007:193:0006:01:LV: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105</TotalTime>
  <Pages>3</Pages>
  <Words>929</Words>
  <Characters>6537</Characters>
  <Application>Microsoft Office Outlook</Application>
  <DocSecurity>0</DocSecurity>
  <Lines>0</Lines>
  <Paragraphs>0</Paragraphs>
  <ScaleCrop>false</ScaleCrop>
  <Company>LaBmin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2007.gada 30.oktobra noteikumos Nr.732 „Noteikumi par darbības programmas „Cilvēkresursi un nodarbinātība” papildinājuma apakšaktivitātes „Bezdarbnieku un darba meklētāju apmācība” pirmo un otro kārtu"</dc:title>
  <dc:subject/>
  <dc:creator>Anna vībe</dc:creator>
  <cp:keywords/>
  <dc:description>Anna Vībe, Tālr.67021648,Anna.Vibe@lm.gov.lv</dc:description>
  <cp:lastModifiedBy>AnnaV</cp:lastModifiedBy>
  <cp:revision>11</cp:revision>
  <cp:lastPrinted>2012-11-06T14:16:00Z</cp:lastPrinted>
  <dcterms:created xsi:type="dcterms:W3CDTF">2012-11-07T07:16:00Z</dcterms:created>
  <dcterms:modified xsi:type="dcterms:W3CDTF">2012-11-13T10:45:00Z</dcterms:modified>
</cp:coreProperties>
</file>