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1" w:rsidRPr="001D4680" w:rsidRDefault="000A5211">
      <w:pPr>
        <w:tabs>
          <w:tab w:val="left" w:pos="6663"/>
        </w:tabs>
        <w:rPr>
          <w:sz w:val="26"/>
          <w:szCs w:val="26"/>
        </w:rPr>
      </w:pPr>
      <w:r w:rsidRPr="001D4680">
        <w:rPr>
          <w:sz w:val="26"/>
          <w:szCs w:val="26"/>
        </w:rPr>
        <w:t xml:space="preserve">2012.gada            </w:t>
      </w:r>
      <w:r w:rsidRPr="001D4680">
        <w:rPr>
          <w:sz w:val="26"/>
          <w:szCs w:val="26"/>
        </w:rPr>
        <w:tab/>
        <w:t>Rīkojums Nr.</w:t>
      </w:r>
    </w:p>
    <w:p w:rsidR="000A5211" w:rsidRPr="001D4680" w:rsidRDefault="000A5211">
      <w:pPr>
        <w:tabs>
          <w:tab w:val="left" w:pos="6663"/>
        </w:tabs>
        <w:rPr>
          <w:sz w:val="26"/>
          <w:szCs w:val="26"/>
        </w:rPr>
      </w:pPr>
      <w:r w:rsidRPr="001D4680">
        <w:rPr>
          <w:sz w:val="26"/>
          <w:szCs w:val="26"/>
        </w:rPr>
        <w:t>Rīgā</w:t>
      </w:r>
      <w:r w:rsidRPr="001D4680">
        <w:rPr>
          <w:sz w:val="26"/>
          <w:szCs w:val="26"/>
        </w:rPr>
        <w:tab/>
        <w:t>(prot. Nr.               .§)</w:t>
      </w:r>
    </w:p>
    <w:p w:rsidR="000A5211" w:rsidRPr="00435D95" w:rsidRDefault="000A5211" w:rsidP="00063883">
      <w:pPr>
        <w:jc w:val="right"/>
        <w:rPr>
          <w:sz w:val="16"/>
          <w:szCs w:val="16"/>
        </w:rPr>
      </w:pPr>
    </w:p>
    <w:p w:rsidR="000A5211" w:rsidRPr="001D4680" w:rsidRDefault="000A5211" w:rsidP="00063883">
      <w:pPr>
        <w:jc w:val="center"/>
        <w:rPr>
          <w:b/>
          <w:sz w:val="26"/>
          <w:szCs w:val="26"/>
        </w:rPr>
      </w:pPr>
      <w:r w:rsidRPr="001D4680">
        <w:rPr>
          <w:b/>
          <w:sz w:val="26"/>
          <w:szCs w:val="26"/>
        </w:rPr>
        <w:t>Grozījumi darbības programmas „Cilvēkresursi un nodarbinātība”</w:t>
      </w:r>
    </w:p>
    <w:p w:rsidR="000A5211" w:rsidRPr="001D4680" w:rsidRDefault="000A5211" w:rsidP="00063883">
      <w:pPr>
        <w:jc w:val="center"/>
        <w:rPr>
          <w:b/>
          <w:sz w:val="26"/>
          <w:szCs w:val="26"/>
        </w:rPr>
      </w:pPr>
      <w:r w:rsidRPr="001D4680">
        <w:rPr>
          <w:b/>
          <w:sz w:val="26"/>
          <w:szCs w:val="26"/>
        </w:rPr>
        <w:t>papildinājumā</w:t>
      </w:r>
    </w:p>
    <w:p w:rsidR="000A5211" w:rsidRPr="001D4680" w:rsidRDefault="000A5211" w:rsidP="00063883">
      <w:pPr>
        <w:ind w:right="-625"/>
        <w:rPr>
          <w:sz w:val="26"/>
          <w:szCs w:val="26"/>
        </w:rPr>
      </w:pPr>
    </w:p>
    <w:p w:rsidR="000A5211" w:rsidRPr="001D4680" w:rsidRDefault="000A5211" w:rsidP="00B1145B">
      <w:pPr>
        <w:ind w:firstLine="720"/>
        <w:rPr>
          <w:sz w:val="26"/>
          <w:szCs w:val="26"/>
        </w:rPr>
      </w:pPr>
      <w:r w:rsidRPr="001D4680">
        <w:rPr>
          <w:sz w:val="26"/>
          <w:szCs w:val="26"/>
        </w:rPr>
        <w:t xml:space="preserve">1. Izdarīt darbības programmas „Cilvēkresursi un nodarbinātība” papildinājumā (apstiprināts ar Ministru kabineta 2008.gada 9.aprīļa rīkojumu </w:t>
      </w:r>
      <w:r w:rsidRPr="001D4680">
        <w:rPr>
          <w:spacing w:val="-4"/>
          <w:sz w:val="26"/>
          <w:szCs w:val="26"/>
        </w:rPr>
        <w:t>Nr.197 „Par darbības programmas „Cilvēkresursi un nodarbinātība” papildinājuma</w:t>
      </w:r>
      <w:r w:rsidRPr="001D4680">
        <w:rPr>
          <w:sz w:val="26"/>
          <w:szCs w:val="26"/>
        </w:rPr>
        <w:t xml:space="preserve"> apstiprināšanu”) šādus grozījumus:</w:t>
      </w:r>
    </w:p>
    <w:p w:rsidR="000A5211" w:rsidRPr="001D4680" w:rsidRDefault="000A5211" w:rsidP="00B1145B">
      <w:pPr>
        <w:ind w:firstLine="720"/>
        <w:rPr>
          <w:sz w:val="26"/>
          <w:szCs w:val="26"/>
        </w:rPr>
      </w:pPr>
    </w:p>
    <w:p w:rsidR="000A5211" w:rsidRPr="001D4680" w:rsidRDefault="000A5211" w:rsidP="00DC49DA">
      <w:pPr>
        <w:tabs>
          <w:tab w:val="left" w:pos="720"/>
        </w:tabs>
        <w:spacing w:after="120"/>
        <w:rPr>
          <w:color w:val="000000"/>
          <w:sz w:val="26"/>
          <w:szCs w:val="26"/>
        </w:rPr>
      </w:pPr>
      <w:r w:rsidRPr="001D4680">
        <w:rPr>
          <w:sz w:val="26"/>
          <w:szCs w:val="26"/>
        </w:rPr>
        <w:tab/>
        <w:t xml:space="preserve">1.1. </w:t>
      </w:r>
      <w:r>
        <w:rPr>
          <w:color w:val="000000"/>
          <w:sz w:val="26"/>
          <w:szCs w:val="26"/>
        </w:rPr>
        <w:t>a</w:t>
      </w:r>
      <w:r w:rsidRPr="001D4680">
        <w:rPr>
          <w:color w:val="000000"/>
          <w:sz w:val="26"/>
          <w:szCs w:val="26"/>
        </w:rPr>
        <w:t xml:space="preserve">izstāt </w:t>
      </w:r>
      <w:r w:rsidRPr="001D4680">
        <w:rPr>
          <w:sz w:val="26"/>
          <w:szCs w:val="26"/>
        </w:rPr>
        <w:t>202.punktā skaitli „90 777 912” ar skaitli „</w:t>
      </w:r>
      <w:r>
        <w:rPr>
          <w:sz w:val="26"/>
          <w:szCs w:val="26"/>
        </w:rPr>
        <w:t>90 654 123</w:t>
      </w:r>
      <w:r w:rsidRPr="001D4680">
        <w:rPr>
          <w:sz w:val="26"/>
          <w:szCs w:val="26"/>
        </w:rPr>
        <w:t xml:space="preserve">” un </w:t>
      </w:r>
      <w:r w:rsidRPr="001D4680">
        <w:rPr>
          <w:color w:val="000000"/>
          <w:sz w:val="26"/>
          <w:szCs w:val="26"/>
        </w:rPr>
        <w:t>skaitli „714 235” ar skaitli „</w:t>
      </w:r>
      <w:r>
        <w:rPr>
          <w:color w:val="000000"/>
          <w:sz w:val="26"/>
          <w:szCs w:val="26"/>
        </w:rPr>
        <w:t>838 024</w:t>
      </w:r>
      <w:r w:rsidRPr="001D4680">
        <w:rPr>
          <w:color w:val="000000"/>
          <w:sz w:val="26"/>
          <w:szCs w:val="26"/>
        </w:rPr>
        <w:t>”</w:t>
      </w:r>
      <w:r w:rsidRPr="001D4680">
        <w:rPr>
          <w:sz w:val="26"/>
          <w:szCs w:val="26"/>
        </w:rPr>
        <w:t>.</w:t>
      </w:r>
    </w:p>
    <w:p w:rsidR="000A5211" w:rsidRPr="00435D95" w:rsidRDefault="000A5211" w:rsidP="00B1145B">
      <w:pPr>
        <w:ind w:firstLine="720"/>
        <w:rPr>
          <w:sz w:val="16"/>
          <w:szCs w:val="16"/>
        </w:rPr>
      </w:pPr>
    </w:p>
    <w:p w:rsidR="000A5211" w:rsidRPr="001D4680" w:rsidRDefault="000A5211" w:rsidP="00FA0D7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lv-LV"/>
        </w:rPr>
      </w:pPr>
      <w:r w:rsidRPr="001D4680">
        <w:rPr>
          <w:sz w:val="26"/>
          <w:szCs w:val="26"/>
          <w:lang w:val="lv-LV"/>
        </w:rPr>
        <w:t>1.2. izteikt 255.punktu šādā redakcijā:</w:t>
      </w:r>
    </w:p>
    <w:p w:rsidR="000A5211" w:rsidRDefault="000A5211" w:rsidP="008D40C5">
      <w:pPr>
        <w:pStyle w:val="Default"/>
        <w:ind w:firstLine="720"/>
        <w:jc w:val="both"/>
        <w:rPr>
          <w:color w:val="auto"/>
          <w:sz w:val="26"/>
          <w:szCs w:val="26"/>
          <w:lang w:eastAsia="en-US"/>
        </w:rPr>
      </w:pPr>
      <w:r w:rsidRPr="001D4680">
        <w:rPr>
          <w:sz w:val="26"/>
          <w:szCs w:val="26"/>
        </w:rPr>
        <w:t>„</w:t>
      </w:r>
      <w:r w:rsidRPr="001D4680">
        <w:rPr>
          <w:color w:val="auto"/>
          <w:sz w:val="26"/>
          <w:szCs w:val="26"/>
          <w:lang w:eastAsia="en-US"/>
        </w:rPr>
        <w:t>255. Atbalsta veids: Darba tirgus pieprasījuma īstermiņa izpēte, veicot darba devēju un darba devēju asociāciju aptaujas; sabiedrības informētības un apmierinātības ar darba tirgus institūciju sniegtajiem pakalpojumiem izpēte; darba tirgus institūciju pakalpojumu efektivitātes un kvalitātes pētījumi; darba tirgus elastības izpēte un elastības uzlabošanas pasākumu ieviešana, iespējamo diskriminācijas faktoru izvērtēšana reģionālajā darba tirgū un pasākumu ieviešana diskriminācijas faktoru novēršanai; bezdarba un sociālās atstumtības iemeslu pētījumi; bezdarbnieku mērķgrupu aptaujas</w:t>
      </w:r>
      <w:r w:rsidRPr="003515BD">
        <w:rPr>
          <w:color w:val="auto"/>
          <w:sz w:val="26"/>
          <w:szCs w:val="26"/>
          <w:lang w:eastAsia="en-US"/>
        </w:rPr>
        <w:t>, tai skaitā absolventu -  bezdarbnieku aptaujas</w:t>
      </w:r>
      <w:r w:rsidRPr="001D4680">
        <w:rPr>
          <w:color w:val="auto"/>
          <w:sz w:val="26"/>
          <w:szCs w:val="26"/>
          <w:lang w:eastAsia="en-US"/>
        </w:rPr>
        <w:t>; darba tirgus vidēja un ilgtermiņa prognožu sagatavošana un aktualizēšana; darba tirgus prognozēšanas metodikas izstrāde un pilnveide; nacionālas nozīmes pētījumi darba tirgus jomā.”;</w:t>
      </w:r>
    </w:p>
    <w:p w:rsidR="000A5211" w:rsidRDefault="000A5211" w:rsidP="008D40C5">
      <w:pPr>
        <w:pStyle w:val="Default"/>
        <w:ind w:firstLine="720"/>
        <w:jc w:val="both"/>
        <w:rPr>
          <w:color w:val="auto"/>
          <w:sz w:val="26"/>
          <w:szCs w:val="26"/>
          <w:lang w:eastAsia="en-US"/>
        </w:rPr>
      </w:pPr>
    </w:p>
    <w:p w:rsidR="000A5211" w:rsidRPr="009E762E" w:rsidRDefault="000A5211" w:rsidP="008D40C5">
      <w:pPr>
        <w:pStyle w:val="Default"/>
        <w:ind w:firstLine="720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1.3. izteikt 271.punkta trešo apakšpunktu šādā redakcijā:</w:t>
      </w:r>
    </w:p>
    <w:p w:rsidR="000A5211" w:rsidRDefault="000A5211" w:rsidP="00372390">
      <w:pPr>
        <w:pStyle w:val="Default"/>
        <w:ind w:firstLine="720"/>
        <w:jc w:val="both"/>
        <w:rPr>
          <w:sz w:val="26"/>
          <w:szCs w:val="26"/>
        </w:rPr>
      </w:pPr>
      <w:r>
        <w:rPr>
          <w:color w:val="auto"/>
          <w:sz w:val="26"/>
          <w:szCs w:val="26"/>
          <w:lang w:eastAsia="en-US"/>
        </w:rPr>
        <w:t xml:space="preserve">„• 1.3.1.1.3.apakšaktivitātes „Bezdarbnieku un darba meklētāju apmācība” ietvaros valsts atbalsts pieļaujams atbilstoši Komisijas 2006.gada 15.decembra Regulai (EK) Nr.1998/2006 par Līguma 87. un 88.panta piemērošanu de minimis atbalstam, </w:t>
      </w:r>
      <w:r w:rsidRPr="003605F3">
        <w:rPr>
          <w:sz w:val="26"/>
          <w:szCs w:val="26"/>
        </w:rPr>
        <w:t>Komisijas 2007.gada 24.jūlija Regul</w:t>
      </w:r>
      <w:r>
        <w:rPr>
          <w:sz w:val="26"/>
          <w:szCs w:val="26"/>
        </w:rPr>
        <w:t>ai</w:t>
      </w:r>
      <w:r w:rsidRPr="003605F3">
        <w:rPr>
          <w:sz w:val="26"/>
          <w:szCs w:val="26"/>
        </w:rPr>
        <w:t xml:space="preserve"> (EK) Nr.</w:t>
      </w:r>
      <w:hyperlink r:id="rId7" w:tgtFrame="_blank" w:tooltip="Atvērt regulu latviešu valodā" w:history="1">
        <w:r w:rsidRPr="003605F3">
          <w:rPr>
            <w:sz w:val="26"/>
            <w:szCs w:val="26"/>
          </w:rPr>
          <w:t>875/2007</w:t>
        </w:r>
      </w:hyperlink>
      <w:r w:rsidRPr="003605F3">
        <w:rPr>
          <w:sz w:val="26"/>
          <w:szCs w:val="26"/>
        </w:rPr>
        <w:t xml:space="preserve"> par Līguma 87. un 88.panta piemērošanu </w:t>
      </w:r>
      <w:r w:rsidRPr="006D48EB">
        <w:rPr>
          <w:i/>
          <w:sz w:val="26"/>
          <w:szCs w:val="26"/>
        </w:rPr>
        <w:t>de minimis</w:t>
      </w:r>
      <w:r w:rsidRPr="003605F3">
        <w:rPr>
          <w:sz w:val="26"/>
          <w:szCs w:val="26"/>
        </w:rPr>
        <w:t xml:space="preserve"> atbalstam zivsaimniecības nozarē un par Regulas (EK) Nr.</w:t>
      </w:r>
      <w:hyperlink r:id="rId8" w:tgtFrame="_blank" w:tooltip="Atvērt regulas konsolidēto versiju" w:history="1">
        <w:r w:rsidRPr="003605F3">
          <w:rPr>
            <w:sz w:val="26"/>
            <w:szCs w:val="26"/>
          </w:rPr>
          <w:t>1860/2004</w:t>
        </w:r>
      </w:hyperlink>
      <w:r w:rsidRPr="003605F3">
        <w:rPr>
          <w:sz w:val="26"/>
          <w:szCs w:val="26"/>
        </w:rPr>
        <w:t xml:space="preserve"> grozīšanu</w:t>
      </w:r>
      <w:r>
        <w:rPr>
          <w:sz w:val="26"/>
          <w:szCs w:val="26"/>
        </w:rPr>
        <w:t xml:space="preserve"> </w:t>
      </w:r>
      <w:r w:rsidRPr="0045046E">
        <w:rPr>
          <w:sz w:val="26"/>
          <w:szCs w:val="26"/>
        </w:rPr>
        <w:t>attiecībā uz zivsaimniecības uzņēmumiem, kas darbojas saskaņā ar  Padomes 1999.gada 17.decembra Regulu (EK) Nr.104/2000 par zivsaimniecības un akvakultūras produktu tirgu kopīgo organizāciju</w:t>
      </w:r>
      <w:r w:rsidRPr="0073121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un </w:t>
      </w:r>
      <w:r w:rsidRPr="003605F3">
        <w:rPr>
          <w:sz w:val="26"/>
          <w:szCs w:val="26"/>
        </w:rPr>
        <w:t xml:space="preserve"> Komisijas 2007.gada 20.decembra Regul</w:t>
      </w:r>
      <w:r>
        <w:rPr>
          <w:sz w:val="26"/>
          <w:szCs w:val="26"/>
        </w:rPr>
        <w:t>ai</w:t>
      </w:r>
      <w:r w:rsidRPr="003605F3">
        <w:rPr>
          <w:sz w:val="26"/>
          <w:szCs w:val="26"/>
        </w:rPr>
        <w:t xml:space="preserve"> (EK) Nr.</w:t>
      </w:r>
      <w:hyperlink r:id="rId9" w:tgtFrame="_blank" w:tooltip="Atvērt regulu latviešu valodā" w:history="1">
        <w:r w:rsidRPr="003605F3">
          <w:rPr>
            <w:sz w:val="26"/>
            <w:szCs w:val="26"/>
          </w:rPr>
          <w:t>1535/2007</w:t>
        </w:r>
      </w:hyperlink>
      <w:r w:rsidRPr="003605F3">
        <w:rPr>
          <w:sz w:val="26"/>
          <w:szCs w:val="26"/>
        </w:rPr>
        <w:t xml:space="preserve"> par EK Līguma 87. un 88.panta piemērošanu </w:t>
      </w:r>
      <w:r w:rsidRPr="006D48EB">
        <w:rPr>
          <w:i/>
          <w:sz w:val="26"/>
          <w:szCs w:val="26"/>
        </w:rPr>
        <w:t>de minimis</w:t>
      </w:r>
      <w:r w:rsidRPr="003605F3">
        <w:rPr>
          <w:sz w:val="26"/>
          <w:szCs w:val="26"/>
        </w:rPr>
        <w:t xml:space="preserve"> atbalstam lauksaimniecības produktu ražošanas nozarē</w:t>
      </w:r>
      <w:r w:rsidRPr="009E762E">
        <w:rPr>
          <w:color w:val="auto"/>
          <w:sz w:val="26"/>
          <w:szCs w:val="26"/>
          <w:lang w:eastAsia="en-US"/>
        </w:rPr>
        <w:t>;</w:t>
      </w:r>
      <w:r>
        <w:rPr>
          <w:sz w:val="26"/>
          <w:szCs w:val="26"/>
        </w:rPr>
        <w:t>”;</w:t>
      </w:r>
    </w:p>
    <w:p w:rsidR="000A5211" w:rsidRDefault="000A5211" w:rsidP="00372390">
      <w:pPr>
        <w:pStyle w:val="Default"/>
        <w:ind w:firstLine="720"/>
        <w:jc w:val="both"/>
        <w:rPr>
          <w:sz w:val="26"/>
          <w:szCs w:val="26"/>
        </w:rPr>
      </w:pPr>
    </w:p>
    <w:p w:rsidR="000A5211" w:rsidRPr="00221E4E" w:rsidRDefault="000A5211" w:rsidP="00221E4E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aizstāt </w:t>
      </w:r>
      <w:r w:rsidRPr="001D4680">
        <w:rPr>
          <w:sz w:val="26"/>
          <w:szCs w:val="26"/>
        </w:rPr>
        <w:t>1.3.1.pasākuma „Nodarbinātība” tabul</w:t>
      </w:r>
      <w:r>
        <w:rPr>
          <w:sz w:val="26"/>
          <w:szCs w:val="26"/>
        </w:rPr>
        <w:t>ā</w:t>
      </w:r>
      <w:r w:rsidRPr="001D4680">
        <w:rPr>
          <w:sz w:val="26"/>
          <w:szCs w:val="26"/>
        </w:rPr>
        <w:t xml:space="preserve"> „Uzraudzības rādītāji”</w:t>
      </w:r>
      <w:r>
        <w:rPr>
          <w:sz w:val="26"/>
          <w:szCs w:val="26"/>
        </w:rPr>
        <w:t xml:space="preserve"> vārdus „</w:t>
      </w:r>
      <w:r w:rsidRPr="009E762E">
        <w:rPr>
          <w:sz w:val="26"/>
          <w:szCs w:val="26"/>
        </w:rPr>
        <w:t>Modulārās apmācībās, pārkvalifikācijas un tālākizglītības pasākumos atbalstu saņēmušo bezdarbnieku un darba meklētāju skaits</w:t>
      </w:r>
      <w:r>
        <w:rPr>
          <w:sz w:val="26"/>
          <w:szCs w:val="26"/>
        </w:rPr>
        <w:t>” ar vārdiem „</w:t>
      </w:r>
      <w:r w:rsidRPr="009E762E">
        <w:rPr>
          <w:sz w:val="26"/>
          <w:szCs w:val="26"/>
        </w:rPr>
        <w:t>Modulārās apmā</w:t>
      </w:r>
      <w:r>
        <w:rPr>
          <w:sz w:val="26"/>
          <w:szCs w:val="26"/>
        </w:rPr>
        <w:t>cībās/</w:t>
      </w:r>
      <w:r w:rsidRPr="009E762E">
        <w:rPr>
          <w:sz w:val="26"/>
          <w:szCs w:val="26"/>
        </w:rPr>
        <w:t>neformālās izglītības, pārkvalifikācijas un tālākizglītības pasākumos atbalstu saņēmušo bezdarbnieku un darba meklētāju skaits</w:t>
      </w:r>
      <w:r>
        <w:rPr>
          <w:sz w:val="26"/>
          <w:szCs w:val="26"/>
        </w:rPr>
        <w:t>”;</w:t>
      </w:r>
    </w:p>
    <w:p w:rsidR="000A5211" w:rsidRPr="00435D95" w:rsidRDefault="000A5211" w:rsidP="00FA0D79">
      <w:pPr>
        <w:pStyle w:val="NormalWeb"/>
        <w:spacing w:before="0" w:beforeAutospacing="0" w:after="0" w:afterAutospacing="0"/>
        <w:ind w:firstLine="720"/>
        <w:jc w:val="both"/>
        <w:rPr>
          <w:sz w:val="16"/>
          <w:szCs w:val="16"/>
          <w:lang w:val="lv-LV"/>
        </w:rPr>
      </w:pPr>
    </w:p>
    <w:p w:rsidR="000A5211" w:rsidRPr="001D4680" w:rsidRDefault="000A5211" w:rsidP="00522B30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lv-LV"/>
        </w:rPr>
      </w:pPr>
      <w:r w:rsidRPr="001D4680">
        <w:rPr>
          <w:sz w:val="26"/>
          <w:szCs w:val="26"/>
          <w:lang w:val="lv-LV"/>
        </w:rPr>
        <w:t>1.</w:t>
      </w:r>
      <w:r>
        <w:rPr>
          <w:sz w:val="26"/>
          <w:szCs w:val="26"/>
          <w:lang w:val="lv-LV"/>
        </w:rPr>
        <w:t>5</w:t>
      </w:r>
      <w:r w:rsidRPr="001D4680">
        <w:rPr>
          <w:sz w:val="26"/>
          <w:szCs w:val="26"/>
          <w:lang w:val="lv-LV"/>
        </w:rPr>
        <w:t>. izteikt 1.3.1.pasākuma „Nodarbinātība” tabulas „Uzraudzības rādītāji” sadaļu „</w:t>
      </w:r>
      <w:r>
        <w:rPr>
          <w:sz w:val="26"/>
          <w:szCs w:val="26"/>
          <w:lang w:val="lv-LV"/>
        </w:rPr>
        <w:t>Darba tirgus institūciju, kas īsteno valsts politiku bezdarbnieku un darba meklētāju atbalsta jomā un karjeras attīstības atbalsta sistēmas jomā, apmācīto darbinieku skaits gadā</w:t>
      </w:r>
      <w:r w:rsidRPr="001D4680">
        <w:rPr>
          <w:sz w:val="26"/>
          <w:szCs w:val="26"/>
          <w:lang w:val="lv-LV"/>
        </w:rPr>
        <w:t>” šādā redakcijā:</w:t>
      </w:r>
    </w:p>
    <w:p w:rsidR="000A5211" w:rsidRPr="001D4680" w:rsidRDefault="000A5211" w:rsidP="00522B30">
      <w:pPr>
        <w:jc w:val="center"/>
        <w:rPr>
          <w:b/>
          <w:sz w:val="26"/>
          <w:szCs w:val="26"/>
        </w:rPr>
      </w:pPr>
      <w:r w:rsidRPr="001D4680">
        <w:rPr>
          <w:sz w:val="26"/>
          <w:szCs w:val="26"/>
        </w:rPr>
        <w:t>„</w:t>
      </w:r>
      <w:r w:rsidRPr="001D4680">
        <w:rPr>
          <w:b/>
          <w:sz w:val="26"/>
          <w:szCs w:val="26"/>
        </w:rPr>
        <w:t>Uzraudzības rādītāji</w:t>
      </w:r>
    </w:p>
    <w:p w:rsidR="000A5211" w:rsidRDefault="000A5211" w:rsidP="00522B30">
      <w:pPr>
        <w:ind w:firstLine="72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380"/>
        <w:gridCol w:w="1800"/>
        <w:gridCol w:w="1863"/>
        <w:gridCol w:w="2409"/>
      </w:tblGrid>
      <w:tr w:rsidR="000A5211" w:rsidRPr="00D669D0" w:rsidTr="00A928A4">
        <w:trPr>
          <w:trHeight w:val="245"/>
          <w:tblHeader/>
        </w:trPr>
        <w:tc>
          <w:tcPr>
            <w:tcW w:w="1620" w:type="dxa"/>
          </w:tcPr>
          <w:p w:rsidR="000A5211" w:rsidRPr="00D669D0" w:rsidRDefault="000A5211" w:rsidP="00A928A4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Rādītājs</w:t>
            </w:r>
          </w:p>
        </w:tc>
        <w:tc>
          <w:tcPr>
            <w:tcW w:w="1380" w:type="dxa"/>
          </w:tcPr>
          <w:p w:rsidR="000A5211" w:rsidRPr="00D669D0" w:rsidRDefault="000A5211" w:rsidP="00A928A4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Bāzes vērtība</w:t>
            </w:r>
            <w:r>
              <w:rPr>
                <w:b/>
                <w:bCs/>
                <w:sz w:val="20"/>
              </w:rPr>
              <w:t xml:space="preserve"> 2004.gadā</w:t>
            </w:r>
          </w:p>
        </w:tc>
        <w:tc>
          <w:tcPr>
            <w:tcW w:w="1800" w:type="dxa"/>
          </w:tcPr>
          <w:p w:rsidR="000A5211" w:rsidRPr="00D669D0" w:rsidRDefault="000A5211" w:rsidP="00A928A4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Kvanti-fikācija 2013.gadā</w:t>
            </w:r>
          </w:p>
        </w:tc>
        <w:tc>
          <w:tcPr>
            <w:tcW w:w="1863" w:type="dxa"/>
          </w:tcPr>
          <w:p w:rsidR="000A5211" w:rsidRPr="00D669D0" w:rsidRDefault="000A5211" w:rsidP="00A928A4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Saiknes ar investīciju virzienu pamatojums</w:t>
            </w:r>
          </w:p>
        </w:tc>
        <w:tc>
          <w:tcPr>
            <w:tcW w:w="2409" w:type="dxa"/>
          </w:tcPr>
          <w:p w:rsidR="000A5211" w:rsidRPr="00D669D0" w:rsidRDefault="000A5211" w:rsidP="00A928A4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Aprēķina skaidrojums</w:t>
            </w:r>
          </w:p>
        </w:tc>
      </w:tr>
      <w:tr w:rsidR="000A5211" w:rsidRPr="00D669D0" w:rsidTr="00A928A4">
        <w:trPr>
          <w:trHeight w:val="245"/>
        </w:trPr>
        <w:tc>
          <w:tcPr>
            <w:tcW w:w="9072" w:type="dxa"/>
            <w:gridSpan w:val="5"/>
          </w:tcPr>
          <w:p w:rsidR="000A5211" w:rsidRPr="00D669D0" w:rsidRDefault="000A5211" w:rsidP="00A928A4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Iznākuma rādītāji</w:t>
            </w:r>
          </w:p>
        </w:tc>
      </w:tr>
      <w:tr w:rsidR="000A5211" w:rsidRPr="00D669D0" w:rsidTr="00A928A4">
        <w:trPr>
          <w:trHeight w:val="245"/>
        </w:trPr>
        <w:tc>
          <w:tcPr>
            <w:tcW w:w="1620" w:type="dxa"/>
          </w:tcPr>
          <w:p w:rsidR="000A5211" w:rsidRPr="008D45A4" w:rsidRDefault="000A5211" w:rsidP="00A928A4">
            <w:pPr>
              <w:rPr>
                <w:sz w:val="20"/>
              </w:rPr>
            </w:pPr>
          </w:p>
        </w:tc>
        <w:tc>
          <w:tcPr>
            <w:tcW w:w="1380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</w:p>
        </w:tc>
        <w:tc>
          <w:tcPr>
            <w:tcW w:w="1863" w:type="dxa"/>
          </w:tcPr>
          <w:p w:rsidR="000A5211" w:rsidRPr="00D669D0" w:rsidRDefault="000A5211" w:rsidP="00A928A4">
            <w:pPr>
              <w:ind w:right="-45"/>
              <w:rPr>
                <w:sz w:val="20"/>
              </w:rPr>
            </w:pPr>
          </w:p>
        </w:tc>
        <w:tc>
          <w:tcPr>
            <w:tcW w:w="2409" w:type="dxa"/>
          </w:tcPr>
          <w:p w:rsidR="000A5211" w:rsidRPr="00D669D0" w:rsidRDefault="000A5211" w:rsidP="00A928A4">
            <w:pPr>
              <w:rPr>
                <w:sz w:val="20"/>
              </w:rPr>
            </w:pPr>
          </w:p>
        </w:tc>
      </w:tr>
      <w:tr w:rsidR="000A5211" w:rsidRPr="00D669D0" w:rsidTr="00A928A4">
        <w:trPr>
          <w:trHeight w:val="245"/>
        </w:trPr>
        <w:tc>
          <w:tcPr>
            <w:tcW w:w="1620" w:type="dxa"/>
          </w:tcPr>
          <w:p w:rsidR="000A5211" w:rsidRPr="00522B30" w:rsidRDefault="000A5211" w:rsidP="00A928A4">
            <w:pPr>
              <w:rPr>
                <w:sz w:val="20"/>
              </w:rPr>
            </w:pPr>
            <w:r w:rsidRPr="00522B30">
              <w:rPr>
                <w:sz w:val="20"/>
              </w:rPr>
              <w:t>Darba tirgus institūciju, kas īsteno valsts politiku bezdarbnieku un darba meklētāju atbalsta jomā un karjeras attīstības atbalsta sistēmas jomā, apmācīto darbinieku skaits gadā</w:t>
            </w:r>
          </w:p>
        </w:tc>
        <w:tc>
          <w:tcPr>
            <w:tcW w:w="1380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Dati netika apkopoti</w:t>
            </w:r>
          </w:p>
        </w:tc>
        <w:tc>
          <w:tcPr>
            <w:tcW w:w="1800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863" w:type="dxa"/>
          </w:tcPr>
          <w:p w:rsidR="000A5211" w:rsidRPr="00D669D0" w:rsidRDefault="000A5211" w:rsidP="00A928A4">
            <w:pPr>
              <w:ind w:right="-45"/>
              <w:rPr>
                <w:sz w:val="20"/>
              </w:rPr>
            </w:pPr>
            <w:r>
              <w:rPr>
                <w:sz w:val="20"/>
              </w:rPr>
              <w:t>1.3.1.4.</w:t>
            </w:r>
            <w:r w:rsidRPr="00D669D0">
              <w:rPr>
                <w:sz w:val="20"/>
              </w:rPr>
              <w:t>aktivitāte</w:t>
            </w:r>
          </w:p>
        </w:tc>
        <w:tc>
          <w:tcPr>
            <w:tcW w:w="2409" w:type="dxa"/>
          </w:tcPr>
          <w:p w:rsidR="000A5211" w:rsidRDefault="000A5211" w:rsidP="00522B30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Katru gadu tiek apmācīti 632 esošie un jaunpieņemtie darbinieki. Vidējās viena darbinieka apmācības izmaksas 220 EUR </w:t>
            </w:r>
          </w:p>
          <w:p w:rsidR="000A5211" w:rsidRPr="00CE02B6" w:rsidRDefault="000A5211" w:rsidP="00522B30">
            <w:pPr>
              <w:rPr>
                <w:sz w:val="20"/>
              </w:rPr>
            </w:pPr>
          </w:p>
        </w:tc>
      </w:tr>
    </w:tbl>
    <w:p w:rsidR="000A5211" w:rsidRPr="001D4680" w:rsidRDefault="000A5211" w:rsidP="00522B30">
      <w:pPr>
        <w:autoSpaceDE w:val="0"/>
        <w:autoSpaceDN w:val="0"/>
        <w:adjustRightInd w:val="0"/>
        <w:ind w:left="567" w:hanging="567"/>
        <w:rPr>
          <w:color w:val="000000"/>
          <w:sz w:val="26"/>
          <w:szCs w:val="26"/>
        </w:rPr>
      </w:pPr>
      <w:r w:rsidRPr="001D4680">
        <w:rPr>
          <w:color w:val="000000"/>
          <w:sz w:val="26"/>
          <w:szCs w:val="26"/>
        </w:rPr>
        <w:t>”;</w:t>
      </w:r>
    </w:p>
    <w:p w:rsidR="000A5211" w:rsidRPr="00435D95" w:rsidRDefault="000A5211" w:rsidP="00522B30">
      <w:pPr>
        <w:pStyle w:val="NormalWeb"/>
        <w:spacing w:before="0" w:beforeAutospacing="0" w:after="0" w:afterAutospacing="0"/>
        <w:jc w:val="both"/>
        <w:rPr>
          <w:sz w:val="16"/>
          <w:szCs w:val="16"/>
          <w:lang w:val="lv-LV"/>
        </w:rPr>
      </w:pPr>
    </w:p>
    <w:p w:rsidR="000A5211" w:rsidRPr="001D4680" w:rsidRDefault="000A5211" w:rsidP="00FA0D7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lv-LV"/>
        </w:rPr>
      </w:pPr>
      <w:r w:rsidRPr="001D4680">
        <w:rPr>
          <w:sz w:val="26"/>
          <w:szCs w:val="26"/>
          <w:lang w:val="lv-LV"/>
        </w:rPr>
        <w:t>1.</w:t>
      </w:r>
      <w:r>
        <w:rPr>
          <w:sz w:val="26"/>
          <w:szCs w:val="26"/>
          <w:lang w:val="lv-LV"/>
        </w:rPr>
        <w:t>6</w:t>
      </w:r>
      <w:r w:rsidRPr="001D4680">
        <w:rPr>
          <w:sz w:val="26"/>
          <w:szCs w:val="26"/>
          <w:lang w:val="lv-LV"/>
        </w:rPr>
        <w:t>. izteikt 1.3.1.pasākuma „Nodarbinātība” tabulas „Uzraudzības rādītāji” sadaļu „Darba tirgus pētījumu, ap</w:t>
      </w:r>
      <w:r>
        <w:rPr>
          <w:sz w:val="26"/>
          <w:szCs w:val="26"/>
          <w:lang w:val="lv-LV"/>
        </w:rPr>
        <w:t>tauju</w:t>
      </w:r>
      <w:r w:rsidRPr="001D4680">
        <w:rPr>
          <w:sz w:val="26"/>
          <w:szCs w:val="26"/>
          <w:lang w:val="lv-LV"/>
        </w:rPr>
        <w:t xml:space="preserve"> un sagatavoto darba tirgus prognožu skaits” šādā redakcijā:</w:t>
      </w:r>
    </w:p>
    <w:p w:rsidR="000A5211" w:rsidRPr="001D4680" w:rsidRDefault="000A5211" w:rsidP="00C92CF3">
      <w:pPr>
        <w:jc w:val="center"/>
        <w:rPr>
          <w:b/>
          <w:sz w:val="26"/>
          <w:szCs w:val="26"/>
        </w:rPr>
      </w:pPr>
      <w:r w:rsidRPr="001D4680">
        <w:rPr>
          <w:sz w:val="26"/>
          <w:szCs w:val="26"/>
        </w:rPr>
        <w:t>„</w:t>
      </w:r>
      <w:r w:rsidRPr="001D4680">
        <w:rPr>
          <w:b/>
          <w:sz w:val="26"/>
          <w:szCs w:val="26"/>
        </w:rPr>
        <w:t>Uzraudzības rādītāji</w:t>
      </w:r>
    </w:p>
    <w:p w:rsidR="000A5211" w:rsidRDefault="000A5211" w:rsidP="00FF3866">
      <w:pPr>
        <w:ind w:firstLine="72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380"/>
        <w:gridCol w:w="1800"/>
        <w:gridCol w:w="1863"/>
        <w:gridCol w:w="2409"/>
      </w:tblGrid>
      <w:tr w:rsidR="000A5211" w:rsidRPr="00D669D0" w:rsidTr="009B2989">
        <w:trPr>
          <w:trHeight w:val="245"/>
          <w:tblHeader/>
        </w:trPr>
        <w:tc>
          <w:tcPr>
            <w:tcW w:w="1620" w:type="dxa"/>
          </w:tcPr>
          <w:p w:rsidR="000A5211" w:rsidRPr="00D669D0" w:rsidRDefault="000A5211" w:rsidP="006E6743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Rādītājs</w:t>
            </w:r>
          </w:p>
        </w:tc>
        <w:tc>
          <w:tcPr>
            <w:tcW w:w="1380" w:type="dxa"/>
          </w:tcPr>
          <w:p w:rsidR="000A5211" w:rsidRPr="00D669D0" w:rsidRDefault="000A5211" w:rsidP="006E6743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Bāzes vērtība</w:t>
            </w:r>
            <w:r>
              <w:rPr>
                <w:b/>
                <w:bCs/>
                <w:sz w:val="20"/>
              </w:rPr>
              <w:t xml:space="preserve"> 2004.gadā</w:t>
            </w:r>
          </w:p>
        </w:tc>
        <w:tc>
          <w:tcPr>
            <w:tcW w:w="1800" w:type="dxa"/>
          </w:tcPr>
          <w:p w:rsidR="000A5211" w:rsidRPr="00D669D0" w:rsidRDefault="000A5211" w:rsidP="006E6743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Kvanti-fikācija 2013.gadā</w:t>
            </w:r>
          </w:p>
        </w:tc>
        <w:tc>
          <w:tcPr>
            <w:tcW w:w="1863" w:type="dxa"/>
          </w:tcPr>
          <w:p w:rsidR="000A5211" w:rsidRPr="00D669D0" w:rsidRDefault="000A5211" w:rsidP="006E6743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Saiknes ar investīciju virzienu pamatojums</w:t>
            </w:r>
          </w:p>
        </w:tc>
        <w:tc>
          <w:tcPr>
            <w:tcW w:w="2409" w:type="dxa"/>
          </w:tcPr>
          <w:p w:rsidR="000A5211" w:rsidRPr="00D669D0" w:rsidRDefault="000A5211" w:rsidP="006E6743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Aprēķina skaidrojums</w:t>
            </w:r>
          </w:p>
        </w:tc>
      </w:tr>
      <w:tr w:rsidR="000A5211" w:rsidRPr="00D669D0" w:rsidTr="006E6743">
        <w:trPr>
          <w:trHeight w:val="245"/>
        </w:trPr>
        <w:tc>
          <w:tcPr>
            <w:tcW w:w="9072" w:type="dxa"/>
            <w:gridSpan w:val="5"/>
          </w:tcPr>
          <w:p w:rsidR="000A5211" w:rsidRPr="00D669D0" w:rsidRDefault="000A5211" w:rsidP="006E6743">
            <w:pPr>
              <w:jc w:val="center"/>
              <w:rPr>
                <w:b/>
                <w:bCs/>
                <w:sz w:val="20"/>
              </w:rPr>
            </w:pPr>
            <w:r w:rsidRPr="00D669D0">
              <w:rPr>
                <w:b/>
                <w:bCs/>
                <w:sz w:val="20"/>
              </w:rPr>
              <w:t>Iznākuma rādītāji</w:t>
            </w:r>
          </w:p>
        </w:tc>
      </w:tr>
      <w:tr w:rsidR="000A5211" w:rsidRPr="00D669D0" w:rsidTr="009B2989">
        <w:trPr>
          <w:trHeight w:val="245"/>
        </w:trPr>
        <w:tc>
          <w:tcPr>
            <w:tcW w:w="1620" w:type="dxa"/>
          </w:tcPr>
          <w:p w:rsidR="000A5211" w:rsidRPr="008D45A4" w:rsidRDefault="000A5211" w:rsidP="006E6743">
            <w:pPr>
              <w:rPr>
                <w:sz w:val="20"/>
              </w:rPr>
            </w:pPr>
          </w:p>
        </w:tc>
        <w:tc>
          <w:tcPr>
            <w:tcW w:w="1380" w:type="dxa"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  <w:tc>
          <w:tcPr>
            <w:tcW w:w="1863" w:type="dxa"/>
          </w:tcPr>
          <w:p w:rsidR="000A5211" w:rsidRPr="00D669D0" w:rsidRDefault="000A5211" w:rsidP="006E6743">
            <w:pPr>
              <w:ind w:right="-45"/>
              <w:rPr>
                <w:sz w:val="20"/>
              </w:rPr>
            </w:pPr>
          </w:p>
        </w:tc>
        <w:tc>
          <w:tcPr>
            <w:tcW w:w="2409" w:type="dxa"/>
          </w:tcPr>
          <w:p w:rsidR="000A5211" w:rsidRPr="00D669D0" w:rsidRDefault="000A5211" w:rsidP="006E6743">
            <w:pPr>
              <w:rPr>
                <w:sz w:val="20"/>
              </w:rPr>
            </w:pPr>
          </w:p>
        </w:tc>
      </w:tr>
      <w:tr w:rsidR="000A5211" w:rsidRPr="00D669D0" w:rsidTr="009B2989">
        <w:trPr>
          <w:trHeight w:val="245"/>
        </w:trPr>
        <w:tc>
          <w:tcPr>
            <w:tcW w:w="1620" w:type="dxa"/>
          </w:tcPr>
          <w:p w:rsidR="000A5211" w:rsidRPr="008D45A4" w:rsidRDefault="000A5211" w:rsidP="00232F9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Darba tirgus prognozēšanas metodiku, pētījumu, aptauju un sagatavoto darba tirgus prognožu skaits</w:t>
            </w:r>
          </w:p>
        </w:tc>
        <w:tc>
          <w:tcPr>
            <w:tcW w:w="1380" w:type="dxa"/>
          </w:tcPr>
          <w:p w:rsidR="000A5211" w:rsidRPr="00D669D0" w:rsidRDefault="000A5211" w:rsidP="00232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0A5211" w:rsidRPr="00D669D0" w:rsidRDefault="000A5211" w:rsidP="00232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63" w:type="dxa"/>
          </w:tcPr>
          <w:p w:rsidR="000A5211" w:rsidRPr="00D669D0" w:rsidRDefault="000A5211" w:rsidP="00232F9A">
            <w:pPr>
              <w:ind w:right="-45"/>
              <w:rPr>
                <w:sz w:val="20"/>
              </w:rPr>
            </w:pPr>
            <w:r>
              <w:rPr>
                <w:sz w:val="20"/>
              </w:rPr>
              <w:t>1.3.1.7.</w:t>
            </w:r>
            <w:r w:rsidRPr="00D669D0">
              <w:rPr>
                <w:sz w:val="20"/>
              </w:rPr>
              <w:t>aktivitāte</w:t>
            </w:r>
          </w:p>
        </w:tc>
        <w:tc>
          <w:tcPr>
            <w:tcW w:w="2409" w:type="dxa"/>
          </w:tcPr>
          <w:p w:rsidR="000A5211" w:rsidRPr="00CE02B6" w:rsidRDefault="000A5211" w:rsidP="009B2989">
            <w:pPr>
              <w:rPr>
                <w:sz w:val="20"/>
              </w:rPr>
            </w:pPr>
            <w:r w:rsidRPr="00CE02B6">
              <w:rPr>
                <w:sz w:val="20"/>
              </w:rPr>
              <w:t>Vienas metodikas vidējās izmaksas 64 000 EUR; viena pētījuma vidējās izmaksas 24 000 EUR; vienas aptaujas vidējās izmaksas 35 000 EUR; ilgtermiņa prognozes sagatavošanas vidējās izmaksas 200 000 EUR.</w:t>
            </w:r>
          </w:p>
          <w:p w:rsidR="000A5211" w:rsidRPr="00CE02B6" w:rsidRDefault="000A5211" w:rsidP="009B2989">
            <w:pPr>
              <w:rPr>
                <w:sz w:val="20"/>
              </w:rPr>
            </w:pPr>
          </w:p>
        </w:tc>
      </w:tr>
    </w:tbl>
    <w:p w:rsidR="000A5211" w:rsidRPr="001D4680" w:rsidRDefault="000A5211" w:rsidP="009E0CBE">
      <w:pPr>
        <w:autoSpaceDE w:val="0"/>
        <w:autoSpaceDN w:val="0"/>
        <w:adjustRightInd w:val="0"/>
        <w:ind w:left="567" w:hanging="567"/>
        <w:rPr>
          <w:color w:val="000000"/>
          <w:sz w:val="26"/>
          <w:szCs w:val="26"/>
        </w:rPr>
      </w:pPr>
      <w:r w:rsidRPr="001D4680">
        <w:rPr>
          <w:color w:val="000000"/>
          <w:sz w:val="26"/>
          <w:szCs w:val="26"/>
        </w:rPr>
        <w:t>”;</w:t>
      </w:r>
    </w:p>
    <w:p w:rsidR="000A5211" w:rsidRPr="00435D95" w:rsidRDefault="000A5211" w:rsidP="009E0CBE">
      <w:pPr>
        <w:autoSpaceDE w:val="0"/>
        <w:autoSpaceDN w:val="0"/>
        <w:adjustRightInd w:val="0"/>
        <w:ind w:left="567" w:hanging="567"/>
        <w:rPr>
          <w:color w:val="000000"/>
          <w:sz w:val="16"/>
          <w:szCs w:val="16"/>
        </w:rPr>
      </w:pPr>
    </w:p>
    <w:p w:rsidR="000A5211" w:rsidRPr="001D4680" w:rsidRDefault="000A5211" w:rsidP="00DE24A4">
      <w:pPr>
        <w:ind w:firstLine="720"/>
        <w:rPr>
          <w:sz w:val="26"/>
          <w:szCs w:val="26"/>
        </w:rPr>
      </w:pPr>
      <w:r w:rsidRPr="001D468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7</w:t>
      </w:r>
      <w:r w:rsidRPr="001D4680">
        <w:rPr>
          <w:color w:val="000000"/>
          <w:sz w:val="26"/>
          <w:szCs w:val="26"/>
        </w:rPr>
        <w:t xml:space="preserve">. </w:t>
      </w:r>
      <w:r w:rsidRPr="001D4680">
        <w:rPr>
          <w:sz w:val="26"/>
          <w:szCs w:val="26"/>
        </w:rPr>
        <w:t>izteikt 1.3.1.pasākuma „Nodarbinātība” tabulas „Uzraudzības rādītāju teritoriālais sadalījums” sadaļu „</w:t>
      </w:r>
      <w:r>
        <w:rPr>
          <w:sz w:val="26"/>
          <w:szCs w:val="26"/>
        </w:rPr>
        <w:t>Darba tirgus institūciju, kas īsteno valsts politiku bezdarbnieku un darba meklētāju atbalsta jomā un karjeras attīstības atbalsta sistēmas jomā, apmācīto darbinieku skaits gadā</w:t>
      </w:r>
      <w:r w:rsidRPr="001D4680">
        <w:rPr>
          <w:sz w:val="26"/>
          <w:szCs w:val="26"/>
        </w:rPr>
        <w:t>” šādā redakcijā:</w:t>
      </w:r>
    </w:p>
    <w:p w:rsidR="000A5211" w:rsidRPr="001D4680" w:rsidRDefault="000A5211" w:rsidP="00DE24A4">
      <w:pPr>
        <w:jc w:val="center"/>
        <w:rPr>
          <w:b/>
          <w:sz w:val="26"/>
          <w:szCs w:val="26"/>
        </w:rPr>
      </w:pPr>
      <w:r w:rsidRPr="001D4680">
        <w:rPr>
          <w:color w:val="000000"/>
          <w:sz w:val="26"/>
          <w:szCs w:val="26"/>
        </w:rPr>
        <w:t>„</w:t>
      </w:r>
      <w:r w:rsidRPr="001D4680">
        <w:rPr>
          <w:b/>
          <w:sz w:val="26"/>
          <w:szCs w:val="26"/>
        </w:rPr>
        <w:t>Uzraudzības rādītāju teritoriālais sadalījums</w:t>
      </w:r>
    </w:p>
    <w:p w:rsidR="000A5211" w:rsidRPr="00FF3866" w:rsidRDefault="000A5211" w:rsidP="00DE24A4">
      <w:pPr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040"/>
        <w:gridCol w:w="2338"/>
        <w:gridCol w:w="2222"/>
      </w:tblGrid>
      <w:tr w:rsidR="000A5211" w:rsidRPr="00D669D0" w:rsidTr="00A928A4">
        <w:tc>
          <w:tcPr>
            <w:tcW w:w="2628" w:type="dxa"/>
          </w:tcPr>
          <w:p w:rsidR="000A5211" w:rsidRPr="00D669D0" w:rsidRDefault="000A5211" w:rsidP="00A928A4">
            <w:pPr>
              <w:rPr>
                <w:sz w:val="20"/>
              </w:rPr>
            </w:pPr>
            <w:r w:rsidRPr="00D669D0">
              <w:rPr>
                <w:sz w:val="20"/>
              </w:rPr>
              <w:t>Iznākuma rādītāji</w:t>
            </w:r>
          </w:p>
        </w:tc>
        <w:tc>
          <w:tcPr>
            <w:tcW w:w="2040" w:type="dxa"/>
          </w:tcPr>
          <w:p w:rsidR="000A5211" w:rsidRPr="00D669D0" w:rsidRDefault="000A5211" w:rsidP="00A928A4">
            <w:pPr>
              <w:rPr>
                <w:sz w:val="20"/>
              </w:rPr>
            </w:pPr>
            <w:r w:rsidRPr="00D669D0">
              <w:rPr>
                <w:sz w:val="20"/>
              </w:rPr>
              <w:t>Plānošanas reģions</w:t>
            </w:r>
          </w:p>
        </w:tc>
        <w:tc>
          <w:tcPr>
            <w:tcW w:w="2338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 w:rsidRPr="00D669D0">
              <w:rPr>
                <w:sz w:val="20"/>
              </w:rPr>
              <w:t>Kvantifikācija 2004.gadā</w:t>
            </w:r>
          </w:p>
        </w:tc>
        <w:tc>
          <w:tcPr>
            <w:tcW w:w="2222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 w:rsidRPr="00D669D0">
              <w:rPr>
                <w:sz w:val="20"/>
              </w:rPr>
              <w:t>Kvantifikācija 2013.gadā</w:t>
            </w:r>
          </w:p>
        </w:tc>
      </w:tr>
      <w:tr w:rsidR="000A5211" w:rsidRPr="00D669D0" w:rsidTr="00A928A4">
        <w:tc>
          <w:tcPr>
            <w:tcW w:w="2628" w:type="dxa"/>
            <w:vMerge w:val="restart"/>
          </w:tcPr>
          <w:p w:rsidR="000A5211" w:rsidRPr="00D669D0" w:rsidRDefault="000A5211" w:rsidP="00DE24A4">
            <w:pPr>
              <w:pStyle w:val="Default"/>
              <w:jc w:val="both"/>
              <w:rPr>
                <w:sz w:val="20"/>
              </w:rPr>
            </w:pPr>
            <w:r w:rsidRPr="00DE24A4">
              <w:rPr>
                <w:sz w:val="20"/>
                <w:szCs w:val="20"/>
              </w:rPr>
              <w:t>Darba tirgus institūciju, kas īsteno valsts politiku bezdarbnieku un darba meklētāju atbalsta jomā un karjeras attīstības atbalsta sistēmas jomā, apmācīto darbinieku skaits gadā</w:t>
            </w:r>
          </w:p>
        </w:tc>
        <w:tc>
          <w:tcPr>
            <w:tcW w:w="2040" w:type="dxa"/>
          </w:tcPr>
          <w:p w:rsidR="000A5211" w:rsidRPr="00D669D0" w:rsidRDefault="000A5211" w:rsidP="00A928A4">
            <w:pPr>
              <w:rPr>
                <w:sz w:val="20"/>
              </w:rPr>
            </w:pPr>
            <w:r w:rsidRPr="00D669D0">
              <w:rPr>
                <w:sz w:val="20"/>
              </w:rPr>
              <w:t>Rīga</w:t>
            </w:r>
          </w:p>
        </w:tc>
        <w:tc>
          <w:tcPr>
            <w:tcW w:w="2338" w:type="dxa"/>
            <w:vMerge w:val="restart"/>
          </w:tcPr>
          <w:p w:rsidR="000A5211" w:rsidRDefault="000A5211" w:rsidP="00DE24A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Dati netika apkopoti </w:t>
            </w:r>
          </w:p>
          <w:p w:rsidR="000A5211" w:rsidRPr="00D669D0" w:rsidRDefault="000A5211" w:rsidP="00A928A4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</w:tr>
      <w:tr w:rsidR="000A5211" w:rsidRPr="00D669D0" w:rsidTr="00A928A4">
        <w:tc>
          <w:tcPr>
            <w:tcW w:w="2628" w:type="dxa"/>
            <w:vMerge/>
          </w:tcPr>
          <w:p w:rsidR="000A5211" w:rsidRPr="00D669D0" w:rsidRDefault="000A5211" w:rsidP="00DE24A4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A928A4">
            <w:pPr>
              <w:rPr>
                <w:sz w:val="20"/>
              </w:rPr>
            </w:pPr>
            <w:r w:rsidRPr="00D669D0">
              <w:rPr>
                <w:sz w:val="20"/>
              </w:rPr>
              <w:t>Vidzeme</w:t>
            </w:r>
          </w:p>
        </w:tc>
        <w:tc>
          <w:tcPr>
            <w:tcW w:w="2338" w:type="dxa"/>
            <w:vMerge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A5211" w:rsidRPr="00D669D0" w:rsidTr="00A928A4">
        <w:tc>
          <w:tcPr>
            <w:tcW w:w="2628" w:type="dxa"/>
            <w:vMerge/>
          </w:tcPr>
          <w:p w:rsidR="000A5211" w:rsidRPr="00D669D0" w:rsidRDefault="000A5211" w:rsidP="00DE24A4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A928A4">
            <w:pPr>
              <w:rPr>
                <w:sz w:val="20"/>
              </w:rPr>
            </w:pPr>
            <w:r w:rsidRPr="00D669D0">
              <w:rPr>
                <w:sz w:val="20"/>
              </w:rPr>
              <w:t>Kurzeme</w:t>
            </w:r>
          </w:p>
        </w:tc>
        <w:tc>
          <w:tcPr>
            <w:tcW w:w="2338" w:type="dxa"/>
            <w:vMerge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0A5211" w:rsidRPr="00D669D0" w:rsidTr="00A928A4">
        <w:tc>
          <w:tcPr>
            <w:tcW w:w="2628" w:type="dxa"/>
            <w:vMerge/>
          </w:tcPr>
          <w:p w:rsidR="000A5211" w:rsidRPr="00D669D0" w:rsidRDefault="000A5211" w:rsidP="00DE24A4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A928A4">
            <w:pPr>
              <w:rPr>
                <w:sz w:val="20"/>
              </w:rPr>
            </w:pPr>
            <w:r w:rsidRPr="00D669D0">
              <w:rPr>
                <w:sz w:val="20"/>
              </w:rPr>
              <w:t>Zemgale</w:t>
            </w:r>
          </w:p>
        </w:tc>
        <w:tc>
          <w:tcPr>
            <w:tcW w:w="2338" w:type="dxa"/>
            <w:vMerge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0A5211" w:rsidRPr="00D669D0" w:rsidTr="009B0633">
        <w:trPr>
          <w:trHeight w:val="939"/>
        </w:trPr>
        <w:tc>
          <w:tcPr>
            <w:tcW w:w="2628" w:type="dxa"/>
            <w:vMerge/>
          </w:tcPr>
          <w:p w:rsidR="000A5211" w:rsidRPr="00DE24A4" w:rsidRDefault="000A5211" w:rsidP="00DE24A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A928A4">
            <w:pPr>
              <w:rPr>
                <w:sz w:val="20"/>
              </w:rPr>
            </w:pPr>
            <w:r w:rsidRPr="00D669D0">
              <w:rPr>
                <w:sz w:val="20"/>
              </w:rPr>
              <w:t>Latgale</w:t>
            </w:r>
          </w:p>
        </w:tc>
        <w:tc>
          <w:tcPr>
            <w:tcW w:w="2338" w:type="dxa"/>
            <w:vMerge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0A5211" w:rsidRPr="00D669D0" w:rsidRDefault="000A5211" w:rsidP="00A9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0A5211" w:rsidRPr="001D4680" w:rsidRDefault="000A5211" w:rsidP="00DE24A4">
      <w:pPr>
        <w:autoSpaceDE w:val="0"/>
        <w:autoSpaceDN w:val="0"/>
        <w:adjustRightInd w:val="0"/>
        <w:ind w:left="567" w:hanging="567"/>
        <w:rPr>
          <w:color w:val="000000"/>
          <w:sz w:val="26"/>
          <w:szCs w:val="26"/>
        </w:rPr>
      </w:pPr>
      <w:r w:rsidRPr="001D4680">
        <w:rPr>
          <w:color w:val="000000"/>
          <w:sz w:val="26"/>
          <w:szCs w:val="26"/>
        </w:rPr>
        <w:t>”;</w:t>
      </w:r>
    </w:p>
    <w:p w:rsidR="000A5211" w:rsidRPr="00435D95" w:rsidRDefault="000A5211" w:rsidP="00DE24A4">
      <w:pPr>
        <w:rPr>
          <w:color w:val="000000"/>
          <w:sz w:val="16"/>
          <w:szCs w:val="16"/>
        </w:rPr>
      </w:pPr>
    </w:p>
    <w:p w:rsidR="000A5211" w:rsidRPr="001D4680" w:rsidRDefault="000A5211" w:rsidP="00E84554">
      <w:pPr>
        <w:ind w:firstLine="720"/>
        <w:rPr>
          <w:sz w:val="26"/>
          <w:szCs w:val="26"/>
        </w:rPr>
      </w:pPr>
      <w:r w:rsidRPr="001D468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8</w:t>
      </w:r>
      <w:r w:rsidRPr="001D4680">
        <w:rPr>
          <w:color w:val="000000"/>
          <w:sz w:val="26"/>
          <w:szCs w:val="26"/>
        </w:rPr>
        <w:t xml:space="preserve">. </w:t>
      </w:r>
      <w:r w:rsidRPr="001D4680">
        <w:rPr>
          <w:sz w:val="26"/>
          <w:szCs w:val="26"/>
        </w:rPr>
        <w:t>izteikt 1.3.1.pasākuma „Nodarbinātība” tabulas „Uzraudzības rādītāju teritoriālais sadalījums” sadaļu „Darba tirgus pētījumu, ap</w:t>
      </w:r>
      <w:r>
        <w:rPr>
          <w:sz w:val="26"/>
          <w:szCs w:val="26"/>
        </w:rPr>
        <w:t>tauj</w:t>
      </w:r>
      <w:r w:rsidRPr="001D4680">
        <w:rPr>
          <w:sz w:val="26"/>
          <w:szCs w:val="26"/>
        </w:rPr>
        <w:t>u un sagatavoto darba tirgus prognožu skaits” šādā redakcijā:</w:t>
      </w:r>
    </w:p>
    <w:p w:rsidR="000A5211" w:rsidRPr="001D4680" w:rsidRDefault="000A5211" w:rsidP="00E84554">
      <w:pPr>
        <w:jc w:val="center"/>
        <w:rPr>
          <w:b/>
          <w:sz w:val="26"/>
          <w:szCs w:val="26"/>
        </w:rPr>
      </w:pPr>
      <w:r w:rsidRPr="001D4680">
        <w:rPr>
          <w:color w:val="000000"/>
          <w:sz w:val="26"/>
          <w:szCs w:val="26"/>
        </w:rPr>
        <w:t>„</w:t>
      </w:r>
      <w:bookmarkStart w:id="0" w:name="_Toc157333692"/>
      <w:r w:rsidRPr="001D4680">
        <w:rPr>
          <w:b/>
          <w:sz w:val="26"/>
          <w:szCs w:val="26"/>
        </w:rPr>
        <w:t>Uzraudzības rādītāju teritoriālais sadalījums</w:t>
      </w:r>
      <w:bookmarkEnd w:id="0"/>
    </w:p>
    <w:p w:rsidR="000A5211" w:rsidRPr="00FF3866" w:rsidRDefault="000A5211" w:rsidP="009E0CBE">
      <w:pPr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040"/>
        <w:gridCol w:w="2338"/>
        <w:gridCol w:w="2222"/>
      </w:tblGrid>
      <w:tr w:rsidR="000A5211" w:rsidRPr="00D669D0" w:rsidTr="009B2989">
        <w:tc>
          <w:tcPr>
            <w:tcW w:w="2628" w:type="dxa"/>
          </w:tcPr>
          <w:p w:rsidR="000A5211" w:rsidRPr="00D669D0" w:rsidRDefault="000A5211" w:rsidP="006E6743">
            <w:pPr>
              <w:rPr>
                <w:sz w:val="20"/>
              </w:rPr>
            </w:pPr>
            <w:r w:rsidRPr="00D669D0">
              <w:rPr>
                <w:sz w:val="20"/>
              </w:rPr>
              <w:t>Iznākuma rādītāji</w:t>
            </w:r>
          </w:p>
        </w:tc>
        <w:tc>
          <w:tcPr>
            <w:tcW w:w="2040" w:type="dxa"/>
          </w:tcPr>
          <w:p w:rsidR="000A5211" w:rsidRPr="00D669D0" w:rsidRDefault="000A5211" w:rsidP="006E6743">
            <w:pPr>
              <w:rPr>
                <w:sz w:val="20"/>
              </w:rPr>
            </w:pPr>
            <w:r w:rsidRPr="00D669D0">
              <w:rPr>
                <w:sz w:val="20"/>
              </w:rPr>
              <w:t>Plānošanas reģions</w:t>
            </w:r>
          </w:p>
        </w:tc>
        <w:tc>
          <w:tcPr>
            <w:tcW w:w="2338" w:type="dxa"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  <w:r w:rsidRPr="00D669D0">
              <w:rPr>
                <w:sz w:val="20"/>
              </w:rPr>
              <w:t>Kvantifikācija 2004.gadā</w:t>
            </w:r>
          </w:p>
        </w:tc>
        <w:tc>
          <w:tcPr>
            <w:tcW w:w="2222" w:type="dxa"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  <w:r w:rsidRPr="00D669D0">
              <w:rPr>
                <w:sz w:val="20"/>
              </w:rPr>
              <w:t>Kvantifikācija 2013.gadā</w:t>
            </w:r>
          </w:p>
        </w:tc>
      </w:tr>
      <w:tr w:rsidR="000A5211" w:rsidRPr="00D669D0" w:rsidTr="009B2989">
        <w:tc>
          <w:tcPr>
            <w:tcW w:w="2628" w:type="dxa"/>
            <w:vMerge w:val="restart"/>
          </w:tcPr>
          <w:p w:rsidR="000A5211" w:rsidRDefault="000A5211" w:rsidP="00413339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Darba tirgus prognozēšanas metodiku, pētījumu, aptauju un sagatavoto darba tirgus prognožu skaits </w:t>
            </w:r>
          </w:p>
          <w:p w:rsidR="000A5211" w:rsidRPr="00D669D0" w:rsidRDefault="000A5211" w:rsidP="006E6743">
            <w:pPr>
              <w:rPr>
                <w:sz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6E6743">
            <w:pPr>
              <w:rPr>
                <w:sz w:val="20"/>
              </w:rPr>
            </w:pPr>
            <w:r w:rsidRPr="00D669D0">
              <w:rPr>
                <w:sz w:val="20"/>
              </w:rPr>
              <w:t>Rīga</w:t>
            </w:r>
          </w:p>
        </w:tc>
        <w:tc>
          <w:tcPr>
            <w:tcW w:w="2338" w:type="dxa"/>
            <w:vMerge w:val="restart"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2" w:type="dxa"/>
            <w:vMerge w:val="restart"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nacionālas nozīmes darba tirgus prognozēšanas metodikas, pētījumi, aptaujas un darba tirgus prognozes</w:t>
            </w:r>
          </w:p>
        </w:tc>
      </w:tr>
      <w:tr w:rsidR="000A5211" w:rsidRPr="00D669D0" w:rsidTr="009B2989">
        <w:tc>
          <w:tcPr>
            <w:tcW w:w="2628" w:type="dxa"/>
            <w:vMerge/>
          </w:tcPr>
          <w:p w:rsidR="000A5211" w:rsidRPr="00D669D0" w:rsidRDefault="000A5211" w:rsidP="006E6743">
            <w:pPr>
              <w:rPr>
                <w:sz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6E6743">
            <w:pPr>
              <w:rPr>
                <w:sz w:val="20"/>
              </w:rPr>
            </w:pPr>
            <w:r w:rsidRPr="00D669D0">
              <w:rPr>
                <w:sz w:val="20"/>
              </w:rPr>
              <w:t>Vidzeme</w:t>
            </w:r>
          </w:p>
        </w:tc>
        <w:tc>
          <w:tcPr>
            <w:tcW w:w="2338" w:type="dxa"/>
            <w:vMerge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vMerge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</w:tr>
      <w:tr w:rsidR="000A5211" w:rsidRPr="00D669D0" w:rsidTr="009B2989">
        <w:tc>
          <w:tcPr>
            <w:tcW w:w="2628" w:type="dxa"/>
            <w:vMerge/>
          </w:tcPr>
          <w:p w:rsidR="000A5211" w:rsidRPr="00D669D0" w:rsidRDefault="000A5211" w:rsidP="006E6743">
            <w:pPr>
              <w:rPr>
                <w:sz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6E6743">
            <w:pPr>
              <w:rPr>
                <w:sz w:val="20"/>
              </w:rPr>
            </w:pPr>
            <w:r w:rsidRPr="00D669D0">
              <w:rPr>
                <w:sz w:val="20"/>
              </w:rPr>
              <w:t>Kurzeme</w:t>
            </w:r>
          </w:p>
        </w:tc>
        <w:tc>
          <w:tcPr>
            <w:tcW w:w="2338" w:type="dxa"/>
            <w:vMerge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vMerge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</w:tr>
      <w:tr w:rsidR="000A5211" w:rsidRPr="00D669D0" w:rsidTr="009B2989">
        <w:tc>
          <w:tcPr>
            <w:tcW w:w="2628" w:type="dxa"/>
            <w:vMerge/>
          </w:tcPr>
          <w:p w:rsidR="000A5211" w:rsidRPr="00D669D0" w:rsidRDefault="000A5211" w:rsidP="006E6743">
            <w:pPr>
              <w:rPr>
                <w:sz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6E6743">
            <w:pPr>
              <w:rPr>
                <w:sz w:val="20"/>
              </w:rPr>
            </w:pPr>
            <w:r w:rsidRPr="00D669D0">
              <w:rPr>
                <w:sz w:val="20"/>
              </w:rPr>
              <w:t>Zemgale</w:t>
            </w:r>
          </w:p>
        </w:tc>
        <w:tc>
          <w:tcPr>
            <w:tcW w:w="2338" w:type="dxa"/>
            <w:vMerge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vMerge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</w:tr>
      <w:tr w:rsidR="000A5211" w:rsidRPr="00D669D0" w:rsidTr="00D46BAD">
        <w:trPr>
          <w:trHeight w:val="70"/>
        </w:trPr>
        <w:tc>
          <w:tcPr>
            <w:tcW w:w="2628" w:type="dxa"/>
            <w:vMerge/>
          </w:tcPr>
          <w:p w:rsidR="000A5211" w:rsidRPr="00D669D0" w:rsidRDefault="000A5211" w:rsidP="006E6743">
            <w:pPr>
              <w:rPr>
                <w:sz w:val="20"/>
              </w:rPr>
            </w:pPr>
          </w:p>
        </w:tc>
        <w:tc>
          <w:tcPr>
            <w:tcW w:w="2040" w:type="dxa"/>
          </w:tcPr>
          <w:p w:rsidR="000A5211" w:rsidRPr="00D669D0" w:rsidRDefault="000A5211" w:rsidP="006E6743">
            <w:pPr>
              <w:rPr>
                <w:sz w:val="20"/>
              </w:rPr>
            </w:pPr>
            <w:r w:rsidRPr="00D669D0">
              <w:rPr>
                <w:sz w:val="20"/>
              </w:rPr>
              <w:t>Latgale</w:t>
            </w:r>
          </w:p>
        </w:tc>
        <w:tc>
          <w:tcPr>
            <w:tcW w:w="2338" w:type="dxa"/>
            <w:vMerge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vMerge/>
          </w:tcPr>
          <w:p w:rsidR="000A5211" w:rsidRPr="00D669D0" w:rsidRDefault="000A5211" w:rsidP="006E6743">
            <w:pPr>
              <w:jc w:val="center"/>
              <w:rPr>
                <w:sz w:val="20"/>
              </w:rPr>
            </w:pPr>
          </w:p>
        </w:tc>
      </w:tr>
    </w:tbl>
    <w:p w:rsidR="000A5211" w:rsidRPr="001D4680" w:rsidRDefault="000A5211" w:rsidP="009E0CBE">
      <w:pPr>
        <w:autoSpaceDE w:val="0"/>
        <w:autoSpaceDN w:val="0"/>
        <w:adjustRightInd w:val="0"/>
        <w:ind w:left="567" w:hanging="567"/>
        <w:rPr>
          <w:color w:val="000000"/>
          <w:sz w:val="26"/>
          <w:szCs w:val="26"/>
        </w:rPr>
      </w:pPr>
      <w:r w:rsidRPr="001D4680">
        <w:rPr>
          <w:color w:val="000000"/>
          <w:sz w:val="26"/>
          <w:szCs w:val="26"/>
        </w:rPr>
        <w:t>”;</w:t>
      </w:r>
    </w:p>
    <w:p w:rsidR="000A5211" w:rsidRPr="00435D95" w:rsidRDefault="000A5211" w:rsidP="009E0CBE">
      <w:pPr>
        <w:autoSpaceDE w:val="0"/>
        <w:autoSpaceDN w:val="0"/>
        <w:adjustRightInd w:val="0"/>
        <w:ind w:left="567" w:hanging="567"/>
        <w:rPr>
          <w:color w:val="000000"/>
          <w:sz w:val="16"/>
          <w:szCs w:val="16"/>
        </w:rPr>
      </w:pPr>
    </w:p>
    <w:p w:rsidR="000A5211" w:rsidRPr="001D4680" w:rsidRDefault="000A5211" w:rsidP="00007A6B">
      <w:pPr>
        <w:tabs>
          <w:tab w:val="left" w:pos="142"/>
          <w:tab w:val="left" w:pos="851"/>
        </w:tabs>
        <w:ind w:right="-113" w:firstLine="720"/>
        <w:rPr>
          <w:bCs/>
          <w:iCs/>
          <w:sz w:val="26"/>
          <w:szCs w:val="26"/>
          <w:lang w:eastAsia="lv-LV"/>
        </w:rPr>
      </w:pPr>
      <w:r w:rsidRPr="001D4680">
        <w:rPr>
          <w:bCs/>
          <w:iCs/>
          <w:spacing w:val="-2"/>
          <w:sz w:val="26"/>
          <w:szCs w:val="26"/>
          <w:lang w:eastAsia="lv-LV"/>
        </w:rPr>
        <w:t xml:space="preserve">2. Labklājības ministrijai nedēļas laikā iesniegt precizēto darbības programmas „Cilvēkresursi </w:t>
      </w:r>
      <w:r w:rsidRPr="001D4680">
        <w:rPr>
          <w:bCs/>
          <w:iCs/>
          <w:sz w:val="26"/>
          <w:szCs w:val="26"/>
          <w:lang w:eastAsia="lv-LV"/>
        </w:rPr>
        <w:t>un nodarbinātība” papildinājumu Valsts kancelejā.</w:t>
      </w:r>
    </w:p>
    <w:p w:rsidR="000A5211" w:rsidRPr="001D4680" w:rsidRDefault="000A5211" w:rsidP="008D40C5">
      <w:pPr>
        <w:tabs>
          <w:tab w:val="left" w:pos="142"/>
          <w:tab w:val="left" w:pos="851"/>
        </w:tabs>
        <w:ind w:right="-113"/>
        <w:rPr>
          <w:bCs/>
          <w:iCs/>
          <w:sz w:val="26"/>
          <w:szCs w:val="26"/>
          <w:lang w:eastAsia="lv-LV"/>
        </w:rPr>
      </w:pPr>
    </w:p>
    <w:p w:rsidR="000A5211" w:rsidRPr="001D4680" w:rsidRDefault="000A5211" w:rsidP="008D40C5">
      <w:pPr>
        <w:tabs>
          <w:tab w:val="left" w:pos="142"/>
          <w:tab w:val="left" w:pos="851"/>
        </w:tabs>
        <w:ind w:right="-113"/>
        <w:rPr>
          <w:bCs/>
          <w:iCs/>
          <w:sz w:val="26"/>
          <w:szCs w:val="26"/>
          <w:lang w:eastAsia="lv-LV"/>
        </w:rPr>
      </w:pPr>
    </w:p>
    <w:p w:rsidR="000A5211" w:rsidRPr="001D4680" w:rsidRDefault="000A5211" w:rsidP="008D40C5">
      <w:pPr>
        <w:tabs>
          <w:tab w:val="left" w:pos="142"/>
          <w:tab w:val="left" w:pos="851"/>
        </w:tabs>
        <w:ind w:right="-113"/>
        <w:rPr>
          <w:bCs/>
          <w:iCs/>
          <w:sz w:val="26"/>
          <w:szCs w:val="26"/>
          <w:lang w:eastAsia="lv-LV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0A5211" w:rsidRPr="001D4680" w:rsidTr="0015316F">
        <w:tc>
          <w:tcPr>
            <w:tcW w:w="4643" w:type="dxa"/>
          </w:tcPr>
          <w:p w:rsidR="000A5211" w:rsidRPr="0015316F" w:rsidRDefault="000A5211" w:rsidP="0015316F">
            <w:pPr>
              <w:tabs>
                <w:tab w:val="left" w:pos="142"/>
                <w:tab w:val="left" w:pos="851"/>
              </w:tabs>
              <w:ind w:right="-113"/>
              <w:rPr>
                <w:sz w:val="26"/>
                <w:szCs w:val="26"/>
              </w:rPr>
            </w:pPr>
            <w:r w:rsidRPr="0015316F">
              <w:rPr>
                <w:sz w:val="26"/>
                <w:szCs w:val="26"/>
              </w:rPr>
              <w:t>Ministru prezidents</w:t>
            </w:r>
          </w:p>
        </w:tc>
        <w:tc>
          <w:tcPr>
            <w:tcW w:w="4644" w:type="dxa"/>
          </w:tcPr>
          <w:p w:rsidR="000A5211" w:rsidRPr="0015316F" w:rsidRDefault="000A5211" w:rsidP="0015316F">
            <w:pPr>
              <w:tabs>
                <w:tab w:val="left" w:pos="142"/>
                <w:tab w:val="left" w:pos="851"/>
              </w:tabs>
              <w:ind w:right="-49"/>
              <w:jc w:val="right"/>
              <w:rPr>
                <w:sz w:val="26"/>
                <w:szCs w:val="26"/>
              </w:rPr>
            </w:pPr>
            <w:r w:rsidRPr="0015316F">
              <w:rPr>
                <w:sz w:val="26"/>
                <w:szCs w:val="26"/>
              </w:rPr>
              <w:t>V.Dombrovskis</w:t>
            </w:r>
          </w:p>
          <w:p w:rsidR="000A5211" w:rsidRPr="0015316F" w:rsidRDefault="000A5211" w:rsidP="0015316F">
            <w:pPr>
              <w:tabs>
                <w:tab w:val="left" w:pos="142"/>
                <w:tab w:val="left" w:pos="851"/>
              </w:tabs>
              <w:ind w:right="-49"/>
              <w:jc w:val="right"/>
              <w:rPr>
                <w:sz w:val="26"/>
                <w:szCs w:val="26"/>
              </w:rPr>
            </w:pPr>
          </w:p>
          <w:p w:rsidR="000A5211" w:rsidRPr="0015316F" w:rsidRDefault="000A5211" w:rsidP="0015316F">
            <w:pPr>
              <w:tabs>
                <w:tab w:val="left" w:pos="142"/>
                <w:tab w:val="left" w:pos="851"/>
              </w:tabs>
              <w:ind w:right="-49"/>
              <w:jc w:val="right"/>
              <w:rPr>
                <w:sz w:val="26"/>
                <w:szCs w:val="26"/>
              </w:rPr>
            </w:pPr>
          </w:p>
        </w:tc>
      </w:tr>
      <w:tr w:rsidR="000A5211" w:rsidRPr="001D4680" w:rsidTr="0015316F">
        <w:tc>
          <w:tcPr>
            <w:tcW w:w="4643" w:type="dxa"/>
          </w:tcPr>
          <w:p w:rsidR="000A5211" w:rsidRPr="0015316F" w:rsidRDefault="000A5211" w:rsidP="0015316F">
            <w:pPr>
              <w:tabs>
                <w:tab w:val="left" w:pos="142"/>
                <w:tab w:val="left" w:pos="851"/>
              </w:tabs>
              <w:ind w:right="-113"/>
              <w:rPr>
                <w:sz w:val="26"/>
                <w:szCs w:val="26"/>
              </w:rPr>
            </w:pPr>
            <w:r w:rsidRPr="0015316F">
              <w:rPr>
                <w:sz w:val="26"/>
                <w:szCs w:val="26"/>
              </w:rPr>
              <w:t>Labklājības ministre</w:t>
            </w:r>
          </w:p>
        </w:tc>
        <w:tc>
          <w:tcPr>
            <w:tcW w:w="4644" w:type="dxa"/>
          </w:tcPr>
          <w:p w:rsidR="000A5211" w:rsidRPr="0015316F" w:rsidRDefault="000A5211" w:rsidP="0015316F">
            <w:pPr>
              <w:tabs>
                <w:tab w:val="left" w:pos="142"/>
                <w:tab w:val="left" w:pos="851"/>
              </w:tabs>
              <w:ind w:right="-49"/>
              <w:jc w:val="right"/>
              <w:rPr>
                <w:sz w:val="26"/>
                <w:szCs w:val="26"/>
              </w:rPr>
            </w:pPr>
            <w:r w:rsidRPr="0015316F">
              <w:rPr>
                <w:sz w:val="26"/>
                <w:szCs w:val="26"/>
              </w:rPr>
              <w:t>I.Viņķele</w:t>
            </w:r>
          </w:p>
        </w:tc>
      </w:tr>
    </w:tbl>
    <w:p w:rsidR="000A5211" w:rsidRDefault="000A5211" w:rsidP="008D40C5">
      <w:pPr>
        <w:tabs>
          <w:tab w:val="left" w:pos="709"/>
          <w:tab w:val="left" w:pos="6840"/>
        </w:tabs>
        <w:rPr>
          <w:sz w:val="28"/>
          <w:szCs w:val="28"/>
        </w:rPr>
      </w:pPr>
    </w:p>
    <w:p w:rsidR="000A5211" w:rsidRDefault="000A5211" w:rsidP="008D40C5">
      <w:pPr>
        <w:tabs>
          <w:tab w:val="left" w:pos="709"/>
          <w:tab w:val="left" w:pos="6840"/>
        </w:tabs>
        <w:rPr>
          <w:sz w:val="28"/>
          <w:szCs w:val="28"/>
        </w:rPr>
      </w:pPr>
    </w:p>
    <w:p w:rsidR="000A5211" w:rsidRDefault="000A5211" w:rsidP="008D40C5">
      <w:pPr>
        <w:tabs>
          <w:tab w:val="left" w:pos="709"/>
          <w:tab w:val="left" w:pos="6840"/>
        </w:tabs>
        <w:rPr>
          <w:sz w:val="28"/>
          <w:szCs w:val="28"/>
        </w:rPr>
      </w:pPr>
    </w:p>
    <w:p w:rsidR="000A5211" w:rsidRDefault="000A5211" w:rsidP="000D4D58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A5211" w:rsidRPr="00CE02B6" w:rsidRDefault="000A5211" w:rsidP="008D40C5">
      <w:pPr>
        <w:tabs>
          <w:tab w:val="left" w:pos="709"/>
          <w:tab w:val="left" w:pos="6840"/>
        </w:tabs>
        <w:rPr>
          <w:sz w:val="20"/>
        </w:rPr>
      </w:pPr>
      <w:r>
        <w:rPr>
          <w:sz w:val="20"/>
        </w:rPr>
        <w:t>13</w:t>
      </w:r>
      <w:r w:rsidRPr="00CE02B6">
        <w:rPr>
          <w:sz w:val="20"/>
        </w:rPr>
        <w:t>.</w:t>
      </w:r>
      <w:r>
        <w:rPr>
          <w:sz w:val="20"/>
        </w:rPr>
        <w:t>11</w:t>
      </w:r>
      <w:r w:rsidRPr="00CE02B6">
        <w:rPr>
          <w:sz w:val="20"/>
        </w:rPr>
        <w:t xml:space="preserve">.2012. </w:t>
      </w:r>
      <w:r>
        <w:rPr>
          <w:sz w:val="20"/>
        </w:rPr>
        <w:t>13</w:t>
      </w:r>
      <w:r w:rsidRPr="00CE02B6">
        <w:rPr>
          <w:sz w:val="20"/>
        </w:rPr>
        <w:t>:</w:t>
      </w:r>
      <w:r>
        <w:rPr>
          <w:sz w:val="20"/>
        </w:rPr>
        <w:t>30</w:t>
      </w:r>
    </w:p>
    <w:p w:rsidR="000A5211" w:rsidRPr="008D40C5" w:rsidRDefault="000A5211" w:rsidP="008D40C5">
      <w:pPr>
        <w:tabs>
          <w:tab w:val="left" w:pos="709"/>
          <w:tab w:val="left" w:pos="6840"/>
        </w:tabs>
        <w:rPr>
          <w:sz w:val="20"/>
        </w:rPr>
      </w:pPr>
      <w:r>
        <w:rPr>
          <w:sz w:val="20"/>
        </w:rPr>
        <w:t>650</w:t>
      </w:r>
    </w:p>
    <w:p w:rsidR="000A5211" w:rsidRPr="008D40C5" w:rsidRDefault="000A5211" w:rsidP="008D40C5">
      <w:pPr>
        <w:tabs>
          <w:tab w:val="left" w:pos="709"/>
          <w:tab w:val="left" w:pos="6840"/>
        </w:tabs>
        <w:rPr>
          <w:sz w:val="20"/>
        </w:rPr>
      </w:pPr>
      <w:r w:rsidRPr="008D40C5">
        <w:rPr>
          <w:sz w:val="20"/>
        </w:rPr>
        <w:t>A.Vībe, 67021648</w:t>
      </w:r>
    </w:p>
    <w:p w:rsidR="000A5211" w:rsidRPr="00510C19" w:rsidRDefault="000A5211" w:rsidP="008D40C5">
      <w:pPr>
        <w:tabs>
          <w:tab w:val="left" w:pos="709"/>
          <w:tab w:val="left" w:pos="6840"/>
        </w:tabs>
        <w:rPr>
          <w:sz w:val="28"/>
          <w:szCs w:val="28"/>
        </w:rPr>
      </w:pPr>
      <w:hyperlink r:id="rId10" w:history="1">
        <w:r w:rsidRPr="00645861">
          <w:rPr>
            <w:rStyle w:val="Hyperlink"/>
            <w:sz w:val="20"/>
            <w:lang w:val="lv-LV"/>
          </w:rPr>
          <w:t>Anna.Vibe@lm.gov.lv</w:t>
        </w:r>
      </w:hyperlink>
      <w:r>
        <w:rPr>
          <w:sz w:val="20"/>
        </w:rPr>
        <w:t xml:space="preserve"> </w:t>
      </w:r>
      <w:r>
        <w:rPr>
          <w:sz w:val="28"/>
          <w:szCs w:val="28"/>
        </w:rPr>
        <w:tab/>
      </w:r>
    </w:p>
    <w:p w:rsidR="000A5211" w:rsidRDefault="000A5211" w:rsidP="00B1145B">
      <w:pPr>
        <w:tabs>
          <w:tab w:val="left" w:pos="709"/>
          <w:tab w:val="left" w:pos="6804"/>
        </w:tabs>
        <w:ind w:firstLine="720"/>
        <w:rPr>
          <w:sz w:val="28"/>
          <w:szCs w:val="28"/>
        </w:rPr>
      </w:pPr>
    </w:p>
    <w:p w:rsidR="000A5211" w:rsidRDefault="000A5211" w:rsidP="00B1145B">
      <w:pPr>
        <w:tabs>
          <w:tab w:val="left" w:pos="709"/>
          <w:tab w:val="left" w:pos="6804"/>
        </w:tabs>
        <w:ind w:firstLine="720"/>
        <w:rPr>
          <w:sz w:val="28"/>
          <w:szCs w:val="28"/>
        </w:rPr>
      </w:pPr>
    </w:p>
    <w:p w:rsidR="000A5211" w:rsidRDefault="000A5211" w:rsidP="00B1145B">
      <w:pPr>
        <w:tabs>
          <w:tab w:val="left" w:pos="709"/>
          <w:tab w:val="left" w:pos="6804"/>
        </w:tabs>
        <w:ind w:firstLine="720"/>
        <w:rPr>
          <w:sz w:val="20"/>
        </w:rPr>
      </w:pPr>
      <w:r>
        <w:rPr>
          <w:sz w:val="28"/>
          <w:szCs w:val="28"/>
        </w:rPr>
        <w:tab/>
      </w:r>
      <w:r w:rsidRPr="00207078">
        <w:rPr>
          <w:sz w:val="20"/>
        </w:rPr>
        <w:t xml:space="preserve"> </w:t>
      </w:r>
    </w:p>
    <w:p w:rsidR="000A5211" w:rsidRPr="00E86719" w:rsidRDefault="000A5211" w:rsidP="00E86719">
      <w:pPr>
        <w:rPr>
          <w:sz w:val="20"/>
        </w:rPr>
      </w:pPr>
    </w:p>
    <w:p w:rsidR="000A5211" w:rsidRDefault="000A5211" w:rsidP="00063AB8">
      <w:pPr>
        <w:tabs>
          <w:tab w:val="left" w:pos="900"/>
        </w:tabs>
        <w:rPr>
          <w:sz w:val="20"/>
        </w:rPr>
      </w:pPr>
      <w:r>
        <w:rPr>
          <w:sz w:val="20"/>
        </w:rPr>
        <w:tab/>
      </w:r>
    </w:p>
    <w:p w:rsidR="000A5211" w:rsidRPr="00E86719" w:rsidRDefault="000A5211" w:rsidP="00E86719">
      <w:pPr>
        <w:tabs>
          <w:tab w:val="left" w:pos="2100"/>
        </w:tabs>
        <w:rPr>
          <w:sz w:val="20"/>
        </w:rPr>
      </w:pPr>
      <w:r>
        <w:rPr>
          <w:sz w:val="20"/>
        </w:rPr>
        <w:tab/>
      </w:r>
    </w:p>
    <w:sectPr w:rsidR="000A5211" w:rsidRPr="00E86719" w:rsidSect="00B1145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11" w:rsidRDefault="000A5211" w:rsidP="00471E7C">
      <w:r>
        <w:separator/>
      </w:r>
    </w:p>
  </w:endnote>
  <w:endnote w:type="continuationSeparator" w:id="1">
    <w:p w:rsidR="000A5211" w:rsidRDefault="000A5211" w:rsidP="004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11" w:rsidRPr="00B51B8B" w:rsidRDefault="000A5211" w:rsidP="007C0F0E">
    <w:pPr>
      <w:pStyle w:val="Footer"/>
      <w:rPr>
        <w:sz w:val="20"/>
      </w:rPr>
    </w:pPr>
    <w:r w:rsidRPr="00B51B8B">
      <w:rPr>
        <w:sz w:val="20"/>
      </w:rPr>
      <w:t>LMRik_</w:t>
    </w:r>
    <w:r>
      <w:rPr>
        <w:sz w:val="20"/>
      </w:rPr>
      <w:t>1211012</w:t>
    </w:r>
    <w:r w:rsidRPr="00B51B8B">
      <w:rPr>
        <w:sz w:val="20"/>
      </w:rPr>
      <w:t>_</w:t>
    </w:r>
    <w:r>
      <w:rPr>
        <w:sz w:val="20"/>
      </w:rPr>
      <w:t>1DPP;</w:t>
    </w:r>
    <w:r w:rsidRPr="00B51B8B">
      <w:rPr>
        <w:sz w:val="20"/>
      </w:rPr>
      <w:t xml:space="preserve"> Ministru kabineta rīkojuma projekts „</w:t>
    </w:r>
    <w:r>
      <w:rPr>
        <w:sz w:val="20"/>
      </w:rPr>
      <w:t>G</w:t>
    </w:r>
    <w:r w:rsidRPr="00B51B8B">
      <w:rPr>
        <w:sz w:val="20"/>
      </w:rPr>
      <w:t>rozījumi darbības programmas „Cilvēkresursi un nodarbinātība” papildinājumā”</w:t>
    </w:r>
  </w:p>
  <w:p w:rsidR="000A5211" w:rsidRPr="007C0F0E" w:rsidRDefault="000A5211" w:rsidP="007C0F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11" w:rsidRPr="00B51B8B" w:rsidRDefault="000A5211" w:rsidP="00B1145B">
    <w:pPr>
      <w:pStyle w:val="Footer"/>
      <w:rPr>
        <w:sz w:val="20"/>
      </w:rPr>
    </w:pPr>
    <w:r w:rsidRPr="00B51B8B">
      <w:rPr>
        <w:sz w:val="20"/>
      </w:rPr>
      <w:t>LMRik_</w:t>
    </w:r>
    <w:r>
      <w:rPr>
        <w:sz w:val="20"/>
      </w:rPr>
      <w:t>1211012</w:t>
    </w:r>
    <w:r w:rsidRPr="00B51B8B">
      <w:rPr>
        <w:sz w:val="20"/>
      </w:rPr>
      <w:t>_</w:t>
    </w:r>
    <w:r>
      <w:rPr>
        <w:sz w:val="20"/>
      </w:rPr>
      <w:t>1DPP;</w:t>
    </w:r>
    <w:r w:rsidRPr="00B51B8B">
      <w:rPr>
        <w:sz w:val="20"/>
      </w:rPr>
      <w:t xml:space="preserve"> Ministru kabineta rīkojuma projekts „</w:t>
    </w:r>
    <w:r>
      <w:rPr>
        <w:sz w:val="20"/>
      </w:rPr>
      <w:t>G</w:t>
    </w:r>
    <w:r w:rsidRPr="00B51B8B">
      <w:rPr>
        <w:sz w:val="20"/>
      </w:rPr>
      <w:t>rozījumi darbības programmas „Cilvēkresursi un nodarbinātība” papildinājumā”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11" w:rsidRDefault="000A5211" w:rsidP="00471E7C">
      <w:r>
        <w:separator/>
      </w:r>
    </w:p>
  </w:footnote>
  <w:footnote w:type="continuationSeparator" w:id="1">
    <w:p w:rsidR="000A5211" w:rsidRDefault="000A5211" w:rsidP="0047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11" w:rsidRDefault="000A5211" w:rsidP="00B114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211" w:rsidRDefault="000A52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11" w:rsidRDefault="000A5211" w:rsidP="00B114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A5211" w:rsidRDefault="000A521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11" w:rsidRDefault="000A5211" w:rsidP="00B1145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">
    <w:nsid w:val="065402F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BEF132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ED531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05D71E1"/>
    <w:multiLevelType w:val="hybridMultilevel"/>
    <w:tmpl w:val="ADEA5B4C"/>
    <w:lvl w:ilvl="0" w:tplc="59BCF656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60019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A55A1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8FA72C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647286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D537D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DA004A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F42246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6C08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B4F742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40B8130F"/>
    <w:multiLevelType w:val="hybridMultilevel"/>
    <w:tmpl w:val="B9A43F1E"/>
    <w:lvl w:ilvl="0" w:tplc="FFFFFFFF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F01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E1532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4237F7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6AA79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B452D9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523147F"/>
    <w:multiLevelType w:val="hybridMultilevel"/>
    <w:tmpl w:val="6D84FBA6"/>
    <w:lvl w:ilvl="0" w:tplc="FFFFFFFF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215C7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8"/>
  </w:num>
  <w:num w:numId="6">
    <w:abstractNumId w:val="9"/>
  </w:num>
  <w:num w:numId="7">
    <w:abstractNumId w:val="15"/>
  </w:num>
  <w:num w:numId="8">
    <w:abstractNumId w:val="1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8"/>
  </w:num>
  <w:num w:numId="14">
    <w:abstractNumId w:val="2"/>
  </w:num>
  <w:num w:numId="15">
    <w:abstractNumId w:val="11"/>
  </w:num>
  <w:num w:numId="16">
    <w:abstractNumId w:val="12"/>
  </w:num>
  <w:num w:numId="17">
    <w:abstractNumId w:val="14"/>
  </w:num>
  <w:num w:numId="18">
    <w:abstractNumId w:val="7"/>
  </w:num>
  <w:num w:numId="19">
    <w:abstractNumId w:val="6"/>
  </w:num>
  <w:num w:numId="20">
    <w:abstractNumId w:val="16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F9"/>
    <w:rsid w:val="000004FF"/>
    <w:rsid w:val="00000981"/>
    <w:rsid w:val="00001127"/>
    <w:rsid w:val="0000330A"/>
    <w:rsid w:val="000036C5"/>
    <w:rsid w:val="00003A21"/>
    <w:rsid w:val="0000423E"/>
    <w:rsid w:val="0000474C"/>
    <w:rsid w:val="00004FB4"/>
    <w:rsid w:val="00005CCD"/>
    <w:rsid w:val="00007475"/>
    <w:rsid w:val="00007961"/>
    <w:rsid w:val="00007A6B"/>
    <w:rsid w:val="0001040A"/>
    <w:rsid w:val="000109C7"/>
    <w:rsid w:val="000130E6"/>
    <w:rsid w:val="000132F3"/>
    <w:rsid w:val="0001330B"/>
    <w:rsid w:val="0001352D"/>
    <w:rsid w:val="00014620"/>
    <w:rsid w:val="00014DDD"/>
    <w:rsid w:val="00015A47"/>
    <w:rsid w:val="00016F27"/>
    <w:rsid w:val="0001731C"/>
    <w:rsid w:val="00017404"/>
    <w:rsid w:val="00017A9D"/>
    <w:rsid w:val="00017D66"/>
    <w:rsid w:val="000206DD"/>
    <w:rsid w:val="00022BD6"/>
    <w:rsid w:val="00023155"/>
    <w:rsid w:val="00024DB2"/>
    <w:rsid w:val="000258ED"/>
    <w:rsid w:val="000273B0"/>
    <w:rsid w:val="00031C8A"/>
    <w:rsid w:val="00032515"/>
    <w:rsid w:val="00032AD2"/>
    <w:rsid w:val="000334E0"/>
    <w:rsid w:val="000366A5"/>
    <w:rsid w:val="000378BE"/>
    <w:rsid w:val="00040B02"/>
    <w:rsid w:val="00042010"/>
    <w:rsid w:val="000474D0"/>
    <w:rsid w:val="00047895"/>
    <w:rsid w:val="00050B60"/>
    <w:rsid w:val="00051DF3"/>
    <w:rsid w:val="000527EF"/>
    <w:rsid w:val="000540D5"/>
    <w:rsid w:val="00054868"/>
    <w:rsid w:val="00054B14"/>
    <w:rsid w:val="00056334"/>
    <w:rsid w:val="00057AB7"/>
    <w:rsid w:val="00060E71"/>
    <w:rsid w:val="000619DD"/>
    <w:rsid w:val="00061D86"/>
    <w:rsid w:val="00062379"/>
    <w:rsid w:val="000623DC"/>
    <w:rsid w:val="00063491"/>
    <w:rsid w:val="00063883"/>
    <w:rsid w:val="00063AB8"/>
    <w:rsid w:val="000657FE"/>
    <w:rsid w:val="00066B04"/>
    <w:rsid w:val="000741B7"/>
    <w:rsid w:val="000751B1"/>
    <w:rsid w:val="0007629A"/>
    <w:rsid w:val="00077F2E"/>
    <w:rsid w:val="00080EAA"/>
    <w:rsid w:val="0008219C"/>
    <w:rsid w:val="000830FD"/>
    <w:rsid w:val="00083709"/>
    <w:rsid w:val="00084185"/>
    <w:rsid w:val="00085B3E"/>
    <w:rsid w:val="00092F59"/>
    <w:rsid w:val="00096A95"/>
    <w:rsid w:val="00096C8D"/>
    <w:rsid w:val="000A01E6"/>
    <w:rsid w:val="000A0569"/>
    <w:rsid w:val="000A1044"/>
    <w:rsid w:val="000A1A62"/>
    <w:rsid w:val="000A2A7B"/>
    <w:rsid w:val="000A3244"/>
    <w:rsid w:val="000A5211"/>
    <w:rsid w:val="000A65C1"/>
    <w:rsid w:val="000B1558"/>
    <w:rsid w:val="000B27D4"/>
    <w:rsid w:val="000B34C4"/>
    <w:rsid w:val="000B4B26"/>
    <w:rsid w:val="000C2157"/>
    <w:rsid w:val="000C2A2D"/>
    <w:rsid w:val="000C3631"/>
    <w:rsid w:val="000C3646"/>
    <w:rsid w:val="000C392C"/>
    <w:rsid w:val="000C57F6"/>
    <w:rsid w:val="000C58EB"/>
    <w:rsid w:val="000C60AA"/>
    <w:rsid w:val="000C6755"/>
    <w:rsid w:val="000C6920"/>
    <w:rsid w:val="000C6C85"/>
    <w:rsid w:val="000C7196"/>
    <w:rsid w:val="000C7694"/>
    <w:rsid w:val="000D1234"/>
    <w:rsid w:val="000D337B"/>
    <w:rsid w:val="000D4D58"/>
    <w:rsid w:val="000D726D"/>
    <w:rsid w:val="000D759C"/>
    <w:rsid w:val="000D7F31"/>
    <w:rsid w:val="000E4406"/>
    <w:rsid w:val="000E5EA7"/>
    <w:rsid w:val="000E73B3"/>
    <w:rsid w:val="000E7D64"/>
    <w:rsid w:val="000F043A"/>
    <w:rsid w:val="000F0F51"/>
    <w:rsid w:val="000F16D4"/>
    <w:rsid w:val="000F363E"/>
    <w:rsid w:val="000F4389"/>
    <w:rsid w:val="000F516C"/>
    <w:rsid w:val="000F6B08"/>
    <w:rsid w:val="000F6F71"/>
    <w:rsid w:val="000F767B"/>
    <w:rsid w:val="000F7723"/>
    <w:rsid w:val="00101151"/>
    <w:rsid w:val="001024C7"/>
    <w:rsid w:val="00102796"/>
    <w:rsid w:val="00103D6D"/>
    <w:rsid w:val="00104034"/>
    <w:rsid w:val="00104B51"/>
    <w:rsid w:val="00106FC9"/>
    <w:rsid w:val="00110374"/>
    <w:rsid w:val="00110F13"/>
    <w:rsid w:val="001122F1"/>
    <w:rsid w:val="00115AC4"/>
    <w:rsid w:val="00116031"/>
    <w:rsid w:val="00117295"/>
    <w:rsid w:val="00120D24"/>
    <w:rsid w:val="00121A42"/>
    <w:rsid w:val="00121C88"/>
    <w:rsid w:val="00123644"/>
    <w:rsid w:val="00123852"/>
    <w:rsid w:val="0012470C"/>
    <w:rsid w:val="00124A7B"/>
    <w:rsid w:val="00125A31"/>
    <w:rsid w:val="00125B64"/>
    <w:rsid w:val="00125F5A"/>
    <w:rsid w:val="0012752F"/>
    <w:rsid w:val="00130279"/>
    <w:rsid w:val="00130651"/>
    <w:rsid w:val="00133941"/>
    <w:rsid w:val="00134B25"/>
    <w:rsid w:val="00135409"/>
    <w:rsid w:val="00135800"/>
    <w:rsid w:val="0013632F"/>
    <w:rsid w:val="00136E9D"/>
    <w:rsid w:val="001407E7"/>
    <w:rsid w:val="001408F7"/>
    <w:rsid w:val="00141D85"/>
    <w:rsid w:val="001436D7"/>
    <w:rsid w:val="0014750F"/>
    <w:rsid w:val="001501A8"/>
    <w:rsid w:val="0015316F"/>
    <w:rsid w:val="00154BA9"/>
    <w:rsid w:val="00154CB0"/>
    <w:rsid w:val="001555AA"/>
    <w:rsid w:val="00157161"/>
    <w:rsid w:val="0015768B"/>
    <w:rsid w:val="001633B2"/>
    <w:rsid w:val="00163B09"/>
    <w:rsid w:val="001644F5"/>
    <w:rsid w:val="00164E9D"/>
    <w:rsid w:val="0016605C"/>
    <w:rsid w:val="001719A3"/>
    <w:rsid w:val="00171F80"/>
    <w:rsid w:val="0017274E"/>
    <w:rsid w:val="00175128"/>
    <w:rsid w:val="00175F69"/>
    <w:rsid w:val="00176930"/>
    <w:rsid w:val="00177D9D"/>
    <w:rsid w:val="001806A1"/>
    <w:rsid w:val="001807AB"/>
    <w:rsid w:val="00181FE8"/>
    <w:rsid w:val="00182A3F"/>
    <w:rsid w:val="00183981"/>
    <w:rsid w:val="00183FFD"/>
    <w:rsid w:val="00184744"/>
    <w:rsid w:val="00184E7A"/>
    <w:rsid w:val="001872C5"/>
    <w:rsid w:val="00190618"/>
    <w:rsid w:val="00190C8F"/>
    <w:rsid w:val="00191496"/>
    <w:rsid w:val="00192BDE"/>
    <w:rsid w:val="00195024"/>
    <w:rsid w:val="0019560E"/>
    <w:rsid w:val="00196079"/>
    <w:rsid w:val="001961A6"/>
    <w:rsid w:val="0019660B"/>
    <w:rsid w:val="00196A3E"/>
    <w:rsid w:val="001971D2"/>
    <w:rsid w:val="00197944"/>
    <w:rsid w:val="00197F71"/>
    <w:rsid w:val="001A0ED4"/>
    <w:rsid w:val="001A1C64"/>
    <w:rsid w:val="001A69C3"/>
    <w:rsid w:val="001A711D"/>
    <w:rsid w:val="001A739C"/>
    <w:rsid w:val="001A79B3"/>
    <w:rsid w:val="001B00E1"/>
    <w:rsid w:val="001B0BFA"/>
    <w:rsid w:val="001B1070"/>
    <w:rsid w:val="001B1CD9"/>
    <w:rsid w:val="001B2394"/>
    <w:rsid w:val="001B2478"/>
    <w:rsid w:val="001B33C0"/>
    <w:rsid w:val="001B38B0"/>
    <w:rsid w:val="001B482B"/>
    <w:rsid w:val="001B5A7F"/>
    <w:rsid w:val="001B5C35"/>
    <w:rsid w:val="001B6257"/>
    <w:rsid w:val="001B7CCF"/>
    <w:rsid w:val="001C05FD"/>
    <w:rsid w:val="001C0EC8"/>
    <w:rsid w:val="001C178F"/>
    <w:rsid w:val="001C1DED"/>
    <w:rsid w:val="001C1EC4"/>
    <w:rsid w:val="001C43F5"/>
    <w:rsid w:val="001C5119"/>
    <w:rsid w:val="001C5BA9"/>
    <w:rsid w:val="001C7034"/>
    <w:rsid w:val="001D0E1D"/>
    <w:rsid w:val="001D128A"/>
    <w:rsid w:val="001D1A66"/>
    <w:rsid w:val="001D207A"/>
    <w:rsid w:val="001D339F"/>
    <w:rsid w:val="001D4680"/>
    <w:rsid w:val="001D4D96"/>
    <w:rsid w:val="001D527A"/>
    <w:rsid w:val="001D64FD"/>
    <w:rsid w:val="001D6855"/>
    <w:rsid w:val="001D6F2E"/>
    <w:rsid w:val="001E3CEE"/>
    <w:rsid w:val="001E3D86"/>
    <w:rsid w:val="001E3E90"/>
    <w:rsid w:val="001E6FC8"/>
    <w:rsid w:val="001E70AB"/>
    <w:rsid w:val="001F123B"/>
    <w:rsid w:val="001F2FC2"/>
    <w:rsid w:val="001F390D"/>
    <w:rsid w:val="001F490E"/>
    <w:rsid w:val="001F52DE"/>
    <w:rsid w:val="002002D3"/>
    <w:rsid w:val="00200EE0"/>
    <w:rsid w:val="00202100"/>
    <w:rsid w:val="00202F9F"/>
    <w:rsid w:val="00206390"/>
    <w:rsid w:val="00207078"/>
    <w:rsid w:val="002072FE"/>
    <w:rsid w:val="00210F5E"/>
    <w:rsid w:val="002140EE"/>
    <w:rsid w:val="00214EB2"/>
    <w:rsid w:val="0022164B"/>
    <w:rsid w:val="00221E4E"/>
    <w:rsid w:val="002222F4"/>
    <w:rsid w:val="00224336"/>
    <w:rsid w:val="00224681"/>
    <w:rsid w:val="00225577"/>
    <w:rsid w:val="0023058A"/>
    <w:rsid w:val="00230A41"/>
    <w:rsid w:val="00230BC5"/>
    <w:rsid w:val="00232F9A"/>
    <w:rsid w:val="00234137"/>
    <w:rsid w:val="002347BB"/>
    <w:rsid w:val="00235556"/>
    <w:rsid w:val="002356E4"/>
    <w:rsid w:val="00236A58"/>
    <w:rsid w:val="00236F02"/>
    <w:rsid w:val="0024067A"/>
    <w:rsid w:val="002416A5"/>
    <w:rsid w:val="00244162"/>
    <w:rsid w:val="002443B8"/>
    <w:rsid w:val="002448E5"/>
    <w:rsid w:val="00245B51"/>
    <w:rsid w:val="0024652A"/>
    <w:rsid w:val="00250108"/>
    <w:rsid w:val="0025093F"/>
    <w:rsid w:val="00255155"/>
    <w:rsid w:val="00255CCE"/>
    <w:rsid w:val="00256118"/>
    <w:rsid w:val="00256DE0"/>
    <w:rsid w:val="00257167"/>
    <w:rsid w:val="00257435"/>
    <w:rsid w:val="002601A5"/>
    <w:rsid w:val="00260345"/>
    <w:rsid w:val="002606FA"/>
    <w:rsid w:val="00262E1F"/>
    <w:rsid w:val="00265BE8"/>
    <w:rsid w:val="00265F60"/>
    <w:rsid w:val="00267A67"/>
    <w:rsid w:val="0027027F"/>
    <w:rsid w:val="00272294"/>
    <w:rsid w:val="00274AB4"/>
    <w:rsid w:val="002750EB"/>
    <w:rsid w:val="002751E7"/>
    <w:rsid w:val="00275735"/>
    <w:rsid w:val="00276C77"/>
    <w:rsid w:val="002807C6"/>
    <w:rsid w:val="00281C58"/>
    <w:rsid w:val="002840EF"/>
    <w:rsid w:val="0028458E"/>
    <w:rsid w:val="002846B9"/>
    <w:rsid w:val="00285A01"/>
    <w:rsid w:val="00287518"/>
    <w:rsid w:val="00287BB0"/>
    <w:rsid w:val="00290E05"/>
    <w:rsid w:val="002922D7"/>
    <w:rsid w:val="00295C47"/>
    <w:rsid w:val="00296463"/>
    <w:rsid w:val="002A1257"/>
    <w:rsid w:val="002A1595"/>
    <w:rsid w:val="002A1C6F"/>
    <w:rsid w:val="002A7242"/>
    <w:rsid w:val="002A7561"/>
    <w:rsid w:val="002A7B16"/>
    <w:rsid w:val="002B0EB0"/>
    <w:rsid w:val="002B1C92"/>
    <w:rsid w:val="002B2F7A"/>
    <w:rsid w:val="002C00A0"/>
    <w:rsid w:val="002C1A20"/>
    <w:rsid w:val="002C49CC"/>
    <w:rsid w:val="002C4B0E"/>
    <w:rsid w:val="002C51C8"/>
    <w:rsid w:val="002C5407"/>
    <w:rsid w:val="002C5567"/>
    <w:rsid w:val="002C588A"/>
    <w:rsid w:val="002C5D4C"/>
    <w:rsid w:val="002C5E13"/>
    <w:rsid w:val="002C6A1B"/>
    <w:rsid w:val="002C6FD7"/>
    <w:rsid w:val="002C70ED"/>
    <w:rsid w:val="002C7A41"/>
    <w:rsid w:val="002D079A"/>
    <w:rsid w:val="002D13FB"/>
    <w:rsid w:val="002D14D4"/>
    <w:rsid w:val="002D1D29"/>
    <w:rsid w:val="002D3C2C"/>
    <w:rsid w:val="002D4B06"/>
    <w:rsid w:val="002D5324"/>
    <w:rsid w:val="002D5E96"/>
    <w:rsid w:val="002D5FFA"/>
    <w:rsid w:val="002E12A0"/>
    <w:rsid w:val="002E2E4E"/>
    <w:rsid w:val="002F0867"/>
    <w:rsid w:val="002F6C2F"/>
    <w:rsid w:val="00301C5D"/>
    <w:rsid w:val="0030592B"/>
    <w:rsid w:val="0030768C"/>
    <w:rsid w:val="00307BA7"/>
    <w:rsid w:val="00310E19"/>
    <w:rsid w:val="00315B95"/>
    <w:rsid w:val="00316239"/>
    <w:rsid w:val="003176D8"/>
    <w:rsid w:val="00317D7E"/>
    <w:rsid w:val="0032225E"/>
    <w:rsid w:val="00323C90"/>
    <w:rsid w:val="0032564A"/>
    <w:rsid w:val="0032567C"/>
    <w:rsid w:val="003267B6"/>
    <w:rsid w:val="003269C3"/>
    <w:rsid w:val="0032762C"/>
    <w:rsid w:val="00327DC6"/>
    <w:rsid w:val="003314A5"/>
    <w:rsid w:val="003315E4"/>
    <w:rsid w:val="00331999"/>
    <w:rsid w:val="00333E79"/>
    <w:rsid w:val="0033633F"/>
    <w:rsid w:val="00337459"/>
    <w:rsid w:val="00340703"/>
    <w:rsid w:val="003447C4"/>
    <w:rsid w:val="003451F6"/>
    <w:rsid w:val="0034534E"/>
    <w:rsid w:val="00347350"/>
    <w:rsid w:val="00350312"/>
    <w:rsid w:val="00350A2F"/>
    <w:rsid w:val="003515BD"/>
    <w:rsid w:val="00351EA3"/>
    <w:rsid w:val="00353326"/>
    <w:rsid w:val="00353759"/>
    <w:rsid w:val="003538B1"/>
    <w:rsid w:val="003539ED"/>
    <w:rsid w:val="00353DC9"/>
    <w:rsid w:val="003549F1"/>
    <w:rsid w:val="00354CA0"/>
    <w:rsid w:val="00354F40"/>
    <w:rsid w:val="003566C8"/>
    <w:rsid w:val="0035674D"/>
    <w:rsid w:val="00357577"/>
    <w:rsid w:val="00360468"/>
    <w:rsid w:val="003605F3"/>
    <w:rsid w:val="00362639"/>
    <w:rsid w:val="003626D9"/>
    <w:rsid w:val="003637A7"/>
    <w:rsid w:val="00366C8F"/>
    <w:rsid w:val="00371144"/>
    <w:rsid w:val="0037176A"/>
    <w:rsid w:val="003717EA"/>
    <w:rsid w:val="00372390"/>
    <w:rsid w:val="00372A0D"/>
    <w:rsid w:val="00372CE7"/>
    <w:rsid w:val="0037574F"/>
    <w:rsid w:val="0037627E"/>
    <w:rsid w:val="00376648"/>
    <w:rsid w:val="00377278"/>
    <w:rsid w:val="003774E2"/>
    <w:rsid w:val="00380B4F"/>
    <w:rsid w:val="0038147C"/>
    <w:rsid w:val="0038290F"/>
    <w:rsid w:val="0038349D"/>
    <w:rsid w:val="00383E7F"/>
    <w:rsid w:val="00383EF7"/>
    <w:rsid w:val="00384CCC"/>
    <w:rsid w:val="00386572"/>
    <w:rsid w:val="00387E53"/>
    <w:rsid w:val="00390449"/>
    <w:rsid w:val="00390F5D"/>
    <w:rsid w:val="00391EC5"/>
    <w:rsid w:val="00397C09"/>
    <w:rsid w:val="003A1B07"/>
    <w:rsid w:val="003A2D5B"/>
    <w:rsid w:val="003A373F"/>
    <w:rsid w:val="003A4192"/>
    <w:rsid w:val="003A5726"/>
    <w:rsid w:val="003A627B"/>
    <w:rsid w:val="003A6F16"/>
    <w:rsid w:val="003A7F0A"/>
    <w:rsid w:val="003B1026"/>
    <w:rsid w:val="003B12EC"/>
    <w:rsid w:val="003B1328"/>
    <w:rsid w:val="003B3E35"/>
    <w:rsid w:val="003B3FA2"/>
    <w:rsid w:val="003B4684"/>
    <w:rsid w:val="003B4862"/>
    <w:rsid w:val="003C18A1"/>
    <w:rsid w:val="003C20B5"/>
    <w:rsid w:val="003C34E1"/>
    <w:rsid w:val="003C5720"/>
    <w:rsid w:val="003C7A30"/>
    <w:rsid w:val="003D0C25"/>
    <w:rsid w:val="003D348F"/>
    <w:rsid w:val="003D469E"/>
    <w:rsid w:val="003D5DB9"/>
    <w:rsid w:val="003D5EC5"/>
    <w:rsid w:val="003D6918"/>
    <w:rsid w:val="003D71E2"/>
    <w:rsid w:val="003E02B2"/>
    <w:rsid w:val="003E1BE3"/>
    <w:rsid w:val="003E4DDE"/>
    <w:rsid w:val="003E6167"/>
    <w:rsid w:val="003E6CD5"/>
    <w:rsid w:val="003F02C6"/>
    <w:rsid w:val="003F11BE"/>
    <w:rsid w:val="003F2A1D"/>
    <w:rsid w:val="003F56AD"/>
    <w:rsid w:val="003F5B8C"/>
    <w:rsid w:val="003F620E"/>
    <w:rsid w:val="00400E55"/>
    <w:rsid w:val="004022BF"/>
    <w:rsid w:val="00402D0C"/>
    <w:rsid w:val="00403FD3"/>
    <w:rsid w:val="00404312"/>
    <w:rsid w:val="004050FE"/>
    <w:rsid w:val="00406453"/>
    <w:rsid w:val="00410423"/>
    <w:rsid w:val="00410725"/>
    <w:rsid w:val="00410E10"/>
    <w:rsid w:val="00411BC1"/>
    <w:rsid w:val="00413339"/>
    <w:rsid w:val="00414CC7"/>
    <w:rsid w:val="00415673"/>
    <w:rsid w:val="0041567D"/>
    <w:rsid w:val="00416EBA"/>
    <w:rsid w:val="004201E6"/>
    <w:rsid w:val="00421CED"/>
    <w:rsid w:val="00422207"/>
    <w:rsid w:val="00423119"/>
    <w:rsid w:val="00423F9E"/>
    <w:rsid w:val="00424F41"/>
    <w:rsid w:val="00424FF2"/>
    <w:rsid w:val="00425154"/>
    <w:rsid w:val="00426C7D"/>
    <w:rsid w:val="00427C52"/>
    <w:rsid w:val="004326B3"/>
    <w:rsid w:val="00433F84"/>
    <w:rsid w:val="00433FB0"/>
    <w:rsid w:val="00435D95"/>
    <w:rsid w:val="00436062"/>
    <w:rsid w:val="0043723F"/>
    <w:rsid w:val="00441235"/>
    <w:rsid w:val="00442094"/>
    <w:rsid w:val="0044379A"/>
    <w:rsid w:val="00444129"/>
    <w:rsid w:val="00444FDA"/>
    <w:rsid w:val="0044548C"/>
    <w:rsid w:val="0044649A"/>
    <w:rsid w:val="00446808"/>
    <w:rsid w:val="00447776"/>
    <w:rsid w:val="0045046E"/>
    <w:rsid w:val="004529A4"/>
    <w:rsid w:val="00452BF4"/>
    <w:rsid w:val="004531DD"/>
    <w:rsid w:val="00453662"/>
    <w:rsid w:val="00454E19"/>
    <w:rsid w:val="0045569B"/>
    <w:rsid w:val="004560E8"/>
    <w:rsid w:val="004564C6"/>
    <w:rsid w:val="004566D1"/>
    <w:rsid w:val="00456749"/>
    <w:rsid w:val="00457516"/>
    <w:rsid w:val="0045788A"/>
    <w:rsid w:val="004601E4"/>
    <w:rsid w:val="00462140"/>
    <w:rsid w:val="00462886"/>
    <w:rsid w:val="00463A22"/>
    <w:rsid w:val="00463E28"/>
    <w:rsid w:val="00464432"/>
    <w:rsid w:val="004654C4"/>
    <w:rsid w:val="00471E7C"/>
    <w:rsid w:val="00472E7A"/>
    <w:rsid w:val="00474FAE"/>
    <w:rsid w:val="00475D90"/>
    <w:rsid w:val="00481D3A"/>
    <w:rsid w:val="00482E65"/>
    <w:rsid w:val="00484811"/>
    <w:rsid w:val="0048688A"/>
    <w:rsid w:val="0048736A"/>
    <w:rsid w:val="004904C4"/>
    <w:rsid w:val="004907B7"/>
    <w:rsid w:val="00491E83"/>
    <w:rsid w:val="0049244C"/>
    <w:rsid w:val="004925D7"/>
    <w:rsid w:val="00492670"/>
    <w:rsid w:val="00494F4E"/>
    <w:rsid w:val="00496A51"/>
    <w:rsid w:val="004970EB"/>
    <w:rsid w:val="00497376"/>
    <w:rsid w:val="004976BE"/>
    <w:rsid w:val="00497733"/>
    <w:rsid w:val="004A0F0B"/>
    <w:rsid w:val="004A128E"/>
    <w:rsid w:val="004A39D1"/>
    <w:rsid w:val="004A3C34"/>
    <w:rsid w:val="004A6F1E"/>
    <w:rsid w:val="004A750A"/>
    <w:rsid w:val="004B0C23"/>
    <w:rsid w:val="004B127E"/>
    <w:rsid w:val="004B1F2E"/>
    <w:rsid w:val="004B497B"/>
    <w:rsid w:val="004B5A4F"/>
    <w:rsid w:val="004B6C0F"/>
    <w:rsid w:val="004C1308"/>
    <w:rsid w:val="004C1CDA"/>
    <w:rsid w:val="004C317D"/>
    <w:rsid w:val="004C3946"/>
    <w:rsid w:val="004C4E35"/>
    <w:rsid w:val="004C5ED9"/>
    <w:rsid w:val="004C5FDA"/>
    <w:rsid w:val="004C6118"/>
    <w:rsid w:val="004C77BE"/>
    <w:rsid w:val="004D0930"/>
    <w:rsid w:val="004D32FA"/>
    <w:rsid w:val="004D74AC"/>
    <w:rsid w:val="004D7CDE"/>
    <w:rsid w:val="004E0D78"/>
    <w:rsid w:val="004E1111"/>
    <w:rsid w:val="004E115C"/>
    <w:rsid w:val="004E1B8B"/>
    <w:rsid w:val="004E252A"/>
    <w:rsid w:val="004E2E69"/>
    <w:rsid w:val="004E3337"/>
    <w:rsid w:val="004E3FE8"/>
    <w:rsid w:val="004F0188"/>
    <w:rsid w:val="004F0475"/>
    <w:rsid w:val="004F332C"/>
    <w:rsid w:val="004F59FA"/>
    <w:rsid w:val="004F5BBF"/>
    <w:rsid w:val="004F6AAD"/>
    <w:rsid w:val="004F6B7F"/>
    <w:rsid w:val="004F7466"/>
    <w:rsid w:val="004F7C54"/>
    <w:rsid w:val="00502A0A"/>
    <w:rsid w:val="00504F9C"/>
    <w:rsid w:val="005063DF"/>
    <w:rsid w:val="00506834"/>
    <w:rsid w:val="0050732C"/>
    <w:rsid w:val="005074C3"/>
    <w:rsid w:val="00507C7A"/>
    <w:rsid w:val="00510C19"/>
    <w:rsid w:val="00512E6C"/>
    <w:rsid w:val="0051488C"/>
    <w:rsid w:val="00516487"/>
    <w:rsid w:val="00516DAC"/>
    <w:rsid w:val="00517304"/>
    <w:rsid w:val="0051739D"/>
    <w:rsid w:val="00520259"/>
    <w:rsid w:val="005202ED"/>
    <w:rsid w:val="00522B30"/>
    <w:rsid w:val="005247DB"/>
    <w:rsid w:val="00526339"/>
    <w:rsid w:val="00527044"/>
    <w:rsid w:val="00527604"/>
    <w:rsid w:val="005276D1"/>
    <w:rsid w:val="00531194"/>
    <w:rsid w:val="00532D55"/>
    <w:rsid w:val="00534A72"/>
    <w:rsid w:val="00534FDB"/>
    <w:rsid w:val="005373C2"/>
    <w:rsid w:val="00537899"/>
    <w:rsid w:val="00541677"/>
    <w:rsid w:val="00541ECC"/>
    <w:rsid w:val="0054268E"/>
    <w:rsid w:val="005427F1"/>
    <w:rsid w:val="005436A4"/>
    <w:rsid w:val="00543EA3"/>
    <w:rsid w:val="005510C2"/>
    <w:rsid w:val="005514A2"/>
    <w:rsid w:val="00551DDB"/>
    <w:rsid w:val="00552FC7"/>
    <w:rsid w:val="0055334A"/>
    <w:rsid w:val="0055390F"/>
    <w:rsid w:val="00554F67"/>
    <w:rsid w:val="00555D55"/>
    <w:rsid w:val="00557789"/>
    <w:rsid w:val="00560C2A"/>
    <w:rsid w:val="005613B3"/>
    <w:rsid w:val="0056163B"/>
    <w:rsid w:val="005619D0"/>
    <w:rsid w:val="00562D96"/>
    <w:rsid w:val="00563075"/>
    <w:rsid w:val="00563E8E"/>
    <w:rsid w:val="005640B8"/>
    <w:rsid w:val="00564636"/>
    <w:rsid w:val="00564A46"/>
    <w:rsid w:val="005664A1"/>
    <w:rsid w:val="0056746A"/>
    <w:rsid w:val="00567D2B"/>
    <w:rsid w:val="00571FCD"/>
    <w:rsid w:val="00574544"/>
    <w:rsid w:val="0057460C"/>
    <w:rsid w:val="00574826"/>
    <w:rsid w:val="00574DDB"/>
    <w:rsid w:val="00575D95"/>
    <w:rsid w:val="00576BA0"/>
    <w:rsid w:val="0057731A"/>
    <w:rsid w:val="00577736"/>
    <w:rsid w:val="005814D8"/>
    <w:rsid w:val="005819CB"/>
    <w:rsid w:val="00582D9B"/>
    <w:rsid w:val="0058348A"/>
    <w:rsid w:val="00586126"/>
    <w:rsid w:val="00590D3D"/>
    <w:rsid w:val="00591F5B"/>
    <w:rsid w:val="00592D8A"/>
    <w:rsid w:val="005957D4"/>
    <w:rsid w:val="00595F44"/>
    <w:rsid w:val="005968E5"/>
    <w:rsid w:val="00596EFC"/>
    <w:rsid w:val="005A06DA"/>
    <w:rsid w:val="005A0F6E"/>
    <w:rsid w:val="005A171C"/>
    <w:rsid w:val="005A1CF2"/>
    <w:rsid w:val="005A22F2"/>
    <w:rsid w:val="005A4A38"/>
    <w:rsid w:val="005A596D"/>
    <w:rsid w:val="005A64FD"/>
    <w:rsid w:val="005A67C1"/>
    <w:rsid w:val="005A6E45"/>
    <w:rsid w:val="005B00E3"/>
    <w:rsid w:val="005B1432"/>
    <w:rsid w:val="005B1E51"/>
    <w:rsid w:val="005B35A6"/>
    <w:rsid w:val="005B627B"/>
    <w:rsid w:val="005B6BFE"/>
    <w:rsid w:val="005B722E"/>
    <w:rsid w:val="005B76BC"/>
    <w:rsid w:val="005B7DB9"/>
    <w:rsid w:val="005B7F07"/>
    <w:rsid w:val="005C010F"/>
    <w:rsid w:val="005C2B94"/>
    <w:rsid w:val="005C706D"/>
    <w:rsid w:val="005C7A3A"/>
    <w:rsid w:val="005D1A0F"/>
    <w:rsid w:val="005D26DD"/>
    <w:rsid w:val="005D32C2"/>
    <w:rsid w:val="005D3603"/>
    <w:rsid w:val="005D5862"/>
    <w:rsid w:val="005D6CD2"/>
    <w:rsid w:val="005E0F2C"/>
    <w:rsid w:val="005E116E"/>
    <w:rsid w:val="005E2B0F"/>
    <w:rsid w:val="005E57E5"/>
    <w:rsid w:val="005E6D26"/>
    <w:rsid w:val="005F097E"/>
    <w:rsid w:val="005F2340"/>
    <w:rsid w:val="005F2E90"/>
    <w:rsid w:val="005F470E"/>
    <w:rsid w:val="005F5406"/>
    <w:rsid w:val="005F7736"/>
    <w:rsid w:val="005F7924"/>
    <w:rsid w:val="005F7A33"/>
    <w:rsid w:val="006002CF"/>
    <w:rsid w:val="00601875"/>
    <w:rsid w:val="00601CA6"/>
    <w:rsid w:val="0060278C"/>
    <w:rsid w:val="00603068"/>
    <w:rsid w:val="00603329"/>
    <w:rsid w:val="006038F7"/>
    <w:rsid w:val="006050E9"/>
    <w:rsid w:val="0060554D"/>
    <w:rsid w:val="00606C68"/>
    <w:rsid w:val="00607746"/>
    <w:rsid w:val="00607FD4"/>
    <w:rsid w:val="00611BF0"/>
    <w:rsid w:val="006151F2"/>
    <w:rsid w:val="006154EF"/>
    <w:rsid w:val="0061743B"/>
    <w:rsid w:val="006178E9"/>
    <w:rsid w:val="0062168A"/>
    <w:rsid w:val="00622CF2"/>
    <w:rsid w:val="00627E0D"/>
    <w:rsid w:val="00630310"/>
    <w:rsid w:val="00630379"/>
    <w:rsid w:val="00631617"/>
    <w:rsid w:val="0063213C"/>
    <w:rsid w:val="0063374A"/>
    <w:rsid w:val="00634317"/>
    <w:rsid w:val="00634D52"/>
    <w:rsid w:val="00635631"/>
    <w:rsid w:val="00635F24"/>
    <w:rsid w:val="00636310"/>
    <w:rsid w:val="00636F9C"/>
    <w:rsid w:val="006376E2"/>
    <w:rsid w:val="0064199B"/>
    <w:rsid w:val="00641EBA"/>
    <w:rsid w:val="00642313"/>
    <w:rsid w:val="00643082"/>
    <w:rsid w:val="00644B89"/>
    <w:rsid w:val="00645861"/>
    <w:rsid w:val="00645898"/>
    <w:rsid w:val="00647275"/>
    <w:rsid w:val="00647B4E"/>
    <w:rsid w:val="00650974"/>
    <w:rsid w:val="00652441"/>
    <w:rsid w:val="00652499"/>
    <w:rsid w:val="006526B6"/>
    <w:rsid w:val="0065362F"/>
    <w:rsid w:val="00653F32"/>
    <w:rsid w:val="00654CFD"/>
    <w:rsid w:val="00654E2E"/>
    <w:rsid w:val="00655E0A"/>
    <w:rsid w:val="00660582"/>
    <w:rsid w:val="00661443"/>
    <w:rsid w:val="00661D73"/>
    <w:rsid w:val="00662BC1"/>
    <w:rsid w:val="00663606"/>
    <w:rsid w:val="006638C0"/>
    <w:rsid w:val="00665DE0"/>
    <w:rsid w:val="006676C2"/>
    <w:rsid w:val="0067273E"/>
    <w:rsid w:val="00672AF2"/>
    <w:rsid w:val="0067419A"/>
    <w:rsid w:val="0067571A"/>
    <w:rsid w:val="00676D94"/>
    <w:rsid w:val="00680E84"/>
    <w:rsid w:val="00681753"/>
    <w:rsid w:val="0068273F"/>
    <w:rsid w:val="006831EF"/>
    <w:rsid w:val="00683CC0"/>
    <w:rsid w:val="006840E8"/>
    <w:rsid w:val="006842A5"/>
    <w:rsid w:val="006845D8"/>
    <w:rsid w:val="00684723"/>
    <w:rsid w:val="006866CE"/>
    <w:rsid w:val="00686B3F"/>
    <w:rsid w:val="00686E43"/>
    <w:rsid w:val="00686E96"/>
    <w:rsid w:val="00691B11"/>
    <w:rsid w:val="00692C1A"/>
    <w:rsid w:val="006931BA"/>
    <w:rsid w:val="006941BC"/>
    <w:rsid w:val="00695CF4"/>
    <w:rsid w:val="00697FBA"/>
    <w:rsid w:val="006A0AAC"/>
    <w:rsid w:val="006A101F"/>
    <w:rsid w:val="006A35A8"/>
    <w:rsid w:val="006A3870"/>
    <w:rsid w:val="006A3E82"/>
    <w:rsid w:val="006B008B"/>
    <w:rsid w:val="006B0F2B"/>
    <w:rsid w:val="006B40BB"/>
    <w:rsid w:val="006B63C3"/>
    <w:rsid w:val="006B683C"/>
    <w:rsid w:val="006B6DD4"/>
    <w:rsid w:val="006B7A4B"/>
    <w:rsid w:val="006B7FF3"/>
    <w:rsid w:val="006C097B"/>
    <w:rsid w:val="006C234A"/>
    <w:rsid w:val="006C2F3F"/>
    <w:rsid w:val="006C373F"/>
    <w:rsid w:val="006C6937"/>
    <w:rsid w:val="006C6C86"/>
    <w:rsid w:val="006C7481"/>
    <w:rsid w:val="006D0026"/>
    <w:rsid w:val="006D29A6"/>
    <w:rsid w:val="006D2F0E"/>
    <w:rsid w:val="006D2F90"/>
    <w:rsid w:val="006D3BEE"/>
    <w:rsid w:val="006D41F3"/>
    <w:rsid w:val="006D48EB"/>
    <w:rsid w:val="006D7DEF"/>
    <w:rsid w:val="006E13F9"/>
    <w:rsid w:val="006E32CA"/>
    <w:rsid w:val="006E4510"/>
    <w:rsid w:val="006E4DEF"/>
    <w:rsid w:val="006E6743"/>
    <w:rsid w:val="006F2C3E"/>
    <w:rsid w:val="006F35C7"/>
    <w:rsid w:val="006F4E9B"/>
    <w:rsid w:val="006F6092"/>
    <w:rsid w:val="006F62BE"/>
    <w:rsid w:val="006F6C48"/>
    <w:rsid w:val="006F7455"/>
    <w:rsid w:val="006F76F9"/>
    <w:rsid w:val="006F776D"/>
    <w:rsid w:val="006F7964"/>
    <w:rsid w:val="006F7A87"/>
    <w:rsid w:val="0070097C"/>
    <w:rsid w:val="00703C35"/>
    <w:rsid w:val="007066DC"/>
    <w:rsid w:val="00706729"/>
    <w:rsid w:val="00711035"/>
    <w:rsid w:val="00711DC7"/>
    <w:rsid w:val="00713177"/>
    <w:rsid w:val="0071429E"/>
    <w:rsid w:val="00714703"/>
    <w:rsid w:val="007160EE"/>
    <w:rsid w:val="0071762F"/>
    <w:rsid w:val="00717BA3"/>
    <w:rsid w:val="007212C7"/>
    <w:rsid w:val="00722920"/>
    <w:rsid w:val="00722A93"/>
    <w:rsid w:val="007261D9"/>
    <w:rsid w:val="007262FF"/>
    <w:rsid w:val="00726ACD"/>
    <w:rsid w:val="00731216"/>
    <w:rsid w:val="00732205"/>
    <w:rsid w:val="0073289D"/>
    <w:rsid w:val="00733A1F"/>
    <w:rsid w:val="00733BA3"/>
    <w:rsid w:val="00736462"/>
    <w:rsid w:val="0073777E"/>
    <w:rsid w:val="0074143B"/>
    <w:rsid w:val="00743189"/>
    <w:rsid w:val="007438CF"/>
    <w:rsid w:val="007450E8"/>
    <w:rsid w:val="00747340"/>
    <w:rsid w:val="00747E89"/>
    <w:rsid w:val="007526F3"/>
    <w:rsid w:val="007568A2"/>
    <w:rsid w:val="00756BD7"/>
    <w:rsid w:val="00756E18"/>
    <w:rsid w:val="007571F6"/>
    <w:rsid w:val="007575C1"/>
    <w:rsid w:val="0075785F"/>
    <w:rsid w:val="00761565"/>
    <w:rsid w:val="00761974"/>
    <w:rsid w:val="007651AC"/>
    <w:rsid w:val="007665D4"/>
    <w:rsid w:val="007670F8"/>
    <w:rsid w:val="007720E4"/>
    <w:rsid w:val="00774003"/>
    <w:rsid w:val="0077705A"/>
    <w:rsid w:val="00780906"/>
    <w:rsid w:val="00781319"/>
    <w:rsid w:val="00782997"/>
    <w:rsid w:val="00783E8C"/>
    <w:rsid w:val="00786A84"/>
    <w:rsid w:val="0078700D"/>
    <w:rsid w:val="00787045"/>
    <w:rsid w:val="0079112C"/>
    <w:rsid w:val="00791733"/>
    <w:rsid w:val="0079266E"/>
    <w:rsid w:val="0079304F"/>
    <w:rsid w:val="007933E3"/>
    <w:rsid w:val="0079534C"/>
    <w:rsid w:val="007959AF"/>
    <w:rsid w:val="00795BE4"/>
    <w:rsid w:val="00797CF6"/>
    <w:rsid w:val="007A25E6"/>
    <w:rsid w:val="007A2F20"/>
    <w:rsid w:val="007A3BD7"/>
    <w:rsid w:val="007A5337"/>
    <w:rsid w:val="007A5CF1"/>
    <w:rsid w:val="007A72EB"/>
    <w:rsid w:val="007A7B1C"/>
    <w:rsid w:val="007B01C5"/>
    <w:rsid w:val="007B052E"/>
    <w:rsid w:val="007B39C3"/>
    <w:rsid w:val="007B4420"/>
    <w:rsid w:val="007B4994"/>
    <w:rsid w:val="007B67DD"/>
    <w:rsid w:val="007C0295"/>
    <w:rsid w:val="007C07C7"/>
    <w:rsid w:val="007C0F0E"/>
    <w:rsid w:val="007C16BD"/>
    <w:rsid w:val="007C18C1"/>
    <w:rsid w:val="007C3EEA"/>
    <w:rsid w:val="007C43EA"/>
    <w:rsid w:val="007C44CC"/>
    <w:rsid w:val="007C4AF7"/>
    <w:rsid w:val="007C4B2C"/>
    <w:rsid w:val="007C673D"/>
    <w:rsid w:val="007C788B"/>
    <w:rsid w:val="007D0D0F"/>
    <w:rsid w:val="007D16AD"/>
    <w:rsid w:val="007D1D90"/>
    <w:rsid w:val="007D2EE5"/>
    <w:rsid w:val="007D457C"/>
    <w:rsid w:val="007E1ED9"/>
    <w:rsid w:val="007E2B63"/>
    <w:rsid w:val="007E41F9"/>
    <w:rsid w:val="007E4565"/>
    <w:rsid w:val="007E4F14"/>
    <w:rsid w:val="007E6976"/>
    <w:rsid w:val="007F246B"/>
    <w:rsid w:val="007F2A1D"/>
    <w:rsid w:val="007F4356"/>
    <w:rsid w:val="007F53D4"/>
    <w:rsid w:val="007F571E"/>
    <w:rsid w:val="007F716D"/>
    <w:rsid w:val="007F75BF"/>
    <w:rsid w:val="0080002A"/>
    <w:rsid w:val="00802704"/>
    <w:rsid w:val="00802716"/>
    <w:rsid w:val="00806549"/>
    <w:rsid w:val="00811E18"/>
    <w:rsid w:val="008125AD"/>
    <w:rsid w:val="00813C34"/>
    <w:rsid w:val="00815430"/>
    <w:rsid w:val="00823DDC"/>
    <w:rsid w:val="00824167"/>
    <w:rsid w:val="008257C5"/>
    <w:rsid w:val="00825859"/>
    <w:rsid w:val="00826E1F"/>
    <w:rsid w:val="00826FA0"/>
    <w:rsid w:val="008314A0"/>
    <w:rsid w:val="00835E4F"/>
    <w:rsid w:val="00836650"/>
    <w:rsid w:val="00840722"/>
    <w:rsid w:val="00841116"/>
    <w:rsid w:val="0084245D"/>
    <w:rsid w:val="00842B74"/>
    <w:rsid w:val="00843E16"/>
    <w:rsid w:val="008441E1"/>
    <w:rsid w:val="00845C53"/>
    <w:rsid w:val="008461BB"/>
    <w:rsid w:val="008470E4"/>
    <w:rsid w:val="00847480"/>
    <w:rsid w:val="0085024C"/>
    <w:rsid w:val="00850A27"/>
    <w:rsid w:val="00851434"/>
    <w:rsid w:val="00855862"/>
    <w:rsid w:val="00856813"/>
    <w:rsid w:val="00857109"/>
    <w:rsid w:val="00857714"/>
    <w:rsid w:val="0086033F"/>
    <w:rsid w:val="008631D7"/>
    <w:rsid w:val="008665B5"/>
    <w:rsid w:val="00866782"/>
    <w:rsid w:val="00866E5B"/>
    <w:rsid w:val="0086714D"/>
    <w:rsid w:val="008702B6"/>
    <w:rsid w:val="00872302"/>
    <w:rsid w:val="008727C7"/>
    <w:rsid w:val="00872BAB"/>
    <w:rsid w:val="00872D60"/>
    <w:rsid w:val="00874C10"/>
    <w:rsid w:val="008769E5"/>
    <w:rsid w:val="0088068A"/>
    <w:rsid w:val="00880F40"/>
    <w:rsid w:val="00880F45"/>
    <w:rsid w:val="008821B5"/>
    <w:rsid w:val="00882299"/>
    <w:rsid w:val="00884AC8"/>
    <w:rsid w:val="00887A25"/>
    <w:rsid w:val="00890236"/>
    <w:rsid w:val="008904CA"/>
    <w:rsid w:val="00890771"/>
    <w:rsid w:val="00891137"/>
    <w:rsid w:val="008914E2"/>
    <w:rsid w:val="00891B0F"/>
    <w:rsid w:val="00897C63"/>
    <w:rsid w:val="00897CAF"/>
    <w:rsid w:val="008A18B8"/>
    <w:rsid w:val="008A32B2"/>
    <w:rsid w:val="008A39B6"/>
    <w:rsid w:val="008A56B0"/>
    <w:rsid w:val="008A717B"/>
    <w:rsid w:val="008A7B2A"/>
    <w:rsid w:val="008B1120"/>
    <w:rsid w:val="008B248F"/>
    <w:rsid w:val="008B28DA"/>
    <w:rsid w:val="008B2DA2"/>
    <w:rsid w:val="008B3388"/>
    <w:rsid w:val="008B4774"/>
    <w:rsid w:val="008B6F20"/>
    <w:rsid w:val="008C0BDD"/>
    <w:rsid w:val="008C1E56"/>
    <w:rsid w:val="008C3336"/>
    <w:rsid w:val="008C352F"/>
    <w:rsid w:val="008C53A1"/>
    <w:rsid w:val="008D19AB"/>
    <w:rsid w:val="008D2149"/>
    <w:rsid w:val="008D3228"/>
    <w:rsid w:val="008D360C"/>
    <w:rsid w:val="008D40C5"/>
    <w:rsid w:val="008D45A4"/>
    <w:rsid w:val="008D488F"/>
    <w:rsid w:val="008D5138"/>
    <w:rsid w:val="008D5D32"/>
    <w:rsid w:val="008D5E55"/>
    <w:rsid w:val="008D73BC"/>
    <w:rsid w:val="008D7748"/>
    <w:rsid w:val="008E025D"/>
    <w:rsid w:val="008E0F0D"/>
    <w:rsid w:val="008E2544"/>
    <w:rsid w:val="008E2FF1"/>
    <w:rsid w:val="008E480E"/>
    <w:rsid w:val="008E5477"/>
    <w:rsid w:val="008E580E"/>
    <w:rsid w:val="008E6671"/>
    <w:rsid w:val="008E749F"/>
    <w:rsid w:val="008E7EB2"/>
    <w:rsid w:val="008F0053"/>
    <w:rsid w:val="008F01B3"/>
    <w:rsid w:val="008F1853"/>
    <w:rsid w:val="008F1BF1"/>
    <w:rsid w:val="008F26F5"/>
    <w:rsid w:val="008F4145"/>
    <w:rsid w:val="008F43D1"/>
    <w:rsid w:val="008F5027"/>
    <w:rsid w:val="008F5717"/>
    <w:rsid w:val="008F6AB3"/>
    <w:rsid w:val="00901A16"/>
    <w:rsid w:val="00902082"/>
    <w:rsid w:val="0090291E"/>
    <w:rsid w:val="00903AA6"/>
    <w:rsid w:val="00903EDA"/>
    <w:rsid w:val="00905D4F"/>
    <w:rsid w:val="009063BB"/>
    <w:rsid w:val="00907802"/>
    <w:rsid w:val="00907A90"/>
    <w:rsid w:val="009112B9"/>
    <w:rsid w:val="00912A7C"/>
    <w:rsid w:val="00915E72"/>
    <w:rsid w:val="00916062"/>
    <w:rsid w:val="00920252"/>
    <w:rsid w:val="00921AC7"/>
    <w:rsid w:val="00921EB0"/>
    <w:rsid w:val="00922016"/>
    <w:rsid w:val="009230EF"/>
    <w:rsid w:val="00923BB8"/>
    <w:rsid w:val="009259CD"/>
    <w:rsid w:val="009268C2"/>
    <w:rsid w:val="00931673"/>
    <w:rsid w:val="00932424"/>
    <w:rsid w:val="00934BDD"/>
    <w:rsid w:val="00935D03"/>
    <w:rsid w:val="00936085"/>
    <w:rsid w:val="0093634D"/>
    <w:rsid w:val="00943220"/>
    <w:rsid w:val="0094650A"/>
    <w:rsid w:val="009472FC"/>
    <w:rsid w:val="00951E19"/>
    <w:rsid w:val="00954946"/>
    <w:rsid w:val="00954E9E"/>
    <w:rsid w:val="00954EB1"/>
    <w:rsid w:val="00955846"/>
    <w:rsid w:val="00955D55"/>
    <w:rsid w:val="009560C3"/>
    <w:rsid w:val="0095633B"/>
    <w:rsid w:val="0095696C"/>
    <w:rsid w:val="009575DC"/>
    <w:rsid w:val="0095761D"/>
    <w:rsid w:val="00957845"/>
    <w:rsid w:val="00962BD3"/>
    <w:rsid w:val="00963570"/>
    <w:rsid w:val="00964637"/>
    <w:rsid w:val="00965468"/>
    <w:rsid w:val="0096564E"/>
    <w:rsid w:val="0097611D"/>
    <w:rsid w:val="0097625D"/>
    <w:rsid w:val="009800D0"/>
    <w:rsid w:val="00980397"/>
    <w:rsid w:val="009808DE"/>
    <w:rsid w:val="00981429"/>
    <w:rsid w:val="009816AF"/>
    <w:rsid w:val="0099066D"/>
    <w:rsid w:val="009906B2"/>
    <w:rsid w:val="00990D01"/>
    <w:rsid w:val="00991F03"/>
    <w:rsid w:val="00993BA2"/>
    <w:rsid w:val="00995DA7"/>
    <w:rsid w:val="009972AE"/>
    <w:rsid w:val="009A014C"/>
    <w:rsid w:val="009A10FA"/>
    <w:rsid w:val="009A3427"/>
    <w:rsid w:val="009A4962"/>
    <w:rsid w:val="009A54B8"/>
    <w:rsid w:val="009B0633"/>
    <w:rsid w:val="009B1410"/>
    <w:rsid w:val="009B148E"/>
    <w:rsid w:val="009B1CEE"/>
    <w:rsid w:val="009B2989"/>
    <w:rsid w:val="009B4DD0"/>
    <w:rsid w:val="009B61B1"/>
    <w:rsid w:val="009C3609"/>
    <w:rsid w:val="009C3DA8"/>
    <w:rsid w:val="009C5871"/>
    <w:rsid w:val="009C6A62"/>
    <w:rsid w:val="009C71F4"/>
    <w:rsid w:val="009D15F1"/>
    <w:rsid w:val="009D2A2E"/>
    <w:rsid w:val="009D2B33"/>
    <w:rsid w:val="009D2F9E"/>
    <w:rsid w:val="009E0083"/>
    <w:rsid w:val="009E0CBE"/>
    <w:rsid w:val="009E209D"/>
    <w:rsid w:val="009E222A"/>
    <w:rsid w:val="009E52B7"/>
    <w:rsid w:val="009E7265"/>
    <w:rsid w:val="009E762E"/>
    <w:rsid w:val="009E78F8"/>
    <w:rsid w:val="009F042E"/>
    <w:rsid w:val="009F0594"/>
    <w:rsid w:val="009F27C6"/>
    <w:rsid w:val="009F3B12"/>
    <w:rsid w:val="009F4CB1"/>
    <w:rsid w:val="009F72C2"/>
    <w:rsid w:val="009F7365"/>
    <w:rsid w:val="009F7810"/>
    <w:rsid w:val="00A00739"/>
    <w:rsid w:val="00A03AC4"/>
    <w:rsid w:val="00A049A3"/>
    <w:rsid w:val="00A04E48"/>
    <w:rsid w:val="00A055B2"/>
    <w:rsid w:val="00A05868"/>
    <w:rsid w:val="00A05CC7"/>
    <w:rsid w:val="00A06A9B"/>
    <w:rsid w:val="00A072B6"/>
    <w:rsid w:val="00A07541"/>
    <w:rsid w:val="00A11AAB"/>
    <w:rsid w:val="00A12BBE"/>
    <w:rsid w:val="00A16A92"/>
    <w:rsid w:val="00A16D96"/>
    <w:rsid w:val="00A204C7"/>
    <w:rsid w:val="00A20665"/>
    <w:rsid w:val="00A23681"/>
    <w:rsid w:val="00A25616"/>
    <w:rsid w:val="00A25DE7"/>
    <w:rsid w:val="00A27AAD"/>
    <w:rsid w:val="00A3064D"/>
    <w:rsid w:val="00A3383D"/>
    <w:rsid w:val="00A345B5"/>
    <w:rsid w:val="00A35DB6"/>
    <w:rsid w:val="00A40250"/>
    <w:rsid w:val="00A40D99"/>
    <w:rsid w:val="00A42A2E"/>
    <w:rsid w:val="00A42AA7"/>
    <w:rsid w:val="00A42BEE"/>
    <w:rsid w:val="00A44DA2"/>
    <w:rsid w:val="00A4592C"/>
    <w:rsid w:val="00A461F9"/>
    <w:rsid w:val="00A4653D"/>
    <w:rsid w:val="00A502ED"/>
    <w:rsid w:val="00A53EC6"/>
    <w:rsid w:val="00A55A92"/>
    <w:rsid w:val="00A55CF3"/>
    <w:rsid w:val="00A57E68"/>
    <w:rsid w:val="00A60009"/>
    <w:rsid w:val="00A60D53"/>
    <w:rsid w:val="00A62C78"/>
    <w:rsid w:val="00A66A08"/>
    <w:rsid w:val="00A67F38"/>
    <w:rsid w:val="00A71159"/>
    <w:rsid w:val="00A71418"/>
    <w:rsid w:val="00A714D4"/>
    <w:rsid w:val="00A71ECD"/>
    <w:rsid w:val="00A721BE"/>
    <w:rsid w:val="00A723AD"/>
    <w:rsid w:val="00A73864"/>
    <w:rsid w:val="00A73A7B"/>
    <w:rsid w:val="00A7450E"/>
    <w:rsid w:val="00A75B0C"/>
    <w:rsid w:val="00A75E09"/>
    <w:rsid w:val="00A80B66"/>
    <w:rsid w:val="00A81236"/>
    <w:rsid w:val="00A83C65"/>
    <w:rsid w:val="00A850F9"/>
    <w:rsid w:val="00A85B64"/>
    <w:rsid w:val="00A87E52"/>
    <w:rsid w:val="00A928A4"/>
    <w:rsid w:val="00A92A33"/>
    <w:rsid w:val="00A92ABE"/>
    <w:rsid w:val="00A92C65"/>
    <w:rsid w:val="00A92D10"/>
    <w:rsid w:val="00A92F0E"/>
    <w:rsid w:val="00A93B0D"/>
    <w:rsid w:val="00A943AF"/>
    <w:rsid w:val="00A951D5"/>
    <w:rsid w:val="00AA01E0"/>
    <w:rsid w:val="00AA4E5B"/>
    <w:rsid w:val="00AA6470"/>
    <w:rsid w:val="00AA6596"/>
    <w:rsid w:val="00AA68B1"/>
    <w:rsid w:val="00AA76BE"/>
    <w:rsid w:val="00AB0043"/>
    <w:rsid w:val="00AB050E"/>
    <w:rsid w:val="00AB058C"/>
    <w:rsid w:val="00AB09BF"/>
    <w:rsid w:val="00AB1108"/>
    <w:rsid w:val="00AB4CB4"/>
    <w:rsid w:val="00AB5672"/>
    <w:rsid w:val="00AC1F67"/>
    <w:rsid w:val="00AC2790"/>
    <w:rsid w:val="00AC317D"/>
    <w:rsid w:val="00AC3785"/>
    <w:rsid w:val="00AC3BCF"/>
    <w:rsid w:val="00AC4406"/>
    <w:rsid w:val="00AC577A"/>
    <w:rsid w:val="00AC68C9"/>
    <w:rsid w:val="00AC7F24"/>
    <w:rsid w:val="00AC7FA3"/>
    <w:rsid w:val="00AD04D0"/>
    <w:rsid w:val="00AD26C0"/>
    <w:rsid w:val="00AD3359"/>
    <w:rsid w:val="00AD57CF"/>
    <w:rsid w:val="00AD6E2C"/>
    <w:rsid w:val="00AD74B7"/>
    <w:rsid w:val="00AD753B"/>
    <w:rsid w:val="00AE0F80"/>
    <w:rsid w:val="00AE2282"/>
    <w:rsid w:val="00AE2ABA"/>
    <w:rsid w:val="00AE30F8"/>
    <w:rsid w:val="00AE341C"/>
    <w:rsid w:val="00AE3BEF"/>
    <w:rsid w:val="00AE5752"/>
    <w:rsid w:val="00AE5A6F"/>
    <w:rsid w:val="00AF0E43"/>
    <w:rsid w:val="00AF2C75"/>
    <w:rsid w:val="00AF3216"/>
    <w:rsid w:val="00AF5422"/>
    <w:rsid w:val="00AF615A"/>
    <w:rsid w:val="00AF74B3"/>
    <w:rsid w:val="00AF74FB"/>
    <w:rsid w:val="00B02037"/>
    <w:rsid w:val="00B02438"/>
    <w:rsid w:val="00B02831"/>
    <w:rsid w:val="00B03010"/>
    <w:rsid w:val="00B04E4F"/>
    <w:rsid w:val="00B052CB"/>
    <w:rsid w:val="00B06AF3"/>
    <w:rsid w:val="00B06D3E"/>
    <w:rsid w:val="00B07935"/>
    <w:rsid w:val="00B10644"/>
    <w:rsid w:val="00B10DFD"/>
    <w:rsid w:val="00B1145B"/>
    <w:rsid w:val="00B132F3"/>
    <w:rsid w:val="00B136FB"/>
    <w:rsid w:val="00B150C9"/>
    <w:rsid w:val="00B15D4C"/>
    <w:rsid w:val="00B16A21"/>
    <w:rsid w:val="00B20F1C"/>
    <w:rsid w:val="00B217FC"/>
    <w:rsid w:val="00B21F1A"/>
    <w:rsid w:val="00B231C9"/>
    <w:rsid w:val="00B2337D"/>
    <w:rsid w:val="00B24C5A"/>
    <w:rsid w:val="00B24D19"/>
    <w:rsid w:val="00B253C6"/>
    <w:rsid w:val="00B270F8"/>
    <w:rsid w:val="00B2756E"/>
    <w:rsid w:val="00B31542"/>
    <w:rsid w:val="00B349D8"/>
    <w:rsid w:val="00B35BF4"/>
    <w:rsid w:val="00B36006"/>
    <w:rsid w:val="00B36642"/>
    <w:rsid w:val="00B40E18"/>
    <w:rsid w:val="00B41B2A"/>
    <w:rsid w:val="00B41BE0"/>
    <w:rsid w:val="00B42571"/>
    <w:rsid w:val="00B42DF6"/>
    <w:rsid w:val="00B447E9"/>
    <w:rsid w:val="00B45F7C"/>
    <w:rsid w:val="00B50792"/>
    <w:rsid w:val="00B507A2"/>
    <w:rsid w:val="00B51B8B"/>
    <w:rsid w:val="00B53B90"/>
    <w:rsid w:val="00B605BC"/>
    <w:rsid w:val="00B621E2"/>
    <w:rsid w:val="00B65612"/>
    <w:rsid w:val="00B65620"/>
    <w:rsid w:val="00B66FF7"/>
    <w:rsid w:val="00B67928"/>
    <w:rsid w:val="00B70D8F"/>
    <w:rsid w:val="00B70E76"/>
    <w:rsid w:val="00B73567"/>
    <w:rsid w:val="00B744D1"/>
    <w:rsid w:val="00B747E3"/>
    <w:rsid w:val="00B75217"/>
    <w:rsid w:val="00B76527"/>
    <w:rsid w:val="00B8047E"/>
    <w:rsid w:val="00B8091D"/>
    <w:rsid w:val="00B8121C"/>
    <w:rsid w:val="00B81B36"/>
    <w:rsid w:val="00B829DF"/>
    <w:rsid w:val="00B82B5E"/>
    <w:rsid w:val="00B83314"/>
    <w:rsid w:val="00B8376B"/>
    <w:rsid w:val="00B84125"/>
    <w:rsid w:val="00B84ACE"/>
    <w:rsid w:val="00B85AD0"/>
    <w:rsid w:val="00B86F6D"/>
    <w:rsid w:val="00B87243"/>
    <w:rsid w:val="00B872B3"/>
    <w:rsid w:val="00B879D6"/>
    <w:rsid w:val="00B90DEC"/>
    <w:rsid w:val="00B9175A"/>
    <w:rsid w:val="00B93988"/>
    <w:rsid w:val="00B93B2B"/>
    <w:rsid w:val="00B94023"/>
    <w:rsid w:val="00B94532"/>
    <w:rsid w:val="00B9508B"/>
    <w:rsid w:val="00B9522B"/>
    <w:rsid w:val="00B95444"/>
    <w:rsid w:val="00B96AD2"/>
    <w:rsid w:val="00BA05C7"/>
    <w:rsid w:val="00BA0E8B"/>
    <w:rsid w:val="00BA12A3"/>
    <w:rsid w:val="00BA205E"/>
    <w:rsid w:val="00BA322B"/>
    <w:rsid w:val="00BA458B"/>
    <w:rsid w:val="00BA50B3"/>
    <w:rsid w:val="00BA7116"/>
    <w:rsid w:val="00BB25CD"/>
    <w:rsid w:val="00BB2A3B"/>
    <w:rsid w:val="00BB4357"/>
    <w:rsid w:val="00BB64EE"/>
    <w:rsid w:val="00BB675B"/>
    <w:rsid w:val="00BB766F"/>
    <w:rsid w:val="00BC0DBC"/>
    <w:rsid w:val="00BC1780"/>
    <w:rsid w:val="00BC351C"/>
    <w:rsid w:val="00BC4541"/>
    <w:rsid w:val="00BC47D3"/>
    <w:rsid w:val="00BC4BFF"/>
    <w:rsid w:val="00BC669C"/>
    <w:rsid w:val="00BC7828"/>
    <w:rsid w:val="00BD0334"/>
    <w:rsid w:val="00BD0524"/>
    <w:rsid w:val="00BD51B7"/>
    <w:rsid w:val="00BD5736"/>
    <w:rsid w:val="00BD6E1E"/>
    <w:rsid w:val="00BD7FD2"/>
    <w:rsid w:val="00BE0276"/>
    <w:rsid w:val="00BE146C"/>
    <w:rsid w:val="00BE15C5"/>
    <w:rsid w:val="00BE2E9F"/>
    <w:rsid w:val="00BE3102"/>
    <w:rsid w:val="00BE3540"/>
    <w:rsid w:val="00BE35FD"/>
    <w:rsid w:val="00BE4164"/>
    <w:rsid w:val="00BE63BE"/>
    <w:rsid w:val="00BE642F"/>
    <w:rsid w:val="00BF3025"/>
    <w:rsid w:val="00BF3624"/>
    <w:rsid w:val="00BF6758"/>
    <w:rsid w:val="00BF69F9"/>
    <w:rsid w:val="00BF6CFD"/>
    <w:rsid w:val="00C01841"/>
    <w:rsid w:val="00C02174"/>
    <w:rsid w:val="00C02D8B"/>
    <w:rsid w:val="00C0381F"/>
    <w:rsid w:val="00C03CBE"/>
    <w:rsid w:val="00C0431C"/>
    <w:rsid w:val="00C052CE"/>
    <w:rsid w:val="00C12097"/>
    <w:rsid w:val="00C12555"/>
    <w:rsid w:val="00C127F5"/>
    <w:rsid w:val="00C13A59"/>
    <w:rsid w:val="00C14452"/>
    <w:rsid w:val="00C158E8"/>
    <w:rsid w:val="00C15AE6"/>
    <w:rsid w:val="00C16B45"/>
    <w:rsid w:val="00C20715"/>
    <w:rsid w:val="00C2089C"/>
    <w:rsid w:val="00C2237F"/>
    <w:rsid w:val="00C22A11"/>
    <w:rsid w:val="00C25C71"/>
    <w:rsid w:val="00C30A44"/>
    <w:rsid w:val="00C35E65"/>
    <w:rsid w:val="00C372F8"/>
    <w:rsid w:val="00C3749C"/>
    <w:rsid w:val="00C40498"/>
    <w:rsid w:val="00C4138F"/>
    <w:rsid w:val="00C41994"/>
    <w:rsid w:val="00C425B4"/>
    <w:rsid w:val="00C42EC6"/>
    <w:rsid w:val="00C43759"/>
    <w:rsid w:val="00C457D7"/>
    <w:rsid w:val="00C4652F"/>
    <w:rsid w:val="00C469A4"/>
    <w:rsid w:val="00C5063D"/>
    <w:rsid w:val="00C51921"/>
    <w:rsid w:val="00C51D77"/>
    <w:rsid w:val="00C54557"/>
    <w:rsid w:val="00C55967"/>
    <w:rsid w:val="00C5731A"/>
    <w:rsid w:val="00C57476"/>
    <w:rsid w:val="00C60595"/>
    <w:rsid w:val="00C6196A"/>
    <w:rsid w:val="00C627B4"/>
    <w:rsid w:val="00C635DF"/>
    <w:rsid w:val="00C65E0F"/>
    <w:rsid w:val="00C666BF"/>
    <w:rsid w:val="00C66BA3"/>
    <w:rsid w:val="00C679D4"/>
    <w:rsid w:val="00C7099D"/>
    <w:rsid w:val="00C71B32"/>
    <w:rsid w:val="00C747D6"/>
    <w:rsid w:val="00C74DF9"/>
    <w:rsid w:val="00C75DDB"/>
    <w:rsid w:val="00C77721"/>
    <w:rsid w:val="00C80294"/>
    <w:rsid w:val="00C813E1"/>
    <w:rsid w:val="00C82F1F"/>
    <w:rsid w:val="00C85659"/>
    <w:rsid w:val="00C863DB"/>
    <w:rsid w:val="00C86EA0"/>
    <w:rsid w:val="00C9114D"/>
    <w:rsid w:val="00C91EE2"/>
    <w:rsid w:val="00C925B9"/>
    <w:rsid w:val="00C92CF3"/>
    <w:rsid w:val="00C9430A"/>
    <w:rsid w:val="00C94338"/>
    <w:rsid w:val="00C9495C"/>
    <w:rsid w:val="00C95A52"/>
    <w:rsid w:val="00C961CC"/>
    <w:rsid w:val="00C964F5"/>
    <w:rsid w:val="00C96CBA"/>
    <w:rsid w:val="00CA01B1"/>
    <w:rsid w:val="00CA0DF7"/>
    <w:rsid w:val="00CA0EDC"/>
    <w:rsid w:val="00CA3EB5"/>
    <w:rsid w:val="00CA4DCF"/>
    <w:rsid w:val="00CA519C"/>
    <w:rsid w:val="00CA5A88"/>
    <w:rsid w:val="00CA6EDD"/>
    <w:rsid w:val="00CB15C3"/>
    <w:rsid w:val="00CB1692"/>
    <w:rsid w:val="00CB1765"/>
    <w:rsid w:val="00CB2D9C"/>
    <w:rsid w:val="00CB393C"/>
    <w:rsid w:val="00CB409C"/>
    <w:rsid w:val="00CB415E"/>
    <w:rsid w:val="00CB4A1E"/>
    <w:rsid w:val="00CB5AFA"/>
    <w:rsid w:val="00CB7D55"/>
    <w:rsid w:val="00CB7F99"/>
    <w:rsid w:val="00CC3941"/>
    <w:rsid w:val="00CC3CE7"/>
    <w:rsid w:val="00CC4480"/>
    <w:rsid w:val="00CC4C34"/>
    <w:rsid w:val="00CC64D7"/>
    <w:rsid w:val="00CC693F"/>
    <w:rsid w:val="00CC70F1"/>
    <w:rsid w:val="00CC753C"/>
    <w:rsid w:val="00CC7C1D"/>
    <w:rsid w:val="00CD0B80"/>
    <w:rsid w:val="00CD1BF9"/>
    <w:rsid w:val="00CD3BF1"/>
    <w:rsid w:val="00CD449E"/>
    <w:rsid w:val="00CD530F"/>
    <w:rsid w:val="00CD5E5C"/>
    <w:rsid w:val="00CD735C"/>
    <w:rsid w:val="00CD75E6"/>
    <w:rsid w:val="00CE02B6"/>
    <w:rsid w:val="00CE13DE"/>
    <w:rsid w:val="00CE3467"/>
    <w:rsid w:val="00CE376D"/>
    <w:rsid w:val="00CE4972"/>
    <w:rsid w:val="00CE4A20"/>
    <w:rsid w:val="00CE5A6B"/>
    <w:rsid w:val="00CE5F5D"/>
    <w:rsid w:val="00CF04DD"/>
    <w:rsid w:val="00CF1197"/>
    <w:rsid w:val="00CF17AC"/>
    <w:rsid w:val="00CF17E4"/>
    <w:rsid w:val="00CF25E3"/>
    <w:rsid w:val="00CF37B9"/>
    <w:rsid w:val="00CF3A8B"/>
    <w:rsid w:val="00CF3AE4"/>
    <w:rsid w:val="00CF48C4"/>
    <w:rsid w:val="00CF4DED"/>
    <w:rsid w:val="00CF5954"/>
    <w:rsid w:val="00CF61FD"/>
    <w:rsid w:val="00CF629A"/>
    <w:rsid w:val="00CF6592"/>
    <w:rsid w:val="00D013E7"/>
    <w:rsid w:val="00D01C17"/>
    <w:rsid w:val="00D023C2"/>
    <w:rsid w:val="00D036E8"/>
    <w:rsid w:val="00D03CA6"/>
    <w:rsid w:val="00D04A43"/>
    <w:rsid w:val="00D11803"/>
    <w:rsid w:val="00D1270B"/>
    <w:rsid w:val="00D12820"/>
    <w:rsid w:val="00D12E4C"/>
    <w:rsid w:val="00D1527E"/>
    <w:rsid w:val="00D155CA"/>
    <w:rsid w:val="00D16AE0"/>
    <w:rsid w:val="00D16EEB"/>
    <w:rsid w:val="00D177A1"/>
    <w:rsid w:val="00D21BA8"/>
    <w:rsid w:val="00D224E6"/>
    <w:rsid w:val="00D23681"/>
    <w:rsid w:val="00D2438D"/>
    <w:rsid w:val="00D255A8"/>
    <w:rsid w:val="00D32C35"/>
    <w:rsid w:val="00D330A5"/>
    <w:rsid w:val="00D33E40"/>
    <w:rsid w:val="00D34C09"/>
    <w:rsid w:val="00D363CD"/>
    <w:rsid w:val="00D40376"/>
    <w:rsid w:val="00D416D0"/>
    <w:rsid w:val="00D42D8F"/>
    <w:rsid w:val="00D43704"/>
    <w:rsid w:val="00D456FE"/>
    <w:rsid w:val="00D46707"/>
    <w:rsid w:val="00D46BAD"/>
    <w:rsid w:val="00D46BCD"/>
    <w:rsid w:val="00D46F06"/>
    <w:rsid w:val="00D47AEB"/>
    <w:rsid w:val="00D50463"/>
    <w:rsid w:val="00D50985"/>
    <w:rsid w:val="00D50D56"/>
    <w:rsid w:val="00D527A0"/>
    <w:rsid w:val="00D52A9D"/>
    <w:rsid w:val="00D53127"/>
    <w:rsid w:val="00D533B5"/>
    <w:rsid w:val="00D535A1"/>
    <w:rsid w:val="00D5370A"/>
    <w:rsid w:val="00D544A3"/>
    <w:rsid w:val="00D5474A"/>
    <w:rsid w:val="00D556A4"/>
    <w:rsid w:val="00D558D7"/>
    <w:rsid w:val="00D57540"/>
    <w:rsid w:val="00D60A9E"/>
    <w:rsid w:val="00D62B6C"/>
    <w:rsid w:val="00D660D7"/>
    <w:rsid w:val="00D66558"/>
    <w:rsid w:val="00D669D0"/>
    <w:rsid w:val="00D669F2"/>
    <w:rsid w:val="00D66F98"/>
    <w:rsid w:val="00D67369"/>
    <w:rsid w:val="00D67D3C"/>
    <w:rsid w:val="00D71E23"/>
    <w:rsid w:val="00D71F10"/>
    <w:rsid w:val="00D721A6"/>
    <w:rsid w:val="00D73DC2"/>
    <w:rsid w:val="00D74445"/>
    <w:rsid w:val="00D74864"/>
    <w:rsid w:val="00D74B53"/>
    <w:rsid w:val="00D74DB3"/>
    <w:rsid w:val="00D7505B"/>
    <w:rsid w:val="00D75C5C"/>
    <w:rsid w:val="00D80545"/>
    <w:rsid w:val="00D80D6B"/>
    <w:rsid w:val="00D80F40"/>
    <w:rsid w:val="00D814DF"/>
    <w:rsid w:val="00D81EA4"/>
    <w:rsid w:val="00D8244F"/>
    <w:rsid w:val="00D82DFC"/>
    <w:rsid w:val="00D84AEF"/>
    <w:rsid w:val="00D86302"/>
    <w:rsid w:val="00D86E90"/>
    <w:rsid w:val="00D87258"/>
    <w:rsid w:val="00D87E15"/>
    <w:rsid w:val="00D914AF"/>
    <w:rsid w:val="00D91EF9"/>
    <w:rsid w:val="00D92C85"/>
    <w:rsid w:val="00D9427B"/>
    <w:rsid w:val="00D95C7E"/>
    <w:rsid w:val="00D9620E"/>
    <w:rsid w:val="00D968EA"/>
    <w:rsid w:val="00D96DD5"/>
    <w:rsid w:val="00D970F8"/>
    <w:rsid w:val="00DA1633"/>
    <w:rsid w:val="00DA4C86"/>
    <w:rsid w:val="00DA5CB9"/>
    <w:rsid w:val="00DA68A1"/>
    <w:rsid w:val="00DA6C61"/>
    <w:rsid w:val="00DA6CDD"/>
    <w:rsid w:val="00DA76A3"/>
    <w:rsid w:val="00DB16AC"/>
    <w:rsid w:val="00DB1C3E"/>
    <w:rsid w:val="00DB390F"/>
    <w:rsid w:val="00DB53B7"/>
    <w:rsid w:val="00DB609B"/>
    <w:rsid w:val="00DB63A5"/>
    <w:rsid w:val="00DB7A83"/>
    <w:rsid w:val="00DB7D0C"/>
    <w:rsid w:val="00DC2D74"/>
    <w:rsid w:val="00DC49DA"/>
    <w:rsid w:val="00DC4FB6"/>
    <w:rsid w:val="00DC7E10"/>
    <w:rsid w:val="00DD31C5"/>
    <w:rsid w:val="00DD44E9"/>
    <w:rsid w:val="00DD596A"/>
    <w:rsid w:val="00DE1577"/>
    <w:rsid w:val="00DE24A4"/>
    <w:rsid w:val="00DE28C5"/>
    <w:rsid w:val="00DE4448"/>
    <w:rsid w:val="00DE4EAA"/>
    <w:rsid w:val="00DE5A47"/>
    <w:rsid w:val="00DE781A"/>
    <w:rsid w:val="00DF21C4"/>
    <w:rsid w:val="00DF246B"/>
    <w:rsid w:val="00DF2FF1"/>
    <w:rsid w:val="00DF320B"/>
    <w:rsid w:val="00DF385E"/>
    <w:rsid w:val="00DF4099"/>
    <w:rsid w:val="00DF4CDE"/>
    <w:rsid w:val="00DF52D7"/>
    <w:rsid w:val="00DF7A8E"/>
    <w:rsid w:val="00DF7D3E"/>
    <w:rsid w:val="00E00DC0"/>
    <w:rsid w:val="00E0495B"/>
    <w:rsid w:val="00E0524B"/>
    <w:rsid w:val="00E06AE2"/>
    <w:rsid w:val="00E073C7"/>
    <w:rsid w:val="00E07D47"/>
    <w:rsid w:val="00E07F00"/>
    <w:rsid w:val="00E10D58"/>
    <w:rsid w:val="00E1173D"/>
    <w:rsid w:val="00E12D06"/>
    <w:rsid w:val="00E1536E"/>
    <w:rsid w:val="00E157A9"/>
    <w:rsid w:val="00E16138"/>
    <w:rsid w:val="00E16B4B"/>
    <w:rsid w:val="00E17487"/>
    <w:rsid w:val="00E17593"/>
    <w:rsid w:val="00E20859"/>
    <w:rsid w:val="00E20D03"/>
    <w:rsid w:val="00E20FCC"/>
    <w:rsid w:val="00E213FB"/>
    <w:rsid w:val="00E254E1"/>
    <w:rsid w:val="00E25D8F"/>
    <w:rsid w:val="00E27CBE"/>
    <w:rsid w:val="00E304BE"/>
    <w:rsid w:val="00E307A1"/>
    <w:rsid w:val="00E30A4C"/>
    <w:rsid w:val="00E30D71"/>
    <w:rsid w:val="00E31515"/>
    <w:rsid w:val="00E31FB6"/>
    <w:rsid w:val="00E34513"/>
    <w:rsid w:val="00E34A0D"/>
    <w:rsid w:val="00E34B96"/>
    <w:rsid w:val="00E34F1B"/>
    <w:rsid w:val="00E34F8B"/>
    <w:rsid w:val="00E35DDE"/>
    <w:rsid w:val="00E36F4A"/>
    <w:rsid w:val="00E40C0F"/>
    <w:rsid w:val="00E40E58"/>
    <w:rsid w:val="00E410E8"/>
    <w:rsid w:val="00E41197"/>
    <w:rsid w:val="00E41394"/>
    <w:rsid w:val="00E41720"/>
    <w:rsid w:val="00E4429A"/>
    <w:rsid w:val="00E460F7"/>
    <w:rsid w:val="00E46955"/>
    <w:rsid w:val="00E50C17"/>
    <w:rsid w:val="00E5117E"/>
    <w:rsid w:val="00E51EE5"/>
    <w:rsid w:val="00E52396"/>
    <w:rsid w:val="00E52F88"/>
    <w:rsid w:val="00E53D8D"/>
    <w:rsid w:val="00E548C5"/>
    <w:rsid w:val="00E563D2"/>
    <w:rsid w:val="00E5643E"/>
    <w:rsid w:val="00E564F9"/>
    <w:rsid w:val="00E57F16"/>
    <w:rsid w:val="00E6154F"/>
    <w:rsid w:val="00E6210C"/>
    <w:rsid w:val="00E64DEA"/>
    <w:rsid w:val="00E64F5B"/>
    <w:rsid w:val="00E656DB"/>
    <w:rsid w:val="00E70F2F"/>
    <w:rsid w:val="00E73240"/>
    <w:rsid w:val="00E73624"/>
    <w:rsid w:val="00E75619"/>
    <w:rsid w:val="00E76318"/>
    <w:rsid w:val="00E766B8"/>
    <w:rsid w:val="00E77295"/>
    <w:rsid w:val="00E82D5E"/>
    <w:rsid w:val="00E84554"/>
    <w:rsid w:val="00E859DD"/>
    <w:rsid w:val="00E86719"/>
    <w:rsid w:val="00E86AAD"/>
    <w:rsid w:val="00E905CD"/>
    <w:rsid w:val="00E91761"/>
    <w:rsid w:val="00E92182"/>
    <w:rsid w:val="00E925F5"/>
    <w:rsid w:val="00E9285D"/>
    <w:rsid w:val="00E92D8E"/>
    <w:rsid w:val="00E94245"/>
    <w:rsid w:val="00E94884"/>
    <w:rsid w:val="00E94CD6"/>
    <w:rsid w:val="00E96464"/>
    <w:rsid w:val="00E967FF"/>
    <w:rsid w:val="00E97E50"/>
    <w:rsid w:val="00EA0F60"/>
    <w:rsid w:val="00EA14DE"/>
    <w:rsid w:val="00EA18AA"/>
    <w:rsid w:val="00EA1F70"/>
    <w:rsid w:val="00EA2F76"/>
    <w:rsid w:val="00EA310F"/>
    <w:rsid w:val="00EA34C1"/>
    <w:rsid w:val="00EA3720"/>
    <w:rsid w:val="00EA5448"/>
    <w:rsid w:val="00EA5521"/>
    <w:rsid w:val="00EA7041"/>
    <w:rsid w:val="00EB3163"/>
    <w:rsid w:val="00EB3784"/>
    <w:rsid w:val="00EB4450"/>
    <w:rsid w:val="00EB6C8D"/>
    <w:rsid w:val="00EB7EB6"/>
    <w:rsid w:val="00EC009C"/>
    <w:rsid w:val="00EC05B2"/>
    <w:rsid w:val="00EC4BC5"/>
    <w:rsid w:val="00EC5690"/>
    <w:rsid w:val="00EC7355"/>
    <w:rsid w:val="00ED0427"/>
    <w:rsid w:val="00ED0F4D"/>
    <w:rsid w:val="00ED1428"/>
    <w:rsid w:val="00ED171F"/>
    <w:rsid w:val="00ED1B6D"/>
    <w:rsid w:val="00ED2E0D"/>
    <w:rsid w:val="00ED3108"/>
    <w:rsid w:val="00ED354A"/>
    <w:rsid w:val="00ED3DBB"/>
    <w:rsid w:val="00ED3EDE"/>
    <w:rsid w:val="00ED4219"/>
    <w:rsid w:val="00ED53DC"/>
    <w:rsid w:val="00ED5BA8"/>
    <w:rsid w:val="00EE0C0F"/>
    <w:rsid w:val="00EE1637"/>
    <w:rsid w:val="00EE2183"/>
    <w:rsid w:val="00EE2DB5"/>
    <w:rsid w:val="00EE2F32"/>
    <w:rsid w:val="00EE344D"/>
    <w:rsid w:val="00EE4BA9"/>
    <w:rsid w:val="00EE50CC"/>
    <w:rsid w:val="00EE5D1A"/>
    <w:rsid w:val="00EE6D38"/>
    <w:rsid w:val="00EE74CF"/>
    <w:rsid w:val="00EF04B8"/>
    <w:rsid w:val="00EF1640"/>
    <w:rsid w:val="00EF1FAE"/>
    <w:rsid w:val="00EF231D"/>
    <w:rsid w:val="00EF2808"/>
    <w:rsid w:val="00EF2B43"/>
    <w:rsid w:val="00EF5F9B"/>
    <w:rsid w:val="00EF6461"/>
    <w:rsid w:val="00EF6614"/>
    <w:rsid w:val="00EF7763"/>
    <w:rsid w:val="00EF78D0"/>
    <w:rsid w:val="00F012D3"/>
    <w:rsid w:val="00F03E1B"/>
    <w:rsid w:val="00F06290"/>
    <w:rsid w:val="00F071B3"/>
    <w:rsid w:val="00F075AC"/>
    <w:rsid w:val="00F109C9"/>
    <w:rsid w:val="00F10D03"/>
    <w:rsid w:val="00F1149B"/>
    <w:rsid w:val="00F13A0E"/>
    <w:rsid w:val="00F158FE"/>
    <w:rsid w:val="00F15A7D"/>
    <w:rsid w:val="00F1726A"/>
    <w:rsid w:val="00F17E34"/>
    <w:rsid w:val="00F213D0"/>
    <w:rsid w:val="00F2356E"/>
    <w:rsid w:val="00F23CCE"/>
    <w:rsid w:val="00F2432A"/>
    <w:rsid w:val="00F2446D"/>
    <w:rsid w:val="00F255A5"/>
    <w:rsid w:val="00F31193"/>
    <w:rsid w:val="00F31C9E"/>
    <w:rsid w:val="00F32798"/>
    <w:rsid w:val="00F3406F"/>
    <w:rsid w:val="00F37B50"/>
    <w:rsid w:val="00F40802"/>
    <w:rsid w:val="00F40F1B"/>
    <w:rsid w:val="00F416FF"/>
    <w:rsid w:val="00F41BAB"/>
    <w:rsid w:val="00F45B2B"/>
    <w:rsid w:val="00F45B81"/>
    <w:rsid w:val="00F46090"/>
    <w:rsid w:val="00F461F9"/>
    <w:rsid w:val="00F47E6D"/>
    <w:rsid w:val="00F50E9F"/>
    <w:rsid w:val="00F51124"/>
    <w:rsid w:val="00F5315E"/>
    <w:rsid w:val="00F5451B"/>
    <w:rsid w:val="00F559E5"/>
    <w:rsid w:val="00F55C75"/>
    <w:rsid w:val="00F56302"/>
    <w:rsid w:val="00F56A9F"/>
    <w:rsid w:val="00F578AD"/>
    <w:rsid w:val="00F60302"/>
    <w:rsid w:val="00F62238"/>
    <w:rsid w:val="00F63404"/>
    <w:rsid w:val="00F64CD4"/>
    <w:rsid w:val="00F701A9"/>
    <w:rsid w:val="00F704CA"/>
    <w:rsid w:val="00F71014"/>
    <w:rsid w:val="00F7714F"/>
    <w:rsid w:val="00F81043"/>
    <w:rsid w:val="00F82261"/>
    <w:rsid w:val="00F82712"/>
    <w:rsid w:val="00F82ED7"/>
    <w:rsid w:val="00F83865"/>
    <w:rsid w:val="00F83B0A"/>
    <w:rsid w:val="00F84012"/>
    <w:rsid w:val="00F841CE"/>
    <w:rsid w:val="00F850C4"/>
    <w:rsid w:val="00F8523E"/>
    <w:rsid w:val="00F85EB1"/>
    <w:rsid w:val="00F96FC4"/>
    <w:rsid w:val="00F9713F"/>
    <w:rsid w:val="00F97A13"/>
    <w:rsid w:val="00F97D73"/>
    <w:rsid w:val="00FA0D79"/>
    <w:rsid w:val="00FA2711"/>
    <w:rsid w:val="00FA32FB"/>
    <w:rsid w:val="00FA3359"/>
    <w:rsid w:val="00FA4C65"/>
    <w:rsid w:val="00FA4CCE"/>
    <w:rsid w:val="00FA5135"/>
    <w:rsid w:val="00FA6D38"/>
    <w:rsid w:val="00FA73CC"/>
    <w:rsid w:val="00FA7ED5"/>
    <w:rsid w:val="00FB0AF1"/>
    <w:rsid w:val="00FB1381"/>
    <w:rsid w:val="00FB1F5C"/>
    <w:rsid w:val="00FB2D6C"/>
    <w:rsid w:val="00FB3252"/>
    <w:rsid w:val="00FB47B5"/>
    <w:rsid w:val="00FB4B5F"/>
    <w:rsid w:val="00FB5384"/>
    <w:rsid w:val="00FB5DD5"/>
    <w:rsid w:val="00FB624C"/>
    <w:rsid w:val="00FB6680"/>
    <w:rsid w:val="00FB6ABC"/>
    <w:rsid w:val="00FB7120"/>
    <w:rsid w:val="00FC0E71"/>
    <w:rsid w:val="00FC1B42"/>
    <w:rsid w:val="00FC301B"/>
    <w:rsid w:val="00FC6DA1"/>
    <w:rsid w:val="00FD083F"/>
    <w:rsid w:val="00FD269C"/>
    <w:rsid w:val="00FD39A5"/>
    <w:rsid w:val="00FD43D9"/>
    <w:rsid w:val="00FD4592"/>
    <w:rsid w:val="00FD4785"/>
    <w:rsid w:val="00FD65AA"/>
    <w:rsid w:val="00FD6A4A"/>
    <w:rsid w:val="00FD73A3"/>
    <w:rsid w:val="00FE051C"/>
    <w:rsid w:val="00FE05AC"/>
    <w:rsid w:val="00FE0FFE"/>
    <w:rsid w:val="00FE16D3"/>
    <w:rsid w:val="00FE196D"/>
    <w:rsid w:val="00FE1C62"/>
    <w:rsid w:val="00FE2C24"/>
    <w:rsid w:val="00FE51B6"/>
    <w:rsid w:val="00FE5DD5"/>
    <w:rsid w:val="00FE70E5"/>
    <w:rsid w:val="00FF0380"/>
    <w:rsid w:val="00FF0DFA"/>
    <w:rsid w:val="00FF14CD"/>
    <w:rsid w:val="00FF3422"/>
    <w:rsid w:val="00FF356D"/>
    <w:rsid w:val="00FF3866"/>
    <w:rsid w:val="00FF61E7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F9"/>
    <w:pPr>
      <w:jc w:val="both"/>
    </w:pPr>
    <w:rPr>
      <w:rFonts w:eastAsia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7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7C6"/>
    <w:rPr>
      <w:rFonts w:ascii="Cambria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943A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rFonts w:cs="Times New Roman"/>
      <w:iCs/>
      <w:color w:val="0000FF"/>
      <w:u w:val="single"/>
      <w:lang w:val="en-US" w:eastAsia="en-US" w:bidi="ar-SA"/>
    </w:rPr>
  </w:style>
  <w:style w:type="paragraph" w:customStyle="1" w:styleId="EE-paragr-12">
    <w:name w:val="EE-paragr-12"/>
    <w:basedOn w:val="Normal"/>
    <w:link w:val="EE-paragr-12Char"/>
    <w:uiPriority w:val="99"/>
    <w:rsid w:val="007E41F9"/>
    <w:rPr>
      <w:szCs w:val="24"/>
      <w:lang w:eastAsia="lv-LV"/>
    </w:rPr>
  </w:style>
  <w:style w:type="paragraph" w:customStyle="1" w:styleId="EE-parag-num-12">
    <w:name w:val="EE-parag-num-12"/>
    <w:basedOn w:val="Normal"/>
    <w:link w:val="EE-parag-num-12Char"/>
    <w:uiPriority w:val="99"/>
    <w:rsid w:val="007E41F9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locked/>
    <w:rsid w:val="007E41F9"/>
    <w:rPr>
      <w:rFonts w:eastAsia="Times New Roman" w:cs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uiPriority w:val="99"/>
    <w:locked/>
    <w:rsid w:val="007E41F9"/>
    <w:rPr>
      <w:rFonts w:eastAsia="Times New Roman" w:cs="Times New Roman"/>
      <w:sz w:val="24"/>
      <w:szCs w:val="24"/>
      <w:lang w:val="lv-LV" w:eastAsia="lv-LV" w:bidi="ar-SA"/>
    </w:rPr>
  </w:style>
  <w:style w:type="paragraph" w:styleId="ListParagraph">
    <w:name w:val="List Paragraph"/>
    <w:basedOn w:val="Normal"/>
    <w:uiPriority w:val="99"/>
    <w:qFormat/>
    <w:rsid w:val="007E4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E7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E7C"/>
    <w:rPr>
      <w:rFonts w:eastAsia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2807C6"/>
    <w:pPr>
      <w:spacing w:before="120" w:after="120"/>
      <w:jc w:val="left"/>
    </w:pPr>
    <w:rPr>
      <w:b/>
      <w:bCs/>
      <w:caps/>
      <w:sz w:val="20"/>
      <w:lang w:eastAsia="lv-LV"/>
    </w:rPr>
  </w:style>
  <w:style w:type="paragraph" w:styleId="TOC2">
    <w:name w:val="toc 2"/>
    <w:basedOn w:val="Normal"/>
    <w:next w:val="Normal"/>
    <w:autoRedefine/>
    <w:uiPriority w:val="99"/>
    <w:rsid w:val="002807C6"/>
    <w:pPr>
      <w:ind w:left="240"/>
      <w:jc w:val="left"/>
    </w:pPr>
    <w:rPr>
      <w:smallCaps/>
      <w:sz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uiPriority w:val="99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/>
      <w:smallCaps/>
      <w:color w:val="auto"/>
      <w:sz w:val="32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rsid w:val="00A943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3A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3AF"/>
    <w:rPr>
      <w:b/>
      <w:bCs/>
    </w:rPr>
  </w:style>
  <w:style w:type="paragraph" w:styleId="PlainText">
    <w:name w:val="Plain Text"/>
    <w:basedOn w:val="Normal"/>
    <w:link w:val="PlainTextChar"/>
    <w:uiPriority w:val="99"/>
    <w:rsid w:val="00FB5DD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5DD5"/>
    <w:rPr>
      <w:rFonts w:ascii="Consolas" w:hAnsi="Consolas" w:cs="Times New Roman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544A3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locked/>
    <w:rsid w:val="00D544A3"/>
    <w:rPr>
      <w:rFonts w:eastAsia="Times New Roman" w:cs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D544A3"/>
    <w:rPr>
      <w:rFonts w:cs="Times New Roman"/>
      <w:iCs/>
      <w:vertAlign w:val="superscript"/>
      <w:lang w:val="en-US" w:eastAsia="en-US" w:bidi="ar-SA"/>
    </w:rPr>
  </w:style>
  <w:style w:type="paragraph" w:customStyle="1" w:styleId="EE-paragr">
    <w:name w:val="EE-paragr"/>
    <w:basedOn w:val="Normal"/>
    <w:link w:val="EE-paragrRakstz"/>
    <w:autoRedefine/>
    <w:uiPriority w:val="99"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uiPriority w:val="99"/>
    <w:locked/>
    <w:rsid w:val="003D71E2"/>
    <w:rPr>
      <w:rFonts w:cs="Times New Roman"/>
      <w:spacing w:val="-2"/>
      <w:sz w:val="22"/>
      <w:szCs w:val="22"/>
      <w:lang w:val="lv-LV" w:eastAsia="lv-LV" w:bidi="ar-SA"/>
    </w:rPr>
  </w:style>
  <w:style w:type="paragraph" w:customStyle="1" w:styleId="EE-bullet">
    <w:name w:val="EE-bullet"/>
    <w:basedOn w:val="Normal"/>
    <w:link w:val="EE-bulletChar1"/>
    <w:autoRedefine/>
    <w:uiPriority w:val="99"/>
    <w:rsid w:val="00AE2ABA"/>
    <w:pPr>
      <w:tabs>
        <w:tab w:val="num" w:pos="1363"/>
      </w:tabs>
      <w:spacing w:before="120" w:after="120"/>
      <w:contextualSpacing/>
    </w:pPr>
    <w:rPr>
      <w:bCs/>
      <w:szCs w:val="24"/>
      <w:lang w:eastAsia="lv-LV"/>
    </w:rPr>
  </w:style>
  <w:style w:type="character" w:customStyle="1" w:styleId="EE-bulletChar1">
    <w:name w:val="EE-bullet Char1"/>
    <w:basedOn w:val="DefaultParagraphFont"/>
    <w:link w:val="EE-bullet"/>
    <w:uiPriority w:val="99"/>
    <w:locked/>
    <w:rsid w:val="00AE2ABA"/>
    <w:rPr>
      <w:rFonts w:eastAsia="Times New Roman" w:cs="Times New Roman"/>
      <w:bCs/>
      <w:sz w:val="24"/>
      <w:szCs w:val="24"/>
    </w:rPr>
  </w:style>
  <w:style w:type="paragraph" w:customStyle="1" w:styleId="Style1">
    <w:name w:val="Style1"/>
    <w:basedOn w:val="Normal"/>
    <w:uiPriority w:val="99"/>
    <w:rsid w:val="00AE2ABA"/>
    <w:pPr>
      <w:spacing w:line="240" w:lineRule="exact"/>
      <w:jc w:val="left"/>
    </w:pPr>
    <w:rPr>
      <w:szCs w:val="24"/>
      <w:lang w:eastAsia="lv-LV"/>
    </w:rPr>
  </w:style>
  <w:style w:type="paragraph" w:customStyle="1" w:styleId="EE-H2">
    <w:name w:val="EE-H2"/>
    <w:basedOn w:val="Normal"/>
    <w:link w:val="EE-H2Char"/>
    <w:autoRedefine/>
    <w:uiPriority w:val="99"/>
    <w:rsid w:val="009F7810"/>
    <w:pPr>
      <w:spacing w:before="360" w:after="240"/>
      <w:ind w:left="357"/>
      <w:jc w:val="center"/>
    </w:pPr>
    <w:rPr>
      <w:bCs/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uiPriority w:val="99"/>
    <w:rsid w:val="009F7810"/>
    <w:pPr>
      <w:numPr>
        <w:ilvl w:val="1"/>
        <w:numId w:val="3"/>
      </w:numPr>
      <w:spacing w:before="120" w:after="120"/>
      <w:ind w:left="360" w:hanging="360"/>
      <w:contextualSpacing/>
      <w:jc w:val="left"/>
    </w:pPr>
    <w:rPr>
      <w:iCs/>
      <w:sz w:val="20"/>
      <w:lang w:eastAsia="lv-LV"/>
    </w:rPr>
  </w:style>
  <w:style w:type="paragraph" w:customStyle="1" w:styleId="EE-numbering">
    <w:name w:val="EE-numbering"/>
    <w:basedOn w:val="EE-bulletChar"/>
    <w:link w:val="EE-numberingChar"/>
    <w:uiPriority w:val="99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uiPriority w:val="99"/>
    <w:locked/>
    <w:rsid w:val="009F7810"/>
    <w:rPr>
      <w:rFonts w:eastAsia="Times New Roman" w:cs="Times New Roman"/>
      <w:bCs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uiPriority w:val="99"/>
    <w:rsid w:val="004201E6"/>
    <w:pPr>
      <w:tabs>
        <w:tab w:val="num" w:pos="0"/>
      </w:tabs>
      <w:spacing w:before="120"/>
      <w:ind w:firstLine="720"/>
    </w:pPr>
    <w:rPr>
      <w:bCs/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uiPriority w:val="99"/>
    <w:locked/>
    <w:rsid w:val="004201E6"/>
    <w:rPr>
      <w:rFonts w:cs="Times New Roman"/>
      <w:bCs/>
      <w:noProof/>
      <w:color w:val="000000"/>
      <w:sz w:val="28"/>
      <w:szCs w:val="28"/>
      <w:lang w:val="lv-LV" w:eastAsia="lv-LV" w:bidi="ar-SA"/>
    </w:rPr>
  </w:style>
  <w:style w:type="character" w:customStyle="1" w:styleId="EE-numberingChar">
    <w:name w:val="EE-numbering Char"/>
    <w:basedOn w:val="DefaultParagraphFont"/>
    <w:link w:val="EE-numbering"/>
    <w:uiPriority w:val="99"/>
    <w:locked/>
    <w:rsid w:val="00F97D73"/>
    <w:rPr>
      <w:rFonts w:eastAsia="Times New Roman" w:cs="Times New Roman"/>
      <w:iCs/>
      <w:lang w:val="lv-LV" w:eastAsia="lv-LV" w:bidi="ar-SA"/>
    </w:rPr>
  </w:style>
  <w:style w:type="paragraph" w:customStyle="1" w:styleId="RakstzRakstz1">
    <w:name w:val="Rakstz. Rakstz.1"/>
    <w:basedOn w:val="Normal"/>
    <w:next w:val="BlockText"/>
    <w:uiPriority w:val="99"/>
    <w:rsid w:val="00F97D73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BlockText">
    <w:name w:val="Block Text"/>
    <w:basedOn w:val="Normal"/>
    <w:uiPriority w:val="99"/>
    <w:semiHidden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uiPriority w:val="99"/>
    <w:rsid w:val="00CD5E5C"/>
    <w:pPr>
      <w:spacing w:before="120" w:after="60"/>
      <w:ind w:left="1134"/>
      <w:contextualSpacing/>
    </w:pPr>
    <w:rPr>
      <w:bCs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1633B2"/>
    <w:pPr>
      <w:widowControl w:val="0"/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3B2"/>
    <w:rPr>
      <w:rFonts w:eastAsia="Times New Roman" w:cs="Times New Roman"/>
      <w:b/>
      <w:sz w:val="24"/>
      <w:lang w:val="en-US" w:eastAsia="en-US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uiPriority w:val="99"/>
    <w:rsid w:val="00F1726A"/>
    <w:pPr>
      <w:tabs>
        <w:tab w:val="clear" w:pos="1363"/>
      </w:tabs>
      <w:contextualSpacing w:val="0"/>
    </w:pPr>
    <w:rPr>
      <w:bCs w:val="0"/>
      <w:szCs w:val="20"/>
    </w:r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uiPriority w:val="99"/>
    <w:locked/>
    <w:rsid w:val="00F1726A"/>
    <w:rPr>
      <w:rFonts w:eastAsia="Times New Roman" w:cs="Times New Roman"/>
      <w:sz w:val="24"/>
    </w:rPr>
  </w:style>
  <w:style w:type="paragraph" w:customStyle="1" w:styleId="EE-bullet-12">
    <w:name w:val="EE-bullet-12"/>
    <w:basedOn w:val="Normal"/>
    <w:autoRedefine/>
    <w:uiPriority w:val="99"/>
    <w:rsid w:val="005C2B94"/>
    <w:pPr>
      <w:tabs>
        <w:tab w:val="left" w:pos="851"/>
      </w:tabs>
      <w:ind w:left="993"/>
      <w:contextualSpacing/>
    </w:pPr>
    <w:rPr>
      <w:rFonts w:eastAsia="Calibri"/>
      <w:iCs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uiPriority w:val="99"/>
    <w:rsid w:val="009C3609"/>
    <w:pPr>
      <w:spacing w:before="120" w:after="160" w:line="240" w:lineRule="exact"/>
      <w:ind w:firstLine="720"/>
    </w:pPr>
    <w:rPr>
      <w:rFonts w:ascii="Verdana" w:hAnsi="Verdana"/>
      <w:sz w:val="20"/>
      <w:lang w:val="en-US"/>
    </w:rPr>
  </w:style>
  <w:style w:type="paragraph" w:customStyle="1" w:styleId="EE-paragrChar">
    <w:name w:val="EE-paragr Char"/>
    <w:basedOn w:val="Normal"/>
    <w:autoRedefine/>
    <w:uiPriority w:val="99"/>
    <w:rsid w:val="002B1C92"/>
    <w:pPr>
      <w:numPr>
        <w:numId w:val="4"/>
      </w:numPr>
      <w:spacing w:before="120" w:after="120"/>
      <w:ind w:hanging="720"/>
    </w:pPr>
    <w:rPr>
      <w:iCs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4F59F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character" w:customStyle="1" w:styleId="CharChar8">
    <w:name w:val="Char Char8"/>
    <w:basedOn w:val="DefaultParagraphFont"/>
    <w:uiPriority w:val="99"/>
    <w:locked/>
    <w:rsid w:val="004F59FA"/>
    <w:rPr>
      <w:rFonts w:ascii="Tahoma" w:hAnsi="Tahoma" w:cs="Times New Roman"/>
      <w:sz w:val="24"/>
      <w:szCs w:val="24"/>
      <w:lang w:val="lv-LV" w:eastAsia="en-US" w:bidi="ar-SA"/>
    </w:rPr>
  </w:style>
  <w:style w:type="paragraph" w:customStyle="1" w:styleId="Default">
    <w:name w:val="Default"/>
    <w:uiPriority w:val="99"/>
    <w:rsid w:val="00C74D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RakstzRakstzChar">
    <w:name w:val="Rakstz. Rakstz. Char"/>
    <w:basedOn w:val="Normal"/>
    <w:next w:val="BlockText"/>
    <w:uiPriority w:val="99"/>
    <w:rsid w:val="009230EF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NormalWeb">
    <w:name w:val="Normal (Web)"/>
    <w:basedOn w:val="Normal"/>
    <w:uiPriority w:val="99"/>
    <w:rsid w:val="00EF1640"/>
    <w:pPr>
      <w:spacing w:before="100" w:beforeAutospacing="1" w:after="100" w:afterAutospacing="1"/>
      <w:jc w:val="left"/>
    </w:pPr>
    <w:rPr>
      <w:szCs w:val="24"/>
      <w:lang w:val="en-GB"/>
    </w:rPr>
  </w:style>
  <w:style w:type="character" w:styleId="PageNumber">
    <w:name w:val="page number"/>
    <w:basedOn w:val="DefaultParagraphFont"/>
    <w:uiPriority w:val="99"/>
    <w:rsid w:val="00B1145B"/>
    <w:rPr>
      <w:rFonts w:cs="Times New Roman"/>
    </w:rPr>
  </w:style>
  <w:style w:type="table" w:styleId="TableGrid">
    <w:name w:val="Table Grid"/>
    <w:basedOn w:val="TableNormal"/>
    <w:uiPriority w:val="99"/>
    <w:rsid w:val="008D40C5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F2748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4R1860:20070801:LV: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OJ:L:2007:193:0006:01:LV:HTM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na.Vibe@l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OJ:L:2007:337:0035:01:LV: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3919</Words>
  <Characters>2235</Characters>
  <Application>Microsoft Office Outlook</Application>
  <DocSecurity>0</DocSecurity>
  <Lines>0</Lines>
  <Paragraphs>0</Paragraphs>
  <ScaleCrop>false</ScaleCrop>
  <Company>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„Cilvēkresursi un nodarbinātība”</dc:title>
  <dc:subject>MK rīkojuma projekts</dc:subject>
  <dc:creator>Anna Vībe</dc:creator>
  <cp:keywords/>
  <dc:description>Anna Vībe, 67021648Anna.Vibe@lm.gov.lv</dc:description>
  <cp:lastModifiedBy>AnnaV</cp:lastModifiedBy>
  <cp:revision>14</cp:revision>
  <cp:lastPrinted>2012-09-13T11:50:00Z</cp:lastPrinted>
  <dcterms:created xsi:type="dcterms:W3CDTF">2012-10-15T13:42:00Z</dcterms:created>
  <dcterms:modified xsi:type="dcterms:W3CDTF">2012-11-13T11:30:00Z</dcterms:modified>
</cp:coreProperties>
</file>