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89" w:rsidRDefault="00163A89" w:rsidP="007A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6D72FA">
        <w:rPr>
          <w:b/>
          <w:sz w:val="28"/>
          <w:szCs w:val="28"/>
        </w:rPr>
        <w:t>Grozījumi M</w:t>
      </w:r>
      <w:r>
        <w:rPr>
          <w:b/>
          <w:sz w:val="28"/>
          <w:szCs w:val="28"/>
        </w:rPr>
        <w:t>inistru kabineta</w:t>
      </w:r>
      <w:r w:rsidRPr="006D72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0</w:t>
      </w:r>
      <w:r w:rsidR="005B1547">
        <w:rPr>
          <w:b/>
          <w:sz w:val="28"/>
          <w:szCs w:val="28"/>
        </w:rPr>
        <w:t>1</w:t>
      </w:r>
      <w:r w:rsidRPr="006D72FA">
        <w:rPr>
          <w:b/>
          <w:sz w:val="28"/>
          <w:szCs w:val="28"/>
        </w:rPr>
        <w:t xml:space="preserve">.gada </w:t>
      </w:r>
      <w:r w:rsidR="005B1547">
        <w:rPr>
          <w:b/>
          <w:sz w:val="28"/>
          <w:szCs w:val="28"/>
        </w:rPr>
        <w:t>5.jūnija</w:t>
      </w:r>
      <w:r>
        <w:rPr>
          <w:b/>
          <w:sz w:val="28"/>
          <w:szCs w:val="28"/>
        </w:rPr>
        <w:t xml:space="preserve"> </w:t>
      </w:r>
      <w:r w:rsidRPr="006D72FA">
        <w:rPr>
          <w:b/>
          <w:sz w:val="28"/>
          <w:szCs w:val="28"/>
        </w:rPr>
        <w:t>noteikumos Nr.</w:t>
      </w:r>
      <w:r w:rsidR="005B1547">
        <w:rPr>
          <w:b/>
          <w:sz w:val="28"/>
          <w:szCs w:val="28"/>
        </w:rPr>
        <w:t>230</w:t>
      </w:r>
      <w:r w:rsidRPr="006D72FA">
        <w:rPr>
          <w:b/>
          <w:sz w:val="28"/>
          <w:szCs w:val="28"/>
        </w:rPr>
        <w:t xml:space="preserve"> “Noteikumi par valsts sociālās apdrošināšanas obligāt</w:t>
      </w:r>
      <w:r w:rsidR="005B1547">
        <w:rPr>
          <w:b/>
          <w:sz w:val="28"/>
          <w:szCs w:val="28"/>
        </w:rPr>
        <w:t xml:space="preserve">ajām </w:t>
      </w:r>
      <w:r w:rsidRPr="006D72FA">
        <w:rPr>
          <w:b/>
          <w:sz w:val="28"/>
          <w:szCs w:val="28"/>
        </w:rPr>
        <w:t>iemaks</w:t>
      </w:r>
      <w:r w:rsidR="005B1547">
        <w:rPr>
          <w:b/>
          <w:sz w:val="28"/>
          <w:szCs w:val="28"/>
        </w:rPr>
        <w:t>ām no valsts pamatbudžeta un valsts sociālās apdrošināšanas speciālajiem budžetiem</w:t>
      </w:r>
      <w:r w:rsidRPr="006D72F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” </w:t>
      </w:r>
      <w:r w:rsidRPr="006553E9">
        <w:rPr>
          <w:b/>
          <w:sz w:val="28"/>
          <w:szCs w:val="28"/>
        </w:rPr>
        <w:t>sākotnējās ietekmes novērtējuma ziņojums (anotācija)</w:t>
      </w:r>
    </w:p>
    <w:p w:rsidR="00163A89" w:rsidRPr="006553E9" w:rsidRDefault="00163A89" w:rsidP="00B808C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163A89" w:rsidRPr="003E5430" w:rsidTr="002056DD">
        <w:tc>
          <w:tcPr>
            <w:tcW w:w="5000" w:type="pct"/>
            <w:gridSpan w:val="3"/>
          </w:tcPr>
          <w:p w:rsidR="00163A89" w:rsidRPr="002056DD" w:rsidRDefault="00163A89" w:rsidP="002056DD">
            <w:pPr>
              <w:jc w:val="center"/>
              <w:rPr>
                <w:b/>
              </w:rPr>
            </w:pPr>
            <w:r w:rsidRPr="002056DD">
              <w:rPr>
                <w:b/>
              </w:rPr>
              <w:t>I Tiesību akta projekta izstrādes nepieciešamība</w:t>
            </w:r>
          </w:p>
        </w:tc>
      </w:tr>
      <w:tr w:rsidR="00163A89" w:rsidRPr="003E5430" w:rsidTr="002056DD">
        <w:trPr>
          <w:trHeight w:val="425"/>
        </w:trPr>
        <w:tc>
          <w:tcPr>
            <w:tcW w:w="213" w:type="pct"/>
          </w:tcPr>
          <w:p w:rsidR="00163A89" w:rsidRPr="003E5430" w:rsidRDefault="00163A89" w:rsidP="00B76D85">
            <w:r w:rsidRPr="003E5430">
              <w:t>1.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Pamatojums</w:t>
            </w:r>
          </w:p>
        </w:tc>
        <w:tc>
          <w:tcPr>
            <w:tcW w:w="3133" w:type="pct"/>
          </w:tcPr>
          <w:p w:rsidR="00163A89" w:rsidRPr="001A4B0C" w:rsidRDefault="006976C8" w:rsidP="003D28E4">
            <w:pPr>
              <w:jc w:val="both"/>
              <w:rPr>
                <w:color w:val="000000"/>
                <w:highlight w:val="yellow"/>
              </w:rPr>
            </w:pPr>
            <w:proofErr w:type="spellStart"/>
            <w:r w:rsidRPr="006976C8">
              <w:rPr>
                <w:color w:val="000000"/>
              </w:rPr>
              <w:t>Euro</w:t>
            </w:r>
            <w:proofErr w:type="spellEnd"/>
            <w:r w:rsidRPr="006976C8">
              <w:rPr>
                <w:color w:val="000000"/>
              </w:rPr>
              <w:t xml:space="preserve"> ieviešanas kārtības likum</w:t>
            </w:r>
            <w:r>
              <w:rPr>
                <w:color w:val="000000"/>
              </w:rPr>
              <w:t>a 30.panta pirmā daļa, Ministru kabineta 201</w:t>
            </w:r>
            <w:r w:rsidR="003D28E4">
              <w:rPr>
                <w:color w:val="000000"/>
              </w:rPr>
              <w:t>3</w:t>
            </w:r>
            <w:r>
              <w:rPr>
                <w:color w:val="000000"/>
              </w:rPr>
              <w:t>.gada 2</w:t>
            </w:r>
            <w:r w:rsidR="00A3569A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 w:rsidR="00A3569A">
              <w:rPr>
                <w:color w:val="000000"/>
              </w:rPr>
              <w:t xml:space="preserve">maija rīkojuma Nr.212 „Par tiesību aktu grozījumu virzību saistībā ar </w:t>
            </w:r>
            <w:proofErr w:type="spellStart"/>
            <w:r w:rsidR="00A3569A">
              <w:rPr>
                <w:color w:val="000000"/>
              </w:rPr>
              <w:t>euro</w:t>
            </w:r>
            <w:proofErr w:type="spellEnd"/>
            <w:r w:rsidR="00A3569A">
              <w:rPr>
                <w:color w:val="000000"/>
              </w:rPr>
              <w:t xml:space="preserve"> ieviešanu Latvijā” 1.5.apakšpunkts.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2.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Pašreizējā situācija un problēmas</w:t>
            </w:r>
          </w:p>
        </w:tc>
        <w:tc>
          <w:tcPr>
            <w:tcW w:w="3133" w:type="pct"/>
          </w:tcPr>
          <w:p w:rsidR="00163A89" w:rsidRPr="004626D8" w:rsidRDefault="0011584C" w:rsidP="004626D8">
            <w:pPr>
              <w:shd w:val="clear" w:color="auto" w:fill="FFFFFF"/>
              <w:jc w:val="both"/>
              <w:rPr>
                <w:color w:val="000000"/>
              </w:rPr>
            </w:pPr>
            <w:r w:rsidRPr="004626D8">
              <w:rPr>
                <w:bCs/>
              </w:rPr>
              <w:t xml:space="preserve">   </w:t>
            </w:r>
            <w:r w:rsidR="006976C8" w:rsidRPr="004626D8">
              <w:rPr>
                <w:bCs/>
              </w:rPr>
              <w:t xml:space="preserve">   Ņemot vērā, ka ar 2014.gada 1.janvāri Latvijā plānots ieviest </w:t>
            </w:r>
            <w:proofErr w:type="spellStart"/>
            <w:r w:rsidR="006976C8" w:rsidRPr="004626D8">
              <w:rPr>
                <w:bCs/>
              </w:rPr>
              <w:t>euro</w:t>
            </w:r>
            <w:proofErr w:type="spellEnd"/>
            <w:r w:rsidR="006976C8" w:rsidRPr="004626D8">
              <w:rPr>
                <w:bCs/>
              </w:rPr>
              <w:t xml:space="preserve">, ir nepieciešams veikt </w:t>
            </w:r>
            <w:r w:rsidR="00590B83" w:rsidRPr="004626D8">
              <w:rPr>
                <w:bCs/>
              </w:rPr>
              <w:t>grozījumus Ministru kabineta 20</w:t>
            </w:r>
            <w:r w:rsidR="00A3569A">
              <w:rPr>
                <w:bCs/>
              </w:rPr>
              <w:t>01</w:t>
            </w:r>
            <w:r w:rsidR="00590B83" w:rsidRPr="004626D8">
              <w:rPr>
                <w:bCs/>
              </w:rPr>
              <w:t xml:space="preserve">.gada </w:t>
            </w:r>
            <w:r w:rsidR="00A3569A">
              <w:rPr>
                <w:bCs/>
              </w:rPr>
              <w:t xml:space="preserve">5.jūnija </w:t>
            </w:r>
            <w:r w:rsidR="00590B83" w:rsidRPr="004626D8">
              <w:rPr>
                <w:bCs/>
              </w:rPr>
              <w:t>noteikumos Nr.</w:t>
            </w:r>
            <w:r w:rsidR="00A3569A">
              <w:rPr>
                <w:bCs/>
              </w:rPr>
              <w:t>230</w:t>
            </w:r>
            <w:r w:rsidR="00590B83" w:rsidRPr="004626D8">
              <w:rPr>
                <w:bCs/>
              </w:rPr>
              <w:t xml:space="preserve"> „Noteikumi par valsts sociālās apdrošināšanas obligāt</w:t>
            </w:r>
            <w:r w:rsidR="00A3569A">
              <w:rPr>
                <w:bCs/>
              </w:rPr>
              <w:t xml:space="preserve">ajām </w:t>
            </w:r>
            <w:r w:rsidR="00590B83" w:rsidRPr="004626D8">
              <w:rPr>
                <w:bCs/>
              </w:rPr>
              <w:t>iemaks</w:t>
            </w:r>
            <w:r w:rsidR="00A3569A">
              <w:rPr>
                <w:bCs/>
              </w:rPr>
              <w:t xml:space="preserve">ām no valsts pamatbudžeta un </w:t>
            </w:r>
            <w:r w:rsidR="00737D05">
              <w:rPr>
                <w:bCs/>
              </w:rPr>
              <w:t>v</w:t>
            </w:r>
            <w:r w:rsidR="00590B83" w:rsidRPr="004626D8">
              <w:rPr>
                <w:bCs/>
              </w:rPr>
              <w:t xml:space="preserve">alsts sociālās apdrošināšanas </w:t>
            </w:r>
            <w:r w:rsidR="00737D05">
              <w:rPr>
                <w:bCs/>
              </w:rPr>
              <w:t>speciālajiem budžetiem</w:t>
            </w:r>
            <w:r w:rsidR="00590B83" w:rsidRPr="004626D8">
              <w:rPr>
                <w:bCs/>
              </w:rPr>
              <w:t>”</w:t>
            </w:r>
            <w:r w:rsidR="00B761BC">
              <w:rPr>
                <w:bCs/>
              </w:rPr>
              <w:t xml:space="preserve"> </w:t>
            </w:r>
            <w:r w:rsidR="00444CF8" w:rsidRPr="00B761BC">
              <w:t>(turpmāk – MK noteikumi), aizstājot taj</w:t>
            </w:r>
            <w:r w:rsidR="00B761BC" w:rsidRPr="00B761BC">
              <w:t xml:space="preserve">os </w:t>
            </w:r>
            <w:r w:rsidR="00444CF8" w:rsidRPr="00B761BC">
              <w:t xml:space="preserve">latus ar </w:t>
            </w:r>
            <w:proofErr w:type="spellStart"/>
            <w:r w:rsidR="00444CF8" w:rsidRPr="00B761BC">
              <w:t>euro</w:t>
            </w:r>
            <w:proofErr w:type="spellEnd"/>
            <w:r w:rsidR="00444CF8" w:rsidRPr="00B761BC">
              <w:t>.</w:t>
            </w:r>
            <w:r w:rsidR="00B761BC">
              <w:t xml:space="preserve"> 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 xml:space="preserve">3. </w:t>
            </w:r>
          </w:p>
        </w:tc>
        <w:tc>
          <w:tcPr>
            <w:tcW w:w="1654" w:type="pct"/>
          </w:tcPr>
          <w:p w:rsidR="00163A89" w:rsidRPr="003E5430" w:rsidRDefault="00163A89" w:rsidP="00B76D85">
            <w:r w:rsidRPr="003E5430">
              <w:t>Saistītie politikas ietekmes novērtējumi un pētījumi</w:t>
            </w:r>
          </w:p>
        </w:tc>
        <w:tc>
          <w:tcPr>
            <w:tcW w:w="3133" w:type="pct"/>
          </w:tcPr>
          <w:p w:rsidR="00163A89" w:rsidRPr="001A4B0C" w:rsidRDefault="00163A89" w:rsidP="0011584C">
            <w:pPr>
              <w:ind w:firstLine="284"/>
              <w:jc w:val="both"/>
              <w:rPr>
                <w:i/>
              </w:rPr>
            </w:pPr>
            <w:r w:rsidRPr="001A4B0C">
              <w:t>Projekts šo jomu neskar.</w:t>
            </w:r>
          </w:p>
        </w:tc>
      </w:tr>
      <w:tr w:rsidR="00163A89" w:rsidRPr="003E5430" w:rsidTr="002056DD">
        <w:tc>
          <w:tcPr>
            <w:tcW w:w="213" w:type="pct"/>
          </w:tcPr>
          <w:p w:rsidR="00163A89" w:rsidRPr="003E5430" w:rsidRDefault="00163A89" w:rsidP="00B76D85">
            <w:r w:rsidRPr="003E5430">
              <w:t>4.</w:t>
            </w:r>
          </w:p>
        </w:tc>
        <w:tc>
          <w:tcPr>
            <w:tcW w:w="1654" w:type="pct"/>
          </w:tcPr>
          <w:p w:rsidR="00163A89" w:rsidRPr="00137F24" w:rsidRDefault="00163A89" w:rsidP="002056DD">
            <w:pPr>
              <w:jc w:val="both"/>
            </w:pPr>
            <w:r w:rsidRPr="00137F24">
              <w:t>Tiesiskā regulējuma mērķis un būtība</w:t>
            </w:r>
          </w:p>
        </w:tc>
        <w:tc>
          <w:tcPr>
            <w:tcW w:w="3133" w:type="pct"/>
          </w:tcPr>
          <w:p w:rsidR="00444CF8" w:rsidRPr="00B761BC" w:rsidRDefault="00B761BC" w:rsidP="00444CF8">
            <w:pPr>
              <w:jc w:val="both"/>
              <w:rPr>
                <w:iCs/>
              </w:rPr>
            </w:pPr>
            <w:r>
              <w:t xml:space="preserve">   </w:t>
            </w:r>
            <w:r w:rsidR="00444CF8" w:rsidRPr="00B761BC">
              <w:rPr>
                <w:iCs/>
              </w:rPr>
              <w:t>Š</w:t>
            </w:r>
            <w:r w:rsidR="00137F24">
              <w:rPr>
                <w:iCs/>
              </w:rPr>
              <w:t>ī</w:t>
            </w:r>
            <w:r w:rsidR="00444CF8" w:rsidRPr="00B761BC">
              <w:rPr>
                <w:iCs/>
              </w:rPr>
              <w:t xml:space="preserve"> projekta mērķis ir pielāgot MK noteikumus </w:t>
            </w:r>
            <w:proofErr w:type="spellStart"/>
            <w:r w:rsidR="00444CF8" w:rsidRPr="00B761BC">
              <w:rPr>
                <w:iCs/>
              </w:rPr>
              <w:t>euro</w:t>
            </w:r>
            <w:proofErr w:type="spellEnd"/>
            <w:r w:rsidR="00444CF8" w:rsidRPr="00B761BC">
              <w:rPr>
                <w:iCs/>
              </w:rPr>
              <w:t xml:space="preserve"> ieviešanai, aizstājot taj</w:t>
            </w:r>
            <w:r w:rsidR="00826A9B">
              <w:rPr>
                <w:iCs/>
              </w:rPr>
              <w:t>os</w:t>
            </w:r>
            <w:r w:rsidR="00444CF8" w:rsidRPr="00B761BC">
              <w:rPr>
                <w:iCs/>
              </w:rPr>
              <w:t xml:space="preserve"> latus ar </w:t>
            </w:r>
            <w:proofErr w:type="spellStart"/>
            <w:r w:rsidR="00444CF8" w:rsidRPr="00B761BC">
              <w:rPr>
                <w:iCs/>
              </w:rPr>
              <w:t>euro</w:t>
            </w:r>
            <w:proofErr w:type="spellEnd"/>
            <w:r w:rsidR="00444CF8" w:rsidRPr="00B761BC">
              <w:rPr>
                <w:iCs/>
              </w:rPr>
              <w:t>.</w:t>
            </w:r>
          </w:p>
          <w:p w:rsidR="00444CF8" w:rsidRPr="00B761BC" w:rsidRDefault="00B761BC" w:rsidP="00444CF8">
            <w:pPr>
              <w:jc w:val="both"/>
              <w:rPr>
                <w:iCs/>
              </w:rPr>
            </w:pPr>
            <w:r w:rsidRPr="00B761BC">
              <w:rPr>
                <w:iCs/>
              </w:rPr>
              <w:t xml:space="preserve">   </w:t>
            </w:r>
            <w:r w:rsidR="00444CF8" w:rsidRPr="00B761BC">
              <w:rPr>
                <w:iCs/>
              </w:rPr>
              <w:t xml:space="preserve">Projekts paredz aizstāt latus ar </w:t>
            </w:r>
            <w:proofErr w:type="spellStart"/>
            <w:r w:rsidR="00444CF8" w:rsidRPr="00B761BC">
              <w:rPr>
                <w:iCs/>
              </w:rPr>
              <w:t>euro</w:t>
            </w:r>
            <w:proofErr w:type="spellEnd"/>
            <w:r w:rsidR="00444CF8" w:rsidRPr="00B761BC">
              <w:rPr>
                <w:iCs/>
              </w:rPr>
              <w:t xml:space="preserve"> atbilstoši </w:t>
            </w:r>
            <w:proofErr w:type="spellStart"/>
            <w:r w:rsidR="00444CF8" w:rsidRPr="00B761BC">
              <w:rPr>
                <w:iCs/>
              </w:rPr>
              <w:t>Euro</w:t>
            </w:r>
            <w:proofErr w:type="spellEnd"/>
            <w:r w:rsidR="00444CF8" w:rsidRPr="00B761BC">
              <w:rPr>
                <w:iCs/>
              </w:rPr>
              <w:t xml:space="preserve"> ieviešana</w:t>
            </w:r>
            <w:r w:rsidR="00330B37">
              <w:rPr>
                <w:iCs/>
              </w:rPr>
              <w:t>s</w:t>
            </w:r>
            <w:r w:rsidR="00444CF8" w:rsidRPr="00B761BC">
              <w:rPr>
                <w:iCs/>
              </w:rPr>
              <w:t xml:space="preserve"> kārtības likuma 6.pantā </w:t>
            </w:r>
            <w:r>
              <w:rPr>
                <w:iCs/>
              </w:rPr>
              <w:t xml:space="preserve">noteiktajiem </w:t>
            </w:r>
            <w:r w:rsidR="00444CF8" w:rsidRPr="00B761BC">
              <w:rPr>
                <w:iCs/>
              </w:rPr>
              <w:t>principiem.</w:t>
            </w:r>
          </w:p>
          <w:p w:rsidR="00444CF8" w:rsidRPr="001A4B0C" w:rsidRDefault="00444CF8" w:rsidP="00137F24">
            <w:pPr>
              <w:ind w:firstLine="284"/>
              <w:jc w:val="both"/>
              <w:rPr>
                <w:bCs/>
                <w:highlight w:val="yellow"/>
              </w:rPr>
            </w:pPr>
            <w:r w:rsidRPr="00B761BC">
              <w:rPr>
                <w:iCs/>
              </w:rPr>
              <w:t xml:space="preserve">Grozītās tiesību normas </w:t>
            </w:r>
            <w:proofErr w:type="spellStart"/>
            <w:r w:rsidRPr="00B761BC">
              <w:rPr>
                <w:iCs/>
              </w:rPr>
              <w:t>euro</w:t>
            </w:r>
            <w:proofErr w:type="spellEnd"/>
            <w:r w:rsidRPr="00B761BC">
              <w:rPr>
                <w:iCs/>
              </w:rPr>
              <w:t xml:space="preserve"> valūtā nav personām nelabvēlīgākas par sākotnējo tiesību normu </w:t>
            </w:r>
            <w:r w:rsidR="00137F24" w:rsidRPr="00B761BC">
              <w:rPr>
                <w:iCs/>
              </w:rPr>
              <w:t>latos</w:t>
            </w:r>
            <w:r w:rsidR="00137F24">
              <w:rPr>
                <w:iCs/>
              </w:rPr>
              <w:t>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5.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Projekta izstrādē iesaistītās institūcijas</w:t>
            </w:r>
          </w:p>
        </w:tc>
        <w:tc>
          <w:tcPr>
            <w:tcW w:w="3133" w:type="pct"/>
          </w:tcPr>
          <w:p w:rsidR="001A4B0C" w:rsidRPr="00137F24" w:rsidRDefault="00D93E65" w:rsidP="00B761BC">
            <w:pPr>
              <w:jc w:val="both"/>
            </w:pPr>
            <w:r w:rsidRPr="00137F24">
              <w:t>Valsts sociālās apdrošināšanas aģentūra</w:t>
            </w:r>
            <w:r w:rsidR="00CD3EA0" w:rsidRPr="00137F24">
              <w:t>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>6.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Iemesli, kādēļ netika nodrošināta sabiedrības līdzdalība</w:t>
            </w:r>
          </w:p>
        </w:tc>
        <w:tc>
          <w:tcPr>
            <w:tcW w:w="3133" w:type="pct"/>
          </w:tcPr>
          <w:p w:rsidR="001A4B0C" w:rsidRPr="00875BFC" w:rsidRDefault="00D93E65" w:rsidP="00CD3EA0">
            <w:pPr>
              <w:jc w:val="both"/>
            </w:pPr>
            <w:r>
              <w:t xml:space="preserve">       </w:t>
            </w:r>
            <w:r w:rsidR="001A4B0C" w:rsidRPr="00F5706F">
              <w:t>Noteikumu projektam nav nepieciešama sabiedrības līdzdalība, jo noteikumu projekts pēc būtības nodrošina anotācijas I sadaļas 1.punktā minēto uzdevumu tehnisku izpildi.</w:t>
            </w:r>
          </w:p>
        </w:tc>
      </w:tr>
      <w:tr w:rsidR="001A4B0C" w:rsidRPr="003E5430" w:rsidTr="002056DD">
        <w:tc>
          <w:tcPr>
            <w:tcW w:w="213" w:type="pct"/>
          </w:tcPr>
          <w:p w:rsidR="001A4B0C" w:rsidRPr="003E5430" w:rsidRDefault="001A4B0C" w:rsidP="00B76D85">
            <w:r w:rsidRPr="003E5430">
              <w:t xml:space="preserve">7. </w:t>
            </w:r>
          </w:p>
        </w:tc>
        <w:tc>
          <w:tcPr>
            <w:tcW w:w="1654" w:type="pct"/>
          </w:tcPr>
          <w:p w:rsidR="001A4B0C" w:rsidRPr="003E5430" w:rsidRDefault="001A4B0C" w:rsidP="00B76D85">
            <w:r w:rsidRPr="003E5430">
              <w:t>Cita informācija</w:t>
            </w:r>
          </w:p>
        </w:tc>
        <w:tc>
          <w:tcPr>
            <w:tcW w:w="3133" w:type="pct"/>
          </w:tcPr>
          <w:p w:rsidR="00C25E4B" w:rsidRPr="003E5430" w:rsidRDefault="00D93E65" w:rsidP="00F5706F">
            <w:pPr>
              <w:ind w:firstLine="284"/>
              <w:jc w:val="both"/>
            </w:pPr>
            <w:r>
              <w:t xml:space="preserve">Šim projektam ir jābūt apstiprinātam un publicētam oficiālajā izdevumā „Latvijas Vēstnesis” </w:t>
            </w:r>
            <w:r w:rsidRPr="00137F24">
              <w:t xml:space="preserve">līdz </w:t>
            </w:r>
            <w:proofErr w:type="spellStart"/>
            <w:r w:rsidRPr="00137F24">
              <w:t>euro</w:t>
            </w:r>
            <w:proofErr w:type="spellEnd"/>
            <w:r w:rsidRPr="00137F24">
              <w:t xml:space="preserve"> ieviešanas dienai</w:t>
            </w:r>
            <w:r w:rsidR="00CD3EA0" w:rsidRPr="00137F24">
              <w:t>.</w:t>
            </w:r>
          </w:p>
        </w:tc>
      </w:tr>
    </w:tbl>
    <w:p w:rsidR="00163A89" w:rsidRDefault="00163A89" w:rsidP="005261A9"/>
    <w:p w:rsidR="003A40A8" w:rsidRDefault="003A40A8" w:rsidP="003A40A8">
      <w:pPr>
        <w:jc w:val="center"/>
      </w:pPr>
      <w:r w:rsidRPr="00D813B1">
        <w:rPr>
          <w:i/>
        </w:rPr>
        <w:t xml:space="preserve">Anotācijas </w:t>
      </w:r>
      <w:r>
        <w:rPr>
          <w:i/>
        </w:rPr>
        <w:t>II</w:t>
      </w:r>
      <w:r w:rsidRPr="00D813B1">
        <w:rPr>
          <w:i/>
        </w:rPr>
        <w:t xml:space="preserve"> sadaļa </w:t>
      </w:r>
      <w:r>
        <w:rPr>
          <w:i/>
        </w:rPr>
        <w:t xml:space="preserve">– </w:t>
      </w:r>
      <w:r w:rsidRPr="0034484D">
        <w:rPr>
          <w:i/>
        </w:rPr>
        <w:t xml:space="preserve">projekts </w:t>
      </w:r>
      <w:r>
        <w:rPr>
          <w:i/>
        </w:rPr>
        <w:t>šo</w:t>
      </w:r>
      <w:r w:rsidRPr="0034484D">
        <w:rPr>
          <w:i/>
        </w:rPr>
        <w:t xml:space="preserve"> jom</w:t>
      </w:r>
      <w:r>
        <w:rPr>
          <w:i/>
        </w:rPr>
        <w:t>u</w:t>
      </w:r>
      <w:r w:rsidRPr="0034484D">
        <w:rPr>
          <w:i/>
        </w:rPr>
        <w:t xml:space="preserve"> neskar</w:t>
      </w:r>
    </w:p>
    <w:p w:rsidR="003A40A8" w:rsidRDefault="003A40A8" w:rsidP="005261A9"/>
    <w:p w:rsidR="003A40A8" w:rsidRDefault="003A40A8" w:rsidP="005261A9"/>
    <w:tbl>
      <w:tblPr>
        <w:tblW w:w="9239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331"/>
        <w:gridCol w:w="1354"/>
        <w:gridCol w:w="1354"/>
        <w:gridCol w:w="1355"/>
        <w:gridCol w:w="1406"/>
      </w:tblGrid>
      <w:tr w:rsidR="003D28E4" w:rsidRPr="00B22D61" w:rsidTr="003D28E4">
        <w:trPr>
          <w:trHeight w:val="652"/>
          <w:jc w:val="center"/>
        </w:trPr>
        <w:tc>
          <w:tcPr>
            <w:tcW w:w="9239" w:type="dxa"/>
            <w:gridSpan w:val="6"/>
          </w:tcPr>
          <w:p w:rsidR="003D28E4" w:rsidRPr="00B22D61" w:rsidRDefault="003D28E4" w:rsidP="00F66F24">
            <w:pPr>
              <w:pStyle w:val="naisnod"/>
              <w:spacing w:before="0" w:after="0"/>
              <w:rPr>
                <w:i/>
              </w:rPr>
            </w:pPr>
            <w:r w:rsidRPr="00B22D61">
              <w:br w:type="page"/>
              <w:t>III. Tiesību akta projekta ietekme uz valsts budžetu un pašvaldību budžetiem</w:t>
            </w: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  <w:vMerge w:val="restart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22D61">
              <w:rPr>
                <w:b/>
              </w:rPr>
              <w:t>Rādītāji</w:t>
            </w:r>
          </w:p>
        </w:tc>
        <w:tc>
          <w:tcPr>
            <w:tcW w:w="2685" w:type="dxa"/>
            <w:gridSpan w:val="2"/>
            <w:vMerge w:val="restart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B22D61">
              <w:rPr>
                <w:b/>
              </w:rPr>
              <w:t>n-tais gads</w:t>
            </w:r>
          </w:p>
        </w:tc>
        <w:tc>
          <w:tcPr>
            <w:tcW w:w="4115" w:type="dxa"/>
            <w:gridSpan w:val="3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t>Turpmākie trīs gadi (tūkst</w:t>
            </w:r>
            <w:smartTag w:uri="schemas-tilde-lv/tildestengine" w:element="currency2">
              <w:smartTagPr>
                <w:attr w:name="currency_text" w:val="latu"/>
                <w:attr w:name="currency_value" w:val="."/>
                <w:attr w:name="currency_key" w:val="LVL"/>
                <w:attr w:name="currency_id" w:val="48"/>
              </w:smartTagPr>
              <w:r w:rsidRPr="00B22D61">
                <w:t>. latu</w:t>
              </w:r>
            </w:smartTag>
            <w:r w:rsidRPr="00B22D61">
              <w:t>)</w:t>
            </w: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  <w:vMerge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685" w:type="dxa"/>
            <w:gridSpan w:val="2"/>
            <w:vMerge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54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rPr>
                <w:b/>
                <w:bCs/>
              </w:rPr>
              <w:t>n+1</w:t>
            </w:r>
          </w:p>
        </w:tc>
        <w:tc>
          <w:tcPr>
            <w:tcW w:w="1355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rPr>
                <w:b/>
                <w:bCs/>
              </w:rPr>
              <w:t>n+2</w:t>
            </w:r>
          </w:p>
        </w:tc>
        <w:tc>
          <w:tcPr>
            <w:tcW w:w="1406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rPr>
                <w:b/>
                <w:bCs/>
              </w:rPr>
              <w:t>n+3</w:t>
            </w: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  <w:vMerge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31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t xml:space="preserve">Saskaņā ar valsts budžetu kārtējam </w:t>
            </w:r>
            <w:r w:rsidRPr="00B22D61">
              <w:lastRenderedPageBreak/>
              <w:t>gadam</w:t>
            </w:r>
          </w:p>
        </w:tc>
        <w:tc>
          <w:tcPr>
            <w:tcW w:w="1354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lastRenderedPageBreak/>
              <w:t xml:space="preserve">Izmaiņas kārtējā gadā, salīdzinot </w:t>
            </w:r>
            <w:r w:rsidRPr="00B22D61">
              <w:lastRenderedPageBreak/>
              <w:t>ar budžetu kārtējam gadam</w:t>
            </w:r>
          </w:p>
        </w:tc>
        <w:tc>
          <w:tcPr>
            <w:tcW w:w="1354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lastRenderedPageBreak/>
              <w:t>Izmaiņas, salīdzinot ar kārtējo (n) gadu</w:t>
            </w:r>
          </w:p>
        </w:tc>
        <w:tc>
          <w:tcPr>
            <w:tcW w:w="1355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t>Izmaiņas, salīdzinot ar kārtējo (n) gadu</w:t>
            </w:r>
          </w:p>
        </w:tc>
        <w:tc>
          <w:tcPr>
            <w:tcW w:w="1406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/>
                <w:i/>
              </w:rPr>
            </w:pPr>
            <w:r w:rsidRPr="00B22D61">
              <w:t>Izmaiņas, salīdzinot ar kārtējo (n) gadu</w:t>
            </w: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2D61">
              <w:rPr>
                <w:bCs/>
              </w:rPr>
              <w:lastRenderedPageBreak/>
              <w:t>1</w:t>
            </w:r>
          </w:p>
        </w:tc>
        <w:tc>
          <w:tcPr>
            <w:tcW w:w="1331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2D61">
              <w:rPr>
                <w:bCs/>
              </w:rPr>
              <w:t>2</w:t>
            </w:r>
          </w:p>
        </w:tc>
        <w:tc>
          <w:tcPr>
            <w:tcW w:w="1354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2D61">
              <w:rPr>
                <w:bCs/>
              </w:rPr>
              <w:t>3</w:t>
            </w:r>
          </w:p>
        </w:tc>
        <w:tc>
          <w:tcPr>
            <w:tcW w:w="1354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2D61">
              <w:rPr>
                <w:bCs/>
              </w:rPr>
              <w:t>4</w:t>
            </w:r>
          </w:p>
        </w:tc>
        <w:tc>
          <w:tcPr>
            <w:tcW w:w="1355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2D61">
              <w:rPr>
                <w:bCs/>
              </w:rPr>
              <w:t>5</w:t>
            </w:r>
          </w:p>
        </w:tc>
        <w:tc>
          <w:tcPr>
            <w:tcW w:w="1406" w:type="dxa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bCs/>
              </w:rPr>
            </w:pPr>
            <w:r w:rsidRPr="00B22D61">
              <w:rPr>
                <w:bCs/>
              </w:rPr>
              <w:t>6</w:t>
            </w: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i/>
              </w:rPr>
            </w:pPr>
            <w:r w:rsidRPr="00B22D61">
              <w:t>1. Budžeta ieņēmumi: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i/>
              </w:rPr>
            </w:pPr>
            <w:r w:rsidRPr="00B22D61">
              <w:t>1.1. valsts pamatbudžets, tai skaitā ieņēmumi no maksas pakalpo-</w:t>
            </w:r>
            <w:proofErr w:type="spellStart"/>
            <w:r w:rsidRPr="00B22D61">
              <w:t>jumiem</w:t>
            </w:r>
            <w:proofErr w:type="spellEnd"/>
            <w:r w:rsidRPr="00B22D61">
              <w:t xml:space="preserve"> un citi pašu ieņēmumi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i/>
              </w:rPr>
            </w:pPr>
            <w:r w:rsidRPr="00B22D61">
              <w:t>1.2. valsts speciālais budžets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i/>
              </w:rPr>
            </w:pPr>
            <w:r w:rsidRPr="00B22D61">
              <w:t>1.3. pašvaldību budžets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2. Budžeta izdevumi: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2.1. valsts pamatbudžets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2.2. valsts speciālais budžets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 xml:space="preserve">2.3. pašvaldību budžets </w:t>
            </w:r>
          </w:p>
        </w:tc>
        <w:tc>
          <w:tcPr>
            <w:tcW w:w="1331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3. Finansiālā ietekme: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3.1. valsts pamatbudžets</w:t>
            </w:r>
          </w:p>
        </w:tc>
        <w:tc>
          <w:tcPr>
            <w:tcW w:w="1331" w:type="dxa"/>
            <w:shd w:val="clear" w:color="auto" w:fill="auto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3.2. speciālais budžets</w:t>
            </w:r>
          </w:p>
        </w:tc>
        <w:tc>
          <w:tcPr>
            <w:tcW w:w="1331" w:type="dxa"/>
            <w:shd w:val="clear" w:color="auto" w:fill="auto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 xml:space="preserve">3.3. pašvaldību budžets </w:t>
            </w:r>
          </w:p>
        </w:tc>
        <w:tc>
          <w:tcPr>
            <w:tcW w:w="1331" w:type="dxa"/>
            <w:shd w:val="clear" w:color="auto" w:fill="auto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  <w:vMerge w:val="restart"/>
          </w:tcPr>
          <w:p w:rsidR="003D28E4" w:rsidRPr="00B22D61" w:rsidRDefault="003D28E4" w:rsidP="00F66F24">
            <w:pPr>
              <w:jc w:val="both"/>
            </w:pPr>
            <w:r w:rsidRPr="00B22D61">
              <w:t>4. Finanšu līdzekļi papildu izde</w:t>
            </w:r>
            <w:r w:rsidRPr="00B22D61">
              <w:softHyphen/>
              <w:t>vumu finansēšanai (kompensējošu izdevumu samazinājumu norāda ar "+" zīmi)</w:t>
            </w:r>
          </w:p>
        </w:tc>
        <w:tc>
          <w:tcPr>
            <w:tcW w:w="1331" w:type="dxa"/>
            <w:vMerge w:val="restart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22D61">
              <w:t>X</w:t>
            </w: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  <w:vMerge/>
          </w:tcPr>
          <w:p w:rsidR="003D28E4" w:rsidRPr="00B22D61" w:rsidRDefault="003D28E4" w:rsidP="00F66F24">
            <w:pPr>
              <w:jc w:val="both"/>
            </w:pPr>
          </w:p>
        </w:tc>
        <w:tc>
          <w:tcPr>
            <w:tcW w:w="1331" w:type="dxa"/>
            <w:vMerge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  <w:vMerge/>
          </w:tcPr>
          <w:p w:rsidR="003D28E4" w:rsidRPr="00B22D61" w:rsidRDefault="003D28E4" w:rsidP="00F66F24">
            <w:pPr>
              <w:jc w:val="both"/>
            </w:pPr>
          </w:p>
        </w:tc>
        <w:tc>
          <w:tcPr>
            <w:tcW w:w="1331" w:type="dxa"/>
            <w:vMerge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left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5. Precizēta finansiālā ietekme:</w:t>
            </w:r>
          </w:p>
        </w:tc>
        <w:tc>
          <w:tcPr>
            <w:tcW w:w="1331" w:type="dxa"/>
            <w:vMerge w:val="restart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  <w:r w:rsidRPr="00B22D61">
              <w:t>X</w:t>
            </w: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5.1. valsts pamatbudžets</w:t>
            </w:r>
          </w:p>
        </w:tc>
        <w:tc>
          <w:tcPr>
            <w:tcW w:w="1331" w:type="dxa"/>
            <w:vMerge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5.2. speciālais budžets</w:t>
            </w:r>
          </w:p>
        </w:tc>
        <w:tc>
          <w:tcPr>
            <w:tcW w:w="1331" w:type="dxa"/>
            <w:vMerge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 xml:space="preserve">5.3. pašvaldību budžets </w:t>
            </w:r>
          </w:p>
        </w:tc>
        <w:tc>
          <w:tcPr>
            <w:tcW w:w="1331" w:type="dxa"/>
            <w:vMerge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jc w:val="center"/>
              <w:rPr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4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355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  <w:tc>
          <w:tcPr>
            <w:tcW w:w="1406" w:type="dxa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6. Detalizēts ieņēmumu un izdevu</w:t>
            </w:r>
            <w:r w:rsidRPr="00B22D61">
              <w:softHyphen/>
              <w:t xml:space="preserve">mu aprēķins (ja nepieciešams, detalizētu ieņēmumu un izdevumu aprēķinu </w:t>
            </w:r>
            <w:r w:rsidRPr="00B22D61">
              <w:lastRenderedPageBreak/>
              <w:t>var pievienot anotācijas pielikumā):</w:t>
            </w:r>
          </w:p>
        </w:tc>
        <w:tc>
          <w:tcPr>
            <w:tcW w:w="6800" w:type="dxa"/>
            <w:gridSpan w:val="5"/>
            <w:vMerge w:val="restart"/>
            <w:vAlign w:val="center"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lastRenderedPageBreak/>
              <w:t>6.1. detalizēts ieņēmumu aprēķins</w:t>
            </w:r>
          </w:p>
        </w:tc>
        <w:tc>
          <w:tcPr>
            <w:tcW w:w="6800" w:type="dxa"/>
            <w:gridSpan w:val="5"/>
            <w:vMerge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B22D61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6.2. detalizēts izdevumu aprēķins</w:t>
            </w:r>
          </w:p>
        </w:tc>
        <w:tc>
          <w:tcPr>
            <w:tcW w:w="6800" w:type="dxa"/>
            <w:gridSpan w:val="5"/>
            <w:vMerge/>
          </w:tcPr>
          <w:p w:rsidR="003D28E4" w:rsidRPr="00B22D61" w:rsidRDefault="003D28E4" w:rsidP="00F66F24">
            <w:pPr>
              <w:pStyle w:val="naisf"/>
              <w:spacing w:before="0" w:after="0"/>
              <w:ind w:firstLine="0"/>
              <w:rPr>
                <w:b/>
                <w:i/>
              </w:rPr>
            </w:pPr>
          </w:p>
        </w:tc>
      </w:tr>
      <w:tr w:rsidR="003D28E4" w:rsidRPr="00172754" w:rsidTr="003D28E4">
        <w:trPr>
          <w:jc w:val="center"/>
        </w:trPr>
        <w:tc>
          <w:tcPr>
            <w:tcW w:w="2439" w:type="dxa"/>
          </w:tcPr>
          <w:p w:rsidR="003D28E4" w:rsidRPr="00B22D61" w:rsidRDefault="003D28E4" w:rsidP="00F66F24">
            <w:pPr>
              <w:jc w:val="both"/>
            </w:pPr>
            <w:r w:rsidRPr="00B22D61">
              <w:t>7. Cita informācija</w:t>
            </w:r>
          </w:p>
        </w:tc>
        <w:tc>
          <w:tcPr>
            <w:tcW w:w="6800" w:type="dxa"/>
            <w:gridSpan w:val="5"/>
          </w:tcPr>
          <w:p w:rsidR="003D28E4" w:rsidRPr="00255075" w:rsidRDefault="003D28E4" w:rsidP="00F66F24">
            <w:pPr>
              <w:ind w:firstLine="639"/>
              <w:jc w:val="both"/>
            </w:pPr>
            <w:r w:rsidRPr="00255075">
              <w:rPr>
                <w:color w:val="000000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</w:t>
            </w:r>
          </w:p>
          <w:p w:rsidR="003D28E4" w:rsidRPr="00172754" w:rsidRDefault="003D28E4" w:rsidP="00EB3B05">
            <w:pPr>
              <w:jc w:val="both"/>
            </w:pPr>
            <w:r>
              <w:t xml:space="preserve">           </w:t>
            </w:r>
            <w:r w:rsidR="00EB3B05">
              <w:t xml:space="preserve">Noteikumu projekts </w:t>
            </w:r>
            <w:r>
              <w:t xml:space="preserve">nerada ietekmi </w:t>
            </w:r>
            <w:r w:rsidRPr="00AC6CDA">
              <w:t>uz valsts budžetu</w:t>
            </w:r>
            <w:r>
              <w:t>, jo l</w:t>
            </w:r>
            <w:r w:rsidRPr="004C50E3">
              <w:t xml:space="preserve">atu konvertācija veikta atbilstoši matemātikas noapaļošanas principiem. </w:t>
            </w:r>
          </w:p>
        </w:tc>
      </w:tr>
    </w:tbl>
    <w:p w:rsidR="003D28E4" w:rsidRDefault="003D28E4" w:rsidP="005261A9"/>
    <w:p w:rsidR="00163A89" w:rsidRDefault="00163A89" w:rsidP="00C500DA">
      <w:pPr>
        <w:pStyle w:val="naisf"/>
        <w:spacing w:before="120" w:after="0"/>
        <w:jc w:val="center"/>
      </w:pPr>
      <w:r w:rsidRPr="00D813B1">
        <w:rPr>
          <w:i/>
        </w:rPr>
        <w:t xml:space="preserve">Anotācijas </w:t>
      </w:r>
      <w:r>
        <w:rPr>
          <w:i/>
        </w:rPr>
        <w:t>IV</w:t>
      </w:r>
      <w:r w:rsidR="001A4B0C">
        <w:rPr>
          <w:i/>
        </w:rPr>
        <w:t>,</w:t>
      </w:r>
      <w:r w:rsidRPr="00AF0727">
        <w:rPr>
          <w:i/>
        </w:rPr>
        <w:t xml:space="preserve"> </w:t>
      </w:r>
      <w:r w:rsidRPr="00D813B1">
        <w:rPr>
          <w:i/>
        </w:rPr>
        <w:t>V</w:t>
      </w:r>
      <w:r>
        <w:rPr>
          <w:i/>
        </w:rPr>
        <w:t>, VI</w:t>
      </w:r>
      <w:r w:rsidR="001A4B0C">
        <w:rPr>
          <w:i/>
        </w:rPr>
        <w:t>, VII</w:t>
      </w:r>
      <w:r w:rsidRPr="00D813B1">
        <w:rPr>
          <w:i/>
        </w:rPr>
        <w:t xml:space="preserve"> sadaļa </w:t>
      </w:r>
      <w:r>
        <w:rPr>
          <w:i/>
        </w:rPr>
        <w:t xml:space="preserve">– </w:t>
      </w:r>
      <w:r w:rsidRPr="0034484D">
        <w:rPr>
          <w:i/>
        </w:rPr>
        <w:t>projekts šīs jomas neskar</w:t>
      </w:r>
      <w:r w:rsidRPr="00D813B1">
        <w:rPr>
          <w:i/>
        </w:rPr>
        <w:t>.</w:t>
      </w:r>
    </w:p>
    <w:p w:rsidR="00163A89" w:rsidRDefault="00163A89">
      <w:pPr>
        <w:rPr>
          <w:rStyle w:val="spelle"/>
        </w:rPr>
      </w:pPr>
    </w:p>
    <w:p w:rsidR="00D93E65" w:rsidRDefault="00D93E65">
      <w:pPr>
        <w:rPr>
          <w:rStyle w:val="spelle"/>
        </w:rPr>
      </w:pPr>
    </w:p>
    <w:p w:rsidR="00163A89" w:rsidRDefault="00163A89" w:rsidP="00B808C8">
      <w:r w:rsidRPr="00444108">
        <w:rPr>
          <w:sz w:val="28"/>
          <w:szCs w:val="28"/>
        </w:rPr>
        <w:t>Labklājības ministre</w:t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r w:rsidRPr="00444108">
        <w:rPr>
          <w:sz w:val="28"/>
          <w:szCs w:val="28"/>
        </w:rPr>
        <w:tab/>
      </w:r>
      <w:proofErr w:type="spellStart"/>
      <w:r w:rsidRPr="00444108">
        <w:rPr>
          <w:sz w:val="28"/>
          <w:szCs w:val="28"/>
        </w:rPr>
        <w:t>I.Viņķele</w:t>
      </w:r>
      <w:proofErr w:type="spellEnd"/>
    </w:p>
    <w:p w:rsidR="00163A89" w:rsidRDefault="00163A89" w:rsidP="00194614">
      <w:pPr>
        <w:pStyle w:val="Footer"/>
      </w:pPr>
    </w:p>
    <w:p w:rsidR="00137F24" w:rsidRDefault="00137F24" w:rsidP="00194614">
      <w:pPr>
        <w:pStyle w:val="Footer"/>
      </w:pPr>
    </w:p>
    <w:p w:rsidR="00353B5B" w:rsidRDefault="00353B5B" w:rsidP="00194614">
      <w:pPr>
        <w:pStyle w:val="Footer"/>
      </w:pPr>
    </w:p>
    <w:p w:rsidR="00FE4BD0" w:rsidRDefault="00FE4BD0" w:rsidP="004E63EA">
      <w:pPr>
        <w:rPr>
          <w:sz w:val="20"/>
          <w:szCs w:val="20"/>
        </w:rPr>
      </w:pPr>
      <w:r>
        <w:rPr>
          <w:sz w:val="20"/>
          <w:szCs w:val="20"/>
        </w:rPr>
        <w:t>2013.08.01. 12:40</w:t>
      </w:r>
    </w:p>
    <w:p w:rsidR="00163A89" w:rsidRPr="00107D16" w:rsidRDefault="003A40A8" w:rsidP="004E63EA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456</w:t>
      </w:r>
    </w:p>
    <w:p w:rsidR="00163A89" w:rsidRPr="00107D16" w:rsidRDefault="001A4B0C" w:rsidP="004E63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S.Rucka</w:t>
      </w:r>
      <w:proofErr w:type="spellEnd"/>
    </w:p>
    <w:p w:rsidR="00163A89" w:rsidRPr="00C6798F" w:rsidRDefault="00163A89" w:rsidP="00C6798F">
      <w:pPr>
        <w:rPr>
          <w:sz w:val="20"/>
          <w:szCs w:val="20"/>
        </w:rPr>
      </w:pPr>
      <w:r>
        <w:rPr>
          <w:sz w:val="20"/>
          <w:szCs w:val="20"/>
        </w:rPr>
        <w:t>tel.67021562</w:t>
      </w:r>
      <w:r w:rsidRPr="00C6798F">
        <w:rPr>
          <w:sz w:val="20"/>
          <w:szCs w:val="20"/>
        </w:rPr>
        <w:t>, fax.67021560</w:t>
      </w:r>
    </w:p>
    <w:p w:rsidR="00C25E4B" w:rsidRDefault="00FE4BD0" w:rsidP="004E63EA">
      <w:pPr>
        <w:rPr>
          <w:sz w:val="20"/>
          <w:szCs w:val="20"/>
        </w:rPr>
      </w:pPr>
      <w:hyperlink r:id="rId8" w:history="1">
        <w:r w:rsidR="00C25E4B" w:rsidRPr="00F73615">
          <w:rPr>
            <w:rStyle w:val="Hyperlink"/>
            <w:sz w:val="20"/>
            <w:szCs w:val="20"/>
          </w:rPr>
          <w:t>Sandra.Rucka@lm.gov.lv</w:t>
        </w:r>
      </w:hyperlink>
    </w:p>
    <w:sectPr w:rsidR="00C25E4B" w:rsidSect="00692077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89" w:rsidRDefault="00163A89">
      <w:r>
        <w:separator/>
      </w:r>
    </w:p>
  </w:endnote>
  <w:endnote w:type="continuationSeparator" w:id="0">
    <w:p w:rsidR="00163A89" w:rsidRDefault="0016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-Book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B808C8" w:rsidRDefault="00163A89" w:rsidP="00F148DE">
    <w:pPr>
      <w:pStyle w:val="BodyText"/>
      <w:jc w:val="both"/>
      <w:rPr>
        <w:sz w:val="20"/>
        <w:szCs w:val="20"/>
      </w:rPr>
    </w:pPr>
    <w:r w:rsidRPr="00B808C8">
      <w:rPr>
        <w:sz w:val="20"/>
        <w:szCs w:val="20"/>
      </w:rPr>
      <w:fldChar w:fldCharType="begin"/>
    </w:r>
    <w:r w:rsidRPr="00B808C8">
      <w:rPr>
        <w:sz w:val="20"/>
        <w:szCs w:val="20"/>
      </w:rPr>
      <w:instrText xml:space="preserve"> FILENAME </w:instrText>
    </w:r>
    <w:r w:rsidRPr="00B808C8">
      <w:rPr>
        <w:sz w:val="20"/>
        <w:szCs w:val="20"/>
      </w:rPr>
      <w:fldChar w:fldCharType="separate"/>
    </w:r>
    <w:r w:rsidR="00FE4BD0">
      <w:rPr>
        <w:noProof/>
        <w:sz w:val="20"/>
        <w:szCs w:val="20"/>
      </w:rPr>
      <w:t>LManot_010813_230</w:t>
    </w:r>
    <w:r w:rsidRPr="00B808C8">
      <w:rPr>
        <w:sz w:val="20"/>
        <w:szCs w:val="20"/>
      </w:rPr>
      <w:fldChar w:fldCharType="end"/>
    </w:r>
    <w:r w:rsidRPr="00B808C8">
      <w:rPr>
        <w:sz w:val="20"/>
        <w:szCs w:val="20"/>
      </w:rPr>
      <w:t>; Grozījumi Ministru kabineta 200</w:t>
    </w:r>
    <w:r w:rsidR="005B1547">
      <w:rPr>
        <w:sz w:val="20"/>
        <w:szCs w:val="20"/>
      </w:rPr>
      <w:t>1</w:t>
    </w:r>
    <w:r w:rsidRPr="00B808C8">
      <w:rPr>
        <w:sz w:val="20"/>
        <w:szCs w:val="20"/>
      </w:rPr>
      <w:t xml:space="preserve">.gada </w:t>
    </w:r>
    <w:r w:rsidR="005B1547">
      <w:rPr>
        <w:sz w:val="20"/>
        <w:szCs w:val="20"/>
      </w:rPr>
      <w:t xml:space="preserve">5.jūnija </w:t>
    </w:r>
    <w:r w:rsidRPr="00B808C8">
      <w:rPr>
        <w:sz w:val="20"/>
        <w:szCs w:val="20"/>
      </w:rPr>
      <w:t>noteikumos Nr.</w:t>
    </w:r>
    <w:r w:rsidR="005B1547">
      <w:rPr>
        <w:sz w:val="20"/>
        <w:szCs w:val="20"/>
      </w:rPr>
      <w:t>230</w:t>
    </w:r>
    <w:r w:rsidRPr="00B808C8">
      <w:rPr>
        <w:sz w:val="20"/>
        <w:szCs w:val="20"/>
      </w:rPr>
      <w:t xml:space="preserve"> „Noteikumi par valsts sociālās apdrošināšanas obligāt</w:t>
    </w:r>
    <w:r w:rsidR="005B1547">
      <w:rPr>
        <w:sz w:val="20"/>
        <w:szCs w:val="20"/>
      </w:rPr>
      <w:t>ajām i</w:t>
    </w:r>
    <w:r w:rsidRPr="00B808C8">
      <w:rPr>
        <w:sz w:val="20"/>
        <w:szCs w:val="20"/>
      </w:rPr>
      <w:t>emaks</w:t>
    </w:r>
    <w:r w:rsidR="005B1547">
      <w:rPr>
        <w:sz w:val="20"/>
        <w:szCs w:val="20"/>
      </w:rPr>
      <w:t>ām no valsts pamatbudžeta un valsts sociālās apdrošināšanas speciālajiem budžetiem</w:t>
    </w:r>
    <w:r w:rsidRPr="00B808C8">
      <w:rPr>
        <w:sz w:val="20"/>
        <w:szCs w:val="20"/>
      </w:rPr>
      <w:t>”</w:t>
    </w:r>
  </w:p>
  <w:p w:rsidR="00163A89" w:rsidRDefault="00163A89" w:rsidP="00D86894">
    <w:pPr>
      <w:pStyle w:val="BodyText"/>
      <w:jc w:val="both"/>
      <w:rPr>
        <w:sz w:val="20"/>
        <w:szCs w:val="20"/>
      </w:rPr>
    </w:pPr>
  </w:p>
  <w:p w:rsidR="00163A89" w:rsidRPr="00D86894" w:rsidRDefault="00163A89" w:rsidP="00D86894">
    <w:pPr>
      <w:pStyle w:val="BodyText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Pr="00F148DE" w:rsidRDefault="00163A89" w:rsidP="00D86894">
    <w:pPr>
      <w:pStyle w:val="BodyText"/>
      <w:jc w:val="both"/>
      <w:rPr>
        <w:sz w:val="20"/>
        <w:szCs w:val="20"/>
      </w:rPr>
    </w:pPr>
    <w:r w:rsidRPr="00B352A9">
      <w:rPr>
        <w:sz w:val="20"/>
        <w:szCs w:val="20"/>
      </w:rPr>
      <w:fldChar w:fldCharType="begin"/>
    </w:r>
    <w:r w:rsidRPr="00B352A9">
      <w:rPr>
        <w:sz w:val="20"/>
        <w:szCs w:val="20"/>
      </w:rPr>
      <w:instrText xml:space="preserve"> FILENAME </w:instrText>
    </w:r>
    <w:r w:rsidRPr="00B352A9">
      <w:rPr>
        <w:sz w:val="20"/>
        <w:szCs w:val="20"/>
      </w:rPr>
      <w:fldChar w:fldCharType="separate"/>
    </w:r>
    <w:r w:rsidR="00FE4BD0">
      <w:rPr>
        <w:noProof/>
        <w:sz w:val="20"/>
        <w:szCs w:val="20"/>
      </w:rPr>
      <w:t>LManot_010813_230</w:t>
    </w:r>
    <w:r w:rsidRPr="00B352A9">
      <w:rPr>
        <w:sz w:val="20"/>
        <w:szCs w:val="20"/>
      </w:rPr>
      <w:fldChar w:fldCharType="end"/>
    </w:r>
    <w:r w:rsidRPr="00F148DE">
      <w:rPr>
        <w:sz w:val="20"/>
        <w:szCs w:val="20"/>
      </w:rPr>
      <w:t>; Grozījumi Ministru kabineta 20</w:t>
    </w:r>
    <w:r>
      <w:rPr>
        <w:sz w:val="20"/>
        <w:szCs w:val="20"/>
      </w:rPr>
      <w:t>0</w:t>
    </w:r>
    <w:r w:rsidR="005B1547">
      <w:rPr>
        <w:sz w:val="20"/>
        <w:szCs w:val="20"/>
      </w:rPr>
      <w:t>1</w:t>
    </w:r>
    <w:r w:rsidRPr="00F148DE">
      <w:rPr>
        <w:sz w:val="20"/>
        <w:szCs w:val="20"/>
      </w:rPr>
      <w:t xml:space="preserve">.gada </w:t>
    </w:r>
    <w:r w:rsidR="005B1547">
      <w:rPr>
        <w:sz w:val="20"/>
        <w:szCs w:val="20"/>
      </w:rPr>
      <w:t xml:space="preserve">5.jūnija </w:t>
    </w:r>
    <w:r w:rsidRPr="00F148DE">
      <w:rPr>
        <w:sz w:val="20"/>
        <w:szCs w:val="20"/>
      </w:rPr>
      <w:t>noteikumos Nr.</w:t>
    </w:r>
    <w:r w:rsidR="005B1547">
      <w:rPr>
        <w:sz w:val="20"/>
        <w:szCs w:val="20"/>
      </w:rPr>
      <w:t>230</w:t>
    </w:r>
    <w:r w:rsidRPr="00F148DE">
      <w:rPr>
        <w:sz w:val="20"/>
        <w:szCs w:val="20"/>
      </w:rPr>
      <w:t xml:space="preserve"> „Noteikumi par valsts sociālās apdrošināšanas obligāt</w:t>
    </w:r>
    <w:r w:rsidR="005B1547">
      <w:rPr>
        <w:sz w:val="20"/>
        <w:szCs w:val="20"/>
      </w:rPr>
      <w:t>ajām iemaksām no valsts pamatbudžeta un valsts sociālās apdrošināšanas speciālajiem budžetiem</w:t>
    </w:r>
    <w:r w:rsidRPr="00F148D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89" w:rsidRDefault="00163A89">
      <w:r>
        <w:separator/>
      </w:r>
    </w:p>
  </w:footnote>
  <w:footnote w:type="continuationSeparator" w:id="0">
    <w:p w:rsidR="00163A89" w:rsidRDefault="00163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89" w:rsidRDefault="00163A89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4BD0">
      <w:rPr>
        <w:rStyle w:val="PageNumber"/>
        <w:noProof/>
      </w:rPr>
      <w:t>3</w:t>
    </w:r>
    <w:r>
      <w:rPr>
        <w:rStyle w:val="PageNumber"/>
      </w:rPr>
      <w:fldChar w:fldCharType="end"/>
    </w:r>
  </w:p>
  <w:p w:rsidR="00163A89" w:rsidRDefault="00163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460934"/>
    <w:lvl w:ilvl="0">
      <w:numFmt w:val="bullet"/>
      <w:lvlText w:val="*"/>
      <w:lvlJc w:val="left"/>
    </w:lvl>
  </w:abstractNum>
  <w:abstractNum w:abstractNumId="1">
    <w:nsid w:val="0C8B7306"/>
    <w:multiLevelType w:val="hybridMultilevel"/>
    <w:tmpl w:val="03065034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B717DD7"/>
    <w:multiLevelType w:val="hybridMultilevel"/>
    <w:tmpl w:val="3C9A6658"/>
    <w:lvl w:ilvl="0" w:tplc="76B8054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9054D"/>
    <w:multiLevelType w:val="hybridMultilevel"/>
    <w:tmpl w:val="F69E8CC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91799"/>
    <w:multiLevelType w:val="hybridMultilevel"/>
    <w:tmpl w:val="DE32C8F6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DF59F8"/>
    <w:multiLevelType w:val="hybridMultilevel"/>
    <w:tmpl w:val="B3508D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A2A47"/>
    <w:multiLevelType w:val="hybridMultilevel"/>
    <w:tmpl w:val="5788872A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C6A7995"/>
    <w:multiLevelType w:val="hybridMultilevel"/>
    <w:tmpl w:val="6FF476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252ADE"/>
    <w:multiLevelType w:val="hybridMultilevel"/>
    <w:tmpl w:val="055C07AA"/>
    <w:lvl w:ilvl="0" w:tplc="67DA7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78B71E0"/>
    <w:multiLevelType w:val="hybridMultilevel"/>
    <w:tmpl w:val="EF148A72"/>
    <w:lvl w:ilvl="0" w:tplc="93F82FC4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14756B5"/>
    <w:multiLevelType w:val="multilevel"/>
    <w:tmpl w:val="F69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04AFD"/>
    <w:multiLevelType w:val="hybridMultilevel"/>
    <w:tmpl w:val="FD0428C4"/>
    <w:lvl w:ilvl="0" w:tplc="93F82FC4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5F0F066C"/>
    <w:multiLevelType w:val="hybridMultilevel"/>
    <w:tmpl w:val="6560A08C"/>
    <w:lvl w:ilvl="0" w:tplc="95A084D6">
      <w:start w:val="1"/>
      <w:numFmt w:val="decimal"/>
      <w:lvlText w:val="%1)"/>
      <w:lvlJc w:val="left"/>
      <w:pPr>
        <w:ind w:left="1032" w:hanging="6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2" w:hanging="360"/>
      </w:pPr>
    </w:lvl>
    <w:lvl w:ilvl="2" w:tplc="0426001B" w:tentative="1">
      <w:start w:val="1"/>
      <w:numFmt w:val="lowerRoman"/>
      <w:lvlText w:val="%3."/>
      <w:lvlJc w:val="right"/>
      <w:pPr>
        <w:ind w:left="2172" w:hanging="180"/>
      </w:pPr>
    </w:lvl>
    <w:lvl w:ilvl="3" w:tplc="0426000F" w:tentative="1">
      <w:start w:val="1"/>
      <w:numFmt w:val="decimal"/>
      <w:lvlText w:val="%4."/>
      <w:lvlJc w:val="left"/>
      <w:pPr>
        <w:ind w:left="2892" w:hanging="360"/>
      </w:pPr>
    </w:lvl>
    <w:lvl w:ilvl="4" w:tplc="04260019" w:tentative="1">
      <w:start w:val="1"/>
      <w:numFmt w:val="lowerLetter"/>
      <w:lvlText w:val="%5."/>
      <w:lvlJc w:val="left"/>
      <w:pPr>
        <w:ind w:left="3612" w:hanging="360"/>
      </w:pPr>
    </w:lvl>
    <w:lvl w:ilvl="5" w:tplc="0426001B" w:tentative="1">
      <w:start w:val="1"/>
      <w:numFmt w:val="lowerRoman"/>
      <w:lvlText w:val="%6."/>
      <w:lvlJc w:val="right"/>
      <w:pPr>
        <w:ind w:left="4332" w:hanging="180"/>
      </w:pPr>
    </w:lvl>
    <w:lvl w:ilvl="6" w:tplc="0426000F" w:tentative="1">
      <w:start w:val="1"/>
      <w:numFmt w:val="decimal"/>
      <w:lvlText w:val="%7."/>
      <w:lvlJc w:val="left"/>
      <w:pPr>
        <w:ind w:left="5052" w:hanging="360"/>
      </w:pPr>
    </w:lvl>
    <w:lvl w:ilvl="7" w:tplc="04260019" w:tentative="1">
      <w:start w:val="1"/>
      <w:numFmt w:val="lowerLetter"/>
      <w:lvlText w:val="%8."/>
      <w:lvlJc w:val="left"/>
      <w:pPr>
        <w:ind w:left="5772" w:hanging="360"/>
      </w:pPr>
    </w:lvl>
    <w:lvl w:ilvl="8" w:tplc="0426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>
    <w:nsid w:val="6D923EF1"/>
    <w:multiLevelType w:val="hybridMultilevel"/>
    <w:tmpl w:val="01E64954"/>
    <w:lvl w:ilvl="0" w:tplc="870AF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EC0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1">
    <w:abstractNumId w:val="14"/>
  </w:num>
  <w:num w:numId="12">
    <w:abstractNumId w:val="8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85"/>
    <w:rsid w:val="00005324"/>
    <w:rsid w:val="0000648C"/>
    <w:rsid w:val="00014889"/>
    <w:rsid w:val="00016874"/>
    <w:rsid w:val="00017B40"/>
    <w:rsid w:val="0002026E"/>
    <w:rsid w:val="000222B6"/>
    <w:rsid w:val="00030C68"/>
    <w:rsid w:val="000325C1"/>
    <w:rsid w:val="0003469B"/>
    <w:rsid w:val="000353CF"/>
    <w:rsid w:val="00042AC3"/>
    <w:rsid w:val="00043389"/>
    <w:rsid w:val="00046F2C"/>
    <w:rsid w:val="00052929"/>
    <w:rsid w:val="00053CCD"/>
    <w:rsid w:val="000544D2"/>
    <w:rsid w:val="00054DE5"/>
    <w:rsid w:val="00057193"/>
    <w:rsid w:val="0006002A"/>
    <w:rsid w:val="000602E4"/>
    <w:rsid w:val="000603B0"/>
    <w:rsid w:val="00060CD5"/>
    <w:rsid w:val="00065FDF"/>
    <w:rsid w:val="0007283E"/>
    <w:rsid w:val="00074584"/>
    <w:rsid w:val="00075B3E"/>
    <w:rsid w:val="00075B55"/>
    <w:rsid w:val="0007783A"/>
    <w:rsid w:val="0008071A"/>
    <w:rsid w:val="00080BD4"/>
    <w:rsid w:val="00080C05"/>
    <w:rsid w:val="00082AB7"/>
    <w:rsid w:val="000831D4"/>
    <w:rsid w:val="00084CB0"/>
    <w:rsid w:val="0009089C"/>
    <w:rsid w:val="00091782"/>
    <w:rsid w:val="00095CC0"/>
    <w:rsid w:val="000A1B38"/>
    <w:rsid w:val="000A2A9E"/>
    <w:rsid w:val="000A7778"/>
    <w:rsid w:val="000B6484"/>
    <w:rsid w:val="000C0955"/>
    <w:rsid w:val="000C16E0"/>
    <w:rsid w:val="000C2A22"/>
    <w:rsid w:val="000D4834"/>
    <w:rsid w:val="000D6365"/>
    <w:rsid w:val="000D7B5D"/>
    <w:rsid w:val="000E3A0E"/>
    <w:rsid w:val="000E49DB"/>
    <w:rsid w:val="000E74EA"/>
    <w:rsid w:val="000F0C8B"/>
    <w:rsid w:val="000F21BB"/>
    <w:rsid w:val="000F3E61"/>
    <w:rsid w:val="000F4225"/>
    <w:rsid w:val="000F4CFF"/>
    <w:rsid w:val="000F586F"/>
    <w:rsid w:val="0010343F"/>
    <w:rsid w:val="00104711"/>
    <w:rsid w:val="001067B4"/>
    <w:rsid w:val="00107D16"/>
    <w:rsid w:val="00110279"/>
    <w:rsid w:val="00113721"/>
    <w:rsid w:val="00114295"/>
    <w:rsid w:val="00115437"/>
    <w:rsid w:val="00115461"/>
    <w:rsid w:val="0011584C"/>
    <w:rsid w:val="00117804"/>
    <w:rsid w:val="0012102D"/>
    <w:rsid w:val="0012151E"/>
    <w:rsid w:val="00124EF8"/>
    <w:rsid w:val="001254A5"/>
    <w:rsid w:val="00132072"/>
    <w:rsid w:val="00134002"/>
    <w:rsid w:val="001342AC"/>
    <w:rsid w:val="00134816"/>
    <w:rsid w:val="00135972"/>
    <w:rsid w:val="00137887"/>
    <w:rsid w:val="00137F24"/>
    <w:rsid w:val="001479FE"/>
    <w:rsid w:val="001507F8"/>
    <w:rsid w:val="00151DCA"/>
    <w:rsid w:val="00154A82"/>
    <w:rsid w:val="0015696C"/>
    <w:rsid w:val="001570C7"/>
    <w:rsid w:val="001603B3"/>
    <w:rsid w:val="0016052F"/>
    <w:rsid w:val="00163A89"/>
    <w:rsid w:val="00166DBD"/>
    <w:rsid w:val="001705F5"/>
    <w:rsid w:val="00170E63"/>
    <w:rsid w:val="00173929"/>
    <w:rsid w:val="00176DC7"/>
    <w:rsid w:val="00192FBE"/>
    <w:rsid w:val="00194614"/>
    <w:rsid w:val="001A1D5C"/>
    <w:rsid w:val="001A4B0C"/>
    <w:rsid w:val="001B01EF"/>
    <w:rsid w:val="001B7ECD"/>
    <w:rsid w:val="001C0C65"/>
    <w:rsid w:val="001C1A37"/>
    <w:rsid w:val="001C2E54"/>
    <w:rsid w:val="001C45D5"/>
    <w:rsid w:val="001C67A6"/>
    <w:rsid w:val="001D24ED"/>
    <w:rsid w:val="001D3A80"/>
    <w:rsid w:val="001D42A1"/>
    <w:rsid w:val="001D4879"/>
    <w:rsid w:val="001E3AF5"/>
    <w:rsid w:val="001E3C0D"/>
    <w:rsid w:val="001E7500"/>
    <w:rsid w:val="001F0CDA"/>
    <w:rsid w:val="001F3B89"/>
    <w:rsid w:val="001F7935"/>
    <w:rsid w:val="00204F76"/>
    <w:rsid w:val="002056DD"/>
    <w:rsid w:val="00207331"/>
    <w:rsid w:val="002078E6"/>
    <w:rsid w:val="0021017A"/>
    <w:rsid w:val="00211CB7"/>
    <w:rsid w:val="00211E26"/>
    <w:rsid w:val="002124C6"/>
    <w:rsid w:val="00215034"/>
    <w:rsid w:val="00216385"/>
    <w:rsid w:val="00217409"/>
    <w:rsid w:val="002175D9"/>
    <w:rsid w:val="0022698A"/>
    <w:rsid w:val="002303B0"/>
    <w:rsid w:val="00230994"/>
    <w:rsid w:val="00232804"/>
    <w:rsid w:val="00232AB3"/>
    <w:rsid w:val="00232E0A"/>
    <w:rsid w:val="00241A77"/>
    <w:rsid w:val="00242D7D"/>
    <w:rsid w:val="002435A4"/>
    <w:rsid w:val="00243B65"/>
    <w:rsid w:val="00245594"/>
    <w:rsid w:val="00245947"/>
    <w:rsid w:val="00252213"/>
    <w:rsid w:val="00253787"/>
    <w:rsid w:val="002543FB"/>
    <w:rsid w:val="00255907"/>
    <w:rsid w:val="00257695"/>
    <w:rsid w:val="00260E03"/>
    <w:rsid w:val="0026106C"/>
    <w:rsid w:val="00262844"/>
    <w:rsid w:val="00270F4C"/>
    <w:rsid w:val="00273F37"/>
    <w:rsid w:val="00273F99"/>
    <w:rsid w:val="002742CA"/>
    <w:rsid w:val="002765B4"/>
    <w:rsid w:val="00277DBE"/>
    <w:rsid w:val="00280C0D"/>
    <w:rsid w:val="00281432"/>
    <w:rsid w:val="00282D49"/>
    <w:rsid w:val="002838FF"/>
    <w:rsid w:val="00283E56"/>
    <w:rsid w:val="00287C9B"/>
    <w:rsid w:val="002918EC"/>
    <w:rsid w:val="00292C1C"/>
    <w:rsid w:val="00297D33"/>
    <w:rsid w:val="002A1404"/>
    <w:rsid w:val="002A1B4A"/>
    <w:rsid w:val="002A32AA"/>
    <w:rsid w:val="002A6423"/>
    <w:rsid w:val="002A6D6B"/>
    <w:rsid w:val="002B0026"/>
    <w:rsid w:val="002B732D"/>
    <w:rsid w:val="002C1059"/>
    <w:rsid w:val="002C2CF7"/>
    <w:rsid w:val="002C3280"/>
    <w:rsid w:val="002C6092"/>
    <w:rsid w:val="002C725C"/>
    <w:rsid w:val="002D0FA9"/>
    <w:rsid w:val="002D2587"/>
    <w:rsid w:val="002D3A7D"/>
    <w:rsid w:val="002D58DB"/>
    <w:rsid w:val="002E16D7"/>
    <w:rsid w:val="002E224D"/>
    <w:rsid w:val="002E5ADA"/>
    <w:rsid w:val="002E5B2D"/>
    <w:rsid w:val="002F42F9"/>
    <w:rsid w:val="002F5477"/>
    <w:rsid w:val="002F5920"/>
    <w:rsid w:val="002F6F06"/>
    <w:rsid w:val="00301502"/>
    <w:rsid w:val="003141F6"/>
    <w:rsid w:val="0031524B"/>
    <w:rsid w:val="00315AFF"/>
    <w:rsid w:val="00315C89"/>
    <w:rsid w:val="0031772B"/>
    <w:rsid w:val="0032210B"/>
    <w:rsid w:val="0032280F"/>
    <w:rsid w:val="00323AD8"/>
    <w:rsid w:val="00324C12"/>
    <w:rsid w:val="00325830"/>
    <w:rsid w:val="00326DD2"/>
    <w:rsid w:val="00330B37"/>
    <w:rsid w:val="00330E6E"/>
    <w:rsid w:val="003328C6"/>
    <w:rsid w:val="00335442"/>
    <w:rsid w:val="00337A81"/>
    <w:rsid w:val="00341FD6"/>
    <w:rsid w:val="0034484D"/>
    <w:rsid w:val="0034560E"/>
    <w:rsid w:val="00345EE5"/>
    <w:rsid w:val="00350651"/>
    <w:rsid w:val="00350BFA"/>
    <w:rsid w:val="00353B5B"/>
    <w:rsid w:val="00354067"/>
    <w:rsid w:val="003605F8"/>
    <w:rsid w:val="003637BB"/>
    <w:rsid w:val="00364797"/>
    <w:rsid w:val="003668EF"/>
    <w:rsid w:val="00372174"/>
    <w:rsid w:val="00372F28"/>
    <w:rsid w:val="00373F00"/>
    <w:rsid w:val="00374E19"/>
    <w:rsid w:val="00375A40"/>
    <w:rsid w:val="003771F9"/>
    <w:rsid w:val="0038258A"/>
    <w:rsid w:val="003866D5"/>
    <w:rsid w:val="00390AE5"/>
    <w:rsid w:val="00391EE8"/>
    <w:rsid w:val="00392BA3"/>
    <w:rsid w:val="003961F5"/>
    <w:rsid w:val="00397DAA"/>
    <w:rsid w:val="003A220C"/>
    <w:rsid w:val="003A376F"/>
    <w:rsid w:val="003A40A8"/>
    <w:rsid w:val="003A57DA"/>
    <w:rsid w:val="003A6E6B"/>
    <w:rsid w:val="003A7503"/>
    <w:rsid w:val="003B0443"/>
    <w:rsid w:val="003B0E71"/>
    <w:rsid w:val="003B0FA1"/>
    <w:rsid w:val="003B1D05"/>
    <w:rsid w:val="003B344E"/>
    <w:rsid w:val="003B3A03"/>
    <w:rsid w:val="003B4994"/>
    <w:rsid w:val="003B4F38"/>
    <w:rsid w:val="003B5383"/>
    <w:rsid w:val="003B629D"/>
    <w:rsid w:val="003C030E"/>
    <w:rsid w:val="003C5C3E"/>
    <w:rsid w:val="003C644E"/>
    <w:rsid w:val="003C64C4"/>
    <w:rsid w:val="003D28E4"/>
    <w:rsid w:val="003D3BE7"/>
    <w:rsid w:val="003D6563"/>
    <w:rsid w:val="003D7376"/>
    <w:rsid w:val="003D7BB4"/>
    <w:rsid w:val="003D7F3D"/>
    <w:rsid w:val="003E1FB6"/>
    <w:rsid w:val="003E21A9"/>
    <w:rsid w:val="003E5430"/>
    <w:rsid w:val="003E7666"/>
    <w:rsid w:val="003F27FC"/>
    <w:rsid w:val="003F2FA3"/>
    <w:rsid w:val="003F53C6"/>
    <w:rsid w:val="0040096E"/>
    <w:rsid w:val="004028F2"/>
    <w:rsid w:val="00402C9B"/>
    <w:rsid w:val="00410449"/>
    <w:rsid w:val="00414723"/>
    <w:rsid w:val="00416542"/>
    <w:rsid w:val="0042058E"/>
    <w:rsid w:val="00421529"/>
    <w:rsid w:val="0043431B"/>
    <w:rsid w:val="004400A9"/>
    <w:rsid w:val="00442672"/>
    <w:rsid w:val="00444108"/>
    <w:rsid w:val="00444CF8"/>
    <w:rsid w:val="004457AE"/>
    <w:rsid w:val="004469BA"/>
    <w:rsid w:val="00453B7E"/>
    <w:rsid w:val="0045479A"/>
    <w:rsid w:val="00455C6C"/>
    <w:rsid w:val="004561BE"/>
    <w:rsid w:val="004626D8"/>
    <w:rsid w:val="00462D3B"/>
    <w:rsid w:val="00464C90"/>
    <w:rsid w:val="00464CD1"/>
    <w:rsid w:val="00465C24"/>
    <w:rsid w:val="00470DF1"/>
    <w:rsid w:val="00471AE0"/>
    <w:rsid w:val="00473F65"/>
    <w:rsid w:val="00474701"/>
    <w:rsid w:val="00474B0F"/>
    <w:rsid w:val="00476961"/>
    <w:rsid w:val="00477BA6"/>
    <w:rsid w:val="00480FBE"/>
    <w:rsid w:val="004812F5"/>
    <w:rsid w:val="00482E6B"/>
    <w:rsid w:val="0048376E"/>
    <w:rsid w:val="00485628"/>
    <w:rsid w:val="00487EDF"/>
    <w:rsid w:val="004A22B1"/>
    <w:rsid w:val="004A289F"/>
    <w:rsid w:val="004A3A15"/>
    <w:rsid w:val="004A3B6D"/>
    <w:rsid w:val="004A4ADD"/>
    <w:rsid w:val="004A570E"/>
    <w:rsid w:val="004A70F2"/>
    <w:rsid w:val="004B7ED6"/>
    <w:rsid w:val="004B7EE2"/>
    <w:rsid w:val="004C252A"/>
    <w:rsid w:val="004C2DDF"/>
    <w:rsid w:val="004C47A0"/>
    <w:rsid w:val="004C66A8"/>
    <w:rsid w:val="004D207D"/>
    <w:rsid w:val="004D4139"/>
    <w:rsid w:val="004D43B3"/>
    <w:rsid w:val="004D4CF7"/>
    <w:rsid w:val="004D55EA"/>
    <w:rsid w:val="004D59C6"/>
    <w:rsid w:val="004D7132"/>
    <w:rsid w:val="004D7E80"/>
    <w:rsid w:val="004E40D5"/>
    <w:rsid w:val="004E63EA"/>
    <w:rsid w:val="004E6C1A"/>
    <w:rsid w:val="004F0A26"/>
    <w:rsid w:val="004F0AD9"/>
    <w:rsid w:val="004F6351"/>
    <w:rsid w:val="004F67CF"/>
    <w:rsid w:val="005012BF"/>
    <w:rsid w:val="0051235A"/>
    <w:rsid w:val="0051400B"/>
    <w:rsid w:val="00520473"/>
    <w:rsid w:val="005218BD"/>
    <w:rsid w:val="00521D5F"/>
    <w:rsid w:val="00524E49"/>
    <w:rsid w:val="005261A9"/>
    <w:rsid w:val="00527223"/>
    <w:rsid w:val="005275D4"/>
    <w:rsid w:val="00527BA4"/>
    <w:rsid w:val="00531055"/>
    <w:rsid w:val="00532958"/>
    <w:rsid w:val="00532BE4"/>
    <w:rsid w:val="00535B29"/>
    <w:rsid w:val="005370B6"/>
    <w:rsid w:val="005408E9"/>
    <w:rsid w:val="00541323"/>
    <w:rsid w:val="00542C64"/>
    <w:rsid w:val="005438FE"/>
    <w:rsid w:val="0054490F"/>
    <w:rsid w:val="005508A4"/>
    <w:rsid w:val="0056099B"/>
    <w:rsid w:val="00561E65"/>
    <w:rsid w:val="00562BF1"/>
    <w:rsid w:val="005636C5"/>
    <w:rsid w:val="00563AD8"/>
    <w:rsid w:val="0056410F"/>
    <w:rsid w:val="0056635B"/>
    <w:rsid w:val="00572A49"/>
    <w:rsid w:val="00575311"/>
    <w:rsid w:val="005805BC"/>
    <w:rsid w:val="00582F68"/>
    <w:rsid w:val="005853DA"/>
    <w:rsid w:val="005872A1"/>
    <w:rsid w:val="00590B83"/>
    <w:rsid w:val="00591A9E"/>
    <w:rsid w:val="00592B6A"/>
    <w:rsid w:val="00592D26"/>
    <w:rsid w:val="00593854"/>
    <w:rsid w:val="00594054"/>
    <w:rsid w:val="005A015A"/>
    <w:rsid w:val="005A07A7"/>
    <w:rsid w:val="005A4FE3"/>
    <w:rsid w:val="005A5E7C"/>
    <w:rsid w:val="005A6070"/>
    <w:rsid w:val="005B1547"/>
    <w:rsid w:val="005B2244"/>
    <w:rsid w:val="005B2902"/>
    <w:rsid w:val="005B32C8"/>
    <w:rsid w:val="005B361C"/>
    <w:rsid w:val="005B6E52"/>
    <w:rsid w:val="005B71D6"/>
    <w:rsid w:val="005C0839"/>
    <w:rsid w:val="005C26A2"/>
    <w:rsid w:val="005C4072"/>
    <w:rsid w:val="005C629C"/>
    <w:rsid w:val="005C6D85"/>
    <w:rsid w:val="005D37D4"/>
    <w:rsid w:val="005D37D6"/>
    <w:rsid w:val="005D3C2F"/>
    <w:rsid w:val="005D52AA"/>
    <w:rsid w:val="005D5E25"/>
    <w:rsid w:val="005D6AD7"/>
    <w:rsid w:val="005E1214"/>
    <w:rsid w:val="005E4DD6"/>
    <w:rsid w:val="005E6705"/>
    <w:rsid w:val="005E6E1E"/>
    <w:rsid w:val="005F3565"/>
    <w:rsid w:val="005F6B99"/>
    <w:rsid w:val="006020C3"/>
    <w:rsid w:val="00602555"/>
    <w:rsid w:val="006036A3"/>
    <w:rsid w:val="00603DD1"/>
    <w:rsid w:val="00605285"/>
    <w:rsid w:val="006055A7"/>
    <w:rsid w:val="00606397"/>
    <w:rsid w:val="006078C7"/>
    <w:rsid w:val="00613E5A"/>
    <w:rsid w:val="00613F7C"/>
    <w:rsid w:val="006147A1"/>
    <w:rsid w:val="00621D04"/>
    <w:rsid w:val="00625493"/>
    <w:rsid w:val="00625F2B"/>
    <w:rsid w:val="00630B60"/>
    <w:rsid w:val="00635577"/>
    <w:rsid w:val="00637D94"/>
    <w:rsid w:val="00642589"/>
    <w:rsid w:val="0064276A"/>
    <w:rsid w:val="00650B52"/>
    <w:rsid w:val="00653A56"/>
    <w:rsid w:val="00654882"/>
    <w:rsid w:val="006553E9"/>
    <w:rsid w:val="006563CC"/>
    <w:rsid w:val="00657DE2"/>
    <w:rsid w:val="00660645"/>
    <w:rsid w:val="00660C98"/>
    <w:rsid w:val="00662028"/>
    <w:rsid w:val="006622EC"/>
    <w:rsid w:val="006623AF"/>
    <w:rsid w:val="006630E5"/>
    <w:rsid w:val="00665B3F"/>
    <w:rsid w:val="00665E33"/>
    <w:rsid w:val="00670EA8"/>
    <w:rsid w:val="00674F18"/>
    <w:rsid w:val="00675E94"/>
    <w:rsid w:val="00680185"/>
    <w:rsid w:val="006807D0"/>
    <w:rsid w:val="0068173B"/>
    <w:rsid w:val="00683BCA"/>
    <w:rsid w:val="0068651F"/>
    <w:rsid w:val="00686CC3"/>
    <w:rsid w:val="00690D3C"/>
    <w:rsid w:val="00692077"/>
    <w:rsid w:val="006925BB"/>
    <w:rsid w:val="00695242"/>
    <w:rsid w:val="006976C8"/>
    <w:rsid w:val="006A0B1A"/>
    <w:rsid w:val="006A1CAD"/>
    <w:rsid w:val="006A3737"/>
    <w:rsid w:val="006A3AF3"/>
    <w:rsid w:val="006A3C41"/>
    <w:rsid w:val="006B073F"/>
    <w:rsid w:val="006B26CD"/>
    <w:rsid w:val="006B382D"/>
    <w:rsid w:val="006B7B34"/>
    <w:rsid w:val="006C0CCD"/>
    <w:rsid w:val="006C18A3"/>
    <w:rsid w:val="006C1E3C"/>
    <w:rsid w:val="006C2651"/>
    <w:rsid w:val="006C53F2"/>
    <w:rsid w:val="006D054B"/>
    <w:rsid w:val="006D0786"/>
    <w:rsid w:val="006D2CEF"/>
    <w:rsid w:val="006D4831"/>
    <w:rsid w:val="006D6394"/>
    <w:rsid w:val="006D69BA"/>
    <w:rsid w:val="006D72FA"/>
    <w:rsid w:val="006D781D"/>
    <w:rsid w:val="006E1037"/>
    <w:rsid w:val="006E1607"/>
    <w:rsid w:val="006E3523"/>
    <w:rsid w:val="006E47AD"/>
    <w:rsid w:val="006F247C"/>
    <w:rsid w:val="007038CE"/>
    <w:rsid w:val="00704C57"/>
    <w:rsid w:val="00705DB8"/>
    <w:rsid w:val="007064FF"/>
    <w:rsid w:val="00706F49"/>
    <w:rsid w:val="0071068A"/>
    <w:rsid w:val="0071151B"/>
    <w:rsid w:val="007120B5"/>
    <w:rsid w:val="00720FC8"/>
    <w:rsid w:val="0072113C"/>
    <w:rsid w:val="0072119D"/>
    <w:rsid w:val="00721872"/>
    <w:rsid w:val="00722AE8"/>
    <w:rsid w:val="0072337E"/>
    <w:rsid w:val="00724CCF"/>
    <w:rsid w:val="007251DB"/>
    <w:rsid w:val="007301EE"/>
    <w:rsid w:val="00735CF1"/>
    <w:rsid w:val="00735FE4"/>
    <w:rsid w:val="00736522"/>
    <w:rsid w:val="00737D05"/>
    <w:rsid w:val="00740B65"/>
    <w:rsid w:val="007453CC"/>
    <w:rsid w:val="0075078A"/>
    <w:rsid w:val="007513BD"/>
    <w:rsid w:val="0075223C"/>
    <w:rsid w:val="00754B0B"/>
    <w:rsid w:val="00755F10"/>
    <w:rsid w:val="007567B0"/>
    <w:rsid w:val="00757AD9"/>
    <w:rsid w:val="00761811"/>
    <w:rsid w:val="00765FC6"/>
    <w:rsid w:val="00766789"/>
    <w:rsid w:val="0077450F"/>
    <w:rsid w:val="007759DC"/>
    <w:rsid w:val="00776A87"/>
    <w:rsid w:val="00780148"/>
    <w:rsid w:val="007815DC"/>
    <w:rsid w:val="00783E0F"/>
    <w:rsid w:val="00785317"/>
    <w:rsid w:val="0078573B"/>
    <w:rsid w:val="00786AB1"/>
    <w:rsid w:val="00791382"/>
    <w:rsid w:val="007932FD"/>
    <w:rsid w:val="007954BC"/>
    <w:rsid w:val="007957B9"/>
    <w:rsid w:val="00795CE0"/>
    <w:rsid w:val="007A18DF"/>
    <w:rsid w:val="007A3A5A"/>
    <w:rsid w:val="007A406F"/>
    <w:rsid w:val="007A5334"/>
    <w:rsid w:val="007A5D25"/>
    <w:rsid w:val="007A5D3A"/>
    <w:rsid w:val="007B0468"/>
    <w:rsid w:val="007B1032"/>
    <w:rsid w:val="007B785F"/>
    <w:rsid w:val="007C0F0D"/>
    <w:rsid w:val="007C3563"/>
    <w:rsid w:val="007C35E3"/>
    <w:rsid w:val="007C4223"/>
    <w:rsid w:val="007C4D13"/>
    <w:rsid w:val="007C666E"/>
    <w:rsid w:val="007D1503"/>
    <w:rsid w:val="007D2343"/>
    <w:rsid w:val="007D4804"/>
    <w:rsid w:val="007D4A9E"/>
    <w:rsid w:val="007E4BFF"/>
    <w:rsid w:val="007E6F88"/>
    <w:rsid w:val="007E7037"/>
    <w:rsid w:val="007E7DF8"/>
    <w:rsid w:val="007F00CE"/>
    <w:rsid w:val="007F031C"/>
    <w:rsid w:val="007F4B2E"/>
    <w:rsid w:val="00802858"/>
    <w:rsid w:val="008028B0"/>
    <w:rsid w:val="0080379B"/>
    <w:rsid w:val="00804758"/>
    <w:rsid w:val="0080498B"/>
    <w:rsid w:val="00805BE8"/>
    <w:rsid w:val="00815A72"/>
    <w:rsid w:val="008163B9"/>
    <w:rsid w:val="00817562"/>
    <w:rsid w:val="00821029"/>
    <w:rsid w:val="00821AAF"/>
    <w:rsid w:val="0082266E"/>
    <w:rsid w:val="008245CE"/>
    <w:rsid w:val="00826A9B"/>
    <w:rsid w:val="008277CC"/>
    <w:rsid w:val="008313A8"/>
    <w:rsid w:val="00833C5A"/>
    <w:rsid w:val="00834646"/>
    <w:rsid w:val="00837EDD"/>
    <w:rsid w:val="008402BC"/>
    <w:rsid w:val="0084061F"/>
    <w:rsid w:val="00840F77"/>
    <w:rsid w:val="00841DAF"/>
    <w:rsid w:val="0084255D"/>
    <w:rsid w:val="008439AB"/>
    <w:rsid w:val="00851714"/>
    <w:rsid w:val="00853572"/>
    <w:rsid w:val="00855785"/>
    <w:rsid w:val="00857809"/>
    <w:rsid w:val="008622DC"/>
    <w:rsid w:val="00863106"/>
    <w:rsid w:val="00863561"/>
    <w:rsid w:val="00864540"/>
    <w:rsid w:val="0086590A"/>
    <w:rsid w:val="00874E7B"/>
    <w:rsid w:val="00875193"/>
    <w:rsid w:val="00875BFC"/>
    <w:rsid w:val="00875D8D"/>
    <w:rsid w:val="00880553"/>
    <w:rsid w:val="00881943"/>
    <w:rsid w:val="0088235E"/>
    <w:rsid w:val="00885E15"/>
    <w:rsid w:val="00886C0A"/>
    <w:rsid w:val="00892650"/>
    <w:rsid w:val="00895295"/>
    <w:rsid w:val="00895B62"/>
    <w:rsid w:val="008A300D"/>
    <w:rsid w:val="008A4FC4"/>
    <w:rsid w:val="008A5030"/>
    <w:rsid w:val="008A5D06"/>
    <w:rsid w:val="008B253C"/>
    <w:rsid w:val="008B34D2"/>
    <w:rsid w:val="008C5192"/>
    <w:rsid w:val="008C6323"/>
    <w:rsid w:val="008D0E05"/>
    <w:rsid w:val="008D282C"/>
    <w:rsid w:val="008D38D8"/>
    <w:rsid w:val="008D4DB5"/>
    <w:rsid w:val="008D7681"/>
    <w:rsid w:val="008E2281"/>
    <w:rsid w:val="008E3DE4"/>
    <w:rsid w:val="008E5C8E"/>
    <w:rsid w:val="008F32A6"/>
    <w:rsid w:val="008F4D78"/>
    <w:rsid w:val="009013D7"/>
    <w:rsid w:val="00904AD6"/>
    <w:rsid w:val="009208BA"/>
    <w:rsid w:val="009209A3"/>
    <w:rsid w:val="009220A6"/>
    <w:rsid w:val="00927921"/>
    <w:rsid w:val="00936FF1"/>
    <w:rsid w:val="00937CBB"/>
    <w:rsid w:val="009405B0"/>
    <w:rsid w:val="0094221D"/>
    <w:rsid w:val="00944323"/>
    <w:rsid w:val="009529B4"/>
    <w:rsid w:val="00953D5D"/>
    <w:rsid w:val="00954E02"/>
    <w:rsid w:val="00956A39"/>
    <w:rsid w:val="0095728B"/>
    <w:rsid w:val="00964103"/>
    <w:rsid w:val="00964D35"/>
    <w:rsid w:val="00965291"/>
    <w:rsid w:val="00966185"/>
    <w:rsid w:val="009767CD"/>
    <w:rsid w:val="00976AB9"/>
    <w:rsid w:val="00976D8A"/>
    <w:rsid w:val="009771D7"/>
    <w:rsid w:val="009834F7"/>
    <w:rsid w:val="0098522C"/>
    <w:rsid w:val="009860E8"/>
    <w:rsid w:val="009907DE"/>
    <w:rsid w:val="00990E1F"/>
    <w:rsid w:val="00991591"/>
    <w:rsid w:val="0099370C"/>
    <w:rsid w:val="00995F40"/>
    <w:rsid w:val="00996811"/>
    <w:rsid w:val="00997CD0"/>
    <w:rsid w:val="009A0C3C"/>
    <w:rsid w:val="009A0E30"/>
    <w:rsid w:val="009B01B8"/>
    <w:rsid w:val="009B01C4"/>
    <w:rsid w:val="009B0AAA"/>
    <w:rsid w:val="009B1FA8"/>
    <w:rsid w:val="009B2BC2"/>
    <w:rsid w:val="009B7581"/>
    <w:rsid w:val="009C0F13"/>
    <w:rsid w:val="009C33EF"/>
    <w:rsid w:val="009C5FB3"/>
    <w:rsid w:val="009D3975"/>
    <w:rsid w:val="009D462E"/>
    <w:rsid w:val="009D6FCF"/>
    <w:rsid w:val="009E2A09"/>
    <w:rsid w:val="009E2C2F"/>
    <w:rsid w:val="009E307A"/>
    <w:rsid w:val="009E3306"/>
    <w:rsid w:val="009E4988"/>
    <w:rsid w:val="009E539B"/>
    <w:rsid w:val="009E57B8"/>
    <w:rsid w:val="009E60C3"/>
    <w:rsid w:val="009F3FE9"/>
    <w:rsid w:val="00A008C8"/>
    <w:rsid w:val="00A017AC"/>
    <w:rsid w:val="00A01E00"/>
    <w:rsid w:val="00A11335"/>
    <w:rsid w:val="00A127C8"/>
    <w:rsid w:val="00A1378F"/>
    <w:rsid w:val="00A1380D"/>
    <w:rsid w:val="00A14DC5"/>
    <w:rsid w:val="00A14DF0"/>
    <w:rsid w:val="00A14E8F"/>
    <w:rsid w:val="00A1703A"/>
    <w:rsid w:val="00A21D97"/>
    <w:rsid w:val="00A22FE1"/>
    <w:rsid w:val="00A238D7"/>
    <w:rsid w:val="00A24C73"/>
    <w:rsid w:val="00A2500C"/>
    <w:rsid w:val="00A310B0"/>
    <w:rsid w:val="00A32401"/>
    <w:rsid w:val="00A32D14"/>
    <w:rsid w:val="00A32FA3"/>
    <w:rsid w:val="00A34260"/>
    <w:rsid w:val="00A3488F"/>
    <w:rsid w:val="00A3569A"/>
    <w:rsid w:val="00A36979"/>
    <w:rsid w:val="00A37447"/>
    <w:rsid w:val="00A53917"/>
    <w:rsid w:val="00A5667D"/>
    <w:rsid w:val="00A61A17"/>
    <w:rsid w:val="00A66401"/>
    <w:rsid w:val="00A714A9"/>
    <w:rsid w:val="00A73797"/>
    <w:rsid w:val="00A76DB9"/>
    <w:rsid w:val="00A81499"/>
    <w:rsid w:val="00A84E19"/>
    <w:rsid w:val="00A90273"/>
    <w:rsid w:val="00A94F1B"/>
    <w:rsid w:val="00A96CB9"/>
    <w:rsid w:val="00AA0A3F"/>
    <w:rsid w:val="00AA1520"/>
    <w:rsid w:val="00AA2266"/>
    <w:rsid w:val="00AA33EB"/>
    <w:rsid w:val="00AA3C5B"/>
    <w:rsid w:val="00AA61D3"/>
    <w:rsid w:val="00AA706F"/>
    <w:rsid w:val="00AB0D63"/>
    <w:rsid w:val="00AC1DCA"/>
    <w:rsid w:val="00AC25C6"/>
    <w:rsid w:val="00AC4D3B"/>
    <w:rsid w:val="00AC4EAA"/>
    <w:rsid w:val="00AC68A9"/>
    <w:rsid w:val="00AC6E54"/>
    <w:rsid w:val="00AD342C"/>
    <w:rsid w:val="00AD6707"/>
    <w:rsid w:val="00AE363E"/>
    <w:rsid w:val="00AE7A46"/>
    <w:rsid w:val="00AF008D"/>
    <w:rsid w:val="00AF0727"/>
    <w:rsid w:val="00AF08BD"/>
    <w:rsid w:val="00B00187"/>
    <w:rsid w:val="00B05243"/>
    <w:rsid w:val="00B104CC"/>
    <w:rsid w:val="00B11BD3"/>
    <w:rsid w:val="00B12BD2"/>
    <w:rsid w:val="00B14C92"/>
    <w:rsid w:val="00B24554"/>
    <w:rsid w:val="00B30FF8"/>
    <w:rsid w:val="00B318D2"/>
    <w:rsid w:val="00B352A9"/>
    <w:rsid w:val="00B3582D"/>
    <w:rsid w:val="00B438AA"/>
    <w:rsid w:val="00B445F0"/>
    <w:rsid w:val="00B45135"/>
    <w:rsid w:val="00B4721C"/>
    <w:rsid w:val="00B5025C"/>
    <w:rsid w:val="00B56D25"/>
    <w:rsid w:val="00B5721C"/>
    <w:rsid w:val="00B61B83"/>
    <w:rsid w:val="00B61D11"/>
    <w:rsid w:val="00B62618"/>
    <w:rsid w:val="00B66B1F"/>
    <w:rsid w:val="00B6724E"/>
    <w:rsid w:val="00B678C2"/>
    <w:rsid w:val="00B7170B"/>
    <w:rsid w:val="00B761BC"/>
    <w:rsid w:val="00B7633D"/>
    <w:rsid w:val="00B76D85"/>
    <w:rsid w:val="00B77AD7"/>
    <w:rsid w:val="00B77F70"/>
    <w:rsid w:val="00B808C8"/>
    <w:rsid w:val="00B8092F"/>
    <w:rsid w:val="00B8127B"/>
    <w:rsid w:val="00B81785"/>
    <w:rsid w:val="00B87E5C"/>
    <w:rsid w:val="00B9437A"/>
    <w:rsid w:val="00B95A47"/>
    <w:rsid w:val="00B97DF0"/>
    <w:rsid w:val="00BA1DED"/>
    <w:rsid w:val="00BA53F9"/>
    <w:rsid w:val="00BA6B74"/>
    <w:rsid w:val="00BB1287"/>
    <w:rsid w:val="00BB421D"/>
    <w:rsid w:val="00BB44FC"/>
    <w:rsid w:val="00BB6416"/>
    <w:rsid w:val="00BC147F"/>
    <w:rsid w:val="00BC1A3A"/>
    <w:rsid w:val="00BC4041"/>
    <w:rsid w:val="00BC5B80"/>
    <w:rsid w:val="00BD0353"/>
    <w:rsid w:val="00BD056C"/>
    <w:rsid w:val="00BD247C"/>
    <w:rsid w:val="00BD3259"/>
    <w:rsid w:val="00BD3656"/>
    <w:rsid w:val="00BD6866"/>
    <w:rsid w:val="00BD7976"/>
    <w:rsid w:val="00BE4D8B"/>
    <w:rsid w:val="00BE5B74"/>
    <w:rsid w:val="00BE673F"/>
    <w:rsid w:val="00BF0F69"/>
    <w:rsid w:val="00BF4DD6"/>
    <w:rsid w:val="00BF6E44"/>
    <w:rsid w:val="00C01566"/>
    <w:rsid w:val="00C01716"/>
    <w:rsid w:val="00C031BE"/>
    <w:rsid w:val="00C07F92"/>
    <w:rsid w:val="00C130F7"/>
    <w:rsid w:val="00C149B5"/>
    <w:rsid w:val="00C16C96"/>
    <w:rsid w:val="00C17E93"/>
    <w:rsid w:val="00C21212"/>
    <w:rsid w:val="00C2445E"/>
    <w:rsid w:val="00C2570C"/>
    <w:rsid w:val="00C259AB"/>
    <w:rsid w:val="00C25E4B"/>
    <w:rsid w:val="00C321F8"/>
    <w:rsid w:val="00C35E5D"/>
    <w:rsid w:val="00C41725"/>
    <w:rsid w:val="00C41E95"/>
    <w:rsid w:val="00C46577"/>
    <w:rsid w:val="00C500DA"/>
    <w:rsid w:val="00C51021"/>
    <w:rsid w:val="00C51429"/>
    <w:rsid w:val="00C543D8"/>
    <w:rsid w:val="00C563BE"/>
    <w:rsid w:val="00C64026"/>
    <w:rsid w:val="00C64AA5"/>
    <w:rsid w:val="00C67428"/>
    <w:rsid w:val="00C6798F"/>
    <w:rsid w:val="00C71611"/>
    <w:rsid w:val="00C853F8"/>
    <w:rsid w:val="00C8596B"/>
    <w:rsid w:val="00C871F1"/>
    <w:rsid w:val="00C9407B"/>
    <w:rsid w:val="00C94B37"/>
    <w:rsid w:val="00CA1E74"/>
    <w:rsid w:val="00CA3C0C"/>
    <w:rsid w:val="00CA7FC1"/>
    <w:rsid w:val="00CB1AC2"/>
    <w:rsid w:val="00CB28F8"/>
    <w:rsid w:val="00CB576E"/>
    <w:rsid w:val="00CC19AA"/>
    <w:rsid w:val="00CC325B"/>
    <w:rsid w:val="00CC7573"/>
    <w:rsid w:val="00CD133B"/>
    <w:rsid w:val="00CD2855"/>
    <w:rsid w:val="00CD3EA0"/>
    <w:rsid w:val="00CD3F6C"/>
    <w:rsid w:val="00CD42E9"/>
    <w:rsid w:val="00CD49AD"/>
    <w:rsid w:val="00CD50DA"/>
    <w:rsid w:val="00CD5717"/>
    <w:rsid w:val="00CD736B"/>
    <w:rsid w:val="00CE29F1"/>
    <w:rsid w:val="00CE2B97"/>
    <w:rsid w:val="00CE4470"/>
    <w:rsid w:val="00CF10E8"/>
    <w:rsid w:val="00CF1C93"/>
    <w:rsid w:val="00D027BC"/>
    <w:rsid w:val="00D047C9"/>
    <w:rsid w:val="00D057EA"/>
    <w:rsid w:val="00D06F66"/>
    <w:rsid w:val="00D0766C"/>
    <w:rsid w:val="00D14886"/>
    <w:rsid w:val="00D148E8"/>
    <w:rsid w:val="00D242D2"/>
    <w:rsid w:val="00D24455"/>
    <w:rsid w:val="00D2575F"/>
    <w:rsid w:val="00D30430"/>
    <w:rsid w:val="00D308AD"/>
    <w:rsid w:val="00D3529B"/>
    <w:rsid w:val="00D35819"/>
    <w:rsid w:val="00D3766F"/>
    <w:rsid w:val="00D40B03"/>
    <w:rsid w:val="00D42E18"/>
    <w:rsid w:val="00D4750F"/>
    <w:rsid w:val="00D51097"/>
    <w:rsid w:val="00D513D9"/>
    <w:rsid w:val="00D51FF9"/>
    <w:rsid w:val="00D525C3"/>
    <w:rsid w:val="00D60CC6"/>
    <w:rsid w:val="00D725D5"/>
    <w:rsid w:val="00D76B16"/>
    <w:rsid w:val="00D80588"/>
    <w:rsid w:val="00D813B1"/>
    <w:rsid w:val="00D81776"/>
    <w:rsid w:val="00D85CFC"/>
    <w:rsid w:val="00D86894"/>
    <w:rsid w:val="00D87511"/>
    <w:rsid w:val="00D92095"/>
    <w:rsid w:val="00D9298D"/>
    <w:rsid w:val="00D93E65"/>
    <w:rsid w:val="00D946DB"/>
    <w:rsid w:val="00D96A96"/>
    <w:rsid w:val="00D97434"/>
    <w:rsid w:val="00DA1273"/>
    <w:rsid w:val="00DA32A6"/>
    <w:rsid w:val="00DA33BD"/>
    <w:rsid w:val="00DA397F"/>
    <w:rsid w:val="00DB0432"/>
    <w:rsid w:val="00DB1F97"/>
    <w:rsid w:val="00DB337C"/>
    <w:rsid w:val="00DB3DFC"/>
    <w:rsid w:val="00DB4594"/>
    <w:rsid w:val="00DB7B55"/>
    <w:rsid w:val="00DB7CF8"/>
    <w:rsid w:val="00DC1D36"/>
    <w:rsid w:val="00DC65EB"/>
    <w:rsid w:val="00DC748F"/>
    <w:rsid w:val="00DD02A6"/>
    <w:rsid w:val="00DD2341"/>
    <w:rsid w:val="00DD51CF"/>
    <w:rsid w:val="00DD5241"/>
    <w:rsid w:val="00DD59C7"/>
    <w:rsid w:val="00DE3BB7"/>
    <w:rsid w:val="00DE42E3"/>
    <w:rsid w:val="00DE4D06"/>
    <w:rsid w:val="00DE5CAD"/>
    <w:rsid w:val="00DF5A09"/>
    <w:rsid w:val="00DF7D78"/>
    <w:rsid w:val="00E000F7"/>
    <w:rsid w:val="00E021B2"/>
    <w:rsid w:val="00E03F31"/>
    <w:rsid w:val="00E05224"/>
    <w:rsid w:val="00E06B01"/>
    <w:rsid w:val="00E06B63"/>
    <w:rsid w:val="00E073A0"/>
    <w:rsid w:val="00E10801"/>
    <w:rsid w:val="00E10F0B"/>
    <w:rsid w:val="00E10F44"/>
    <w:rsid w:val="00E12C50"/>
    <w:rsid w:val="00E161AB"/>
    <w:rsid w:val="00E20320"/>
    <w:rsid w:val="00E24D19"/>
    <w:rsid w:val="00E2549A"/>
    <w:rsid w:val="00E31762"/>
    <w:rsid w:val="00E32F03"/>
    <w:rsid w:val="00E34E97"/>
    <w:rsid w:val="00E414DC"/>
    <w:rsid w:val="00E41956"/>
    <w:rsid w:val="00E43419"/>
    <w:rsid w:val="00E4415B"/>
    <w:rsid w:val="00E45140"/>
    <w:rsid w:val="00E47682"/>
    <w:rsid w:val="00E511A8"/>
    <w:rsid w:val="00E5210D"/>
    <w:rsid w:val="00E53136"/>
    <w:rsid w:val="00E54BBE"/>
    <w:rsid w:val="00E55DDD"/>
    <w:rsid w:val="00E562A2"/>
    <w:rsid w:val="00E56FC5"/>
    <w:rsid w:val="00E605F2"/>
    <w:rsid w:val="00E61FD1"/>
    <w:rsid w:val="00E63066"/>
    <w:rsid w:val="00E64218"/>
    <w:rsid w:val="00E716BA"/>
    <w:rsid w:val="00E735A2"/>
    <w:rsid w:val="00E760F8"/>
    <w:rsid w:val="00E83C51"/>
    <w:rsid w:val="00E854E2"/>
    <w:rsid w:val="00E869AD"/>
    <w:rsid w:val="00E87F8B"/>
    <w:rsid w:val="00E90C3A"/>
    <w:rsid w:val="00E90E19"/>
    <w:rsid w:val="00E92E4D"/>
    <w:rsid w:val="00E935C2"/>
    <w:rsid w:val="00E96441"/>
    <w:rsid w:val="00EA0B09"/>
    <w:rsid w:val="00EA3248"/>
    <w:rsid w:val="00EA3359"/>
    <w:rsid w:val="00EA3875"/>
    <w:rsid w:val="00EA4F3C"/>
    <w:rsid w:val="00EA55E5"/>
    <w:rsid w:val="00EA570A"/>
    <w:rsid w:val="00EA6288"/>
    <w:rsid w:val="00EA7027"/>
    <w:rsid w:val="00EA7AB4"/>
    <w:rsid w:val="00EB18E7"/>
    <w:rsid w:val="00EB3B05"/>
    <w:rsid w:val="00EB5971"/>
    <w:rsid w:val="00EB66DC"/>
    <w:rsid w:val="00EC2DBE"/>
    <w:rsid w:val="00EC48A4"/>
    <w:rsid w:val="00ED051B"/>
    <w:rsid w:val="00ED3AA9"/>
    <w:rsid w:val="00ED6BDA"/>
    <w:rsid w:val="00ED799F"/>
    <w:rsid w:val="00EE1711"/>
    <w:rsid w:val="00EE38EF"/>
    <w:rsid w:val="00EE64A9"/>
    <w:rsid w:val="00EF4730"/>
    <w:rsid w:val="00F01EFE"/>
    <w:rsid w:val="00F0292B"/>
    <w:rsid w:val="00F02B7F"/>
    <w:rsid w:val="00F03D8D"/>
    <w:rsid w:val="00F07D2A"/>
    <w:rsid w:val="00F11E1A"/>
    <w:rsid w:val="00F148DE"/>
    <w:rsid w:val="00F169FA"/>
    <w:rsid w:val="00F17219"/>
    <w:rsid w:val="00F20C58"/>
    <w:rsid w:val="00F24E17"/>
    <w:rsid w:val="00F24EFF"/>
    <w:rsid w:val="00F27437"/>
    <w:rsid w:val="00F277C0"/>
    <w:rsid w:val="00F346D9"/>
    <w:rsid w:val="00F415C9"/>
    <w:rsid w:val="00F45E7E"/>
    <w:rsid w:val="00F5706F"/>
    <w:rsid w:val="00F57B2B"/>
    <w:rsid w:val="00F57FEA"/>
    <w:rsid w:val="00F63040"/>
    <w:rsid w:val="00F659F6"/>
    <w:rsid w:val="00F66993"/>
    <w:rsid w:val="00F66BD6"/>
    <w:rsid w:val="00F66C39"/>
    <w:rsid w:val="00F76C7B"/>
    <w:rsid w:val="00F85304"/>
    <w:rsid w:val="00F862D0"/>
    <w:rsid w:val="00F86F0E"/>
    <w:rsid w:val="00F940A5"/>
    <w:rsid w:val="00FA1617"/>
    <w:rsid w:val="00FA1E45"/>
    <w:rsid w:val="00FA3974"/>
    <w:rsid w:val="00FA6C82"/>
    <w:rsid w:val="00FB08D6"/>
    <w:rsid w:val="00FB0FD9"/>
    <w:rsid w:val="00FB1D3D"/>
    <w:rsid w:val="00FB25D0"/>
    <w:rsid w:val="00FB35D1"/>
    <w:rsid w:val="00FB6559"/>
    <w:rsid w:val="00FC51DB"/>
    <w:rsid w:val="00FC5A6C"/>
    <w:rsid w:val="00FC7334"/>
    <w:rsid w:val="00FC797D"/>
    <w:rsid w:val="00FD1069"/>
    <w:rsid w:val="00FD7436"/>
    <w:rsid w:val="00FD7CC2"/>
    <w:rsid w:val="00FE401B"/>
    <w:rsid w:val="00FE4BD0"/>
    <w:rsid w:val="00FE4EC3"/>
    <w:rsid w:val="00FE5D00"/>
    <w:rsid w:val="00FE5FC2"/>
    <w:rsid w:val="00FE6C5D"/>
    <w:rsid w:val="00FF0646"/>
    <w:rsid w:val="00FF4E8B"/>
    <w:rsid w:val="00FF50CB"/>
    <w:rsid w:val="00FF5584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766C"/>
    <w:pPr>
      <w:keepNext/>
      <w:outlineLvl w:val="0"/>
    </w:pPr>
    <w:rPr>
      <w:b/>
      <w:i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766C"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766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766C"/>
    <w:pPr>
      <w:keepNext/>
      <w:spacing w:before="120" w:after="60"/>
      <w:outlineLvl w:val="3"/>
    </w:pPr>
    <w:rPr>
      <w:bCs/>
      <w:i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F85304"/>
    <w:pPr>
      <w:keepNext/>
      <w:outlineLvl w:val="4"/>
    </w:pPr>
    <w:rPr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1E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1E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A1E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A1E4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A1E45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Heading4"/>
    <w:uiPriority w:val="99"/>
    <w:rsid w:val="001C67A6"/>
    <w:rPr>
      <w:rFonts w:eastAsia="HelveticaL-Book"/>
      <w:b/>
      <w:i w:val="0"/>
      <w:iCs/>
      <w:sz w:val="24"/>
    </w:rPr>
  </w:style>
  <w:style w:type="paragraph" w:customStyle="1" w:styleId="Style6">
    <w:name w:val="Style6"/>
    <w:basedOn w:val="Heading4"/>
    <w:autoRedefine/>
    <w:uiPriority w:val="99"/>
    <w:rsid w:val="00014889"/>
    <w:rPr>
      <w:b/>
    </w:rPr>
  </w:style>
  <w:style w:type="paragraph" w:customStyle="1" w:styleId="Style7">
    <w:name w:val="Style7"/>
    <w:basedOn w:val="Heading4"/>
    <w:autoRedefine/>
    <w:uiPriority w:val="99"/>
    <w:rsid w:val="00014889"/>
    <w:rPr>
      <w:b/>
    </w:rPr>
  </w:style>
  <w:style w:type="paragraph" w:customStyle="1" w:styleId="Style8">
    <w:name w:val="Style8"/>
    <w:basedOn w:val="Heading3"/>
    <w:autoRedefine/>
    <w:uiPriority w:val="99"/>
    <w:rsid w:val="00014889"/>
    <w:rPr>
      <w:i w:val="0"/>
      <w:sz w:val="28"/>
    </w:rPr>
  </w:style>
  <w:style w:type="paragraph" w:customStyle="1" w:styleId="Virsraksts1">
    <w:name w:val="Virsraksts 1"/>
    <w:uiPriority w:val="99"/>
    <w:rsid w:val="00DC1D36"/>
    <w:rPr>
      <w:b/>
      <w:i/>
      <w:sz w:val="24"/>
      <w:szCs w:val="28"/>
    </w:rPr>
  </w:style>
  <w:style w:type="paragraph" w:customStyle="1" w:styleId="Virsraksts2">
    <w:name w:val="Virsraksts 2"/>
    <w:uiPriority w:val="99"/>
    <w:rsid w:val="00DC1D36"/>
    <w:rPr>
      <w:b/>
      <w:i/>
      <w:szCs w:val="28"/>
    </w:rPr>
  </w:style>
  <w:style w:type="paragraph" w:customStyle="1" w:styleId="Virsraksts3">
    <w:name w:val="Virsraksts 3"/>
    <w:basedOn w:val="Heading4"/>
    <w:uiPriority w:val="99"/>
    <w:rsid w:val="00DC1D36"/>
    <w:rPr>
      <w:b/>
    </w:rPr>
  </w:style>
  <w:style w:type="paragraph" w:customStyle="1" w:styleId="Style1">
    <w:name w:val="Style1"/>
    <w:basedOn w:val="Heading2"/>
    <w:uiPriority w:val="99"/>
    <w:rsid w:val="005805BC"/>
    <w:pPr>
      <w:jc w:val="both"/>
    </w:pPr>
    <w:rPr>
      <w:bCs/>
      <w:i w:val="0"/>
      <w:iCs/>
    </w:rPr>
  </w:style>
  <w:style w:type="paragraph" w:customStyle="1" w:styleId="VirsrakstsU">
    <w:name w:val="Virsraksts U"/>
    <w:basedOn w:val="Heading2"/>
    <w:uiPriority w:val="99"/>
    <w:rsid w:val="005805BC"/>
    <w:rPr>
      <w:bCs/>
      <w:i w:val="0"/>
      <w:iCs/>
    </w:rPr>
  </w:style>
  <w:style w:type="table" w:styleId="TableGrid">
    <w:name w:val="Table Grid"/>
    <w:basedOn w:val="TableNormal"/>
    <w:uiPriority w:val="99"/>
    <w:rsid w:val="00B76D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B76D85"/>
    <w:pPr>
      <w:spacing w:before="75" w:after="75"/>
    </w:pPr>
  </w:style>
  <w:style w:type="paragraph" w:styleId="Header">
    <w:name w:val="header"/>
    <w:basedOn w:val="Normal"/>
    <w:link w:val="Head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3F99"/>
    <w:rPr>
      <w:rFonts w:cs="Times New Roman"/>
      <w:sz w:val="24"/>
      <w:lang w:val="lv-LV" w:eastAsia="lv-LV"/>
    </w:rPr>
  </w:style>
  <w:style w:type="character" w:styleId="PageNumber">
    <w:name w:val="page number"/>
    <w:basedOn w:val="DefaultParagraphFont"/>
    <w:uiPriority w:val="99"/>
    <w:rsid w:val="001946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46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4614"/>
    <w:rPr>
      <w:rFonts w:cs="Times New Roman"/>
      <w:sz w:val="24"/>
      <w:lang w:val="lv-LV" w:eastAsia="lv-LV"/>
    </w:rPr>
  </w:style>
  <w:style w:type="paragraph" w:customStyle="1" w:styleId="naisnod">
    <w:name w:val="naisnod"/>
    <w:basedOn w:val="Normal"/>
    <w:rsid w:val="00043389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Normal"/>
    <w:link w:val="naisfChar"/>
    <w:rsid w:val="003B629D"/>
    <w:pPr>
      <w:spacing w:before="75" w:after="75"/>
      <w:ind w:firstLine="375"/>
      <w:jc w:val="both"/>
    </w:pPr>
    <w:rPr>
      <w:szCs w:val="20"/>
    </w:rPr>
  </w:style>
  <w:style w:type="paragraph" w:styleId="Subtitle">
    <w:name w:val="Subtitle"/>
    <w:basedOn w:val="Normal"/>
    <w:link w:val="SubtitleChar"/>
    <w:uiPriority w:val="99"/>
    <w:qFormat/>
    <w:rsid w:val="003B629D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1E45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1E45"/>
    <w:rPr>
      <w:rFonts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DB45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4594"/>
    <w:rPr>
      <w:rFonts w:cs="Times New Roman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7E7037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7037"/>
    <w:rPr>
      <w:rFonts w:cs="Times New Roman"/>
      <w:sz w:val="28"/>
      <w:lang w:val="lv-LV" w:eastAsia="en-US"/>
    </w:rPr>
  </w:style>
  <w:style w:type="character" w:styleId="Hyperlink">
    <w:name w:val="Hyperlink"/>
    <w:basedOn w:val="DefaultParagraphFont"/>
    <w:uiPriority w:val="99"/>
    <w:rsid w:val="004E63EA"/>
    <w:rPr>
      <w:rFonts w:cs="Times New Roman"/>
      <w:color w:val="0000FF"/>
      <w:u w:val="single"/>
    </w:rPr>
  </w:style>
  <w:style w:type="paragraph" w:customStyle="1" w:styleId="Style">
    <w:name w:val="Style"/>
    <w:basedOn w:val="Normal"/>
    <w:uiPriority w:val="99"/>
    <w:rsid w:val="004E63E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7F00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1E4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F00CE"/>
    <w:rPr>
      <w:rFonts w:cs="Times New Roman"/>
      <w:vertAlign w:val="superscript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uiPriority w:val="99"/>
    <w:rsid w:val="00CD133B"/>
    <w:pPr>
      <w:spacing w:before="40"/>
    </w:pPr>
    <w:rPr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606397"/>
    <w:rPr>
      <w:rFonts w:cs="Times New Roman"/>
      <w:sz w:val="16"/>
    </w:rPr>
  </w:style>
  <w:style w:type="paragraph" w:styleId="NoSpacing">
    <w:name w:val="No Spacing"/>
    <w:uiPriority w:val="99"/>
    <w:qFormat/>
    <w:rsid w:val="00C41725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2078E6"/>
    <w:pPr>
      <w:spacing w:before="100" w:beforeAutospacing="1" w:after="100" w:afterAutospacing="1"/>
    </w:pPr>
    <w:rPr>
      <w:rFonts w:ascii="Verdana" w:hAnsi="Verdana"/>
      <w:sz w:val="12"/>
      <w:szCs w:val="12"/>
    </w:rPr>
  </w:style>
  <w:style w:type="character" w:customStyle="1" w:styleId="naisfChar">
    <w:name w:val="naisf Char"/>
    <w:link w:val="naisf"/>
    <w:uiPriority w:val="99"/>
    <w:locked/>
    <w:rsid w:val="00A94F1B"/>
    <w:rPr>
      <w:sz w:val="24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1E45"/>
    <w:rPr>
      <w:rFonts w:cs="Times New Roman"/>
      <w:b/>
      <w:bCs/>
      <w:lang w:val="lv-LV" w:eastAsia="lv-LV"/>
    </w:rPr>
  </w:style>
  <w:style w:type="character" w:customStyle="1" w:styleId="spelle">
    <w:name w:val="spelle"/>
    <w:basedOn w:val="DefaultParagraphFont"/>
    <w:uiPriority w:val="99"/>
    <w:rsid w:val="006553E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7170B"/>
    <w:pPr>
      <w:ind w:left="720"/>
    </w:pPr>
  </w:style>
  <w:style w:type="paragraph" w:customStyle="1" w:styleId="RakstzCharCharRakstzCharCharRakstz">
    <w:name w:val="Rakstz. Char Char Rakstz. Char Char Rakstz."/>
    <w:basedOn w:val="Normal"/>
    <w:uiPriority w:val="99"/>
    <w:rsid w:val="006D078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htmlmktable">
    <w:name w:val="tv_html mk_table"/>
    <w:basedOn w:val="Normal"/>
    <w:uiPriority w:val="99"/>
    <w:rsid w:val="00F66BD6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style-span">
    <w:name w:val="apple-style-span"/>
    <w:uiPriority w:val="99"/>
    <w:rsid w:val="002C2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4976">
      <w:marLeft w:val="35"/>
      <w:marRight w:val="35"/>
      <w:marTop w:val="69"/>
      <w:marBottom w:val="6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4977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Rucka@l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2001.gada 6.jūnija noteikumos Nr.230 "Noteikumi par valsts sociālās apdrošināšanas obligātajām iemaksām no valsts pamatbudžeta un valsts sociālās apdrošināšanas speciālajiem budžetiem"</vt:lpstr>
    </vt:vector>
  </TitlesOfParts>
  <Company>LM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6.jūnija noteikumos Nr.230 "Noteikumi par valsts sociālās apdrošināšanas obligātajām iemaksām no valsts pamatbudžeta un valsts sociālās apdrošināšanas speciālajiem budžetiem"</dc:title>
  <dc:subject>Anotācija</dc:subject>
  <dc:creator>Sandra Rucka</dc:creator>
  <dc:description>S.Rucka tālr. 67021562, fakss 67021562 Sandra.Rucka@lm.gov.lv</dc:description>
  <cp:lastModifiedBy>Sandra Rucka</cp:lastModifiedBy>
  <cp:revision>6</cp:revision>
  <cp:lastPrinted>2013-08-01T09:40:00Z</cp:lastPrinted>
  <dcterms:created xsi:type="dcterms:W3CDTF">2013-06-13T09:08:00Z</dcterms:created>
  <dcterms:modified xsi:type="dcterms:W3CDTF">2013-08-01T09:40:00Z</dcterms:modified>
</cp:coreProperties>
</file>