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43F" w:rsidRPr="00EA243F" w:rsidRDefault="00EA243F" w:rsidP="00EA24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Ministru kabineta noteikumu projekta „</w:t>
      </w:r>
      <w:r w:rsidRPr="00496104">
        <w:rPr>
          <w:b/>
          <w:sz w:val="28"/>
          <w:szCs w:val="28"/>
        </w:rPr>
        <w:t>Grozījum</w:t>
      </w:r>
      <w:r>
        <w:rPr>
          <w:b/>
          <w:sz w:val="28"/>
          <w:szCs w:val="28"/>
        </w:rPr>
        <w:t>s</w:t>
      </w:r>
      <w:r w:rsidRPr="00496104">
        <w:rPr>
          <w:b/>
          <w:sz w:val="28"/>
          <w:szCs w:val="28"/>
        </w:rPr>
        <w:t xml:space="preserve"> Ministru kabineta 2009.g</w:t>
      </w:r>
      <w:r>
        <w:rPr>
          <w:b/>
          <w:sz w:val="28"/>
          <w:szCs w:val="28"/>
        </w:rPr>
        <w:t>ada 22.decembra noteikumos Nr.1549</w:t>
      </w:r>
      <w:r w:rsidRPr="00496104">
        <w:rPr>
          <w:b/>
          <w:sz w:val="28"/>
          <w:szCs w:val="28"/>
        </w:rPr>
        <w:t xml:space="preserve"> “</w:t>
      </w:r>
      <w:r>
        <w:rPr>
          <w:b/>
          <w:sz w:val="28"/>
          <w:szCs w:val="28"/>
        </w:rPr>
        <w:t>Kārtība, kādā piešķir un izmaksā atlīdzību par audžuģimenes pienākumu pildīšanu””</w:t>
      </w:r>
    </w:p>
    <w:p w:rsidR="00EA243F" w:rsidRDefault="00EA243F" w:rsidP="00EA243F">
      <w:pPr>
        <w:jc w:val="center"/>
        <w:rPr>
          <w:b/>
          <w:sz w:val="28"/>
          <w:szCs w:val="28"/>
        </w:rPr>
      </w:pPr>
      <w:r w:rsidRPr="00AC181D">
        <w:rPr>
          <w:b/>
          <w:sz w:val="28"/>
          <w:szCs w:val="28"/>
        </w:rPr>
        <w:t xml:space="preserve">sākotnējās ietekmes novērtējuma </w:t>
      </w:r>
      <w:smartTag w:uri="schemas-tilde-lv/tildestengine" w:element="veidnes">
        <w:smartTagPr>
          <w:attr w:name="baseform" w:val="ziņojum|s"/>
          <w:attr w:name="id" w:val="-1"/>
          <w:attr w:name="text" w:val="ziņojums"/>
        </w:smartTagPr>
        <w:r w:rsidRPr="00AC181D">
          <w:rPr>
            <w:b/>
            <w:sz w:val="28"/>
            <w:szCs w:val="28"/>
          </w:rPr>
          <w:t>ziņojums</w:t>
        </w:r>
      </w:smartTag>
      <w:r w:rsidRPr="00AC181D">
        <w:rPr>
          <w:b/>
          <w:sz w:val="28"/>
          <w:szCs w:val="28"/>
        </w:rPr>
        <w:t xml:space="preserve"> (anotācija)</w:t>
      </w:r>
    </w:p>
    <w:p w:rsidR="00EA243F" w:rsidRDefault="00EA243F" w:rsidP="00EA243F">
      <w:pPr>
        <w:jc w:val="center"/>
        <w:rPr>
          <w:b/>
          <w:sz w:val="28"/>
          <w:szCs w:val="28"/>
        </w:rPr>
      </w:pPr>
    </w:p>
    <w:tbl>
      <w:tblPr>
        <w:tblStyle w:val="TableGrid"/>
        <w:tblW w:w="5000" w:type="pct"/>
        <w:tblLook w:val="01E0" w:firstRow="1" w:lastRow="1" w:firstColumn="1" w:lastColumn="1" w:noHBand="0" w:noVBand="0"/>
      </w:tblPr>
      <w:tblGrid>
        <w:gridCol w:w="396"/>
        <w:gridCol w:w="3072"/>
        <w:gridCol w:w="5819"/>
      </w:tblGrid>
      <w:tr w:rsidR="00EA243F" w:rsidRPr="00B76D85" w:rsidTr="00E132B4">
        <w:tc>
          <w:tcPr>
            <w:tcW w:w="5000" w:type="pct"/>
            <w:gridSpan w:val="3"/>
          </w:tcPr>
          <w:p w:rsidR="00EA243F" w:rsidRPr="00716E2F" w:rsidRDefault="00EA243F" w:rsidP="00E132B4">
            <w:pPr>
              <w:jc w:val="center"/>
              <w:rPr>
                <w:b/>
              </w:rPr>
            </w:pPr>
            <w:r w:rsidRPr="00716E2F">
              <w:rPr>
                <w:b/>
              </w:rPr>
              <w:t xml:space="preserve">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716E2F">
                <w:rPr>
                  <w:b/>
                </w:rPr>
                <w:t>akta</w:t>
              </w:r>
            </w:smartTag>
            <w:r w:rsidRPr="00716E2F">
              <w:rPr>
                <w:b/>
              </w:rPr>
              <w:t xml:space="preserve"> projekta izstrādes nepieciešamība</w:t>
            </w:r>
          </w:p>
        </w:tc>
      </w:tr>
      <w:tr w:rsidR="00EA243F" w:rsidRPr="003F27FC" w:rsidTr="00E132B4">
        <w:tc>
          <w:tcPr>
            <w:tcW w:w="213" w:type="pct"/>
          </w:tcPr>
          <w:p w:rsidR="00EA243F" w:rsidRPr="00716E2F" w:rsidRDefault="00EA243F" w:rsidP="00E132B4">
            <w:r w:rsidRPr="00716E2F">
              <w:t>1.</w:t>
            </w:r>
          </w:p>
        </w:tc>
        <w:tc>
          <w:tcPr>
            <w:tcW w:w="1654" w:type="pct"/>
          </w:tcPr>
          <w:p w:rsidR="00EA243F" w:rsidRPr="00716E2F" w:rsidRDefault="00EA243F" w:rsidP="00E132B4">
            <w:r w:rsidRPr="00716E2F">
              <w:t>Pamatojums</w:t>
            </w:r>
          </w:p>
        </w:tc>
        <w:tc>
          <w:tcPr>
            <w:tcW w:w="3133" w:type="pct"/>
          </w:tcPr>
          <w:p w:rsidR="00EA243F" w:rsidRPr="00716E2F" w:rsidRDefault="00EA243F" w:rsidP="00E132B4">
            <w:pPr>
              <w:jc w:val="both"/>
            </w:pPr>
            <w:proofErr w:type="spellStart"/>
            <w:r w:rsidRPr="00716E2F">
              <w:rPr>
                <w:i/>
              </w:rPr>
              <w:t>Euro</w:t>
            </w:r>
            <w:proofErr w:type="spellEnd"/>
            <w:r w:rsidRPr="00716E2F">
              <w:t xml:space="preserve"> ieviešanas kārtības likuma 30.panta pirmā daļa</w:t>
            </w:r>
            <w:r>
              <w:t xml:space="preserve"> un</w:t>
            </w:r>
            <w:r w:rsidRPr="00716E2F">
              <w:t xml:space="preserve"> Ministru kabineta 2012.gada 27.jūnija rīkojum</w:t>
            </w:r>
            <w:r w:rsidR="003975BA">
              <w:t>a</w:t>
            </w:r>
            <w:r w:rsidRPr="00716E2F">
              <w:t xml:space="preserve"> Nr.282 „Par „Koncepciju par normatīvo aktu sakārtošanu saistībā ar eiro ieviešanu Latvijā””</w:t>
            </w:r>
            <w:r w:rsidR="003975BA">
              <w:t xml:space="preserve"> 7.1.apakšpunkts</w:t>
            </w:r>
            <w:r>
              <w:t>.</w:t>
            </w:r>
          </w:p>
        </w:tc>
      </w:tr>
      <w:tr w:rsidR="00EA243F" w:rsidRPr="006832A2" w:rsidTr="00E132B4">
        <w:tc>
          <w:tcPr>
            <w:tcW w:w="213" w:type="pct"/>
          </w:tcPr>
          <w:p w:rsidR="00EA243F" w:rsidRPr="006832A2" w:rsidRDefault="00EA243F" w:rsidP="00E132B4">
            <w:r w:rsidRPr="006832A2">
              <w:t xml:space="preserve">2. </w:t>
            </w:r>
          </w:p>
        </w:tc>
        <w:tc>
          <w:tcPr>
            <w:tcW w:w="1654" w:type="pct"/>
          </w:tcPr>
          <w:p w:rsidR="00EA243F" w:rsidRPr="006832A2" w:rsidRDefault="00EA243F" w:rsidP="00E132B4">
            <w:r w:rsidRPr="006832A2">
              <w:t>Pašreizējā situācija un problēmas</w:t>
            </w:r>
          </w:p>
        </w:tc>
        <w:tc>
          <w:tcPr>
            <w:tcW w:w="3133" w:type="pct"/>
          </w:tcPr>
          <w:p w:rsidR="00EA243F" w:rsidRPr="006832A2" w:rsidRDefault="00EA243F" w:rsidP="006832A2">
            <w:pPr>
              <w:jc w:val="both"/>
            </w:pPr>
            <w:r w:rsidRPr="006832A2">
              <w:rPr>
                <w:iCs/>
              </w:rPr>
              <w:t xml:space="preserve">Ņemot vērā, ka ar 2014.gada 1.janvāri Latvijā plānots ieviest </w:t>
            </w:r>
            <w:proofErr w:type="spellStart"/>
            <w:r w:rsidRPr="006832A2">
              <w:rPr>
                <w:i/>
                <w:iCs/>
              </w:rPr>
              <w:t>euro</w:t>
            </w:r>
            <w:proofErr w:type="spellEnd"/>
            <w:r w:rsidRPr="006832A2">
              <w:rPr>
                <w:iCs/>
              </w:rPr>
              <w:t xml:space="preserve">, ir nepieciešams veikt grozījumu Ministru kabineta </w:t>
            </w:r>
            <w:r w:rsidR="006832A2" w:rsidRPr="006832A2">
              <w:t>2009.gada 22.decembra noteikumos Nr.1549 „Kārtība, kādā piešķir un izmaksā atlīdzību par audžuģimenes pienākumu pildīšanu”</w:t>
            </w:r>
            <w:r w:rsidRPr="006832A2">
              <w:t xml:space="preserve"> (turpmāk – MK noteikumi), aizstājot tajā latus ar </w:t>
            </w:r>
            <w:proofErr w:type="spellStart"/>
            <w:r w:rsidRPr="006832A2">
              <w:rPr>
                <w:i/>
              </w:rPr>
              <w:t>euro</w:t>
            </w:r>
            <w:proofErr w:type="spellEnd"/>
            <w:r w:rsidRPr="006832A2">
              <w:t>.</w:t>
            </w:r>
          </w:p>
        </w:tc>
      </w:tr>
      <w:tr w:rsidR="00EA243F" w:rsidRPr="003F27FC" w:rsidTr="00E132B4">
        <w:tc>
          <w:tcPr>
            <w:tcW w:w="213" w:type="pct"/>
          </w:tcPr>
          <w:p w:rsidR="00EA243F" w:rsidRPr="00716E2F" w:rsidRDefault="00EA243F" w:rsidP="00E132B4">
            <w:r w:rsidRPr="00716E2F">
              <w:t xml:space="preserve">3. </w:t>
            </w:r>
          </w:p>
        </w:tc>
        <w:tc>
          <w:tcPr>
            <w:tcW w:w="1654" w:type="pct"/>
          </w:tcPr>
          <w:p w:rsidR="00EA243F" w:rsidRPr="00716E2F" w:rsidRDefault="00EA243F" w:rsidP="00E132B4">
            <w:r w:rsidRPr="00716E2F">
              <w:t>Saistītie politikas ietekmes novērtējumi un pētījumi</w:t>
            </w:r>
          </w:p>
        </w:tc>
        <w:tc>
          <w:tcPr>
            <w:tcW w:w="3133" w:type="pct"/>
          </w:tcPr>
          <w:p w:rsidR="00EA243F" w:rsidRPr="00716E2F" w:rsidRDefault="00EA243F" w:rsidP="00E132B4">
            <w:pPr>
              <w:jc w:val="both"/>
            </w:pPr>
            <w:r w:rsidRPr="00716E2F">
              <w:t>Nav attiecināms.</w:t>
            </w:r>
          </w:p>
        </w:tc>
      </w:tr>
      <w:tr w:rsidR="00EA243F" w:rsidRPr="003F27FC" w:rsidTr="00E132B4">
        <w:tc>
          <w:tcPr>
            <w:tcW w:w="213" w:type="pct"/>
          </w:tcPr>
          <w:p w:rsidR="00EA243F" w:rsidRPr="00716E2F" w:rsidRDefault="00EA243F" w:rsidP="00E132B4">
            <w:r w:rsidRPr="00716E2F">
              <w:t>4.</w:t>
            </w:r>
          </w:p>
        </w:tc>
        <w:tc>
          <w:tcPr>
            <w:tcW w:w="1654" w:type="pct"/>
          </w:tcPr>
          <w:p w:rsidR="00EA243F" w:rsidRPr="00716E2F" w:rsidRDefault="00EA243F" w:rsidP="00E132B4">
            <w:r w:rsidRPr="00716E2F">
              <w:t>Tiesiskā regulējuma mērķis un būtība</w:t>
            </w:r>
          </w:p>
        </w:tc>
        <w:tc>
          <w:tcPr>
            <w:tcW w:w="3133" w:type="pct"/>
          </w:tcPr>
          <w:p w:rsidR="00EA243F" w:rsidRPr="00716E2F" w:rsidRDefault="00EA243F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Šā projekta mērķis ir pielāgot MK noteikumus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ieviešanai, aizstājot tajā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>.</w:t>
            </w:r>
          </w:p>
          <w:p w:rsidR="00EA243F" w:rsidRPr="00716E2F" w:rsidRDefault="00EA243F" w:rsidP="00E132B4">
            <w:pPr>
              <w:jc w:val="both"/>
              <w:rPr>
                <w:iCs/>
              </w:rPr>
            </w:pPr>
            <w:r w:rsidRPr="00716E2F">
              <w:rPr>
                <w:iCs/>
              </w:rPr>
              <w:t xml:space="preserve">Projekts paredz aizstāt latus ar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atbilstoši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ieviešana kārtības likuma 6.pantā paredzētajiem principiem.</w:t>
            </w:r>
          </w:p>
          <w:p w:rsidR="00EA243F" w:rsidRPr="00716E2F" w:rsidRDefault="00EA243F" w:rsidP="00E132B4">
            <w:pPr>
              <w:jc w:val="both"/>
            </w:pPr>
            <w:r w:rsidRPr="00716E2F">
              <w:rPr>
                <w:iCs/>
              </w:rPr>
              <w:t xml:space="preserve">Grozītās tiesību normas </w:t>
            </w:r>
            <w:proofErr w:type="spellStart"/>
            <w:r w:rsidRPr="00716E2F">
              <w:rPr>
                <w:i/>
                <w:iCs/>
              </w:rPr>
              <w:t>euro</w:t>
            </w:r>
            <w:proofErr w:type="spellEnd"/>
            <w:r w:rsidRPr="00716E2F">
              <w:rPr>
                <w:iCs/>
              </w:rPr>
              <w:t xml:space="preserve"> valūtā nav personām nelabvēlīgākas par sākotnējo tiesību normu latos un nerada vērā ņemamu negatīvu ietekmi uz valsts budžetu.</w:t>
            </w:r>
          </w:p>
        </w:tc>
      </w:tr>
      <w:tr w:rsidR="00EA243F" w:rsidRPr="003F27FC" w:rsidTr="00E132B4">
        <w:tc>
          <w:tcPr>
            <w:tcW w:w="213" w:type="pct"/>
          </w:tcPr>
          <w:p w:rsidR="00EA243F" w:rsidRPr="00716E2F" w:rsidRDefault="00EA243F" w:rsidP="00E132B4">
            <w:r w:rsidRPr="00716E2F">
              <w:t>5.</w:t>
            </w:r>
          </w:p>
        </w:tc>
        <w:tc>
          <w:tcPr>
            <w:tcW w:w="1654" w:type="pct"/>
          </w:tcPr>
          <w:p w:rsidR="00EA243F" w:rsidRPr="00716E2F" w:rsidRDefault="00EA243F" w:rsidP="00E132B4">
            <w:r w:rsidRPr="00716E2F">
              <w:t>Projekta izstrādē iesaistītās institūcijas</w:t>
            </w:r>
          </w:p>
        </w:tc>
        <w:tc>
          <w:tcPr>
            <w:tcW w:w="3133" w:type="pct"/>
          </w:tcPr>
          <w:p w:rsidR="00EA243F" w:rsidRPr="008F285C" w:rsidRDefault="00EA243F" w:rsidP="00E132B4">
            <w:pPr>
              <w:jc w:val="both"/>
            </w:pPr>
            <w:r w:rsidRPr="008F285C">
              <w:rPr>
                <w:iCs/>
              </w:rPr>
              <w:t>Nav attiecināms.</w:t>
            </w:r>
          </w:p>
        </w:tc>
      </w:tr>
      <w:tr w:rsidR="00EA243F" w:rsidRPr="003F27FC" w:rsidTr="00E132B4">
        <w:tc>
          <w:tcPr>
            <w:tcW w:w="213" w:type="pct"/>
          </w:tcPr>
          <w:p w:rsidR="00EA243F" w:rsidRPr="00716E2F" w:rsidRDefault="00EA243F" w:rsidP="00E132B4">
            <w:r w:rsidRPr="00716E2F">
              <w:t>6.</w:t>
            </w:r>
          </w:p>
        </w:tc>
        <w:tc>
          <w:tcPr>
            <w:tcW w:w="1654" w:type="pct"/>
          </w:tcPr>
          <w:p w:rsidR="00EA243F" w:rsidRPr="00716E2F" w:rsidRDefault="00EA243F" w:rsidP="00E132B4">
            <w:r w:rsidRPr="00716E2F">
              <w:t>Iemesli, kādēļ netika nodrošināta sabiedrības līdzdalība</w:t>
            </w:r>
          </w:p>
        </w:tc>
        <w:tc>
          <w:tcPr>
            <w:tcW w:w="3133" w:type="pct"/>
          </w:tcPr>
          <w:p w:rsidR="00EA243F" w:rsidRPr="008F285C" w:rsidRDefault="00EA243F" w:rsidP="00E132B4">
            <w:pPr>
              <w:jc w:val="both"/>
            </w:pPr>
            <w:r w:rsidRPr="008F285C">
              <w:t>Sabiedrības līdzdalība projekta izstrādē netika nodrošināta, jo projekts nemainīs pastāvošo tiesisko regulējumu pēc būtības.</w:t>
            </w:r>
          </w:p>
        </w:tc>
      </w:tr>
      <w:tr w:rsidR="00EA243F" w:rsidRPr="003F27FC" w:rsidTr="00E132B4">
        <w:tc>
          <w:tcPr>
            <w:tcW w:w="213" w:type="pct"/>
          </w:tcPr>
          <w:p w:rsidR="00EA243F" w:rsidRPr="00716E2F" w:rsidRDefault="00EA243F" w:rsidP="00E132B4">
            <w:r w:rsidRPr="00716E2F">
              <w:t xml:space="preserve">7. </w:t>
            </w:r>
          </w:p>
        </w:tc>
        <w:tc>
          <w:tcPr>
            <w:tcW w:w="1654" w:type="pct"/>
          </w:tcPr>
          <w:p w:rsidR="00EA243F" w:rsidRPr="00716E2F" w:rsidRDefault="00EA243F" w:rsidP="00E132B4">
            <w:r w:rsidRPr="00716E2F">
              <w:t>Cita informācija</w:t>
            </w:r>
          </w:p>
        </w:tc>
        <w:tc>
          <w:tcPr>
            <w:tcW w:w="3133" w:type="pct"/>
          </w:tcPr>
          <w:p w:rsidR="00EA243F" w:rsidRPr="00716E2F" w:rsidRDefault="00EA243F" w:rsidP="0081481F">
            <w:pPr>
              <w:jc w:val="both"/>
              <w:rPr>
                <w:color w:val="FF0000"/>
              </w:rPr>
            </w:pPr>
            <w:r w:rsidRPr="00F837C9">
              <w:t>Šis projekts tiks virzīts izskatīšanai Ministru kabinetā pēc tam, kad Eiropas Savienības Padomē saskaņā ar Līguma par Eiropas Savienības darbību 140</w:t>
            </w:r>
            <w:r w:rsidR="0081481F">
              <w:t>.</w:t>
            </w:r>
            <w:r w:rsidRPr="00F837C9">
              <w:t>panta 2.punktu tiks pieņemts lēmums par izņēmuma statusa atcelšanu Latvijas Republikai.</w:t>
            </w:r>
          </w:p>
        </w:tc>
      </w:tr>
    </w:tbl>
    <w:p w:rsidR="00EA243F" w:rsidRDefault="00EA243F" w:rsidP="00EA243F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EA243F" w:rsidRPr="00B76D85" w:rsidTr="00E132B4">
        <w:tc>
          <w:tcPr>
            <w:tcW w:w="9287" w:type="dxa"/>
          </w:tcPr>
          <w:p w:rsidR="00EA243F" w:rsidRPr="00C01716" w:rsidRDefault="00EA243F" w:rsidP="00E132B4">
            <w:pPr>
              <w:jc w:val="center"/>
              <w:rPr>
                <w:b/>
              </w:rPr>
            </w:pPr>
            <w:r w:rsidRPr="00C01716">
              <w:rPr>
                <w:b/>
              </w:rPr>
              <w:t xml:space="preserve">II 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C01716">
                <w:rPr>
                  <w:b/>
                </w:rPr>
                <w:t>akta</w:t>
              </w:r>
            </w:smartTag>
            <w:r w:rsidRPr="00C01716">
              <w:rPr>
                <w:b/>
              </w:rPr>
              <w:t xml:space="preserve"> projekta ietekme uz sabiedrību</w:t>
            </w:r>
          </w:p>
        </w:tc>
      </w:tr>
      <w:tr w:rsidR="00EA243F" w:rsidRPr="000E253F" w:rsidTr="00E132B4">
        <w:tc>
          <w:tcPr>
            <w:tcW w:w="9287" w:type="dxa"/>
          </w:tcPr>
          <w:p w:rsidR="00EA243F" w:rsidRPr="000E253F" w:rsidRDefault="00EA243F" w:rsidP="00E132B4">
            <w:pPr>
              <w:jc w:val="both"/>
            </w:pPr>
            <w:r w:rsidRPr="000E253F">
              <w:t>Projekts nerada ietekmi uz sabiedrību, jo nemaina spēkā esošo tiesisko regulējumu pēc būtības.</w:t>
            </w:r>
          </w:p>
        </w:tc>
      </w:tr>
    </w:tbl>
    <w:p w:rsidR="00EA243F" w:rsidRDefault="00EA243F" w:rsidP="00EA243F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2746"/>
        <w:gridCol w:w="1530"/>
        <w:gridCol w:w="1310"/>
        <w:gridCol w:w="1218"/>
        <w:gridCol w:w="1228"/>
        <w:gridCol w:w="1255"/>
      </w:tblGrid>
      <w:tr w:rsidR="00EA243F" w:rsidTr="00E132B4">
        <w:tc>
          <w:tcPr>
            <w:tcW w:w="9287" w:type="dxa"/>
            <w:gridSpan w:val="6"/>
          </w:tcPr>
          <w:p w:rsidR="00EA243F" w:rsidRDefault="00EA243F" w:rsidP="00E132B4">
            <w:pPr>
              <w:jc w:val="center"/>
            </w:pPr>
            <w:r>
              <w:br w:type="page"/>
            </w:r>
            <w:r>
              <w:br w:type="page"/>
            </w:r>
            <w:r w:rsidRPr="00273F99">
              <w:rPr>
                <w:b/>
              </w:rPr>
              <w:t>III</w:t>
            </w:r>
            <w:r>
              <w:t xml:space="preserve"> </w:t>
            </w:r>
            <w:r w:rsidRPr="00E776E8">
              <w:rPr>
                <w:b/>
                <w:bCs/>
              </w:rPr>
              <w:t xml:space="preserve">Tiesību </w:t>
            </w:r>
            <w:smartTag w:uri="schemas-tilde-lv/tildestengine" w:element="veidnes">
              <w:smartTagPr>
                <w:attr w:name="baseform" w:val="akt|s"/>
                <w:attr w:name="id" w:val="-1"/>
                <w:attr w:name="text" w:val="akta"/>
              </w:smartTagPr>
              <w:r w:rsidRPr="00E776E8">
                <w:rPr>
                  <w:b/>
                  <w:bCs/>
                </w:rPr>
                <w:t>akta</w:t>
              </w:r>
            </w:smartTag>
            <w:r w:rsidRPr="00E776E8">
              <w:rPr>
                <w:b/>
                <w:bCs/>
              </w:rPr>
              <w:t xml:space="preserve"> projekta ietekme uz valsts budžetu un pašvaldību budžetiem</w:t>
            </w:r>
          </w:p>
        </w:tc>
      </w:tr>
      <w:tr w:rsidR="00EA243F" w:rsidTr="00E132B4">
        <w:tc>
          <w:tcPr>
            <w:tcW w:w="5586" w:type="dxa"/>
            <w:gridSpan w:val="3"/>
          </w:tcPr>
          <w:p w:rsidR="00EA243F" w:rsidRDefault="00EA243F" w:rsidP="00E132B4">
            <w:pPr>
              <w:jc w:val="center"/>
            </w:pPr>
          </w:p>
        </w:tc>
        <w:tc>
          <w:tcPr>
            <w:tcW w:w="3701" w:type="dxa"/>
            <w:gridSpan w:val="3"/>
            <w:vAlign w:val="center"/>
          </w:tcPr>
          <w:p w:rsidR="00EA243F" w:rsidRDefault="00EA243F" w:rsidP="00E132B4">
            <w:pPr>
              <w:jc w:val="center"/>
            </w:pPr>
            <w:r w:rsidRPr="00BB0A82">
              <w:rPr>
                <w:sz w:val="22"/>
                <w:szCs w:val="22"/>
              </w:rPr>
              <w:t>(tūkst</w:t>
            </w:r>
            <w:smartTag w:uri="schemas-tilde-lv/tildestengine" w:element="veidnes">
              <w:smartTagPr>
                <w:attr w:name="text" w:val="akta"/>
                <w:attr w:name="id" w:val="-1"/>
                <w:attr w:name="baseform" w:val="akt|s"/>
              </w:smartTagPr>
              <w:r w:rsidRPr="00BB0A82">
                <w:rPr>
                  <w:sz w:val="22"/>
                  <w:szCs w:val="22"/>
                </w:rPr>
                <w:t>. latu</w:t>
              </w:r>
            </w:smartTag>
            <w:r w:rsidRPr="00BB0A82">
              <w:rPr>
                <w:sz w:val="22"/>
                <w:szCs w:val="22"/>
              </w:rPr>
              <w:t>)</w:t>
            </w:r>
          </w:p>
        </w:tc>
      </w:tr>
      <w:tr w:rsidR="00EA243F" w:rsidTr="00E132B4">
        <w:tc>
          <w:tcPr>
            <w:tcW w:w="2746" w:type="dxa"/>
            <w:vMerge w:val="restart"/>
            <w:vAlign w:val="center"/>
          </w:tcPr>
          <w:p w:rsidR="00EA243F" w:rsidRDefault="00EA243F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Rādītāji</w:t>
            </w:r>
          </w:p>
        </w:tc>
        <w:tc>
          <w:tcPr>
            <w:tcW w:w="2840" w:type="dxa"/>
            <w:gridSpan w:val="2"/>
            <w:vMerge w:val="restart"/>
            <w:vAlign w:val="center"/>
          </w:tcPr>
          <w:p w:rsidR="00EA243F" w:rsidRDefault="00EA243F" w:rsidP="00E132B4">
            <w:pPr>
              <w:jc w:val="center"/>
            </w:pPr>
            <w:r w:rsidRPr="003B629D">
              <w:rPr>
                <w:b/>
                <w:sz w:val="22"/>
                <w:szCs w:val="22"/>
              </w:rPr>
              <w:t>201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701" w:type="dxa"/>
            <w:gridSpan w:val="3"/>
            <w:vAlign w:val="center"/>
          </w:tcPr>
          <w:p w:rsidR="00EA243F" w:rsidRDefault="00EA243F" w:rsidP="00E132B4">
            <w:pPr>
              <w:jc w:val="center"/>
            </w:pPr>
            <w:r w:rsidRPr="00BB0A82">
              <w:rPr>
                <w:sz w:val="22"/>
                <w:szCs w:val="22"/>
              </w:rPr>
              <w:t>Turpmākie trīs gadi</w:t>
            </w:r>
          </w:p>
        </w:tc>
      </w:tr>
      <w:tr w:rsidR="00EA243F" w:rsidTr="00E132B4">
        <w:tc>
          <w:tcPr>
            <w:tcW w:w="2746" w:type="dxa"/>
            <w:vMerge/>
          </w:tcPr>
          <w:p w:rsidR="00EA243F" w:rsidRDefault="00EA243F" w:rsidP="00E132B4">
            <w:pPr>
              <w:jc w:val="center"/>
            </w:pPr>
          </w:p>
        </w:tc>
        <w:tc>
          <w:tcPr>
            <w:tcW w:w="2840" w:type="dxa"/>
            <w:gridSpan w:val="2"/>
            <w:vMerge/>
          </w:tcPr>
          <w:p w:rsidR="00EA243F" w:rsidRPr="003B629D" w:rsidRDefault="00EA243F" w:rsidP="00E132B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8" w:type="dxa"/>
            <w:vAlign w:val="bottom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</w:p>
        </w:tc>
        <w:tc>
          <w:tcPr>
            <w:tcW w:w="1228" w:type="dxa"/>
            <w:vAlign w:val="bottom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2015</w:t>
            </w:r>
          </w:p>
        </w:tc>
        <w:tc>
          <w:tcPr>
            <w:tcW w:w="1255" w:type="dxa"/>
            <w:vAlign w:val="bottom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2016</w:t>
            </w:r>
          </w:p>
        </w:tc>
      </w:tr>
      <w:tr w:rsidR="00EA243F" w:rsidRPr="003B629D" w:rsidTr="00E132B4">
        <w:tc>
          <w:tcPr>
            <w:tcW w:w="2746" w:type="dxa"/>
            <w:vMerge/>
            <w:vAlign w:val="bottom"/>
          </w:tcPr>
          <w:p w:rsidR="00EA243F" w:rsidRPr="003B629D" w:rsidRDefault="00EA24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30" w:type="dxa"/>
            <w:vAlign w:val="bottom"/>
          </w:tcPr>
          <w:p w:rsidR="00EA243F" w:rsidRPr="003B629D" w:rsidRDefault="00EA243F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>Saskaņā ar valsts budžetu kārtējam gadam</w:t>
            </w:r>
          </w:p>
        </w:tc>
        <w:tc>
          <w:tcPr>
            <w:tcW w:w="1310" w:type="dxa"/>
            <w:vAlign w:val="bottom"/>
          </w:tcPr>
          <w:p w:rsidR="00EA243F" w:rsidRPr="003B629D" w:rsidRDefault="00EA243F" w:rsidP="00E132B4">
            <w:pPr>
              <w:jc w:val="center"/>
              <w:rPr>
                <w:sz w:val="22"/>
                <w:szCs w:val="22"/>
              </w:rPr>
            </w:pPr>
            <w:r w:rsidRPr="003B629D">
              <w:rPr>
                <w:sz w:val="22"/>
                <w:szCs w:val="22"/>
              </w:rPr>
              <w:t xml:space="preserve">Izmaiņas kārtējā gadā salīdzinot ar budžetu </w:t>
            </w:r>
            <w:r w:rsidRPr="003B629D">
              <w:rPr>
                <w:sz w:val="22"/>
                <w:szCs w:val="22"/>
              </w:rPr>
              <w:lastRenderedPageBreak/>
              <w:t>kārtējam gadam</w:t>
            </w:r>
          </w:p>
        </w:tc>
        <w:tc>
          <w:tcPr>
            <w:tcW w:w="1218" w:type="dxa"/>
            <w:vAlign w:val="bottom"/>
          </w:tcPr>
          <w:p w:rsidR="00EA243F" w:rsidRPr="003B629D" w:rsidRDefault="00EA243F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lastRenderedPageBreak/>
              <w:t>Izmaiņas salīdzinot ar kārtējo (n) gadu</w:t>
            </w:r>
          </w:p>
        </w:tc>
        <w:tc>
          <w:tcPr>
            <w:tcW w:w="1228" w:type="dxa"/>
            <w:vAlign w:val="bottom"/>
          </w:tcPr>
          <w:p w:rsidR="00EA243F" w:rsidRPr="003B629D" w:rsidRDefault="00EA243F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  <w:tc>
          <w:tcPr>
            <w:tcW w:w="1255" w:type="dxa"/>
            <w:vAlign w:val="bottom"/>
          </w:tcPr>
          <w:p w:rsidR="00EA243F" w:rsidRPr="003B629D" w:rsidRDefault="00EA243F" w:rsidP="00E132B4">
            <w:pPr>
              <w:jc w:val="center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Izmaiņas salīdzinot ar kārtējo (n) gadu</w:t>
            </w: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lastRenderedPageBreak/>
              <w:t>1</w:t>
            </w:r>
          </w:p>
        </w:tc>
        <w:tc>
          <w:tcPr>
            <w:tcW w:w="1530" w:type="dxa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310" w:type="dxa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218" w:type="dxa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228" w:type="dxa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255" w:type="dxa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BB0A82">
              <w:rPr>
                <w:b/>
                <w:sz w:val="22"/>
                <w:szCs w:val="22"/>
              </w:rPr>
              <w:t>6</w:t>
            </w:r>
          </w:p>
        </w:tc>
      </w:tr>
      <w:tr w:rsidR="00EA243F" w:rsidTr="00E132B4">
        <w:tc>
          <w:tcPr>
            <w:tcW w:w="2746" w:type="dxa"/>
          </w:tcPr>
          <w:p w:rsidR="00EA243F" w:rsidRDefault="00EA243F" w:rsidP="00E132B4">
            <w:r w:rsidRPr="00E776E8">
              <w:rPr>
                <w:sz w:val="22"/>
                <w:szCs w:val="22"/>
              </w:rPr>
              <w:t>1. Budžeta ieņēmumi:</w:t>
            </w:r>
          </w:p>
        </w:tc>
        <w:tc>
          <w:tcPr>
            <w:tcW w:w="1530" w:type="dxa"/>
          </w:tcPr>
          <w:p w:rsidR="00EA243F" w:rsidRDefault="00EA243F" w:rsidP="00E132B4"/>
        </w:tc>
        <w:tc>
          <w:tcPr>
            <w:tcW w:w="1310" w:type="dxa"/>
          </w:tcPr>
          <w:p w:rsidR="00EA243F" w:rsidRDefault="00EA243F" w:rsidP="00E132B4"/>
        </w:tc>
        <w:tc>
          <w:tcPr>
            <w:tcW w:w="1218" w:type="dxa"/>
          </w:tcPr>
          <w:p w:rsidR="00EA243F" w:rsidRDefault="00EA243F" w:rsidP="00E132B4"/>
        </w:tc>
        <w:tc>
          <w:tcPr>
            <w:tcW w:w="1228" w:type="dxa"/>
          </w:tcPr>
          <w:p w:rsidR="00EA243F" w:rsidRDefault="00EA243F" w:rsidP="00E132B4"/>
        </w:tc>
        <w:tc>
          <w:tcPr>
            <w:tcW w:w="1255" w:type="dxa"/>
          </w:tcPr>
          <w:p w:rsidR="00EA243F" w:rsidRDefault="00EA243F" w:rsidP="00E132B4"/>
        </w:tc>
      </w:tr>
      <w:tr w:rsidR="00EA243F" w:rsidRPr="003F27FC" w:rsidTr="00E132B4">
        <w:tc>
          <w:tcPr>
            <w:tcW w:w="2746" w:type="dxa"/>
          </w:tcPr>
          <w:p w:rsidR="00EA243F" w:rsidRPr="003F27FC" w:rsidRDefault="00EA243F" w:rsidP="00E132B4">
            <w:pPr>
              <w:rPr>
                <w:sz w:val="22"/>
                <w:szCs w:val="22"/>
              </w:rPr>
            </w:pPr>
            <w:r w:rsidRPr="003F27FC">
              <w:rPr>
                <w:sz w:val="22"/>
                <w:szCs w:val="22"/>
              </w:rPr>
              <w:t>1.1. valsts pamatbudžets, tai skaitā ieņēmumi no maksas pakalpojumiem un citi pašu ieņēmumi</w:t>
            </w:r>
          </w:p>
        </w:tc>
        <w:tc>
          <w:tcPr>
            <w:tcW w:w="1530" w:type="dxa"/>
            <w:vAlign w:val="center"/>
          </w:tcPr>
          <w:p w:rsidR="00EA243F" w:rsidRPr="003F27FC" w:rsidRDefault="00EA24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EA243F" w:rsidRPr="003F27FC" w:rsidRDefault="00EA24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EA243F" w:rsidRPr="003F27FC" w:rsidRDefault="00EA24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EA243F" w:rsidRPr="003F27FC" w:rsidRDefault="00EA243F" w:rsidP="00E132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EA243F" w:rsidRPr="003F27FC" w:rsidRDefault="00EA243F" w:rsidP="00E132B4">
            <w:pPr>
              <w:jc w:val="center"/>
              <w:rPr>
                <w:sz w:val="22"/>
                <w:szCs w:val="22"/>
              </w:rPr>
            </w:pPr>
          </w:p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pStyle w:val="naisf"/>
              <w:spacing w:before="0" w:after="0"/>
              <w:ind w:firstLine="0"/>
              <w:jc w:val="left"/>
              <w:rPr>
                <w:i/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1.2. valsts speciālais budžets</w:t>
            </w:r>
          </w:p>
        </w:tc>
        <w:tc>
          <w:tcPr>
            <w:tcW w:w="1530" w:type="dxa"/>
            <w:vAlign w:val="center"/>
          </w:tcPr>
          <w:p w:rsidR="00EA243F" w:rsidRPr="00175494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243F" w:rsidTr="00E132B4">
        <w:tc>
          <w:tcPr>
            <w:tcW w:w="2746" w:type="dxa"/>
          </w:tcPr>
          <w:p w:rsidR="00EA243F" w:rsidRDefault="00EA243F" w:rsidP="00E132B4">
            <w:r w:rsidRPr="00E776E8">
              <w:rPr>
                <w:sz w:val="22"/>
                <w:szCs w:val="22"/>
              </w:rPr>
              <w:t>1.3. pašvaldību budžets</w:t>
            </w:r>
          </w:p>
        </w:tc>
        <w:tc>
          <w:tcPr>
            <w:tcW w:w="153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Default="00EA243F" w:rsidP="00E132B4">
            <w:r w:rsidRPr="00E776E8">
              <w:rPr>
                <w:sz w:val="22"/>
                <w:szCs w:val="22"/>
              </w:rPr>
              <w:t>2. Budžeta izdevumi:</w:t>
            </w:r>
          </w:p>
        </w:tc>
        <w:tc>
          <w:tcPr>
            <w:tcW w:w="1530" w:type="dxa"/>
          </w:tcPr>
          <w:p w:rsidR="00EA243F" w:rsidRDefault="00EA243F" w:rsidP="00E132B4"/>
        </w:tc>
        <w:tc>
          <w:tcPr>
            <w:tcW w:w="1310" w:type="dxa"/>
          </w:tcPr>
          <w:p w:rsidR="00EA243F" w:rsidRDefault="00EA243F" w:rsidP="00E132B4"/>
        </w:tc>
        <w:tc>
          <w:tcPr>
            <w:tcW w:w="1218" w:type="dxa"/>
          </w:tcPr>
          <w:p w:rsidR="00EA243F" w:rsidRDefault="00EA243F" w:rsidP="00E132B4"/>
        </w:tc>
        <w:tc>
          <w:tcPr>
            <w:tcW w:w="1228" w:type="dxa"/>
          </w:tcPr>
          <w:p w:rsidR="00EA243F" w:rsidRDefault="00EA243F" w:rsidP="00E132B4"/>
        </w:tc>
        <w:tc>
          <w:tcPr>
            <w:tcW w:w="1255" w:type="dxa"/>
          </w:tcPr>
          <w:p w:rsidR="00EA243F" w:rsidRDefault="00EA243F" w:rsidP="00E132B4"/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2.1. valsts pamatbudžets</w:t>
            </w:r>
          </w:p>
        </w:tc>
        <w:tc>
          <w:tcPr>
            <w:tcW w:w="153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2.2.</w:t>
            </w:r>
            <w:r>
              <w:rPr>
                <w:sz w:val="22"/>
                <w:szCs w:val="22"/>
              </w:rPr>
              <w:t xml:space="preserve"> valsts speciālais budžets</w:t>
            </w:r>
          </w:p>
        </w:tc>
        <w:tc>
          <w:tcPr>
            <w:tcW w:w="1530" w:type="dxa"/>
            <w:vAlign w:val="center"/>
          </w:tcPr>
          <w:p w:rsidR="00EA243F" w:rsidRPr="00175494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2.3. pašvaldību budžets </w:t>
            </w:r>
          </w:p>
        </w:tc>
        <w:tc>
          <w:tcPr>
            <w:tcW w:w="153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31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Default="00EA243F" w:rsidP="00E132B4">
            <w:r w:rsidRPr="00E776E8">
              <w:rPr>
                <w:sz w:val="22"/>
                <w:szCs w:val="22"/>
              </w:rPr>
              <w:t>3. Finansiālā ietekme:</w:t>
            </w:r>
          </w:p>
        </w:tc>
        <w:tc>
          <w:tcPr>
            <w:tcW w:w="1530" w:type="dxa"/>
          </w:tcPr>
          <w:p w:rsidR="00EA243F" w:rsidRDefault="00EA243F" w:rsidP="00E132B4"/>
        </w:tc>
        <w:tc>
          <w:tcPr>
            <w:tcW w:w="1310" w:type="dxa"/>
          </w:tcPr>
          <w:p w:rsidR="00EA243F" w:rsidRDefault="00EA243F" w:rsidP="00E132B4"/>
        </w:tc>
        <w:tc>
          <w:tcPr>
            <w:tcW w:w="1218" w:type="dxa"/>
          </w:tcPr>
          <w:p w:rsidR="00EA243F" w:rsidRDefault="00EA243F" w:rsidP="00E132B4"/>
        </w:tc>
        <w:tc>
          <w:tcPr>
            <w:tcW w:w="1228" w:type="dxa"/>
          </w:tcPr>
          <w:p w:rsidR="00EA243F" w:rsidRDefault="00EA243F" w:rsidP="00E132B4"/>
        </w:tc>
        <w:tc>
          <w:tcPr>
            <w:tcW w:w="1255" w:type="dxa"/>
          </w:tcPr>
          <w:p w:rsidR="00EA243F" w:rsidRDefault="00EA243F" w:rsidP="00E132B4"/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3.1. valsts pamatbudžets</w:t>
            </w:r>
          </w:p>
        </w:tc>
        <w:tc>
          <w:tcPr>
            <w:tcW w:w="1530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>3.2. speciālais budžets</w:t>
            </w:r>
          </w:p>
        </w:tc>
        <w:tc>
          <w:tcPr>
            <w:tcW w:w="1530" w:type="dxa"/>
            <w:vAlign w:val="center"/>
          </w:tcPr>
          <w:p w:rsidR="00EA243F" w:rsidRPr="00175494" w:rsidRDefault="00EA243F" w:rsidP="00E132B4">
            <w:pPr>
              <w:pStyle w:val="naisf"/>
              <w:spacing w:before="0" w:after="0"/>
              <w:ind w:firstLine="0"/>
              <w:jc w:val="center"/>
            </w:pPr>
          </w:p>
        </w:tc>
        <w:tc>
          <w:tcPr>
            <w:tcW w:w="1310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EA243F" w:rsidRPr="00E11889" w:rsidRDefault="00EA243F" w:rsidP="00E132B4">
            <w:pPr>
              <w:pStyle w:val="naisf"/>
              <w:spacing w:before="0"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EA243F" w:rsidTr="00E132B4">
        <w:tc>
          <w:tcPr>
            <w:tcW w:w="2746" w:type="dxa"/>
          </w:tcPr>
          <w:p w:rsidR="00EA243F" w:rsidRPr="00E776E8" w:rsidRDefault="00EA243F" w:rsidP="00E132B4">
            <w:pPr>
              <w:jc w:val="both"/>
              <w:rPr>
                <w:sz w:val="22"/>
                <w:szCs w:val="22"/>
              </w:rPr>
            </w:pPr>
            <w:r w:rsidRPr="00E776E8">
              <w:rPr>
                <w:sz w:val="22"/>
                <w:szCs w:val="22"/>
              </w:rPr>
              <w:t xml:space="preserve">3.3. pašvaldību budžets </w:t>
            </w:r>
          </w:p>
        </w:tc>
        <w:tc>
          <w:tcPr>
            <w:tcW w:w="1530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310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18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28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255" w:type="dxa"/>
            <w:vAlign w:val="center"/>
          </w:tcPr>
          <w:p w:rsidR="00EA243F" w:rsidRPr="00BB0A82" w:rsidRDefault="00EA243F" w:rsidP="00E132B4">
            <w:pPr>
              <w:pStyle w:val="naisf"/>
              <w:spacing w:before="0" w:after="0"/>
              <w:ind w:firstLine="0"/>
              <w:jc w:val="center"/>
              <w:rPr>
                <w:b/>
                <w:i/>
                <w:sz w:val="22"/>
                <w:szCs w:val="22"/>
              </w:rPr>
            </w:pPr>
          </w:p>
        </w:tc>
      </w:tr>
      <w:tr w:rsidR="00EA243F" w:rsidTr="00E132B4">
        <w:tc>
          <w:tcPr>
            <w:tcW w:w="2746" w:type="dxa"/>
          </w:tcPr>
          <w:p w:rsidR="00EA243F" w:rsidRDefault="00EA243F" w:rsidP="00E132B4">
            <w:r w:rsidRPr="00E776E8">
              <w:rPr>
                <w:sz w:val="22"/>
                <w:szCs w:val="22"/>
              </w:rPr>
              <w:t>4. Finanšu līdzekļi papildu izdevumu finansēšanai (kompensējošu izdevumu samazinājumu norāda ar "+" zīmi)</w:t>
            </w:r>
          </w:p>
        </w:tc>
        <w:tc>
          <w:tcPr>
            <w:tcW w:w="1530" w:type="dxa"/>
            <w:vAlign w:val="center"/>
          </w:tcPr>
          <w:p w:rsidR="00EA243F" w:rsidRPr="00273F99" w:rsidRDefault="00EA243F" w:rsidP="00E132B4">
            <w:pPr>
              <w:jc w:val="center"/>
              <w:rPr>
                <w:b/>
                <w:sz w:val="40"/>
                <w:szCs w:val="40"/>
              </w:rPr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Default="00EA243F" w:rsidP="00E132B4">
            <w:r w:rsidRPr="00BB0A82">
              <w:rPr>
                <w:sz w:val="22"/>
                <w:szCs w:val="22"/>
              </w:rPr>
              <w:t>5. Precizēta finansiālā ietekme:</w:t>
            </w:r>
          </w:p>
        </w:tc>
        <w:tc>
          <w:tcPr>
            <w:tcW w:w="1530" w:type="dxa"/>
            <w:vMerge w:val="restart"/>
            <w:vAlign w:val="center"/>
          </w:tcPr>
          <w:p w:rsidR="00EA243F" w:rsidRDefault="00EA243F" w:rsidP="00E132B4">
            <w:pPr>
              <w:jc w:val="center"/>
            </w:pPr>
            <w:r w:rsidRPr="00273F99">
              <w:rPr>
                <w:b/>
                <w:sz w:val="40"/>
                <w:szCs w:val="40"/>
              </w:rPr>
              <w:t>x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5.1. valsts pamatbudžets</w:t>
            </w:r>
          </w:p>
        </w:tc>
        <w:tc>
          <w:tcPr>
            <w:tcW w:w="1530" w:type="dxa"/>
            <w:vMerge/>
          </w:tcPr>
          <w:p w:rsidR="00EA243F" w:rsidRDefault="00EA243F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5.2. speciālais budžets</w:t>
            </w:r>
          </w:p>
        </w:tc>
        <w:tc>
          <w:tcPr>
            <w:tcW w:w="1530" w:type="dxa"/>
            <w:vMerge/>
          </w:tcPr>
          <w:p w:rsidR="00EA243F" w:rsidRDefault="00EA243F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 xml:space="preserve">5.3. pašvaldību budžets </w:t>
            </w:r>
          </w:p>
        </w:tc>
        <w:tc>
          <w:tcPr>
            <w:tcW w:w="1530" w:type="dxa"/>
            <w:vMerge/>
          </w:tcPr>
          <w:p w:rsidR="00EA243F" w:rsidRDefault="00EA243F" w:rsidP="00E132B4">
            <w:pPr>
              <w:jc w:val="center"/>
            </w:pPr>
          </w:p>
        </w:tc>
        <w:tc>
          <w:tcPr>
            <w:tcW w:w="1310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  <w:tc>
          <w:tcPr>
            <w:tcW w:w="1255" w:type="dxa"/>
            <w:shd w:val="clear" w:color="auto" w:fill="auto"/>
            <w:vAlign w:val="center"/>
          </w:tcPr>
          <w:p w:rsidR="00EA243F" w:rsidRDefault="00EA243F" w:rsidP="00E132B4">
            <w:pPr>
              <w:jc w:val="center"/>
            </w:pPr>
          </w:p>
        </w:tc>
      </w:tr>
      <w:tr w:rsidR="00EA243F" w:rsidTr="00E132B4">
        <w:tc>
          <w:tcPr>
            <w:tcW w:w="9287" w:type="dxa"/>
            <w:gridSpan w:val="6"/>
          </w:tcPr>
          <w:p w:rsidR="00EA243F" w:rsidRDefault="00EA243F" w:rsidP="00E132B4">
            <w:r w:rsidRPr="00BB0A82">
              <w:rPr>
                <w:sz w:val="22"/>
                <w:szCs w:val="22"/>
              </w:rPr>
              <w:t>6. Detalizēts ieņēmumu un izdevumu aprēķins (ja nepieciešams, detalizētu ieņēmumu un izdevumu aprēķinu var pievienot anotācijas pielikumā):</w:t>
            </w: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6.1. Detalizēts ieņēmumu aprēķins</w:t>
            </w:r>
          </w:p>
        </w:tc>
        <w:tc>
          <w:tcPr>
            <w:tcW w:w="6541" w:type="dxa"/>
            <w:gridSpan w:val="5"/>
            <w:vAlign w:val="center"/>
          </w:tcPr>
          <w:p w:rsidR="00EA243F" w:rsidRDefault="00EA243F" w:rsidP="00E132B4">
            <w:pPr>
              <w:jc w:val="both"/>
            </w:pP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6.2. Detalizēts izdevumu aprēķins</w:t>
            </w:r>
          </w:p>
        </w:tc>
        <w:tc>
          <w:tcPr>
            <w:tcW w:w="6541" w:type="dxa"/>
            <w:gridSpan w:val="5"/>
          </w:tcPr>
          <w:p w:rsidR="00EA243F" w:rsidRDefault="00EA243F" w:rsidP="00E132B4">
            <w:pPr>
              <w:jc w:val="both"/>
            </w:pPr>
          </w:p>
        </w:tc>
      </w:tr>
      <w:tr w:rsidR="00EA243F" w:rsidTr="00E132B4">
        <w:tc>
          <w:tcPr>
            <w:tcW w:w="2746" w:type="dxa"/>
          </w:tcPr>
          <w:p w:rsidR="00EA243F" w:rsidRPr="00BB0A82" w:rsidRDefault="00EA243F" w:rsidP="00E132B4">
            <w:pPr>
              <w:jc w:val="both"/>
              <w:rPr>
                <w:sz w:val="22"/>
                <w:szCs w:val="22"/>
              </w:rPr>
            </w:pPr>
            <w:r w:rsidRPr="00BB0A82">
              <w:rPr>
                <w:sz w:val="22"/>
                <w:szCs w:val="22"/>
              </w:rPr>
              <w:t>7.</w:t>
            </w:r>
            <w:r>
              <w:rPr>
                <w:sz w:val="22"/>
                <w:szCs w:val="22"/>
              </w:rPr>
              <w:t xml:space="preserve"> </w:t>
            </w:r>
            <w:r w:rsidRPr="00BB0A82">
              <w:rPr>
                <w:sz w:val="22"/>
                <w:szCs w:val="22"/>
              </w:rPr>
              <w:t>Cita informācija</w:t>
            </w:r>
          </w:p>
        </w:tc>
        <w:tc>
          <w:tcPr>
            <w:tcW w:w="6541" w:type="dxa"/>
            <w:gridSpan w:val="5"/>
          </w:tcPr>
          <w:p w:rsidR="00EA243F" w:rsidRPr="00215B93" w:rsidRDefault="00EA243F" w:rsidP="00E132B4">
            <w:pPr>
              <w:jc w:val="both"/>
            </w:pPr>
            <w:r w:rsidRPr="008F285C">
              <w:t>Grozījumu ietekmi (iespējamo ieņēmumu samazinājumu vai izdevumu palielinājumu) iespējams segt, nemainot attiecīgajās budžeta programmās vai apakšprogrammās finansējuma sadalījumu pa ieņēmumu, izdevumu vai finansēšanas klasifikācijas kodiem.</w:t>
            </w:r>
          </w:p>
        </w:tc>
      </w:tr>
    </w:tbl>
    <w:p w:rsidR="00EA243F" w:rsidRDefault="00EA243F" w:rsidP="00EA243F">
      <w:pPr>
        <w:jc w:val="center"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287"/>
      </w:tblGrid>
      <w:tr w:rsidR="00EA243F" w:rsidRPr="00B76D85" w:rsidTr="00E132B4">
        <w:tc>
          <w:tcPr>
            <w:tcW w:w="9287" w:type="dxa"/>
          </w:tcPr>
          <w:p w:rsidR="00EA243F" w:rsidRPr="007513BD" w:rsidRDefault="00EA243F" w:rsidP="00E132B4">
            <w:pPr>
              <w:jc w:val="center"/>
              <w:rPr>
                <w:b/>
              </w:rPr>
            </w:pPr>
            <w:r>
              <w:rPr>
                <w:b/>
              </w:rPr>
              <w:t>IV Tiesību akta projekta ietekme uz spēkā esošo tiesību normu sistēmu</w:t>
            </w:r>
          </w:p>
        </w:tc>
      </w:tr>
      <w:tr w:rsidR="00EA243F" w:rsidRPr="005F2CFC" w:rsidTr="00E132B4">
        <w:tc>
          <w:tcPr>
            <w:tcW w:w="9287" w:type="dxa"/>
          </w:tcPr>
          <w:p w:rsidR="00EA243F" w:rsidRPr="005F2CFC" w:rsidRDefault="00EA243F" w:rsidP="00E132B4">
            <w:pPr>
              <w:pStyle w:val="naiskr"/>
              <w:tabs>
                <w:tab w:val="left" w:pos="2628"/>
              </w:tabs>
              <w:spacing w:before="0" w:after="0"/>
              <w:jc w:val="both"/>
              <w:rPr>
                <w:iCs/>
              </w:rPr>
            </w:pPr>
            <w:r w:rsidRPr="005F2CFC">
              <w:rPr>
                <w:iCs/>
              </w:rPr>
              <w:t>Projekts nerada ietekmi uz spēkā esošo tiesību normu sistēmu.</w:t>
            </w:r>
          </w:p>
        </w:tc>
      </w:tr>
    </w:tbl>
    <w:p w:rsidR="00EA243F" w:rsidRPr="009C59D1" w:rsidRDefault="00EA243F" w:rsidP="00EA243F">
      <w:pPr>
        <w:jc w:val="center"/>
        <w:rPr>
          <w:i/>
          <w:iCs/>
        </w:rPr>
      </w:pPr>
      <w:r w:rsidRPr="00A27760">
        <w:rPr>
          <w:i/>
          <w:iCs/>
        </w:rPr>
        <w:t>Anotācijas V, VI un VII sadaļa - projekts šīs jomas neskar.</w:t>
      </w:r>
    </w:p>
    <w:p w:rsidR="00EA243F" w:rsidRDefault="00EA243F" w:rsidP="00EA243F">
      <w:pPr>
        <w:jc w:val="center"/>
      </w:pPr>
    </w:p>
    <w:p w:rsidR="00CB1779" w:rsidRDefault="00CB1779" w:rsidP="00EA243F">
      <w:pPr>
        <w:rPr>
          <w:sz w:val="28"/>
          <w:szCs w:val="28"/>
        </w:rPr>
      </w:pPr>
    </w:p>
    <w:p w:rsidR="00EA243F" w:rsidRPr="008207C1" w:rsidRDefault="00EA243F" w:rsidP="00EA243F">
      <w:pPr>
        <w:rPr>
          <w:sz w:val="28"/>
          <w:szCs w:val="28"/>
        </w:rPr>
      </w:pPr>
      <w:r w:rsidRPr="008207C1">
        <w:rPr>
          <w:sz w:val="28"/>
          <w:szCs w:val="28"/>
        </w:rPr>
        <w:t>Labklājības ministr</w:t>
      </w:r>
      <w:r>
        <w:rPr>
          <w:sz w:val="28"/>
          <w:szCs w:val="28"/>
        </w:rPr>
        <w:t>e</w:t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="00CB1779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Pr="008207C1">
        <w:rPr>
          <w:sz w:val="28"/>
          <w:szCs w:val="28"/>
        </w:rPr>
        <w:tab/>
      </w:r>
      <w:r w:rsidR="008152FB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I.Viņķele</w:t>
      </w:r>
      <w:proofErr w:type="spellEnd"/>
    </w:p>
    <w:p w:rsidR="00BD4A8A" w:rsidRDefault="00BD4A8A" w:rsidP="00EA24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</w:p>
    <w:p w:rsidR="00EA243F" w:rsidRPr="0083656F" w:rsidRDefault="00F32CEF" w:rsidP="00EA24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02</w:t>
      </w:r>
      <w:r w:rsidR="00EA243F" w:rsidRPr="0083656F">
        <w:rPr>
          <w:sz w:val="20"/>
          <w:szCs w:val="20"/>
        </w:rPr>
        <w:t>.0</w:t>
      </w:r>
      <w:r>
        <w:rPr>
          <w:sz w:val="20"/>
          <w:szCs w:val="20"/>
        </w:rPr>
        <w:t>7</w:t>
      </w:r>
      <w:r w:rsidR="00EA243F" w:rsidRPr="0083656F">
        <w:rPr>
          <w:sz w:val="20"/>
          <w:szCs w:val="20"/>
        </w:rPr>
        <w:t xml:space="preserve">.2013 </w:t>
      </w:r>
      <w:r w:rsidR="008152FB">
        <w:rPr>
          <w:sz w:val="20"/>
          <w:szCs w:val="20"/>
        </w:rPr>
        <w:t>08:45</w:t>
      </w:r>
      <w:bookmarkStart w:id="0" w:name="_GoBack"/>
      <w:bookmarkEnd w:id="0"/>
    </w:p>
    <w:p w:rsidR="00EA243F" w:rsidRPr="0083656F" w:rsidRDefault="00913798" w:rsidP="00EA243F">
      <w:pPr>
        <w:pStyle w:val="Footer"/>
        <w:tabs>
          <w:tab w:val="clear" w:pos="4153"/>
          <w:tab w:val="clear" w:pos="8306"/>
        </w:tabs>
        <w:rPr>
          <w:sz w:val="20"/>
          <w:szCs w:val="20"/>
        </w:rPr>
      </w:pPr>
      <w:r>
        <w:rPr>
          <w:sz w:val="20"/>
          <w:szCs w:val="20"/>
        </w:rPr>
        <w:t>480</w:t>
      </w:r>
    </w:p>
    <w:p w:rsidR="00EA243F" w:rsidRPr="002B0373" w:rsidRDefault="00EA243F" w:rsidP="00EA243F">
      <w:pPr>
        <w:rPr>
          <w:sz w:val="20"/>
          <w:szCs w:val="20"/>
        </w:rPr>
      </w:pPr>
      <w:r>
        <w:rPr>
          <w:sz w:val="20"/>
          <w:szCs w:val="20"/>
        </w:rPr>
        <w:t>L.Liepa</w:t>
      </w:r>
    </w:p>
    <w:p w:rsidR="00EA243F" w:rsidRDefault="00EA243F" w:rsidP="00EA243F">
      <w:pPr>
        <w:rPr>
          <w:sz w:val="20"/>
          <w:szCs w:val="20"/>
        </w:rPr>
      </w:pPr>
      <w:r>
        <w:rPr>
          <w:sz w:val="20"/>
          <w:szCs w:val="20"/>
        </w:rPr>
        <w:t>tālr.67021632</w:t>
      </w:r>
      <w:r w:rsidRPr="002B0373">
        <w:rPr>
          <w:sz w:val="20"/>
          <w:szCs w:val="20"/>
        </w:rPr>
        <w:t xml:space="preserve">, </w:t>
      </w:r>
      <w:smartTag w:uri="schemas-tilde-lv/tildestengine" w:element="veidnes">
        <w:smartTagPr>
          <w:attr w:name="text" w:val="fakss"/>
          <w:attr w:name="id" w:val="-1"/>
          <w:attr w:name="baseform" w:val="faks|s"/>
        </w:smartTagPr>
        <w:r>
          <w:rPr>
            <w:sz w:val="20"/>
            <w:szCs w:val="20"/>
          </w:rPr>
          <w:t>fakss</w:t>
        </w:r>
      </w:smartTag>
      <w:r>
        <w:rPr>
          <w:sz w:val="20"/>
          <w:szCs w:val="20"/>
        </w:rPr>
        <w:t xml:space="preserve"> </w:t>
      </w:r>
      <w:r>
        <w:rPr>
          <w:sz w:val="20"/>
        </w:rPr>
        <w:t>6</w:t>
      </w:r>
      <w:r w:rsidRPr="00E81870">
        <w:rPr>
          <w:sz w:val="20"/>
        </w:rPr>
        <w:t>7276445</w:t>
      </w:r>
    </w:p>
    <w:p w:rsidR="006670E0" w:rsidRDefault="008152FB">
      <w:hyperlink r:id="rId7" w:history="1">
        <w:r w:rsidR="00EA243F" w:rsidRPr="00B62672">
          <w:rPr>
            <w:rStyle w:val="Hyperlink"/>
            <w:sz w:val="20"/>
            <w:szCs w:val="20"/>
          </w:rPr>
          <w:t>Linda.Liepa@lm.gov.lv</w:t>
        </w:r>
      </w:hyperlink>
      <w:r w:rsidR="00EA243F" w:rsidRPr="00AD2E96">
        <w:rPr>
          <w:sz w:val="20"/>
          <w:szCs w:val="20"/>
        </w:rPr>
        <w:t xml:space="preserve"> </w:t>
      </w:r>
    </w:p>
    <w:sectPr w:rsidR="006670E0" w:rsidSect="00FC797D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0B81" w:rsidRDefault="009B0B81" w:rsidP="009B0B81">
      <w:r>
        <w:separator/>
      </w:r>
    </w:p>
  </w:endnote>
  <w:endnote w:type="continuationSeparator" w:id="0">
    <w:p w:rsidR="009B0B81" w:rsidRDefault="009B0B81" w:rsidP="009B0B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81" w:rsidRPr="007205D7" w:rsidRDefault="00F556A5" w:rsidP="009B0B81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6832A2">
      <w:rPr>
        <w:sz w:val="20"/>
        <w:szCs w:val="20"/>
      </w:rPr>
      <w:t>a</w:t>
    </w:r>
    <w:r w:rsidR="00F32CEF">
      <w:rPr>
        <w:sz w:val="20"/>
        <w:szCs w:val="20"/>
      </w:rPr>
      <w:t>not_0207</w:t>
    </w:r>
    <w:r w:rsidR="009B0B81">
      <w:rPr>
        <w:sz w:val="20"/>
        <w:szCs w:val="20"/>
      </w:rPr>
      <w:t>13_audzu</w:t>
    </w:r>
    <w:r w:rsidR="009B0B81" w:rsidRPr="007205D7">
      <w:rPr>
        <w:sz w:val="20"/>
        <w:szCs w:val="20"/>
      </w:rPr>
      <w:t>; Grozījums Ministru kabineta 2009.gada 22.decembra noteikumos Nr.</w:t>
    </w:r>
    <w:r w:rsidR="009B0B81">
      <w:rPr>
        <w:sz w:val="20"/>
        <w:szCs w:val="20"/>
      </w:rPr>
      <w:t>1549</w:t>
    </w:r>
    <w:r w:rsidR="009B0B81" w:rsidRPr="007205D7">
      <w:rPr>
        <w:sz w:val="20"/>
        <w:szCs w:val="20"/>
      </w:rPr>
      <w:t xml:space="preserve"> „Kārtība, kādā piešķir un </w:t>
    </w:r>
    <w:r w:rsidR="009B0B81">
      <w:rPr>
        <w:sz w:val="20"/>
        <w:szCs w:val="20"/>
      </w:rPr>
      <w:t>izmaksā atlīdzību par audžuģimenes pienākumu pildīšanu</w:t>
    </w:r>
    <w:r w:rsidR="009B0B81" w:rsidRPr="007205D7">
      <w:rPr>
        <w:sz w:val="20"/>
        <w:szCs w:val="20"/>
      </w:rPr>
      <w:t>”</w:t>
    </w:r>
  </w:p>
  <w:p w:rsidR="00115437" w:rsidRPr="009B0B81" w:rsidRDefault="008152FB" w:rsidP="009B0B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0B81" w:rsidRPr="007205D7" w:rsidRDefault="00AF0D2B" w:rsidP="009B0B81">
    <w:pPr>
      <w:jc w:val="both"/>
      <w:rPr>
        <w:sz w:val="20"/>
        <w:szCs w:val="20"/>
      </w:rPr>
    </w:pPr>
    <w:r>
      <w:rPr>
        <w:sz w:val="20"/>
        <w:szCs w:val="20"/>
      </w:rPr>
      <w:t>LM</w:t>
    </w:r>
    <w:r w:rsidR="00F32CEF">
      <w:rPr>
        <w:sz w:val="20"/>
        <w:szCs w:val="20"/>
      </w:rPr>
      <w:t>anot_0207</w:t>
    </w:r>
    <w:r w:rsidR="009B0B81">
      <w:rPr>
        <w:sz w:val="20"/>
        <w:szCs w:val="20"/>
      </w:rPr>
      <w:t>13_audzu</w:t>
    </w:r>
    <w:r w:rsidR="009B0B81" w:rsidRPr="007205D7">
      <w:rPr>
        <w:sz w:val="20"/>
        <w:szCs w:val="20"/>
      </w:rPr>
      <w:t>; Grozījums Ministru kabineta 2009.gada 22.decembra noteikumos Nr.</w:t>
    </w:r>
    <w:r w:rsidR="009B0B81">
      <w:rPr>
        <w:sz w:val="20"/>
        <w:szCs w:val="20"/>
      </w:rPr>
      <w:t>1549</w:t>
    </w:r>
    <w:r w:rsidR="009B0B81" w:rsidRPr="007205D7">
      <w:rPr>
        <w:sz w:val="20"/>
        <w:szCs w:val="20"/>
      </w:rPr>
      <w:t xml:space="preserve"> „Kārtība, kādā piešķir un </w:t>
    </w:r>
    <w:r w:rsidR="009B0B81">
      <w:rPr>
        <w:sz w:val="20"/>
        <w:szCs w:val="20"/>
      </w:rPr>
      <w:t>izmaksā atlīdzību par audžuģimenes pienākumu pildīšanu</w:t>
    </w:r>
    <w:r w:rsidR="009B0B81" w:rsidRPr="007205D7">
      <w:rPr>
        <w:sz w:val="20"/>
        <w:szCs w:val="20"/>
      </w:rPr>
      <w:t>”</w:t>
    </w:r>
  </w:p>
  <w:p w:rsidR="00115437" w:rsidRPr="00250284" w:rsidRDefault="008152FB" w:rsidP="0025028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0B81" w:rsidRDefault="009B0B81" w:rsidP="009B0B81">
      <w:r>
        <w:separator/>
      </w:r>
    </w:p>
  </w:footnote>
  <w:footnote w:type="continuationSeparator" w:id="0">
    <w:p w:rsidR="009B0B81" w:rsidRDefault="009B0B81" w:rsidP="009B0B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E34A1C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5437" w:rsidRDefault="008152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5437" w:rsidRDefault="00E34A1C" w:rsidP="00242D7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152FB">
      <w:rPr>
        <w:rStyle w:val="PageNumber"/>
        <w:noProof/>
      </w:rPr>
      <w:t>2</w:t>
    </w:r>
    <w:r>
      <w:rPr>
        <w:rStyle w:val="PageNumber"/>
      </w:rPr>
      <w:fldChar w:fldCharType="end"/>
    </w:r>
  </w:p>
  <w:p w:rsidR="00115437" w:rsidRDefault="008152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43F"/>
    <w:rsid w:val="000E253F"/>
    <w:rsid w:val="001C557F"/>
    <w:rsid w:val="00313579"/>
    <w:rsid w:val="003975BA"/>
    <w:rsid w:val="00582F10"/>
    <w:rsid w:val="006670E0"/>
    <w:rsid w:val="006832A2"/>
    <w:rsid w:val="007D4CD9"/>
    <w:rsid w:val="0081481F"/>
    <w:rsid w:val="008152FB"/>
    <w:rsid w:val="008952EE"/>
    <w:rsid w:val="00913798"/>
    <w:rsid w:val="009B0B81"/>
    <w:rsid w:val="00AF0D2B"/>
    <w:rsid w:val="00B7625A"/>
    <w:rsid w:val="00B846BE"/>
    <w:rsid w:val="00BD4A8A"/>
    <w:rsid w:val="00CB1779"/>
    <w:rsid w:val="00E34A1C"/>
    <w:rsid w:val="00EA243F"/>
    <w:rsid w:val="00F32CEF"/>
    <w:rsid w:val="00F556A5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A243F"/>
    <w:pPr>
      <w:spacing w:before="75" w:after="75"/>
    </w:pPr>
  </w:style>
  <w:style w:type="paragraph" w:styleId="Header">
    <w:name w:val="header"/>
    <w:basedOn w:val="Normal"/>
    <w:link w:val="HeaderChar"/>
    <w:rsid w:val="00EA24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243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A243F"/>
  </w:style>
  <w:style w:type="paragraph" w:styleId="Footer">
    <w:name w:val="footer"/>
    <w:basedOn w:val="Normal"/>
    <w:link w:val="FooterChar"/>
    <w:rsid w:val="00EA24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4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A243F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EA24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4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24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aiskr">
    <w:name w:val="naiskr"/>
    <w:basedOn w:val="Normal"/>
    <w:rsid w:val="00EA243F"/>
    <w:pPr>
      <w:spacing w:before="75" w:after="75"/>
    </w:pPr>
  </w:style>
  <w:style w:type="paragraph" w:styleId="Header">
    <w:name w:val="header"/>
    <w:basedOn w:val="Normal"/>
    <w:link w:val="HeaderChar"/>
    <w:rsid w:val="00EA24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EA243F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EA243F"/>
  </w:style>
  <w:style w:type="paragraph" w:styleId="Footer">
    <w:name w:val="footer"/>
    <w:basedOn w:val="Normal"/>
    <w:link w:val="FooterChar"/>
    <w:rsid w:val="00EA24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EA243F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EA243F"/>
    <w:pPr>
      <w:spacing w:before="75" w:after="75"/>
      <w:ind w:firstLine="375"/>
      <w:jc w:val="both"/>
    </w:pPr>
  </w:style>
  <w:style w:type="character" w:styleId="Hyperlink">
    <w:name w:val="Hyperlink"/>
    <w:uiPriority w:val="99"/>
    <w:rsid w:val="00EA24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inda.Liepa@lm.gov.lv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2480</Words>
  <Characters>1414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Grozījums Ministru kabineta 2009.gada 22.decembra noteikumos Nr.1549 „Kārtība, kādā piešķir un izmaksā atlīdzību par audžuģimenes pienākumu pildīšanu”</vt:lpstr>
    </vt:vector>
  </TitlesOfParts>
  <Company/>
  <LinksUpToDate>false</LinksUpToDate>
  <CharactersWithSpaces>3887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2009.gada 22.decembra noteikumos Nr.1549 „Kārtība, kādā piešķir un izmaksā atlīdzību par audžuģimenes pienākumu pildīšanu”</dc:title>
  <dc:creator>Linda Liepa</dc:creator>
  <dc:description>Linda.Liepa@lm.gov.lv; 67021632</dc:description>
  <cp:lastModifiedBy>Linda Liepa</cp:lastModifiedBy>
  <cp:revision>22</cp:revision>
  <dcterms:created xsi:type="dcterms:W3CDTF">2013-06-03T10:25:00Z</dcterms:created>
  <dcterms:modified xsi:type="dcterms:W3CDTF">2013-07-02T05:45:00Z</dcterms:modified>
</cp:coreProperties>
</file>