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75" w:rsidRPr="002D0562" w:rsidRDefault="00174045" w:rsidP="00147775">
      <w:pPr>
        <w:spacing w:after="0" w:line="240" w:lineRule="auto"/>
        <w:jc w:val="center"/>
        <w:rPr>
          <w:rFonts w:ascii="Times New Roman" w:eastAsia="Times New Roman" w:hAnsi="Times New Roman"/>
          <w:b/>
          <w:sz w:val="28"/>
          <w:szCs w:val="28"/>
        </w:rPr>
      </w:pPr>
      <w:r w:rsidRPr="00174045">
        <w:rPr>
          <w:rFonts w:ascii="Times New Roman" w:eastAsia="Times New Roman" w:hAnsi="Times New Roman"/>
          <w:b/>
          <w:sz w:val="26"/>
          <w:szCs w:val="26"/>
          <w:lang w:eastAsia="lv-LV"/>
        </w:rPr>
        <w:t xml:space="preserve">Ministru kabineta rīkojuma projekts </w:t>
      </w:r>
      <w:bookmarkStart w:id="0" w:name="OLE_LINK1"/>
      <w:bookmarkStart w:id="1" w:name="OLE_LINK2"/>
      <w:r w:rsidR="00147775">
        <w:rPr>
          <w:rFonts w:ascii="Times New Roman" w:eastAsia="Times New Roman" w:hAnsi="Times New Roman"/>
          <w:b/>
          <w:sz w:val="26"/>
          <w:szCs w:val="26"/>
          <w:lang w:eastAsia="lv-LV"/>
        </w:rPr>
        <w:t>„</w:t>
      </w:r>
      <w:r w:rsidR="00147775" w:rsidRPr="002D0562">
        <w:rPr>
          <w:rFonts w:ascii="Times New Roman" w:eastAsia="Times New Roman" w:hAnsi="Times New Roman"/>
          <w:b/>
          <w:color w:val="000000"/>
          <w:sz w:val="28"/>
          <w:szCs w:val="28"/>
        </w:rPr>
        <w:t xml:space="preserve">Par </w:t>
      </w:r>
      <w:r w:rsidR="00147775">
        <w:rPr>
          <w:rFonts w:ascii="Times New Roman" w:eastAsia="Times New Roman" w:hAnsi="Times New Roman"/>
          <w:b/>
          <w:color w:val="000000"/>
          <w:sz w:val="28"/>
          <w:szCs w:val="28"/>
        </w:rPr>
        <w:t>vienreizēju kompensāciju piešķiršanu sakarā ar traģēdiju Rīgā, Priedaines ielā 20”</w:t>
      </w:r>
    </w:p>
    <w:bookmarkEnd w:id="0"/>
    <w:bookmarkEnd w:id="1"/>
    <w:p w:rsidR="00174045" w:rsidRPr="00174045" w:rsidRDefault="00174045" w:rsidP="00174045">
      <w:pPr>
        <w:spacing w:after="0" w:line="240" w:lineRule="auto"/>
        <w:jc w:val="center"/>
        <w:rPr>
          <w:rFonts w:ascii="Times New Roman" w:eastAsia="Times New Roman" w:hAnsi="Times New Roman"/>
          <w:b/>
          <w:sz w:val="26"/>
          <w:szCs w:val="26"/>
          <w:lang w:eastAsia="lv-LV"/>
        </w:rPr>
      </w:pPr>
      <w:r w:rsidRPr="00174045">
        <w:rPr>
          <w:rFonts w:ascii="Times New Roman" w:eastAsia="Times New Roman" w:hAnsi="Times New Roman"/>
          <w:b/>
          <w:sz w:val="26"/>
          <w:szCs w:val="26"/>
          <w:lang w:eastAsia="lv-LV"/>
        </w:rPr>
        <w:t>sākotnējās ietekmes novērtējuma ziņojums (anotācija)</w:t>
      </w:r>
    </w:p>
    <w:p w:rsidR="00174045" w:rsidRPr="00174045" w:rsidRDefault="00174045" w:rsidP="00174045">
      <w:pPr>
        <w:spacing w:after="0" w:line="240" w:lineRule="auto"/>
        <w:jc w:val="center"/>
        <w:rPr>
          <w:rFonts w:ascii="Times New Roman" w:eastAsia="Times New Roman" w:hAnsi="Times New Roman"/>
          <w:b/>
          <w:sz w:val="26"/>
          <w:szCs w:val="26"/>
          <w:lang w:eastAsia="lv-LV"/>
        </w:rPr>
      </w:pPr>
    </w:p>
    <w:tbl>
      <w:tblPr>
        <w:tblW w:w="494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403"/>
        <w:gridCol w:w="7312"/>
      </w:tblGrid>
      <w:tr w:rsidR="00174045" w:rsidRPr="00174045" w:rsidTr="00E94D25">
        <w:tc>
          <w:tcPr>
            <w:tcW w:w="5000" w:type="pct"/>
            <w:gridSpan w:val="3"/>
          </w:tcPr>
          <w:p w:rsidR="00174045" w:rsidRPr="00174045" w:rsidRDefault="00174045" w:rsidP="00174045">
            <w:pPr>
              <w:spacing w:after="0" w:line="240" w:lineRule="auto"/>
              <w:jc w:val="center"/>
              <w:rPr>
                <w:rFonts w:ascii="Times New Roman" w:eastAsia="Times New Roman" w:hAnsi="Times New Roman"/>
                <w:b/>
                <w:sz w:val="24"/>
                <w:szCs w:val="24"/>
                <w:lang w:eastAsia="lv-LV"/>
              </w:rPr>
            </w:pPr>
            <w:r w:rsidRPr="00174045">
              <w:rPr>
                <w:rFonts w:ascii="Times New Roman" w:eastAsia="Times New Roman" w:hAnsi="Times New Roman"/>
                <w:b/>
                <w:sz w:val="24"/>
                <w:szCs w:val="24"/>
                <w:lang w:eastAsia="lv-LV"/>
              </w:rPr>
              <w:t xml:space="preserve">I Tiesību </w:t>
            </w:r>
            <w:smartTag w:uri="schemas-tilde-lv/tildestengine" w:element="veidnes">
              <w:smartTagPr>
                <w:attr w:name="text" w:val="akta"/>
                <w:attr w:name="id" w:val="-1"/>
                <w:attr w:name="baseform" w:val="akt|s"/>
              </w:smartTagPr>
              <w:r w:rsidRPr="00174045">
                <w:rPr>
                  <w:rFonts w:ascii="Times New Roman" w:eastAsia="Times New Roman" w:hAnsi="Times New Roman"/>
                  <w:b/>
                  <w:sz w:val="24"/>
                  <w:szCs w:val="24"/>
                  <w:lang w:eastAsia="lv-LV"/>
                </w:rPr>
                <w:t>akta</w:t>
              </w:r>
            </w:smartTag>
            <w:r w:rsidRPr="00174045">
              <w:rPr>
                <w:rFonts w:ascii="Times New Roman" w:eastAsia="Times New Roman" w:hAnsi="Times New Roman"/>
                <w:b/>
                <w:sz w:val="24"/>
                <w:szCs w:val="24"/>
                <w:lang w:eastAsia="lv-LV"/>
              </w:rPr>
              <w:t xml:space="preserve"> projekta izstrādes nepieciešamība</w:t>
            </w:r>
          </w:p>
        </w:tc>
      </w:tr>
      <w:tr w:rsidR="00174045" w:rsidRPr="00174045" w:rsidTr="00E94D25">
        <w:trPr>
          <w:trHeight w:val="425"/>
        </w:trPr>
        <w:tc>
          <w:tcPr>
            <w:tcW w:w="25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1.</w:t>
            </w:r>
          </w:p>
        </w:tc>
        <w:tc>
          <w:tcPr>
            <w:tcW w:w="76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Pamatojums</w:t>
            </w:r>
          </w:p>
        </w:tc>
        <w:tc>
          <w:tcPr>
            <w:tcW w:w="3982" w:type="pct"/>
            <w:vAlign w:val="center"/>
          </w:tcPr>
          <w:p w:rsidR="00174045" w:rsidRPr="00174045" w:rsidRDefault="00174045" w:rsidP="00F94F83">
            <w:pPr>
              <w:spacing w:after="0" w:line="240" w:lineRule="auto"/>
              <w:jc w:val="both"/>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 xml:space="preserve">Ministru kabineta rīkojuma projekts </w:t>
            </w:r>
            <w:r w:rsidR="00147775">
              <w:rPr>
                <w:rFonts w:ascii="Times New Roman" w:eastAsia="Times New Roman" w:hAnsi="Times New Roman"/>
                <w:sz w:val="24"/>
                <w:szCs w:val="24"/>
                <w:lang w:eastAsia="lv-LV"/>
              </w:rPr>
              <w:t>„</w:t>
            </w:r>
            <w:r w:rsidR="00147775" w:rsidRPr="00147775">
              <w:rPr>
                <w:rFonts w:ascii="Times New Roman" w:eastAsia="Times New Roman" w:hAnsi="Times New Roman"/>
                <w:sz w:val="24"/>
                <w:szCs w:val="24"/>
                <w:lang w:eastAsia="lv-LV"/>
              </w:rPr>
              <w:t>Par vienreizēju kompensāciju piešķiršanu sakarā ar traģēdiju Rīgā, Priedaines ielā 20</w:t>
            </w:r>
            <w:r w:rsidR="00147775">
              <w:rPr>
                <w:rFonts w:ascii="Times New Roman" w:eastAsia="Times New Roman" w:hAnsi="Times New Roman"/>
                <w:sz w:val="24"/>
                <w:szCs w:val="24"/>
                <w:lang w:eastAsia="lv-LV"/>
              </w:rPr>
              <w:t xml:space="preserve">” </w:t>
            </w:r>
            <w:r w:rsidRPr="00174045">
              <w:rPr>
                <w:rFonts w:ascii="Times New Roman" w:eastAsia="Times New Roman" w:hAnsi="Times New Roman"/>
                <w:sz w:val="24"/>
                <w:szCs w:val="24"/>
                <w:lang w:eastAsia="lv-LV"/>
              </w:rPr>
              <w:t xml:space="preserve">(turpmāk </w:t>
            </w:r>
            <w:r w:rsidR="00B00BCB">
              <w:rPr>
                <w:rFonts w:ascii="Times New Roman" w:eastAsia="Times New Roman" w:hAnsi="Times New Roman"/>
                <w:sz w:val="24"/>
                <w:szCs w:val="24"/>
                <w:lang w:eastAsia="lv-LV"/>
              </w:rPr>
              <w:t>- rīkojuma projekts) sagatavots, la</w:t>
            </w:r>
            <w:r w:rsidR="00E858F6">
              <w:rPr>
                <w:rFonts w:ascii="Times New Roman" w:eastAsia="Times New Roman" w:hAnsi="Times New Roman"/>
                <w:sz w:val="24"/>
                <w:szCs w:val="24"/>
                <w:lang w:eastAsia="lv-LV"/>
              </w:rPr>
              <w:t>i p</w:t>
            </w:r>
            <w:r w:rsidR="00147775">
              <w:rPr>
                <w:rFonts w:ascii="Times New Roman" w:eastAsia="Times New Roman" w:hAnsi="Times New Roman"/>
                <w:sz w:val="24"/>
                <w:szCs w:val="24"/>
                <w:lang w:eastAsia="lv-LV"/>
              </w:rPr>
              <w:t>iešķirtu vienreizēju kompensāciju izmaksu</w:t>
            </w:r>
            <w:r w:rsidR="00B00BCB">
              <w:rPr>
                <w:rFonts w:ascii="Times New Roman" w:eastAsia="Times New Roman" w:hAnsi="Times New Roman"/>
                <w:sz w:val="24"/>
                <w:szCs w:val="24"/>
                <w:lang w:eastAsia="lv-LV"/>
              </w:rPr>
              <w:t xml:space="preserve"> </w:t>
            </w:r>
            <w:r w:rsidR="00DF50F6" w:rsidRPr="00DF50F6">
              <w:rPr>
                <w:rFonts w:ascii="Times New Roman" w:eastAsia="Times New Roman" w:hAnsi="Times New Roman"/>
                <w:color w:val="000000"/>
                <w:sz w:val="24"/>
                <w:szCs w:val="24"/>
                <w:lang w:eastAsia="lv-LV"/>
              </w:rPr>
              <w:t>traģēdij</w:t>
            </w:r>
            <w:r w:rsidR="00E858F6">
              <w:rPr>
                <w:rFonts w:ascii="Times New Roman" w:eastAsia="Times New Roman" w:hAnsi="Times New Roman"/>
                <w:color w:val="000000"/>
                <w:sz w:val="24"/>
                <w:szCs w:val="24"/>
                <w:lang w:eastAsia="lv-LV"/>
              </w:rPr>
              <w:t>ā</w:t>
            </w:r>
            <w:r w:rsidR="00DF50F6" w:rsidRPr="00DF50F6">
              <w:rPr>
                <w:rFonts w:ascii="Times New Roman" w:eastAsia="Times New Roman" w:hAnsi="Times New Roman"/>
                <w:color w:val="000000"/>
                <w:sz w:val="24"/>
                <w:szCs w:val="24"/>
                <w:lang w:eastAsia="lv-LV"/>
              </w:rPr>
              <w:t xml:space="preserve"> Rīgā, Priedaines ielā 20 </w:t>
            </w:r>
            <w:r w:rsidR="00E858F6">
              <w:rPr>
                <w:rFonts w:ascii="Times New Roman" w:eastAsia="Times New Roman" w:hAnsi="Times New Roman"/>
                <w:color w:val="000000"/>
                <w:sz w:val="24"/>
                <w:szCs w:val="24"/>
                <w:lang w:eastAsia="lv-LV"/>
              </w:rPr>
              <w:t>cietušajiem</w:t>
            </w:r>
            <w:r w:rsidR="00F263F2">
              <w:rPr>
                <w:rFonts w:ascii="Times New Roman" w:eastAsia="Times New Roman" w:hAnsi="Times New Roman"/>
                <w:color w:val="000000"/>
                <w:sz w:val="24"/>
                <w:szCs w:val="24"/>
                <w:lang w:eastAsia="lv-LV"/>
              </w:rPr>
              <w:t xml:space="preserve"> un bojā gājušo tuviniekiem</w:t>
            </w:r>
            <w:r w:rsidR="00E858F6">
              <w:rPr>
                <w:rFonts w:ascii="Times New Roman" w:eastAsia="Times New Roman" w:hAnsi="Times New Roman"/>
                <w:color w:val="000000"/>
                <w:sz w:val="24"/>
                <w:szCs w:val="24"/>
                <w:lang w:eastAsia="lv-LV"/>
              </w:rPr>
              <w:t>,</w:t>
            </w:r>
            <w:r w:rsidR="00DF50F6">
              <w:rPr>
                <w:rFonts w:ascii="Times New Roman" w:eastAsia="Times New Roman" w:hAnsi="Times New Roman"/>
                <w:color w:val="000000"/>
                <w:sz w:val="24"/>
                <w:szCs w:val="24"/>
                <w:lang w:eastAsia="lv-LV"/>
              </w:rPr>
              <w:t xml:space="preserve"> p</w:t>
            </w:r>
            <w:r w:rsidR="00DF50F6" w:rsidRPr="00C71526">
              <w:rPr>
                <w:rFonts w:ascii="Times New Roman" w:eastAsia="Times New Roman" w:hAnsi="Times New Roman"/>
                <w:sz w:val="24"/>
                <w:szCs w:val="24"/>
              </w:rPr>
              <w:t xml:space="preserve">amatojoties uz </w:t>
            </w:r>
            <w:r w:rsidR="00DF50F6">
              <w:rPr>
                <w:rFonts w:ascii="Times New Roman" w:eastAsia="Times New Roman" w:hAnsi="Times New Roman"/>
                <w:sz w:val="24"/>
                <w:szCs w:val="24"/>
              </w:rPr>
              <w:t>Ministru kabineta 2013.gada 2</w:t>
            </w:r>
            <w:r w:rsidR="00E858F6">
              <w:rPr>
                <w:rFonts w:ascii="Times New Roman" w:eastAsia="Times New Roman" w:hAnsi="Times New Roman"/>
                <w:sz w:val="24"/>
                <w:szCs w:val="24"/>
              </w:rPr>
              <w:t>6</w:t>
            </w:r>
            <w:r w:rsidR="00DF50F6">
              <w:rPr>
                <w:rFonts w:ascii="Times New Roman" w:eastAsia="Times New Roman" w:hAnsi="Times New Roman"/>
                <w:sz w:val="24"/>
                <w:szCs w:val="24"/>
              </w:rPr>
              <w:t>.novembra sēdes lēmum</w:t>
            </w:r>
            <w:r w:rsidR="000E3AEC">
              <w:rPr>
                <w:rFonts w:ascii="Times New Roman" w:eastAsia="Times New Roman" w:hAnsi="Times New Roman"/>
                <w:sz w:val="24"/>
                <w:szCs w:val="24"/>
              </w:rPr>
              <w:t>u (protokols</w:t>
            </w:r>
            <w:r w:rsidR="00DF50F6">
              <w:rPr>
                <w:rFonts w:ascii="Times New Roman" w:eastAsia="Times New Roman" w:hAnsi="Times New Roman"/>
                <w:sz w:val="24"/>
                <w:szCs w:val="24"/>
              </w:rPr>
              <w:t xml:space="preserve"> Nr.</w:t>
            </w:r>
            <w:r w:rsidR="00F94F83">
              <w:rPr>
                <w:rFonts w:ascii="Times New Roman" w:eastAsia="Times New Roman" w:hAnsi="Times New Roman"/>
                <w:sz w:val="24"/>
                <w:szCs w:val="24"/>
              </w:rPr>
              <w:t>62 36.</w:t>
            </w:r>
            <w:r w:rsidR="00DF50F6">
              <w:rPr>
                <w:rFonts w:ascii="Times New Roman" w:eastAsia="Times New Roman" w:hAnsi="Times New Roman"/>
                <w:sz w:val="24"/>
                <w:szCs w:val="24"/>
              </w:rPr>
              <w:t>§</w:t>
            </w:r>
            <w:r w:rsidR="00E858F6">
              <w:rPr>
                <w:rFonts w:ascii="Times New Roman" w:eastAsia="Times New Roman" w:hAnsi="Times New Roman"/>
                <w:sz w:val="24"/>
                <w:szCs w:val="24"/>
              </w:rPr>
              <w:t xml:space="preserve">, </w:t>
            </w:r>
            <w:r w:rsidR="00F94F83">
              <w:rPr>
                <w:rFonts w:ascii="Times New Roman" w:eastAsia="Times New Roman" w:hAnsi="Times New Roman"/>
                <w:sz w:val="24"/>
                <w:szCs w:val="24"/>
              </w:rPr>
              <w:t>3.</w:t>
            </w:r>
            <w:r w:rsidR="000E3AEC">
              <w:rPr>
                <w:rFonts w:ascii="Times New Roman" w:eastAsia="Times New Roman" w:hAnsi="Times New Roman"/>
                <w:sz w:val="24"/>
                <w:szCs w:val="24"/>
              </w:rPr>
              <w:t>punkts)</w:t>
            </w:r>
            <w:r w:rsidR="00DF50F6" w:rsidRPr="00C71526">
              <w:rPr>
                <w:rFonts w:ascii="Times New Roman" w:eastAsia="Times New Roman" w:hAnsi="Times New Roman"/>
                <w:sz w:val="24"/>
                <w:szCs w:val="24"/>
              </w:rPr>
              <w:t>.</w:t>
            </w:r>
          </w:p>
        </w:tc>
      </w:tr>
      <w:tr w:rsidR="00174045" w:rsidRPr="00B77397" w:rsidTr="00E94D25">
        <w:trPr>
          <w:trHeight w:val="425"/>
        </w:trPr>
        <w:tc>
          <w:tcPr>
            <w:tcW w:w="25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 xml:space="preserve">2. </w:t>
            </w:r>
          </w:p>
        </w:tc>
        <w:tc>
          <w:tcPr>
            <w:tcW w:w="76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Pašreizējā situācija un problēmas</w:t>
            </w:r>
          </w:p>
        </w:tc>
        <w:tc>
          <w:tcPr>
            <w:tcW w:w="3982" w:type="pct"/>
            <w:vAlign w:val="center"/>
          </w:tcPr>
          <w:p w:rsidR="00CB3464" w:rsidRDefault="00CB3464" w:rsidP="0017404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Š.g. 21.novembra vakarā </w:t>
            </w:r>
            <w:r w:rsidRPr="00CB3464">
              <w:rPr>
                <w:rFonts w:ascii="Times New Roman" w:eastAsia="Times New Roman" w:hAnsi="Times New Roman"/>
                <w:sz w:val="24"/>
                <w:szCs w:val="24"/>
                <w:lang w:eastAsia="lv-LV"/>
              </w:rPr>
              <w:t>Rīgā, Zolitūdē</w:t>
            </w:r>
            <w:r>
              <w:rPr>
                <w:rFonts w:ascii="Times New Roman" w:eastAsia="Times New Roman" w:hAnsi="Times New Roman"/>
                <w:sz w:val="24"/>
                <w:szCs w:val="24"/>
                <w:lang w:eastAsia="lv-LV"/>
              </w:rPr>
              <w:t>, Priedaines ielā 20</w:t>
            </w:r>
            <w:r w:rsidRPr="00CB3464">
              <w:rPr>
                <w:rFonts w:ascii="Times New Roman" w:eastAsia="Times New Roman" w:hAnsi="Times New Roman"/>
                <w:sz w:val="24"/>
                <w:szCs w:val="24"/>
                <w:lang w:eastAsia="lv-LV"/>
              </w:rPr>
              <w:t xml:space="preserve"> </w:t>
            </w:r>
            <w:r w:rsidR="000E3AEC">
              <w:rPr>
                <w:rFonts w:ascii="Times New Roman" w:eastAsia="Times New Roman" w:hAnsi="Times New Roman"/>
                <w:sz w:val="24"/>
                <w:szCs w:val="24"/>
                <w:lang w:eastAsia="lv-LV"/>
              </w:rPr>
              <w:t>tirdzniecības centrā</w:t>
            </w:r>
            <w:r w:rsidRPr="00CB3464">
              <w:rPr>
                <w:rFonts w:ascii="Times New Roman" w:eastAsia="Times New Roman" w:hAnsi="Times New Roman"/>
                <w:sz w:val="24"/>
                <w:szCs w:val="24"/>
                <w:lang w:eastAsia="lv-LV"/>
              </w:rPr>
              <w:t xml:space="preserve"> "</w:t>
            </w:r>
            <w:proofErr w:type="spellStart"/>
            <w:r w:rsidRPr="00A03491">
              <w:rPr>
                <w:rFonts w:ascii="Times New Roman" w:eastAsia="Times New Roman" w:hAnsi="Times New Roman"/>
                <w:sz w:val="24"/>
                <w:szCs w:val="24"/>
                <w:lang w:eastAsia="lv-LV"/>
              </w:rPr>
              <w:t>Maxima</w:t>
            </w:r>
            <w:proofErr w:type="spellEnd"/>
            <w:r w:rsidRPr="00A03491">
              <w:rPr>
                <w:rFonts w:ascii="Times New Roman" w:eastAsia="Times New Roman" w:hAnsi="Times New Roman"/>
                <w:sz w:val="24"/>
                <w:szCs w:val="24"/>
                <w:lang w:eastAsia="lv-LV"/>
              </w:rPr>
              <w:t xml:space="preserve">" iebruka jumts. Vēlāk veikalā notika vēl divi iegruvumi. </w:t>
            </w:r>
            <w:r w:rsidR="004F6482" w:rsidRPr="00CB3464">
              <w:rPr>
                <w:rFonts w:ascii="Times New Roman" w:eastAsia="Times New Roman" w:hAnsi="Times New Roman"/>
                <w:sz w:val="24"/>
                <w:szCs w:val="24"/>
                <w:lang w:eastAsia="lv-LV"/>
              </w:rPr>
              <w:t xml:space="preserve">Notikuma vietā </w:t>
            </w:r>
            <w:r w:rsidR="004F6482">
              <w:rPr>
                <w:rFonts w:ascii="Times New Roman" w:eastAsia="Times New Roman" w:hAnsi="Times New Roman"/>
                <w:sz w:val="24"/>
                <w:szCs w:val="24"/>
                <w:lang w:eastAsia="lv-LV"/>
              </w:rPr>
              <w:t xml:space="preserve">vairākas diennaktis </w:t>
            </w:r>
            <w:r w:rsidR="004F6482" w:rsidRPr="00CB3464">
              <w:rPr>
                <w:rFonts w:ascii="Times New Roman" w:eastAsia="Times New Roman" w:hAnsi="Times New Roman"/>
                <w:sz w:val="24"/>
                <w:szCs w:val="24"/>
                <w:lang w:eastAsia="lv-LV"/>
              </w:rPr>
              <w:t>strādā</w:t>
            </w:r>
            <w:r w:rsidR="004F6482">
              <w:rPr>
                <w:rFonts w:ascii="Times New Roman" w:eastAsia="Times New Roman" w:hAnsi="Times New Roman"/>
                <w:sz w:val="24"/>
                <w:szCs w:val="24"/>
                <w:lang w:eastAsia="lv-LV"/>
              </w:rPr>
              <w:t xml:space="preserve">ja </w:t>
            </w:r>
            <w:r w:rsidR="004F6482" w:rsidRPr="00CB3464">
              <w:rPr>
                <w:rFonts w:ascii="Times New Roman" w:eastAsia="Times New Roman" w:hAnsi="Times New Roman"/>
                <w:sz w:val="24"/>
                <w:szCs w:val="24"/>
                <w:lang w:eastAsia="lv-LV"/>
              </w:rPr>
              <w:t>liels skaits glābēju, mediķu un policistu</w:t>
            </w:r>
            <w:r w:rsidR="004F6482">
              <w:rPr>
                <w:rFonts w:ascii="Times New Roman" w:eastAsia="Times New Roman" w:hAnsi="Times New Roman"/>
                <w:sz w:val="24"/>
                <w:szCs w:val="24"/>
                <w:lang w:eastAsia="lv-LV"/>
              </w:rPr>
              <w:t xml:space="preserve">. </w:t>
            </w:r>
            <w:r w:rsidR="004D33B4">
              <w:rPr>
                <w:rFonts w:ascii="Times New Roman" w:eastAsia="Times New Roman" w:hAnsi="Times New Roman"/>
                <w:sz w:val="24"/>
                <w:szCs w:val="24"/>
                <w:lang w:eastAsia="lv-LV"/>
              </w:rPr>
              <w:t xml:space="preserve">Atbilstoši Iekšlietu ministrijas sniegtajai informācijai </w:t>
            </w:r>
            <w:r w:rsidRPr="00A03491">
              <w:rPr>
                <w:rFonts w:ascii="Times New Roman" w:eastAsia="Times New Roman" w:hAnsi="Times New Roman"/>
                <w:sz w:val="24"/>
                <w:szCs w:val="24"/>
                <w:lang w:eastAsia="lv-LV"/>
              </w:rPr>
              <w:t xml:space="preserve">traģēdijā gājuši bojā </w:t>
            </w:r>
            <w:r w:rsidR="007F5955">
              <w:rPr>
                <w:rFonts w:ascii="Times New Roman" w:eastAsia="Times New Roman" w:hAnsi="Times New Roman"/>
                <w:sz w:val="24"/>
                <w:szCs w:val="24"/>
                <w:lang w:eastAsia="lv-LV"/>
              </w:rPr>
              <w:t>54 personas</w:t>
            </w:r>
            <w:r w:rsidR="00F94F83">
              <w:rPr>
                <w:rFonts w:ascii="Times New Roman" w:eastAsia="Times New Roman" w:hAnsi="Times New Roman"/>
                <w:sz w:val="24"/>
                <w:szCs w:val="24"/>
                <w:lang w:eastAsia="lv-LV"/>
              </w:rPr>
              <w:t xml:space="preserve"> (t.sk. 3 </w:t>
            </w:r>
            <w:r w:rsidR="00F94F83" w:rsidRPr="00F94F83">
              <w:rPr>
                <w:rFonts w:ascii="Times New Roman" w:eastAsia="Times New Roman" w:hAnsi="Times New Roman"/>
                <w:sz w:val="24"/>
                <w:szCs w:val="24"/>
                <w:lang w:eastAsia="lv-LV"/>
              </w:rPr>
              <w:t>Iekšlietu ministrijas sistēmas amatperson</w:t>
            </w:r>
            <w:r w:rsidR="001E4CD9">
              <w:rPr>
                <w:rFonts w:ascii="Times New Roman" w:eastAsia="Times New Roman" w:hAnsi="Times New Roman"/>
                <w:sz w:val="24"/>
                <w:szCs w:val="24"/>
                <w:lang w:eastAsia="lv-LV"/>
              </w:rPr>
              <w:t>as</w:t>
            </w:r>
            <w:r w:rsidR="00F94F83" w:rsidRPr="00F94F83">
              <w:rPr>
                <w:rFonts w:ascii="Times New Roman" w:eastAsia="Times New Roman" w:hAnsi="Times New Roman"/>
                <w:sz w:val="24"/>
                <w:szCs w:val="24"/>
                <w:lang w:eastAsia="lv-LV"/>
              </w:rPr>
              <w:t xml:space="preserve"> ar speciālajām dienesta pakāpēm</w:t>
            </w:r>
            <w:r w:rsidR="00F94F83">
              <w:rPr>
                <w:rFonts w:ascii="Times New Roman" w:eastAsia="Times New Roman" w:hAnsi="Times New Roman"/>
                <w:sz w:val="24"/>
                <w:szCs w:val="24"/>
                <w:lang w:eastAsia="lv-LV"/>
              </w:rPr>
              <w:t>)</w:t>
            </w:r>
            <w:r w:rsidR="002B142D">
              <w:rPr>
                <w:rFonts w:ascii="Times New Roman" w:eastAsia="Times New Roman" w:hAnsi="Times New Roman"/>
                <w:sz w:val="24"/>
                <w:szCs w:val="24"/>
                <w:lang w:eastAsia="lv-LV"/>
              </w:rPr>
              <w:t>.</w:t>
            </w:r>
            <w:r w:rsidRPr="00A03491">
              <w:rPr>
                <w:rFonts w:ascii="Times New Roman" w:eastAsia="Times New Roman" w:hAnsi="Times New Roman"/>
                <w:sz w:val="24"/>
                <w:szCs w:val="24"/>
                <w:lang w:eastAsia="lv-LV"/>
              </w:rPr>
              <w:t xml:space="preserve"> </w:t>
            </w:r>
            <w:r w:rsidR="00DC4669">
              <w:rPr>
                <w:rFonts w:ascii="Times New Roman" w:eastAsia="Times New Roman" w:hAnsi="Times New Roman"/>
                <w:sz w:val="24"/>
                <w:szCs w:val="24"/>
                <w:lang w:eastAsia="lv-LV"/>
              </w:rPr>
              <w:t>Atbilstoši Veselības ministrijas š.g. 26.novembrī Ministru kabinetā sniegtajai informācijai k</w:t>
            </w:r>
            <w:r w:rsidR="00C7433F" w:rsidRPr="00CE14F0">
              <w:rPr>
                <w:rFonts w:ascii="Times New Roman" w:eastAsia="Times New Roman" w:hAnsi="Times New Roman"/>
                <w:sz w:val="24"/>
                <w:szCs w:val="24"/>
                <w:lang w:eastAsia="lv-LV"/>
              </w:rPr>
              <w:t>opumā slimnīcās palīdzība sniegta 39 cilvēkiem</w:t>
            </w:r>
            <w:r w:rsidR="004D33B4">
              <w:rPr>
                <w:rFonts w:ascii="Times New Roman" w:eastAsia="Times New Roman" w:hAnsi="Times New Roman"/>
                <w:sz w:val="24"/>
                <w:szCs w:val="24"/>
                <w:lang w:eastAsia="lv-LV"/>
              </w:rPr>
              <w:t xml:space="preserve"> (t.sk. </w:t>
            </w:r>
            <w:r w:rsidR="00150DFC">
              <w:rPr>
                <w:rFonts w:ascii="Times New Roman" w:eastAsia="Times New Roman" w:hAnsi="Times New Roman"/>
                <w:sz w:val="24"/>
                <w:szCs w:val="24"/>
                <w:lang w:eastAsia="lv-LV"/>
              </w:rPr>
              <w:t>1</w:t>
            </w:r>
            <w:r w:rsidR="00C91AB1">
              <w:rPr>
                <w:rFonts w:ascii="Times New Roman" w:eastAsia="Times New Roman" w:hAnsi="Times New Roman"/>
                <w:sz w:val="24"/>
                <w:szCs w:val="24"/>
                <w:lang w:eastAsia="lv-LV"/>
              </w:rPr>
              <w:t>2</w:t>
            </w:r>
            <w:r w:rsidR="00150DFC">
              <w:rPr>
                <w:rFonts w:ascii="Times New Roman" w:eastAsia="Times New Roman" w:hAnsi="Times New Roman"/>
                <w:sz w:val="24"/>
                <w:szCs w:val="24"/>
                <w:lang w:eastAsia="lv-LV"/>
              </w:rPr>
              <w:t xml:space="preserve"> </w:t>
            </w:r>
            <w:r w:rsidR="004D33B4" w:rsidRPr="004D33B4">
              <w:rPr>
                <w:rFonts w:ascii="Times New Roman" w:eastAsia="Times New Roman" w:hAnsi="Times New Roman"/>
                <w:sz w:val="24"/>
                <w:szCs w:val="24"/>
                <w:lang w:eastAsia="lv-LV"/>
              </w:rPr>
              <w:t>Iekšlietu ministrijas sistēmas amatpersonām ar speciālajām dienesta pakāpēm)</w:t>
            </w:r>
            <w:r w:rsidR="00C7433F" w:rsidRPr="00CE14F0">
              <w:rPr>
                <w:rFonts w:ascii="Times New Roman" w:eastAsia="Times New Roman" w:hAnsi="Times New Roman"/>
                <w:sz w:val="24"/>
                <w:szCs w:val="24"/>
                <w:lang w:eastAsia="lv-LV"/>
              </w:rPr>
              <w:t xml:space="preserve">, no kuriem 29 nogādāja Neatliekamās medicīniskās palīdzības dienests. </w:t>
            </w:r>
            <w:r w:rsidR="00EC44C5">
              <w:rPr>
                <w:rFonts w:ascii="Times New Roman" w:eastAsia="Times New Roman" w:hAnsi="Times New Roman"/>
                <w:sz w:val="24"/>
                <w:szCs w:val="24"/>
                <w:lang w:eastAsia="lv-LV"/>
              </w:rPr>
              <w:t xml:space="preserve">Papildus tam, atbilstoši Iekšlietu ministrijas sniegtajai informācijai viena Iekšlietu ministrijas sistēmas </w:t>
            </w:r>
            <w:r w:rsidR="00C241E8" w:rsidRPr="00EC44C5">
              <w:rPr>
                <w:rFonts w:ascii="Times New Roman" w:eastAsia="Times New Roman" w:hAnsi="Times New Roman"/>
                <w:sz w:val="24"/>
                <w:szCs w:val="24"/>
                <w:lang w:eastAsia="lv-LV"/>
              </w:rPr>
              <w:t>amatperson</w:t>
            </w:r>
            <w:r w:rsidR="00C241E8">
              <w:rPr>
                <w:rFonts w:ascii="Times New Roman" w:eastAsia="Times New Roman" w:hAnsi="Times New Roman"/>
                <w:sz w:val="24"/>
                <w:szCs w:val="24"/>
                <w:lang w:eastAsia="lv-LV"/>
              </w:rPr>
              <w:t>a</w:t>
            </w:r>
            <w:r w:rsidR="00C241E8" w:rsidRPr="00EC44C5">
              <w:rPr>
                <w:rFonts w:ascii="Times New Roman" w:eastAsia="Times New Roman" w:hAnsi="Times New Roman"/>
                <w:sz w:val="24"/>
                <w:szCs w:val="24"/>
                <w:lang w:eastAsia="lv-LV"/>
              </w:rPr>
              <w:t xml:space="preserve"> </w:t>
            </w:r>
            <w:r w:rsidR="00EC44C5" w:rsidRPr="00EC44C5">
              <w:rPr>
                <w:rFonts w:ascii="Times New Roman" w:eastAsia="Times New Roman" w:hAnsi="Times New Roman"/>
                <w:sz w:val="24"/>
                <w:szCs w:val="24"/>
                <w:lang w:eastAsia="lv-LV"/>
              </w:rPr>
              <w:t xml:space="preserve">ar </w:t>
            </w:r>
            <w:r w:rsidR="00C241E8" w:rsidRPr="00EC44C5">
              <w:rPr>
                <w:rFonts w:ascii="Times New Roman" w:eastAsia="Times New Roman" w:hAnsi="Times New Roman"/>
                <w:sz w:val="24"/>
                <w:szCs w:val="24"/>
                <w:lang w:eastAsia="lv-LV"/>
              </w:rPr>
              <w:t>speciāl</w:t>
            </w:r>
            <w:r w:rsidR="00C241E8">
              <w:rPr>
                <w:rFonts w:ascii="Times New Roman" w:eastAsia="Times New Roman" w:hAnsi="Times New Roman"/>
                <w:sz w:val="24"/>
                <w:szCs w:val="24"/>
                <w:lang w:eastAsia="lv-LV"/>
              </w:rPr>
              <w:t>o</w:t>
            </w:r>
            <w:r w:rsidR="00C241E8" w:rsidRPr="00EC44C5">
              <w:rPr>
                <w:rFonts w:ascii="Times New Roman" w:eastAsia="Times New Roman" w:hAnsi="Times New Roman"/>
                <w:sz w:val="24"/>
                <w:szCs w:val="24"/>
                <w:lang w:eastAsia="lv-LV"/>
              </w:rPr>
              <w:t xml:space="preserve"> </w:t>
            </w:r>
            <w:r w:rsidR="00EC44C5" w:rsidRPr="00EC44C5">
              <w:rPr>
                <w:rFonts w:ascii="Times New Roman" w:eastAsia="Times New Roman" w:hAnsi="Times New Roman"/>
                <w:sz w:val="24"/>
                <w:szCs w:val="24"/>
                <w:lang w:eastAsia="lv-LV"/>
              </w:rPr>
              <w:t xml:space="preserve">dienesta </w:t>
            </w:r>
            <w:r w:rsidR="00C241E8" w:rsidRPr="00EC44C5">
              <w:rPr>
                <w:rFonts w:ascii="Times New Roman" w:eastAsia="Times New Roman" w:hAnsi="Times New Roman"/>
                <w:sz w:val="24"/>
                <w:szCs w:val="24"/>
                <w:lang w:eastAsia="lv-LV"/>
              </w:rPr>
              <w:t>pakāp</w:t>
            </w:r>
            <w:r w:rsidR="00C241E8">
              <w:rPr>
                <w:rFonts w:ascii="Times New Roman" w:eastAsia="Times New Roman" w:hAnsi="Times New Roman"/>
                <w:sz w:val="24"/>
                <w:szCs w:val="24"/>
                <w:lang w:eastAsia="lv-LV"/>
              </w:rPr>
              <w:t xml:space="preserve">i </w:t>
            </w:r>
            <w:r w:rsidR="00076CEF">
              <w:rPr>
                <w:rFonts w:ascii="Times New Roman" w:eastAsia="Times New Roman" w:hAnsi="Times New Roman"/>
                <w:sz w:val="24"/>
                <w:szCs w:val="24"/>
                <w:lang w:eastAsia="lv-LV"/>
              </w:rPr>
              <w:t>iestājusies stacionārā 2013.gada 2</w:t>
            </w:r>
            <w:r w:rsidR="00150DFC">
              <w:rPr>
                <w:rFonts w:ascii="Times New Roman" w:eastAsia="Times New Roman" w:hAnsi="Times New Roman"/>
                <w:sz w:val="24"/>
                <w:szCs w:val="24"/>
                <w:lang w:eastAsia="lv-LV"/>
              </w:rPr>
              <w:t>6</w:t>
            </w:r>
            <w:r w:rsidR="00076CEF">
              <w:rPr>
                <w:rFonts w:ascii="Times New Roman" w:eastAsia="Times New Roman" w:hAnsi="Times New Roman"/>
                <w:sz w:val="24"/>
                <w:szCs w:val="24"/>
                <w:lang w:eastAsia="lv-LV"/>
              </w:rPr>
              <w:t>.novembrī</w:t>
            </w:r>
            <w:r w:rsidR="00150DFC">
              <w:rPr>
                <w:rFonts w:ascii="Times New Roman" w:eastAsia="Times New Roman" w:hAnsi="Times New Roman"/>
                <w:sz w:val="24"/>
                <w:szCs w:val="24"/>
                <w:lang w:eastAsia="lv-LV"/>
              </w:rPr>
              <w:t>, bet viena amatpersona, kurai notikuma vietā tika sniegta neatliekamā medicīniskā palīdzība un kura turpināja veikt glābšanas darbus, atrodas darbnespējā no šā gada 23.novembra.</w:t>
            </w:r>
            <w:r w:rsidR="00076CEF">
              <w:rPr>
                <w:rFonts w:ascii="Times New Roman" w:eastAsia="Times New Roman" w:hAnsi="Times New Roman"/>
                <w:sz w:val="24"/>
                <w:szCs w:val="24"/>
                <w:lang w:eastAsia="lv-LV"/>
              </w:rPr>
              <w:t xml:space="preserve"> Līdz ar to kopumā šobrīd ir identificētas 40 personas, kuras</w:t>
            </w:r>
            <w:r w:rsidR="00076CEF">
              <w:t xml:space="preserve"> </w:t>
            </w:r>
            <w:r w:rsidR="00076CEF" w:rsidRPr="00076CEF">
              <w:rPr>
                <w:rFonts w:ascii="Times New Roman" w:eastAsia="Times New Roman" w:hAnsi="Times New Roman"/>
                <w:sz w:val="24"/>
                <w:szCs w:val="24"/>
                <w:lang w:eastAsia="lv-LV"/>
              </w:rPr>
              <w:t>traģēdijas ietvaros ir saņēmu</w:t>
            </w:r>
            <w:r w:rsidR="00076CEF">
              <w:rPr>
                <w:rFonts w:ascii="Times New Roman" w:eastAsia="Times New Roman" w:hAnsi="Times New Roman"/>
                <w:sz w:val="24"/>
                <w:szCs w:val="24"/>
                <w:lang w:eastAsia="lv-LV"/>
              </w:rPr>
              <w:t>šas</w:t>
            </w:r>
            <w:r w:rsidR="00076CEF" w:rsidRPr="00076CEF">
              <w:rPr>
                <w:rFonts w:ascii="Times New Roman" w:eastAsia="Times New Roman" w:hAnsi="Times New Roman"/>
                <w:sz w:val="24"/>
                <w:szCs w:val="24"/>
                <w:lang w:eastAsia="lv-LV"/>
              </w:rPr>
              <w:t xml:space="preserve"> neatliekamo medicīnisko palīdzību vai ievietota</w:t>
            </w:r>
            <w:r w:rsidR="00076CEF">
              <w:rPr>
                <w:rFonts w:ascii="Times New Roman" w:eastAsia="Times New Roman" w:hAnsi="Times New Roman"/>
                <w:sz w:val="24"/>
                <w:szCs w:val="24"/>
                <w:lang w:eastAsia="lv-LV"/>
              </w:rPr>
              <w:t>s</w:t>
            </w:r>
            <w:r w:rsidR="00076CEF" w:rsidRPr="00076CEF">
              <w:rPr>
                <w:rFonts w:ascii="Times New Roman" w:eastAsia="Times New Roman" w:hAnsi="Times New Roman"/>
                <w:sz w:val="24"/>
                <w:szCs w:val="24"/>
                <w:lang w:eastAsia="lv-LV"/>
              </w:rPr>
              <w:t xml:space="preserve"> stacionārā</w:t>
            </w:r>
            <w:r w:rsidR="00076CEF">
              <w:rPr>
                <w:rFonts w:ascii="Times New Roman" w:eastAsia="Times New Roman" w:hAnsi="Times New Roman"/>
                <w:sz w:val="24"/>
                <w:szCs w:val="24"/>
                <w:lang w:eastAsia="lv-LV"/>
              </w:rPr>
              <w:t>.</w:t>
            </w:r>
            <w:r w:rsidR="00EC44C5">
              <w:rPr>
                <w:rFonts w:ascii="Times New Roman" w:eastAsia="Times New Roman" w:hAnsi="Times New Roman"/>
                <w:sz w:val="24"/>
                <w:szCs w:val="24"/>
                <w:lang w:eastAsia="lv-LV"/>
              </w:rPr>
              <w:t xml:space="preserve"> </w:t>
            </w:r>
            <w:r w:rsidR="00A03491">
              <w:rPr>
                <w:rFonts w:ascii="Times New Roman" w:eastAsia="Times New Roman" w:hAnsi="Times New Roman"/>
                <w:sz w:val="24"/>
                <w:szCs w:val="24"/>
                <w:lang w:eastAsia="lv-LV"/>
              </w:rPr>
              <w:t xml:space="preserve">Daļa pacientu </w:t>
            </w:r>
            <w:r w:rsidR="00DC4669">
              <w:rPr>
                <w:rFonts w:ascii="Times New Roman" w:eastAsia="Times New Roman" w:hAnsi="Times New Roman"/>
                <w:sz w:val="24"/>
                <w:szCs w:val="24"/>
                <w:lang w:eastAsia="lv-LV"/>
              </w:rPr>
              <w:t xml:space="preserve">vēl joprojām </w:t>
            </w:r>
            <w:r w:rsidR="00A03491">
              <w:rPr>
                <w:rFonts w:ascii="Times New Roman" w:eastAsia="Times New Roman" w:hAnsi="Times New Roman"/>
                <w:sz w:val="24"/>
                <w:szCs w:val="24"/>
                <w:lang w:eastAsia="lv-LV"/>
              </w:rPr>
              <w:t xml:space="preserve">turpina </w:t>
            </w:r>
            <w:r w:rsidR="007E4285">
              <w:rPr>
                <w:rFonts w:ascii="Times New Roman" w:eastAsia="Times New Roman" w:hAnsi="Times New Roman"/>
                <w:sz w:val="24"/>
                <w:szCs w:val="24"/>
                <w:lang w:eastAsia="lv-LV"/>
              </w:rPr>
              <w:t>saņemt veselības aprūpi</w:t>
            </w:r>
            <w:r w:rsidR="00C7433F" w:rsidRPr="00CE14F0">
              <w:rPr>
                <w:rFonts w:ascii="Times New Roman" w:eastAsia="Times New Roman" w:hAnsi="Times New Roman"/>
                <w:sz w:val="24"/>
                <w:szCs w:val="24"/>
                <w:lang w:eastAsia="lv-LV"/>
              </w:rPr>
              <w:t xml:space="preserve"> slimnīcās</w:t>
            </w:r>
            <w:r w:rsidR="00A03491">
              <w:rPr>
                <w:rFonts w:ascii="Times New Roman" w:eastAsia="Times New Roman" w:hAnsi="Times New Roman"/>
                <w:sz w:val="24"/>
                <w:szCs w:val="24"/>
                <w:lang w:eastAsia="lv-LV"/>
              </w:rPr>
              <w:t>.</w:t>
            </w:r>
            <w:r w:rsidR="00C7433F" w:rsidRPr="00CE14F0">
              <w:rPr>
                <w:rFonts w:ascii="Times New Roman" w:eastAsia="Times New Roman" w:hAnsi="Times New Roman"/>
                <w:sz w:val="24"/>
                <w:szCs w:val="24"/>
                <w:lang w:eastAsia="lv-LV"/>
              </w:rPr>
              <w:t xml:space="preserve"> </w:t>
            </w:r>
          </w:p>
          <w:p w:rsidR="00B77397" w:rsidRPr="00B77397" w:rsidRDefault="00B77397" w:rsidP="00B77397">
            <w:pPr>
              <w:spacing w:after="0" w:line="240" w:lineRule="auto"/>
              <w:jc w:val="both"/>
              <w:rPr>
                <w:rFonts w:ascii="Times New Roman" w:eastAsia="Times New Roman" w:hAnsi="Times New Roman"/>
                <w:sz w:val="24"/>
                <w:szCs w:val="24"/>
                <w:lang w:eastAsia="lv-LV"/>
              </w:rPr>
            </w:pPr>
            <w:r w:rsidRPr="00B77397">
              <w:rPr>
                <w:rFonts w:ascii="Times New Roman" w:eastAsia="Times New Roman" w:hAnsi="Times New Roman"/>
                <w:sz w:val="24"/>
                <w:szCs w:val="24"/>
                <w:lang w:eastAsia="lv-LV"/>
              </w:rPr>
              <w:t>Traģēdijā, kad Rīgā, Zolitūdē sagruva veikals "</w:t>
            </w:r>
            <w:proofErr w:type="spellStart"/>
            <w:r w:rsidRPr="00B77397">
              <w:rPr>
                <w:rFonts w:ascii="Times New Roman" w:eastAsia="Times New Roman" w:hAnsi="Times New Roman"/>
                <w:sz w:val="24"/>
                <w:szCs w:val="24"/>
                <w:lang w:eastAsia="lv-LV"/>
              </w:rPr>
              <w:t>Maxima</w:t>
            </w:r>
            <w:proofErr w:type="spellEnd"/>
            <w:r w:rsidRPr="00B77397">
              <w:rPr>
                <w:rFonts w:ascii="Times New Roman" w:eastAsia="Times New Roman" w:hAnsi="Times New Roman"/>
                <w:sz w:val="24"/>
                <w:szCs w:val="24"/>
                <w:lang w:eastAsia="lv-LV"/>
              </w:rPr>
              <w:t xml:space="preserve">", vecākus zaudējuši </w:t>
            </w:r>
            <w:r w:rsidR="004F6482">
              <w:rPr>
                <w:rFonts w:ascii="Times New Roman" w:eastAsia="Times New Roman" w:hAnsi="Times New Roman"/>
                <w:sz w:val="24"/>
                <w:szCs w:val="24"/>
                <w:lang w:eastAsia="lv-LV"/>
              </w:rPr>
              <w:t>23</w:t>
            </w:r>
            <w:r w:rsidR="004F6482" w:rsidRPr="00B77397">
              <w:rPr>
                <w:rFonts w:ascii="Times New Roman" w:eastAsia="Times New Roman" w:hAnsi="Times New Roman"/>
                <w:sz w:val="24"/>
                <w:szCs w:val="24"/>
                <w:lang w:eastAsia="lv-LV"/>
              </w:rPr>
              <w:t xml:space="preserve"> </w:t>
            </w:r>
            <w:r w:rsidRPr="00B77397">
              <w:rPr>
                <w:rFonts w:ascii="Times New Roman" w:eastAsia="Times New Roman" w:hAnsi="Times New Roman"/>
                <w:sz w:val="24"/>
                <w:szCs w:val="24"/>
                <w:lang w:eastAsia="lv-LV"/>
              </w:rPr>
              <w:t xml:space="preserve">bērni, </w:t>
            </w:r>
            <w:r w:rsidR="004F6482">
              <w:rPr>
                <w:rFonts w:ascii="Times New Roman" w:eastAsia="Times New Roman" w:hAnsi="Times New Roman"/>
                <w:sz w:val="24"/>
                <w:szCs w:val="24"/>
                <w:lang w:eastAsia="lv-LV"/>
              </w:rPr>
              <w:t>viens</w:t>
            </w:r>
            <w:r w:rsidR="004F6482" w:rsidRPr="00B77397">
              <w:rPr>
                <w:rFonts w:ascii="Times New Roman" w:eastAsia="Times New Roman" w:hAnsi="Times New Roman"/>
                <w:sz w:val="24"/>
                <w:szCs w:val="24"/>
                <w:lang w:eastAsia="lv-LV"/>
              </w:rPr>
              <w:t xml:space="preserve"> </w:t>
            </w:r>
            <w:r w:rsidRPr="00B77397">
              <w:rPr>
                <w:rFonts w:ascii="Times New Roman" w:eastAsia="Times New Roman" w:hAnsi="Times New Roman"/>
                <w:sz w:val="24"/>
                <w:szCs w:val="24"/>
                <w:lang w:eastAsia="lv-LV"/>
              </w:rPr>
              <w:t>no viņiem pali</w:t>
            </w:r>
            <w:r w:rsidR="00DA14EB">
              <w:rPr>
                <w:rFonts w:ascii="Times New Roman" w:eastAsia="Times New Roman" w:hAnsi="Times New Roman"/>
                <w:sz w:val="24"/>
                <w:szCs w:val="24"/>
                <w:lang w:eastAsia="lv-LV"/>
              </w:rPr>
              <w:t>cis</w:t>
            </w:r>
            <w:r w:rsidRPr="00B77397">
              <w:rPr>
                <w:rFonts w:ascii="Times New Roman" w:eastAsia="Times New Roman" w:hAnsi="Times New Roman"/>
                <w:sz w:val="24"/>
                <w:szCs w:val="24"/>
                <w:lang w:eastAsia="lv-LV"/>
              </w:rPr>
              <w:t xml:space="preserve"> gan bez mātes, gan tēva. Traģēdijas sek</w:t>
            </w:r>
            <w:r w:rsidR="00DA14EB">
              <w:rPr>
                <w:rFonts w:ascii="Times New Roman" w:eastAsia="Times New Roman" w:hAnsi="Times New Roman"/>
                <w:sz w:val="24"/>
                <w:szCs w:val="24"/>
                <w:lang w:eastAsia="lv-LV"/>
              </w:rPr>
              <w:t xml:space="preserve">as izpaužas gan 54 cilvēku nāvē, </w:t>
            </w:r>
            <w:r w:rsidR="00C241E8">
              <w:rPr>
                <w:rFonts w:ascii="Times New Roman" w:eastAsia="Times New Roman" w:hAnsi="Times New Roman"/>
                <w:sz w:val="24"/>
                <w:szCs w:val="24"/>
                <w:lang w:eastAsia="lv-LV"/>
              </w:rPr>
              <w:t>40</w:t>
            </w:r>
            <w:r w:rsidR="00C241E8" w:rsidRPr="00B77397">
              <w:rPr>
                <w:rFonts w:ascii="Times New Roman" w:eastAsia="Times New Roman" w:hAnsi="Times New Roman"/>
                <w:sz w:val="24"/>
                <w:szCs w:val="24"/>
                <w:lang w:eastAsia="lv-LV"/>
              </w:rPr>
              <w:t xml:space="preserve"> </w:t>
            </w:r>
            <w:r w:rsidRPr="00B77397">
              <w:rPr>
                <w:rFonts w:ascii="Times New Roman" w:eastAsia="Times New Roman" w:hAnsi="Times New Roman"/>
                <w:sz w:val="24"/>
                <w:szCs w:val="24"/>
                <w:lang w:eastAsia="lv-LV"/>
              </w:rPr>
              <w:t xml:space="preserve">cilvēku ievainošanā un </w:t>
            </w:r>
            <w:r w:rsidR="004F6482">
              <w:rPr>
                <w:rFonts w:ascii="Times New Roman" w:eastAsia="Times New Roman" w:hAnsi="Times New Roman"/>
                <w:sz w:val="24"/>
                <w:szCs w:val="24"/>
                <w:lang w:eastAsia="lv-LV"/>
              </w:rPr>
              <w:t>23</w:t>
            </w:r>
            <w:r w:rsidR="004F6482" w:rsidRPr="00B77397">
              <w:rPr>
                <w:rFonts w:ascii="Times New Roman" w:eastAsia="Times New Roman" w:hAnsi="Times New Roman"/>
                <w:sz w:val="24"/>
                <w:szCs w:val="24"/>
                <w:lang w:eastAsia="lv-LV"/>
              </w:rPr>
              <w:t xml:space="preserve"> </w:t>
            </w:r>
            <w:r w:rsidRPr="00B77397">
              <w:rPr>
                <w:rFonts w:ascii="Times New Roman" w:eastAsia="Times New Roman" w:hAnsi="Times New Roman"/>
                <w:sz w:val="24"/>
                <w:szCs w:val="24"/>
                <w:lang w:eastAsia="lv-LV"/>
              </w:rPr>
              <w:t xml:space="preserve">bērnu palikšanā bez viena vai abiem apgādniekiem, gan arī bojā gājušo un cietušo personu ģimenēm nodarītajā morālajā un emocionāli psiholoģiskajā kaitējumā, kas atstās neizdzēšamu negatīvu iespaidu uz visu dzīvi, jo tā rezultātā gūta nopietna psiho-emocionālā trauma (īpaši attiecas uz vecāku zaudējušiem </w:t>
            </w:r>
            <w:r w:rsidR="004F6482">
              <w:rPr>
                <w:rFonts w:ascii="Times New Roman" w:eastAsia="Times New Roman" w:hAnsi="Times New Roman"/>
                <w:sz w:val="24"/>
                <w:szCs w:val="24"/>
                <w:lang w:eastAsia="lv-LV"/>
              </w:rPr>
              <w:t>23</w:t>
            </w:r>
            <w:r w:rsidR="004F6482" w:rsidRPr="00B77397">
              <w:rPr>
                <w:rFonts w:ascii="Times New Roman" w:eastAsia="Times New Roman" w:hAnsi="Times New Roman"/>
                <w:sz w:val="24"/>
                <w:szCs w:val="24"/>
                <w:lang w:eastAsia="lv-LV"/>
              </w:rPr>
              <w:t xml:space="preserve"> </w:t>
            </w:r>
            <w:r w:rsidRPr="00B77397">
              <w:rPr>
                <w:rFonts w:ascii="Times New Roman" w:eastAsia="Times New Roman" w:hAnsi="Times New Roman"/>
                <w:sz w:val="24"/>
                <w:szCs w:val="24"/>
                <w:lang w:eastAsia="lv-LV"/>
              </w:rPr>
              <w:t xml:space="preserve">bērniem un citiem traģēdijas laikā bojā gājušo personu laulātiem un tuviem radiniekiem). </w:t>
            </w:r>
          </w:p>
          <w:p w:rsidR="00174045" w:rsidRPr="00174045" w:rsidRDefault="008E3B18" w:rsidP="00BA087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Satversmes 109.pants nosaka valsts pienākumu nodrošināt personu tiesības uz sociālo nodrošinājumu, kas ietver pienākumu sniegt palīdzību personām, kuras nokļuvušas īpašā situācijā.</w:t>
            </w:r>
            <w:r w:rsidR="00BA0879">
              <w:rPr>
                <w:rFonts w:ascii="Times New Roman" w:eastAsia="Times New Roman" w:hAnsi="Times New Roman"/>
                <w:sz w:val="24"/>
                <w:szCs w:val="24"/>
                <w:lang w:eastAsia="lv-LV"/>
              </w:rPr>
              <w:t xml:space="preserve"> Savukārt Satversmes 110.pants nosaka valsts pienākumu sniegt palīdzību bērniem, kas palikuši bez vecāku gādības. </w:t>
            </w:r>
            <w:r w:rsidR="005E150C">
              <w:rPr>
                <w:rFonts w:ascii="Times New Roman" w:eastAsia="Times New Roman" w:hAnsi="Times New Roman"/>
                <w:sz w:val="24"/>
                <w:szCs w:val="24"/>
                <w:lang w:eastAsia="lv-LV"/>
              </w:rPr>
              <w:t xml:space="preserve">Lai sniegtu </w:t>
            </w:r>
            <w:r w:rsidR="00BA0879">
              <w:rPr>
                <w:rFonts w:ascii="Times New Roman" w:eastAsia="Times New Roman" w:hAnsi="Times New Roman"/>
                <w:sz w:val="24"/>
                <w:szCs w:val="24"/>
                <w:lang w:eastAsia="lv-LV"/>
              </w:rPr>
              <w:t xml:space="preserve">traģēdijā cietušajām personām un bojā gājušo personu tuviniekiem </w:t>
            </w:r>
            <w:r w:rsidR="005E150C">
              <w:rPr>
                <w:rFonts w:ascii="Times New Roman" w:eastAsia="Times New Roman" w:hAnsi="Times New Roman"/>
                <w:sz w:val="24"/>
                <w:szCs w:val="24"/>
                <w:lang w:eastAsia="lv-LV"/>
              </w:rPr>
              <w:t>valsts atbalstu</w:t>
            </w:r>
            <w:r w:rsidR="002B7899">
              <w:rPr>
                <w:rFonts w:ascii="Times New Roman" w:eastAsia="Times New Roman" w:hAnsi="Times New Roman"/>
                <w:sz w:val="24"/>
                <w:szCs w:val="24"/>
                <w:lang w:eastAsia="lv-LV"/>
              </w:rPr>
              <w:t xml:space="preserve">, nepieciešams Ministru kabineta rīkojums, kurā </w:t>
            </w:r>
            <w:r w:rsidR="00E37813">
              <w:rPr>
                <w:rFonts w:ascii="Times New Roman" w:eastAsia="Times New Roman" w:hAnsi="Times New Roman"/>
                <w:sz w:val="24"/>
                <w:szCs w:val="24"/>
                <w:lang w:eastAsia="lv-LV"/>
              </w:rPr>
              <w:t xml:space="preserve">būtu </w:t>
            </w:r>
            <w:r w:rsidR="002B7899">
              <w:rPr>
                <w:rFonts w:ascii="Times New Roman" w:eastAsia="Times New Roman" w:hAnsi="Times New Roman"/>
                <w:sz w:val="24"/>
                <w:szCs w:val="24"/>
                <w:lang w:eastAsia="lv-LV"/>
              </w:rPr>
              <w:t>noteikts</w:t>
            </w:r>
            <w:r w:rsidR="00B57FAF">
              <w:rPr>
                <w:rFonts w:ascii="Times New Roman" w:eastAsia="Times New Roman" w:hAnsi="Times New Roman"/>
                <w:sz w:val="24"/>
                <w:szCs w:val="24"/>
                <w:lang w:eastAsia="lv-LV"/>
              </w:rPr>
              <w:t>,</w:t>
            </w:r>
            <w:r w:rsidR="002B7899">
              <w:rPr>
                <w:rFonts w:ascii="Times New Roman" w:eastAsia="Times New Roman" w:hAnsi="Times New Roman"/>
                <w:sz w:val="24"/>
                <w:szCs w:val="24"/>
                <w:lang w:eastAsia="lv-LV"/>
              </w:rPr>
              <w:t xml:space="preserve"> kāda apjoma</w:t>
            </w:r>
            <w:r w:rsidR="005E150C">
              <w:rPr>
                <w:rFonts w:ascii="Times New Roman" w:eastAsia="Times New Roman" w:hAnsi="Times New Roman"/>
                <w:sz w:val="24"/>
                <w:szCs w:val="24"/>
                <w:lang w:eastAsia="lv-LV"/>
              </w:rPr>
              <w:t xml:space="preserve"> kompensācijas tiek piešķirtas</w:t>
            </w:r>
            <w:r w:rsidR="004418DB">
              <w:rPr>
                <w:rFonts w:ascii="Times New Roman" w:eastAsia="Times New Roman" w:hAnsi="Times New Roman"/>
                <w:sz w:val="24"/>
                <w:szCs w:val="24"/>
                <w:lang w:eastAsia="lv-LV"/>
              </w:rPr>
              <w:t>.</w:t>
            </w:r>
            <w:r w:rsidR="002B7899">
              <w:rPr>
                <w:rFonts w:ascii="Times New Roman" w:eastAsia="Times New Roman" w:hAnsi="Times New Roman"/>
                <w:sz w:val="24"/>
                <w:szCs w:val="24"/>
                <w:lang w:eastAsia="lv-LV"/>
              </w:rPr>
              <w:t xml:space="preserve"> </w:t>
            </w:r>
          </w:p>
        </w:tc>
      </w:tr>
      <w:tr w:rsidR="00174045" w:rsidRPr="00174045" w:rsidTr="00E94D25">
        <w:tc>
          <w:tcPr>
            <w:tcW w:w="25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 xml:space="preserve">3. </w:t>
            </w:r>
          </w:p>
        </w:tc>
        <w:tc>
          <w:tcPr>
            <w:tcW w:w="76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 xml:space="preserve">Saistītie </w:t>
            </w:r>
            <w:r w:rsidRPr="00174045">
              <w:rPr>
                <w:rFonts w:ascii="Times New Roman" w:eastAsia="Times New Roman" w:hAnsi="Times New Roman"/>
                <w:sz w:val="24"/>
                <w:szCs w:val="24"/>
                <w:lang w:eastAsia="lv-LV"/>
              </w:rPr>
              <w:lastRenderedPageBreak/>
              <w:t>politikas ietekmes novērtējumi un pētījumi</w:t>
            </w:r>
          </w:p>
        </w:tc>
        <w:tc>
          <w:tcPr>
            <w:tcW w:w="3982" w:type="pct"/>
          </w:tcPr>
          <w:p w:rsidR="00174045" w:rsidRPr="00174045" w:rsidRDefault="00174045" w:rsidP="00174045">
            <w:pPr>
              <w:spacing w:after="0" w:line="240" w:lineRule="auto"/>
              <w:jc w:val="both"/>
              <w:rPr>
                <w:rFonts w:ascii="Times New Roman" w:eastAsia="Times New Roman" w:hAnsi="Times New Roman"/>
                <w:i/>
                <w:sz w:val="24"/>
                <w:szCs w:val="24"/>
                <w:lang w:eastAsia="lv-LV"/>
              </w:rPr>
            </w:pPr>
            <w:r w:rsidRPr="00174045">
              <w:rPr>
                <w:rFonts w:ascii="Times New Roman" w:eastAsia="Times New Roman" w:hAnsi="Times New Roman"/>
                <w:sz w:val="24"/>
                <w:szCs w:val="24"/>
                <w:lang w:eastAsia="lv-LV"/>
              </w:rPr>
              <w:lastRenderedPageBreak/>
              <w:t>Projekts šo jomu neskar.</w:t>
            </w:r>
          </w:p>
        </w:tc>
      </w:tr>
      <w:tr w:rsidR="00174045" w:rsidRPr="00174045" w:rsidTr="00E94D25">
        <w:tc>
          <w:tcPr>
            <w:tcW w:w="25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lastRenderedPageBreak/>
              <w:t>4.</w:t>
            </w:r>
          </w:p>
        </w:tc>
        <w:tc>
          <w:tcPr>
            <w:tcW w:w="76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Tiesiskā regulējuma mērķis un būtība</w:t>
            </w:r>
          </w:p>
        </w:tc>
        <w:tc>
          <w:tcPr>
            <w:tcW w:w="3982" w:type="pct"/>
          </w:tcPr>
          <w:p w:rsidR="00474991" w:rsidRPr="00076CEF" w:rsidRDefault="00474991" w:rsidP="00474991">
            <w:pPr>
              <w:spacing w:after="0" w:line="240" w:lineRule="auto"/>
              <w:jc w:val="both"/>
              <w:rPr>
                <w:rFonts w:ascii="Times New Roman" w:eastAsia="Times New Roman" w:hAnsi="Times New Roman"/>
                <w:sz w:val="24"/>
                <w:szCs w:val="24"/>
                <w:lang w:eastAsia="lv-LV"/>
              </w:rPr>
            </w:pPr>
            <w:r w:rsidRPr="00474991">
              <w:rPr>
                <w:rFonts w:ascii="Times New Roman" w:eastAsia="Times New Roman" w:hAnsi="Times New Roman"/>
                <w:sz w:val="24"/>
                <w:szCs w:val="24"/>
                <w:lang w:eastAsia="lv-LV"/>
              </w:rPr>
              <w:t xml:space="preserve">Rīkojuma projekts paredz piešķirt vienreizēju kompensāciju traģēdijā Rīgā, </w:t>
            </w:r>
            <w:r w:rsidRPr="00076CEF">
              <w:rPr>
                <w:rFonts w:ascii="Times New Roman" w:eastAsia="Times New Roman" w:hAnsi="Times New Roman"/>
                <w:sz w:val="24"/>
                <w:szCs w:val="24"/>
                <w:lang w:eastAsia="lv-LV"/>
              </w:rPr>
              <w:t>Priedaines ielā 20:</w:t>
            </w:r>
          </w:p>
          <w:p w:rsidR="002D28D3" w:rsidRDefault="00474991" w:rsidP="00D74217">
            <w:pPr>
              <w:pStyle w:val="ListParagraph"/>
              <w:numPr>
                <w:ilvl w:val="0"/>
                <w:numId w:val="13"/>
              </w:numPr>
              <w:spacing w:after="0" w:line="240" w:lineRule="auto"/>
              <w:jc w:val="both"/>
              <w:rPr>
                <w:rFonts w:ascii="Times New Roman" w:eastAsia="Times New Roman" w:hAnsi="Times New Roman"/>
                <w:sz w:val="24"/>
                <w:szCs w:val="24"/>
                <w:lang w:eastAsia="lv-LV"/>
              </w:rPr>
            </w:pPr>
            <w:r w:rsidRPr="00076CEF">
              <w:rPr>
                <w:rFonts w:ascii="Times New Roman" w:eastAsia="Times New Roman" w:hAnsi="Times New Roman"/>
                <w:sz w:val="24"/>
                <w:szCs w:val="24"/>
                <w:lang w:eastAsia="lv-LV"/>
              </w:rPr>
              <w:t>cietušajai personai</w:t>
            </w:r>
            <w:r w:rsidR="00D74217">
              <w:rPr>
                <w:rFonts w:ascii="Times New Roman" w:eastAsia="Times New Roman" w:hAnsi="Times New Roman"/>
                <w:sz w:val="24"/>
                <w:szCs w:val="24"/>
                <w:lang w:eastAsia="lv-LV"/>
              </w:rPr>
              <w:t>,</w:t>
            </w:r>
            <w:r w:rsidRPr="00076CEF">
              <w:rPr>
                <w:rFonts w:ascii="Times New Roman" w:eastAsia="Times New Roman" w:hAnsi="Times New Roman"/>
                <w:sz w:val="24"/>
                <w:szCs w:val="24"/>
                <w:lang w:eastAsia="lv-LV"/>
              </w:rPr>
              <w:t xml:space="preserve"> </w:t>
            </w:r>
            <w:r w:rsidR="00D74217" w:rsidRPr="00D74217">
              <w:rPr>
                <w:rFonts w:ascii="Times New Roman" w:eastAsia="Times New Roman" w:hAnsi="Times New Roman"/>
                <w:sz w:val="24"/>
                <w:szCs w:val="24"/>
                <w:lang w:eastAsia="lv-LV"/>
              </w:rPr>
              <w:t>kura ir saņēmusi neatliekamo medicīnisko palīdzību vai ievietota stacionārā</w:t>
            </w:r>
            <w:r w:rsidR="00D74217">
              <w:rPr>
                <w:rFonts w:ascii="Times New Roman" w:eastAsia="Times New Roman" w:hAnsi="Times New Roman"/>
                <w:sz w:val="24"/>
                <w:szCs w:val="24"/>
                <w:lang w:eastAsia="lv-LV"/>
              </w:rPr>
              <w:t>,</w:t>
            </w:r>
            <w:r w:rsidRPr="00076CEF">
              <w:rPr>
                <w:rFonts w:ascii="Times New Roman" w:eastAsia="Times New Roman" w:hAnsi="Times New Roman"/>
                <w:sz w:val="24"/>
                <w:szCs w:val="24"/>
                <w:lang w:eastAsia="lv-LV"/>
              </w:rPr>
              <w:t>– 5 000 latu apmērā;</w:t>
            </w:r>
          </w:p>
          <w:p w:rsidR="00C241E8" w:rsidRPr="002D28D3" w:rsidRDefault="00D37A86" w:rsidP="002D28D3">
            <w:pPr>
              <w:pStyle w:val="ListParagraph"/>
              <w:numPr>
                <w:ilvl w:val="0"/>
                <w:numId w:val="13"/>
              </w:numPr>
              <w:spacing w:after="0" w:line="240" w:lineRule="auto"/>
              <w:jc w:val="both"/>
              <w:rPr>
                <w:rFonts w:ascii="Times New Roman" w:eastAsia="Times New Roman" w:hAnsi="Times New Roman"/>
                <w:sz w:val="24"/>
                <w:szCs w:val="24"/>
                <w:lang w:eastAsia="lv-LV"/>
              </w:rPr>
            </w:pPr>
            <w:r w:rsidRPr="002D28D3">
              <w:rPr>
                <w:rFonts w:ascii="Times New Roman" w:eastAsia="Times New Roman" w:hAnsi="Times New Roman"/>
                <w:sz w:val="24"/>
                <w:szCs w:val="24"/>
                <w:lang w:eastAsia="lv-LV"/>
              </w:rPr>
              <w:t xml:space="preserve">bojā gājušās personas laulātajam vai personai, kas realizē aizgādību par bojā gājušās personas nepilngadīgu bērnu, un lejupējiem radiniekiem (bērniem vai mazbērniem, ja bērnu nav), bet, ja lejupējo nav, tad tuvākās pakāpes augšupējiem radiniekiem (vecākiem vai vecvecākiem, ja vecāku nav),– 10 000 latu (14 230 </w:t>
            </w:r>
            <w:proofErr w:type="spellStart"/>
            <w:r w:rsidRPr="002D28D3">
              <w:rPr>
                <w:rFonts w:ascii="Times New Roman" w:eastAsia="Times New Roman" w:hAnsi="Times New Roman"/>
                <w:sz w:val="24"/>
                <w:szCs w:val="24"/>
                <w:lang w:eastAsia="lv-LV"/>
              </w:rPr>
              <w:t>euro</w:t>
            </w:r>
            <w:proofErr w:type="spellEnd"/>
            <w:r w:rsidRPr="002D28D3">
              <w:rPr>
                <w:rFonts w:ascii="Times New Roman" w:eastAsia="Times New Roman" w:hAnsi="Times New Roman"/>
                <w:sz w:val="24"/>
                <w:szCs w:val="24"/>
                <w:lang w:eastAsia="lv-LV"/>
              </w:rPr>
              <w:t>) apmērā par katru bojā gājušo personu. Kompensāciju minētajām personām izmaksā vienādās daļās</w:t>
            </w:r>
            <w:r w:rsidR="00C241E8" w:rsidRPr="002D28D3">
              <w:rPr>
                <w:rFonts w:ascii="Times New Roman" w:eastAsia="Times New Roman" w:hAnsi="Times New Roman"/>
                <w:sz w:val="24"/>
                <w:szCs w:val="24"/>
                <w:lang w:eastAsia="lv-LV"/>
              </w:rPr>
              <w:t>.</w:t>
            </w:r>
          </w:p>
          <w:p w:rsidR="00C241E8" w:rsidRDefault="00B24213" w:rsidP="00C241E8">
            <w:pPr>
              <w:spacing w:after="0" w:line="240" w:lineRule="auto"/>
              <w:jc w:val="both"/>
              <w:rPr>
                <w:rFonts w:ascii="Times New Roman" w:eastAsia="Times New Roman" w:hAnsi="Times New Roman"/>
                <w:sz w:val="24"/>
                <w:szCs w:val="24"/>
                <w:lang w:eastAsia="lv-LV"/>
              </w:rPr>
            </w:pPr>
            <w:r w:rsidRPr="00C241E8">
              <w:rPr>
                <w:rFonts w:ascii="Times New Roman" w:eastAsia="Times New Roman" w:hAnsi="Times New Roman"/>
                <w:sz w:val="24"/>
                <w:szCs w:val="24"/>
                <w:lang w:eastAsia="lv-LV"/>
              </w:rPr>
              <w:t>Minētā kompensācija</w:t>
            </w:r>
            <w:r w:rsidR="00410602" w:rsidRPr="00C241E8">
              <w:rPr>
                <w:rFonts w:ascii="Times New Roman" w:eastAsia="Times New Roman" w:hAnsi="Times New Roman"/>
                <w:sz w:val="24"/>
                <w:szCs w:val="24"/>
                <w:lang w:eastAsia="lv-LV"/>
              </w:rPr>
              <w:t xml:space="preserve"> attiecībā uz cietušajām personām ir attiecināma uz </w:t>
            </w:r>
            <w:r w:rsidR="00076CEF" w:rsidRPr="00C241E8">
              <w:rPr>
                <w:rFonts w:ascii="Times New Roman" w:eastAsia="Times New Roman" w:hAnsi="Times New Roman"/>
                <w:sz w:val="24"/>
                <w:szCs w:val="24"/>
                <w:lang w:eastAsia="lv-LV"/>
              </w:rPr>
              <w:t>to personu loku</w:t>
            </w:r>
            <w:r w:rsidR="00410602" w:rsidRPr="00C241E8">
              <w:rPr>
                <w:rFonts w:ascii="Times New Roman" w:eastAsia="Times New Roman" w:hAnsi="Times New Roman"/>
                <w:sz w:val="24"/>
                <w:szCs w:val="24"/>
                <w:lang w:eastAsia="lv-LV"/>
              </w:rPr>
              <w:t xml:space="preserve">, </w:t>
            </w:r>
            <w:r w:rsidR="00076CEF" w:rsidRPr="00D74217">
              <w:rPr>
                <w:rFonts w:ascii="Times New Roman" w:eastAsia="Times New Roman" w:hAnsi="Times New Roman"/>
                <w:sz w:val="24"/>
                <w:szCs w:val="24"/>
                <w:lang w:eastAsia="lv-LV"/>
              </w:rPr>
              <w:t xml:space="preserve">kuras traģēdijas ietvaros ir </w:t>
            </w:r>
            <w:r w:rsidR="00D37A86" w:rsidRPr="00D74217">
              <w:rPr>
                <w:rFonts w:ascii="Times New Roman" w:eastAsia="Times New Roman" w:hAnsi="Times New Roman"/>
                <w:sz w:val="24"/>
                <w:szCs w:val="24"/>
                <w:lang w:eastAsia="lv-LV"/>
              </w:rPr>
              <w:t>saņēmušas neatliekamo medicīnisko palīdzību vai ievietotas stacionārā</w:t>
            </w:r>
            <w:r w:rsidR="00C241E8">
              <w:rPr>
                <w:rFonts w:ascii="Times New Roman" w:eastAsia="Times New Roman" w:hAnsi="Times New Roman"/>
                <w:sz w:val="24"/>
                <w:szCs w:val="24"/>
                <w:lang w:eastAsia="lv-LV"/>
              </w:rPr>
              <w:t>.</w:t>
            </w:r>
          </w:p>
          <w:p w:rsidR="00DA14EB" w:rsidRDefault="00DA14EB" w:rsidP="00DA14E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Papildus tam, minētā</w:t>
            </w:r>
            <w:r w:rsidRPr="00B24213">
              <w:rPr>
                <w:rFonts w:ascii="Times New Roman" w:eastAsia="Times New Roman" w:hAnsi="Times New Roman"/>
                <w:sz w:val="24"/>
                <w:szCs w:val="24"/>
                <w:lang w:eastAsia="lv-LV"/>
              </w:rPr>
              <w:t xml:space="preserve"> kompensācij</w:t>
            </w:r>
            <w:r>
              <w:rPr>
                <w:rFonts w:ascii="Times New Roman" w:eastAsia="Times New Roman" w:hAnsi="Times New Roman"/>
                <w:sz w:val="24"/>
                <w:szCs w:val="24"/>
                <w:lang w:eastAsia="lv-LV"/>
              </w:rPr>
              <w:t xml:space="preserve">a bojā gājušās personas </w:t>
            </w:r>
            <w:r w:rsidR="00D74217">
              <w:rPr>
                <w:rFonts w:ascii="Times New Roman" w:eastAsia="Times New Roman" w:hAnsi="Times New Roman"/>
                <w:sz w:val="24"/>
                <w:szCs w:val="24"/>
                <w:lang w:eastAsia="lv-LV"/>
              </w:rPr>
              <w:t xml:space="preserve">tuviniekiem </w:t>
            </w:r>
            <w:r>
              <w:rPr>
                <w:rFonts w:ascii="Times New Roman" w:eastAsia="Times New Roman" w:hAnsi="Times New Roman"/>
                <w:sz w:val="24"/>
                <w:szCs w:val="24"/>
                <w:lang w:eastAsia="lv-LV"/>
              </w:rPr>
              <w:t>netiek piešķirta</w:t>
            </w:r>
            <w:r w:rsidRPr="00B24213">
              <w:rPr>
                <w:rFonts w:ascii="Times New Roman" w:eastAsia="Times New Roman" w:hAnsi="Times New Roman"/>
                <w:sz w:val="24"/>
                <w:szCs w:val="24"/>
                <w:lang w:eastAsia="lv-LV"/>
              </w:rPr>
              <w:t>, ja bojā gājušo personu laulātajiem un lejupējiem, bet, ja lejupējo nav, tad tuvākās pakāpes augšupējiem radiniekiem, ir tiesības uz nelaimes gadījuma pabalstu vai pabalstu sakarā ar amatpersonas (darbinieka) bojāeju saskaņā ar normatīvajiem aktiem par valsts un pašvaldību institūciju amatpersonu un darbinieku sociālajām garantijām.</w:t>
            </w:r>
            <w:r w:rsidRPr="00110BB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Līdz ar to rīkojuma</w:t>
            </w:r>
            <w:r w:rsidRPr="00110BB3">
              <w:rPr>
                <w:rFonts w:ascii="Times New Roman" w:eastAsia="Times New Roman" w:hAnsi="Times New Roman"/>
                <w:sz w:val="24"/>
                <w:szCs w:val="24"/>
                <w:lang w:eastAsia="lv-LV"/>
              </w:rPr>
              <w:t xml:space="preserve"> projekts neattiecas uz</w:t>
            </w:r>
            <w:r>
              <w:rPr>
                <w:rFonts w:ascii="Times New Roman" w:eastAsia="Times New Roman" w:hAnsi="Times New Roman"/>
                <w:sz w:val="24"/>
                <w:szCs w:val="24"/>
                <w:lang w:eastAsia="lv-LV"/>
              </w:rPr>
              <w:t xml:space="preserve"> </w:t>
            </w:r>
            <w:r w:rsidR="005459E1">
              <w:rPr>
                <w:rFonts w:ascii="Times New Roman" w:eastAsia="Times New Roman" w:hAnsi="Times New Roman"/>
                <w:sz w:val="24"/>
                <w:szCs w:val="24"/>
                <w:lang w:eastAsia="lv-LV"/>
              </w:rPr>
              <w:t>traģēdijā</w:t>
            </w:r>
            <w:r w:rsidR="005459E1" w:rsidRPr="00F94F83">
              <w:rPr>
                <w:rFonts w:ascii="Times New Roman" w:eastAsia="Times New Roman" w:hAnsi="Times New Roman"/>
                <w:sz w:val="24"/>
                <w:szCs w:val="24"/>
                <w:lang w:eastAsia="lv-LV"/>
              </w:rPr>
              <w:t xml:space="preserve"> Rīgā, Priedaines ielā 20</w:t>
            </w:r>
            <w:r w:rsidR="005459E1">
              <w:rPr>
                <w:rFonts w:ascii="Times New Roman" w:eastAsia="Times New Roman" w:hAnsi="Times New Roman"/>
                <w:sz w:val="24"/>
                <w:szCs w:val="24"/>
                <w:lang w:eastAsia="lv-LV"/>
              </w:rPr>
              <w:t xml:space="preserve"> gāja bojā gājušo</w:t>
            </w:r>
            <w:r w:rsidRPr="00110BB3">
              <w:rPr>
                <w:rFonts w:ascii="Times New Roman" w:eastAsia="Times New Roman" w:hAnsi="Times New Roman"/>
                <w:sz w:val="24"/>
                <w:szCs w:val="24"/>
                <w:lang w:eastAsia="lv-LV"/>
              </w:rPr>
              <w:t xml:space="preserve"> Iekšlietu ministrijas sistēmas amatperson</w:t>
            </w:r>
            <w:r>
              <w:rPr>
                <w:rFonts w:ascii="Times New Roman" w:eastAsia="Times New Roman" w:hAnsi="Times New Roman"/>
                <w:sz w:val="24"/>
                <w:szCs w:val="24"/>
                <w:lang w:eastAsia="lv-LV"/>
              </w:rPr>
              <w:t xml:space="preserve">u </w:t>
            </w:r>
            <w:r w:rsidRPr="00110BB3">
              <w:rPr>
                <w:rFonts w:ascii="Times New Roman" w:eastAsia="Times New Roman" w:hAnsi="Times New Roman"/>
                <w:sz w:val="24"/>
                <w:szCs w:val="24"/>
                <w:lang w:eastAsia="lv-LV"/>
              </w:rPr>
              <w:t>ar speciālajām dienesta pakāpēm</w:t>
            </w:r>
            <w:r>
              <w:rPr>
                <w:rFonts w:ascii="Times New Roman" w:eastAsia="Times New Roman" w:hAnsi="Times New Roman"/>
                <w:sz w:val="24"/>
                <w:szCs w:val="24"/>
                <w:lang w:eastAsia="lv-LV"/>
              </w:rPr>
              <w:t xml:space="preserve"> tuviniekiem. </w:t>
            </w:r>
            <w:r w:rsidR="00DA60E1">
              <w:rPr>
                <w:rFonts w:ascii="Times New Roman" w:eastAsia="Times New Roman" w:hAnsi="Times New Roman"/>
                <w:sz w:val="24"/>
                <w:szCs w:val="24"/>
                <w:lang w:eastAsia="lv-LV"/>
              </w:rPr>
              <w:t xml:space="preserve">Minēto personu tuvinieki saņems kompensācijas atbilstoši </w:t>
            </w:r>
            <w:r w:rsidR="00D3640C">
              <w:rPr>
                <w:rFonts w:ascii="Times New Roman" w:eastAsia="Times New Roman" w:hAnsi="Times New Roman"/>
                <w:sz w:val="24"/>
                <w:szCs w:val="24"/>
                <w:lang w:eastAsia="lv-LV"/>
              </w:rPr>
              <w:t xml:space="preserve">speciālajos </w:t>
            </w:r>
            <w:r w:rsidR="00DA60E1">
              <w:rPr>
                <w:rFonts w:ascii="Times New Roman" w:eastAsia="Times New Roman" w:hAnsi="Times New Roman"/>
                <w:sz w:val="24"/>
                <w:szCs w:val="24"/>
                <w:lang w:eastAsia="lv-LV"/>
              </w:rPr>
              <w:t>normatīvajos aktos noteiktajai kārtībai</w:t>
            </w:r>
            <w:r w:rsidR="00D3640C">
              <w:rPr>
                <w:rFonts w:ascii="Times New Roman" w:eastAsia="Times New Roman" w:hAnsi="Times New Roman"/>
                <w:sz w:val="24"/>
                <w:szCs w:val="24"/>
                <w:lang w:eastAsia="lv-LV"/>
              </w:rPr>
              <w:t xml:space="preserve"> un apmēriem</w:t>
            </w:r>
            <w:r w:rsidR="00DA60E1">
              <w:rPr>
                <w:rFonts w:ascii="Times New Roman" w:eastAsia="Times New Roman" w:hAnsi="Times New Roman"/>
                <w:sz w:val="24"/>
                <w:szCs w:val="24"/>
                <w:lang w:eastAsia="lv-LV"/>
              </w:rPr>
              <w:t>.</w:t>
            </w:r>
          </w:p>
          <w:p w:rsidR="00B61B49" w:rsidRPr="00B61B49" w:rsidRDefault="00C241E8" w:rsidP="004D72F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Vienreizējas kompensācijas izmaksās Valsts sociālās apdrošināšanas</w:t>
            </w:r>
            <w:r w:rsidR="002D28D3">
              <w:rPr>
                <w:rFonts w:ascii="Times New Roman" w:eastAsia="Times New Roman" w:hAnsi="Times New Roman"/>
                <w:sz w:val="24"/>
                <w:szCs w:val="24"/>
                <w:lang w:eastAsia="lv-LV"/>
              </w:rPr>
              <w:t xml:space="preserve"> aģentūra</w:t>
            </w:r>
            <w:r w:rsidR="00876952">
              <w:rPr>
                <w:rFonts w:ascii="Times New Roman" w:eastAsia="Times New Roman" w:hAnsi="Times New Roman"/>
                <w:sz w:val="24"/>
                <w:szCs w:val="24"/>
                <w:lang w:eastAsia="lv-LV"/>
              </w:rPr>
              <w:t>, kura</w:t>
            </w:r>
            <w:r w:rsidR="00E63846">
              <w:rPr>
                <w:rFonts w:ascii="Times New Roman" w:eastAsia="Times New Roman" w:hAnsi="Times New Roman"/>
                <w:sz w:val="24"/>
                <w:szCs w:val="24"/>
                <w:lang w:eastAsia="lv-LV"/>
              </w:rPr>
              <w:t xml:space="preserve"> iesniegumus par kompensācijas pieprasīšanu pieņems līdz 2014.gada 1.jūnijam. </w:t>
            </w:r>
            <w:r w:rsidR="002D28D3">
              <w:rPr>
                <w:rFonts w:ascii="Times New Roman" w:eastAsia="Times New Roman" w:hAnsi="Times New Roman"/>
                <w:sz w:val="24"/>
                <w:szCs w:val="24"/>
                <w:lang w:eastAsia="lv-LV"/>
              </w:rPr>
              <w:t>Ievērojot, ka kompensāciju izmaksa</w:t>
            </w:r>
            <w:r w:rsidR="00AC6B0F">
              <w:rPr>
                <w:rFonts w:ascii="Times New Roman" w:eastAsia="Times New Roman" w:hAnsi="Times New Roman"/>
                <w:sz w:val="24"/>
                <w:szCs w:val="24"/>
                <w:lang w:eastAsia="lv-LV"/>
              </w:rPr>
              <w:t xml:space="preserve"> traģēdijā bojā gājušo personu tuviniekiem</w:t>
            </w:r>
            <w:r w:rsidR="002D28D3">
              <w:rPr>
                <w:rFonts w:ascii="Times New Roman" w:eastAsia="Times New Roman" w:hAnsi="Times New Roman"/>
                <w:sz w:val="24"/>
                <w:szCs w:val="24"/>
                <w:lang w:eastAsia="lv-LV"/>
              </w:rPr>
              <w:t xml:space="preserve"> ir saistīta ar personu, kuras saņems kompensācijas</w:t>
            </w:r>
            <w:r w:rsidR="00AC6B0F">
              <w:rPr>
                <w:rFonts w:ascii="Times New Roman" w:eastAsia="Times New Roman" w:hAnsi="Times New Roman"/>
                <w:sz w:val="24"/>
                <w:szCs w:val="24"/>
                <w:lang w:eastAsia="lv-LV"/>
              </w:rPr>
              <w:t>,</w:t>
            </w:r>
            <w:r w:rsidR="002D28D3">
              <w:rPr>
                <w:rFonts w:ascii="Times New Roman" w:eastAsia="Times New Roman" w:hAnsi="Times New Roman"/>
                <w:sz w:val="24"/>
                <w:szCs w:val="24"/>
                <w:lang w:eastAsia="lv-LV"/>
              </w:rPr>
              <w:t xml:space="preserve"> identitātes pārbaudi</w:t>
            </w:r>
            <w:r w:rsidR="00AC6B0F">
              <w:rPr>
                <w:rFonts w:ascii="Times New Roman" w:eastAsia="Times New Roman" w:hAnsi="Times New Roman"/>
                <w:sz w:val="24"/>
                <w:szCs w:val="24"/>
                <w:lang w:eastAsia="lv-LV"/>
              </w:rPr>
              <w:t>,</w:t>
            </w:r>
            <w:r w:rsidR="002D28D3">
              <w:rPr>
                <w:rFonts w:ascii="Times New Roman" w:eastAsia="Times New Roman" w:hAnsi="Times New Roman"/>
                <w:sz w:val="24"/>
                <w:szCs w:val="24"/>
                <w:lang w:eastAsia="lv-LV"/>
              </w:rPr>
              <w:t xml:space="preserve"> </w:t>
            </w:r>
            <w:r w:rsidR="00725FD9">
              <w:rPr>
                <w:rFonts w:ascii="Times New Roman" w:eastAsia="Times New Roman" w:hAnsi="Times New Roman"/>
                <w:sz w:val="24"/>
                <w:szCs w:val="24"/>
                <w:lang w:eastAsia="lv-LV"/>
              </w:rPr>
              <w:t>un,</w:t>
            </w:r>
            <w:r w:rsidR="002D28D3">
              <w:rPr>
                <w:rFonts w:ascii="Times New Roman" w:eastAsia="Times New Roman" w:hAnsi="Times New Roman"/>
                <w:sz w:val="24"/>
                <w:szCs w:val="24"/>
                <w:lang w:eastAsia="lv-LV"/>
              </w:rPr>
              <w:t xml:space="preserve"> lai </w:t>
            </w:r>
            <w:r w:rsidR="00E63846">
              <w:rPr>
                <w:rFonts w:ascii="Times New Roman" w:eastAsia="Times New Roman" w:hAnsi="Times New Roman"/>
                <w:sz w:val="24"/>
                <w:szCs w:val="24"/>
                <w:lang w:eastAsia="lv-LV"/>
              </w:rPr>
              <w:t>pārliecinātos, ka visas tiesīgās personas ir iesniegušas iesniegumu</w:t>
            </w:r>
            <w:r w:rsidR="00876952">
              <w:rPr>
                <w:rFonts w:ascii="Times New Roman" w:eastAsia="Times New Roman" w:hAnsi="Times New Roman"/>
                <w:sz w:val="24"/>
                <w:szCs w:val="24"/>
                <w:lang w:eastAsia="lv-LV"/>
              </w:rPr>
              <w:t>, aģentūra</w:t>
            </w:r>
            <w:r w:rsidR="0093628F">
              <w:rPr>
                <w:rFonts w:ascii="Times New Roman" w:eastAsia="Times New Roman" w:hAnsi="Times New Roman"/>
                <w:sz w:val="24"/>
                <w:szCs w:val="24"/>
                <w:lang w:eastAsia="lv-LV"/>
              </w:rPr>
              <w:t xml:space="preserve"> tikai pēc </w:t>
            </w:r>
            <w:r w:rsidR="00876952">
              <w:rPr>
                <w:rFonts w:ascii="Times New Roman" w:eastAsia="Times New Roman" w:hAnsi="Times New Roman"/>
                <w:sz w:val="24"/>
                <w:szCs w:val="24"/>
                <w:lang w:eastAsia="lv-LV"/>
              </w:rPr>
              <w:t>2014.gada 1.jūnija</w:t>
            </w:r>
            <w:r w:rsidR="0093628F">
              <w:rPr>
                <w:rFonts w:ascii="Times New Roman" w:eastAsia="Times New Roman" w:hAnsi="Times New Roman"/>
                <w:sz w:val="24"/>
                <w:szCs w:val="24"/>
                <w:lang w:eastAsia="lv-LV"/>
              </w:rPr>
              <w:t xml:space="preserve"> uzsāks</w:t>
            </w:r>
            <w:r w:rsidR="00D74217">
              <w:rPr>
                <w:rFonts w:ascii="Times New Roman" w:eastAsia="Times New Roman" w:hAnsi="Times New Roman"/>
                <w:sz w:val="24"/>
                <w:szCs w:val="24"/>
                <w:lang w:eastAsia="lv-LV"/>
              </w:rPr>
              <w:t xml:space="preserve"> iesniegumu izskatī</w:t>
            </w:r>
            <w:r w:rsidR="0093628F">
              <w:rPr>
                <w:rFonts w:ascii="Times New Roman" w:eastAsia="Times New Roman" w:hAnsi="Times New Roman"/>
                <w:sz w:val="24"/>
                <w:szCs w:val="24"/>
                <w:lang w:eastAsia="lv-LV"/>
              </w:rPr>
              <w:t>šanu</w:t>
            </w:r>
            <w:r w:rsidR="00876952">
              <w:rPr>
                <w:rFonts w:ascii="Times New Roman" w:eastAsia="Times New Roman" w:hAnsi="Times New Roman"/>
                <w:sz w:val="24"/>
                <w:szCs w:val="24"/>
                <w:lang w:eastAsia="lv-LV"/>
              </w:rPr>
              <w:t>,</w:t>
            </w:r>
            <w:r w:rsidR="0093628F">
              <w:rPr>
                <w:rFonts w:ascii="Times New Roman" w:eastAsia="Times New Roman" w:hAnsi="Times New Roman"/>
                <w:sz w:val="24"/>
                <w:szCs w:val="24"/>
                <w:lang w:eastAsia="lv-LV"/>
              </w:rPr>
              <w:t xml:space="preserve"> un</w:t>
            </w:r>
            <w:r w:rsidR="00D74217">
              <w:rPr>
                <w:rFonts w:ascii="Times New Roman" w:eastAsia="Times New Roman" w:hAnsi="Times New Roman"/>
                <w:sz w:val="24"/>
                <w:szCs w:val="24"/>
                <w:lang w:eastAsia="lv-LV"/>
              </w:rPr>
              <w:t xml:space="preserve"> </w:t>
            </w:r>
            <w:r w:rsidR="004D72F0">
              <w:rPr>
                <w:rFonts w:ascii="Times New Roman" w:eastAsia="Times New Roman" w:hAnsi="Times New Roman"/>
                <w:sz w:val="24"/>
                <w:szCs w:val="24"/>
                <w:lang w:eastAsia="lv-LV"/>
              </w:rPr>
              <w:t>divu mēnešu laikā veiks izmaksu. Savukārt cietušās personas kompensāciju varēs saņemt viena mēneša laikā pēc iesnieguma iesniegšanas Valsts sociālās apdrošināšanas aģentūrā.</w:t>
            </w:r>
          </w:p>
        </w:tc>
      </w:tr>
      <w:tr w:rsidR="00174045" w:rsidRPr="00174045" w:rsidTr="00E94D25">
        <w:tc>
          <w:tcPr>
            <w:tcW w:w="25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5.</w:t>
            </w:r>
          </w:p>
        </w:tc>
        <w:tc>
          <w:tcPr>
            <w:tcW w:w="76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Projekta izstrādē iesaistītās institūcijas</w:t>
            </w:r>
          </w:p>
        </w:tc>
        <w:tc>
          <w:tcPr>
            <w:tcW w:w="3982" w:type="pct"/>
            <w:vAlign w:val="center"/>
          </w:tcPr>
          <w:p w:rsidR="00174045" w:rsidRPr="00174045" w:rsidRDefault="00174045" w:rsidP="00174045">
            <w:pPr>
              <w:spacing w:before="75" w:after="75" w:line="240" w:lineRule="auto"/>
              <w:jc w:val="both"/>
              <w:rPr>
                <w:rFonts w:ascii="Times New Roman" w:eastAsia="Times New Roman" w:hAnsi="Times New Roman"/>
                <w:sz w:val="24"/>
                <w:szCs w:val="24"/>
                <w:lang w:eastAsia="lv-LV"/>
              </w:rPr>
            </w:pPr>
            <w:r w:rsidRPr="00174045">
              <w:rPr>
                <w:rFonts w:ascii="Times New Roman" w:eastAsia="Times New Roman" w:hAnsi="Times New Roman"/>
                <w:iCs/>
                <w:sz w:val="24"/>
                <w:szCs w:val="24"/>
                <w:lang w:eastAsia="lv-LV"/>
              </w:rPr>
              <w:t>Projekta izstrādē netika iesaistītas citas institūcijas.</w:t>
            </w:r>
          </w:p>
        </w:tc>
      </w:tr>
      <w:tr w:rsidR="00174045" w:rsidRPr="00174045" w:rsidTr="00E94D25">
        <w:tc>
          <w:tcPr>
            <w:tcW w:w="25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6.</w:t>
            </w:r>
          </w:p>
        </w:tc>
        <w:tc>
          <w:tcPr>
            <w:tcW w:w="76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 xml:space="preserve">Iemesli, kādēļ netika nodrošināta sabiedrības </w:t>
            </w:r>
            <w:r w:rsidRPr="00174045">
              <w:rPr>
                <w:rFonts w:ascii="Times New Roman" w:eastAsia="Times New Roman" w:hAnsi="Times New Roman"/>
                <w:sz w:val="24"/>
                <w:szCs w:val="24"/>
                <w:lang w:eastAsia="lv-LV"/>
              </w:rPr>
              <w:lastRenderedPageBreak/>
              <w:t>līdzdalība</w:t>
            </w:r>
          </w:p>
        </w:tc>
        <w:tc>
          <w:tcPr>
            <w:tcW w:w="3982" w:type="pct"/>
            <w:vAlign w:val="center"/>
          </w:tcPr>
          <w:p w:rsidR="00174045" w:rsidRPr="00174045" w:rsidRDefault="00C241E8" w:rsidP="0017404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Tā kā vienreizēju kompensāciju piešķiršana ir valsts atbalsta pasākums traģēdijā cietušajiem, kuru nepieciešams risināt steidzami, sabiedrības līdzdalību projekta izstrādē nebija iespējams nodrošināt.</w:t>
            </w:r>
          </w:p>
        </w:tc>
      </w:tr>
      <w:tr w:rsidR="00174045" w:rsidRPr="00174045" w:rsidTr="00E94D25">
        <w:tc>
          <w:tcPr>
            <w:tcW w:w="25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lastRenderedPageBreak/>
              <w:t xml:space="preserve">7. </w:t>
            </w:r>
          </w:p>
        </w:tc>
        <w:tc>
          <w:tcPr>
            <w:tcW w:w="764"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Cita informācija</w:t>
            </w:r>
          </w:p>
        </w:tc>
        <w:tc>
          <w:tcPr>
            <w:tcW w:w="3982" w:type="pct"/>
          </w:tcPr>
          <w:p w:rsidR="00174045" w:rsidRPr="00174045" w:rsidRDefault="00174045" w:rsidP="00174045">
            <w:pPr>
              <w:spacing w:after="0" w:line="240" w:lineRule="auto"/>
              <w:jc w:val="both"/>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Nav.</w:t>
            </w:r>
          </w:p>
        </w:tc>
      </w:tr>
    </w:tbl>
    <w:p w:rsidR="00174045" w:rsidRPr="00174045" w:rsidRDefault="00174045" w:rsidP="00174045">
      <w:pPr>
        <w:spacing w:after="0" w:line="240" w:lineRule="auto"/>
        <w:rPr>
          <w:rFonts w:ascii="Times New Roman" w:eastAsia="Times New Roman" w:hAnsi="Times New Roman"/>
          <w:sz w:val="24"/>
          <w:szCs w:val="24"/>
          <w:lang w:eastAsia="lv-LV"/>
        </w:rPr>
      </w:pPr>
    </w:p>
    <w:tbl>
      <w:tblPr>
        <w:tblW w:w="503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
        <w:gridCol w:w="397"/>
        <w:gridCol w:w="1273"/>
        <w:gridCol w:w="1992"/>
        <w:gridCol w:w="767"/>
        <w:gridCol w:w="464"/>
        <w:gridCol w:w="36"/>
        <w:gridCol w:w="1404"/>
        <w:gridCol w:w="26"/>
        <w:gridCol w:w="1413"/>
        <w:gridCol w:w="17"/>
        <w:gridCol w:w="1428"/>
        <w:gridCol w:w="71"/>
      </w:tblGrid>
      <w:tr w:rsidR="003119E8" w:rsidRPr="003119E8" w:rsidTr="004D72F0">
        <w:trPr>
          <w:gridAfter w:val="1"/>
          <w:wAfter w:w="38" w:type="pct"/>
        </w:trPr>
        <w:tc>
          <w:tcPr>
            <w:tcW w:w="4962" w:type="pct"/>
            <w:gridSpan w:val="12"/>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 </w:t>
            </w:r>
            <w:r w:rsidRPr="003119E8">
              <w:rPr>
                <w:rFonts w:ascii="Times New Roman" w:eastAsia="Times New Roman" w:hAnsi="Times New Roman"/>
                <w:b/>
                <w:sz w:val="24"/>
                <w:szCs w:val="24"/>
                <w:lang w:eastAsia="lv-LV"/>
              </w:rPr>
              <w:t>III</w:t>
            </w:r>
            <w:r w:rsidRPr="003119E8">
              <w:rPr>
                <w:rFonts w:ascii="Times New Roman" w:eastAsia="Times New Roman" w:hAnsi="Times New Roman"/>
                <w:sz w:val="24"/>
                <w:szCs w:val="24"/>
                <w:lang w:eastAsia="lv-LV"/>
              </w:rPr>
              <w:t xml:space="preserve"> </w:t>
            </w:r>
            <w:r w:rsidRPr="003119E8">
              <w:rPr>
                <w:rFonts w:ascii="Times New Roman" w:eastAsia="Times New Roman" w:hAnsi="Times New Roman"/>
                <w:b/>
                <w:bCs/>
                <w:sz w:val="24"/>
                <w:szCs w:val="24"/>
                <w:lang w:eastAsia="lv-LV"/>
              </w:rPr>
              <w:t xml:space="preserve">Tiesību </w:t>
            </w:r>
            <w:smartTag w:uri="schemas-tilde-lv/tildestengine" w:element="veidnes">
              <w:smartTagPr>
                <w:attr w:name="text" w:val="akta"/>
                <w:attr w:name="id" w:val="-1"/>
                <w:attr w:name="baseform" w:val="akt|s"/>
              </w:smartTagPr>
              <w:r w:rsidRPr="003119E8">
                <w:rPr>
                  <w:rFonts w:ascii="Times New Roman" w:eastAsia="Times New Roman" w:hAnsi="Times New Roman"/>
                  <w:b/>
                  <w:bCs/>
                  <w:sz w:val="24"/>
                  <w:szCs w:val="24"/>
                  <w:lang w:eastAsia="lv-LV"/>
                </w:rPr>
                <w:t>akta</w:t>
              </w:r>
            </w:smartTag>
            <w:r w:rsidRPr="003119E8">
              <w:rPr>
                <w:rFonts w:ascii="Times New Roman" w:eastAsia="Times New Roman" w:hAnsi="Times New Roman"/>
                <w:b/>
                <w:bCs/>
                <w:sz w:val="24"/>
                <w:szCs w:val="24"/>
                <w:lang w:eastAsia="lv-LV"/>
              </w:rPr>
              <w:t xml:space="preserve"> projekta ietekme uz valsts budžetu un pašvaldību budžetiem</w:t>
            </w:r>
          </w:p>
        </w:tc>
      </w:tr>
      <w:tr w:rsidR="003119E8" w:rsidRPr="003119E8" w:rsidTr="004D72F0">
        <w:trPr>
          <w:gridAfter w:val="1"/>
          <w:wAfter w:w="38" w:type="pct"/>
        </w:trPr>
        <w:tc>
          <w:tcPr>
            <w:tcW w:w="2671" w:type="pct"/>
            <w:gridSpan w:val="7"/>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2291" w:type="pct"/>
            <w:gridSpan w:val="5"/>
            <w:vAlign w:val="center"/>
          </w:tcPr>
          <w:p w:rsidR="003119E8" w:rsidRPr="006A618E" w:rsidRDefault="0084474A" w:rsidP="006A618E">
            <w:pPr>
              <w:spacing w:after="0" w:line="240" w:lineRule="auto"/>
              <w:jc w:val="center"/>
              <w:rPr>
                <w:rFonts w:ascii="Times New Roman" w:eastAsia="Times New Roman" w:hAnsi="Times New Roman"/>
                <w:b/>
                <w:sz w:val="24"/>
                <w:szCs w:val="24"/>
                <w:lang w:eastAsia="lv-LV"/>
              </w:rPr>
            </w:pPr>
            <w:r w:rsidRPr="0084474A">
              <w:rPr>
                <w:rFonts w:ascii="Times New Roman" w:eastAsia="Times New Roman" w:hAnsi="Times New Roman"/>
                <w:b/>
                <w:sz w:val="24"/>
                <w:szCs w:val="24"/>
                <w:lang w:eastAsia="lv-LV"/>
              </w:rPr>
              <w:t>(tūkst. latu)</w:t>
            </w:r>
          </w:p>
        </w:tc>
      </w:tr>
      <w:tr w:rsidR="003119E8" w:rsidRPr="003119E8" w:rsidTr="004D72F0">
        <w:trPr>
          <w:gridAfter w:val="1"/>
          <w:wAfter w:w="38" w:type="pct"/>
        </w:trPr>
        <w:tc>
          <w:tcPr>
            <w:tcW w:w="930" w:type="pct"/>
            <w:gridSpan w:val="3"/>
            <w:vMerge w:val="restart"/>
            <w:vAlign w:val="bottom"/>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b/>
                <w:sz w:val="24"/>
                <w:szCs w:val="24"/>
                <w:lang w:eastAsia="lv-LV"/>
              </w:rPr>
              <w:t>Rādītāji</w:t>
            </w:r>
          </w:p>
        </w:tc>
        <w:tc>
          <w:tcPr>
            <w:tcW w:w="1741" w:type="pct"/>
            <w:gridSpan w:val="4"/>
            <w:vMerge w:val="restart"/>
            <w:vAlign w:val="bottom"/>
          </w:tcPr>
          <w:p w:rsidR="003119E8" w:rsidRPr="003119E8" w:rsidRDefault="003119E8" w:rsidP="006A618E">
            <w:pPr>
              <w:spacing w:after="0" w:line="240" w:lineRule="auto"/>
              <w:jc w:val="center"/>
              <w:rPr>
                <w:rFonts w:ascii="Times New Roman" w:eastAsia="Times New Roman" w:hAnsi="Times New Roman"/>
                <w:sz w:val="24"/>
                <w:szCs w:val="24"/>
                <w:lang w:eastAsia="lv-LV"/>
              </w:rPr>
            </w:pPr>
            <w:r w:rsidRPr="003119E8">
              <w:rPr>
                <w:rFonts w:ascii="Times New Roman" w:eastAsia="Times New Roman" w:hAnsi="Times New Roman"/>
                <w:b/>
                <w:sz w:val="24"/>
                <w:szCs w:val="24"/>
                <w:lang w:eastAsia="lv-LV"/>
              </w:rPr>
              <w:t>2013</w:t>
            </w:r>
            <w:r w:rsidR="006A618E">
              <w:rPr>
                <w:rFonts w:ascii="Times New Roman" w:eastAsia="Times New Roman" w:hAnsi="Times New Roman"/>
                <w:b/>
                <w:sz w:val="24"/>
                <w:szCs w:val="24"/>
                <w:lang w:eastAsia="lv-LV"/>
              </w:rPr>
              <w:t xml:space="preserve"> (</w:t>
            </w:r>
            <w:r w:rsidR="006A618E" w:rsidRPr="006A618E">
              <w:rPr>
                <w:rFonts w:ascii="Times New Roman" w:eastAsia="Times New Roman" w:hAnsi="Times New Roman"/>
                <w:b/>
                <w:sz w:val="24"/>
                <w:szCs w:val="24"/>
                <w:lang w:eastAsia="lv-LV"/>
              </w:rPr>
              <w:t xml:space="preserve">tūkst. </w:t>
            </w:r>
            <w:r w:rsidR="006A618E">
              <w:rPr>
                <w:rFonts w:ascii="Times New Roman" w:eastAsia="Times New Roman" w:hAnsi="Times New Roman"/>
                <w:b/>
                <w:sz w:val="24"/>
                <w:szCs w:val="24"/>
                <w:lang w:eastAsia="lv-LV"/>
              </w:rPr>
              <w:t>l</w:t>
            </w:r>
            <w:r w:rsidR="006A618E" w:rsidRPr="006A618E">
              <w:rPr>
                <w:rFonts w:ascii="Times New Roman" w:eastAsia="Times New Roman" w:hAnsi="Times New Roman"/>
                <w:b/>
                <w:sz w:val="24"/>
                <w:szCs w:val="24"/>
                <w:lang w:eastAsia="lv-LV"/>
              </w:rPr>
              <w:t>atu</w:t>
            </w:r>
            <w:r w:rsidR="006A618E">
              <w:rPr>
                <w:rFonts w:ascii="Times New Roman" w:eastAsia="Times New Roman" w:hAnsi="Times New Roman"/>
                <w:b/>
                <w:sz w:val="24"/>
                <w:szCs w:val="24"/>
                <w:lang w:eastAsia="lv-LV"/>
              </w:rPr>
              <w:t>)</w:t>
            </w:r>
          </w:p>
        </w:tc>
        <w:tc>
          <w:tcPr>
            <w:tcW w:w="2291" w:type="pct"/>
            <w:gridSpan w:val="5"/>
            <w:vAlign w:val="center"/>
          </w:tcPr>
          <w:p w:rsidR="003119E8" w:rsidRPr="003119E8" w:rsidRDefault="003119E8" w:rsidP="00C950E0">
            <w:pPr>
              <w:spacing w:after="0" w:line="240" w:lineRule="auto"/>
              <w:jc w:val="center"/>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Turpmākie trīs gadi</w:t>
            </w:r>
          </w:p>
        </w:tc>
      </w:tr>
      <w:tr w:rsidR="003119E8" w:rsidRPr="003119E8" w:rsidTr="004D72F0">
        <w:trPr>
          <w:gridAfter w:val="1"/>
          <w:wAfter w:w="38" w:type="pct"/>
        </w:trPr>
        <w:tc>
          <w:tcPr>
            <w:tcW w:w="930" w:type="pct"/>
            <w:gridSpan w:val="3"/>
            <w:vMerge/>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1741" w:type="pct"/>
            <w:gridSpan w:val="4"/>
            <w:vMerge/>
          </w:tcPr>
          <w:p w:rsidR="003119E8" w:rsidRPr="003119E8" w:rsidRDefault="003119E8" w:rsidP="003119E8">
            <w:pPr>
              <w:spacing w:after="0" w:line="240" w:lineRule="auto"/>
              <w:rPr>
                <w:rFonts w:ascii="Times New Roman" w:eastAsia="Times New Roman" w:hAnsi="Times New Roman"/>
                <w:b/>
                <w:sz w:val="24"/>
                <w:szCs w:val="24"/>
                <w:lang w:eastAsia="lv-LV"/>
              </w:rPr>
            </w:pPr>
          </w:p>
        </w:tc>
        <w:tc>
          <w:tcPr>
            <w:tcW w:w="764" w:type="pct"/>
            <w:gridSpan w:val="2"/>
            <w:vAlign w:val="bottom"/>
          </w:tcPr>
          <w:p w:rsidR="003119E8" w:rsidRPr="003119E8" w:rsidRDefault="003119E8" w:rsidP="00C95CE0">
            <w:pPr>
              <w:spacing w:after="0" w:line="240" w:lineRule="auto"/>
              <w:jc w:val="center"/>
              <w:rPr>
                <w:rFonts w:ascii="Times New Roman" w:eastAsia="Times New Roman" w:hAnsi="Times New Roman"/>
                <w:b/>
                <w:i/>
                <w:sz w:val="24"/>
                <w:szCs w:val="24"/>
                <w:lang w:eastAsia="lv-LV"/>
              </w:rPr>
            </w:pPr>
            <w:r w:rsidRPr="003119E8">
              <w:rPr>
                <w:rFonts w:ascii="Times New Roman" w:eastAsia="Times New Roman" w:hAnsi="Times New Roman"/>
                <w:b/>
                <w:bCs/>
                <w:sz w:val="24"/>
                <w:szCs w:val="24"/>
                <w:lang w:eastAsia="lv-LV"/>
              </w:rPr>
              <w:t>2014</w:t>
            </w:r>
          </w:p>
        </w:tc>
        <w:tc>
          <w:tcPr>
            <w:tcW w:w="764" w:type="pct"/>
            <w:gridSpan w:val="2"/>
            <w:vAlign w:val="bottom"/>
          </w:tcPr>
          <w:p w:rsidR="003119E8" w:rsidRPr="003119E8" w:rsidRDefault="003119E8" w:rsidP="00C95CE0">
            <w:pPr>
              <w:spacing w:after="0" w:line="240" w:lineRule="auto"/>
              <w:jc w:val="center"/>
              <w:rPr>
                <w:rFonts w:ascii="Times New Roman" w:eastAsia="Times New Roman" w:hAnsi="Times New Roman"/>
                <w:b/>
                <w:i/>
                <w:sz w:val="24"/>
                <w:szCs w:val="24"/>
                <w:lang w:eastAsia="lv-LV"/>
              </w:rPr>
            </w:pPr>
            <w:r w:rsidRPr="003119E8">
              <w:rPr>
                <w:rFonts w:ascii="Times New Roman" w:eastAsia="Times New Roman" w:hAnsi="Times New Roman"/>
                <w:b/>
                <w:bCs/>
                <w:sz w:val="24"/>
                <w:szCs w:val="24"/>
                <w:lang w:eastAsia="lv-LV"/>
              </w:rPr>
              <w:t>2015</w:t>
            </w:r>
          </w:p>
        </w:tc>
        <w:tc>
          <w:tcPr>
            <w:tcW w:w="763" w:type="pct"/>
            <w:vAlign w:val="bottom"/>
          </w:tcPr>
          <w:p w:rsidR="003119E8" w:rsidRPr="003119E8" w:rsidRDefault="003119E8" w:rsidP="00C95CE0">
            <w:pPr>
              <w:spacing w:after="0" w:line="240" w:lineRule="auto"/>
              <w:jc w:val="center"/>
              <w:rPr>
                <w:rFonts w:ascii="Times New Roman" w:eastAsia="Times New Roman" w:hAnsi="Times New Roman"/>
                <w:b/>
                <w:i/>
                <w:sz w:val="24"/>
                <w:szCs w:val="24"/>
                <w:lang w:eastAsia="lv-LV"/>
              </w:rPr>
            </w:pPr>
            <w:r w:rsidRPr="003119E8">
              <w:rPr>
                <w:rFonts w:ascii="Times New Roman" w:eastAsia="Times New Roman" w:hAnsi="Times New Roman"/>
                <w:b/>
                <w:bCs/>
                <w:sz w:val="24"/>
                <w:szCs w:val="24"/>
                <w:lang w:eastAsia="lv-LV"/>
              </w:rPr>
              <w:t>2016</w:t>
            </w:r>
          </w:p>
        </w:tc>
      </w:tr>
      <w:tr w:rsidR="003119E8" w:rsidRPr="003119E8" w:rsidTr="004D72F0">
        <w:trPr>
          <w:gridAfter w:val="1"/>
          <w:wAfter w:w="38" w:type="pct"/>
        </w:trPr>
        <w:tc>
          <w:tcPr>
            <w:tcW w:w="930" w:type="pct"/>
            <w:gridSpan w:val="3"/>
            <w:vMerge/>
            <w:vAlign w:val="bottom"/>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1064" w:type="pct"/>
            <w:vAlign w:val="bottom"/>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Saskaņā ar valsts budžetu kārtējam gadam</w:t>
            </w:r>
          </w:p>
        </w:tc>
        <w:tc>
          <w:tcPr>
            <w:tcW w:w="676" w:type="pct"/>
            <w:gridSpan w:val="3"/>
            <w:vAlign w:val="bottom"/>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Izmaiņas kārtējā gadā salīdzinot ar budžetu kārtējam gadam</w:t>
            </w:r>
          </w:p>
        </w:tc>
        <w:tc>
          <w:tcPr>
            <w:tcW w:w="764" w:type="pct"/>
            <w:gridSpan w:val="2"/>
            <w:vAlign w:val="bottom"/>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Izmaiņas salīdzinot ar kārtējo (n) gadu</w:t>
            </w:r>
          </w:p>
        </w:tc>
        <w:tc>
          <w:tcPr>
            <w:tcW w:w="764" w:type="pct"/>
            <w:gridSpan w:val="2"/>
            <w:vAlign w:val="bottom"/>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Izmaiņas salīdzinot ar kārtējo (n) gadu</w:t>
            </w:r>
          </w:p>
        </w:tc>
        <w:tc>
          <w:tcPr>
            <w:tcW w:w="763" w:type="pct"/>
            <w:vAlign w:val="bottom"/>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Izmaiņas salīdzinot ar kārtējo (n) gadu</w:t>
            </w:r>
          </w:p>
        </w:tc>
      </w:tr>
      <w:tr w:rsidR="003119E8" w:rsidRPr="003119E8" w:rsidTr="004D72F0">
        <w:trPr>
          <w:gridAfter w:val="1"/>
          <w:wAfter w:w="38" w:type="pct"/>
          <w:trHeight w:val="388"/>
        </w:trPr>
        <w:tc>
          <w:tcPr>
            <w:tcW w:w="930" w:type="pct"/>
            <w:gridSpan w:val="3"/>
          </w:tcPr>
          <w:p w:rsidR="003119E8" w:rsidRPr="003119E8" w:rsidRDefault="003119E8" w:rsidP="003119E8">
            <w:pPr>
              <w:spacing w:after="0" w:line="240" w:lineRule="auto"/>
              <w:rPr>
                <w:rFonts w:ascii="Times New Roman" w:eastAsia="Times New Roman" w:hAnsi="Times New Roman"/>
                <w:b/>
                <w:sz w:val="24"/>
                <w:szCs w:val="24"/>
                <w:lang w:eastAsia="lv-LV"/>
              </w:rPr>
            </w:pPr>
            <w:r w:rsidRPr="003119E8">
              <w:rPr>
                <w:rFonts w:ascii="Times New Roman" w:eastAsia="Times New Roman" w:hAnsi="Times New Roman"/>
                <w:b/>
                <w:sz w:val="24"/>
                <w:szCs w:val="24"/>
                <w:lang w:eastAsia="lv-LV"/>
              </w:rPr>
              <w:t>1</w:t>
            </w:r>
          </w:p>
        </w:tc>
        <w:tc>
          <w:tcPr>
            <w:tcW w:w="1064" w:type="pct"/>
          </w:tcPr>
          <w:p w:rsidR="003119E8" w:rsidRPr="003119E8" w:rsidRDefault="003119E8" w:rsidP="003119E8">
            <w:pPr>
              <w:spacing w:after="0" w:line="240" w:lineRule="auto"/>
              <w:rPr>
                <w:rFonts w:ascii="Times New Roman" w:eastAsia="Times New Roman" w:hAnsi="Times New Roman"/>
                <w:b/>
                <w:sz w:val="24"/>
                <w:szCs w:val="24"/>
                <w:lang w:eastAsia="lv-LV"/>
              </w:rPr>
            </w:pPr>
            <w:r w:rsidRPr="003119E8">
              <w:rPr>
                <w:rFonts w:ascii="Times New Roman" w:eastAsia="Times New Roman" w:hAnsi="Times New Roman"/>
                <w:b/>
                <w:sz w:val="24"/>
                <w:szCs w:val="24"/>
                <w:lang w:eastAsia="lv-LV"/>
              </w:rPr>
              <w:t>2</w:t>
            </w:r>
          </w:p>
        </w:tc>
        <w:tc>
          <w:tcPr>
            <w:tcW w:w="676" w:type="pct"/>
            <w:gridSpan w:val="3"/>
          </w:tcPr>
          <w:p w:rsidR="003119E8" w:rsidRPr="003119E8" w:rsidRDefault="003119E8" w:rsidP="003119E8">
            <w:pPr>
              <w:spacing w:after="0" w:line="240" w:lineRule="auto"/>
              <w:rPr>
                <w:rFonts w:ascii="Times New Roman" w:eastAsia="Times New Roman" w:hAnsi="Times New Roman"/>
                <w:b/>
                <w:sz w:val="24"/>
                <w:szCs w:val="24"/>
                <w:lang w:eastAsia="lv-LV"/>
              </w:rPr>
            </w:pPr>
            <w:r w:rsidRPr="003119E8">
              <w:rPr>
                <w:rFonts w:ascii="Times New Roman" w:eastAsia="Times New Roman" w:hAnsi="Times New Roman"/>
                <w:b/>
                <w:sz w:val="24"/>
                <w:szCs w:val="24"/>
                <w:lang w:eastAsia="lv-LV"/>
              </w:rPr>
              <w:t>3</w:t>
            </w:r>
          </w:p>
        </w:tc>
        <w:tc>
          <w:tcPr>
            <w:tcW w:w="764" w:type="pct"/>
            <w:gridSpan w:val="2"/>
          </w:tcPr>
          <w:p w:rsidR="003119E8" w:rsidRPr="003119E8" w:rsidRDefault="003119E8" w:rsidP="003119E8">
            <w:pPr>
              <w:spacing w:after="0" w:line="240" w:lineRule="auto"/>
              <w:rPr>
                <w:rFonts w:ascii="Times New Roman" w:eastAsia="Times New Roman" w:hAnsi="Times New Roman"/>
                <w:b/>
                <w:sz w:val="24"/>
                <w:szCs w:val="24"/>
                <w:lang w:eastAsia="lv-LV"/>
              </w:rPr>
            </w:pPr>
            <w:r w:rsidRPr="003119E8">
              <w:rPr>
                <w:rFonts w:ascii="Times New Roman" w:eastAsia="Times New Roman" w:hAnsi="Times New Roman"/>
                <w:b/>
                <w:sz w:val="24"/>
                <w:szCs w:val="24"/>
                <w:lang w:eastAsia="lv-LV"/>
              </w:rPr>
              <w:t>4</w:t>
            </w:r>
          </w:p>
        </w:tc>
        <w:tc>
          <w:tcPr>
            <w:tcW w:w="764" w:type="pct"/>
            <w:gridSpan w:val="2"/>
          </w:tcPr>
          <w:p w:rsidR="003119E8" w:rsidRPr="003119E8" w:rsidRDefault="003119E8" w:rsidP="003119E8">
            <w:pPr>
              <w:spacing w:after="0" w:line="240" w:lineRule="auto"/>
              <w:rPr>
                <w:rFonts w:ascii="Times New Roman" w:eastAsia="Times New Roman" w:hAnsi="Times New Roman"/>
                <w:b/>
                <w:sz w:val="24"/>
                <w:szCs w:val="24"/>
                <w:lang w:eastAsia="lv-LV"/>
              </w:rPr>
            </w:pPr>
            <w:r w:rsidRPr="003119E8">
              <w:rPr>
                <w:rFonts w:ascii="Times New Roman" w:eastAsia="Times New Roman" w:hAnsi="Times New Roman"/>
                <w:b/>
                <w:sz w:val="24"/>
                <w:szCs w:val="24"/>
                <w:lang w:eastAsia="lv-LV"/>
              </w:rPr>
              <w:t>5</w:t>
            </w:r>
          </w:p>
        </w:tc>
        <w:tc>
          <w:tcPr>
            <w:tcW w:w="763" w:type="pct"/>
          </w:tcPr>
          <w:p w:rsidR="003119E8" w:rsidRPr="003119E8" w:rsidRDefault="003119E8" w:rsidP="003119E8">
            <w:pPr>
              <w:spacing w:after="0" w:line="240" w:lineRule="auto"/>
              <w:rPr>
                <w:rFonts w:ascii="Times New Roman" w:eastAsia="Times New Roman" w:hAnsi="Times New Roman"/>
                <w:b/>
                <w:sz w:val="24"/>
                <w:szCs w:val="24"/>
                <w:lang w:eastAsia="lv-LV"/>
              </w:rPr>
            </w:pPr>
            <w:r w:rsidRPr="003119E8">
              <w:rPr>
                <w:rFonts w:ascii="Times New Roman" w:eastAsia="Times New Roman" w:hAnsi="Times New Roman"/>
                <w:b/>
                <w:sz w:val="24"/>
                <w:szCs w:val="24"/>
                <w:lang w:eastAsia="lv-LV"/>
              </w:rPr>
              <w:t>6</w:t>
            </w:r>
          </w:p>
        </w:tc>
      </w:tr>
      <w:tr w:rsidR="003119E8" w:rsidRPr="003119E8" w:rsidTr="004D72F0">
        <w:trPr>
          <w:gridAfter w:val="1"/>
          <w:wAfter w:w="38" w:type="pct"/>
        </w:trPr>
        <w:tc>
          <w:tcPr>
            <w:tcW w:w="930" w:type="pct"/>
            <w:gridSpan w:val="3"/>
          </w:tcPr>
          <w:p w:rsidR="003119E8" w:rsidRPr="003119E8" w:rsidRDefault="003119E8" w:rsidP="003119E8">
            <w:pPr>
              <w:spacing w:after="0" w:line="240" w:lineRule="auto"/>
              <w:rPr>
                <w:rFonts w:ascii="Times New Roman" w:eastAsia="Times New Roman" w:hAnsi="Times New Roman"/>
                <w:b/>
                <w:i/>
                <w:sz w:val="24"/>
                <w:szCs w:val="24"/>
                <w:lang w:eastAsia="lv-LV"/>
              </w:rPr>
            </w:pPr>
            <w:r w:rsidRPr="003119E8">
              <w:rPr>
                <w:rFonts w:ascii="Times New Roman" w:eastAsia="Times New Roman" w:hAnsi="Times New Roman"/>
                <w:b/>
                <w:sz w:val="24"/>
                <w:szCs w:val="24"/>
                <w:lang w:eastAsia="lv-LV"/>
              </w:rPr>
              <w:t>1. Budžeta ieņēmumi:</w:t>
            </w:r>
          </w:p>
        </w:tc>
        <w:tc>
          <w:tcPr>
            <w:tcW w:w="1064" w:type="pct"/>
          </w:tcPr>
          <w:p w:rsidR="003119E8" w:rsidRPr="003119E8" w:rsidRDefault="0084474A" w:rsidP="003119E8">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c>
          <w:tcPr>
            <w:tcW w:w="676" w:type="pct"/>
            <w:gridSpan w:val="3"/>
          </w:tcPr>
          <w:p w:rsidR="003119E8" w:rsidRPr="003119E8" w:rsidRDefault="00AD2FD2" w:rsidP="00AD2FD2">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64" w:type="pct"/>
            <w:gridSpan w:val="2"/>
            <w:vAlign w:val="center"/>
          </w:tcPr>
          <w:p w:rsidR="003119E8" w:rsidRPr="003119E8" w:rsidRDefault="00AD2FD2" w:rsidP="003119E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64" w:type="pct"/>
            <w:gridSpan w:val="2"/>
            <w:vAlign w:val="center"/>
          </w:tcPr>
          <w:p w:rsidR="003119E8" w:rsidRPr="003119E8" w:rsidRDefault="00AD2FD2" w:rsidP="003119E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63" w:type="pct"/>
            <w:vAlign w:val="center"/>
          </w:tcPr>
          <w:p w:rsidR="003119E8" w:rsidRPr="003119E8" w:rsidRDefault="00AD2FD2" w:rsidP="003119E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3119E8" w:rsidRPr="003119E8" w:rsidTr="004D72F0">
        <w:trPr>
          <w:gridAfter w:val="1"/>
          <w:wAfter w:w="38" w:type="pct"/>
        </w:trPr>
        <w:tc>
          <w:tcPr>
            <w:tcW w:w="930"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1.1. valsts pamatbudžets, tai skaitā ieņēmumi no maksas pakalpojumiem un citi pašu ieņēmumi;</w:t>
            </w:r>
          </w:p>
        </w:tc>
        <w:tc>
          <w:tcPr>
            <w:tcW w:w="1064" w:type="pct"/>
          </w:tcPr>
          <w:p w:rsidR="003119E8" w:rsidRPr="003119E8" w:rsidRDefault="0084474A" w:rsidP="003119E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676" w:type="pct"/>
            <w:gridSpan w:val="3"/>
          </w:tcPr>
          <w:p w:rsidR="003119E8" w:rsidRPr="003119E8" w:rsidRDefault="00AD2FD2" w:rsidP="00AD2FD2">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64" w:type="pct"/>
            <w:gridSpan w:val="2"/>
            <w:vAlign w:val="center"/>
          </w:tcPr>
          <w:p w:rsidR="003119E8" w:rsidRPr="003119E8" w:rsidRDefault="00AD2FD2" w:rsidP="003119E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64" w:type="pct"/>
            <w:gridSpan w:val="2"/>
            <w:vAlign w:val="center"/>
          </w:tcPr>
          <w:p w:rsidR="003119E8" w:rsidRPr="003119E8" w:rsidRDefault="00AD2FD2" w:rsidP="003119E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763" w:type="pct"/>
            <w:vAlign w:val="center"/>
          </w:tcPr>
          <w:p w:rsidR="003119E8" w:rsidRPr="003119E8" w:rsidRDefault="00AD2FD2" w:rsidP="003119E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3119E8" w:rsidRPr="003119E8" w:rsidTr="004D72F0">
        <w:trPr>
          <w:gridAfter w:val="1"/>
          <w:wAfter w:w="38" w:type="pct"/>
        </w:trPr>
        <w:tc>
          <w:tcPr>
            <w:tcW w:w="930" w:type="pct"/>
            <w:gridSpan w:val="3"/>
          </w:tcPr>
          <w:p w:rsidR="003119E8" w:rsidRPr="003119E8" w:rsidRDefault="003119E8" w:rsidP="003119E8">
            <w:pPr>
              <w:spacing w:after="0" w:line="240" w:lineRule="auto"/>
              <w:rPr>
                <w:rFonts w:ascii="Times New Roman" w:eastAsia="Times New Roman" w:hAnsi="Times New Roman"/>
                <w:i/>
                <w:sz w:val="24"/>
                <w:szCs w:val="24"/>
                <w:lang w:eastAsia="lv-LV"/>
              </w:rPr>
            </w:pPr>
            <w:r w:rsidRPr="003119E8">
              <w:rPr>
                <w:rFonts w:ascii="Times New Roman" w:eastAsia="Times New Roman" w:hAnsi="Times New Roman"/>
                <w:sz w:val="24"/>
                <w:szCs w:val="24"/>
                <w:lang w:eastAsia="lv-LV"/>
              </w:rPr>
              <w:t>1.2. valsts speciālais budžets</w:t>
            </w:r>
          </w:p>
        </w:tc>
        <w:tc>
          <w:tcPr>
            <w:tcW w:w="4031" w:type="pct"/>
            <w:gridSpan w:val="9"/>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Projekts šo jomu neskar.</w:t>
            </w:r>
          </w:p>
        </w:tc>
      </w:tr>
      <w:tr w:rsidR="003119E8" w:rsidRPr="003119E8" w:rsidTr="004D72F0">
        <w:trPr>
          <w:gridAfter w:val="1"/>
          <w:wAfter w:w="38" w:type="pct"/>
        </w:trPr>
        <w:tc>
          <w:tcPr>
            <w:tcW w:w="930"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1.3. pašvaldību budžets</w:t>
            </w:r>
          </w:p>
        </w:tc>
        <w:tc>
          <w:tcPr>
            <w:tcW w:w="4031" w:type="pct"/>
            <w:gridSpan w:val="9"/>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Projekts šo jomu neskar.</w:t>
            </w:r>
          </w:p>
        </w:tc>
      </w:tr>
      <w:tr w:rsidR="003119E8" w:rsidRPr="003119E8" w:rsidTr="004D72F0">
        <w:trPr>
          <w:gridAfter w:val="1"/>
          <w:wAfter w:w="38" w:type="pct"/>
        </w:trPr>
        <w:tc>
          <w:tcPr>
            <w:tcW w:w="930" w:type="pct"/>
            <w:gridSpan w:val="3"/>
          </w:tcPr>
          <w:p w:rsidR="003119E8" w:rsidRPr="003119E8" w:rsidRDefault="003119E8" w:rsidP="003119E8">
            <w:pPr>
              <w:spacing w:after="0" w:line="240" w:lineRule="auto"/>
              <w:rPr>
                <w:rFonts w:ascii="Times New Roman" w:eastAsia="Times New Roman" w:hAnsi="Times New Roman"/>
                <w:b/>
                <w:sz w:val="24"/>
                <w:szCs w:val="24"/>
                <w:lang w:eastAsia="lv-LV"/>
              </w:rPr>
            </w:pPr>
            <w:r w:rsidRPr="003119E8">
              <w:rPr>
                <w:rFonts w:ascii="Times New Roman" w:eastAsia="Times New Roman" w:hAnsi="Times New Roman"/>
                <w:b/>
                <w:sz w:val="24"/>
                <w:szCs w:val="24"/>
                <w:lang w:eastAsia="lv-LV"/>
              </w:rPr>
              <w:t>2. Budžeta izdevumi:</w:t>
            </w:r>
          </w:p>
        </w:tc>
        <w:tc>
          <w:tcPr>
            <w:tcW w:w="1064" w:type="pct"/>
          </w:tcPr>
          <w:p w:rsidR="003119E8" w:rsidRPr="003119E8" w:rsidRDefault="0084474A" w:rsidP="003119E8">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w:t>
            </w:r>
          </w:p>
        </w:tc>
        <w:tc>
          <w:tcPr>
            <w:tcW w:w="676" w:type="pct"/>
            <w:gridSpan w:val="3"/>
          </w:tcPr>
          <w:p w:rsidR="003119E8" w:rsidRPr="003119E8" w:rsidRDefault="00AD2FD2" w:rsidP="00076CEF">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w:t>
            </w:r>
            <w:r w:rsidR="00076CEF">
              <w:rPr>
                <w:rFonts w:ascii="Times New Roman" w:eastAsia="Times New Roman" w:hAnsi="Times New Roman"/>
                <w:b/>
                <w:sz w:val="24"/>
                <w:szCs w:val="24"/>
                <w:lang w:eastAsia="lv-LV"/>
              </w:rPr>
              <w:t>200,0</w:t>
            </w:r>
          </w:p>
        </w:tc>
        <w:tc>
          <w:tcPr>
            <w:tcW w:w="764" w:type="pct"/>
            <w:gridSpan w:val="2"/>
          </w:tcPr>
          <w:p w:rsidR="003119E8" w:rsidRPr="003119E8" w:rsidRDefault="00AD2FD2" w:rsidP="0084474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84474A">
              <w:rPr>
                <w:rFonts w:ascii="Times New Roman" w:eastAsia="Times New Roman" w:hAnsi="Times New Roman"/>
                <w:sz w:val="24"/>
                <w:szCs w:val="24"/>
                <w:lang w:eastAsia="lv-LV"/>
              </w:rPr>
              <w:t>510,0</w:t>
            </w:r>
          </w:p>
        </w:tc>
        <w:tc>
          <w:tcPr>
            <w:tcW w:w="764" w:type="pct"/>
            <w:gridSpan w:val="2"/>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763" w:type="pct"/>
          </w:tcPr>
          <w:p w:rsidR="003119E8" w:rsidRPr="003119E8" w:rsidRDefault="003119E8" w:rsidP="003119E8">
            <w:pPr>
              <w:spacing w:after="0" w:line="240" w:lineRule="auto"/>
              <w:rPr>
                <w:rFonts w:ascii="Times New Roman" w:eastAsia="Times New Roman" w:hAnsi="Times New Roman"/>
                <w:sz w:val="24"/>
                <w:szCs w:val="24"/>
                <w:lang w:eastAsia="lv-LV"/>
              </w:rPr>
            </w:pPr>
          </w:p>
        </w:tc>
      </w:tr>
      <w:tr w:rsidR="003119E8" w:rsidRPr="003119E8" w:rsidTr="004D72F0">
        <w:trPr>
          <w:gridAfter w:val="1"/>
          <w:wAfter w:w="38" w:type="pct"/>
        </w:trPr>
        <w:tc>
          <w:tcPr>
            <w:tcW w:w="930"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2.1. valsts pamatbudžets</w:t>
            </w:r>
          </w:p>
        </w:tc>
        <w:tc>
          <w:tcPr>
            <w:tcW w:w="1064" w:type="pct"/>
          </w:tcPr>
          <w:p w:rsidR="003119E8" w:rsidRPr="003119E8" w:rsidRDefault="0084474A" w:rsidP="003119E8">
            <w:pPr>
              <w:spacing w:after="0" w:line="240" w:lineRule="auto"/>
              <w:rPr>
                <w:rFonts w:ascii="Times New Roman" w:eastAsia="Times New Roman" w:hAnsi="Times New Roman"/>
                <w:bCs/>
                <w:sz w:val="24"/>
                <w:szCs w:val="24"/>
                <w:lang w:eastAsia="lv-LV"/>
              </w:rPr>
            </w:pPr>
            <w:r>
              <w:rPr>
                <w:rFonts w:ascii="Times New Roman" w:eastAsia="Times New Roman" w:hAnsi="Times New Roman"/>
                <w:sz w:val="24"/>
                <w:szCs w:val="24"/>
                <w:lang w:eastAsia="lv-LV"/>
              </w:rPr>
              <w:t>0</w:t>
            </w:r>
          </w:p>
        </w:tc>
        <w:tc>
          <w:tcPr>
            <w:tcW w:w="676" w:type="pct"/>
            <w:gridSpan w:val="3"/>
          </w:tcPr>
          <w:p w:rsidR="003119E8" w:rsidRPr="003119E8" w:rsidRDefault="00AD2FD2" w:rsidP="00076CE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076CEF">
              <w:rPr>
                <w:rFonts w:ascii="Times New Roman" w:eastAsia="Times New Roman" w:hAnsi="Times New Roman"/>
                <w:sz w:val="24"/>
                <w:szCs w:val="24"/>
                <w:lang w:eastAsia="lv-LV"/>
              </w:rPr>
              <w:t>200</w:t>
            </w:r>
            <w:r>
              <w:rPr>
                <w:rFonts w:ascii="Times New Roman" w:eastAsia="Times New Roman" w:hAnsi="Times New Roman"/>
                <w:sz w:val="24"/>
                <w:szCs w:val="24"/>
                <w:lang w:eastAsia="lv-LV"/>
              </w:rPr>
              <w:t>,0</w:t>
            </w:r>
          </w:p>
        </w:tc>
        <w:tc>
          <w:tcPr>
            <w:tcW w:w="764" w:type="pct"/>
            <w:gridSpan w:val="2"/>
          </w:tcPr>
          <w:p w:rsidR="003119E8" w:rsidRPr="003119E8" w:rsidRDefault="00AD2FD2" w:rsidP="0084474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84474A">
              <w:rPr>
                <w:rFonts w:ascii="Times New Roman" w:eastAsia="Times New Roman" w:hAnsi="Times New Roman"/>
                <w:sz w:val="24"/>
                <w:szCs w:val="24"/>
                <w:lang w:eastAsia="lv-LV"/>
              </w:rPr>
              <w:t>510,0</w:t>
            </w:r>
          </w:p>
        </w:tc>
        <w:tc>
          <w:tcPr>
            <w:tcW w:w="764" w:type="pct"/>
            <w:gridSpan w:val="2"/>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763" w:type="pct"/>
          </w:tcPr>
          <w:p w:rsidR="003119E8" w:rsidRPr="003119E8" w:rsidRDefault="003119E8" w:rsidP="003119E8">
            <w:pPr>
              <w:spacing w:after="0" w:line="240" w:lineRule="auto"/>
              <w:rPr>
                <w:rFonts w:ascii="Times New Roman" w:eastAsia="Times New Roman" w:hAnsi="Times New Roman"/>
                <w:sz w:val="24"/>
                <w:szCs w:val="24"/>
                <w:lang w:eastAsia="lv-LV"/>
              </w:rPr>
            </w:pPr>
          </w:p>
        </w:tc>
      </w:tr>
      <w:tr w:rsidR="003119E8" w:rsidRPr="003119E8" w:rsidTr="004D72F0">
        <w:trPr>
          <w:gridAfter w:val="1"/>
          <w:wAfter w:w="38" w:type="pct"/>
        </w:trPr>
        <w:tc>
          <w:tcPr>
            <w:tcW w:w="930"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2.2. valsts speciālais budžets</w:t>
            </w:r>
          </w:p>
        </w:tc>
        <w:tc>
          <w:tcPr>
            <w:tcW w:w="4031" w:type="pct"/>
            <w:gridSpan w:val="9"/>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Projekts šo jomu neskar.</w:t>
            </w:r>
          </w:p>
        </w:tc>
      </w:tr>
      <w:tr w:rsidR="003119E8" w:rsidRPr="003119E8" w:rsidTr="004D72F0">
        <w:trPr>
          <w:gridAfter w:val="1"/>
          <w:wAfter w:w="38" w:type="pct"/>
        </w:trPr>
        <w:tc>
          <w:tcPr>
            <w:tcW w:w="930"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 xml:space="preserve">2.3. pašvaldību budžets </w:t>
            </w:r>
          </w:p>
        </w:tc>
        <w:tc>
          <w:tcPr>
            <w:tcW w:w="4031" w:type="pct"/>
            <w:gridSpan w:val="9"/>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Projekts šo jomu neskar.</w:t>
            </w:r>
          </w:p>
        </w:tc>
      </w:tr>
      <w:tr w:rsidR="003119E8" w:rsidRPr="003119E8" w:rsidTr="004D72F0">
        <w:trPr>
          <w:gridAfter w:val="1"/>
          <w:wAfter w:w="38" w:type="pct"/>
        </w:trPr>
        <w:tc>
          <w:tcPr>
            <w:tcW w:w="930" w:type="pct"/>
            <w:gridSpan w:val="3"/>
          </w:tcPr>
          <w:p w:rsidR="003119E8" w:rsidRPr="003119E8" w:rsidRDefault="003119E8" w:rsidP="003119E8">
            <w:pPr>
              <w:spacing w:after="0" w:line="240" w:lineRule="auto"/>
              <w:rPr>
                <w:rFonts w:ascii="Times New Roman" w:eastAsia="Times New Roman" w:hAnsi="Times New Roman"/>
                <w:b/>
                <w:sz w:val="24"/>
                <w:szCs w:val="24"/>
                <w:lang w:eastAsia="lv-LV"/>
              </w:rPr>
            </w:pPr>
            <w:r w:rsidRPr="003119E8">
              <w:rPr>
                <w:rFonts w:ascii="Times New Roman" w:eastAsia="Times New Roman" w:hAnsi="Times New Roman"/>
                <w:b/>
                <w:sz w:val="24"/>
                <w:szCs w:val="24"/>
                <w:lang w:eastAsia="lv-LV"/>
              </w:rPr>
              <w:t>3. Finansiālā ietekme:</w:t>
            </w:r>
          </w:p>
        </w:tc>
        <w:tc>
          <w:tcPr>
            <w:tcW w:w="1064" w:type="pct"/>
            <w:vAlign w:val="center"/>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676" w:type="pct"/>
            <w:gridSpan w:val="3"/>
          </w:tcPr>
          <w:p w:rsidR="003119E8" w:rsidRPr="003119E8" w:rsidRDefault="00AD2FD2" w:rsidP="00076CEF">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w:t>
            </w:r>
            <w:r w:rsidR="00076CEF">
              <w:rPr>
                <w:rFonts w:ascii="Times New Roman" w:eastAsia="Times New Roman" w:hAnsi="Times New Roman"/>
                <w:b/>
                <w:sz w:val="24"/>
                <w:szCs w:val="24"/>
                <w:lang w:eastAsia="lv-LV"/>
              </w:rPr>
              <w:t>200</w:t>
            </w:r>
            <w:r>
              <w:rPr>
                <w:rFonts w:ascii="Times New Roman" w:eastAsia="Times New Roman" w:hAnsi="Times New Roman"/>
                <w:b/>
                <w:sz w:val="24"/>
                <w:szCs w:val="24"/>
                <w:lang w:eastAsia="lv-LV"/>
              </w:rPr>
              <w:t>,0</w:t>
            </w:r>
          </w:p>
        </w:tc>
        <w:tc>
          <w:tcPr>
            <w:tcW w:w="764" w:type="pct"/>
            <w:gridSpan w:val="2"/>
          </w:tcPr>
          <w:p w:rsidR="003119E8" w:rsidRPr="003119E8" w:rsidRDefault="00AD2FD2" w:rsidP="0084474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84474A">
              <w:rPr>
                <w:rFonts w:ascii="Times New Roman" w:eastAsia="Times New Roman" w:hAnsi="Times New Roman"/>
                <w:sz w:val="24"/>
                <w:szCs w:val="24"/>
                <w:lang w:eastAsia="lv-LV"/>
              </w:rPr>
              <w:t>510,0</w:t>
            </w:r>
          </w:p>
        </w:tc>
        <w:tc>
          <w:tcPr>
            <w:tcW w:w="764" w:type="pct"/>
            <w:gridSpan w:val="2"/>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763" w:type="pct"/>
          </w:tcPr>
          <w:p w:rsidR="003119E8" w:rsidRPr="003119E8" w:rsidRDefault="003119E8" w:rsidP="003119E8">
            <w:pPr>
              <w:spacing w:after="0" w:line="240" w:lineRule="auto"/>
              <w:rPr>
                <w:rFonts w:ascii="Times New Roman" w:eastAsia="Times New Roman" w:hAnsi="Times New Roman"/>
                <w:sz w:val="24"/>
                <w:szCs w:val="24"/>
                <w:lang w:eastAsia="lv-LV"/>
              </w:rPr>
            </w:pPr>
          </w:p>
        </w:tc>
      </w:tr>
      <w:tr w:rsidR="003119E8" w:rsidRPr="003119E8" w:rsidTr="004D72F0">
        <w:trPr>
          <w:gridAfter w:val="1"/>
          <w:wAfter w:w="38" w:type="pct"/>
        </w:trPr>
        <w:tc>
          <w:tcPr>
            <w:tcW w:w="930"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3.1. valsts pamatbudžets;</w:t>
            </w:r>
          </w:p>
        </w:tc>
        <w:tc>
          <w:tcPr>
            <w:tcW w:w="1064" w:type="pct"/>
            <w:vAlign w:val="center"/>
          </w:tcPr>
          <w:p w:rsidR="003119E8" w:rsidRPr="003119E8" w:rsidRDefault="003119E8" w:rsidP="003119E8">
            <w:pPr>
              <w:spacing w:after="0" w:line="240" w:lineRule="auto"/>
              <w:rPr>
                <w:rFonts w:ascii="Times New Roman" w:eastAsia="Times New Roman" w:hAnsi="Times New Roman"/>
                <w:bCs/>
                <w:sz w:val="24"/>
                <w:szCs w:val="24"/>
                <w:lang w:eastAsia="lv-LV"/>
              </w:rPr>
            </w:pPr>
          </w:p>
        </w:tc>
        <w:tc>
          <w:tcPr>
            <w:tcW w:w="676" w:type="pct"/>
            <w:gridSpan w:val="3"/>
          </w:tcPr>
          <w:p w:rsidR="003119E8" w:rsidRPr="003119E8" w:rsidRDefault="00AD2FD2" w:rsidP="00076CE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076CEF">
              <w:rPr>
                <w:rFonts w:ascii="Times New Roman" w:eastAsia="Times New Roman" w:hAnsi="Times New Roman"/>
                <w:sz w:val="24"/>
                <w:szCs w:val="24"/>
                <w:lang w:eastAsia="lv-LV"/>
              </w:rPr>
              <w:t>200</w:t>
            </w:r>
            <w:r>
              <w:rPr>
                <w:rFonts w:ascii="Times New Roman" w:eastAsia="Times New Roman" w:hAnsi="Times New Roman"/>
                <w:sz w:val="24"/>
                <w:szCs w:val="24"/>
                <w:lang w:eastAsia="lv-LV"/>
              </w:rPr>
              <w:t>,0</w:t>
            </w:r>
          </w:p>
        </w:tc>
        <w:tc>
          <w:tcPr>
            <w:tcW w:w="764" w:type="pct"/>
            <w:gridSpan w:val="2"/>
          </w:tcPr>
          <w:p w:rsidR="003119E8" w:rsidRPr="003119E8" w:rsidRDefault="006A618E" w:rsidP="0084474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84474A">
              <w:rPr>
                <w:rFonts w:ascii="Times New Roman" w:eastAsia="Times New Roman" w:hAnsi="Times New Roman"/>
                <w:sz w:val="24"/>
                <w:szCs w:val="24"/>
                <w:lang w:eastAsia="lv-LV"/>
              </w:rPr>
              <w:t>510,0</w:t>
            </w:r>
            <w:r>
              <w:rPr>
                <w:rFonts w:ascii="Times New Roman" w:eastAsia="Times New Roman" w:hAnsi="Times New Roman"/>
                <w:sz w:val="24"/>
                <w:szCs w:val="24"/>
                <w:lang w:eastAsia="lv-LV"/>
              </w:rPr>
              <w:t xml:space="preserve"> </w:t>
            </w:r>
          </w:p>
        </w:tc>
        <w:tc>
          <w:tcPr>
            <w:tcW w:w="764" w:type="pct"/>
            <w:gridSpan w:val="2"/>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763" w:type="pct"/>
          </w:tcPr>
          <w:p w:rsidR="003119E8" w:rsidRPr="003119E8" w:rsidRDefault="003119E8" w:rsidP="003119E8">
            <w:pPr>
              <w:spacing w:after="0" w:line="240" w:lineRule="auto"/>
              <w:rPr>
                <w:rFonts w:ascii="Times New Roman" w:eastAsia="Times New Roman" w:hAnsi="Times New Roman"/>
                <w:sz w:val="24"/>
                <w:szCs w:val="24"/>
                <w:lang w:eastAsia="lv-LV"/>
              </w:rPr>
            </w:pPr>
          </w:p>
        </w:tc>
      </w:tr>
      <w:tr w:rsidR="003119E8" w:rsidRPr="003119E8" w:rsidTr="004D72F0">
        <w:trPr>
          <w:gridAfter w:val="1"/>
          <w:wAfter w:w="38" w:type="pct"/>
        </w:trPr>
        <w:tc>
          <w:tcPr>
            <w:tcW w:w="930"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3.2. speciālais budžets;</w:t>
            </w:r>
          </w:p>
        </w:tc>
        <w:tc>
          <w:tcPr>
            <w:tcW w:w="4031" w:type="pct"/>
            <w:gridSpan w:val="9"/>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Projekts šo jomu neskar.</w:t>
            </w:r>
          </w:p>
        </w:tc>
      </w:tr>
      <w:tr w:rsidR="003119E8" w:rsidRPr="003119E8" w:rsidTr="004D72F0">
        <w:trPr>
          <w:gridAfter w:val="1"/>
          <w:wAfter w:w="38" w:type="pct"/>
        </w:trPr>
        <w:tc>
          <w:tcPr>
            <w:tcW w:w="930"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lastRenderedPageBreak/>
              <w:t xml:space="preserve">3.3. pašvaldību budžets </w:t>
            </w:r>
          </w:p>
        </w:tc>
        <w:tc>
          <w:tcPr>
            <w:tcW w:w="4031" w:type="pct"/>
            <w:gridSpan w:val="9"/>
          </w:tcPr>
          <w:p w:rsidR="003119E8" w:rsidRPr="003119E8" w:rsidRDefault="003119E8" w:rsidP="003119E8">
            <w:pPr>
              <w:spacing w:after="0" w:line="240" w:lineRule="auto"/>
              <w:rPr>
                <w:rFonts w:ascii="Times New Roman" w:eastAsia="Times New Roman" w:hAnsi="Times New Roman"/>
                <w:b/>
                <w:i/>
                <w:sz w:val="24"/>
                <w:szCs w:val="24"/>
                <w:lang w:eastAsia="lv-LV"/>
              </w:rPr>
            </w:pPr>
            <w:r w:rsidRPr="003119E8">
              <w:rPr>
                <w:rFonts w:ascii="Times New Roman" w:eastAsia="Times New Roman" w:hAnsi="Times New Roman"/>
                <w:sz w:val="24"/>
                <w:szCs w:val="24"/>
                <w:lang w:eastAsia="lv-LV"/>
              </w:rPr>
              <w:t>Projekts šo jomu neskar.</w:t>
            </w:r>
          </w:p>
        </w:tc>
      </w:tr>
      <w:tr w:rsidR="003119E8" w:rsidRPr="003119E8" w:rsidTr="004D72F0">
        <w:trPr>
          <w:gridAfter w:val="1"/>
          <w:wAfter w:w="38" w:type="pct"/>
        </w:trPr>
        <w:tc>
          <w:tcPr>
            <w:tcW w:w="930"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4. Finanšu līdzekļi papildu izdevumu finansēšanai (kompensējošu izdevumu samazinājumu norāda ar "+" zīmi)</w:t>
            </w:r>
          </w:p>
        </w:tc>
        <w:tc>
          <w:tcPr>
            <w:tcW w:w="1064" w:type="pct"/>
            <w:vAlign w:val="center"/>
          </w:tcPr>
          <w:p w:rsidR="003119E8" w:rsidRPr="003119E8" w:rsidRDefault="003119E8" w:rsidP="003119E8">
            <w:pPr>
              <w:spacing w:after="0" w:line="240" w:lineRule="auto"/>
              <w:rPr>
                <w:rFonts w:ascii="Times New Roman" w:eastAsia="Times New Roman" w:hAnsi="Times New Roman"/>
                <w:b/>
                <w:sz w:val="24"/>
                <w:szCs w:val="24"/>
                <w:lang w:eastAsia="lv-LV"/>
              </w:rPr>
            </w:pPr>
            <w:r w:rsidRPr="003119E8">
              <w:rPr>
                <w:rFonts w:ascii="Times New Roman" w:eastAsia="Times New Roman" w:hAnsi="Times New Roman"/>
                <w:sz w:val="24"/>
                <w:szCs w:val="24"/>
                <w:lang w:eastAsia="lv-LV"/>
              </w:rPr>
              <w:t>X</w:t>
            </w:r>
          </w:p>
        </w:tc>
        <w:tc>
          <w:tcPr>
            <w:tcW w:w="658" w:type="pct"/>
            <w:gridSpan w:val="2"/>
            <w:vAlign w:val="center"/>
          </w:tcPr>
          <w:p w:rsidR="003119E8" w:rsidRPr="003119E8" w:rsidRDefault="00076CEF" w:rsidP="003119E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200</w:t>
            </w:r>
            <w:r w:rsidR="00AD2FD2">
              <w:rPr>
                <w:rFonts w:ascii="Times New Roman" w:eastAsia="Times New Roman" w:hAnsi="Times New Roman"/>
                <w:sz w:val="24"/>
                <w:szCs w:val="24"/>
                <w:lang w:eastAsia="lv-LV"/>
              </w:rPr>
              <w:t>,0</w:t>
            </w:r>
          </w:p>
        </w:tc>
        <w:tc>
          <w:tcPr>
            <w:tcW w:w="769" w:type="pct"/>
            <w:gridSpan w:val="2"/>
            <w:vAlign w:val="center"/>
          </w:tcPr>
          <w:p w:rsidR="003119E8" w:rsidRPr="003119E8" w:rsidRDefault="0084474A" w:rsidP="003119E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510,0</w:t>
            </w:r>
          </w:p>
        </w:tc>
        <w:tc>
          <w:tcPr>
            <w:tcW w:w="769" w:type="pct"/>
            <w:gridSpan w:val="2"/>
            <w:vAlign w:val="center"/>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772" w:type="pct"/>
            <w:gridSpan w:val="2"/>
            <w:vAlign w:val="center"/>
          </w:tcPr>
          <w:p w:rsidR="003119E8" w:rsidRPr="003119E8" w:rsidRDefault="003119E8" w:rsidP="003119E8">
            <w:pPr>
              <w:spacing w:after="0" w:line="240" w:lineRule="auto"/>
              <w:rPr>
                <w:rFonts w:ascii="Times New Roman" w:eastAsia="Times New Roman" w:hAnsi="Times New Roman"/>
                <w:sz w:val="24"/>
                <w:szCs w:val="24"/>
                <w:lang w:eastAsia="lv-LV"/>
              </w:rPr>
            </w:pPr>
          </w:p>
        </w:tc>
      </w:tr>
      <w:tr w:rsidR="003119E8" w:rsidRPr="003119E8" w:rsidTr="004D72F0">
        <w:trPr>
          <w:gridAfter w:val="1"/>
          <w:wAfter w:w="38" w:type="pct"/>
        </w:trPr>
        <w:tc>
          <w:tcPr>
            <w:tcW w:w="930"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5. Precizēta finansiālā ietekme:</w:t>
            </w:r>
          </w:p>
        </w:tc>
        <w:tc>
          <w:tcPr>
            <w:tcW w:w="1064" w:type="pct"/>
            <w:vAlign w:val="center"/>
          </w:tcPr>
          <w:p w:rsidR="003119E8" w:rsidRPr="003119E8" w:rsidRDefault="003119E8" w:rsidP="003119E8">
            <w:pPr>
              <w:spacing w:after="0" w:line="240" w:lineRule="auto"/>
              <w:rPr>
                <w:rFonts w:ascii="Times New Roman" w:eastAsia="Times New Roman" w:hAnsi="Times New Roman"/>
                <w:sz w:val="24"/>
                <w:szCs w:val="24"/>
                <w:lang w:eastAsia="lv-LV"/>
              </w:rPr>
            </w:pPr>
          </w:p>
          <w:p w:rsidR="003119E8" w:rsidRPr="003119E8" w:rsidRDefault="003119E8" w:rsidP="003119E8">
            <w:pPr>
              <w:spacing w:after="0" w:line="240" w:lineRule="auto"/>
              <w:rPr>
                <w:rFonts w:ascii="Times New Roman" w:eastAsia="Times New Roman" w:hAnsi="Times New Roman"/>
                <w:sz w:val="24"/>
                <w:szCs w:val="24"/>
                <w:lang w:eastAsia="lv-LV"/>
              </w:rPr>
            </w:pPr>
          </w:p>
          <w:p w:rsidR="003119E8" w:rsidRPr="003119E8" w:rsidRDefault="003119E8" w:rsidP="003119E8">
            <w:pPr>
              <w:spacing w:after="0" w:line="240" w:lineRule="auto"/>
              <w:rPr>
                <w:rFonts w:ascii="Times New Roman" w:eastAsia="Times New Roman" w:hAnsi="Times New Roman"/>
                <w:sz w:val="24"/>
                <w:szCs w:val="24"/>
                <w:lang w:eastAsia="lv-LV"/>
              </w:rPr>
            </w:pPr>
          </w:p>
        </w:tc>
        <w:tc>
          <w:tcPr>
            <w:tcW w:w="658" w:type="pct"/>
            <w:gridSpan w:val="2"/>
            <w:vAlign w:val="center"/>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769" w:type="pct"/>
            <w:gridSpan w:val="2"/>
            <w:vAlign w:val="center"/>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769" w:type="pct"/>
            <w:gridSpan w:val="2"/>
            <w:vAlign w:val="center"/>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772" w:type="pct"/>
            <w:gridSpan w:val="2"/>
            <w:vAlign w:val="center"/>
          </w:tcPr>
          <w:p w:rsidR="003119E8" w:rsidRPr="003119E8" w:rsidRDefault="003119E8" w:rsidP="003119E8">
            <w:pPr>
              <w:spacing w:after="0" w:line="240" w:lineRule="auto"/>
              <w:rPr>
                <w:rFonts w:ascii="Times New Roman" w:eastAsia="Times New Roman" w:hAnsi="Times New Roman"/>
                <w:sz w:val="24"/>
                <w:szCs w:val="24"/>
                <w:lang w:eastAsia="lv-LV"/>
              </w:rPr>
            </w:pPr>
          </w:p>
        </w:tc>
      </w:tr>
      <w:tr w:rsidR="003119E8" w:rsidRPr="003119E8" w:rsidTr="004D72F0">
        <w:trPr>
          <w:gridAfter w:val="1"/>
          <w:wAfter w:w="38" w:type="pct"/>
        </w:trPr>
        <w:tc>
          <w:tcPr>
            <w:tcW w:w="930"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5.1. valsts pamatbudžets;</w:t>
            </w:r>
          </w:p>
        </w:tc>
        <w:tc>
          <w:tcPr>
            <w:tcW w:w="1064" w:type="pct"/>
          </w:tcPr>
          <w:p w:rsidR="003119E8" w:rsidRPr="003119E8" w:rsidRDefault="003119E8" w:rsidP="003119E8">
            <w:pPr>
              <w:spacing w:after="0" w:line="240" w:lineRule="auto"/>
              <w:rPr>
                <w:rFonts w:ascii="Times New Roman" w:eastAsia="Times New Roman" w:hAnsi="Times New Roman"/>
                <w:sz w:val="24"/>
                <w:szCs w:val="24"/>
                <w:lang w:eastAsia="lv-LV"/>
              </w:rPr>
            </w:pPr>
          </w:p>
          <w:p w:rsidR="003119E8" w:rsidRPr="003119E8" w:rsidRDefault="003119E8" w:rsidP="003119E8">
            <w:pPr>
              <w:spacing w:after="0" w:line="240" w:lineRule="auto"/>
              <w:rPr>
                <w:rFonts w:ascii="Times New Roman" w:eastAsia="Times New Roman" w:hAnsi="Times New Roman"/>
                <w:sz w:val="24"/>
                <w:szCs w:val="24"/>
                <w:lang w:eastAsia="lv-LV"/>
              </w:rPr>
            </w:pPr>
          </w:p>
        </w:tc>
        <w:tc>
          <w:tcPr>
            <w:tcW w:w="658" w:type="pct"/>
            <w:gridSpan w:val="2"/>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769" w:type="pct"/>
            <w:gridSpan w:val="2"/>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769" w:type="pct"/>
            <w:gridSpan w:val="2"/>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772" w:type="pct"/>
            <w:gridSpan w:val="2"/>
          </w:tcPr>
          <w:p w:rsidR="003119E8" w:rsidRPr="003119E8" w:rsidRDefault="003119E8" w:rsidP="003119E8">
            <w:pPr>
              <w:spacing w:after="0" w:line="240" w:lineRule="auto"/>
              <w:rPr>
                <w:rFonts w:ascii="Times New Roman" w:eastAsia="Times New Roman" w:hAnsi="Times New Roman"/>
                <w:sz w:val="24"/>
                <w:szCs w:val="24"/>
                <w:lang w:eastAsia="lv-LV"/>
              </w:rPr>
            </w:pPr>
          </w:p>
        </w:tc>
      </w:tr>
      <w:tr w:rsidR="003119E8" w:rsidRPr="003119E8" w:rsidTr="004D72F0">
        <w:trPr>
          <w:gridAfter w:val="1"/>
          <w:wAfter w:w="38" w:type="pct"/>
        </w:trPr>
        <w:tc>
          <w:tcPr>
            <w:tcW w:w="930"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5.2. speciālais budžets;</w:t>
            </w:r>
          </w:p>
        </w:tc>
        <w:tc>
          <w:tcPr>
            <w:tcW w:w="1064" w:type="pct"/>
            <w:vMerge w:val="restart"/>
          </w:tcPr>
          <w:p w:rsidR="003119E8" w:rsidRPr="003119E8" w:rsidRDefault="003119E8" w:rsidP="003119E8">
            <w:pPr>
              <w:spacing w:after="0" w:line="240" w:lineRule="auto"/>
              <w:rPr>
                <w:rFonts w:ascii="Times New Roman" w:eastAsia="Times New Roman" w:hAnsi="Times New Roman"/>
                <w:sz w:val="24"/>
                <w:szCs w:val="24"/>
                <w:lang w:eastAsia="lv-LV"/>
              </w:rPr>
            </w:pPr>
          </w:p>
          <w:p w:rsidR="003119E8" w:rsidRPr="003119E8" w:rsidRDefault="003119E8" w:rsidP="003119E8">
            <w:pPr>
              <w:spacing w:after="0" w:line="240" w:lineRule="auto"/>
              <w:rPr>
                <w:rFonts w:ascii="Times New Roman" w:eastAsia="Times New Roman" w:hAnsi="Times New Roman"/>
                <w:sz w:val="24"/>
                <w:szCs w:val="24"/>
                <w:lang w:eastAsia="lv-LV"/>
              </w:rPr>
            </w:pPr>
          </w:p>
          <w:p w:rsidR="003119E8" w:rsidRPr="003119E8" w:rsidRDefault="003119E8" w:rsidP="003119E8">
            <w:pPr>
              <w:spacing w:after="0" w:line="240" w:lineRule="auto"/>
              <w:rPr>
                <w:rFonts w:ascii="Times New Roman" w:eastAsia="Times New Roman" w:hAnsi="Times New Roman"/>
                <w:sz w:val="24"/>
                <w:szCs w:val="24"/>
                <w:lang w:eastAsia="lv-LV"/>
              </w:rPr>
            </w:pPr>
          </w:p>
        </w:tc>
        <w:tc>
          <w:tcPr>
            <w:tcW w:w="2967" w:type="pct"/>
            <w:gridSpan w:val="8"/>
            <w:vMerge w:val="restart"/>
          </w:tcPr>
          <w:p w:rsidR="003119E8" w:rsidRPr="003119E8" w:rsidRDefault="003119E8" w:rsidP="003119E8">
            <w:pPr>
              <w:spacing w:after="0" w:line="240" w:lineRule="auto"/>
              <w:rPr>
                <w:rFonts w:ascii="Times New Roman" w:eastAsia="Times New Roman" w:hAnsi="Times New Roman"/>
                <w:sz w:val="24"/>
                <w:szCs w:val="24"/>
                <w:lang w:eastAsia="lv-LV"/>
              </w:rPr>
            </w:pPr>
          </w:p>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Projekts šo jomu neskar.</w:t>
            </w:r>
          </w:p>
        </w:tc>
      </w:tr>
      <w:tr w:rsidR="003119E8" w:rsidRPr="003119E8" w:rsidTr="004D72F0">
        <w:trPr>
          <w:gridAfter w:val="1"/>
          <w:wAfter w:w="38" w:type="pct"/>
        </w:trPr>
        <w:tc>
          <w:tcPr>
            <w:tcW w:w="930"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 xml:space="preserve">5.3. pašvaldību budžets </w:t>
            </w:r>
          </w:p>
        </w:tc>
        <w:tc>
          <w:tcPr>
            <w:tcW w:w="1064" w:type="pct"/>
            <w:vMerge/>
          </w:tcPr>
          <w:p w:rsidR="003119E8" w:rsidRPr="003119E8" w:rsidRDefault="003119E8" w:rsidP="003119E8">
            <w:pPr>
              <w:spacing w:after="0" w:line="240" w:lineRule="auto"/>
              <w:rPr>
                <w:rFonts w:ascii="Times New Roman" w:eastAsia="Times New Roman" w:hAnsi="Times New Roman"/>
                <w:sz w:val="24"/>
                <w:szCs w:val="24"/>
                <w:lang w:eastAsia="lv-LV"/>
              </w:rPr>
            </w:pPr>
          </w:p>
        </w:tc>
        <w:tc>
          <w:tcPr>
            <w:tcW w:w="2967" w:type="pct"/>
            <w:gridSpan w:val="8"/>
            <w:vMerge/>
          </w:tcPr>
          <w:p w:rsidR="003119E8" w:rsidRPr="003119E8" w:rsidRDefault="003119E8" w:rsidP="003119E8">
            <w:pPr>
              <w:spacing w:after="0" w:line="240" w:lineRule="auto"/>
              <w:rPr>
                <w:rFonts w:ascii="Times New Roman" w:eastAsia="Times New Roman" w:hAnsi="Times New Roman"/>
                <w:sz w:val="24"/>
                <w:szCs w:val="24"/>
                <w:lang w:eastAsia="lv-LV"/>
              </w:rPr>
            </w:pPr>
          </w:p>
        </w:tc>
      </w:tr>
      <w:tr w:rsidR="003119E8" w:rsidRPr="003119E8" w:rsidTr="004D72F0">
        <w:trPr>
          <w:gridAfter w:val="1"/>
          <w:wAfter w:w="38" w:type="pct"/>
        </w:trPr>
        <w:tc>
          <w:tcPr>
            <w:tcW w:w="930" w:type="pct"/>
            <w:gridSpan w:val="3"/>
          </w:tcPr>
          <w:p w:rsidR="003119E8" w:rsidRPr="00410602" w:rsidRDefault="003119E8" w:rsidP="003119E8">
            <w:pPr>
              <w:spacing w:after="0" w:line="240" w:lineRule="auto"/>
              <w:rPr>
                <w:rFonts w:ascii="Times New Roman" w:eastAsia="Times New Roman" w:hAnsi="Times New Roman"/>
                <w:sz w:val="24"/>
                <w:szCs w:val="24"/>
                <w:lang w:eastAsia="lv-LV"/>
              </w:rPr>
            </w:pPr>
            <w:r w:rsidRPr="00D31D42">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4031" w:type="pct"/>
            <w:gridSpan w:val="9"/>
          </w:tcPr>
          <w:p w:rsidR="00D31D42" w:rsidRPr="00DA14EB" w:rsidRDefault="00442967" w:rsidP="00DA14EB">
            <w:pPr>
              <w:spacing w:after="0" w:line="240" w:lineRule="auto"/>
              <w:jc w:val="both"/>
              <w:rPr>
                <w:rFonts w:ascii="Times New Roman" w:eastAsia="Times New Roman" w:hAnsi="Times New Roman"/>
                <w:sz w:val="24"/>
                <w:szCs w:val="24"/>
                <w:lang w:eastAsia="lv-LV"/>
              </w:rPr>
            </w:pPr>
            <w:r w:rsidRPr="00076CEF">
              <w:rPr>
                <w:rFonts w:ascii="Times New Roman" w:eastAsia="Times New Roman" w:hAnsi="Times New Roman"/>
                <w:sz w:val="24"/>
                <w:szCs w:val="24"/>
                <w:lang w:eastAsia="lv-LV"/>
              </w:rPr>
              <w:t xml:space="preserve">Rīkojuma projekts paredz piešķirt Labklājības ministrijai 2013.gadā </w:t>
            </w:r>
            <w:r w:rsidR="00240610">
              <w:rPr>
                <w:rFonts w:ascii="Times New Roman" w:eastAsia="Times New Roman" w:hAnsi="Times New Roman"/>
                <w:sz w:val="24"/>
                <w:szCs w:val="24"/>
                <w:lang w:eastAsia="lv-LV"/>
              </w:rPr>
              <w:t xml:space="preserve">un 2014.gadā </w:t>
            </w:r>
            <w:r w:rsidRPr="00076CEF">
              <w:rPr>
                <w:rFonts w:ascii="Times New Roman" w:eastAsia="Times New Roman" w:hAnsi="Times New Roman"/>
                <w:sz w:val="24"/>
                <w:szCs w:val="24"/>
                <w:lang w:eastAsia="lv-LV"/>
              </w:rPr>
              <w:t xml:space="preserve">no 74.resora „Gadskārtēja valsts budžeta izpildes procesā pārdalāmais finansējums” programmas 02.00.00 „Līdzekļi neparedzētiem gadījumiem” </w:t>
            </w:r>
            <w:r w:rsidRPr="00D31D42">
              <w:rPr>
                <w:rFonts w:ascii="Times New Roman" w:eastAsia="Times New Roman" w:hAnsi="Times New Roman"/>
                <w:sz w:val="24"/>
                <w:szCs w:val="24"/>
                <w:lang w:eastAsia="lv-LV"/>
              </w:rPr>
              <w:t xml:space="preserve">papildus finansējumu </w:t>
            </w:r>
            <w:r w:rsidR="00DF23D6">
              <w:rPr>
                <w:rFonts w:ascii="Times New Roman" w:eastAsia="Times New Roman" w:hAnsi="Times New Roman"/>
                <w:sz w:val="24"/>
                <w:szCs w:val="24"/>
                <w:lang w:eastAsia="lv-LV"/>
              </w:rPr>
              <w:t xml:space="preserve">710 046 latu </w:t>
            </w:r>
            <w:r w:rsidRPr="00076CEF">
              <w:rPr>
                <w:rFonts w:ascii="Times New Roman" w:eastAsia="Times New Roman" w:hAnsi="Times New Roman"/>
                <w:sz w:val="24"/>
                <w:szCs w:val="24"/>
                <w:lang w:eastAsia="lv-LV"/>
              </w:rPr>
              <w:t>(Pārējie valsts pabalsti un kompensācijas EKK</w:t>
            </w:r>
            <w:r w:rsidR="007E2DAD" w:rsidRPr="00076CEF">
              <w:rPr>
                <w:rFonts w:ascii="Times New Roman" w:eastAsia="Times New Roman" w:hAnsi="Times New Roman"/>
                <w:sz w:val="24"/>
                <w:szCs w:val="24"/>
                <w:lang w:eastAsia="lv-LV"/>
              </w:rPr>
              <w:t xml:space="preserve"> </w:t>
            </w:r>
            <w:r w:rsidRPr="00076CEF">
              <w:rPr>
                <w:rFonts w:ascii="Times New Roman" w:eastAsia="Times New Roman" w:hAnsi="Times New Roman"/>
                <w:sz w:val="24"/>
                <w:szCs w:val="24"/>
                <w:lang w:eastAsia="lv-LV"/>
              </w:rPr>
              <w:t>6239)</w:t>
            </w:r>
            <w:r w:rsidRPr="00D31D42">
              <w:rPr>
                <w:rFonts w:ascii="Times New Roman" w:eastAsia="Times New Roman" w:hAnsi="Times New Roman"/>
                <w:sz w:val="24"/>
                <w:szCs w:val="24"/>
                <w:lang w:eastAsia="lv-LV"/>
              </w:rPr>
              <w:t xml:space="preserve"> Sociālās apdrošināšanas valsts aģentūrai</w:t>
            </w:r>
            <w:r w:rsidRPr="00076CEF">
              <w:rPr>
                <w:rFonts w:ascii="Times New Roman" w:eastAsia="Times New Roman" w:hAnsi="Times New Roman"/>
                <w:sz w:val="24"/>
                <w:szCs w:val="24"/>
                <w:lang w:eastAsia="lv-LV"/>
              </w:rPr>
              <w:t>,</w:t>
            </w:r>
            <w:r w:rsidRPr="00076CEF">
              <w:rPr>
                <w:rFonts w:ascii="Times New Roman" w:eastAsia="Times New Roman" w:hAnsi="Times New Roman"/>
                <w:b/>
                <w:sz w:val="24"/>
                <w:szCs w:val="24"/>
                <w:lang w:eastAsia="lv-LV"/>
              </w:rPr>
              <w:t xml:space="preserve"> lai izmaksātu vienreizēju kompensāciju traģēdijā Rīgā, Priedaines ielā 20 cietušajiem</w:t>
            </w:r>
            <w:r w:rsidRPr="00076CEF">
              <w:rPr>
                <w:rFonts w:ascii="Times New Roman" w:eastAsia="Times New Roman" w:hAnsi="Times New Roman"/>
                <w:sz w:val="24"/>
                <w:szCs w:val="24"/>
                <w:lang w:eastAsia="lv-LV"/>
              </w:rPr>
              <w:t xml:space="preserve">, t.sk.; </w:t>
            </w:r>
            <w:r w:rsidR="007E2DAD" w:rsidRPr="00DA14EB">
              <w:rPr>
                <w:rFonts w:ascii="Times New Roman" w:eastAsia="Times New Roman" w:hAnsi="Times New Roman"/>
                <w:sz w:val="24"/>
                <w:szCs w:val="24"/>
                <w:lang w:eastAsia="lv-LV"/>
              </w:rPr>
              <w:t xml:space="preserve"> </w:t>
            </w:r>
          </w:p>
          <w:p w:rsidR="00DA14EB" w:rsidRPr="00DA14EB" w:rsidRDefault="00DA14EB" w:rsidP="004F6482">
            <w:pPr>
              <w:pStyle w:val="ListParagraph"/>
              <w:numPr>
                <w:ilvl w:val="0"/>
                <w:numId w:val="12"/>
              </w:numPr>
              <w:spacing w:after="0" w:line="240" w:lineRule="auto"/>
              <w:ind w:left="330" w:hanging="283"/>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2013.gad</w:t>
            </w:r>
            <w:r w:rsidR="007F5955">
              <w:rPr>
                <w:rFonts w:ascii="Times New Roman" w:eastAsia="Times New Roman" w:hAnsi="Times New Roman"/>
                <w:b/>
                <w:sz w:val="24"/>
                <w:szCs w:val="24"/>
                <w:lang w:eastAsia="lv-LV"/>
              </w:rPr>
              <w:t xml:space="preserve">ā </w:t>
            </w:r>
            <w:r>
              <w:rPr>
                <w:rFonts w:ascii="Times New Roman" w:eastAsia="Times New Roman" w:hAnsi="Times New Roman"/>
                <w:b/>
                <w:sz w:val="24"/>
                <w:szCs w:val="24"/>
                <w:lang w:eastAsia="lv-LV"/>
              </w:rPr>
              <w:t>-</w:t>
            </w:r>
            <w:r w:rsidR="007F5955">
              <w:rPr>
                <w:rFonts w:ascii="Times New Roman" w:eastAsia="Times New Roman" w:hAnsi="Times New Roman"/>
                <w:b/>
                <w:sz w:val="24"/>
                <w:szCs w:val="24"/>
                <w:lang w:eastAsia="lv-LV"/>
              </w:rPr>
              <w:t xml:space="preserve"> </w:t>
            </w:r>
            <w:r w:rsidR="00076CEF" w:rsidRPr="004F6482">
              <w:rPr>
                <w:rFonts w:ascii="Times New Roman" w:eastAsia="Times New Roman" w:hAnsi="Times New Roman"/>
                <w:b/>
                <w:sz w:val="24"/>
                <w:szCs w:val="24"/>
                <w:lang w:eastAsia="lv-LV"/>
              </w:rPr>
              <w:t>200</w:t>
            </w:r>
            <w:r w:rsidR="00076CEF" w:rsidRPr="00076CEF">
              <w:rPr>
                <w:rFonts w:ascii="Times New Roman" w:eastAsia="Times New Roman" w:hAnsi="Times New Roman"/>
                <w:b/>
                <w:sz w:val="24"/>
                <w:szCs w:val="24"/>
                <w:lang w:eastAsia="lv-LV"/>
              </w:rPr>
              <w:t> </w:t>
            </w:r>
            <w:r w:rsidR="007E2DAD" w:rsidRPr="00076CEF">
              <w:rPr>
                <w:rFonts w:ascii="Times New Roman" w:eastAsia="Times New Roman" w:hAnsi="Times New Roman"/>
                <w:b/>
                <w:sz w:val="24"/>
                <w:szCs w:val="24"/>
                <w:lang w:eastAsia="lv-LV"/>
              </w:rPr>
              <w:t xml:space="preserve">000 latu </w:t>
            </w:r>
            <w:r w:rsidR="007E2DAD" w:rsidRPr="00AD61A7">
              <w:rPr>
                <w:rFonts w:ascii="Times New Roman" w:eastAsia="Times New Roman" w:hAnsi="Times New Roman"/>
                <w:sz w:val="24"/>
                <w:szCs w:val="24"/>
                <w:lang w:eastAsia="lv-LV"/>
              </w:rPr>
              <w:t>apmērā</w:t>
            </w:r>
            <w:r w:rsidR="007E2DAD" w:rsidRPr="00076CEF">
              <w:rPr>
                <w:rFonts w:ascii="Times New Roman" w:eastAsia="Times New Roman" w:hAnsi="Times New Roman"/>
                <w:b/>
                <w:sz w:val="24"/>
                <w:szCs w:val="24"/>
                <w:lang w:eastAsia="lv-LV"/>
              </w:rPr>
              <w:t xml:space="preserve"> – </w:t>
            </w:r>
            <w:r w:rsidR="007E2DAD" w:rsidRPr="004F6482">
              <w:rPr>
                <w:rFonts w:ascii="Times New Roman" w:eastAsia="Times New Roman" w:hAnsi="Times New Roman"/>
                <w:sz w:val="24"/>
                <w:szCs w:val="24"/>
                <w:lang w:eastAsia="lv-LV"/>
              </w:rPr>
              <w:t xml:space="preserve">kopumā </w:t>
            </w:r>
            <w:r w:rsidR="004F6482">
              <w:rPr>
                <w:rFonts w:ascii="Times New Roman" w:eastAsia="Times New Roman" w:hAnsi="Times New Roman"/>
                <w:sz w:val="24"/>
                <w:szCs w:val="24"/>
                <w:lang w:eastAsia="lv-LV"/>
              </w:rPr>
              <w:t xml:space="preserve">kompensācijas tiks nodrošinātas </w:t>
            </w:r>
            <w:r w:rsidR="00076CEF">
              <w:rPr>
                <w:rFonts w:ascii="Times New Roman" w:eastAsia="Times New Roman" w:hAnsi="Times New Roman"/>
                <w:sz w:val="24"/>
                <w:szCs w:val="24"/>
                <w:lang w:eastAsia="lv-LV"/>
              </w:rPr>
              <w:t>40</w:t>
            </w:r>
            <w:r w:rsidR="00076CEF" w:rsidRPr="00076CEF">
              <w:rPr>
                <w:rFonts w:ascii="Times New Roman" w:eastAsia="Times New Roman" w:hAnsi="Times New Roman"/>
                <w:sz w:val="24"/>
                <w:szCs w:val="24"/>
                <w:lang w:eastAsia="lv-LV"/>
              </w:rPr>
              <w:t xml:space="preserve"> </w:t>
            </w:r>
            <w:r w:rsidR="00076CEF">
              <w:rPr>
                <w:rFonts w:ascii="Times New Roman" w:eastAsia="Times New Roman" w:hAnsi="Times New Roman"/>
                <w:sz w:val="24"/>
                <w:szCs w:val="24"/>
                <w:lang w:eastAsia="lv-LV"/>
              </w:rPr>
              <w:t xml:space="preserve">traģēdijā </w:t>
            </w:r>
            <w:r w:rsidR="00442967" w:rsidRPr="00076CEF">
              <w:rPr>
                <w:rFonts w:ascii="Times New Roman" w:eastAsia="Times New Roman" w:hAnsi="Times New Roman"/>
                <w:sz w:val="24"/>
                <w:szCs w:val="24"/>
                <w:lang w:eastAsia="lv-LV"/>
              </w:rPr>
              <w:t>cietušaj</w:t>
            </w:r>
            <w:r w:rsidR="00076CEF">
              <w:rPr>
                <w:rFonts w:ascii="Times New Roman" w:eastAsia="Times New Roman" w:hAnsi="Times New Roman"/>
                <w:sz w:val="24"/>
                <w:szCs w:val="24"/>
                <w:lang w:eastAsia="lv-LV"/>
              </w:rPr>
              <w:t>ām</w:t>
            </w:r>
            <w:r w:rsidR="00442967" w:rsidRPr="00076CEF">
              <w:rPr>
                <w:rFonts w:ascii="Times New Roman" w:eastAsia="Times New Roman" w:hAnsi="Times New Roman"/>
                <w:sz w:val="24"/>
                <w:szCs w:val="24"/>
                <w:lang w:eastAsia="lv-LV"/>
              </w:rPr>
              <w:t xml:space="preserve"> </w:t>
            </w:r>
            <w:r w:rsidR="00076CEF" w:rsidRPr="00076CEF">
              <w:rPr>
                <w:rFonts w:ascii="Times New Roman" w:eastAsia="Times New Roman" w:hAnsi="Times New Roman"/>
                <w:sz w:val="24"/>
                <w:szCs w:val="24"/>
                <w:lang w:eastAsia="lv-LV"/>
              </w:rPr>
              <w:t>perso</w:t>
            </w:r>
            <w:r w:rsidR="00076CEF">
              <w:rPr>
                <w:rFonts w:ascii="Times New Roman" w:eastAsia="Times New Roman" w:hAnsi="Times New Roman"/>
                <w:sz w:val="24"/>
                <w:szCs w:val="24"/>
                <w:lang w:eastAsia="lv-LV"/>
              </w:rPr>
              <w:t>nām</w:t>
            </w:r>
            <w:r w:rsidR="007E2DAD" w:rsidRPr="00076CEF">
              <w:rPr>
                <w:rFonts w:ascii="Times New Roman" w:eastAsia="Times New Roman" w:hAnsi="Times New Roman"/>
                <w:sz w:val="24"/>
                <w:szCs w:val="24"/>
                <w:lang w:eastAsia="lv-LV"/>
              </w:rPr>
              <w:t>,</w:t>
            </w:r>
            <w:r w:rsidR="00076CEF">
              <w:rPr>
                <w:rFonts w:ascii="Times New Roman" w:eastAsia="Times New Roman" w:hAnsi="Times New Roman"/>
                <w:sz w:val="24"/>
                <w:szCs w:val="24"/>
                <w:lang w:eastAsia="lv-LV"/>
              </w:rPr>
              <w:t xml:space="preserve"> paredzot</w:t>
            </w:r>
            <w:r w:rsidR="004F6482">
              <w:rPr>
                <w:rFonts w:ascii="Times New Roman" w:eastAsia="Times New Roman" w:hAnsi="Times New Roman"/>
                <w:sz w:val="24"/>
                <w:szCs w:val="24"/>
                <w:lang w:eastAsia="lv-LV"/>
              </w:rPr>
              <w:t xml:space="preserve"> kompensācijas</w:t>
            </w:r>
            <w:r w:rsidR="007E2DAD" w:rsidRPr="00076CEF">
              <w:rPr>
                <w:rFonts w:ascii="Times New Roman" w:eastAsia="Times New Roman" w:hAnsi="Times New Roman"/>
                <w:sz w:val="24"/>
                <w:szCs w:val="24"/>
                <w:lang w:eastAsia="lv-LV"/>
              </w:rPr>
              <w:t xml:space="preserve"> </w:t>
            </w:r>
            <w:r w:rsidR="00076CEF" w:rsidRPr="00076CEF">
              <w:rPr>
                <w:rFonts w:ascii="Times New Roman" w:eastAsia="Times New Roman" w:hAnsi="Times New Roman"/>
                <w:sz w:val="24"/>
                <w:szCs w:val="24"/>
                <w:lang w:eastAsia="lv-LV"/>
              </w:rPr>
              <w:t>apmēr</w:t>
            </w:r>
            <w:r w:rsidR="00076CEF">
              <w:rPr>
                <w:rFonts w:ascii="Times New Roman" w:eastAsia="Times New Roman" w:hAnsi="Times New Roman"/>
                <w:sz w:val="24"/>
                <w:szCs w:val="24"/>
                <w:lang w:eastAsia="lv-LV"/>
              </w:rPr>
              <w:t xml:space="preserve">u </w:t>
            </w:r>
            <w:r w:rsidR="007E2DAD" w:rsidRPr="00076CEF">
              <w:rPr>
                <w:rFonts w:ascii="Times New Roman" w:eastAsia="Times New Roman" w:hAnsi="Times New Roman"/>
                <w:sz w:val="24"/>
                <w:szCs w:val="24"/>
                <w:lang w:eastAsia="lv-LV"/>
              </w:rPr>
              <w:t>5 000 latu</w:t>
            </w:r>
            <w:r w:rsidR="006A618E">
              <w:rPr>
                <w:rFonts w:ascii="Times New Roman" w:eastAsia="Times New Roman" w:hAnsi="Times New Roman"/>
                <w:sz w:val="24"/>
                <w:szCs w:val="24"/>
                <w:lang w:eastAsia="lv-LV"/>
              </w:rPr>
              <w:t xml:space="preserve"> (</w:t>
            </w:r>
            <w:r w:rsidR="007B2A8A">
              <w:rPr>
                <w:rFonts w:ascii="Times New Roman" w:eastAsia="Times New Roman" w:hAnsi="Times New Roman"/>
                <w:sz w:val="24"/>
                <w:szCs w:val="24"/>
                <w:lang w:eastAsia="lv-LV"/>
              </w:rPr>
              <w:t xml:space="preserve">5 000 Ls/0.702804 =7 114.40 </w:t>
            </w:r>
            <w:proofErr w:type="spellStart"/>
            <w:r w:rsidR="007B2A8A">
              <w:rPr>
                <w:rFonts w:ascii="Times New Roman" w:eastAsia="Times New Roman" w:hAnsi="Times New Roman"/>
                <w:sz w:val="24"/>
                <w:szCs w:val="24"/>
                <w:lang w:eastAsia="lv-LV"/>
              </w:rPr>
              <w:t>euro</w:t>
            </w:r>
            <w:proofErr w:type="spellEnd"/>
            <w:r w:rsidR="007B2A8A">
              <w:rPr>
                <w:rFonts w:ascii="Times New Roman" w:eastAsia="Times New Roman" w:hAnsi="Times New Roman"/>
                <w:sz w:val="24"/>
                <w:szCs w:val="24"/>
                <w:lang w:eastAsia="lv-LV"/>
              </w:rPr>
              <w:t xml:space="preserve"> jeb </w:t>
            </w:r>
            <w:r w:rsidR="006A618E">
              <w:rPr>
                <w:rFonts w:ascii="Times New Roman" w:eastAsia="Times New Roman" w:hAnsi="Times New Roman"/>
                <w:sz w:val="24"/>
                <w:szCs w:val="24"/>
                <w:lang w:eastAsia="lv-LV"/>
              </w:rPr>
              <w:t xml:space="preserve">7 115 </w:t>
            </w:r>
            <w:proofErr w:type="spellStart"/>
            <w:r w:rsidR="006A618E">
              <w:rPr>
                <w:rFonts w:ascii="Times New Roman" w:eastAsia="Times New Roman" w:hAnsi="Times New Roman"/>
                <w:sz w:val="24"/>
                <w:szCs w:val="24"/>
                <w:lang w:eastAsia="lv-LV"/>
              </w:rPr>
              <w:t>euro</w:t>
            </w:r>
            <w:proofErr w:type="spellEnd"/>
            <w:r w:rsidR="006A618E">
              <w:rPr>
                <w:rFonts w:ascii="Times New Roman" w:eastAsia="Times New Roman" w:hAnsi="Times New Roman"/>
                <w:sz w:val="24"/>
                <w:szCs w:val="24"/>
                <w:lang w:eastAsia="lv-LV"/>
              </w:rPr>
              <w:t>)</w:t>
            </w:r>
            <w:r w:rsidR="00076CEF">
              <w:rPr>
                <w:rFonts w:ascii="Times New Roman" w:eastAsia="Times New Roman" w:hAnsi="Times New Roman"/>
                <w:sz w:val="24"/>
                <w:szCs w:val="24"/>
                <w:lang w:eastAsia="lv-LV"/>
              </w:rPr>
              <w:t xml:space="preserve"> katrai personai.</w:t>
            </w:r>
          </w:p>
          <w:p w:rsidR="003119E8" w:rsidRPr="00D31D42" w:rsidRDefault="00DA14EB" w:rsidP="0083648D">
            <w:pPr>
              <w:pStyle w:val="ListParagraph"/>
              <w:numPr>
                <w:ilvl w:val="0"/>
                <w:numId w:val="12"/>
              </w:numPr>
              <w:spacing w:after="0" w:line="240" w:lineRule="auto"/>
              <w:ind w:left="330" w:hanging="283"/>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2014.gadā -</w:t>
            </w:r>
            <w:r w:rsidR="0084474A">
              <w:rPr>
                <w:rFonts w:ascii="Times New Roman" w:eastAsia="Times New Roman" w:hAnsi="Times New Roman"/>
                <w:b/>
                <w:sz w:val="24"/>
                <w:szCs w:val="24"/>
                <w:lang w:eastAsia="lv-LV"/>
              </w:rPr>
              <w:t xml:space="preserve"> 510 0</w:t>
            </w:r>
            <w:r w:rsidR="004C0659">
              <w:rPr>
                <w:rFonts w:ascii="Times New Roman" w:eastAsia="Times New Roman" w:hAnsi="Times New Roman"/>
                <w:b/>
                <w:sz w:val="24"/>
                <w:szCs w:val="24"/>
                <w:lang w:eastAsia="lv-LV"/>
              </w:rPr>
              <w:t>46</w:t>
            </w:r>
            <w:r w:rsidR="0084474A">
              <w:rPr>
                <w:rFonts w:ascii="Times New Roman" w:eastAsia="Times New Roman" w:hAnsi="Times New Roman"/>
                <w:b/>
                <w:sz w:val="24"/>
                <w:szCs w:val="24"/>
                <w:lang w:eastAsia="lv-LV"/>
              </w:rPr>
              <w:t xml:space="preserve"> latu jeb </w:t>
            </w:r>
            <w:r>
              <w:rPr>
                <w:rFonts w:ascii="Times New Roman" w:eastAsia="Times New Roman" w:hAnsi="Times New Roman"/>
                <w:b/>
                <w:sz w:val="24"/>
                <w:szCs w:val="24"/>
                <w:lang w:eastAsia="lv-LV"/>
              </w:rPr>
              <w:t xml:space="preserve">725 </w:t>
            </w:r>
            <w:r w:rsidR="004C0659">
              <w:rPr>
                <w:rFonts w:ascii="Times New Roman" w:eastAsia="Times New Roman" w:hAnsi="Times New Roman"/>
                <w:b/>
                <w:sz w:val="24"/>
                <w:szCs w:val="24"/>
                <w:lang w:eastAsia="lv-LV"/>
              </w:rPr>
              <w:t xml:space="preserve">730 </w:t>
            </w:r>
            <w:proofErr w:type="spellStart"/>
            <w:r>
              <w:rPr>
                <w:rFonts w:ascii="Times New Roman" w:eastAsia="Times New Roman" w:hAnsi="Times New Roman"/>
                <w:b/>
                <w:sz w:val="24"/>
                <w:szCs w:val="24"/>
                <w:lang w:eastAsia="lv-LV"/>
              </w:rPr>
              <w:t>euro</w:t>
            </w:r>
            <w:proofErr w:type="spellEnd"/>
            <w:r w:rsidRPr="00D31D42">
              <w:rPr>
                <w:rFonts w:ascii="Times New Roman" w:eastAsia="Times New Roman" w:hAnsi="Times New Roman"/>
                <w:sz w:val="24"/>
                <w:szCs w:val="24"/>
                <w:lang w:eastAsia="lv-LV"/>
              </w:rPr>
              <w:t xml:space="preserve"> apmērā </w:t>
            </w:r>
            <w:r>
              <w:rPr>
                <w:rFonts w:ascii="Times New Roman" w:eastAsia="Times New Roman" w:hAnsi="Times New Roman"/>
                <w:sz w:val="24"/>
                <w:szCs w:val="24"/>
                <w:lang w:eastAsia="lv-LV"/>
              </w:rPr>
              <w:t xml:space="preserve">bojā gājušo personu </w:t>
            </w:r>
            <w:r w:rsidR="0083648D">
              <w:rPr>
                <w:rFonts w:ascii="Times New Roman" w:eastAsia="Times New Roman" w:hAnsi="Times New Roman"/>
                <w:sz w:val="24"/>
                <w:szCs w:val="24"/>
                <w:lang w:eastAsia="lv-LV"/>
              </w:rPr>
              <w:t xml:space="preserve">tuviniekiem </w:t>
            </w:r>
            <w:r w:rsidRPr="00D31D42">
              <w:rPr>
                <w:rFonts w:ascii="Times New Roman" w:eastAsia="Times New Roman" w:hAnsi="Times New Roman"/>
                <w:sz w:val="24"/>
                <w:szCs w:val="24"/>
                <w:lang w:eastAsia="lv-LV"/>
              </w:rPr>
              <w:t>– 10 000 latu</w:t>
            </w:r>
            <w:r>
              <w:rPr>
                <w:rFonts w:ascii="Times New Roman" w:eastAsia="Times New Roman" w:hAnsi="Times New Roman"/>
                <w:sz w:val="24"/>
                <w:szCs w:val="24"/>
                <w:lang w:eastAsia="lv-LV"/>
              </w:rPr>
              <w:t xml:space="preserve"> (jeb 14 </w:t>
            </w:r>
            <w:r w:rsidR="007B2A8A">
              <w:rPr>
                <w:rFonts w:ascii="Times New Roman" w:eastAsia="Times New Roman" w:hAnsi="Times New Roman"/>
                <w:sz w:val="24"/>
                <w:szCs w:val="24"/>
                <w:lang w:eastAsia="lv-LV"/>
              </w:rPr>
              <w:t xml:space="preserve">230 </w:t>
            </w:r>
            <w:proofErr w:type="spellStart"/>
            <w:r>
              <w:rPr>
                <w:rFonts w:ascii="Times New Roman" w:eastAsia="Times New Roman" w:hAnsi="Times New Roman"/>
                <w:sz w:val="24"/>
                <w:szCs w:val="24"/>
                <w:lang w:eastAsia="lv-LV"/>
              </w:rPr>
              <w:t>euro</w:t>
            </w:r>
            <w:proofErr w:type="spellEnd"/>
            <w:r>
              <w:rPr>
                <w:rFonts w:ascii="Times New Roman" w:eastAsia="Times New Roman" w:hAnsi="Times New Roman"/>
                <w:sz w:val="24"/>
                <w:szCs w:val="24"/>
                <w:lang w:eastAsia="lv-LV"/>
              </w:rPr>
              <w:t>) kompensāciju</w:t>
            </w:r>
            <w:r w:rsidRPr="00D31D4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par</w:t>
            </w:r>
            <w:r w:rsidRPr="00D31D42">
              <w:rPr>
                <w:rFonts w:ascii="Times New Roman" w:eastAsia="Times New Roman" w:hAnsi="Times New Roman"/>
                <w:sz w:val="24"/>
                <w:szCs w:val="24"/>
                <w:lang w:eastAsia="lv-LV"/>
              </w:rPr>
              <w:t xml:space="preserve"> 5</w:t>
            </w:r>
            <w:r>
              <w:rPr>
                <w:rFonts w:ascii="Times New Roman" w:eastAsia="Times New Roman" w:hAnsi="Times New Roman"/>
                <w:sz w:val="24"/>
                <w:szCs w:val="24"/>
                <w:lang w:eastAsia="lv-LV"/>
              </w:rPr>
              <w:t>1</w:t>
            </w:r>
            <w:r w:rsidRPr="00D31D42">
              <w:rPr>
                <w:rFonts w:ascii="Times New Roman" w:eastAsia="Times New Roman" w:hAnsi="Times New Roman"/>
                <w:sz w:val="24"/>
                <w:szCs w:val="24"/>
                <w:lang w:eastAsia="lv-LV"/>
              </w:rPr>
              <w:t xml:space="preserve"> person</w:t>
            </w:r>
            <w:r>
              <w:rPr>
                <w:rFonts w:ascii="Times New Roman" w:eastAsia="Times New Roman" w:hAnsi="Times New Roman"/>
                <w:sz w:val="24"/>
                <w:szCs w:val="24"/>
                <w:lang w:eastAsia="lv-LV"/>
              </w:rPr>
              <w:t>u</w:t>
            </w:r>
            <w:r w:rsidR="007F5955">
              <w:rPr>
                <w:rFonts w:ascii="Times New Roman" w:eastAsia="Times New Roman" w:hAnsi="Times New Roman"/>
                <w:sz w:val="24"/>
                <w:szCs w:val="24"/>
                <w:lang w:eastAsia="lv-LV"/>
              </w:rPr>
              <w:t>.</w:t>
            </w:r>
            <w:r w:rsidR="00AB35CE">
              <w:rPr>
                <w:rFonts w:ascii="Times New Roman" w:eastAsia="Times New Roman" w:hAnsi="Times New Roman"/>
                <w:sz w:val="24"/>
                <w:szCs w:val="24"/>
                <w:lang w:eastAsia="lv-LV"/>
              </w:rPr>
              <w:t xml:space="preserve"> </w:t>
            </w:r>
            <w:r w:rsidR="007B2A8A">
              <w:rPr>
                <w:rFonts w:ascii="Times New Roman" w:eastAsia="Times New Roman" w:hAnsi="Times New Roman"/>
                <w:sz w:val="24"/>
                <w:szCs w:val="24"/>
                <w:lang w:eastAsia="lv-LV"/>
              </w:rPr>
              <w:t>10 000 Ls/0,702804=</w:t>
            </w:r>
            <w:r w:rsidR="00AB35CE">
              <w:rPr>
                <w:rFonts w:ascii="Times New Roman" w:eastAsia="Times New Roman" w:hAnsi="Times New Roman"/>
                <w:sz w:val="24"/>
                <w:szCs w:val="24"/>
                <w:lang w:eastAsia="lv-LV"/>
              </w:rPr>
              <w:t>14</w:t>
            </w:r>
            <w:r w:rsidR="007B2A8A">
              <w:rPr>
                <w:rFonts w:ascii="Times New Roman" w:eastAsia="Times New Roman" w:hAnsi="Times New Roman"/>
                <w:sz w:val="24"/>
                <w:szCs w:val="24"/>
                <w:lang w:eastAsia="lv-LV"/>
              </w:rPr>
              <w:t> </w:t>
            </w:r>
            <w:r w:rsidR="00AB35CE">
              <w:rPr>
                <w:rFonts w:ascii="Times New Roman" w:eastAsia="Times New Roman" w:hAnsi="Times New Roman"/>
                <w:sz w:val="24"/>
                <w:szCs w:val="24"/>
                <w:lang w:eastAsia="lv-LV"/>
              </w:rPr>
              <w:t>2</w:t>
            </w:r>
            <w:r w:rsidR="007B2A8A">
              <w:rPr>
                <w:rFonts w:ascii="Times New Roman" w:eastAsia="Times New Roman" w:hAnsi="Times New Roman"/>
                <w:sz w:val="24"/>
                <w:szCs w:val="24"/>
                <w:lang w:eastAsia="lv-LV"/>
              </w:rPr>
              <w:t>28.72</w:t>
            </w:r>
            <w:r w:rsidR="00AB35CE">
              <w:rPr>
                <w:rFonts w:ascii="Times New Roman" w:eastAsia="Times New Roman" w:hAnsi="Times New Roman"/>
                <w:sz w:val="24"/>
                <w:szCs w:val="24"/>
                <w:lang w:eastAsia="lv-LV"/>
              </w:rPr>
              <w:t xml:space="preserve"> </w:t>
            </w:r>
            <w:proofErr w:type="spellStart"/>
            <w:r w:rsidR="00AB35CE">
              <w:rPr>
                <w:rFonts w:ascii="Times New Roman" w:eastAsia="Times New Roman" w:hAnsi="Times New Roman"/>
                <w:sz w:val="24"/>
                <w:szCs w:val="24"/>
                <w:lang w:eastAsia="lv-LV"/>
              </w:rPr>
              <w:t>euro</w:t>
            </w:r>
            <w:proofErr w:type="spellEnd"/>
            <w:r w:rsidR="007B2A8A">
              <w:rPr>
                <w:rFonts w:ascii="Times New Roman" w:eastAsia="Times New Roman" w:hAnsi="Times New Roman"/>
                <w:sz w:val="24"/>
                <w:szCs w:val="24"/>
                <w:lang w:eastAsia="lv-LV"/>
              </w:rPr>
              <w:t xml:space="preserve"> jeb 14 230 </w:t>
            </w:r>
            <w:proofErr w:type="spellStart"/>
            <w:r w:rsidR="007B2A8A">
              <w:rPr>
                <w:rFonts w:ascii="Times New Roman" w:eastAsia="Times New Roman" w:hAnsi="Times New Roman"/>
                <w:sz w:val="24"/>
                <w:szCs w:val="24"/>
                <w:lang w:eastAsia="lv-LV"/>
              </w:rPr>
              <w:t>euro</w:t>
            </w:r>
            <w:proofErr w:type="spellEnd"/>
            <w:r w:rsidR="007B2A8A">
              <w:rPr>
                <w:rFonts w:ascii="Times New Roman" w:eastAsia="Times New Roman" w:hAnsi="Times New Roman"/>
                <w:sz w:val="24"/>
                <w:szCs w:val="24"/>
                <w:lang w:eastAsia="lv-LV"/>
              </w:rPr>
              <w:t xml:space="preserve"> </w:t>
            </w:r>
            <w:r w:rsidR="00AB35CE">
              <w:rPr>
                <w:rFonts w:ascii="Times New Roman" w:eastAsia="Times New Roman" w:hAnsi="Times New Roman"/>
                <w:sz w:val="24"/>
                <w:szCs w:val="24"/>
                <w:lang w:eastAsia="lv-LV"/>
              </w:rPr>
              <w:t>* 51 persona= 725 </w:t>
            </w:r>
            <w:r w:rsidR="007B2A8A">
              <w:rPr>
                <w:rFonts w:ascii="Times New Roman" w:eastAsia="Times New Roman" w:hAnsi="Times New Roman"/>
                <w:sz w:val="24"/>
                <w:szCs w:val="24"/>
                <w:lang w:eastAsia="lv-LV"/>
              </w:rPr>
              <w:t>730</w:t>
            </w:r>
            <w:r w:rsidR="00AB35CE">
              <w:rPr>
                <w:rFonts w:ascii="Times New Roman" w:eastAsia="Times New Roman" w:hAnsi="Times New Roman"/>
                <w:sz w:val="24"/>
                <w:szCs w:val="24"/>
                <w:lang w:eastAsia="lv-LV"/>
              </w:rPr>
              <w:t xml:space="preserve"> </w:t>
            </w:r>
            <w:proofErr w:type="spellStart"/>
            <w:r w:rsidR="00AB35CE">
              <w:rPr>
                <w:rFonts w:ascii="Times New Roman" w:eastAsia="Times New Roman" w:hAnsi="Times New Roman"/>
                <w:sz w:val="24"/>
                <w:szCs w:val="24"/>
                <w:lang w:eastAsia="lv-LV"/>
              </w:rPr>
              <w:t>euro</w:t>
            </w:r>
            <w:proofErr w:type="spellEnd"/>
            <w:r w:rsidR="00AB35CE">
              <w:rPr>
                <w:rFonts w:ascii="Times New Roman" w:eastAsia="Times New Roman" w:hAnsi="Times New Roman"/>
                <w:sz w:val="24"/>
                <w:szCs w:val="24"/>
                <w:lang w:eastAsia="lv-LV"/>
              </w:rPr>
              <w:t>.</w:t>
            </w:r>
            <w:r w:rsidR="007B2A8A">
              <w:rPr>
                <w:rFonts w:ascii="Times New Roman" w:eastAsia="Times New Roman" w:hAnsi="Times New Roman"/>
                <w:sz w:val="24"/>
                <w:szCs w:val="24"/>
                <w:lang w:eastAsia="lv-LV"/>
              </w:rPr>
              <w:t xml:space="preserve"> Lai nodrošinātu kompensācijas izmaksu bojā gājušo </w:t>
            </w:r>
            <w:r w:rsidR="00D74217">
              <w:rPr>
                <w:rFonts w:ascii="Times New Roman" w:eastAsia="Times New Roman" w:hAnsi="Times New Roman"/>
                <w:sz w:val="24"/>
                <w:szCs w:val="24"/>
                <w:lang w:eastAsia="lv-LV"/>
              </w:rPr>
              <w:t>tuviniekiem</w:t>
            </w:r>
            <w:r w:rsidR="007B2A8A">
              <w:rPr>
                <w:rFonts w:ascii="Times New Roman" w:eastAsia="Times New Roman" w:hAnsi="Times New Roman"/>
                <w:sz w:val="24"/>
                <w:szCs w:val="24"/>
                <w:lang w:eastAsia="lv-LV"/>
              </w:rPr>
              <w:t>, veikta matemātiskās konvertācijas rezultātā iegūtā kompensācijas apmēra noapaļošana līdz tuvākaja</w:t>
            </w:r>
            <w:r w:rsidR="00C50CB6">
              <w:rPr>
                <w:rFonts w:ascii="Times New Roman" w:eastAsia="Times New Roman" w:hAnsi="Times New Roman"/>
                <w:sz w:val="24"/>
                <w:szCs w:val="24"/>
                <w:lang w:eastAsia="lv-LV"/>
              </w:rPr>
              <w:t>i</w:t>
            </w:r>
            <w:r w:rsidR="007B2A8A">
              <w:rPr>
                <w:rFonts w:ascii="Times New Roman" w:eastAsia="Times New Roman" w:hAnsi="Times New Roman"/>
                <w:sz w:val="24"/>
                <w:szCs w:val="24"/>
                <w:lang w:eastAsia="lv-LV"/>
              </w:rPr>
              <w:t xml:space="preserve"> desmitdaļai. Minētā pieeja nodrošinās labvēlīgākus nosacījumus kompensācijas saņēmējam, neradot būtisku ietekmi uz valsts budžetu, kā arī nodrošinās kompensācijas apmēra vienkāršāku administrēšanu.</w:t>
            </w:r>
          </w:p>
        </w:tc>
      </w:tr>
      <w:tr w:rsidR="003119E8" w:rsidRPr="003119E8" w:rsidTr="004D72F0">
        <w:trPr>
          <w:gridAfter w:val="1"/>
          <w:wAfter w:w="38" w:type="pct"/>
        </w:trPr>
        <w:tc>
          <w:tcPr>
            <w:tcW w:w="930"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6.1. Detalizēts ieņēmumu aprēķins;</w:t>
            </w:r>
          </w:p>
        </w:tc>
        <w:tc>
          <w:tcPr>
            <w:tcW w:w="4031" w:type="pct"/>
            <w:gridSpan w:val="9"/>
            <w:vAlign w:val="center"/>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Nav attiecināms.</w:t>
            </w:r>
          </w:p>
        </w:tc>
      </w:tr>
      <w:tr w:rsidR="003119E8" w:rsidRPr="003119E8" w:rsidTr="004D72F0">
        <w:trPr>
          <w:gridAfter w:val="1"/>
          <w:wAfter w:w="38" w:type="pct"/>
        </w:trPr>
        <w:tc>
          <w:tcPr>
            <w:tcW w:w="930" w:type="pct"/>
            <w:gridSpan w:val="3"/>
          </w:tcPr>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6.2. Detalizēts izdevumu aprēķins</w:t>
            </w:r>
          </w:p>
        </w:tc>
        <w:tc>
          <w:tcPr>
            <w:tcW w:w="4031" w:type="pct"/>
            <w:gridSpan w:val="9"/>
          </w:tcPr>
          <w:p w:rsidR="003119E8" w:rsidRPr="003119E8" w:rsidRDefault="003119E8" w:rsidP="003119E8">
            <w:pPr>
              <w:spacing w:after="0" w:line="240" w:lineRule="auto"/>
              <w:rPr>
                <w:rFonts w:ascii="Times New Roman" w:eastAsia="Times New Roman" w:hAnsi="Times New Roman"/>
                <w:sz w:val="24"/>
                <w:szCs w:val="24"/>
                <w:lang w:eastAsia="lv-LV"/>
              </w:rPr>
            </w:pPr>
          </w:p>
          <w:p w:rsidR="003119E8" w:rsidRPr="003119E8" w:rsidRDefault="003119E8" w:rsidP="003119E8">
            <w:pPr>
              <w:spacing w:after="0" w:line="240" w:lineRule="auto"/>
              <w:rPr>
                <w:rFonts w:ascii="Times New Roman" w:eastAsia="Times New Roman" w:hAnsi="Times New Roman"/>
                <w:sz w:val="24"/>
                <w:szCs w:val="24"/>
                <w:lang w:eastAsia="lv-LV"/>
              </w:rPr>
            </w:pPr>
            <w:r w:rsidRPr="003119E8">
              <w:rPr>
                <w:rFonts w:ascii="Times New Roman" w:eastAsia="Times New Roman" w:hAnsi="Times New Roman"/>
                <w:sz w:val="24"/>
                <w:szCs w:val="24"/>
                <w:lang w:eastAsia="lv-LV"/>
              </w:rPr>
              <w:t>Nav attiecināms.</w:t>
            </w:r>
          </w:p>
        </w:tc>
      </w:tr>
      <w:tr w:rsidR="003119E8" w:rsidRPr="003119E8" w:rsidTr="004D72F0">
        <w:trPr>
          <w:gridAfter w:val="1"/>
          <w:wAfter w:w="38" w:type="pct"/>
        </w:trPr>
        <w:tc>
          <w:tcPr>
            <w:tcW w:w="930" w:type="pct"/>
            <w:gridSpan w:val="3"/>
          </w:tcPr>
          <w:p w:rsidR="003119E8" w:rsidRPr="00B30D40" w:rsidRDefault="003119E8" w:rsidP="003119E8">
            <w:pPr>
              <w:spacing w:after="0" w:line="240" w:lineRule="auto"/>
              <w:rPr>
                <w:rFonts w:ascii="Times New Roman" w:eastAsia="Times New Roman" w:hAnsi="Times New Roman"/>
                <w:sz w:val="24"/>
                <w:szCs w:val="24"/>
                <w:lang w:eastAsia="lv-LV"/>
              </w:rPr>
            </w:pPr>
            <w:r w:rsidRPr="00B30D40">
              <w:rPr>
                <w:rFonts w:ascii="Times New Roman" w:eastAsia="Times New Roman" w:hAnsi="Times New Roman"/>
                <w:sz w:val="24"/>
                <w:szCs w:val="24"/>
                <w:lang w:eastAsia="lv-LV"/>
              </w:rPr>
              <w:t xml:space="preserve">7. Cita </w:t>
            </w:r>
            <w:r w:rsidRPr="00B30D40">
              <w:rPr>
                <w:rFonts w:ascii="Times New Roman" w:eastAsia="Times New Roman" w:hAnsi="Times New Roman"/>
                <w:sz w:val="24"/>
                <w:szCs w:val="24"/>
                <w:lang w:eastAsia="lv-LV"/>
              </w:rPr>
              <w:lastRenderedPageBreak/>
              <w:t>informācija</w:t>
            </w:r>
          </w:p>
        </w:tc>
        <w:tc>
          <w:tcPr>
            <w:tcW w:w="4031" w:type="pct"/>
            <w:gridSpan w:val="9"/>
          </w:tcPr>
          <w:p w:rsidR="00DA14EB" w:rsidRPr="00B30D40" w:rsidRDefault="00DA14EB" w:rsidP="00DA14EB">
            <w:pPr>
              <w:spacing w:after="0" w:line="240" w:lineRule="auto"/>
              <w:jc w:val="both"/>
              <w:rPr>
                <w:rFonts w:ascii="Times New Roman" w:eastAsia="Times New Roman" w:hAnsi="Times New Roman"/>
                <w:sz w:val="24"/>
                <w:szCs w:val="24"/>
                <w:lang w:eastAsia="lv-LV"/>
              </w:rPr>
            </w:pPr>
            <w:r w:rsidRPr="00B30D40">
              <w:rPr>
                <w:rFonts w:ascii="Times New Roman" w:eastAsia="Times New Roman" w:hAnsi="Times New Roman"/>
                <w:sz w:val="24"/>
                <w:szCs w:val="24"/>
                <w:lang w:eastAsia="lv-LV"/>
              </w:rPr>
              <w:lastRenderedPageBreak/>
              <w:t xml:space="preserve">Traģēdijā cietušo personu un bojā gājušo </w:t>
            </w:r>
            <w:r w:rsidR="002D28D3">
              <w:rPr>
                <w:rFonts w:ascii="Times New Roman" w:eastAsia="Times New Roman" w:hAnsi="Times New Roman"/>
                <w:sz w:val="24"/>
                <w:szCs w:val="24"/>
                <w:lang w:eastAsia="lv-LV"/>
              </w:rPr>
              <w:t>personu tuviniekiem</w:t>
            </w:r>
            <w:r w:rsidR="002D28D3" w:rsidRPr="00B30D40">
              <w:rPr>
                <w:rFonts w:ascii="Times New Roman" w:eastAsia="Times New Roman" w:hAnsi="Times New Roman"/>
                <w:sz w:val="24"/>
                <w:szCs w:val="24"/>
                <w:lang w:eastAsia="lv-LV"/>
              </w:rPr>
              <w:t xml:space="preserve"> </w:t>
            </w:r>
            <w:r w:rsidRPr="00B30D40">
              <w:rPr>
                <w:rFonts w:ascii="Times New Roman" w:eastAsia="Times New Roman" w:hAnsi="Times New Roman"/>
                <w:sz w:val="24"/>
                <w:szCs w:val="24"/>
                <w:lang w:eastAsia="lv-LV"/>
              </w:rPr>
              <w:lastRenderedPageBreak/>
              <w:t xml:space="preserve">izmaksātajām kompensācijām netiek piemēroti normatīvajos aktos noteiktie nodokļi. </w:t>
            </w:r>
          </w:p>
          <w:p w:rsidR="00AD2FD2" w:rsidRPr="00B30D40" w:rsidRDefault="00D74217" w:rsidP="00D74217">
            <w:pPr>
              <w:spacing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Tā kā projektā paredzēts, ka Valsts sociālās apdrošināšanas aģentūra iesniegumu par kompensācijas pieprasīšanu pieņems līdz 2014.gada 1.jūlijam un trīs mēnešu laikā pieņems lēmumu par kompensācijas izmaksu, projektam ir ietekme uz 2014.gada budžetu. </w:t>
            </w:r>
            <w:r w:rsidR="00D31D42" w:rsidRPr="00B30D40">
              <w:rPr>
                <w:rFonts w:ascii="Times New Roman" w:eastAsia="Times New Roman" w:hAnsi="Times New Roman"/>
                <w:sz w:val="24"/>
                <w:szCs w:val="24"/>
                <w:lang w:eastAsia="lv-LV"/>
              </w:rPr>
              <w:t>Tiek prognozēts, ka visas cietušas personas kompensācijas saņems šogad</w:t>
            </w:r>
            <w:r w:rsidR="008C1FFB" w:rsidRPr="00B30D40">
              <w:rPr>
                <w:rFonts w:ascii="Times New Roman" w:eastAsia="Times New Roman" w:hAnsi="Times New Roman"/>
                <w:sz w:val="24"/>
                <w:szCs w:val="24"/>
                <w:lang w:eastAsia="lv-LV"/>
              </w:rPr>
              <w:t>. Tomēr ievērojot, ka atsevišķas cietu</w:t>
            </w:r>
            <w:r w:rsidR="00D94BDE" w:rsidRPr="00B30D40">
              <w:rPr>
                <w:rFonts w:ascii="Times New Roman" w:eastAsia="Times New Roman" w:hAnsi="Times New Roman"/>
                <w:sz w:val="24"/>
                <w:szCs w:val="24"/>
                <w:lang w:eastAsia="lv-LV"/>
              </w:rPr>
              <w:t>šā</w:t>
            </w:r>
            <w:r w:rsidR="008C1FFB" w:rsidRPr="00B30D40">
              <w:rPr>
                <w:rFonts w:ascii="Times New Roman" w:eastAsia="Times New Roman" w:hAnsi="Times New Roman"/>
                <w:sz w:val="24"/>
                <w:szCs w:val="24"/>
                <w:lang w:eastAsia="lv-LV"/>
              </w:rPr>
              <w:t xml:space="preserve">s personas vēl atrodas stacionārā un tām būs </w:t>
            </w:r>
            <w:r w:rsidR="00D94BDE" w:rsidRPr="00B30D40">
              <w:rPr>
                <w:rFonts w:ascii="Times New Roman" w:eastAsia="Times New Roman" w:hAnsi="Times New Roman"/>
                <w:sz w:val="24"/>
                <w:szCs w:val="24"/>
                <w:lang w:eastAsia="lv-LV"/>
              </w:rPr>
              <w:t>nepieciešama ilgstoša ārstēšana, pastāv iespēja, ka ne visām cietušajām personām būs iespēja veselības stāvokļa dēļ pieteik</w:t>
            </w:r>
            <w:r w:rsidR="00C50CB6">
              <w:rPr>
                <w:rFonts w:ascii="Times New Roman" w:eastAsia="Times New Roman" w:hAnsi="Times New Roman"/>
                <w:sz w:val="24"/>
                <w:szCs w:val="24"/>
                <w:lang w:eastAsia="lv-LV"/>
              </w:rPr>
              <w:t>t</w:t>
            </w:r>
            <w:r w:rsidR="00D94BDE" w:rsidRPr="00B30D40">
              <w:rPr>
                <w:rFonts w:ascii="Times New Roman" w:eastAsia="Times New Roman" w:hAnsi="Times New Roman"/>
                <w:sz w:val="24"/>
                <w:szCs w:val="24"/>
                <w:lang w:eastAsia="lv-LV"/>
              </w:rPr>
              <w:t>ies kompensāciju izmaksai 2013.gadā.</w:t>
            </w:r>
            <w:r w:rsidR="008C1FFB" w:rsidRPr="00B30D40">
              <w:rPr>
                <w:rFonts w:ascii="Times New Roman" w:eastAsia="Times New Roman" w:hAnsi="Times New Roman"/>
                <w:sz w:val="24"/>
                <w:szCs w:val="24"/>
                <w:lang w:eastAsia="lv-LV"/>
              </w:rPr>
              <w:t xml:space="preserve"> </w:t>
            </w:r>
            <w:r w:rsidR="006A618E" w:rsidRPr="00B30D40">
              <w:rPr>
                <w:rFonts w:ascii="Times New Roman" w:eastAsia="Times New Roman" w:hAnsi="Times New Roman"/>
                <w:sz w:val="24"/>
                <w:szCs w:val="24"/>
                <w:lang w:eastAsia="lv-LV"/>
              </w:rPr>
              <w:t xml:space="preserve"> </w:t>
            </w:r>
            <w:r w:rsidR="00D94BDE" w:rsidRPr="00B30D40">
              <w:rPr>
                <w:rFonts w:ascii="Times New Roman" w:eastAsia="Times New Roman" w:hAnsi="Times New Roman"/>
                <w:sz w:val="24"/>
                <w:szCs w:val="24"/>
                <w:lang w:eastAsia="lv-LV"/>
              </w:rPr>
              <w:t>G</w:t>
            </w:r>
            <w:r w:rsidR="006A618E" w:rsidRPr="00B30D40">
              <w:rPr>
                <w:rFonts w:ascii="Times New Roman" w:eastAsia="Times New Roman" w:hAnsi="Times New Roman"/>
                <w:sz w:val="24"/>
                <w:szCs w:val="24"/>
                <w:lang w:eastAsia="lv-LV"/>
              </w:rPr>
              <w:t xml:space="preserve">adījumā, ja visas cietušās personas šogad neiesniegs pieteikumus kompensācijas izmaksai, </w:t>
            </w:r>
            <w:r w:rsidR="00AD61A7" w:rsidRPr="00B30D40">
              <w:rPr>
                <w:rFonts w:ascii="Times New Roman" w:eastAsia="Times New Roman" w:hAnsi="Times New Roman"/>
                <w:sz w:val="24"/>
                <w:szCs w:val="24"/>
                <w:lang w:eastAsia="lv-LV"/>
              </w:rPr>
              <w:t>Valsts sociālās apdrošināšanas aģentūra</w:t>
            </w:r>
            <w:r w:rsidR="006A618E" w:rsidRPr="00B30D40">
              <w:rPr>
                <w:rFonts w:ascii="Times New Roman" w:eastAsia="Times New Roman" w:hAnsi="Times New Roman"/>
                <w:sz w:val="24"/>
                <w:szCs w:val="24"/>
                <w:lang w:eastAsia="lv-LV"/>
              </w:rPr>
              <w:t xml:space="preserve"> kompensāciju izmaksu veiks no 2014.gadā papildus piešķirtā finansējuma, nepieciešamības gadījumā sagatavojot papildus finansējuma pieprasījumu</w:t>
            </w:r>
            <w:r w:rsidR="00DF23D6" w:rsidRPr="00B30D40">
              <w:rPr>
                <w:rFonts w:ascii="Times New Roman" w:eastAsia="Times New Roman" w:hAnsi="Times New Roman"/>
                <w:sz w:val="24"/>
                <w:szCs w:val="24"/>
                <w:lang w:eastAsia="lv-LV"/>
              </w:rPr>
              <w:t xml:space="preserve"> no 74.resora „Gadskārtēja valsts budžeta izpildes procesā pārdalāmais finansējums” programmas 02.00.00 „Līdzekļi neparedzētiem gadījumiem”</w:t>
            </w:r>
            <w:r w:rsidR="006A618E" w:rsidRPr="00B30D40">
              <w:rPr>
                <w:rFonts w:ascii="Times New Roman" w:eastAsia="Times New Roman" w:hAnsi="Times New Roman"/>
                <w:sz w:val="24"/>
                <w:szCs w:val="24"/>
                <w:lang w:eastAsia="lv-LV"/>
              </w:rPr>
              <w:t xml:space="preserve">, lai </w:t>
            </w:r>
            <w:r w:rsidR="00240610" w:rsidRPr="00B30D40">
              <w:rPr>
                <w:rFonts w:ascii="Times New Roman" w:eastAsia="Times New Roman" w:hAnsi="Times New Roman"/>
                <w:sz w:val="24"/>
                <w:szCs w:val="24"/>
                <w:lang w:eastAsia="lv-LV"/>
              </w:rPr>
              <w:t>nodrošināt</w:t>
            </w:r>
            <w:r w:rsidR="00240610">
              <w:rPr>
                <w:rFonts w:ascii="Times New Roman" w:eastAsia="Times New Roman" w:hAnsi="Times New Roman"/>
                <w:sz w:val="24"/>
                <w:szCs w:val="24"/>
                <w:lang w:eastAsia="lv-LV"/>
              </w:rPr>
              <w:t>u</w:t>
            </w:r>
            <w:r w:rsidR="00240610" w:rsidRPr="00B30D40">
              <w:rPr>
                <w:rFonts w:ascii="Times New Roman" w:eastAsia="Times New Roman" w:hAnsi="Times New Roman"/>
                <w:sz w:val="24"/>
                <w:szCs w:val="24"/>
                <w:lang w:eastAsia="lv-LV"/>
              </w:rPr>
              <w:t xml:space="preserve"> </w:t>
            </w:r>
            <w:r w:rsidR="006A618E" w:rsidRPr="00B30D40">
              <w:rPr>
                <w:rFonts w:ascii="Times New Roman" w:eastAsia="Times New Roman" w:hAnsi="Times New Roman"/>
                <w:sz w:val="24"/>
                <w:szCs w:val="24"/>
                <w:lang w:eastAsia="lv-LV"/>
              </w:rPr>
              <w:t xml:space="preserve">traģēdijā cietušajām personām un </w:t>
            </w:r>
            <w:r w:rsidRPr="002D28D3">
              <w:rPr>
                <w:rFonts w:ascii="Times New Roman" w:eastAsia="Times New Roman" w:hAnsi="Times New Roman"/>
                <w:sz w:val="24"/>
                <w:szCs w:val="24"/>
                <w:lang w:eastAsia="lv-LV"/>
              </w:rPr>
              <w:t>bojā gājušās personas laulātajam vai personai, kas realizē aizgādību par bojā gājušās personas nepilngadīgu bērnu, un lejupējiem radiniekiem (bērniem vai mazbērniem, ja bērnu nav), bet, ja lejupējo nav, tad tuvākās pakāpes augšupējiem radiniekiem (vecākiem vai vecvecākiem, ja vecāku nav)</w:t>
            </w:r>
            <w:r>
              <w:rPr>
                <w:rFonts w:ascii="Times New Roman" w:eastAsia="Times New Roman" w:hAnsi="Times New Roman"/>
                <w:sz w:val="24"/>
                <w:szCs w:val="24"/>
                <w:lang w:eastAsia="lv-LV"/>
              </w:rPr>
              <w:t xml:space="preserve"> </w:t>
            </w:r>
            <w:r w:rsidR="006A618E" w:rsidRPr="00B30D40">
              <w:rPr>
                <w:rFonts w:ascii="Times New Roman" w:eastAsia="Times New Roman" w:hAnsi="Times New Roman"/>
                <w:sz w:val="24"/>
                <w:szCs w:val="24"/>
                <w:lang w:eastAsia="lv-LV"/>
              </w:rPr>
              <w:t xml:space="preserve">kompensācijas izmaksas pilnā apmērā. </w:t>
            </w:r>
          </w:p>
        </w:tc>
      </w:tr>
      <w:tr w:rsidR="007B2A8A" w:rsidRPr="00174045" w:rsidTr="004D72F0">
        <w:trPr>
          <w:gridBefore w:val="1"/>
          <w:wBefore w:w="38" w:type="pct"/>
        </w:trPr>
        <w:tc>
          <w:tcPr>
            <w:tcW w:w="4962" w:type="pct"/>
            <w:gridSpan w:val="12"/>
          </w:tcPr>
          <w:p w:rsidR="00174045" w:rsidRPr="00174045" w:rsidRDefault="00174045" w:rsidP="00174045">
            <w:pPr>
              <w:spacing w:after="0" w:line="240" w:lineRule="auto"/>
              <w:jc w:val="center"/>
              <w:rPr>
                <w:rFonts w:ascii="Times New Roman" w:eastAsia="Times New Roman" w:hAnsi="Times New Roman"/>
                <w:b/>
                <w:sz w:val="24"/>
                <w:szCs w:val="24"/>
                <w:lang w:eastAsia="lv-LV"/>
              </w:rPr>
            </w:pPr>
            <w:r w:rsidRPr="00174045">
              <w:rPr>
                <w:rFonts w:ascii="Times New Roman" w:eastAsia="Times New Roman" w:hAnsi="Times New Roman"/>
                <w:b/>
                <w:sz w:val="24"/>
                <w:szCs w:val="24"/>
                <w:lang w:eastAsia="lv-LV"/>
              </w:rPr>
              <w:lastRenderedPageBreak/>
              <w:t xml:space="preserve">VII Tiesību </w:t>
            </w:r>
            <w:smartTag w:uri="schemas-tilde-lv/tildestengine" w:element="veidnes">
              <w:smartTagPr>
                <w:attr w:name="text" w:val="akta"/>
                <w:attr w:name="id" w:val="-1"/>
                <w:attr w:name="baseform" w:val="akt|s"/>
              </w:smartTagPr>
              <w:r w:rsidRPr="00174045">
                <w:rPr>
                  <w:rFonts w:ascii="Times New Roman" w:eastAsia="Times New Roman" w:hAnsi="Times New Roman"/>
                  <w:b/>
                  <w:sz w:val="24"/>
                  <w:szCs w:val="24"/>
                  <w:lang w:eastAsia="lv-LV"/>
                </w:rPr>
                <w:t>akta</w:t>
              </w:r>
            </w:smartTag>
            <w:r w:rsidRPr="00174045">
              <w:rPr>
                <w:rFonts w:ascii="Times New Roman" w:eastAsia="Times New Roman" w:hAnsi="Times New Roman"/>
                <w:b/>
                <w:sz w:val="24"/>
                <w:szCs w:val="24"/>
                <w:lang w:eastAsia="lv-LV"/>
              </w:rPr>
              <w:t xml:space="preserve"> projekta izpildes nodrošināšana un tās ietekme uz institūcijām</w:t>
            </w:r>
          </w:p>
        </w:tc>
      </w:tr>
      <w:tr w:rsidR="007B2A8A" w:rsidRPr="00174045" w:rsidTr="004D72F0">
        <w:trPr>
          <w:gridBefore w:val="1"/>
          <w:wBefore w:w="38" w:type="pct"/>
        </w:trPr>
        <w:tc>
          <w:tcPr>
            <w:tcW w:w="212" w:type="pct"/>
          </w:tcPr>
          <w:p w:rsidR="00C241E8" w:rsidRPr="00174045" w:rsidRDefault="00C241E8"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 xml:space="preserve">1. </w:t>
            </w:r>
          </w:p>
        </w:tc>
        <w:tc>
          <w:tcPr>
            <w:tcW w:w="2154" w:type="pct"/>
            <w:gridSpan w:val="3"/>
          </w:tcPr>
          <w:p w:rsidR="00C241E8" w:rsidRPr="00174045" w:rsidRDefault="00C241E8"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Projekta izpildē iesaistītās institūcijas</w:t>
            </w:r>
          </w:p>
        </w:tc>
        <w:tc>
          <w:tcPr>
            <w:tcW w:w="2596" w:type="pct"/>
            <w:gridSpan w:val="8"/>
          </w:tcPr>
          <w:p w:rsidR="00C241E8" w:rsidRPr="00174045" w:rsidRDefault="00C241E8" w:rsidP="00C136B8">
            <w:pPr>
              <w:spacing w:after="0" w:line="240" w:lineRule="auto"/>
              <w:ind w:firstLine="12"/>
              <w:jc w:val="both"/>
              <w:rPr>
                <w:rFonts w:ascii="Times New Roman" w:eastAsia="Times New Roman" w:hAnsi="Times New Roman"/>
                <w:i/>
                <w:sz w:val="24"/>
                <w:szCs w:val="24"/>
                <w:lang w:eastAsia="lv-LV"/>
              </w:rPr>
            </w:pPr>
            <w:r w:rsidRPr="00174045">
              <w:rPr>
                <w:rFonts w:ascii="Times New Roman" w:eastAsia="Times New Roman" w:hAnsi="Times New Roman"/>
                <w:sz w:val="24"/>
                <w:szCs w:val="24"/>
                <w:lang w:eastAsia="lv-LV"/>
              </w:rPr>
              <w:t>Projekta izpildi nodrošinās</w:t>
            </w:r>
            <w:r>
              <w:rPr>
                <w:rFonts w:ascii="Times New Roman" w:eastAsia="Times New Roman" w:hAnsi="Times New Roman"/>
                <w:sz w:val="24"/>
                <w:szCs w:val="24"/>
                <w:lang w:eastAsia="lv-LV"/>
              </w:rPr>
              <w:t xml:space="preserve"> Valsts sociālās apdrošināšanas aģentūra, pamatojoties uz kompetento institūciju sniegto informāciju par cietušajām un bojā gājušajām personām. </w:t>
            </w:r>
          </w:p>
        </w:tc>
      </w:tr>
      <w:tr w:rsidR="007B2A8A" w:rsidRPr="00174045" w:rsidTr="004D72F0">
        <w:trPr>
          <w:gridBefore w:val="1"/>
          <w:wBefore w:w="38" w:type="pct"/>
        </w:trPr>
        <w:tc>
          <w:tcPr>
            <w:tcW w:w="212" w:type="pct"/>
          </w:tcPr>
          <w:p w:rsidR="00C241E8" w:rsidRPr="00174045" w:rsidRDefault="00C241E8"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 xml:space="preserve">2. </w:t>
            </w:r>
          </w:p>
        </w:tc>
        <w:tc>
          <w:tcPr>
            <w:tcW w:w="2154" w:type="pct"/>
            <w:gridSpan w:val="3"/>
          </w:tcPr>
          <w:p w:rsidR="00C241E8" w:rsidRPr="00174045" w:rsidRDefault="00C241E8"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Projekta izpildes ietekme uz pārvaldes funkcijām</w:t>
            </w:r>
          </w:p>
        </w:tc>
        <w:tc>
          <w:tcPr>
            <w:tcW w:w="2596" w:type="pct"/>
            <w:gridSpan w:val="8"/>
          </w:tcPr>
          <w:p w:rsidR="00C241E8" w:rsidRPr="00174045" w:rsidRDefault="00C241E8" w:rsidP="00C136B8">
            <w:pPr>
              <w:spacing w:after="0" w:line="240" w:lineRule="auto"/>
              <w:ind w:firstLine="1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Valsts sociālās apdrošināšanas aģentūra </w:t>
            </w:r>
            <w:r w:rsidRPr="00174045">
              <w:rPr>
                <w:rFonts w:ascii="Times New Roman" w:eastAsia="Times New Roman" w:hAnsi="Times New Roman"/>
                <w:sz w:val="24"/>
                <w:szCs w:val="24"/>
                <w:lang w:eastAsia="lv-LV"/>
              </w:rPr>
              <w:t>projekt</w:t>
            </w:r>
            <w:r>
              <w:rPr>
                <w:rFonts w:ascii="Times New Roman" w:eastAsia="Times New Roman" w:hAnsi="Times New Roman"/>
                <w:sz w:val="24"/>
                <w:szCs w:val="24"/>
                <w:lang w:eastAsia="lv-LV"/>
              </w:rPr>
              <w:t>a īstenošan</w:t>
            </w:r>
            <w:r w:rsidRPr="00174045">
              <w:rPr>
                <w:rFonts w:ascii="Times New Roman" w:eastAsia="Times New Roman" w:hAnsi="Times New Roman"/>
                <w:sz w:val="24"/>
                <w:szCs w:val="24"/>
                <w:lang w:eastAsia="lv-LV"/>
              </w:rPr>
              <w:t xml:space="preserve">u nodrošinās </w:t>
            </w:r>
            <w:r>
              <w:rPr>
                <w:rFonts w:ascii="Times New Roman" w:eastAsia="Times New Roman" w:hAnsi="Times New Roman"/>
                <w:sz w:val="24"/>
                <w:szCs w:val="24"/>
                <w:lang w:eastAsia="lv-LV"/>
              </w:rPr>
              <w:t xml:space="preserve">deleģētā uzdevuma </w:t>
            </w:r>
            <w:r w:rsidRPr="00174045">
              <w:rPr>
                <w:rFonts w:ascii="Times New Roman" w:eastAsia="Times New Roman" w:hAnsi="Times New Roman"/>
                <w:sz w:val="24"/>
                <w:szCs w:val="24"/>
                <w:lang w:eastAsia="lv-LV"/>
              </w:rPr>
              <w:t>ietvaros.</w:t>
            </w:r>
          </w:p>
        </w:tc>
      </w:tr>
      <w:tr w:rsidR="007B2A8A" w:rsidRPr="00174045" w:rsidTr="004D72F0">
        <w:trPr>
          <w:gridBefore w:val="1"/>
          <w:wBefore w:w="38" w:type="pct"/>
        </w:trPr>
        <w:tc>
          <w:tcPr>
            <w:tcW w:w="212"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3.</w:t>
            </w:r>
          </w:p>
        </w:tc>
        <w:tc>
          <w:tcPr>
            <w:tcW w:w="2154" w:type="pct"/>
            <w:gridSpan w:val="3"/>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Projekta izpildes ietekme uz pārvaldes institucionālo struktūru.</w:t>
            </w:r>
          </w:p>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Jaunu institūciju izveide.</w:t>
            </w:r>
          </w:p>
        </w:tc>
        <w:tc>
          <w:tcPr>
            <w:tcW w:w="2596" w:type="pct"/>
            <w:gridSpan w:val="8"/>
          </w:tcPr>
          <w:p w:rsidR="00174045" w:rsidRPr="00174045" w:rsidRDefault="00174045" w:rsidP="00174045">
            <w:pPr>
              <w:spacing w:after="0" w:line="240" w:lineRule="auto"/>
              <w:ind w:firstLine="12"/>
              <w:jc w:val="both"/>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Jaunas institūcijas nav nepieciešams izveidot.</w:t>
            </w:r>
          </w:p>
        </w:tc>
      </w:tr>
      <w:tr w:rsidR="007B2A8A" w:rsidRPr="00174045" w:rsidTr="004D72F0">
        <w:trPr>
          <w:gridBefore w:val="1"/>
          <w:wBefore w:w="38" w:type="pct"/>
        </w:trPr>
        <w:tc>
          <w:tcPr>
            <w:tcW w:w="212"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4.</w:t>
            </w:r>
          </w:p>
        </w:tc>
        <w:tc>
          <w:tcPr>
            <w:tcW w:w="2154" w:type="pct"/>
            <w:gridSpan w:val="3"/>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Projekta izpildes ietekme uz pārvaldes institucionālo struktūru.</w:t>
            </w:r>
          </w:p>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Esošo institūciju likvidācija.</w:t>
            </w:r>
          </w:p>
        </w:tc>
        <w:tc>
          <w:tcPr>
            <w:tcW w:w="2596" w:type="pct"/>
            <w:gridSpan w:val="8"/>
          </w:tcPr>
          <w:p w:rsidR="00174045" w:rsidRPr="00174045" w:rsidRDefault="00174045" w:rsidP="00174045">
            <w:pPr>
              <w:spacing w:after="0" w:line="240" w:lineRule="auto"/>
              <w:ind w:firstLine="12"/>
              <w:jc w:val="both"/>
              <w:rPr>
                <w:rFonts w:ascii="Times New Roman" w:eastAsia="Times New Roman" w:hAnsi="Times New Roman"/>
                <w:i/>
                <w:sz w:val="24"/>
                <w:szCs w:val="24"/>
                <w:lang w:eastAsia="lv-LV"/>
              </w:rPr>
            </w:pPr>
            <w:r w:rsidRPr="00174045">
              <w:rPr>
                <w:rFonts w:ascii="Times New Roman" w:eastAsia="Times New Roman" w:hAnsi="Times New Roman"/>
                <w:sz w:val="24"/>
                <w:szCs w:val="24"/>
                <w:lang w:eastAsia="lv-LV"/>
              </w:rPr>
              <w:t>Nav plānota esošu institūciju likvidācija</w:t>
            </w:r>
            <w:r w:rsidRPr="00174045">
              <w:rPr>
                <w:rFonts w:ascii="Times New Roman" w:eastAsia="Times New Roman" w:hAnsi="Times New Roman"/>
                <w:i/>
                <w:sz w:val="24"/>
                <w:szCs w:val="24"/>
                <w:lang w:eastAsia="lv-LV"/>
              </w:rPr>
              <w:t>.</w:t>
            </w:r>
          </w:p>
        </w:tc>
      </w:tr>
      <w:tr w:rsidR="007B2A8A" w:rsidRPr="00174045" w:rsidTr="004D72F0">
        <w:trPr>
          <w:gridBefore w:val="1"/>
          <w:wBefore w:w="38" w:type="pct"/>
        </w:trPr>
        <w:tc>
          <w:tcPr>
            <w:tcW w:w="212"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5.</w:t>
            </w:r>
          </w:p>
        </w:tc>
        <w:tc>
          <w:tcPr>
            <w:tcW w:w="2154" w:type="pct"/>
            <w:gridSpan w:val="3"/>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Projekta izpildes ietekme uz pārvaldes institucionālo struktūru.</w:t>
            </w:r>
          </w:p>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Esošo institūciju reorganizācija.</w:t>
            </w:r>
          </w:p>
        </w:tc>
        <w:tc>
          <w:tcPr>
            <w:tcW w:w="2596" w:type="pct"/>
            <w:gridSpan w:val="8"/>
          </w:tcPr>
          <w:p w:rsidR="00174045" w:rsidRPr="00174045" w:rsidRDefault="00174045" w:rsidP="00174045">
            <w:pPr>
              <w:spacing w:after="0" w:line="240" w:lineRule="auto"/>
              <w:ind w:firstLine="12"/>
              <w:jc w:val="both"/>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Pārvaldes institucionālajā struktūrā izmaiņas nav paredzētas, un reorganizācija netiek plānota.</w:t>
            </w:r>
          </w:p>
        </w:tc>
      </w:tr>
      <w:tr w:rsidR="007B2A8A" w:rsidRPr="00174045" w:rsidTr="004D72F0">
        <w:trPr>
          <w:gridBefore w:val="1"/>
          <w:wBefore w:w="38" w:type="pct"/>
          <w:trHeight w:val="437"/>
        </w:trPr>
        <w:tc>
          <w:tcPr>
            <w:tcW w:w="212" w:type="pct"/>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 xml:space="preserve">6. </w:t>
            </w:r>
          </w:p>
        </w:tc>
        <w:tc>
          <w:tcPr>
            <w:tcW w:w="2154" w:type="pct"/>
            <w:gridSpan w:val="3"/>
          </w:tcPr>
          <w:p w:rsidR="00174045" w:rsidRPr="00174045" w:rsidRDefault="00174045" w:rsidP="00174045">
            <w:pPr>
              <w:spacing w:after="0" w:line="240" w:lineRule="auto"/>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Cita informācija</w:t>
            </w:r>
          </w:p>
        </w:tc>
        <w:tc>
          <w:tcPr>
            <w:tcW w:w="2596" w:type="pct"/>
            <w:gridSpan w:val="8"/>
          </w:tcPr>
          <w:p w:rsidR="00174045" w:rsidRPr="00174045" w:rsidRDefault="00174045" w:rsidP="00174045">
            <w:pPr>
              <w:spacing w:after="0" w:line="240" w:lineRule="auto"/>
              <w:ind w:firstLine="12"/>
              <w:jc w:val="both"/>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Nav.</w:t>
            </w:r>
          </w:p>
        </w:tc>
      </w:tr>
    </w:tbl>
    <w:p w:rsidR="00174045" w:rsidRPr="00174045" w:rsidRDefault="00174045" w:rsidP="00174045">
      <w:pPr>
        <w:spacing w:after="0" w:line="240" w:lineRule="auto"/>
        <w:jc w:val="center"/>
        <w:rPr>
          <w:rFonts w:ascii="Times New Roman" w:eastAsia="Times New Roman" w:hAnsi="Times New Roman"/>
          <w:i/>
          <w:sz w:val="24"/>
          <w:szCs w:val="24"/>
          <w:lang w:eastAsia="lv-LV"/>
        </w:rPr>
      </w:pPr>
      <w:r w:rsidRPr="00174045">
        <w:rPr>
          <w:rFonts w:ascii="Times New Roman" w:eastAsia="Times New Roman" w:hAnsi="Times New Roman"/>
          <w:i/>
          <w:sz w:val="24"/>
          <w:szCs w:val="24"/>
          <w:lang w:eastAsia="lv-LV"/>
        </w:rPr>
        <w:t>Anotācijas II, IV, V un VI sadaļā minētos jautājumus rīkojuma projekts neskar.</w:t>
      </w:r>
    </w:p>
    <w:p w:rsidR="00F263F2" w:rsidRDefault="00F263F2" w:rsidP="00076CEF">
      <w:pPr>
        <w:spacing w:after="0" w:line="240" w:lineRule="auto"/>
        <w:ind w:firstLine="720"/>
        <w:rPr>
          <w:rFonts w:ascii="Times New Roman" w:eastAsia="Times New Roman" w:hAnsi="Times New Roman"/>
          <w:sz w:val="24"/>
          <w:szCs w:val="24"/>
          <w:lang w:eastAsia="lv-LV"/>
        </w:rPr>
      </w:pPr>
    </w:p>
    <w:p w:rsidR="00174045" w:rsidRDefault="00174045" w:rsidP="00076CEF">
      <w:pPr>
        <w:spacing w:after="0" w:line="240" w:lineRule="auto"/>
        <w:ind w:firstLine="720"/>
        <w:rPr>
          <w:rFonts w:ascii="Times New Roman" w:eastAsia="Times New Roman" w:hAnsi="Times New Roman"/>
          <w:sz w:val="24"/>
          <w:szCs w:val="24"/>
          <w:lang w:eastAsia="lv-LV"/>
        </w:rPr>
      </w:pPr>
      <w:r w:rsidRPr="00174045">
        <w:rPr>
          <w:rFonts w:ascii="Times New Roman" w:eastAsia="Times New Roman" w:hAnsi="Times New Roman"/>
          <w:sz w:val="24"/>
          <w:szCs w:val="24"/>
          <w:lang w:eastAsia="lv-LV"/>
        </w:rPr>
        <w:t>Labklājības ministre</w:t>
      </w:r>
      <w:r w:rsidRPr="00174045">
        <w:rPr>
          <w:rFonts w:ascii="Times New Roman" w:eastAsia="Times New Roman" w:hAnsi="Times New Roman"/>
          <w:sz w:val="24"/>
          <w:szCs w:val="24"/>
          <w:lang w:eastAsia="lv-LV"/>
        </w:rPr>
        <w:tab/>
      </w:r>
      <w:r w:rsidRPr="00174045">
        <w:rPr>
          <w:rFonts w:ascii="Times New Roman" w:eastAsia="Times New Roman" w:hAnsi="Times New Roman"/>
          <w:sz w:val="24"/>
          <w:szCs w:val="24"/>
          <w:lang w:eastAsia="lv-LV"/>
        </w:rPr>
        <w:tab/>
      </w:r>
      <w:r w:rsidRPr="00174045">
        <w:rPr>
          <w:rFonts w:ascii="Times New Roman" w:eastAsia="Times New Roman" w:hAnsi="Times New Roman"/>
          <w:sz w:val="24"/>
          <w:szCs w:val="24"/>
          <w:lang w:eastAsia="lv-LV"/>
        </w:rPr>
        <w:tab/>
      </w:r>
      <w:r w:rsidRPr="00174045">
        <w:rPr>
          <w:rFonts w:ascii="Times New Roman" w:eastAsia="Times New Roman" w:hAnsi="Times New Roman"/>
          <w:sz w:val="24"/>
          <w:szCs w:val="24"/>
          <w:lang w:eastAsia="lv-LV"/>
        </w:rPr>
        <w:tab/>
      </w:r>
      <w:r w:rsidRPr="00174045">
        <w:rPr>
          <w:rFonts w:ascii="Times New Roman" w:eastAsia="Times New Roman" w:hAnsi="Times New Roman"/>
          <w:sz w:val="24"/>
          <w:szCs w:val="24"/>
          <w:lang w:eastAsia="lv-LV"/>
        </w:rPr>
        <w:tab/>
      </w:r>
      <w:proofErr w:type="gramStart"/>
      <w:r w:rsidRPr="00174045">
        <w:rPr>
          <w:rFonts w:ascii="Times New Roman" w:eastAsia="Times New Roman" w:hAnsi="Times New Roman"/>
          <w:sz w:val="24"/>
          <w:szCs w:val="24"/>
          <w:lang w:eastAsia="lv-LV"/>
        </w:rPr>
        <w:t xml:space="preserve">                       </w:t>
      </w:r>
      <w:proofErr w:type="spellStart"/>
      <w:proofErr w:type="gramEnd"/>
      <w:r w:rsidRPr="00174045">
        <w:rPr>
          <w:rFonts w:ascii="Times New Roman" w:eastAsia="Times New Roman" w:hAnsi="Times New Roman"/>
          <w:sz w:val="24"/>
          <w:szCs w:val="24"/>
          <w:lang w:eastAsia="lv-LV"/>
        </w:rPr>
        <w:t>I.Viņķele</w:t>
      </w:r>
      <w:proofErr w:type="spellEnd"/>
    </w:p>
    <w:p w:rsidR="00076CEF" w:rsidRDefault="00076CEF" w:rsidP="0017404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fldChar w:fldCharType="begin"/>
      </w:r>
      <w:r>
        <w:rPr>
          <w:rFonts w:ascii="Times New Roman" w:eastAsia="Times New Roman" w:hAnsi="Times New Roman"/>
          <w:sz w:val="20"/>
          <w:szCs w:val="20"/>
          <w:lang w:eastAsia="lv-LV"/>
        </w:rPr>
        <w:instrText xml:space="preserve"> TIME \@ "dd.MM.yyyy HH:mm" </w:instrText>
      </w:r>
      <w:r>
        <w:rPr>
          <w:rFonts w:ascii="Times New Roman" w:eastAsia="Times New Roman" w:hAnsi="Times New Roman"/>
          <w:sz w:val="20"/>
          <w:szCs w:val="20"/>
          <w:lang w:eastAsia="lv-LV"/>
        </w:rPr>
        <w:fldChar w:fldCharType="separate"/>
      </w:r>
      <w:r w:rsidR="004D72F0">
        <w:rPr>
          <w:rFonts w:ascii="Times New Roman" w:eastAsia="Times New Roman" w:hAnsi="Times New Roman"/>
          <w:noProof/>
          <w:sz w:val="20"/>
          <w:szCs w:val="20"/>
          <w:lang w:eastAsia="lv-LV"/>
        </w:rPr>
        <w:t>03.12.2013 10:50</w:t>
      </w:r>
      <w:r>
        <w:rPr>
          <w:rFonts w:ascii="Times New Roman" w:eastAsia="Times New Roman" w:hAnsi="Times New Roman"/>
          <w:sz w:val="20"/>
          <w:szCs w:val="20"/>
          <w:lang w:eastAsia="lv-LV"/>
        </w:rPr>
        <w:fldChar w:fldCharType="end"/>
      </w:r>
    </w:p>
    <w:p w:rsidR="00174045" w:rsidRPr="00174045" w:rsidRDefault="004D72F0" w:rsidP="0017404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1 405</w:t>
      </w:r>
      <w:bookmarkStart w:id="2" w:name="_GoBack"/>
      <w:bookmarkEnd w:id="2"/>
    </w:p>
    <w:p w:rsidR="00F9608D" w:rsidRDefault="00D31D42" w:rsidP="004D72F0">
      <w:pPr>
        <w:spacing w:after="0" w:line="240" w:lineRule="auto"/>
      </w:pPr>
      <w:r>
        <w:rPr>
          <w:rFonts w:ascii="Times New Roman" w:eastAsia="Times New Roman" w:hAnsi="Times New Roman"/>
          <w:sz w:val="20"/>
          <w:szCs w:val="20"/>
          <w:lang w:eastAsia="lv-LV"/>
        </w:rPr>
        <w:t>I.Kārkliņa</w:t>
      </w:r>
      <w:r w:rsidR="004D72F0">
        <w:rPr>
          <w:rFonts w:ascii="Times New Roman" w:eastAsia="Times New Roman" w:hAnsi="Times New Roman"/>
          <w:sz w:val="20"/>
          <w:szCs w:val="20"/>
          <w:lang w:eastAsia="lv-LV"/>
        </w:rPr>
        <w:t xml:space="preserve">, </w:t>
      </w:r>
      <w:r w:rsidRPr="00174045">
        <w:rPr>
          <w:rFonts w:ascii="Times New Roman" w:eastAsia="Times New Roman" w:hAnsi="Times New Roman"/>
          <w:sz w:val="20"/>
          <w:szCs w:val="20"/>
          <w:lang w:eastAsia="lv-LV"/>
        </w:rPr>
        <w:t>670</w:t>
      </w:r>
      <w:r>
        <w:rPr>
          <w:rFonts w:ascii="Times New Roman" w:eastAsia="Times New Roman" w:hAnsi="Times New Roman"/>
          <w:sz w:val="20"/>
          <w:szCs w:val="20"/>
          <w:lang w:eastAsia="lv-LV"/>
        </w:rPr>
        <w:t>21664</w:t>
      </w:r>
      <w:r w:rsidR="00174045" w:rsidRPr="00174045">
        <w:rPr>
          <w:rFonts w:ascii="Times New Roman" w:eastAsia="Times New Roman" w:hAnsi="Times New Roman"/>
          <w:sz w:val="20"/>
          <w:szCs w:val="20"/>
          <w:lang w:eastAsia="lv-LV"/>
        </w:rPr>
        <w:t>,</w:t>
      </w:r>
      <w:r w:rsidR="00076CEF">
        <w:rPr>
          <w:rFonts w:ascii="Times New Roman" w:eastAsia="Times New Roman" w:hAnsi="Times New Roman"/>
          <w:sz w:val="20"/>
          <w:szCs w:val="20"/>
          <w:lang w:eastAsia="lv-LV"/>
        </w:rPr>
        <w:t xml:space="preserve"> </w:t>
      </w:r>
      <w:hyperlink r:id="rId9" w:history="1">
        <w:r w:rsidRPr="00D31D42">
          <w:rPr>
            <w:rStyle w:val="Hyperlink"/>
            <w:rFonts w:ascii="Times New Roman" w:eastAsia="Times New Roman" w:hAnsi="Times New Roman"/>
            <w:sz w:val="20"/>
            <w:szCs w:val="20"/>
            <w:lang w:eastAsia="lv-LV"/>
          </w:rPr>
          <w:t>Indra.Karklina@lm.gov.lv</w:t>
        </w:r>
      </w:hyperlink>
    </w:p>
    <w:sectPr w:rsidR="00F9608D" w:rsidSect="00725FD9">
      <w:headerReference w:type="even" r:id="rId10"/>
      <w:headerReference w:type="default" r:id="rId11"/>
      <w:footerReference w:type="default" r:id="rId12"/>
      <w:footerReference w:type="first" r:id="rId13"/>
      <w:pgSz w:w="11906" w:h="16838"/>
      <w:pgMar w:top="964" w:right="1134" w:bottom="39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63" w:rsidRDefault="00A15B63" w:rsidP="00174045">
      <w:pPr>
        <w:spacing w:after="0" w:line="240" w:lineRule="auto"/>
      </w:pPr>
      <w:r>
        <w:separator/>
      </w:r>
    </w:p>
  </w:endnote>
  <w:endnote w:type="continuationSeparator" w:id="0">
    <w:p w:rsidR="00A15B63" w:rsidRDefault="00A15B63" w:rsidP="0017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75" w:rsidRPr="00147775" w:rsidRDefault="00B0123A" w:rsidP="00147775">
    <w:pPr>
      <w:rPr>
        <w:rFonts w:ascii="Times New Roman" w:hAnsi="Times New Roman"/>
        <w:sz w:val="20"/>
        <w:szCs w:val="20"/>
      </w:rPr>
    </w:pPr>
    <w:r w:rsidRPr="00725FD9">
      <w:rPr>
        <w:rFonts w:ascii="Times New Roman" w:hAnsi="Times New Roman"/>
        <w:sz w:val="20"/>
        <w:szCs w:val="20"/>
      </w:rPr>
      <w:t>LManot_031213_LMrik</w:t>
    </w:r>
    <w:r w:rsidR="00147775">
      <w:rPr>
        <w:rFonts w:ascii="Times New Roman" w:hAnsi="Times New Roman"/>
        <w:sz w:val="20"/>
        <w:szCs w:val="20"/>
      </w:rPr>
      <w:t xml:space="preserve">; </w:t>
    </w:r>
    <w:r w:rsidR="00147775" w:rsidRPr="00CE69AA">
      <w:rPr>
        <w:rFonts w:ascii="Times New Roman" w:hAnsi="Times New Roman"/>
        <w:sz w:val="20"/>
        <w:szCs w:val="20"/>
      </w:rPr>
      <w:t>Minis</w:t>
    </w:r>
    <w:r w:rsidR="00147775">
      <w:rPr>
        <w:rFonts w:ascii="Times New Roman" w:hAnsi="Times New Roman"/>
        <w:sz w:val="20"/>
        <w:szCs w:val="20"/>
      </w:rPr>
      <w:t xml:space="preserve">tru kabineta rīkojuma projekts </w:t>
    </w:r>
    <w:r w:rsidR="00147775" w:rsidRPr="00147775">
      <w:rPr>
        <w:rFonts w:ascii="Times New Roman" w:hAnsi="Times New Roman"/>
        <w:sz w:val="20"/>
        <w:szCs w:val="20"/>
      </w:rPr>
      <w:t>„Par vienreizēju kompensāciju piešķiršanu sakarā ar traģēdiju Rīgā, Priedaines ielā 20”</w:t>
    </w:r>
  </w:p>
  <w:p w:rsidR="00A03491" w:rsidRPr="002D2D42" w:rsidRDefault="00A03491" w:rsidP="00E94D25">
    <w:pPr>
      <w:pStyle w:val="Footer"/>
      <w:rPr>
        <w:sz w:val="20"/>
        <w:szCs w:val="20"/>
      </w:rPr>
    </w:pPr>
  </w:p>
  <w:p w:rsidR="00A03491" w:rsidRPr="009209AE" w:rsidRDefault="00A03491" w:rsidP="00E94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91" w:rsidRPr="00147775" w:rsidRDefault="00725FD9" w:rsidP="00147775">
    <w:pPr>
      <w:rPr>
        <w:rFonts w:ascii="Times New Roman" w:hAnsi="Times New Roman"/>
        <w:sz w:val="20"/>
        <w:szCs w:val="20"/>
      </w:rPr>
    </w:pPr>
    <w:r>
      <w:rPr>
        <w:rStyle w:val="Hyperlink"/>
        <w:rFonts w:ascii="Times New Roman" w:hAnsi="Times New Roman"/>
        <w:sz w:val="20"/>
        <w:szCs w:val="20"/>
      </w:rPr>
      <w:t>LManot_031213_LMrik</w:t>
    </w:r>
    <w:r w:rsidR="00A03491">
      <w:rPr>
        <w:rFonts w:ascii="Times New Roman" w:hAnsi="Times New Roman"/>
        <w:sz w:val="20"/>
        <w:szCs w:val="20"/>
      </w:rPr>
      <w:t xml:space="preserve">; </w:t>
    </w:r>
    <w:r w:rsidR="00A03491" w:rsidRPr="00CE69AA">
      <w:rPr>
        <w:rFonts w:ascii="Times New Roman" w:hAnsi="Times New Roman"/>
        <w:sz w:val="20"/>
        <w:szCs w:val="20"/>
      </w:rPr>
      <w:t>Minis</w:t>
    </w:r>
    <w:r w:rsidR="005C0BA1">
      <w:rPr>
        <w:rFonts w:ascii="Times New Roman" w:hAnsi="Times New Roman"/>
        <w:sz w:val="20"/>
        <w:szCs w:val="20"/>
      </w:rPr>
      <w:t xml:space="preserve">tru kabineta rīkojuma projekts </w:t>
    </w:r>
    <w:r w:rsidR="00147775" w:rsidRPr="00147775">
      <w:rPr>
        <w:rFonts w:ascii="Times New Roman" w:hAnsi="Times New Roman"/>
        <w:sz w:val="20"/>
        <w:szCs w:val="20"/>
      </w:rPr>
      <w:t>„Par vienreizēju kompensāciju piešķiršanu sakarā ar traģēdiju Rīgā, Priedaines ielā 20”</w:t>
    </w:r>
  </w:p>
  <w:p w:rsidR="00A03491" w:rsidRPr="002D2D42" w:rsidRDefault="00A03491" w:rsidP="00E94D25">
    <w:pPr>
      <w:pStyle w:val="Footer"/>
      <w:rPr>
        <w:sz w:val="20"/>
        <w:szCs w:val="20"/>
      </w:rPr>
    </w:pPr>
  </w:p>
  <w:p w:rsidR="00A03491" w:rsidRPr="00AB703F" w:rsidRDefault="00A03491" w:rsidP="00E94D25">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63" w:rsidRDefault="00A15B63" w:rsidP="00174045">
      <w:pPr>
        <w:spacing w:after="0" w:line="240" w:lineRule="auto"/>
      </w:pPr>
      <w:r>
        <w:separator/>
      </w:r>
    </w:p>
  </w:footnote>
  <w:footnote w:type="continuationSeparator" w:id="0">
    <w:p w:rsidR="00A15B63" w:rsidRDefault="00A15B63" w:rsidP="00174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91" w:rsidRDefault="00C7433F" w:rsidP="00E94D25">
    <w:pPr>
      <w:pStyle w:val="Header"/>
      <w:framePr w:wrap="around" w:vAnchor="text" w:hAnchor="margin" w:xAlign="center" w:y="1"/>
      <w:rPr>
        <w:rStyle w:val="PageNumber"/>
      </w:rPr>
    </w:pPr>
    <w:r>
      <w:rPr>
        <w:rStyle w:val="PageNumber"/>
      </w:rPr>
      <w:fldChar w:fldCharType="begin"/>
    </w:r>
    <w:r w:rsidR="00A03491">
      <w:rPr>
        <w:rStyle w:val="PageNumber"/>
      </w:rPr>
      <w:instrText xml:space="preserve">PAGE  </w:instrText>
    </w:r>
    <w:r>
      <w:rPr>
        <w:rStyle w:val="PageNumber"/>
      </w:rPr>
      <w:fldChar w:fldCharType="end"/>
    </w:r>
  </w:p>
  <w:p w:rsidR="00A03491" w:rsidRDefault="00A03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91" w:rsidRDefault="00C7433F" w:rsidP="00E94D25">
    <w:pPr>
      <w:pStyle w:val="Header"/>
      <w:framePr w:wrap="around" w:vAnchor="text" w:hAnchor="margin" w:xAlign="center" w:y="1"/>
      <w:rPr>
        <w:rStyle w:val="PageNumber"/>
      </w:rPr>
    </w:pPr>
    <w:r>
      <w:rPr>
        <w:rStyle w:val="PageNumber"/>
      </w:rPr>
      <w:fldChar w:fldCharType="begin"/>
    </w:r>
    <w:r w:rsidR="00A03491">
      <w:rPr>
        <w:rStyle w:val="PageNumber"/>
      </w:rPr>
      <w:instrText xml:space="preserve">PAGE  </w:instrText>
    </w:r>
    <w:r>
      <w:rPr>
        <w:rStyle w:val="PageNumber"/>
      </w:rPr>
      <w:fldChar w:fldCharType="separate"/>
    </w:r>
    <w:r w:rsidR="004D72F0">
      <w:rPr>
        <w:rStyle w:val="PageNumber"/>
        <w:noProof/>
      </w:rPr>
      <w:t>5</w:t>
    </w:r>
    <w:r>
      <w:rPr>
        <w:rStyle w:val="PageNumber"/>
      </w:rPr>
      <w:fldChar w:fldCharType="end"/>
    </w:r>
  </w:p>
  <w:p w:rsidR="00A03491" w:rsidRDefault="00A03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CD9"/>
    <w:multiLevelType w:val="hybridMultilevel"/>
    <w:tmpl w:val="BEBEFCF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240167B6"/>
    <w:multiLevelType w:val="hybridMultilevel"/>
    <w:tmpl w:val="06A088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FB61BA4"/>
    <w:multiLevelType w:val="hybridMultilevel"/>
    <w:tmpl w:val="1A0A342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314533F"/>
    <w:multiLevelType w:val="hybridMultilevel"/>
    <w:tmpl w:val="C0AE7E24"/>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nsid w:val="33201D4F"/>
    <w:multiLevelType w:val="hybridMultilevel"/>
    <w:tmpl w:val="571A0E88"/>
    <w:lvl w:ilvl="0" w:tplc="158E441C">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346665D7"/>
    <w:multiLevelType w:val="hybridMultilevel"/>
    <w:tmpl w:val="482C1E5C"/>
    <w:lvl w:ilvl="0" w:tplc="F77CE448">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6">
    <w:nsid w:val="46E57C81"/>
    <w:multiLevelType w:val="multilevel"/>
    <w:tmpl w:val="B2A8541A"/>
    <w:lvl w:ilvl="0">
      <w:start w:val="1"/>
      <w:numFmt w:val="decimal"/>
      <w:lvlText w:val="%1."/>
      <w:lvlJc w:val="left"/>
      <w:pPr>
        <w:tabs>
          <w:tab w:val="num" w:pos="360"/>
        </w:tabs>
        <w:ind w:left="360" w:hanging="360"/>
      </w:pPr>
    </w:lvl>
    <w:lvl w:ilvl="1">
      <w:start w:val="1"/>
      <w:numFmt w:val="decimal"/>
      <w:isLgl/>
      <w:lvlText w:val="%2)"/>
      <w:lvlJc w:val="left"/>
      <w:pPr>
        <w:ind w:left="1288" w:hanging="720"/>
      </w:pPr>
      <w:rPr>
        <w:rFonts w:ascii="Times New Roman" w:eastAsia="Times New Roman" w:hAnsi="Times New Roman" w:cs="Times New Roman"/>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960" w:hanging="180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5040" w:hanging="2160"/>
      </w:pPr>
      <w:rPr>
        <w:rFonts w:hint="default"/>
        <w:color w:val="auto"/>
      </w:rPr>
    </w:lvl>
  </w:abstractNum>
  <w:abstractNum w:abstractNumId="7">
    <w:nsid w:val="4DDB0615"/>
    <w:multiLevelType w:val="multilevel"/>
    <w:tmpl w:val="F1281F1A"/>
    <w:lvl w:ilvl="0">
      <w:start w:val="1"/>
      <w:numFmt w:val="decimal"/>
      <w:lvlText w:val="%1."/>
      <w:lvlJc w:val="left"/>
      <w:pPr>
        <w:tabs>
          <w:tab w:val="num" w:pos="360"/>
        </w:tabs>
        <w:ind w:left="360" w:hanging="360"/>
      </w:pPr>
    </w:lvl>
    <w:lvl w:ilvl="1">
      <w:start w:val="1"/>
      <w:numFmt w:val="decimal"/>
      <w:isLgl/>
      <w:lvlText w:val="%2)"/>
      <w:lvlJc w:val="left"/>
      <w:pPr>
        <w:ind w:left="1288" w:hanging="720"/>
      </w:pPr>
      <w:rPr>
        <w:rFonts w:ascii="Times New Roman" w:eastAsia="Times New Roman" w:hAnsi="Times New Roman" w:cs="Times New Roman"/>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960" w:hanging="180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5040" w:hanging="2160"/>
      </w:pPr>
      <w:rPr>
        <w:rFonts w:hint="default"/>
        <w:color w:val="auto"/>
      </w:rPr>
    </w:lvl>
  </w:abstractNum>
  <w:abstractNum w:abstractNumId="8">
    <w:nsid w:val="5B4118C8"/>
    <w:multiLevelType w:val="hybridMultilevel"/>
    <w:tmpl w:val="CF2A06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69E11CDA"/>
    <w:multiLevelType w:val="multilevel"/>
    <w:tmpl w:val="DEA4E0D6"/>
    <w:lvl w:ilvl="0">
      <w:start w:val="1"/>
      <w:numFmt w:val="decimal"/>
      <w:lvlText w:val="%1."/>
      <w:lvlJc w:val="left"/>
      <w:pPr>
        <w:ind w:left="360" w:hanging="360"/>
      </w:pPr>
      <w:rPr>
        <w:rFonts w:hint="default"/>
        <w:sz w:val="28"/>
      </w:rPr>
    </w:lvl>
    <w:lvl w:ilvl="1">
      <w:start w:val="1"/>
      <w:numFmt w:val="decimal"/>
      <w:isLgl/>
      <w:lvlText w:val="%2)"/>
      <w:lvlJc w:val="left"/>
      <w:pPr>
        <w:ind w:left="1080" w:hanging="720"/>
      </w:pPr>
      <w:rPr>
        <w:rFonts w:ascii="Times New Roman" w:eastAsia="Times New Roman" w:hAnsi="Times New Roman" w:cs="Times New Roman"/>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216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3240" w:hanging="1440"/>
      </w:pPr>
      <w:rPr>
        <w:rFonts w:hint="default"/>
        <w:color w:val="000000"/>
      </w:rPr>
    </w:lvl>
    <w:lvl w:ilvl="6">
      <w:start w:val="1"/>
      <w:numFmt w:val="decimal"/>
      <w:isLgl/>
      <w:lvlText w:val="%1.%2.%3.%4.%5.%6.%7."/>
      <w:lvlJc w:val="left"/>
      <w:pPr>
        <w:ind w:left="3960" w:hanging="1800"/>
      </w:pPr>
      <w:rPr>
        <w:rFonts w:hint="default"/>
        <w:color w:val="000000"/>
      </w:rPr>
    </w:lvl>
    <w:lvl w:ilvl="7">
      <w:start w:val="1"/>
      <w:numFmt w:val="decimal"/>
      <w:isLgl/>
      <w:lvlText w:val="%1.%2.%3.%4.%5.%6.%7.%8."/>
      <w:lvlJc w:val="left"/>
      <w:pPr>
        <w:ind w:left="4320" w:hanging="1800"/>
      </w:pPr>
      <w:rPr>
        <w:rFonts w:hint="default"/>
        <w:color w:val="000000"/>
      </w:rPr>
    </w:lvl>
    <w:lvl w:ilvl="8">
      <w:start w:val="1"/>
      <w:numFmt w:val="decimal"/>
      <w:isLgl/>
      <w:lvlText w:val="%1.%2.%3.%4.%5.%6.%7.%8.%9."/>
      <w:lvlJc w:val="left"/>
      <w:pPr>
        <w:ind w:left="5040" w:hanging="2160"/>
      </w:pPr>
      <w:rPr>
        <w:rFonts w:hint="default"/>
        <w:color w:val="000000"/>
      </w:rPr>
    </w:lvl>
  </w:abstractNum>
  <w:abstractNum w:abstractNumId="10">
    <w:nsid w:val="77B11AE9"/>
    <w:multiLevelType w:val="hybridMultilevel"/>
    <w:tmpl w:val="12E8B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9532DB9"/>
    <w:multiLevelType w:val="hybridMultilevel"/>
    <w:tmpl w:val="78A4B140"/>
    <w:lvl w:ilvl="0" w:tplc="F77CE44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7D086790"/>
    <w:multiLevelType w:val="hybridMultilevel"/>
    <w:tmpl w:val="3F20FD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0"/>
  </w:num>
  <w:num w:numId="5">
    <w:abstractNumId w:val="4"/>
  </w:num>
  <w:num w:numId="6">
    <w:abstractNumId w:val="12"/>
  </w:num>
  <w:num w:numId="7">
    <w:abstractNumId w:val="10"/>
  </w:num>
  <w:num w:numId="8">
    <w:abstractNumId w:val="1"/>
  </w:num>
  <w:num w:numId="9">
    <w:abstractNumId w:val="9"/>
  </w:num>
  <w:num w:numId="10">
    <w:abstractNumId w:val="2"/>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45"/>
    <w:rsid w:val="00015DAD"/>
    <w:rsid w:val="0002459A"/>
    <w:rsid w:val="00055189"/>
    <w:rsid w:val="00076CEF"/>
    <w:rsid w:val="000A6E07"/>
    <w:rsid w:val="000E3AEC"/>
    <w:rsid w:val="00110BB3"/>
    <w:rsid w:val="00147775"/>
    <w:rsid w:val="00150DFC"/>
    <w:rsid w:val="00161E06"/>
    <w:rsid w:val="00174045"/>
    <w:rsid w:val="00194793"/>
    <w:rsid w:val="001C7D4A"/>
    <w:rsid w:val="001E4CD9"/>
    <w:rsid w:val="00213C13"/>
    <w:rsid w:val="002171A2"/>
    <w:rsid w:val="00217738"/>
    <w:rsid w:val="00232D53"/>
    <w:rsid w:val="00240610"/>
    <w:rsid w:val="0029515C"/>
    <w:rsid w:val="002B142D"/>
    <w:rsid w:val="002B7899"/>
    <w:rsid w:val="002D28D3"/>
    <w:rsid w:val="002E168C"/>
    <w:rsid w:val="003119E8"/>
    <w:rsid w:val="003156B9"/>
    <w:rsid w:val="00315B1B"/>
    <w:rsid w:val="00321EF0"/>
    <w:rsid w:val="0038266E"/>
    <w:rsid w:val="00383E01"/>
    <w:rsid w:val="00410602"/>
    <w:rsid w:val="00423A78"/>
    <w:rsid w:val="004418DB"/>
    <w:rsid w:val="00442967"/>
    <w:rsid w:val="004504AE"/>
    <w:rsid w:val="00474991"/>
    <w:rsid w:val="00486BED"/>
    <w:rsid w:val="004C0659"/>
    <w:rsid w:val="004D33B4"/>
    <w:rsid w:val="004D72F0"/>
    <w:rsid w:val="004F6482"/>
    <w:rsid w:val="005459E1"/>
    <w:rsid w:val="005C0BA1"/>
    <w:rsid w:val="005C5E1A"/>
    <w:rsid w:val="005D48A6"/>
    <w:rsid w:val="005E150C"/>
    <w:rsid w:val="00642D31"/>
    <w:rsid w:val="00655567"/>
    <w:rsid w:val="00657846"/>
    <w:rsid w:val="006A618E"/>
    <w:rsid w:val="006E74CB"/>
    <w:rsid w:val="00720CE4"/>
    <w:rsid w:val="00725FD9"/>
    <w:rsid w:val="00746E1C"/>
    <w:rsid w:val="007A6871"/>
    <w:rsid w:val="007B2A8A"/>
    <w:rsid w:val="007E2DAD"/>
    <w:rsid w:val="007E4285"/>
    <w:rsid w:val="007F5955"/>
    <w:rsid w:val="0083648D"/>
    <w:rsid w:val="0084474A"/>
    <w:rsid w:val="0085289D"/>
    <w:rsid w:val="00860DF7"/>
    <w:rsid w:val="00876952"/>
    <w:rsid w:val="00892D70"/>
    <w:rsid w:val="0089645B"/>
    <w:rsid w:val="008C1FFB"/>
    <w:rsid w:val="008C70FD"/>
    <w:rsid w:val="008E3B18"/>
    <w:rsid w:val="008F0594"/>
    <w:rsid w:val="0093628F"/>
    <w:rsid w:val="009864FB"/>
    <w:rsid w:val="00996A13"/>
    <w:rsid w:val="009A3C5C"/>
    <w:rsid w:val="009B6C96"/>
    <w:rsid w:val="00A03491"/>
    <w:rsid w:val="00A15B63"/>
    <w:rsid w:val="00AB35CE"/>
    <w:rsid w:val="00AC0F81"/>
    <w:rsid w:val="00AC6B0F"/>
    <w:rsid w:val="00AD2FD2"/>
    <w:rsid w:val="00AD61A7"/>
    <w:rsid w:val="00B00BCB"/>
    <w:rsid w:val="00B0123A"/>
    <w:rsid w:val="00B15A88"/>
    <w:rsid w:val="00B24213"/>
    <w:rsid w:val="00B30D40"/>
    <w:rsid w:val="00B55CB5"/>
    <w:rsid w:val="00B57FAF"/>
    <w:rsid w:val="00B61B49"/>
    <w:rsid w:val="00B77397"/>
    <w:rsid w:val="00BA0879"/>
    <w:rsid w:val="00BA5206"/>
    <w:rsid w:val="00C136B8"/>
    <w:rsid w:val="00C16006"/>
    <w:rsid w:val="00C241E8"/>
    <w:rsid w:val="00C449B8"/>
    <w:rsid w:val="00C50CB6"/>
    <w:rsid w:val="00C7433F"/>
    <w:rsid w:val="00C91AB1"/>
    <w:rsid w:val="00C950E0"/>
    <w:rsid w:val="00C95CE0"/>
    <w:rsid w:val="00CB3464"/>
    <w:rsid w:val="00CE14F0"/>
    <w:rsid w:val="00CE69AA"/>
    <w:rsid w:val="00D01897"/>
    <w:rsid w:val="00D31D42"/>
    <w:rsid w:val="00D3640C"/>
    <w:rsid w:val="00D37A86"/>
    <w:rsid w:val="00D67A4E"/>
    <w:rsid w:val="00D73FF0"/>
    <w:rsid w:val="00D74217"/>
    <w:rsid w:val="00D94BDE"/>
    <w:rsid w:val="00DA14EB"/>
    <w:rsid w:val="00DA60E1"/>
    <w:rsid w:val="00DB58A6"/>
    <w:rsid w:val="00DC0185"/>
    <w:rsid w:val="00DC4669"/>
    <w:rsid w:val="00DD7BB7"/>
    <w:rsid w:val="00DF23D6"/>
    <w:rsid w:val="00DF50F6"/>
    <w:rsid w:val="00E01E17"/>
    <w:rsid w:val="00E12F7B"/>
    <w:rsid w:val="00E37813"/>
    <w:rsid w:val="00E63846"/>
    <w:rsid w:val="00E858F6"/>
    <w:rsid w:val="00E94D25"/>
    <w:rsid w:val="00EC44C5"/>
    <w:rsid w:val="00EE74CB"/>
    <w:rsid w:val="00EF070A"/>
    <w:rsid w:val="00F263F2"/>
    <w:rsid w:val="00F5616F"/>
    <w:rsid w:val="00F94F83"/>
    <w:rsid w:val="00F9608D"/>
    <w:rsid w:val="00FA47BA"/>
    <w:rsid w:val="00FE7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045"/>
    <w:pPr>
      <w:tabs>
        <w:tab w:val="center" w:pos="4153"/>
        <w:tab w:val="right" w:pos="8306"/>
      </w:tabs>
    </w:pPr>
  </w:style>
  <w:style w:type="character" w:customStyle="1" w:styleId="HeaderChar">
    <w:name w:val="Header Char"/>
    <w:link w:val="Header"/>
    <w:uiPriority w:val="99"/>
    <w:rsid w:val="00174045"/>
    <w:rPr>
      <w:sz w:val="22"/>
      <w:szCs w:val="22"/>
      <w:lang w:eastAsia="en-US"/>
    </w:rPr>
  </w:style>
  <w:style w:type="paragraph" w:styleId="Footer">
    <w:name w:val="footer"/>
    <w:basedOn w:val="Normal"/>
    <w:link w:val="FooterChar"/>
    <w:uiPriority w:val="99"/>
    <w:unhideWhenUsed/>
    <w:rsid w:val="00174045"/>
    <w:pPr>
      <w:tabs>
        <w:tab w:val="center" w:pos="4153"/>
        <w:tab w:val="right" w:pos="8306"/>
      </w:tabs>
    </w:pPr>
  </w:style>
  <w:style w:type="character" w:customStyle="1" w:styleId="FooterChar">
    <w:name w:val="Footer Char"/>
    <w:link w:val="Footer"/>
    <w:uiPriority w:val="99"/>
    <w:rsid w:val="00174045"/>
    <w:rPr>
      <w:sz w:val="22"/>
      <w:szCs w:val="22"/>
      <w:lang w:eastAsia="en-US"/>
    </w:rPr>
  </w:style>
  <w:style w:type="paragraph" w:styleId="FootnoteText">
    <w:name w:val="footnote text"/>
    <w:basedOn w:val="Normal"/>
    <w:link w:val="FootnoteTextChar"/>
    <w:uiPriority w:val="99"/>
    <w:semiHidden/>
    <w:unhideWhenUsed/>
    <w:rsid w:val="00174045"/>
    <w:rPr>
      <w:sz w:val="20"/>
      <w:szCs w:val="20"/>
    </w:rPr>
  </w:style>
  <w:style w:type="character" w:customStyle="1" w:styleId="FootnoteTextChar">
    <w:name w:val="Footnote Text Char"/>
    <w:link w:val="FootnoteText"/>
    <w:uiPriority w:val="99"/>
    <w:semiHidden/>
    <w:rsid w:val="00174045"/>
    <w:rPr>
      <w:lang w:eastAsia="en-US"/>
    </w:rPr>
  </w:style>
  <w:style w:type="character" w:styleId="PageNumber">
    <w:name w:val="page number"/>
    <w:rsid w:val="00174045"/>
  </w:style>
  <w:style w:type="character" w:styleId="FootnoteReference">
    <w:name w:val="footnote reference"/>
    <w:semiHidden/>
    <w:rsid w:val="00174045"/>
    <w:rPr>
      <w:vertAlign w:val="superscript"/>
    </w:rPr>
  </w:style>
  <w:style w:type="table" w:styleId="TableGrid">
    <w:name w:val="Table Grid"/>
    <w:basedOn w:val="TableNormal"/>
    <w:rsid w:val="001740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B3464"/>
    <w:rPr>
      <w:color w:val="0000FF"/>
      <w:u w:val="single"/>
    </w:rPr>
  </w:style>
  <w:style w:type="character" w:styleId="CommentReference">
    <w:name w:val="annotation reference"/>
    <w:uiPriority w:val="99"/>
    <w:semiHidden/>
    <w:unhideWhenUsed/>
    <w:rsid w:val="000E3AEC"/>
    <w:rPr>
      <w:sz w:val="16"/>
      <w:szCs w:val="16"/>
    </w:rPr>
  </w:style>
  <w:style w:type="paragraph" w:styleId="CommentText">
    <w:name w:val="annotation text"/>
    <w:basedOn w:val="Normal"/>
    <w:link w:val="CommentTextChar"/>
    <w:uiPriority w:val="99"/>
    <w:semiHidden/>
    <w:unhideWhenUsed/>
    <w:rsid w:val="000E3AEC"/>
    <w:rPr>
      <w:sz w:val="20"/>
      <w:szCs w:val="20"/>
    </w:rPr>
  </w:style>
  <w:style w:type="character" w:customStyle="1" w:styleId="CommentTextChar">
    <w:name w:val="Comment Text Char"/>
    <w:link w:val="CommentText"/>
    <w:uiPriority w:val="99"/>
    <w:semiHidden/>
    <w:rsid w:val="000E3AEC"/>
    <w:rPr>
      <w:lang w:eastAsia="en-US"/>
    </w:rPr>
  </w:style>
  <w:style w:type="paragraph" w:styleId="CommentSubject">
    <w:name w:val="annotation subject"/>
    <w:basedOn w:val="CommentText"/>
    <w:next w:val="CommentText"/>
    <w:link w:val="CommentSubjectChar"/>
    <w:uiPriority w:val="99"/>
    <w:semiHidden/>
    <w:unhideWhenUsed/>
    <w:rsid w:val="000E3AEC"/>
    <w:rPr>
      <w:b/>
      <w:bCs/>
    </w:rPr>
  </w:style>
  <w:style w:type="character" w:customStyle="1" w:styleId="CommentSubjectChar">
    <w:name w:val="Comment Subject Char"/>
    <w:link w:val="CommentSubject"/>
    <w:uiPriority w:val="99"/>
    <w:semiHidden/>
    <w:rsid w:val="000E3AEC"/>
    <w:rPr>
      <w:b/>
      <w:bCs/>
      <w:lang w:eastAsia="en-US"/>
    </w:rPr>
  </w:style>
  <w:style w:type="paragraph" w:styleId="BalloonText">
    <w:name w:val="Balloon Text"/>
    <w:basedOn w:val="Normal"/>
    <w:link w:val="BalloonTextChar"/>
    <w:uiPriority w:val="99"/>
    <w:semiHidden/>
    <w:unhideWhenUsed/>
    <w:rsid w:val="000E3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3AEC"/>
    <w:rPr>
      <w:rFonts w:ascii="Tahoma" w:hAnsi="Tahoma" w:cs="Tahoma"/>
      <w:sz w:val="16"/>
      <w:szCs w:val="16"/>
      <w:lang w:eastAsia="en-US"/>
    </w:rPr>
  </w:style>
  <w:style w:type="paragraph" w:styleId="ListParagraph">
    <w:name w:val="List Paragraph"/>
    <w:basedOn w:val="Normal"/>
    <w:uiPriority w:val="34"/>
    <w:qFormat/>
    <w:rsid w:val="002B14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045"/>
    <w:pPr>
      <w:tabs>
        <w:tab w:val="center" w:pos="4153"/>
        <w:tab w:val="right" w:pos="8306"/>
      </w:tabs>
    </w:pPr>
  </w:style>
  <w:style w:type="character" w:customStyle="1" w:styleId="HeaderChar">
    <w:name w:val="Header Char"/>
    <w:link w:val="Header"/>
    <w:uiPriority w:val="99"/>
    <w:rsid w:val="00174045"/>
    <w:rPr>
      <w:sz w:val="22"/>
      <w:szCs w:val="22"/>
      <w:lang w:eastAsia="en-US"/>
    </w:rPr>
  </w:style>
  <w:style w:type="paragraph" w:styleId="Footer">
    <w:name w:val="footer"/>
    <w:basedOn w:val="Normal"/>
    <w:link w:val="FooterChar"/>
    <w:uiPriority w:val="99"/>
    <w:unhideWhenUsed/>
    <w:rsid w:val="00174045"/>
    <w:pPr>
      <w:tabs>
        <w:tab w:val="center" w:pos="4153"/>
        <w:tab w:val="right" w:pos="8306"/>
      </w:tabs>
    </w:pPr>
  </w:style>
  <w:style w:type="character" w:customStyle="1" w:styleId="FooterChar">
    <w:name w:val="Footer Char"/>
    <w:link w:val="Footer"/>
    <w:uiPriority w:val="99"/>
    <w:rsid w:val="00174045"/>
    <w:rPr>
      <w:sz w:val="22"/>
      <w:szCs w:val="22"/>
      <w:lang w:eastAsia="en-US"/>
    </w:rPr>
  </w:style>
  <w:style w:type="paragraph" w:styleId="FootnoteText">
    <w:name w:val="footnote text"/>
    <w:basedOn w:val="Normal"/>
    <w:link w:val="FootnoteTextChar"/>
    <w:uiPriority w:val="99"/>
    <w:semiHidden/>
    <w:unhideWhenUsed/>
    <w:rsid w:val="00174045"/>
    <w:rPr>
      <w:sz w:val="20"/>
      <w:szCs w:val="20"/>
    </w:rPr>
  </w:style>
  <w:style w:type="character" w:customStyle="1" w:styleId="FootnoteTextChar">
    <w:name w:val="Footnote Text Char"/>
    <w:link w:val="FootnoteText"/>
    <w:uiPriority w:val="99"/>
    <w:semiHidden/>
    <w:rsid w:val="00174045"/>
    <w:rPr>
      <w:lang w:eastAsia="en-US"/>
    </w:rPr>
  </w:style>
  <w:style w:type="character" w:styleId="PageNumber">
    <w:name w:val="page number"/>
    <w:rsid w:val="00174045"/>
  </w:style>
  <w:style w:type="character" w:styleId="FootnoteReference">
    <w:name w:val="footnote reference"/>
    <w:semiHidden/>
    <w:rsid w:val="00174045"/>
    <w:rPr>
      <w:vertAlign w:val="superscript"/>
    </w:rPr>
  </w:style>
  <w:style w:type="table" w:styleId="TableGrid">
    <w:name w:val="Table Grid"/>
    <w:basedOn w:val="TableNormal"/>
    <w:rsid w:val="001740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B3464"/>
    <w:rPr>
      <w:color w:val="0000FF"/>
      <w:u w:val="single"/>
    </w:rPr>
  </w:style>
  <w:style w:type="character" w:styleId="CommentReference">
    <w:name w:val="annotation reference"/>
    <w:uiPriority w:val="99"/>
    <w:semiHidden/>
    <w:unhideWhenUsed/>
    <w:rsid w:val="000E3AEC"/>
    <w:rPr>
      <w:sz w:val="16"/>
      <w:szCs w:val="16"/>
    </w:rPr>
  </w:style>
  <w:style w:type="paragraph" w:styleId="CommentText">
    <w:name w:val="annotation text"/>
    <w:basedOn w:val="Normal"/>
    <w:link w:val="CommentTextChar"/>
    <w:uiPriority w:val="99"/>
    <w:semiHidden/>
    <w:unhideWhenUsed/>
    <w:rsid w:val="000E3AEC"/>
    <w:rPr>
      <w:sz w:val="20"/>
      <w:szCs w:val="20"/>
    </w:rPr>
  </w:style>
  <w:style w:type="character" w:customStyle="1" w:styleId="CommentTextChar">
    <w:name w:val="Comment Text Char"/>
    <w:link w:val="CommentText"/>
    <w:uiPriority w:val="99"/>
    <w:semiHidden/>
    <w:rsid w:val="000E3AEC"/>
    <w:rPr>
      <w:lang w:eastAsia="en-US"/>
    </w:rPr>
  </w:style>
  <w:style w:type="paragraph" w:styleId="CommentSubject">
    <w:name w:val="annotation subject"/>
    <w:basedOn w:val="CommentText"/>
    <w:next w:val="CommentText"/>
    <w:link w:val="CommentSubjectChar"/>
    <w:uiPriority w:val="99"/>
    <w:semiHidden/>
    <w:unhideWhenUsed/>
    <w:rsid w:val="000E3AEC"/>
    <w:rPr>
      <w:b/>
      <w:bCs/>
    </w:rPr>
  </w:style>
  <w:style w:type="character" w:customStyle="1" w:styleId="CommentSubjectChar">
    <w:name w:val="Comment Subject Char"/>
    <w:link w:val="CommentSubject"/>
    <w:uiPriority w:val="99"/>
    <w:semiHidden/>
    <w:rsid w:val="000E3AEC"/>
    <w:rPr>
      <w:b/>
      <w:bCs/>
      <w:lang w:eastAsia="en-US"/>
    </w:rPr>
  </w:style>
  <w:style w:type="paragraph" w:styleId="BalloonText">
    <w:name w:val="Balloon Text"/>
    <w:basedOn w:val="Normal"/>
    <w:link w:val="BalloonTextChar"/>
    <w:uiPriority w:val="99"/>
    <w:semiHidden/>
    <w:unhideWhenUsed/>
    <w:rsid w:val="000E3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3AEC"/>
    <w:rPr>
      <w:rFonts w:ascii="Tahoma" w:hAnsi="Tahoma" w:cs="Tahoma"/>
      <w:sz w:val="16"/>
      <w:szCs w:val="16"/>
      <w:lang w:eastAsia="en-US"/>
    </w:rPr>
  </w:style>
  <w:style w:type="paragraph" w:styleId="ListParagraph">
    <w:name w:val="List Paragraph"/>
    <w:basedOn w:val="Normal"/>
    <w:uiPriority w:val="34"/>
    <w:qFormat/>
    <w:rsid w:val="002B1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dra.Karklin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6B8D4-1498-47D0-8EC8-94068BEC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1431</Words>
  <Characters>9896</Characters>
  <Application>Microsoft Office Word</Application>
  <DocSecurity>0</DocSecurity>
  <Lines>395</Lines>
  <Paragraphs>155</Paragraphs>
  <ScaleCrop>false</ScaleCrop>
  <HeadingPairs>
    <vt:vector size="2" baseType="variant">
      <vt:variant>
        <vt:lpstr>Title</vt:lpstr>
      </vt:variant>
      <vt:variant>
        <vt:i4>1</vt:i4>
      </vt:variant>
    </vt:vector>
  </HeadingPairs>
  <TitlesOfParts>
    <vt:vector size="1" baseType="lpstr">
      <vt:lpstr>Ministru kabineta rīkojuma projekts „Par vienreizēju kompensāciju piešķiršanu sakarā ar traģēdiju Rīgā, Priedaines ielā 20”</vt:lpstr>
    </vt:vector>
  </TitlesOfParts>
  <Company>LM</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vienreizēju kompensāciju piešķiršanu sakarā ar traģēdiju Rīgā, Priedaines ielā 20”</dc:title>
  <dc:subject>Anotācija</dc:subject>
  <dc:creator>Indra Karklina</dc:creator>
  <dc:description>Indra.Karklina@lm.gov.lv, tel.67021664</dc:description>
  <cp:lastModifiedBy>Indra Karklina</cp:lastModifiedBy>
  <cp:revision>8</cp:revision>
  <cp:lastPrinted>2013-12-03T08:10:00Z</cp:lastPrinted>
  <dcterms:created xsi:type="dcterms:W3CDTF">2013-12-03T06:56:00Z</dcterms:created>
  <dcterms:modified xsi:type="dcterms:W3CDTF">2013-12-03T08:51:00Z</dcterms:modified>
  <cp:category>Anotācija</cp:category>
</cp:coreProperties>
</file>