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67" w:rsidRPr="00C8167C" w:rsidRDefault="00913267" w:rsidP="00214274">
      <w:pPr>
        <w:jc w:val="center"/>
        <w:rPr>
          <w:sz w:val="28"/>
          <w:szCs w:val="28"/>
        </w:rPr>
      </w:pPr>
      <w:r w:rsidRPr="00496104">
        <w:rPr>
          <w:b/>
          <w:sz w:val="28"/>
          <w:szCs w:val="28"/>
        </w:rPr>
        <w:t>Grozījum</w:t>
      </w:r>
      <w:r>
        <w:rPr>
          <w:b/>
          <w:sz w:val="28"/>
          <w:szCs w:val="28"/>
        </w:rPr>
        <w:t>i</w:t>
      </w:r>
      <w:r w:rsidRPr="00496104">
        <w:rPr>
          <w:b/>
          <w:sz w:val="28"/>
          <w:szCs w:val="28"/>
        </w:rPr>
        <w:t xml:space="preserve"> Ministru kabineta 20</w:t>
      </w:r>
      <w:r>
        <w:rPr>
          <w:b/>
          <w:sz w:val="28"/>
          <w:szCs w:val="28"/>
        </w:rPr>
        <w:t>10</w:t>
      </w:r>
      <w:r w:rsidRPr="00496104">
        <w:rPr>
          <w:b/>
          <w:sz w:val="28"/>
          <w:szCs w:val="28"/>
        </w:rPr>
        <w:t xml:space="preserve">.gada </w:t>
      </w:r>
      <w:r>
        <w:rPr>
          <w:b/>
          <w:sz w:val="28"/>
          <w:szCs w:val="28"/>
        </w:rPr>
        <w:t>12.oktobra</w:t>
      </w:r>
      <w:r w:rsidRPr="00496104">
        <w:rPr>
          <w:b/>
          <w:sz w:val="28"/>
          <w:szCs w:val="28"/>
        </w:rPr>
        <w:t xml:space="preserve"> noteikumos Nr.</w:t>
      </w:r>
      <w:r>
        <w:rPr>
          <w:b/>
          <w:sz w:val="28"/>
          <w:szCs w:val="28"/>
        </w:rPr>
        <w:t>976</w:t>
      </w:r>
      <w:r w:rsidRPr="00496104">
        <w:rPr>
          <w:b/>
          <w:sz w:val="28"/>
          <w:szCs w:val="28"/>
        </w:rPr>
        <w:t xml:space="preserve"> “Noteikumi par </w:t>
      </w:r>
      <w:r>
        <w:rPr>
          <w:b/>
          <w:sz w:val="28"/>
          <w:szCs w:val="28"/>
        </w:rPr>
        <w:t>brīvprātīgu pievienošanos valsts sociālajai apdrošināšanai”</w:t>
      </w:r>
    </w:p>
    <w:p w:rsidR="00913267" w:rsidRDefault="00913267" w:rsidP="000864C1">
      <w:pPr>
        <w:jc w:val="center"/>
        <w:rPr>
          <w:b/>
          <w:sz w:val="28"/>
          <w:szCs w:val="28"/>
        </w:rPr>
      </w:pPr>
      <w:r w:rsidRPr="00AC181D">
        <w:rPr>
          <w:b/>
          <w:sz w:val="28"/>
          <w:szCs w:val="28"/>
        </w:rPr>
        <w:t xml:space="preserve">sākotnējās ietekmes novērtējuma </w:t>
      </w:r>
      <w:smartTag w:uri="schemas-tilde-lv/tildestengine" w:element="veidnes">
        <w:smartTagPr>
          <w:attr w:name="baseform" w:val="ziņojum|s"/>
          <w:attr w:name="id" w:val="-1"/>
          <w:attr w:name="text" w:val="ziņojums"/>
        </w:smartTagPr>
        <w:r w:rsidRPr="00AC181D">
          <w:rPr>
            <w:b/>
            <w:sz w:val="28"/>
            <w:szCs w:val="28"/>
          </w:rPr>
          <w:t>ziņojums</w:t>
        </w:r>
      </w:smartTag>
      <w:r w:rsidRPr="00AC181D">
        <w:rPr>
          <w:b/>
          <w:sz w:val="28"/>
          <w:szCs w:val="28"/>
        </w:rPr>
        <w:t xml:space="preserve"> (anotācija)</w:t>
      </w:r>
    </w:p>
    <w:p w:rsidR="00913267" w:rsidRDefault="00913267" w:rsidP="000864C1">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424"/>
        <w:gridCol w:w="1648"/>
        <w:gridCol w:w="5819"/>
      </w:tblGrid>
      <w:tr w:rsidR="00913267" w:rsidRPr="00B76D85" w:rsidTr="00867249">
        <w:tc>
          <w:tcPr>
            <w:tcW w:w="5000" w:type="pct"/>
            <w:gridSpan w:val="4"/>
          </w:tcPr>
          <w:p w:rsidR="00913267" w:rsidRPr="00043C33" w:rsidRDefault="00913267" w:rsidP="00043C33">
            <w:pPr>
              <w:jc w:val="center"/>
              <w:rPr>
                <w:b/>
              </w:rPr>
            </w:pPr>
            <w:r w:rsidRPr="00043C33">
              <w:rPr>
                <w:b/>
              </w:rPr>
              <w:t xml:space="preserve">I Tiesību </w:t>
            </w:r>
            <w:smartTag w:uri="schemas-tilde-lv/tildestengine" w:element="veidnes">
              <w:smartTagPr>
                <w:attr w:name="baseform" w:val="akt|s"/>
                <w:attr w:name="id" w:val="-1"/>
                <w:attr w:name="text" w:val="akta"/>
              </w:smartTagPr>
              <w:r w:rsidRPr="00043C33">
                <w:rPr>
                  <w:b/>
                </w:rPr>
                <w:t>akta</w:t>
              </w:r>
            </w:smartTag>
            <w:r w:rsidRPr="00043C33">
              <w:rPr>
                <w:b/>
              </w:rPr>
              <w:t xml:space="preserve"> projekta izstrādes nepieciešamība</w:t>
            </w:r>
          </w:p>
        </w:tc>
      </w:tr>
      <w:tr w:rsidR="00031CEC" w:rsidRPr="003F27FC" w:rsidTr="00867249">
        <w:tc>
          <w:tcPr>
            <w:tcW w:w="213" w:type="pct"/>
          </w:tcPr>
          <w:p w:rsidR="00031CEC" w:rsidRPr="00716E2F" w:rsidRDefault="00031CEC" w:rsidP="0025007C">
            <w:r w:rsidRPr="00716E2F">
              <w:t>1.</w:t>
            </w:r>
          </w:p>
        </w:tc>
        <w:tc>
          <w:tcPr>
            <w:tcW w:w="1654" w:type="pct"/>
            <w:gridSpan w:val="2"/>
          </w:tcPr>
          <w:p w:rsidR="00031CEC" w:rsidRPr="00716E2F" w:rsidRDefault="00031CEC" w:rsidP="0025007C">
            <w:r w:rsidRPr="00716E2F">
              <w:t>Pamatojums</w:t>
            </w:r>
          </w:p>
        </w:tc>
        <w:tc>
          <w:tcPr>
            <w:tcW w:w="3133" w:type="pct"/>
          </w:tcPr>
          <w:p w:rsidR="00A02A38" w:rsidRPr="007F1AF8" w:rsidRDefault="00031CEC" w:rsidP="00A02A38">
            <w:pPr>
              <w:jc w:val="both"/>
            </w:pPr>
            <w:r>
              <w:t xml:space="preserve">Ministru kabineta noteikumu projekts izstrādāts, pamatojoties uz likuma „Par valsts sociālo apdrošināšanu” (turpmāk – likums) </w:t>
            </w:r>
            <w:r w:rsidRPr="001D412C">
              <w:rPr>
                <w:iCs/>
              </w:rPr>
              <w:t xml:space="preserve">14.panta </w:t>
            </w:r>
            <w:r>
              <w:rPr>
                <w:iCs/>
              </w:rPr>
              <w:t>sestās</w:t>
            </w:r>
            <w:r w:rsidRPr="001D412C">
              <w:rPr>
                <w:iCs/>
              </w:rPr>
              <w:t xml:space="preserve"> </w:t>
            </w:r>
            <w:r>
              <w:rPr>
                <w:iCs/>
              </w:rPr>
              <w:t>daļas deleģējumu</w:t>
            </w:r>
            <w:r w:rsidR="00161C88">
              <w:rPr>
                <w:iCs/>
              </w:rPr>
              <w:t xml:space="preserve">, ka </w:t>
            </w:r>
            <w:r w:rsidRPr="001D412C">
              <w:t xml:space="preserve">brīvprātīgo </w:t>
            </w:r>
            <w:r w:rsidR="0083082F">
              <w:t xml:space="preserve">valsts sociālās </w:t>
            </w:r>
            <w:r w:rsidRPr="001D412C">
              <w:t>apdrošināšanas iemaksu objektu, tā minimālo un maksimālo apmēru un noteikšanas kārtību nosaka Ministru kabinets</w:t>
            </w:r>
            <w:r w:rsidR="00A02A38">
              <w:t xml:space="preserve">, kā arī </w:t>
            </w:r>
            <w:proofErr w:type="spellStart"/>
            <w:r w:rsidR="00A02A38" w:rsidRPr="00043C33">
              <w:rPr>
                <w:i/>
              </w:rPr>
              <w:t>Euro</w:t>
            </w:r>
            <w:proofErr w:type="spellEnd"/>
            <w:r w:rsidR="00A02A38" w:rsidRPr="00716E2F">
              <w:t xml:space="preserve"> ieviešanas kārtības likuma 30.panta pirm</w:t>
            </w:r>
            <w:r w:rsidR="00A02A38">
              <w:t>o</w:t>
            </w:r>
            <w:r w:rsidR="00A02A38" w:rsidRPr="00716E2F">
              <w:t xml:space="preserve"> daļ</w:t>
            </w:r>
            <w:r w:rsidR="00A02A38">
              <w:t>u un</w:t>
            </w:r>
            <w:r w:rsidR="00A02A38" w:rsidRPr="00716E2F">
              <w:t xml:space="preserve"> Ministru kabineta 2012.gada 27.jūnija rīkojum</w:t>
            </w:r>
            <w:r w:rsidR="00A02A38">
              <w:t>u</w:t>
            </w:r>
            <w:r w:rsidR="00A02A38" w:rsidRPr="00716E2F">
              <w:t xml:space="preserve"> Nr.282 „Par „Koncepciju par normatīvo aktu sakārtošanu saistībā ar </w:t>
            </w:r>
            <w:r w:rsidR="00A02A38" w:rsidRPr="00810884">
              <w:t>eiro</w:t>
            </w:r>
            <w:r w:rsidR="00A02A38" w:rsidRPr="00716E2F">
              <w:t xml:space="preserve"> ieviešanu Latvijā””</w:t>
            </w:r>
            <w:r w:rsidR="00A02A38">
              <w:t>.</w:t>
            </w:r>
          </w:p>
        </w:tc>
      </w:tr>
      <w:tr w:rsidR="00031CEC" w:rsidRPr="003F27FC" w:rsidTr="00867249">
        <w:tc>
          <w:tcPr>
            <w:tcW w:w="213" w:type="pct"/>
          </w:tcPr>
          <w:p w:rsidR="00031CEC" w:rsidRPr="00716E2F" w:rsidRDefault="00031CEC" w:rsidP="0025007C">
            <w:r w:rsidRPr="00716E2F">
              <w:t xml:space="preserve">2. </w:t>
            </w:r>
          </w:p>
        </w:tc>
        <w:tc>
          <w:tcPr>
            <w:tcW w:w="1654" w:type="pct"/>
            <w:gridSpan w:val="2"/>
          </w:tcPr>
          <w:p w:rsidR="00031CEC" w:rsidRPr="00716E2F" w:rsidRDefault="00031CEC" w:rsidP="0025007C">
            <w:r w:rsidRPr="00716E2F">
              <w:t>Pašreizējā situācija un problēmas</w:t>
            </w:r>
          </w:p>
        </w:tc>
        <w:tc>
          <w:tcPr>
            <w:tcW w:w="3133" w:type="pct"/>
          </w:tcPr>
          <w:p w:rsidR="00A11B1F" w:rsidRPr="00A11B1F" w:rsidRDefault="00161C88" w:rsidP="00161C88">
            <w:pPr>
              <w:jc w:val="both"/>
            </w:pPr>
            <w:r w:rsidRPr="00A11B1F">
              <w:t>2008.gada 19.jūnijā Saeima pieņēma grozījumus likumā „Par valsts sociālo apdrošināšanu””, kas paredz, ka  iemaksu objekta maksimālais apmērs netiek noteikts no 2009.gada 1.janvāra līdz 2013.gada 31.decembrim</w:t>
            </w:r>
            <w:r w:rsidR="0083082F">
              <w:t xml:space="preserve">. </w:t>
            </w:r>
            <w:r w:rsidR="00A11B1F" w:rsidRPr="00A11B1F">
              <w:rPr>
                <w:iCs/>
              </w:rPr>
              <w:t xml:space="preserve">Izstrādājot Ministru kabineta </w:t>
            </w:r>
            <w:r w:rsidR="00A11B1F" w:rsidRPr="00A11B1F">
              <w:t xml:space="preserve">2010.gada 12.oktobra noteikumus Nr.976 “Noteikumi par brīvprātīgu pievienošanos valsts sociālajai apdrošināšanai” (turpmāk – noteikumi Nr.976), </w:t>
            </w:r>
            <w:r w:rsidR="00D52AC9">
              <w:t xml:space="preserve">noteikumos Nr.976 iestrādāja arī </w:t>
            </w:r>
            <w:r w:rsidR="00A11B1F" w:rsidRPr="00A11B1F">
              <w:t>normas, kas regulē valsts sociālās apdrošināšanas brīvprātīgo iemaksu objekta maksimālo apmēru un šī objekta noteikšanas kārtību, paredzot, ka šīs normas stāsies spēkā no 2014.gada 1.janvāra.</w:t>
            </w:r>
          </w:p>
          <w:p w:rsidR="00091E7D" w:rsidRPr="00A11B1F" w:rsidRDefault="00091E7D" w:rsidP="00A11B1F">
            <w:pPr>
              <w:jc w:val="both"/>
            </w:pPr>
            <w:r w:rsidRPr="00A11B1F">
              <w:t xml:space="preserve">Labklājības ministrija ir izstrādājusi </w:t>
            </w:r>
            <w:r w:rsidR="00A11B1F" w:rsidRPr="00A11B1F">
              <w:t xml:space="preserve">Ministru kabineta </w:t>
            </w:r>
            <w:r w:rsidRPr="00A11B1F">
              <w:t>noteikumu projektu</w:t>
            </w:r>
            <w:r w:rsidR="00A11B1F" w:rsidRPr="00A11B1F">
              <w:t xml:space="preserve"> „Noteikumi par valsts sociālās apdrošināšanas obligāto un brīvprātīgo iemaksu objekta </w:t>
            </w:r>
            <w:r w:rsidR="00A02A38">
              <w:t xml:space="preserve">minimālo un </w:t>
            </w:r>
            <w:r w:rsidR="00A11B1F" w:rsidRPr="00A11B1F">
              <w:t>maksimālo apmēru”</w:t>
            </w:r>
            <w:r w:rsidRPr="00A11B1F">
              <w:t xml:space="preserve">, kas nosaka </w:t>
            </w:r>
            <w:r w:rsidR="0083082F">
              <w:t xml:space="preserve">valsts sociālās apdrošināšanas </w:t>
            </w:r>
            <w:r w:rsidRPr="00A11B1F">
              <w:t xml:space="preserve">iemaksu </w:t>
            </w:r>
            <w:r w:rsidR="0083082F">
              <w:t xml:space="preserve">objekta </w:t>
            </w:r>
            <w:r w:rsidR="00A02A38">
              <w:t xml:space="preserve">minimālo un </w:t>
            </w:r>
            <w:r w:rsidRPr="00A11B1F">
              <w:t xml:space="preserve">maksimālo apmēru gan personām, kuras ir pakļautas valsts obligātajai sociālai apdrošināšanai, gan personām, kuras valsts sociālajai apdrošināšanai pievienojas brīvprātīgi.  </w:t>
            </w:r>
          </w:p>
          <w:p w:rsidR="00161C88" w:rsidRDefault="00A11B1F" w:rsidP="00A11B1F">
            <w:pPr>
              <w:jc w:val="both"/>
            </w:pPr>
            <w:r w:rsidRPr="00A11B1F">
              <w:t xml:space="preserve">Ņemot vērā iepriekš minēto, nepieciešams veikt </w:t>
            </w:r>
            <w:r w:rsidR="003B3010">
              <w:t xml:space="preserve">tehniskus </w:t>
            </w:r>
            <w:r w:rsidRPr="00A11B1F">
              <w:t>grozījumus noteikumos Nr.976</w:t>
            </w:r>
            <w:r>
              <w:t xml:space="preserve"> un </w:t>
            </w:r>
            <w:r w:rsidRPr="00A11B1F">
              <w:t xml:space="preserve">svītrot normas par valsts sociālās apdrošināšanas brīvprātīgo iemaksu objekta </w:t>
            </w:r>
            <w:r w:rsidR="00A02A38">
              <w:t xml:space="preserve">minimālo un </w:t>
            </w:r>
            <w:r w:rsidRPr="00A11B1F">
              <w:t>maksimālo apmēru.</w:t>
            </w:r>
          </w:p>
          <w:p w:rsidR="00A02A38" w:rsidRDefault="00A02A38" w:rsidP="00A02A38">
            <w:pPr>
              <w:jc w:val="both"/>
              <w:rPr>
                <w:iCs/>
              </w:rPr>
            </w:pPr>
            <w:r>
              <w:t>Noteikumu Nr.976 12.punkts nosaka, ka aprēķinātās valsts sociālās apdrošināšanas brīvprātīgās iemaksas tiek noapaļotas līdz veseliem latiem un santīmiem, atmetot 0,49 santīmus un noapaļojot līdz santīmam 0,50 santīmu. Savukārt noteikumu Nr.976 13.punkts nosaka, ka valsts sociālās apdrošināšanas brīvprātīgās iemaksas tiek veiktas latos un santīmos.</w:t>
            </w:r>
          </w:p>
          <w:p w:rsidR="00A02A38" w:rsidRDefault="00A02A38" w:rsidP="00A02A38">
            <w:pPr>
              <w:jc w:val="both"/>
            </w:pPr>
            <w:r w:rsidRPr="00043C33">
              <w:rPr>
                <w:iCs/>
              </w:rPr>
              <w:t>Ņemot vērā, ka ar 2014.gada 1.janvāri Latvijā plānots ieviest</w:t>
            </w:r>
            <w:r w:rsidRPr="00527B8B">
              <w:rPr>
                <w:iCs/>
              </w:rPr>
              <w:t xml:space="preserve"> </w:t>
            </w:r>
            <w:proofErr w:type="spellStart"/>
            <w:r w:rsidRPr="00810884">
              <w:rPr>
                <w:i/>
                <w:iCs/>
              </w:rPr>
              <w:t>euro</w:t>
            </w:r>
            <w:proofErr w:type="spellEnd"/>
            <w:r w:rsidRPr="00043C33">
              <w:rPr>
                <w:iCs/>
              </w:rPr>
              <w:t xml:space="preserve">, ir nepieciešams veikt grozījumus </w:t>
            </w:r>
            <w:r w:rsidRPr="00716E2F">
              <w:t>noteikumos Nr.</w:t>
            </w:r>
            <w:r>
              <w:t>976,</w:t>
            </w:r>
            <w:r w:rsidRPr="00716E2F">
              <w:t xml:space="preserve"> aizstājot tajā latus</w:t>
            </w:r>
            <w:r>
              <w:t xml:space="preserve"> un santīmus</w:t>
            </w:r>
            <w:r w:rsidRPr="00716E2F">
              <w:t xml:space="preserve"> ar </w:t>
            </w:r>
            <w:proofErr w:type="spellStart"/>
            <w:r w:rsidRPr="00810884">
              <w:rPr>
                <w:i/>
              </w:rPr>
              <w:t>euro</w:t>
            </w:r>
            <w:proofErr w:type="spellEnd"/>
            <w:r>
              <w:t xml:space="preserve"> un </w:t>
            </w:r>
            <w:r>
              <w:lastRenderedPageBreak/>
              <w:t>centiem</w:t>
            </w:r>
            <w:r w:rsidRPr="00716E2F">
              <w:t>.</w:t>
            </w:r>
          </w:p>
          <w:p w:rsidR="00A02A38" w:rsidRPr="00A02A38" w:rsidRDefault="00A02A38" w:rsidP="00A02A38">
            <w:pPr>
              <w:jc w:val="both"/>
            </w:pPr>
            <w:r>
              <w:t xml:space="preserve">2011.gada 30.aprīlī stājās spēkā grozījumi Maksājumu pakalpojumu likumā, kas likuma nosaukumu izteica jaunā redakcijā, t.i., Maksājumu pakalpojumu un elektroniskās naudas likums. Līdz ar to nepieciešams veikt tehnisku grozījumu un noteikumu 13.punktā precizēt minētā likuma nosaukumu.  </w:t>
            </w:r>
          </w:p>
        </w:tc>
      </w:tr>
      <w:tr w:rsidR="00031CEC" w:rsidRPr="003F27FC" w:rsidTr="00867249">
        <w:tc>
          <w:tcPr>
            <w:tcW w:w="213" w:type="pct"/>
          </w:tcPr>
          <w:p w:rsidR="00031CEC" w:rsidRPr="00716E2F" w:rsidRDefault="00031CEC" w:rsidP="0025007C">
            <w:r w:rsidRPr="00716E2F">
              <w:lastRenderedPageBreak/>
              <w:t xml:space="preserve">3. </w:t>
            </w:r>
          </w:p>
        </w:tc>
        <w:tc>
          <w:tcPr>
            <w:tcW w:w="1654" w:type="pct"/>
            <w:gridSpan w:val="2"/>
          </w:tcPr>
          <w:p w:rsidR="00031CEC" w:rsidRPr="00716E2F" w:rsidRDefault="00031CEC" w:rsidP="0025007C">
            <w:r w:rsidRPr="00716E2F">
              <w:t>Saistītie politikas ietekmes novērtējumi un pētījumi</w:t>
            </w:r>
          </w:p>
        </w:tc>
        <w:tc>
          <w:tcPr>
            <w:tcW w:w="3133" w:type="pct"/>
          </w:tcPr>
          <w:p w:rsidR="00031CEC" w:rsidRPr="00716E2F" w:rsidRDefault="00031CEC" w:rsidP="00043C33">
            <w:pPr>
              <w:jc w:val="both"/>
            </w:pPr>
            <w:r w:rsidRPr="001A4B0C">
              <w:t>Projekts šo jomu neskar.</w:t>
            </w:r>
          </w:p>
        </w:tc>
      </w:tr>
      <w:tr w:rsidR="00031CEC" w:rsidRPr="003F27FC" w:rsidTr="00867249">
        <w:tc>
          <w:tcPr>
            <w:tcW w:w="213" w:type="pct"/>
          </w:tcPr>
          <w:p w:rsidR="00031CEC" w:rsidRPr="00716E2F" w:rsidRDefault="00031CEC" w:rsidP="0025007C">
            <w:r w:rsidRPr="00716E2F">
              <w:t>4.</w:t>
            </w:r>
          </w:p>
        </w:tc>
        <w:tc>
          <w:tcPr>
            <w:tcW w:w="1654" w:type="pct"/>
            <w:gridSpan w:val="2"/>
          </w:tcPr>
          <w:p w:rsidR="00031CEC" w:rsidRPr="00716E2F" w:rsidRDefault="00031CEC" w:rsidP="0025007C">
            <w:r w:rsidRPr="00716E2F">
              <w:t>Tiesiskā regulējuma mērķis un būtība</w:t>
            </w:r>
          </w:p>
        </w:tc>
        <w:tc>
          <w:tcPr>
            <w:tcW w:w="3133" w:type="pct"/>
          </w:tcPr>
          <w:p w:rsidR="0080349E" w:rsidRPr="00C91505" w:rsidRDefault="00031CEC" w:rsidP="0080349E">
            <w:pPr>
              <w:ind w:firstLine="372"/>
              <w:jc w:val="both"/>
              <w:rPr>
                <w:bCs/>
              </w:rPr>
            </w:pPr>
            <w:r>
              <w:rPr>
                <w:iCs/>
              </w:rPr>
              <w:t xml:space="preserve">Ministru kabineta noteikumu projekta „Grozījumi </w:t>
            </w:r>
            <w:r w:rsidRPr="00043C33">
              <w:rPr>
                <w:iCs/>
              </w:rPr>
              <w:t xml:space="preserve">Ministru kabineta </w:t>
            </w:r>
            <w:r w:rsidRPr="00716E2F">
              <w:t>20</w:t>
            </w:r>
            <w:r>
              <w:t>10</w:t>
            </w:r>
            <w:r w:rsidRPr="00716E2F">
              <w:t xml:space="preserve">.gada </w:t>
            </w:r>
            <w:r>
              <w:t>12.oktobra</w:t>
            </w:r>
            <w:r w:rsidRPr="00716E2F">
              <w:t xml:space="preserve"> noteikumos Nr.</w:t>
            </w:r>
            <w:r>
              <w:t>976</w:t>
            </w:r>
            <w:r w:rsidRPr="00716E2F">
              <w:t xml:space="preserve"> “Noteikumi par </w:t>
            </w:r>
            <w:r>
              <w:t>brīvprātīgu pievienošanos valsts sociālajai apdrošināšanai”” (turpmāk – noteikumu projekts)</w:t>
            </w:r>
            <w:r w:rsidRPr="00043C33">
              <w:rPr>
                <w:iCs/>
              </w:rPr>
              <w:t xml:space="preserve"> </w:t>
            </w:r>
            <w:r w:rsidRPr="00C91505">
              <w:rPr>
                <w:bCs/>
              </w:rPr>
              <w:t>mērķis ir p</w:t>
            </w:r>
            <w:r w:rsidR="00A11B1F">
              <w:rPr>
                <w:bCs/>
              </w:rPr>
              <w:t xml:space="preserve">recizēt </w:t>
            </w:r>
            <w:r w:rsidRPr="00C91505">
              <w:rPr>
                <w:bCs/>
              </w:rPr>
              <w:t>noteikumus Nr.</w:t>
            </w:r>
            <w:r>
              <w:rPr>
                <w:bCs/>
              </w:rPr>
              <w:t>976</w:t>
            </w:r>
            <w:r w:rsidR="00A11B1F">
              <w:rPr>
                <w:bCs/>
              </w:rPr>
              <w:t>,</w:t>
            </w:r>
            <w:r w:rsidR="00A11B1F" w:rsidRPr="00A11B1F">
              <w:t xml:space="preserve"> svītrojot normas par valsts sociālās apdrošināšanas brīvprātīgo iemaksu objekta </w:t>
            </w:r>
            <w:r w:rsidR="00A02A38">
              <w:t xml:space="preserve">minimālo un </w:t>
            </w:r>
            <w:r w:rsidR="00A11B1F" w:rsidRPr="00A11B1F">
              <w:t>maksimālo apmēru</w:t>
            </w:r>
            <w:r w:rsidR="0080349E">
              <w:t xml:space="preserve"> un </w:t>
            </w:r>
            <w:r w:rsidR="0080349E" w:rsidRPr="00C91505">
              <w:rPr>
                <w:bCs/>
              </w:rPr>
              <w:t>pielāgot noteikumus Nr.</w:t>
            </w:r>
            <w:r w:rsidR="0080349E">
              <w:rPr>
                <w:bCs/>
              </w:rPr>
              <w:t>976</w:t>
            </w:r>
            <w:r w:rsidR="0080349E" w:rsidRPr="00C91505">
              <w:rPr>
                <w:bCs/>
              </w:rPr>
              <w:t xml:space="preserve"> </w:t>
            </w:r>
            <w:proofErr w:type="spellStart"/>
            <w:r w:rsidR="0080349E" w:rsidRPr="00810884">
              <w:rPr>
                <w:bCs/>
                <w:i/>
              </w:rPr>
              <w:t>euro</w:t>
            </w:r>
            <w:proofErr w:type="spellEnd"/>
            <w:r w:rsidR="0080349E" w:rsidRPr="00C91505">
              <w:rPr>
                <w:bCs/>
              </w:rPr>
              <w:t xml:space="preserve"> ieviešanai.</w:t>
            </w:r>
          </w:p>
          <w:p w:rsidR="00031CEC" w:rsidRDefault="00031CEC" w:rsidP="00043C33">
            <w:pPr>
              <w:jc w:val="both"/>
              <w:rPr>
                <w:iCs/>
              </w:rPr>
            </w:pPr>
            <w:r>
              <w:rPr>
                <w:iCs/>
              </w:rPr>
              <w:t>Noteikumu projekts paredz:</w:t>
            </w:r>
          </w:p>
          <w:p w:rsidR="00031CEC" w:rsidRDefault="00031CEC" w:rsidP="00C63CEB">
            <w:pPr>
              <w:jc w:val="both"/>
              <w:rPr>
                <w:iCs/>
              </w:rPr>
            </w:pPr>
            <w:r>
              <w:rPr>
                <w:iCs/>
              </w:rPr>
              <w:t xml:space="preserve">- </w:t>
            </w:r>
            <w:r w:rsidR="00D52AC9">
              <w:rPr>
                <w:iCs/>
              </w:rPr>
              <w:t xml:space="preserve">svītrot </w:t>
            </w:r>
            <w:r>
              <w:rPr>
                <w:iCs/>
              </w:rPr>
              <w:t xml:space="preserve">noteikumos Nr.976 </w:t>
            </w:r>
            <w:r w:rsidR="0083082F">
              <w:rPr>
                <w:iCs/>
              </w:rPr>
              <w:t xml:space="preserve">normas par </w:t>
            </w:r>
            <w:r w:rsidR="0083082F" w:rsidRPr="00A11B1F">
              <w:t>valsts sociālās apdrošināšanas brīvprātīgo iemaksu objekta m</w:t>
            </w:r>
            <w:r w:rsidR="0080349E">
              <w:t>inimālo un maksimālo a</w:t>
            </w:r>
            <w:r w:rsidR="0083082F" w:rsidRPr="00A11B1F">
              <w:t>pmēru</w:t>
            </w:r>
            <w:r w:rsidR="0083082F">
              <w:rPr>
                <w:iCs/>
              </w:rPr>
              <w:t xml:space="preserve"> </w:t>
            </w:r>
            <w:r>
              <w:rPr>
                <w:iCs/>
              </w:rPr>
              <w:t>(noteikumu projekta 1.1.</w:t>
            </w:r>
            <w:r w:rsidR="00D52AC9">
              <w:rPr>
                <w:iCs/>
              </w:rPr>
              <w:t>, 1.2., 1.3., 1.4.</w:t>
            </w:r>
            <w:r w:rsidR="0080349E">
              <w:rPr>
                <w:iCs/>
              </w:rPr>
              <w:t>, 1.7., 1.8.</w:t>
            </w:r>
            <w:r>
              <w:rPr>
                <w:iCs/>
              </w:rPr>
              <w:t>apakšpunkts);</w:t>
            </w:r>
          </w:p>
          <w:p w:rsidR="0080349E" w:rsidRDefault="00A02A38" w:rsidP="00043C33">
            <w:pPr>
              <w:jc w:val="both"/>
              <w:rPr>
                <w:iCs/>
              </w:rPr>
            </w:pPr>
            <w:r>
              <w:rPr>
                <w:iCs/>
              </w:rPr>
              <w:t xml:space="preserve">- </w:t>
            </w:r>
            <w:r w:rsidR="0080349E">
              <w:rPr>
                <w:iCs/>
              </w:rPr>
              <w:t xml:space="preserve">aizstāt noteikumos Nr.976 latus ar </w:t>
            </w:r>
            <w:proofErr w:type="spellStart"/>
            <w:r w:rsidR="0080349E" w:rsidRPr="00E967D9">
              <w:rPr>
                <w:i/>
                <w:iCs/>
              </w:rPr>
              <w:t>euro</w:t>
            </w:r>
            <w:proofErr w:type="spellEnd"/>
            <w:r w:rsidR="0080349E">
              <w:rPr>
                <w:iCs/>
              </w:rPr>
              <w:t xml:space="preserve"> (noteikumu projekta 1.6.apakšpunkts);</w:t>
            </w:r>
          </w:p>
          <w:p w:rsidR="0080349E" w:rsidRDefault="0080349E" w:rsidP="00043C33">
            <w:pPr>
              <w:jc w:val="both"/>
              <w:rPr>
                <w:iCs/>
              </w:rPr>
            </w:pPr>
            <w:r>
              <w:rPr>
                <w:iCs/>
              </w:rPr>
              <w:t>- noteikt kā tiek noapaļotas valsts sociālās apdrošināšanas brīvprātīgās iemaksas (noteikumu projekta 1.5.apakšpunkts);</w:t>
            </w:r>
          </w:p>
          <w:p w:rsidR="00031CEC" w:rsidRDefault="0080349E" w:rsidP="00043C33">
            <w:pPr>
              <w:jc w:val="both"/>
              <w:rPr>
                <w:iCs/>
              </w:rPr>
            </w:pPr>
            <w:r>
              <w:rPr>
                <w:iCs/>
              </w:rPr>
              <w:t xml:space="preserve">- </w:t>
            </w:r>
            <w:r w:rsidR="00031CEC">
              <w:rPr>
                <w:iCs/>
              </w:rPr>
              <w:t>noteikt noteikumu projekta spēkā stāšanās laiku (noteikumu projekta 2.punkts).</w:t>
            </w:r>
          </w:p>
          <w:p w:rsidR="00A02A38" w:rsidRPr="00043C33" w:rsidRDefault="00A02A38" w:rsidP="00A02A38">
            <w:pPr>
              <w:jc w:val="both"/>
              <w:rPr>
                <w:iCs/>
              </w:rPr>
            </w:pPr>
            <w:r>
              <w:rPr>
                <w:iCs/>
              </w:rPr>
              <w:t>Noteikumu p</w:t>
            </w:r>
            <w:r w:rsidRPr="00043C33">
              <w:rPr>
                <w:iCs/>
              </w:rPr>
              <w:t xml:space="preserve">rojekts paredz aizstāt latus ar </w:t>
            </w:r>
            <w:proofErr w:type="spellStart"/>
            <w:r w:rsidRPr="00810884">
              <w:rPr>
                <w:i/>
                <w:iCs/>
              </w:rPr>
              <w:t>euro</w:t>
            </w:r>
            <w:proofErr w:type="spellEnd"/>
            <w:r w:rsidRPr="00043C33">
              <w:rPr>
                <w:iCs/>
              </w:rPr>
              <w:t xml:space="preserve"> atbilstoši </w:t>
            </w:r>
            <w:proofErr w:type="spellStart"/>
            <w:r w:rsidRPr="00810884">
              <w:rPr>
                <w:i/>
                <w:iCs/>
              </w:rPr>
              <w:t>Euro</w:t>
            </w:r>
            <w:proofErr w:type="spellEnd"/>
            <w:r w:rsidRPr="00043C33">
              <w:rPr>
                <w:iCs/>
              </w:rPr>
              <w:t xml:space="preserve"> ieviešana kārtības likuma </w:t>
            </w:r>
            <w:r>
              <w:rPr>
                <w:iCs/>
              </w:rPr>
              <w:t>32</w:t>
            </w:r>
            <w:r w:rsidRPr="00043C33">
              <w:rPr>
                <w:iCs/>
              </w:rPr>
              <w:t>.pant</w:t>
            </w:r>
            <w:r>
              <w:rPr>
                <w:iCs/>
              </w:rPr>
              <w:t xml:space="preserve">a piektajā daļā </w:t>
            </w:r>
            <w:r w:rsidRPr="00043C33">
              <w:rPr>
                <w:iCs/>
              </w:rPr>
              <w:t xml:space="preserve"> paredzētajiem principiem.</w:t>
            </w:r>
          </w:p>
          <w:p w:rsidR="00A02A38" w:rsidRDefault="00A02A38" w:rsidP="00A02A38">
            <w:pPr>
              <w:jc w:val="both"/>
              <w:rPr>
                <w:iCs/>
              </w:rPr>
            </w:pPr>
            <w:r w:rsidRPr="00043C33">
              <w:rPr>
                <w:iCs/>
              </w:rPr>
              <w:t xml:space="preserve">Grozītās tiesību normas </w:t>
            </w:r>
            <w:proofErr w:type="spellStart"/>
            <w:r w:rsidRPr="00810884">
              <w:rPr>
                <w:i/>
                <w:iCs/>
              </w:rPr>
              <w:t>euro</w:t>
            </w:r>
            <w:proofErr w:type="spellEnd"/>
            <w:r w:rsidRPr="00043C33">
              <w:rPr>
                <w:iCs/>
              </w:rPr>
              <w:t xml:space="preserve"> valūtā nav personām nelabvēlīgākas par sākotnējo tiesību normu latos un nerada vērā ņemamu negatīvu ietekmi uz valsts budžetu.</w:t>
            </w:r>
          </w:p>
          <w:p w:rsidR="00A02A38" w:rsidRPr="00716E2F" w:rsidRDefault="00A02A38" w:rsidP="00A02A38">
            <w:pPr>
              <w:jc w:val="both"/>
            </w:pPr>
            <w:r w:rsidRPr="00A26A16">
              <w:t>Noteikumu projekts pilnībā atrisinās anotācijas I sadaļas 2.punktā minētās problēmas.</w:t>
            </w:r>
          </w:p>
        </w:tc>
      </w:tr>
      <w:tr w:rsidR="00031CEC" w:rsidRPr="003F27FC" w:rsidTr="00867249">
        <w:tc>
          <w:tcPr>
            <w:tcW w:w="213" w:type="pct"/>
          </w:tcPr>
          <w:p w:rsidR="00031CEC" w:rsidRPr="00716E2F" w:rsidRDefault="00031CEC" w:rsidP="0025007C">
            <w:r w:rsidRPr="00716E2F">
              <w:t>5.</w:t>
            </w:r>
          </w:p>
        </w:tc>
        <w:tc>
          <w:tcPr>
            <w:tcW w:w="1654" w:type="pct"/>
            <w:gridSpan w:val="2"/>
          </w:tcPr>
          <w:p w:rsidR="00031CEC" w:rsidRPr="00716E2F" w:rsidRDefault="00031CEC" w:rsidP="0025007C">
            <w:r w:rsidRPr="00716E2F">
              <w:t>Projekta izstrādē iesaistītās institūcijas</w:t>
            </w:r>
          </w:p>
        </w:tc>
        <w:tc>
          <w:tcPr>
            <w:tcW w:w="3133" w:type="pct"/>
          </w:tcPr>
          <w:p w:rsidR="00031CEC" w:rsidRPr="008F285C" w:rsidRDefault="00031CEC" w:rsidP="00043C33">
            <w:pPr>
              <w:jc w:val="both"/>
            </w:pPr>
            <w:r w:rsidRPr="001A4B0C">
              <w:t>Projekts šo jomu neskar.</w:t>
            </w:r>
          </w:p>
        </w:tc>
      </w:tr>
      <w:tr w:rsidR="00031CEC" w:rsidRPr="003F27FC" w:rsidTr="00867249">
        <w:tc>
          <w:tcPr>
            <w:tcW w:w="213" w:type="pct"/>
          </w:tcPr>
          <w:p w:rsidR="00031CEC" w:rsidRPr="00716E2F" w:rsidRDefault="00031CEC" w:rsidP="0025007C">
            <w:r w:rsidRPr="00716E2F">
              <w:t>6.</w:t>
            </w:r>
          </w:p>
        </w:tc>
        <w:tc>
          <w:tcPr>
            <w:tcW w:w="1654" w:type="pct"/>
            <w:gridSpan w:val="2"/>
          </w:tcPr>
          <w:p w:rsidR="00031CEC" w:rsidRPr="00716E2F" w:rsidRDefault="00031CEC" w:rsidP="0025007C">
            <w:r w:rsidRPr="00716E2F">
              <w:t>Iemesli, kādēļ netika nodrošināta sabiedrības līdzdalība</w:t>
            </w:r>
          </w:p>
        </w:tc>
        <w:tc>
          <w:tcPr>
            <w:tcW w:w="3133" w:type="pct"/>
          </w:tcPr>
          <w:p w:rsidR="00031CEC" w:rsidRPr="008F285C" w:rsidRDefault="00031CEC" w:rsidP="00043C33">
            <w:pPr>
              <w:jc w:val="both"/>
            </w:pPr>
            <w:r w:rsidRPr="008F285C">
              <w:t xml:space="preserve">Sabiedrības līdzdalība </w:t>
            </w:r>
            <w:r>
              <w:t xml:space="preserve">noteikumu </w:t>
            </w:r>
            <w:r w:rsidRPr="008F285C">
              <w:t xml:space="preserve">projekta izstrādē netika nodrošināta, jo </w:t>
            </w:r>
            <w:r>
              <w:t xml:space="preserve">noteikumu </w:t>
            </w:r>
            <w:r w:rsidRPr="008F285C">
              <w:t>projekts nemainīs pastāvošo tiesisko regulējumu pēc būtības.</w:t>
            </w:r>
          </w:p>
        </w:tc>
      </w:tr>
      <w:tr w:rsidR="00031CEC" w:rsidRPr="003F27FC" w:rsidTr="00867249">
        <w:tc>
          <w:tcPr>
            <w:tcW w:w="213" w:type="pct"/>
          </w:tcPr>
          <w:p w:rsidR="00031CEC" w:rsidRPr="00716E2F" w:rsidRDefault="00031CEC" w:rsidP="0025007C">
            <w:r w:rsidRPr="00716E2F">
              <w:t xml:space="preserve">7. </w:t>
            </w:r>
          </w:p>
        </w:tc>
        <w:tc>
          <w:tcPr>
            <w:tcW w:w="1654" w:type="pct"/>
            <w:gridSpan w:val="2"/>
          </w:tcPr>
          <w:p w:rsidR="00031CEC" w:rsidRPr="00716E2F" w:rsidRDefault="00031CEC" w:rsidP="0025007C">
            <w:r w:rsidRPr="00716E2F">
              <w:t>Cita informācija</w:t>
            </w:r>
          </w:p>
        </w:tc>
        <w:tc>
          <w:tcPr>
            <w:tcW w:w="3133" w:type="pct"/>
          </w:tcPr>
          <w:p w:rsidR="00031CEC" w:rsidRPr="00043C33" w:rsidRDefault="00031CEC" w:rsidP="003B3010">
            <w:pPr>
              <w:jc w:val="both"/>
              <w:rPr>
                <w:color w:val="FF0000"/>
              </w:rPr>
            </w:pPr>
          </w:p>
        </w:tc>
      </w:tr>
      <w:tr w:rsidR="00A02A38" w:rsidRPr="00D95A84" w:rsidTr="00867249">
        <w:tc>
          <w:tcPr>
            <w:tcW w:w="5000" w:type="pct"/>
            <w:gridSpan w:val="4"/>
            <w:shd w:val="clear" w:color="auto" w:fill="auto"/>
          </w:tcPr>
          <w:p w:rsidR="00A02A38" w:rsidRDefault="00A02A38" w:rsidP="006B68C1">
            <w:pPr>
              <w:jc w:val="center"/>
            </w:pPr>
            <w:r w:rsidRPr="00D95A84">
              <w:br w:type="page"/>
            </w:r>
          </w:p>
          <w:p w:rsidR="00A02A38" w:rsidRPr="00D95A84" w:rsidRDefault="00A02A38" w:rsidP="006B68C1">
            <w:pPr>
              <w:jc w:val="center"/>
            </w:pPr>
            <w:r w:rsidRPr="00D95A84">
              <w:rPr>
                <w:b/>
              </w:rPr>
              <w:t>III</w:t>
            </w:r>
            <w:r w:rsidRPr="00D95A84">
              <w:t xml:space="preserve"> </w:t>
            </w:r>
            <w:r w:rsidRPr="00D95A84">
              <w:rPr>
                <w:b/>
                <w:bCs/>
              </w:rPr>
              <w:t xml:space="preserve">Tiesību </w:t>
            </w:r>
            <w:smartTag w:uri="schemas-tilde-lv/tildestengine" w:element="veidnes">
              <w:smartTagPr>
                <w:attr w:name="baseform" w:val="akt|s"/>
                <w:attr w:name="id" w:val="-1"/>
                <w:attr w:name="text" w:val="akta"/>
              </w:smartTagPr>
              <w:r w:rsidRPr="00D95A84">
                <w:rPr>
                  <w:b/>
                  <w:bCs/>
                </w:rPr>
                <w:t>akta</w:t>
              </w:r>
            </w:smartTag>
            <w:r w:rsidRPr="00D95A84">
              <w:rPr>
                <w:b/>
                <w:bCs/>
              </w:rPr>
              <w:t xml:space="preserve"> projekta ietekme uz valsts budžetu un pašvaldību budžetiem</w:t>
            </w:r>
          </w:p>
        </w:tc>
      </w:tr>
      <w:tr w:rsidR="00A02A38" w:rsidRPr="00096CA7" w:rsidTr="00867249">
        <w:tc>
          <w:tcPr>
            <w:tcW w:w="980" w:type="pct"/>
            <w:gridSpan w:val="2"/>
            <w:shd w:val="clear" w:color="auto" w:fill="auto"/>
          </w:tcPr>
          <w:p w:rsidR="00A02A38" w:rsidRPr="00D95A84" w:rsidRDefault="00A02A38" w:rsidP="006B68C1">
            <w:pPr>
              <w:jc w:val="both"/>
            </w:pPr>
            <w:r w:rsidRPr="00D95A84">
              <w:t>7. Cita informācija</w:t>
            </w:r>
          </w:p>
        </w:tc>
        <w:tc>
          <w:tcPr>
            <w:tcW w:w="4020" w:type="pct"/>
            <w:gridSpan w:val="2"/>
            <w:shd w:val="clear" w:color="auto" w:fill="auto"/>
          </w:tcPr>
          <w:p w:rsidR="00A02A38" w:rsidRPr="00096CA7" w:rsidRDefault="00A02A38" w:rsidP="006B68C1">
            <w:pPr>
              <w:tabs>
                <w:tab w:val="left" w:pos="720"/>
              </w:tabs>
              <w:jc w:val="both"/>
              <w:rPr>
                <w:rFonts w:ascii="Calibri" w:hAnsi="Calibri" w:cs="Calibri"/>
              </w:rPr>
            </w:pPr>
            <w:r>
              <w:rPr>
                <w:lang w:eastAsia="en-US"/>
              </w:rPr>
              <w:t>I</w:t>
            </w:r>
            <w:r w:rsidRPr="0048681E">
              <w:rPr>
                <w:lang w:eastAsia="en-US"/>
              </w:rPr>
              <w:t xml:space="preserve">etekme uz valsts budžetu saistībā ar brīvprātīgo iemaksu objekta maksimālā apmēra noteikšanu ir sniegta noteikumu projekta „Noteikumi par valsts sociālās apdrošināšanas obligāto un brīvprātīgo iemaksu objekta </w:t>
            </w:r>
            <w:r>
              <w:rPr>
                <w:lang w:eastAsia="en-US"/>
              </w:rPr>
              <w:t xml:space="preserve">minimālo un </w:t>
            </w:r>
            <w:r w:rsidRPr="0048681E">
              <w:rPr>
                <w:lang w:eastAsia="en-US"/>
              </w:rPr>
              <w:t>maksimālo apmēru” (VSS-1857) anotācijas III sadaļā.</w:t>
            </w:r>
          </w:p>
        </w:tc>
      </w:tr>
    </w:tbl>
    <w:p w:rsidR="00A02A38" w:rsidRDefault="00A02A38" w:rsidP="000864C1">
      <w:pPr>
        <w:jc w:val="center"/>
      </w:pPr>
    </w:p>
    <w:p w:rsidR="00867249" w:rsidRDefault="00867249" w:rsidP="000864C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3B3010" w:rsidRPr="00932991" w:rsidTr="005F56BD">
        <w:tc>
          <w:tcPr>
            <w:tcW w:w="9287" w:type="dxa"/>
            <w:gridSpan w:val="3"/>
          </w:tcPr>
          <w:p w:rsidR="003B3010" w:rsidRPr="00E774E5" w:rsidRDefault="003B3010" w:rsidP="005F56BD">
            <w:pPr>
              <w:jc w:val="center"/>
              <w:rPr>
                <w:b/>
              </w:rPr>
            </w:pPr>
            <w:r w:rsidRPr="00E774E5">
              <w:rPr>
                <w:b/>
              </w:rPr>
              <w:lastRenderedPageBreak/>
              <w:t xml:space="preserve">IV Tiesību </w:t>
            </w:r>
            <w:smartTag w:uri="schemas-tilde-lv/tildestengine" w:element="veidnes">
              <w:smartTagPr>
                <w:attr w:name="baseform" w:val="akt|s"/>
                <w:attr w:name="id" w:val="-1"/>
                <w:attr w:name="text" w:val="akta"/>
              </w:smartTagPr>
              <w:r w:rsidRPr="00E774E5">
                <w:rPr>
                  <w:b/>
                </w:rPr>
                <w:t>akta</w:t>
              </w:r>
            </w:smartTag>
            <w:r w:rsidRPr="00E774E5">
              <w:rPr>
                <w:b/>
              </w:rPr>
              <w:t xml:space="preserve"> projekta ietekme uz spēkā esošo tiesību normu sistēmu</w:t>
            </w:r>
          </w:p>
        </w:tc>
      </w:tr>
      <w:tr w:rsidR="003B3010" w:rsidRPr="00932991" w:rsidTr="005F56BD">
        <w:tc>
          <w:tcPr>
            <w:tcW w:w="396" w:type="dxa"/>
          </w:tcPr>
          <w:p w:rsidR="003B3010" w:rsidRPr="00932991" w:rsidRDefault="003B3010" w:rsidP="005F56BD">
            <w:r w:rsidRPr="00932991">
              <w:t>1.</w:t>
            </w:r>
          </w:p>
        </w:tc>
        <w:tc>
          <w:tcPr>
            <w:tcW w:w="3072" w:type="dxa"/>
          </w:tcPr>
          <w:p w:rsidR="003B3010" w:rsidRPr="00932991" w:rsidRDefault="003B3010" w:rsidP="005F56BD">
            <w:r w:rsidRPr="00932991">
              <w:t xml:space="preserve">Nepieciešamie saistītie tiesību </w:t>
            </w:r>
            <w:smartTag w:uri="schemas-tilde-lv/tildestengine" w:element="veidnes">
              <w:smartTagPr>
                <w:attr w:name="baseform" w:val="akt|s"/>
                <w:attr w:name="id" w:val="-1"/>
                <w:attr w:name="text" w:val="aktu"/>
              </w:smartTagPr>
              <w:r w:rsidRPr="00932991">
                <w:t>aktu</w:t>
              </w:r>
            </w:smartTag>
            <w:r w:rsidRPr="00932991">
              <w:t xml:space="preserve"> projekti</w:t>
            </w:r>
          </w:p>
        </w:tc>
        <w:tc>
          <w:tcPr>
            <w:tcW w:w="5819" w:type="dxa"/>
          </w:tcPr>
          <w:p w:rsidR="003B3010" w:rsidRPr="003B3010" w:rsidRDefault="003B3010" w:rsidP="008F01DC">
            <w:pPr>
              <w:jc w:val="both"/>
            </w:pPr>
            <w:r>
              <w:t>Noteikumu projekts jāvirza vie</w:t>
            </w:r>
            <w:r w:rsidR="0083082F">
              <w:t xml:space="preserve">nlaicīgi </w:t>
            </w:r>
            <w:r>
              <w:t>ar noteikumu projektu „</w:t>
            </w:r>
            <w:r w:rsidRPr="00A11B1F">
              <w:t xml:space="preserve">Noteikumi par valsts sociālās apdrošināšanas obligāto un brīvprātīgo iemaksu objekta </w:t>
            </w:r>
            <w:r w:rsidR="00A02A38">
              <w:t xml:space="preserve">minimālo un </w:t>
            </w:r>
            <w:r w:rsidRPr="00A11B1F">
              <w:t>maksimālo apmēru</w:t>
            </w:r>
            <w:r>
              <w:t>”</w:t>
            </w:r>
            <w:r w:rsidR="008F01DC">
              <w:t xml:space="preserve"> (izsludināts Valsts sekretāru sanāksmē 2013.gada 17.oktobrī, protokols Nr.41, 21.§, VSS-1857)</w:t>
            </w:r>
            <w:r>
              <w:t>.</w:t>
            </w:r>
          </w:p>
        </w:tc>
      </w:tr>
      <w:tr w:rsidR="003B3010" w:rsidRPr="00932991" w:rsidTr="005F56BD">
        <w:tc>
          <w:tcPr>
            <w:tcW w:w="396" w:type="dxa"/>
          </w:tcPr>
          <w:p w:rsidR="003B3010" w:rsidRPr="00932991" w:rsidRDefault="003B3010" w:rsidP="005F56BD">
            <w:r w:rsidRPr="00932991">
              <w:t xml:space="preserve">2. </w:t>
            </w:r>
          </w:p>
        </w:tc>
        <w:tc>
          <w:tcPr>
            <w:tcW w:w="3072" w:type="dxa"/>
          </w:tcPr>
          <w:p w:rsidR="003B3010" w:rsidRPr="00932991" w:rsidRDefault="003B3010" w:rsidP="005F56BD">
            <w:r w:rsidRPr="00932991">
              <w:t>Cita informācija</w:t>
            </w:r>
          </w:p>
        </w:tc>
        <w:tc>
          <w:tcPr>
            <w:tcW w:w="5819" w:type="dxa"/>
          </w:tcPr>
          <w:p w:rsidR="003B3010" w:rsidRPr="00932991" w:rsidRDefault="003B3010" w:rsidP="005F56BD">
            <w:pPr>
              <w:jc w:val="both"/>
            </w:pPr>
            <w:r w:rsidRPr="00932991">
              <w:t>Nav</w:t>
            </w:r>
          </w:p>
        </w:tc>
      </w:tr>
    </w:tbl>
    <w:p w:rsidR="003B3010" w:rsidRDefault="003B3010" w:rsidP="000864C1">
      <w:pPr>
        <w:jc w:val="center"/>
      </w:pPr>
    </w:p>
    <w:p w:rsidR="00913267" w:rsidRPr="0090322E" w:rsidRDefault="00913267" w:rsidP="000366B4">
      <w:pPr>
        <w:pStyle w:val="naisf"/>
        <w:spacing w:before="120" w:after="0"/>
        <w:jc w:val="center"/>
        <w:rPr>
          <w:rFonts w:ascii="Times New Roman" w:hAnsi="Times New Roman"/>
          <w:sz w:val="28"/>
          <w:szCs w:val="28"/>
        </w:rPr>
      </w:pPr>
      <w:r w:rsidRPr="0090322E">
        <w:rPr>
          <w:rFonts w:ascii="Times New Roman" w:hAnsi="Times New Roman"/>
          <w:sz w:val="28"/>
          <w:szCs w:val="28"/>
        </w:rPr>
        <w:t>Anotācijas II, V, VI, VII sadaļa – projekts šīs jomas neskar.</w:t>
      </w:r>
    </w:p>
    <w:p w:rsidR="00913267" w:rsidRDefault="00913267" w:rsidP="000864C1">
      <w:pPr>
        <w:jc w:val="center"/>
      </w:pPr>
    </w:p>
    <w:p w:rsidR="00913267" w:rsidRDefault="00913267" w:rsidP="000864C1">
      <w:pPr>
        <w:jc w:val="center"/>
      </w:pPr>
    </w:p>
    <w:p w:rsidR="00913267" w:rsidRDefault="00913267" w:rsidP="000864C1">
      <w:pPr>
        <w:jc w:val="center"/>
      </w:pPr>
    </w:p>
    <w:p w:rsidR="00913267" w:rsidRPr="008207C1" w:rsidRDefault="00913267" w:rsidP="000864C1">
      <w:pPr>
        <w:rPr>
          <w:sz w:val="28"/>
          <w:szCs w:val="28"/>
        </w:rPr>
      </w:pP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sidRPr="008207C1">
        <w:rPr>
          <w:sz w:val="28"/>
          <w:szCs w:val="28"/>
        </w:rPr>
        <w:tab/>
      </w:r>
      <w:r w:rsidRPr="008207C1">
        <w:rPr>
          <w:sz w:val="28"/>
          <w:szCs w:val="28"/>
        </w:rPr>
        <w:tab/>
      </w:r>
      <w:r>
        <w:rPr>
          <w:sz w:val="28"/>
          <w:szCs w:val="28"/>
        </w:rPr>
        <w:tab/>
      </w:r>
      <w:proofErr w:type="spellStart"/>
      <w:r>
        <w:rPr>
          <w:sz w:val="28"/>
          <w:szCs w:val="28"/>
        </w:rPr>
        <w:t>I.Viņķele</w:t>
      </w:r>
      <w:proofErr w:type="spellEnd"/>
    </w:p>
    <w:p w:rsidR="00913267" w:rsidRDefault="00913267" w:rsidP="000864C1">
      <w:pPr>
        <w:pStyle w:val="Footer"/>
      </w:pPr>
    </w:p>
    <w:p w:rsidR="00913267" w:rsidRDefault="00913267" w:rsidP="000864C1">
      <w:pPr>
        <w:pStyle w:val="Footer"/>
      </w:pPr>
    </w:p>
    <w:p w:rsidR="006E7A56" w:rsidRDefault="006E7A56" w:rsidP="000366B4">
      <w:pPr>
        <w:rPr>
          <w:sz w:val="22"/>
          <w:szCs w:val="22"/>
        </w:rPr>
      </w:pPr>
      <w:r>
        <w:rPr>
          <w:sz w:val="22"/>
          <w:szCs w:val="22"/>
        </w:rPr>
        <w:t>05.12.2013 11:54</w:t>
      </w:r>
    </w:p>
    <w:p w:rsidR="00913267" w:rsidRPr="00D52AC9" w:rsidRDefault="008F01DC" w:rsidP="000366B4">
      <w:pPr>
        <w:rPr>
          <w:sz w:val="22"/>
          <w:szCs w:val="22"/>
        </w:rPr>
      </w:pPr>
      <w:bookmarkStart w:id="0" w:name="_GoBack"/>
      <w:bookmarkEnd w:id="0"/>
      <w:r>
        <w:rPr>
          <w:sz w:val="22"/>
          <w:szCs w:val="22"/>
        </w:rPr>
        <w:t>668</w:t>
      </w:r>
    </w:p>
    <w:p w:rsidR="00913267" w:rsidRPr="00D52AC9" w:rsidRDefault="00D52AC9" w:rsidP="000366B4">
      <w:pPr>
        <w:rPr>
          <w:sz w:val="22"/>
          <w:szCs w:val="22"/>
        </w:rPr>
      </w:pPr>
      <w:proofErr w:type="spellStart"/>
      <w:r w:rsidRPr="00D52AC9">
        <w:rPr>
          <w:sz w:val="22"/>
          <w:szCs w:val="22"/>
        </w:rPr>
        <w:t>S.Rucka</w:t>
      </w:r>
      <w:proofErr w:type="spellEnd"/>
    </w:p>
    <w:p w:rsidR="00913267" w:rsidRPr="00D52AC9" w:rsidRDefault="00913267" w:rsidP="000366B4">
      <w:pPr>
        <w:rPr>
          <w:sz w:val="22"/>
          <w:szCs w:val="22"/>
        </w:rPr>
      </w:pPr>
      <w:r w:rsidRPr="00D52AC9">
        <w:rPr>
          <w:sz w:val="22"/>
          <w:szCs w:val="22"/>
        </w:rPr>
        <w:t xml:space="preserve">67021562, </w:t>
      </w:r>
      <w:hyperlink r:id="rId7" w:history="1">
        <w:r w:rsidR="00D52AC9" w:rsidRPr="00D52AC9">
          <w:rPr>
            <w:rStyle w:val="Hyperlink"/>
            <w:sz w:val="22"/>
            <w:szCs w:val="22"/>
          </w:rPr>
          <w:t>Sandra.Rucka@lm.gov.lv</w:t>
        </w:r>
      </w:hyperlink>
    </w:p>
    <w:p w:rsidR="00913267" w:rsidRDefault="00913267"/>
    <w:sectPr w:rsidR="00913267" w:rsidSect="0025007C">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67" w:rsidRDefault="00913267" w:rsidP="00250284">
      <w:r>
        <w:separator/>
      </w:r>
    </w:p>
  </w:endnote>
  <w:endnote w:type="continuationSeparator" w:id="0">
    <w:p w:rsidR="00913267" w:rsidRDefault="00913267" w:rsidP="0025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67" w:rsidRPr="00867249" w:rsidRDefault="00913267" w:rsidP="00867249">
    <w:pPr>
      <w:jc w:val="both"/>
      <w:rPr>
        <w:sz w:val="20"/>
        <w:szCs w:val="20"/>
      </w:rPr>
    </w:pPr>
    <w:r>
      <w:rPr>
        <w:sz w:val="20"/>
        <w:szCs w:val="20"/>
      </w:rPr>
      <w:t>LManot_</w:t>
    </w:r>
    <w:r w:rsidR="00867249">
      <w:rPr>
        <w:sz w:val="20"/>
        <w:szCs w:val="20"/>
      </w:rPr>
      <w:t>0512</w:t>
    </w:r>
    <w:r>
      <w:rPr>
        <w:sz w:val="20"/>
        <w:szCs w:val="20"/>
      </w:rPr>
      <w:t>13_976</w:t>
    </w:r>
    <w:r w:rsidRPr="00134C18">
      <w:rPr>
        <w:sz w:val="20"/>
        <w:szCs w:val="20"/>
      </w:rPr>
      <w:t>; Grozījum</w:t>
    </w:r>
    <w:r>
      <w:rPr>
        <w:sz w:val="20"/>
        <w:szCs w:val="20"/>
      </w:rPr>
      <w:t>i Ministru kabineta 2010</w:t>
    </w:r>
    <w:r w:rsidRPr="00134C18">
      <w:rPr>
        <w:sz w:val="20"/>
        <w:szCs w:val="20"/>
      </w:rPr>
      <w:t xml:space="preserve">.gada </w:t>
    </w:r>
    <w:r>
      <w:rPr>
        <w:sz w:val="20"/>
        <w:szCs w:val="20"/>
      </w:rPr>
      <w:t>12.oktobra</w:t>
    </w:r>
    <w:r w:rsidRPr="00134C18">
      <w:rPr>
        <w:sz w:val="20"/>
        <w:szCs w:val="20"/>
      </w:rPr>
      <w:t xml:space="preserve"> noteikumos Nr.</w:t>
    </w:r>
    <w:r>
      <w:rPr>
        <w:sz w:val="20"/>
        <w:szCs w:val="20"/>
      </w:rPr>
      <w:t>976</w:t>
    </w:r>
    <w:r w:rsidRPr="00134C18">
      <w:rPr>
        <w:sz w:val="20"/>
        <w:szCs w:val="20"/>
      </w:rPr>
      <w:t xml:space="preserve"> “</w:t>
    </w:r>
    <w:r>
      <w:rPr>
        <w:sz w:val="20"/>
        <w:szCs w:val="20"/>
      </w:rPr>
      <w:t>Noteikumi par brīvprātīgu pievienošanos valsts sociālajai apdrošināšanai</w:t>
    </w:r>
    <w:r w:rsidRPr="00134C18">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67" w:rsidRPr="00867249" w:rsidRDefault="00913267" w:rsidP="00867249">
    <w:pPr>
      <w:jc w:val="both"/>
      <w:rPr>
        <w:sz w:val="20"/>
        <w:szCs w:val="20"/>
      </w:rPr>
    </w:pPr>
    <w:r>
      <w:rPr>
        <w:sz w:val="20"/>
        <w:szCs w:val="20"/>
      </w:rPr>
      <w:t>LManot_</w:t>
    </w:r>
    <w:r w:rsidR="00867249">
      <w:rPr>
        <w:sz w:val="20"/>
        <w:szCs w:val="20"/>
      </w:rPr>
      <w:t>0512</w:t>
    </w:r>
    <w:r>
      <w:rPr>
        <w:sz w:val="20"/>
        <w:szCs w:val="20"/>
      </w:rPr>
      <w:t>13_976</w:t>
    </w:r>
    <w:r w:rsidRPr="00134C18">
      <w:rPr>
        <w:sz w:val="20"/>
        <w:szCs w:val="20"/>
      </w:rPr>
      <w:t>; Grozījum</w:t>
    </w:r>
    <w:r>
      <w:rPr>
        <w:sz w:val="20"/>
        <w:szCs w:val="20"/>
      </w:rPr>
      <w:t>i Ministru kabineta 2010</w:t>
    </w:r>
    <w:r w:rsidRPr="00134C18">
      <w:rPr>
        <w:sz w:val="20"/>
        <w:szCs w:val="20"/>
      </w:rPr>
      <w:t xml:space="preserve">.gada </w:t>
    </w:r>
    <w:r>
      <w:rPr>
        <w:sz w:val="20"/>
        <w:szCs w:val="20"/>
      </w:rPr>
      <w:t>12.oktobra</w:t>
    </w:r>
    <w:r w:rsidRPr="00134C18">
      <w:rPr>
        <w:sz w:val="20"/>
        <w:szCs w:val="20"/>
      </w:rPr>
      <w:t xml:space="preserve"> noteikumos Nr.</w:t>
    </w:r>
    <w:r>
      <w:rPr>
        <w:sz w:val="20"/>
        <w:szCs w:val="20"/>
      </w:rPr>
      <w:t>976</w:t>
    </w:r>
    <w:r w:rsidRPr="00134C18">
      <w:rPr>
        <w:sz w:val="20"/>
        <w:szCs w:val="20"/>
      </w:rPr>
      <w:t xml:space="preserve"> “</w:t>
    </w:r>
    <w:r>
      <w:rPr>
        <w:sz w:val="20"/>
        <w:szCs w:val="20"/>
      </w:rPr>
      <w:t>Noteikumi par brīvprātīgu pievienošanos valsts sociālajai apdrošināšanai</w:t>
    </w:r>
    <w:r w:rsidRPr="00134C18">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67" w:rsidRDefault="00913267" w:rsidP="00250284">
      <w:r>
        <w:separator/>
      </w:r>
    </w:p>
  </w:footnote>
  <w:footnote w:type="continuationSeparator" w:id="0">
    <w:p w:rsidR="00913267" w:rsidRDefault="00913267" w:rsidP="0025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67" w:rsidRDefault="00913267" w:rsidP="002500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267" w:rsidRDefault="00913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67" w:rsidRDefault="00913267" w:rsidP="002500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A56">
      <w:rPr>
        <w:rStyle w:val="PageNumber"/>
        <w:noProof/>
      </w:rPr>
      <w:t>3</w:t>
    </w:r>
    <w:r>
      <w:rPr>
        <w:rStyle w:val="PageNumber"/>
      </w:rPr>
      <w:fldChar w:fldCharType="end"/>
    </w:r>
  </w:p>
  <w:p w:rsidR="00913267" w:rsidRDefault="00913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4C1"/>
    <w:rsid w:val="00031CEC"/>
    <w:rsid w:val="000366B4"/>
    <w:rsid w:val="000378CE"/>
    <w:rsid w:val="00043389"/>
    <w:rsid w:val="00043C33"/>
    <w:rsid w:val="000864C1"/>
    <w:rsid w:val="00091E7D"/>
    <w:rsid w:val="000C5042"/>
    <w:rsid w:val="00101D2E"/>
    <w:rsid w:val="001072AB"/>
    <w:rsid w:val="00111F0E"/>
    <w:rsid w:val="00134C18"/>
    <w:rsid w:val="001442EB"/>
    <w:rsid w:val="00161C88"/>
    <w:rsid w:val="00175494"/>
    <w:rsid w:val="00177E0B"/>
    <w:rsid w:val="00194614"/>
    <w:rsid w:val="001A4B0C"/>
    <w:rsid w:val="00214274"/>
    <w:rsid w:val="00215B93"/>
    <w:rsid w:val="0025007C"/>
    <w:rsid w:val="00250284"/>
    <w:rsid w:val="00280C58"/>
    <w:rsid w:val="00286A52"/>
    <w:rsid w:val="002B0373"/>
    <w:rsid w:val="002B75C3"/>
    <w:rsid w:val="003269D7"/>
    <w:rsid w:val="00345E97"/>
    <w:rsid w:val="003A3E1E"/>
    <w:rsid w:val="003B3010"/>
    <w:rsid w:val="003B629D"/>
    <w:rsid w:val="003C60A4"/>
    <w:rsid w:val="003F27FC"/>
    <w:rsid w:val="004416BB"/>
    <w:rsid w:val="00484F36"/>
    <w:rsid w:val="00496104"/>
    <w:rsid w:val="004A7F8B"/>
    <w:rsid w:val="00527B8B"/>
    <w:rsid w:val="00566664"/>
    <w:rsid w:val="005B1541"/>
    <w:rsid w:val="005D07C7"/>
    <w:rsid w:val="005F2CFC"/>
    <w:rsid w:val="006670E0"/>
    <w:rsid w:val="006A6CD9"/>
    <w:rsid w:val="006E7A56"/>
    <w:rsid w:val="00716E2F"/>
    <w:rsid w:val="00753077"/>
    <w:rsid w:val="007F0668"/>
    <w:rsid w:val="0080349E"/>
    <w:rsid w:val="00810884"/>
    <w:rsid w:val="008207C1"/>
    <w:rsid w:val="0083082F"/>
    <w:rsid w:val="0083656F"/>
    <w:rsid w:val="00867249"/>
    <w:rsid w:val="008952EE"/>
    <w:rsid w:val="008F01DC"/>
    <w:rsid w:val="008F285C"/>
    <w:rsid w:val="008F4447"/>
    <w:rsid w:val="0090322E"/>
    <w:rsid w:val="00907316"/>
    <w:rsid w:val="00913267"/>
    <w:rsid w:val="0094058D"/>
    <w:rsid w:val="00945930"/>
    <w:rsid w:val="009529CF"/>
    <w:rsid w:val="00995F11"/>
    <w:rsid w:val="00A02A38"/>
    <w:rsid w:val="00A07079"/>
    <w:rsid w:val="00A11B1F"/>
    <w:rsid w:val="00A26A16"/>
    <w:rsid w:val="00A504DD"/>
    <w:rsid w:val="00AB41F0"/>
    <w:rsid w:val="00AC181D"/>
    <w:rsid w:val="00AD071E"/>
    <w:rsid w:val="00AD2E96"/>
    <w:rsid w:val="00B62672"/>
    <w:rsid w:val="00B74A91"/>
    <w:rsid w:val="00B76D85"/>
    <w:rsid w:val="00BA5A87"/>
    <w:rsid w:val="00BE1DBC"/>
    <w:rsid w:val="00BF4D3B"/>
    <w:rsid w:val="00C21446"/>
    <w:rsid w:val="00C40509"/>
    <w:rsid w:val="00C40E03"/>
    <w:rsid w:val="00C63CEB"/>
    <w:rsid w:val="00C7594F"/>
    <w:rsid w:val="00C8167C"/>
    <w:rsid w:val="00C91505"/>
    <w:rsid w:val="00CA16C5"/>
    <w:rsid w:val="00CE4B2E"/>
    <w:rsid w:val="00D21104"/>
    <w:rsid w:val="00D23BF7"/>
    <w:rsid w:val="00D52AC9"/>
    <w:rsid w:val="00D668D9"/>
    <w:rsid w:val="00D71031"/>
    <w:rsid w:val="00DE1945"/>
    <w:rsid w:val="00E33001"/>
    <w:rsid w:val="00E81870"/>
    <w:rsid w:val="00EF7E6D"/>
    <w:rsid w:val="00F317AF"/>
    <w:rsid w:val="00F62D75"/>
    <w:rsid w:val="00F837C9"/>
    <w:rsid w:val="00FB50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64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0864C1"/>
    <w:pPr>
      <w:spacing w:before="75" w:after="75"/>
    </w:pPr>
  </w:style>
  <w:style w:type="paragraph" w:styleId="Header">
    <w:name w:val="header"/>
    <w:basedOn w:val="Normal"/>
    <w:link w:val="HeaderChar"/>
    <w:uiPriority w:val="99"/>
    <w:rsid w:val="000864C1"/>
    <w:pPr>
      <w:tabs>
        <w:tab w:val="center" w:pos="4153"/>
        <w:tab w:val="right" w:pos="8306"/>
      </w:tabs>
    </w:pPr>
  </w:style>
  <w:style w:type="character" w:customStyle="1" w:styleId="HeaderChar">
    <w:name w:val="Header Char"/>
    <w:basedOn w:val="DefaultParagraphFont"/>
    <w:link w:val="Header"/>
    <w:uiPriority w:val="99"/>
    <w:locked/>
    <w:rsid w:val="000864C1"/>
    <w:rPr>
      <w:rFonts w:ascii="Times New Roman" w:hAnsi="Times New Roman" w:cs="Times New Roman"/>
      <w:sz w:val="24"/>
      <w:szCs w:val="24"/>
      <w:lang w:eastAsia="lv-LV"/>
    </w:rPr>
  </w:style>
  <w:style w:type="character" w:styleId="PageNumber">
    <w:name w:val="page number"/>
    <w:basedOn w:val="DefaultParagraphFont"/>
    <w:uiPriority w:val="99"/>
    <w:rsid w:val="000864C1"/>
    <w:rPr>
      <w:rFonts w:cs="Times New Roman"/>
    </w:rPr>
  </w:style>
  <w:style w:type="paragraph" w:styleId="Footer">
    <w:name w:val="footer"/>
    <w:basedOn w:val="Normal"/>
    <w:link w:val="FooterChar"/>
    <w:uiPriority w:val="99"/>
    <w:rsid w:val="000864C1"/>
    <w:pPr>
      <w:tabs>
        <w:tab w:val="center" w:pos="4153"/>
        <w:tab w:val="right" w:pos="8306"/>
      </w:tabs>
    </w:pPr>
  </w:style>
  <w:style w:type="character" w:customStyle="1" w:styleId="FooterChar">
    <w:name w:val="Footer Char"/>
    <w:basedOn w:val="DefaultParagraphFont"/>
    <w:link w:val="Footer"/>
    <w:uiPriority w:val="99"/>
    <w:locked/>
    <w:rsid w:val="000864C1"/>
    <w:rPr>
      <w:rFonts w:ascii="Times New Roman" w:hAnsi="Times New Roman" w:cs="Times New Roman"/>
      <w:sz w:val="24"/>
      <w:szCs w:val="24"/>
      <w:lang w:eastAsia="lv-LV"/>
    </w:rPr>
  </w:style>
  <w:style w:type="paragraph" w:customStyle="1" w:styleId="naisnod">
    <w:name w:val="naisnod"/>
    <w:basedOn w:val="Normal"/>
    <w:uiPriority w:val="99"/>
    <w:rsid w:val="000864C1"/>
    <w:pPr>
      <w:spacing w:before="150" w:after="150"/>
      <w:jc w:val="center"/>
    </w:pPr>
    <w:rPr>
      <w:b/>
      <w:bCs/>
    </w:rPr>
  </w:style>
  <w:style w:type="paragraph" w:customStyle="1" w:styleId="naisf">
    <w:name w:val="naisf"/>
    <w:basedOn w:val="Normal"/>
    <w:link w:val="naisfChar"/>
    <w:rsid w:val="000864C1"/>
    <w:pPr>
      <w:spacing w:before="75" w:after="75"/>
      <w:ind w:firstLine="375"/>
      <w:jc w:val="both"/>
    </w:pPr>
    <w:rPr>
      <w:rFonts w:ascii="Calibri" w:hAnsi="Calibri"/>
      <w:szCs w:val="20"/>
    </w:rPr>
  </w:style>
  <w:style w:type="paragraph" w:styleId="CommentText">
    <w:name w:val="annotation text"/>
    <w:basedOn w:val="Normal"/>
    <w:link w:val="CommentTextChar"/>
    <w:uiPriority w:val="99"/>
    <w:semiHidden/>
    <w:rsid w:val="000864C1"/>
    <w:rPr>
      <w:sz w:val="20"/>
      <w:szCs w:val="20"/>
    </w:rPr>
  </w:style>
  <w:style w:type="character" w:customStyle="1" w:styleId="CommentTextChar">
    <w:name w:val="Comment Text Char"/>
    <w:basedOn w:val="DefaultParagraphFont"/>
    <w:link w:val="CommentText"/>
    <w:uiPriority w:val="99"/>
    <w:semiHidden/>
    <w:locked/>
    <w:rsid w:val="000864C1"/>
    <w:rPr>
      <w:rFonts w:ascii="Times New Roman" w:hAnsi="Times New Roman" w:cs="Times New Roman"/>
      <w:sz w:val="20"/>
      <w:szCs w:val="20"/>
      <w:lang w:eastAsia="lv-LV"/>
    </w:rPr>
  </w:style>
  <w:style w:type="paragraph" w:customStyle="1" w:styleId="naislab">
    <w:name w:val="naislab"/>
    <w:basedOn w:val="Normal"/>
    <w:uiPriority w:val="99"/>
    <w:rsid w:val="00214274"/>
    <w:pPr>
      <w:spacing w:before="75" w:after="75"/>
      <w:jc w:val="right"/>
    </w:pPr>
  </w:style>
  <w:style w:type="character" w:styleId="Hyperlink">
    <w:name w:val="Hyperlink"/>
    <w:basedOn w:val="DefaultParagraphFont"/>
    <w:uiPriority w:val="99"/>
    <w:rsid w:val="00753077"/>
    <w:rPr>
      <w:rFonts w:cs="Times New Roman"/>
      <w:color w:val="0000FF"/>
      <w:u w:val="single"/>
    </w:rPr>
  </w:style>
  <w:style w:type="paragraph" w:styleId="BalloonText">
    <w:name w:val="Balloon Text"/>
    <w:basedOn w:val="Normal"/>
    <w:link w:val="BalloonTextChar"/>
    <w:uiPriority w:val="99"/>
    <w:semiHidden/>
    <w:rsid w:val="005666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664"/>
    <w:rPr>
      <w:rFonts w:ascii="Tahoma" w:hAnsi="Tahoma" w:cs="Tahoma"/>
      <w:sz w:val="16"/>
      <w:szCs w:val="16"/>
      <w:lang w:eastAsia="lv-LV"/>
    </w:rPr>
  </w:style>
  <w:style w:type="character" w:customStyle="1" w:styleId="naisfChar">
    <w:name w:val="naisf Char"/>
    <w:link w:val="naisf"/>
    <w:locked/>
    <w:rsid w:val="000366B4"/>
    <w:rPr>
      <w:rFonts w:eastAsia="Times New Roman"/>
      <w:sz w:val="24"/>
      <w:lang w:val="lv-LV" w:eastAsia="lv-LV"/>
    </w:rPr>
  </w:style>
  <w:style w:type="character" w:styleId="CommentReference">
    <w:name w:val="annotation reference"/>
    <w:uiPriority w:val="99"/>
    <w:semiHidden/>
    <w:unhideWhenUsed/>
    <w:rsid w:val="00161C88"/>
    <w:rPr>
      <w:sz w:val="16"/>
      <w:szCs w:val="16"/>
    </w:rPr>
  </w:style>
  <w:style w:type="paragraph" w:customStyle="1" w:styleId="RakstzCharCharRakstzCharCharRakstz">
    <w:name w:val="Rakstz. Char Char Rakstz. Char Char Rakstz."/>
    <w:basedOn w:val="Normal"/>
    <w:rsid w:val="00A02A38"/>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Rucka@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3555</Words>
  <Characters>2027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Grozījumi Ministru kabineta 2010.gada 12.oktobra noteikumos Nr.976 "Noteikumi par brīvprātīgu pievienošanos valsts sociālajai apdrošināšanai"</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12.oktobra noteikumos Nr.976 "Noteikumi par brīvprātīgu pievienošanos valsts sociālajai apdrošināšanai"</dc:title>
  <dc:subject>anotācija</dc:subject>
  <dc:creator>Airina Dreimane;Sandra Rucka</dc:creator>
  <cp:keywords/>
  <dc:description>S.Rucka, tālr. 67021562; Sandra.Rucka@lm.gov.lv</dc:description>
  <cp:lastModifiedBy>Sandra Rucka</cp:lastModifiedBy>
  <cp:revision>19</cp:revision>
  <cp:lastPrinted>2013-12-05T09:52:00Z</cp:lastPrinted>
  <dcterms:created xsi:type="dcterms:W3CDTF">2013-06-03T10:38:00Z</dcterms:created>
  <dcterms:modified xsi:type="dcterms:W3CDTF">2013-12-05T09:54:00Z</dcterms:modified>
</cp:coreProperties>
</file>