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D03" w:rsidRPr="002E24A2" w:rsidRDefault="006F1D43" w:rsidP="00970D03">
      <w:pPr>
        <w:jc w:val="center"/>
        <w:rPr>
          <w:b/>
          <w:sz w:val="28"/>
          <w:szCs w:val="28"/>
        </w:rPr>
      </w:pPr>
      <w:r>
        <w:rPr>
          <w:b/>
          <w:sz w:val="28"/>
          <w:szCs w:val="28"/>
        </w:rPr>
        <w:t xml:space="preserve">  </w:t>
      </w:r>
      <w:r w:rsidR="001D412C" w:rsidRPr="002E24A2">
        <w:rPr>
          <w:b/>
          <w:sz w:val="28"/>
          <w:szCs w:val="28"/>
        </w:rPr>
        <w:t>Ministru kabineta noteikumu</w:t>
      </w:r>
      <w:r w:rsidR="00970D03" w:rsidRPr="002E24A2">
        <w:rPr>
          <w:b/>
          <w:sz w:val="28"/>
          <w:szCs w:val="28"/>
        </w:rPr>
        <w:t xml:space="preserve"> „</w:t>
      </w:r>
      <w:r w:rsidR="001D412C" w:rsidRPr="002E24A2">
        <w:rPr>
          <w:b/>
          <w:sz w:val="28"/>
          <w:szCs w:val="28"/>
        </w:rPr>
        <w:t>Noteikumi par valsts sociālās apdrošināšanas</w:t>
      </w:r>
      <w:r w:rsidR="00EA44A5" w:rsidRPr="002E24A2">
        <w:rPr>
          <w:b/>
          <w:sz w:val="28"/>
          <w:szCs w:val="28"/>
        </w:rPr>
        <w:t xml:space="preserve"> obligāto un brīvprātīgo</w:t>
      </w:r>
      <w:r w:rsidR="001D412C" w:rsidRPr="002E24A2">
        <w:rPr>
          <w:b/>
          <w:sz w:val="28"/>
          <w:szCs w:val="28"/>
        </w:rPr>
        <w:t xml:space="preserve"> iemaksu objekta </w:t>
      </w:r>
      <w:r w:rsidR="006519BD">
        <w:rPr>
          <w:b/>
          <w:sz w:val="28"/>
          <w:szCs w:val="28"/>
        </w:rPr>
        <w:t xml:space="preserve">minimālo un </w:t>
      </w:r>
      <w:r w:rsidR="001D412C" w:rsidRPr="002E24A2">
        <w:rPr>
          <w:b/>
          <w:sz w:val="28"/>
          <w:szCs w:val="28"/>
        </w:rPr>
        <w:t>maksimālo apmēru</w:t>
      </w:r>
      <w:r w:rsidR="00970D03" w:rsidRPr="002E24A2">
        <w:rPr>
          <w:b/>
          <w:sz w:val="28"/>
          <w:szCs w:val="28"/>
        </w:rPr>
        <w:t>”</w:t>
      </w:r>
      <w:r w:rsidR="00EA44A5" w:rsidRPr="002E24A2">
        <w:rPr>
          <w:b/>
          <w:sz w:val="28"/>
          <w:szCs w:val="28"/>
        </w:rPr>
        <w:t xml:space="preserve"> </w:t>
      </w:r>
      <w:r w:rsidR="00970D03" w:rsidRPr="002E24A2">
        <w:rPr>
          <w:b/>
          <w:sz w:val="28"/>
          <w:szCs w:val="28"/>
        </w:rPr>
        <w:t xml:space="preserve">sākotnējās ietekmes novērtējuma </w:t>
      </w:r>
      <w:smartTag w:uri="schemas-tilde-lv/tildestengine" w:element="veidnes">
        <w:smartTagPr>
          <w:attr w:name="baseform" w:val="ziņojum|s"/>
          <w:attr w:name="id" w:val="-1"/>
          <w:attr w:name="text" w:val="ziņojums"/>
        </w:smartTagPr>
        <w:r w:rsidR="00970D03" w:rsidRPr="002E24A2">
          <w:rPr>
            <w:b/>
            <w:sz w:val="28"/>
            <w:szCs w:val="28"/>
          </w:rPr>
          <w:t>ziņojums</w:t>
        </w:r>
      </w:smartTag>
      <w:r w:rsidR="00970D03" w:rsidRPr="002E24A2">
        <w:rPr>
          <w:b/>
          <w:sz w:val="28"/>
          <w:szCs w:val="28"/>
        </w:rPr>
        <w:t xml:space="preserve"> (anotācija)</w:t>
      </w:r>
    </w:p>
    <w:p w:rsidR="00970D03" w:rsidRDefault="00970D03" w:rsidP="00970D03">
      <w:pPr>
        <w:jc w:val="cente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795"/>
        <w:gridCol w:w="283"/>
        <w:gridCol w:w="6852"/>
      </w:tblGrid>
      <w:tr w:rsidR="00970D03" w:rsidRPr="007F1AF8" w:rsidTr="00130CD1">
        <w:tc>
          <w:tcPr>
            <w:tcW w:w="9464" w:type="dxa"/>
            <w:gridSpan w:val="4"/>
          </w:tcPr>
          <w:p w:rsidR="00970D03" w:rsidRPr="007F1AF8" w:rsidRDefault="00970D03" w:rsidP="006F1D43">
            <w:pPr>
              <w:jc w:val="center"/>
              <w:rPr>
                <w:b/>
              </w:rPr>
            </w:pPr>
            <w:r w:rsidRPr="007F1AF8">
              <w:rPr>
                <w:b/>
              </w:rPr>
              <w:t xml:space="preserve">I Tiesību </w:t>
            </w:r>
            <w:smartTag w:uri="schemas-tilde-lv/tildestengine" w:element="veidnes">
              <w:smartTagPr>
                <w:attr w:name="text" w:val="akta"/>
                <w:attr w:name="id" w:val="-1"/>
                <w:attr w:name="baseform" w:val="akt|s"/>
              </w:smartTagPr>
              <w:r w:rsidRPr="007F1AF8">
                <w:rPr>
                  <w:b/>
                </w:rPr>
                <w:t>akta</w:t>
              </w:r>
            </w:smartTag>
            <w:r w:rsidRPr="007F1AF8">
              <w:rPr>
                <w:b/>
              </w:rPr>
              <w:t xml:space="preserve"> projekta izstrādes nepieciešamība</w:t>
            </w:r>
          </w:p>
        </w:tc>
      </w:tr>
      <w:tr w:rsidR="00970D03" w:rsidRPr="007F1AF8" w:rsidTr="00130CD1">
        <w:tc>
          <w:tcPr>
            <w:tcW w:w="534" w:type="dxa"/>
          </w:tcPr>
          <w:p w:rsidR="00970D03" w:rsidRPr="007F1AF8" w:rsidRDefault="00970D03" w:rsidP="006F1D43">
            <w:r w:rsidRPr="007F1AF8">
              <w:t>1.</w:t>
            </w:r>
          </w:p>
        </w:tc>
        <w:tc>
          <w:tcPr>
            <w:tcW w:w="1795" w:type="dxa"/>
          </w:tcPr>
          <w:p w:rsidR="00970D03" w:rsidRPr="007F1AF8" w:rsidRDefault="00970D03" w:rsidP="006F1D43">
            <w:r w:rsidRPr="007F1AF8">
              <w:t>Pamatojums</w:t>
            </w:r>
          </w:p>
        </w:tc>
        <w:tc>
          <w:tcPr>
            <w:tcW w:w="7135" w:type="dxa"/>
            <w:gridSpan w:val="2"/>
          </w:tcPr>
          <w:p w:rsidR="00AB67DA" w:rsidRDefault="001D412C" w:rsidP="001D412C">
            <w:pPr>
              <w:jc w:val="both"/>
            </w:pPr>
            <w:r>
              <w:t>Ministru kabineta noteikum</w:t>
            </w:r>
            <w:r w:rsidR="00AF2DF8">
              <w:t xml:space="preserve">u projekts </w:t>
            </w:r>
            <w:r>
              <w:t>izstrādāt</w:t>
            </w:r>
            <w:r w:rsidR="00AF2DF8">
              <w:t>s</w:t>
            </w:r>
            <w:r>
              <w:t>, pamatojoties uz</w:t>
            </w:r>
            <w:r w:rsidR="00AB67DA">
              <w:t>:</w:t>
            </w:r>
          </w:p>
          <w:p w:rsidR="001D412C" w:rsidRDefault="00AB67DA" w:rsidP="001D412C">
            <w:pPr>
              <w:jc w:val="both"/>
              <w:rPr>
                <w:iCs/>
              </w:rPr>
            </w:pPr>
            <w:r>
              <w:t xml:space="preserve">1) </w:t>
            </w:r>
            <w:r w:rsidR="001D412C">
              <w:t xml:space="preserve">likuma „Par valsts sociālo apdrošināšanu” </w:t>
            </w:r>
            <w:r w:rsidR="00355EE7">
              <w:t xml:space="preserve">(turpmāk – likums) </w:t>
            </w:r>
            <w:r w:rsidR="001D412C" w:rsidRPr="001D412C">
              <w:rPr>
                <w:iCs/>
              </w:rPr>
              <w:t xml:space="preserve">14.panta </w:t>
            </w:r>
            <w:r w:rsidR="00904C48">
              <w:rPr>
                <w:iCs/>
              </w:rPr>
              <w:t xml:space="preserve">otrās, </w:t>
            </w:r>
            <w:r w:rsidR="001D412C">
              <w:rPr>
                <w:iCs/>
              </w:rPr>
              <w:t>piektās</w:t>
            </w:r>
            <w:r w:rsidR="001D412C" w:rsidRPr="001D412C">
              <w:rPr>
                <w:iCs/>
              </w:rPr>
              <w:t xml:space="preserve"> </w:t>
            </w:r>
            <w:r w:rsidR="001D412C">
              <w:rPr>
                <w:iCs/>
              </w:rPr>
              <w:t>un sestās</w:t>
            </w:r>
            <w:r w:rsidR="001D412C" w:rsidRPr="001D412C">
              <w:rPr>
                <w:iCs/>
              </w:rPr>
              <w:t xml:space="preserve"> </w:t>
            </w:r>
            <w:r w:rsidR="001D412C">
              <w:rPr>
                <w:iCs/>
              </w:rPr>
              <w:t>daļas deleģējumu:</w:t>
            </w:r>
          </w:p>
          <w:p w:rsidR="00904C48" w:rsidRDefault="00AB67DA" w:rsidP="001D412C">
            <w:pPr>
              <w:jc w:val="both"/>
            </w:pPr>
            <w:r>
              <w:t>-</w:t>
            </w:r>
            <w:r w:rsidR="001D412C" w:rsidRPr="001D412C">
              <w:t xml:space="preserve"> </w:t>
            </w:r>
            <w:r w:rsidR="00E35FCA">
              <w:t>p</w:t>
            </w:r>
            <w:r w:rsidR="008D42D1" w:rsidRPr="008D42D1">
              <w:t xml:space="preserve">ašnodarbinātā </w:t>
            </w:r>
            <w:r w:rsidR="00E35FCA">
              <w:t>valsts sociālās apdrošināšanas o</w:t>
            </w:r>
            <w:r w:rsidR="008D42D1" w:rsidRPr="008D42D1">
              <w:t>bligāto iemaksu objekta minimālo apmēru un tā noteikšanas kārtību nosaka Ministru kabinets</w:t>
            </w:r>
            <w:r w:rsidR="008D42D1">
              <w:t xml:space="preserve"> (14.panta otrā daļa);</w:t>
            </w:r>
          </w:p>
          <w:p w:rsidR="001D412C" w:rsidRPr="001D412C" w:rsidRDefault="00AB67DA" w:rsidP="001D412C">
            <w:pPr>
              <w:jc w:val="both"/>
            </w:pPr>
            <w:r>
              <w:t>-</w:t>
            </w:r>
            <w:r w:rsidR="00904C48">
              <w:t xml:space="preserve"> </w:t>
            </w:r>
            <w:r w:rsidR="001D412C" w:rsidRPr="001D412C">
              <w:t>obligāto iemaksu objekta maksimālo apmēru un tā noteikšanas kārtību nosaka Ministru kabinets (14.panta piektā daļa);</w:t>
            </w:r>
          </w:p>
          <w:p w:rsidR="00970D03" w:rsidRDefault="00AB67DA" w:rsidP="001D412C">
            <w:pPr>
              <w:jc w:val="both"/>
            </w:pPr>
            <w:r>
              <w:t>-</w:t>
            </w:r>
            <w:r w:rsidR="001D412C" w:rsidRPr="001D412C">
              <w:t xml:space="preserve"> brīvprātīgo apdrošināšanas iemaksu objektu, tā minimālo un maksimālo apmēru un noteikšanas kārtību nosaka Ministru kabinets (14.panta sestā daļa).</w:t>
            </w:r>
          </w:p>
          <w:p w:rsidR="00AB67DA" w:rsidRPr="007F1AF8" w:rsidRDefault="00AB67DA" w:rsidP="00AB67DA">
            <w:pPr>
              <w:jc w:val="both"/>
            </w:pPr>
            <w:r>
              <w:t>2) Mikrouzņēmumu nodokļa likuma 9.panta piektās daļas deleģējumu, kas nosaka, ka mikrouzņēmuma nodokli maksājošā mikrouzņēmuma darbinieku valsts sociālās apdrošināšanas brīvprātīgo iemaksu veikšanas kārtību nosaka Ministru kabinets.</w:t>
            </w:r>
          </w:p>
        </w:tc>
      </w:tr>
      <w:tr w:rsidR="00970D03" w:rsidRPr="007F1AF8" w:rsidTr="00130CD1">
        <w:tc>
          <w:tcPr>
            <w:tcW w:w="534" w:type="dxa"/>
          </w:tcPr>
          <w:p w:rsidR="00970D03" w:rsidRPr="007F1AF8" w:rsidRDefault="00970D03" w:rsidP="006F1D43">
            <w:r w:rsidRPr="007F1AF8">
              <w:t xml:space="preserve">2. </w:t>
            </w:r>
          </w:p>
        </w:tc>
        <w:tc>
          <w:tcPr>
            <w:tcW w:w="1795" w:type="dxa"/>
          </w:tcPr>
          <w:p w:rsidR="00970D03" w:rsidRPr="007F1AF8" w:rsidRDefault="00970D03" w:rsidP="006F1D43">
            <w:r w:rsidRPr="007F1AF8">
              <w:t>Pašreizējā situācija un problēmas</w:t>
            </w:r>
          </w:p>
        </w:tc>
        <w:tc>
          <w:tcPr>
            <w:tcW w:w="7135" w:type="dxa"/>
            <w:gridSpan w:val="2"/>
          </w:tcPr>
          <w:p w:rsidR="004F2D4C" w:rsidRPr="00DD21FA" w:rsidRDefault="00130CD1" w:rsidP="004F2D4C">
            <w:pPr>
              <w:jc w:val="both"/>
            </w:pPr>
            <w:r w:rsidRPr="00DD21FA">
              <w:t xml:space="preserve">     </w:t>
            </w:r>
            <w:r w:rsidR="004F2D4C" w:rsidRPr="00DD21FA">
              <w:t xml:space="preserve">Valsts sociālās apdrošināšanas sistēmas ietvaros no 1997.gada tika noteikts valsts sociālās apdrošināšanas iemaksu (turpmāk – iemaksas) objekta maksimālais apmērs, lai nodrošinātu stabilu, ilgtspējīgu sociālās apdrošināšanas sistēmu valstī, vienlaikus stimulējot uzkrājumu veidošanos privātajos pensiju fondos. </w:t>
            </w:r>
          </w:p>
          <w:p w:rsidR="004F2D4C" w:rsidRPr="00DD21FA" w:rsidRDefault="00130CD1" w:rsidP="004F2D4C">
            <w:pPr>
              <w:jc w:val="both"/>
            </w:pPr>
            <w:r w:rsidRPr="00DD21FA">
              <w:t xml:space="preserve">      </w:t>
            </w:r>
            <w:r w:rsidR="004F2D4C" w:rsidRPr="00DD21FA">
              <w:t>Nosakot iemaksu objekta maksimālo apmēru, valsts obligātajā nefondētajā pensiju shēmā demogrāfiski un ekonomiski labvēlīgajos gados netiek koncentrēti pārāk lieli līdzekļi. Tā kā personai ir tiesības veikt papildu pensijas uzkrājumu privātajos pensiju fondos, nodrošinot papildu ienākumus vecumdienās un līdz ar to lielāku darba mūža laikā saņemto ienākumu atvietojumu, personas tiesības nākotnē uz sociālo nodrošinājumu nebūs tik atkarīgas (apdraudētas) no nelabvēlīgās demogrāfiskās situācijas valstī.</w:t>
            </w:r>
          </w:p>
          <w:p w:rsidR="004F2D4C" w:rsidRPr="00DD21FA" w:rsidRDefault="00130CD1" w:rsidP="004F2D4C">
            <w:pPr>
              <w:jc w:val="both"/>
            </w:pPr>
            <w:r w:rsidRPr="00DD21FA">
              <w:t xml:space="preserve">      </w:t>
            </w:r>
            <w:r w:rsidR="004F2D4C" w:rsidRPr="00DD21FA">
              <w:t>Saskaņā ar likuma 14.panta piekto un sesto daļu iemaksu objekta maksimālo apmēru un tā noteikšanas kārtību</w:t>
            </w:r>
            <w:r w:rsidR="00F26A0B" w:rsidRPr="00DD21FA">
              <w:t xml:space="preserve">, kā arī brīvprātīgo iemaksu </w:t>
            </w:r>
            <w:r w:rsidR="008C1F59" w:rsidRPr="00DD21FA">
              <w:t xml:space="preserve">objekta </w:t>
            </w:r>
            <w:r w:rsidR="00F26A0B" w:rsidRPr="00DD21FA">
              <w:t xml:space="preserve">minimālo apmēru </w:t>
            </w:r>
            <w:r w:rsidR="004F2D4C" w:rsidRPr="00DD21FA">
              <w:t>nosaka Ministru kabinets.</w:t>
            </w:r>
            <w:r w:rsidR="008C1F59" w:rsidRPr="00DD21FA">
              <w:t xml:space="preserve"> </w:t>
            </w:r>
            <w:r w:rsidR="00F26A0B" w:rsidRPr="00DD21FA">
              <w:t xml:space="preserve">    </w:t>
            </w:r>
            <w:r w:rsidR="004F2D4C" w:rsidRPr="00DD21FA">
              <w:t>Iemaksu objekta maksimālais apmērs ir palielinājies no 12 000 latiem 1997.gadā līdz 29 600 latiem 2008.gadā (skat. tab.).</w:t>
            </w:r>
          </w:p>
          <w:p w:rsidR="00DF01B0" w:rsidRPr="00DD21FA" w:rsidRDefault="00DF01B0" w:rsidP="00DF01B0">
            <w:pPr>
              <w:jc w:val="both"/>
            </w:pPr>
          </w:p>
          <w:tbl>
            <w:tblPr>
              <w:tblW w:w="0" w:type="auto"/>
              <w:tblLayout w:type="fixed"/>
              <w:tblLook w:val="00A0" w:firstRow="1" w:lastRow="0" w:firstColumn="1" w:lastColumn="0" w:noHBand="0" w:noVBand="0"/>
            </w:tblPr>
            <w:tblGrid>
              <w:gridCol w:w="1188"/>
              <w:gridCol w:w="1800"/>
            </w:tblGrid>
            <w:tr w:rsidR="00DF01B0" w:rsidRPr="00DD21FA" w:rsidTr="00E52AC6">
              <w:trPr>
                <w:trHeight w:val="1391"/>
              </w:trPr>
              <w:tc>
                <w:tcPr>
                  <w:tcW w:w="1188" w:type="dxa"/>
                  <w:tcBorders>
                    <w:top w:val="single" w:sz="6" w:space="0" w:color="000000"/>
                    <w:left w:val="single" w:sz="6" w:space="0" w:color="000000"/>
                    <w:bottom w:val="single" w:sz="6" w:space="0" w:color="000000"/>
                    <w:right w:val="single" w:sz="6" w:space="0" w:color="000000"/>
                  </w:tcBorders>
                  <w:vAlign w:val="center"/>
                </w:tcPr>
                <w:p w:rsidR="00DF01B0" w:rsidRPr="00DD21FA" w:rsidRDefault="00DF01B0" w:rsidP="006F1D43">
                  <w:pPr>
                    <w:autoSpaceDE w:val="0"/>
                    <w:autoSpaceDN w:val="0"/>
                    <w:adjustRightInd w:val="0"/>
                    <w:jc w:val="center"/>
                    <w:rPr>
                      <w:b/>
                      <w:bCs/>
                      <w:color w:val="000000"/>
                    </w:rPr>
                  </w:pPr>
                  <w:r w:rsidRPr="00DD21FA">
                    <w:rPr>
                      <w:b/>
                      <w:bCs/>
                      <w:color w:val="000000"/>
                    </w:rPr>
                    <w:t>Gads</w:t>
                  </w:r>
                </w:p>
              </w:tc>
              <w:tc>
                <w:tcPr>
                  <w:tcW w:w="1800" w:type="dxa"/>
                  <w:tcBorders>
                    <w:top w:val="single" w:sz="6" w:space="0" w:color="000000"/>
                    <w:left w:val="single" w:sz="6" w:space="0" w:color="000000"/>
                    <w:bottom w:val="single" w:sz="6" w:space="0" w:color="000000"/>
                    <w:right w:val="single" w:sz="6" w:space="0" w:color="000000"/>
                  </w:tcBorders>
                  <w:vAlign w:val="center"/>
                </w:tcPr>
                <w:p w:rsidR="00DF01B0" w:rsidRPr="00DD21FA" w:rsidRDefault="00DF01B0" w:rsidP="006F1D43">
                  <w:pPr>
                    <w:autoSpaceDE w:val="0"/>
                    <w:autoSpaceDN w:val="0"/>
                    <w:adjustRightInd w:val="0"/>
                    <w:spacing w:before="120" w:after="120"/>
                    <w:jc w:val="center"/>
                    <w:rPr>
                      <w:b/>
                      <w:bCs/>
                      <w:color w:val="000000"/>
                    </w:rPr>
                  </w:pPr>
                  <w:r w:rsidRPr="00DD21FA">
                    <w:rPr>
                      <w:b/>
                      <w:bCs/>
                      <w:color w:val="000000"/>
                    </w:rPr>
                    <w:t>Iemaksu objekta maksimums gadā, Ls</w:t>
                  </w:r>
                </w:p>
              </w:tc>
            </w:tr>
            <w:tr w:rsidR="00DF01B0" w:rsidRPr="00DD21FA" w:rsidTr="00E52AC6">
              <w:trPr>
                <w:trHeight w:val="419"/>
              </w:trPr>
              <w:tc>
                <w:tcPr>
                  <w:tcW w:w="1188" w:type="dxa"/>
                  <w:tcBorders>
                    <w:top w:val="single" w:sz="6" w:space="0" w:color="000000"/>
                    <w:left w:val="single" w:sz="6" w:space="0" w:color="000000"/>
                    <w:bottom w:val="single" w:sz="6" w:space="0" w:color="000000"/>
                    <w:right w:val="single" w:sz="6" w:space="0" w:color="000000"/>
                  </w:tcBorders>
                  <w:vAlign w:val="center"/>
                </w:tcPr>
                <w:p w:rsidR="00DF01B0" w:rsidRPr="00DD21FA" w:rsidRDefault="00DF01B0" w:rsidP="006F1D43">
                  <w:pPr>
                    <w:autoSpaceDE w:val="0"/>
                    <w:autoSpaceDN w:val="0"/>
                    <w:adjustRightInd w:val="0"/>
                    <w:jc w:val="center"/>
                    <w:rPr>
                      <w:b/>
                      <w:bCs/>
                      <w:color w:val="000000"/>
                    </w:rPr>
                  </w:pPr>
                  <w:r w:rsidRPr="00DD21FA">
                    <w:rPr>
                      <w:b/>
                      <w:bCs/>
                      <w:color w:val="000000"/>
                    </w:rPr>
                    <w:t>1997</w:t>
                  </w:r>
                </w:p>
              </w:tc>
              <w:tc>
                <w:tcPr>
                  <w:tcW w:w="1800" w:type="dxa"/>
                  <w:tcBorders>
                    <w:top w:val="single" w:sz="6" w:space="0" w:color="000000"/>
                    <w:left w:val="single" w:sz="6" w:space="0" w:color="000000"/>
                    <w:bottom w:val="single" w:sz="6" w:space="0" w:color="000000"/>
                    <w:right w:val="single" w:sz="6" w:space="0" w:color="000000"/>
                  </w:tcBorders>
                  <w:vAlign w:val="center"/>
                </w:tcPr>
                <w:p w:rsidR="00DF01B0" w:rsidRPr="00DD21FA" w:rsidRDefault="00DF01B0" w:rsidP="006F1D43">
                  <w:pPr>
                    <w:autoSpaceDE w:val="0"/>
                    <w:autoSpaceDN w:val="0"/>
                    <w:adjustRightInd w:val="0"/>
                    <w:spacing w:before="120" w:after="120"/>
                    <w:jc w:val="center"/>
                    <w:rPr>
                      <w:bCs/>
                      <w:color w:val="000000"/>
                    </w:rPr>
                  </w:pPr>
                  <w:r w:rsidRPr="00DD21FA">
                    <w:rPr>
                      <w:bCs/>
                      <w:color w:val="000000"/>
                    </w:rPr>
                    <w:t>12000</w:t>
                  </w:r>
                </w:p>
              </w:tc>
            </w:tr>
            <w:tr w:rsidR="00DF01B0" w:rsidRPr="00DD21FA" w:rsidTr="006F1D43">
              <w:tc>
                <w:tcPr>
                  <w:tcW w:w="1188" w:type="dxa"/>
                  <w:tcBorders>
                    <w:top w:val="single" w:sz="6" w:space="0" w:color="000000"/>
                    <w:left w:val="single" w:sz="6" w:space="0" w:color="000000"/>
                    <w:bottom w:val="single" w:sz="6" w:space="0" w:color="000000"/>
                    <w:right w:val="single" w:sz="6" w:space="0" w:color="000000"/>
                  </w:tcBorders>
                </w:tcPr>
                <w:p w:rsidR="00DF01B0" w:rsidRPr="00DD21FA" w:rsidRDefault="00DF01B0" w:rsidP="006F1D43">
                  <w:pPr>
                    <w:autoSpaceDE w:val="0"/>
                    <w:autoSpaceDN w:val="0"/>
                    <w:adjustRightInd w:val="0"/>
                    <w:jc w:val="center"/>
                    <w:rPr>
                      <w:b/>
                      <w:bCs/>
                      <w:color w:val="000000"/>
                    </w:rPr>
                  </w:pPr>
                  <w:r w:rsidRPr="00DD21FA">
                    <w:rPr>
                      <w:b/>
                      <w:bCs/>
                      <w:color w:val="000000"/>
                    </w:rPr>
                    <w:t>1998</w:t>
                  </w:r>
                </w:p>
              </w:tc>
              <w:tc>
                <w:tcPr>
                  <w:tcW w:w="1800" w:type="dxa"/>
                  <w:tcBorders>
                    <w:top w:val="single" w:sz="6" w:space="0" w:color="000000"/>
                    <w:left w:val="single" w:sz="6" w:space="0" w:color="000000"/>
                    <w:bottom w:val="single" w:sz="6" w:space="0" w:color="000000"/>
                    <w:right w:val="single" w:sz="6" w:space="0" w:color="000000"/>
                  </w:tcBorders>
                </w:tcPr>
                <w:p w:rsidR="00DF01B0" w:rsidRPr="00DD21FA" w:rsidRDefault="00DF01B0" w:rsidP="006F1D43">
                  <w:pPr>
                    <w:autoSpaceDE w:val="0"/>
                    <w:autoSpaceDN w:val="0"/>
                    <w:adjustRightInd w:val="0"/>
                    <w:jc w:val="center"/>
                    <w:rPr>
                      <w:color w:val="000000"/>
                    </w:rPr>
                  </w:pPr>
                  <w:r w:rsidRPr="00DD21FA">
                    <w:rPr>
                      <w:color w:val="000000"/>
                    </w:rPr>
                    <w:t>12 000</w:t>
                  </w:r>
                </w:p>
              </w:tc>
            </w:tr>
            <w:tr w:rsidR="00DF01B0" w:rsidRPr="00DD21FA" w:rsidTr="006F1D43">
              <w:tc>
                <w:tcPr>
                  <w:tcW w:w="1188" w:type="dxa"/>
                  <w:tcBorders>
                    <w:top w:val="single" w:sz="6" w:space="0" w:color="000000"/>
                    <w:left w:val="single" w:sz="6" w:space="0" w:color="000000"/>
                    <w:bottom w:val="single" w:sz="6" w:space="0" w:color="000000"/>
                    <w:right w:val="single" w:sz="6" w:space="0" w:color="000000"/>
                  </w:tcBorders>
                </w:tcPr>
                <w:p w:rsidR="00DF01B0" w:rsidRPr="00DD21FA" w:rsidRDefault="00DF01B0" w:rsidP="006F1D43">
                  <w:pPr>
                    <w:autoSpaceDE w:val="0"/>
                    <w:autoSpaceDN w:val="0"/>
                    <w:adjustRightInd w:val="0"/>
                    <w:jc w:val="center"/>
                    <w:rPr>
                      <w:b/>
                      <w:bCs/>
                      <w:color w:val="000000"/>
                    </w:rPr>
                  </w:pPr>
                  <w:r w:rsidRPr="00DD21FA">
                    <w:rPr>
                      <w:b/>
                      <w:bCs/>
                      <w:color w:val="000000"/>
                    </w:rPr>
                    <w:t>1999</w:t>
                  </w:r>
                </w:p>
              </w:tc>
              <w:tc>
                <w:tcPr>
                  <w:tcW w:w="1800" w:type="dxa"/>
                  <w:tcBorders>
                    <w:top w:val="single" w:sz="6" w:space="0" w:color="000000"/>
                    <w:left w:val="single" w:sz="6" w:space="0" w:color="000000"/>
                    <w:bottom w:val="single" w:sz="6" w:space="0" w:color="000000"/>
                    <w:right w:val="single" w:sz="6" w:space="0" w:color="000000"/>
                  </w:tcBorders>
                </w:tcPr>
                <w:p w:rsidR="00DF01B0" w:rsidRPr="00DD21FA" w:rsidRDefault="00DF01B0" w:rsidP="006F1D43">
                  <w:pPr>
                    <w:autoSpaceDE w:val="0"/>
                    <w:autoSpaceDN w:val="0"/>
                    <w:adjustRightInd w:val="0"/>
                    <w:jc w:val="center"/>
                    <w:rPr>
                      <w:color w:val="000000"/>
                    </w:rPr>
                  </w:pPr>
                  <w:r w:rsidRPr="00DD21FA">
                    <w:rPr>
                      <w:color w:val="000000"/>
                    </w:rPr>
                    <w:t>14 000</w:t>
                  </w:r>
                </w:p>
              </w:tc>
            </w:tr>
            <w:tr w:rsidR="00DF01B0" w:rsidRPr="00DD21FA" w:rsidTr="006F1D43">
              <w:tc>
                <w:tcPr>
                  <w:tcW w:w="1188" w:type="dxa"/>
                  <w:tcBorders>
                    <w:top w:val="single" w:sz="6" w:space="0" w:color="000000"/>
                    <w:left w:val="single" w:sz="6" w:space="0" w:color="000000"/>
                    <w:bottom w:val="single" w:sz="6" w:space="0" w:color="000000"/>
                    <w:right w:val="single" w:sz="6" w:space="0" w:color="000000"/>
                  </w:tcBorders>
                </w:tcPr>
                <w:p w:rsidR="00DF01B0" w:rsidRPr="00DD21FA" w:rsidRDefault="00DF01B0" w:rsidP="006F1D43">
                  <w:pPr>
                    <w:autoSpaceDE w:val="0"/>
                    <w:autoSpaceDN w:val="0"/>
                    <w:adjustRightInd w:val="0"/>
                    <w:jc w:val="center"/>
                    <w:rPr>
                      <w:b/>
                      <w:bCs/>
                      <w:color w:val="000000"/>
                    </w:rPr>
                  </w:pPr>
                  <w:r w:rsidRPr="00DD21FA">
                    <w:rPr>
                      <w:b/>
                      <w:bCs/>
                      <w:color w:val="000000"/>
                    </w:rPr>
                    <w:t>2000</w:t>
                  </w:r>
                </w:p>
              </w:tc>
              <w:tc>
                <w:tcPr>
                  <w:tcW w:w="1800" w:type="dxa"/>
                  <w:tcBorders>
                    <w:top w:val="single" w:sz="6" w:space="0" w:color="000000"/>
                    <w:left w:val="single" w:sz="6" w:space="0" w:color="000000"/>
                    <w:bottom w:val="single" w:sz="6" w:space="0" w:color="000000"/>
                    <w:right w:val="single" w:sz="6" w:space="0" w:color="000000"/>
                  </w:tcBorders>
                </w:tcPr>
                <w:p w:rsidR="00DF01B0" w:rsidRPr="00DD21FA" w:rsidRDefault="00DF01B0" w:rsidP="006F1D43">
                  <w:pPr>
                    <w:autoSpaceDE w:val="0"/>
                    <w:autoSpaceDN w:val="0"/>
                    <w:adjustRightInd w:val="0"/>
                    <w:jc w:val="center"/>
                    <w:rPr>
                      <w:color w:val="000000"/>
                    </w:rPr>
                  </w:pPr>
                  <w:r w:rsidRPr="00DD21FA">
                    <w:rPr>
                      <w:color w:val="000000"/>
                    </w:rPr>
                    <w:t>15 000</w:t>
                  </w:r>
                </w:p>
              </w:tc>
            </w:tr>
            <w:tr w:rsidR="00DF01B0" w:rsidRPr="00DD21FA" w:rsidTr="006F1D43">
              <w:tc>
                <w:tcPr>
                  <w:tcW w:w="1188" w:type="dxa"/>
                  <w:tcBorders>
                    <w:top w:val="single" w:sz="6" w:space="0" w:color="000000"/>
                    <w:left w:val="single" w:sz="6" w:space="0" w:color="000000"/>
                    <w:bottom w:val="single" w:sz="6" w:space="0" w:color="000000"/>
                    <w:right w:val="single" w:sz="6" w:space="0" w:color="000000"/>
                  </w:tcBorders>
                </w:tcPr>
                <w:p w:rsidR="00DF01B0" w:rsidRPr="00DD21FA" w:rsidRDefault="00DF01B0" w:rsidP="006F1D43">
                  <w:pPr>
                    <w:autoSpaceDE w:val="0"/>
                    <w:autoSpaceDN w:val="0"/>
                    <w:adjustRightInd w:val="0"/>
                    <w:jc w:val="center"/>
                    <w:rPr>
                      <w:b/>
                      <w:bCs/>
                      <w:color w:val="000000"/>
                    </w:rPr>
                  </w:pPr>
                  <w:r w:rsidRPr="00DD21FA">
                    <w:rPr>
                      <w:b/>
                      <w:bCs/>
                      <w:color w:val="000000"/>
                    </w:rPr>
                    <w:t>2001</w:t>
                  </w:r>
                </w:p>
              </w:tc>
              <w:tc>
                <w:tcPr>
                  <w:tcW w:w="1800" w:type="dxa"/>
                  <w:tcBorders>
                    <w:top w:val="single" w:sz="6" w:space="0" w:color="000000"/>
                    <w:left w:val="single" w:sz="6" w:space="0" w:color="000000"/>
                    <w:bottom w:val="single" w:sz="6" w:space="0" w:color="000000"/>
                    <w:right w:val="single" w:sz="6" w:space="0" w:color="000000"/>
                  </w:tcBorders>
                </w:tcPr>
                <w:p w:rsidR="00DF01B0" w:rsidRPr="00DD21FA" w:rsidRDefault="00DF01B0" w:rsidP="006F1D43">
                  <w:pPr>
                    <w:autoSpaceDE w:val="0"/>
                    <w:autoSpaceDN w:val="0"/>
                    <w:adjustRightInd w:val="0"/>
                    <w:jc w:val="center"/>
                    <w:rPr>
                      <w:color w:val="000000"/>
                    </w:rPr>
                  </w:pPr>
                  <w:r w:rsidRPr="00DD21FA">
                    <w:rPr>
                      <w:color w:val="000000"/>
                    </w:rPr>
                    <w:t>16 000</w:t>
                  </w:r>
                </w:p>
              </w:tc>
            </w:tr>
            <w:tr w:rsidR="00DF01B0" w:rsidRPr="00DD21FA" w:rsidTr="006F1D43">
              <w:tc>
                <w:tcPr>
                  <w:tcW w:w="1188" w:type="dxa"/>
                  <w:tcBorders>
                    <w:top w:val="single" w:sz="6" w:space="0" w:color="000000"/>
                    <w:left w:val="single" w:sz="6" w:space="0" w:color="000000"/>
                    <w:bottom w:val="single" w:sz="6" w:space="0" w:color="000000"/>
                    <w:right w:val="single" w:sz="6" w:space="0" w:color="000000"/>
                  </w:tcBorders>
                </w:tcPr>
                <w:p w:rsidR="00DF01B0" w:rsidRPr="00DD21FA" w:rsidRDefault="00DF01B0" w:rsidP="006F1D43">
                  <w:pPr>
                    <w:autoSpaceDE w:val="0"/>
                    <w:autoSpaceDN w:val="0"/>
                    <w:adjustRightInd w:val="0"/>
                    <w:jc w:val="center"/>
                    <w:rPr>
                      <w:b/>
                      <w:bCs/>
                      <w:color w:val="000000"/>
                    </w:rPr>
                  </w:pPr>
                  <w:r w:rsidRPr="00DD21FA">
                    <w:rPr>
                      <w:b/>
                      <w:bCs/>
                      <w:color w:val="000000"/>
                    </w:rPr>
                    <w:lastRenderedPageBreak/>
                    <w:t>2002</w:t>
                  </w:r>
                </w:p>
              </w:tc>
              <w:tc>
                <w:tcPr>
                  <w:tcW w:w="1800" w:type="dxa"/>
                  <w:tcBorders>
                    <w:top w:val="single" w:sz="6" w:space="0" w:color="000000"/>
                    <w:left w:val="single" w:sz="6" w:space="0" w:color="000000"/>
                    <w:bottom w:val="single" w:sz="6" w:space="0" w:color="000000"/>
                    <w:right w:val="single" w:sz="6" w:space="0" w:color="000000"/>
                  </w:tcBorders>
                </w:tcPr>
                <w:p w:rsidR="00DF01B0" w:rsidRPr="00DD21FA" w:rsidRDefault="00DF01B0" w:rsidP="006F1D43">
                  <w:pPr>
                    <w:autoSpaceDE w:val="0"/>
                    <w:autoSpaceDN w:val="0"/>
                    <w:adjustRightInd w:val="0"/>
                    <w:jc w:val="center"/>
                    <w:rPr>
                      <w:color w:val="000000"/>
                    </w:rPr>
                  </w:pPr>
                  <w:r w:rsidRPr="00DD21FA">
                    <w:rPr>
                      <w:color w:val="000000"/>
                    </w:rPr>
                    <w:t>17 300</w:t>
                  </w:r>
                </w:p>
              </w:tc>
            </w:tr>
            <w:tr w:rsidR="00DF01B0" w:rsidRPr="00DD21FA" w:rsidTr="006F1D43">
              <w:tc>
                <w:tcPr>
                  <w:tcW w:w="1188" w:type="dxa"/>
                  <w:tcBorders>
                    <w:top w:val="single" w:sz="6" w:space="0" w:color="000000"/>
                    <w:left w:val="single" w:sz="6" w:space="0" w:color="000000"/>
                    <w:bottom w:val="single" w:sz="6" w:space="0" w:color="000000"/>
                    <w:right w:val="single" w:sz="6" w:space="0" w:color="000000"/>
                  </w:tcBorders>
                </w:tcPr>
                <w:p w:rsidR="00DF01B0" w:rsidRPr="00DD21FA" w:rsidRDefault="00DF01B0" w:rsidP="006F1D43">
                  <w:pPr>
                    <w:autoSpaceDE w:val="0"/>
                    <w:autoSpaceDN w:val="0"/>
                    <w:adjustRightInd w:val="0"/>
                    <w:jc w:val="center"/>
                    <w:rPr>
                      <w:b/>
                      <w:bCs/>
                      <w:color w:val="000000"/>
                    </w:rPr>
                  </w:pPr>
                  <w:r w:rsidRPr="00DD21FA">
                    <w:rPr>
                      <w:b/>
                      <w:bCs/>
                      <w:color w:val="000000"/>
                    </w:rPr>
                    <w:t>2003</w:t>
                  </w:r>
                </w:p>
              </w:tc>
              <w:tc>
                <w:tcPr>
                  <w:tcW w:w="1800" w:type="dxa"/>
                  <w:tcBorders>
                    <w:top w:val="single" w:sz="6" w:space="0" w:color="000000"/>
                    <w:left w:val="single" w:sz="6" w:space="0" w:color="000000"/>
                    <w:bottom w:val="single" w:sz="6" w:space="0" w:color="000000"/>
                    <w:right w:val="single" w:sz="6" w:space="0" w:color="000000"/>
                  </w:tcBorders>
                </w:tcPr>
                <w:p w:rsidR="00DF01B0" w:rsidRPr="00DD21FA" w:rsidRDefault="00DF01B0" w:rsidP="006F1D43">
                  <w:pPr>
                    <w:autoSpaceDE w:val="0"/>
                    <w:autoSpaceDN w:val="0"/>
                    <w:adjustRightInd w:val="0"/>
                    <w:jc w:val="center"/>
                    <w:rPr>
                      <w:color w:val="000000"/>
                    </w:rPr>
                  </w:pPr>
                  <w:r w:rsidRPr="00DD21FA">
                    <w:rPr>
                      <w:color w:val="000000"/>
                    </w:rPr>
                    <w:t>18 400</w:t>
                  </w:r>
                </w:p>
              </w:tc>
            </w:tr>
            <w:tr w:rsidR="00DF01B0" w:rsidRPr="00DD21FA" w:rsidTr="006F1D43">
              <w:tc>
                <w:tcPr>
                  <w:tcW w:w="1188" w:type="dxa"/>
                  <w:tcBorders>
                    <w:top w:val="single" w:sz="6" w:space="0" w:color="000000"/>
                    <w:left w:val="single" w:sz="6" w:space="0" w:color="000000"/>
                    <w:bottom w:val="single" w:sz="6" w:space="0" w:color="000000"/>
                    <w:right w:val="single" w:sz="6" w:space="0" w:color="000000"/>
                  </w:tcBorders>
                </w:tcPr>
                <w:p w:rsidR="00DF01B0" w:rsidRPr="00DD21FA" w:rsidRDefault="00DF01B0" w:rsidP="006F1D43">
                  <w:pPr>
                    <w:autoSpaceDE w:val="0"/>
                    <w:autoSpaceDN w:val="0"/>
                    <w:adjustRightInd w:val="0"/>
                    <w:jc w:val="center"/>
                    <w:rPr>
                      <w:b/>
                      <w:bCs/>
                      <w:color w:val="000000"/>
                    </w:rPr>
                  </w:pPr>
                  <w:r w:rsidRPr="00DD21FA">
                    <w:rPr>
                      <w:b/>
                      <w:bCs/>
                      <w:color w:val="000000"/>
                    </w:rPr>
                    <w:t>2004</w:t>
                  </w:r>
                </w:p>
              </w:tc>
              <w:tc>
                <w:tcPr>
                  <w:tcW w:w="1800" w:type="dxa"/>
                  <w:tcBorders>
                    <w:top w:val="single" w:sz="6" w:space="0" w:color="000000"/>
                    <w:left w:val="single" w:sz="6" w:space="0" w:color="000000"/>
                    <w:bottom w:val="single" w:sz="6" w:space="0" w:color="000000"/>
                    <w:right w:val="single" w:sz="6" w:space="0" w:color="000000"/>
                  </w:tcBorders>
                </w:tcPr>
                <w:p w:rsidR="00DF01B0" w:rsidRPr="00DD21FA" w:rsidRDefault="00DF01B0" w:rsidP="006F1D43">
                  <w:pPr>
                    <w:autoSpaceDE w:val="0"/>
                    <w:autoSpaceDN w:val="0"/>
                    <w:adjustRightInd w:val="0"/>
                    <w:jc w:val="center"/>
                    <w:rPr>
                      <w:color w:val="000000"/>
                    </w:rPr>
                  </w:pPr>
                  <w:r w:rsidRPr="00DD21FA">
                    <w:rPr>
                      <w:color w:val="000000"/>
                    </w:rPr>
                    <w:t>19 900</w:t>
                  </w:r>
                </w:p>
              </w:tc>
            </w:tr>
            <w:tr w:rsidR="00DF01B0" w:rsidRPr="00DD21FA" w:rsidTr="006F1D43">
              <w:tc>
                <w:tcPr>
                  <w:tcW w:w="1188" w:type="dxa"/>
                  <w:tcBorders>
                    <w:top w:val="single" w:sz="6" w:space="0" w:color="000000"/>
                    <w:left w:val="single" w:sz="6" w:space="0" w:color="000000"/>
                    <w:bottom w:val="single" w:sz="6" w:space="0" w:color="000000"/>
                    <w:right w:val="single" w:sz="6" w:space="0" w:color="000000"/>
                  </w:tcBorders>
                </w:tcPr>
                <w:p w:rsidR="00DF01B0" w:rsidRPr="00DD21FA" w:rsidRDefault="00DF01B0" w:rsidP="006F1D43">
                  <w:pPr>
                    <w:autoSpaceDE w:val="0"/>
                    <w:autoSpaceDN w:val="0"/>
                    <w:adjustRightInd w:val="0"/>
                    <w:jc w:val="center"/>
                    <w:rPr>
                      <w:b/>
                      <w:bCs/>
                      <w:color w:val="000000"/>
                    </w:rPr>
                  </w:pPr>
                  <w:r w:rsidRPr="00DD21FA">
                    <w:rPr>
                      <w:b/>
                      <w:bCs/>
                      <w:color w:val="000000"/>
                    </w:rPr>
                    <w:t>2005</w:t>
                  </w:r>
                </w:p>
              </w:tc>
              <w:tc>
                <w:tcPr>
                  <w:tcW w:w="1800" w:type="dxa"/>
                  <w:tcBorders>
                    <w:top w:val="single" w:sz="6" w:space="0" w:color="000000"/>
                    <w:left w:val="single" w:sz="6" w:space="0" w:color="000000"/>
                    <w:bottom w:val="single" w:sz="6" w:space="0" w:color="000000"/>
                    <w:right w:val="single" w:sz="6" w:space="0" w:color="000000"/>
                  </w:tcBorders>
                </w:tcPr>
                <w:p w:rsidR="00DF01B0" w:rsidRPr="00DD21FA" w:rsidRDefault="00DF01B0" w:rsidP="006F1D43">
                  <w:pPr>
                    <w:autoSpaceDE w:val="0"/>
                    <w:autoSpaceDN w:val="0"/>
                    <w:adjustRightInd w:val="0"/>
                    <w:jc w:val="center"/>
                    <w:rPr>
                      <w:color w:val="000000"/>
                    </w:rPr>
                  </w:pPr>
                  <w:r w:rsidRPr="00DD21FA">
                    <w:rPr>
                      <w:color w:val="000000"/>
                    </w:rPr>
                    <w:t>19 900</w:t>
                  </w:r>
                </w:p>
              </w:tc>
            </w:tr>
            <w:tr w:rsidR="00DF01B0" w:rsidRPr="00DD21FA" w:rsidTr="006F1D43">
              <w:tc>
                <w:tcPr>
                  <w:tcW w:w="1188" w:type="dxa"/>
                  <w:tcBorders>
                    <w:top w:val="single" w:sz="6" w:space="0" w:color="000000"/>
                    <w:left w:val="single" w:sz="6" w:space="0" w:color="000000"/>
                    <w:bottom w:val="single" w:sz="6" w:space="0" w:color="000000"/>
                    <w:right w:val="single" w:sz="6" w:space="0" w:color="000000"/>
                  </w:tcBorders>
                </w:tcPr>
                <w:p w:rsidR="00DF01B0" w:rsidRPr="00DD21FA" w:rsidRDefault="00DF01B0" w:rsidP="006F1D43">
                  <w:pPr>
                    <w:autoSpaceDE w:val="0"/>
                    <w:autoSpaceDN w:val="0"/>
                    <w:adjustRightInd w:val="0"/>
                    <w:jc w:val="center"/>
                    <w:rPr>
                      <w:b/>
                      <w:bCs/>
                      <w:color w:val="000000"/>
                    </w:rPr>
                  </w:pPr>
                  <w:r w:rsidRPr="00DD21FA">
                    <w:rPr>
                      <w:b/>
                      <w:bCs/>
                      <w:color w:val="000000"/>
                    </w:rPr>
                    <w:t>2006</w:t>
                  </w:r>
                </w:p>
              </w:tc>
              <w:tc>
                <w:tcPr>
                  <w:tcW w:w="1800" w:type="dxa"/>
                  <w:tcBorders>
                    <w:top w:val="single" w:sz="6" w:space="0" w:color="000000"/>
                    <w:left w:val="single" w:sz="6" w:space="0" w:color="000000"/>
                    <w:bottom w:val="single" w:sz="6" w:space="0" w:color="000000"/>
                    <w:right w:val="single" w:sz="6" w:space="0" w:color="000000"/>
                  </w:tcBorders>
                </w:tcPr>
                <w:p w:rsidR="00DF01B0" w:rsidRPr="00DD21FA" w:rsidRDefault="00DF01B0" w:rsidP="006F1D43">
                  <w:pPr>
                    <w:autoSpaceDE w:val="0"/>
                    <w:autoSpaceDN w:val="0"/>
                    <w:adjustRightInd w:val="0"/>
                    <w:jc w:val="center"/>
                    <w:rPr>
                      <w:color w:val="000000"/>
                    </w:rPr>
                  </w:pPr>
                  <w:r w:rsidRPr="00DD21FA">
                    <w:rPr>
                      <w:color w:val="000000"/>
                    </w:rPr>
                    <w:t>20 700</w:t>
                  </w:r>
                </w:p>
              </w:tc>
            </w:tr>
            <w:tr w:rsidR="00DF01B0" w:rsidRPr="00DD21FA" w:rsidTr="006F1D43">
              <w:tc>
                <w:tcPr>
                  <w:tcW w:w="1188" w:type="dxa"/>
                  <w:tcBorders>
                    <w:top w:val="single" w:sz="6" w:space="0" w:color="000000"/>
                    <w:left w:val="single" w:sz="6" w:space="0" w:color="000000"/>
                    <w:bottom w:val="single" w:sz="6" w:space="0" w:color="000000"/>
                    <w:right w:val="single" w:sz="6" w:space="0" w:color="000000"/>
                  </w:tcBorders>
                </w:tcPr>
                <w:p w:rsidR="00DF01B0" w:rsidRPr="00DD21FA" w:rsidRDefault="00DF01B0" w:rsidP="006F1D43">
                  <w:pPr>
                    <w:autoSpaceDE w:val="0"/>
                    <w:autoSpaceDN w:val="0"/>
                    <w:adjustRightInd w:val="0"/>
                    <w:jc w:val="center"/>
                    <w:rPr>
                      <w:b/>
                      <w:bCs/>
                      <w:color w:val="000000"/>
                    </w:rPr>
                  </w:pPr>
                  <w:r w:rsidRPr="00DD21FA">
                    <w:rPr>
                      <w:b/>
                      <w:bCs/>
                      <w:color w:val="000000"/>
                    </w:rPr>
                    <w:t>2007</w:t>
                  </w:r>
                </w:p>
              </w:tc>
              <w:tc>
                <w:tcPr>
                  <w:tcW w:w="1800" w:type="dxa"/>
                  <w:tcBorders>
                    <w:top w:val="single" w:sz="6" w:space="0" w:color="000000"/>
                    <w:left w:val="single" w:sz="6" w:space="0" w:color="000000"/>
                    <w:bottom w:val="single" w:sz="6" w:space="0" w:color="000000"/>
                    <w:right w:val="single" w:sz="6" w:space="0" w:color="000000"/>
                  </w:tcBorders>
                </w:tcPr>
                <w:p w:rsidR="00DF01B0" w:rsidRPr="00DD21FA" w:rsidRDefault="00DF01B0" w:rsidP="006F1D43">
                  <w:pPr>
                    <w:autoSpaceDE w:val="0"/>
                    <w:autoSpaceDN w:val="0"/>
                    <w:adjustRightInd w:val="0"/>
                    <w:jc w:val="center"/>
                    <w:rPr>
                      <w:color w:val="000000"/>
                    </w:rPr>
                  </w:pPr>
                  <w:r w:rsidRPr="00DD21FA">
                    <w:rPr>
                      <w:color w:val="000000"/>
                    </w:rPr>
                    <w:t>23 800</w:t>
                  </w:r>
                </w:p>
              </w:tc>
            </w:tr>
            <w:tr w:rsidR="00DF01B0" w:rsidRPr="00DD21FA" w:rsidTr="006F1D43">
              <w:tc>
                <w:tcPr>
                  <w:tcW w:w="1188" w:type="dxa"/>
                  <w:tcBorders>
                    <w:top w:val="single" w:sz="6" w:space="0" w:color="000000"/>
                    <w:left w:val="single" w:sz="6" w:space="0" w:color="000000"/>
                    <w:bottom w:val="single" w:sz="6" w:space="0" w:color="000000"/>
                    <w:right w:val="single" w:sz="6" w:space="0" w:color="000000"/>
                  </w:tcBorders>
                </w:tcPr>
                <w:p w:rsidR="00DF01B0" w:rsidRPr="00DD21FA" w:rsidRDefault="00DF01B0" w:rsidP="006F1D43">
                  <w:pPr>
                    <w:autoSpaceDE w:val="0"/>
                    <w:autoSpaceDN w:val="0"/>
                    <w:adjustRightInd w:val="0"/>
                    <w:jc w:val="center"/>
                    <w:rPr>
                      <w:b/>
                      <w:bCs/>
                      <w:color w:val="000000"/>
                    </w:rPr>
                  </w:pPr>
                  <w:r w:rsidRPr="00DD21FA">
                    <w:rPr>
                      <w:b/>
                      <w:bCs/>
                      <w:color w:val="000000"/>
                    </w:rPr>
                    <w:t>2008</w:t>
                  </w:r>
                </w:p>
              </w:tc>
              <w:tc>
                <w:tcPr>
                  <w:tcW w:w="1800" w:type="dxa"/>
                  <w:tcBorders>
                    <w:top w:val="single" w:sz="6" w:space="0" w:color="000000"/>
                    <w:left w:val="single" w:sz="6" w:space="0" w:color="000000"/>
                    <w:bottom w:val="single" w:sz="6" w:space="0" w:color="000000"/>
                    <w:right w:val="single" w:sz="6" w:space="0" w:color="000000"/>
                  </w:tcBorders>
                </w:tcPr>
                <w:p w:rsidR="00DF01B0" w:rsidRPr="00DD21FA" w:rsidRDefault="00DF01B0" w:rsidP="006F1D43">
                  <w:pPr>
                    <w:autoSpaceDE w:val="0"/>
                    <w:autoSpaceDN w:val="0"/>
                    <w:adjustRightInd w:val="0"/>
                    <w:jc w:val="center"/>
                    <w:rPr>
                      <w:color w:val="000000"/>
                    </w:rPr>
                  </w:pPr>
                  <w:r w:rsidRPr="00DD21FA">
                    <w:rPr>
                      <w:color w:val="000000"/>
                    </w:rPr>
                    <w:t>29 600</w:t>
                  </w:r>
                </w:p>
              </w:tc>
            </w:tr>
          </w:tbl>
          <w:p w:rsidR="00640562" w:rsidRPr="00DD21FA" w:rsidRDefault="00130CD1" w:rsidP="00640562">
            <w:pPr>
              <w:autoSpaceDE w:val="0"/>
              <w:autoSpaceDN w:val="0"/>
              <w:adjustRightInd w:val="0"/>
              <w:jc w:val="both"/>
            </w:pPr>
            <w:r w:rsidRPr="00DD21FA">
              <w:t xml:space="preserve">      </w:t>
            </w:r>
            <w:r w:rsidR="00640562" w:rsidRPr="00DD21FA">
              <w:t>Laika periodā no 1999.gada līdz 2004.gadam iemaksu objekta maksimālais apmērs tika noteikts, ņemot vērā tautsaimniecībā nodarbināto darba samaksas pieaugumu, un no 2001.gada līdz 2004.gadam tas tika aprēķināts pēc šāda</w:t>
            </w:r>
            <w:r w:rsidR="00C94AD7" w:rsidRPr="00DD21FA">
              <w:t>s</w:t>
            </w:r>
            <w:r w:rsidR="00640562" w:rsidRPr="00DD21FA">
              <w:t xml:space="preserve"> </w:t>
            </w:r>
            <w:r w:rsidR="00C94AD7" w:rsidRPr="00DD21FA">
              <w:t>formulas</w:t>
            </w:r>
            <w:r w:rsidR="00640562" w:rsidRPr="00DD21FA">
              <w:t xml:space="preserve">: </w:t>
            </w:r>
          </w:p>
          <w:p w:rsidR="00640562" w:rsidRPr="00DD21FA" w:rsidRDefault="00640562" w:rsidP="00640562">
            <w:pPr>
              <w:pStyle w:val="naisf"/>
              <w:spacing w:before="120" w:after="0"/>
              <w:jc w:val="center"/>
            </w:pPr>
            <w:r w:rsidRPr="00DD21FA">
              <w:t>I</w:t>
            </w:r>
            <w:r w:rsidRPr="00DD21FA">
              <w:rPr>
                <w:vertAlign w:val="subscript"/>
              </w:rPr>
              <w:t>max(t+1)</w:t>
            </w:r>
            <w:r w:rsidRPr="00DD21FA">
              <w:t xml:space="preserve"> = </w:t>
            </w:r>
            <w:proofErr w:type="spellStart"/>
            <w:r w:rsidRPr="00DD21FA">
              <w:t>I</w:t>
            </w:r>
            <w:r w:rsidRPr="00DD21FA">
              <w:rPr>
                <w:vertAlign w:val="subscript"/>
              </w:rPr>
              <w:t>max(t</w:t>
            </w:r>
            <w:proofErr w:type="spellEnd"/>
            <w:r w:rsidRPr="00DD21FA">
              <w:rPr>
                <w:vertAlign w:val="subscript"/>
              </w:rPr>
              <w:t>)</w:t>
            </w:r>
            <w:r w:rsidRPr="00DD21FA">
              <w:t xml:space="preserve"> x </w:t>
            </w:r>
            <w:r w:rsidRPr="00DD21FA">
              <w:rPr>
                <w:lang w:val="de-DE"/>
              </w:rPr>
              <w:t>(t</w:t>
            </w:r>
            <w:r w:rsidRPr="00DD21FA">
              <w:rPr>
                <w:vertAlign w:val="subscript"/>
                <w:lang w:val="de-DE"/>
              </w:rPr>
              <w:t xml:space="preserve">m(t+1)progn </w:t>
            </w:r>
            <w:r w:rsidRPr="00DD21FA">
              <w:rPr>
                <w:lang w:val="de-DE"/>
              </w:rPr>
              <w:t>x t</w:t>
            </w:r>
            <w:r w:rsidRPr="00DD21FA">
              <w:rPr>
                <w:vertAlign w:val="subscript"/>
                <w:lang w:val="de-DE"/>
              </w:rPr>
              <w:t>m(t-1)fakt</w:t>
            </w:r>
            <w:r w:rsidRPr="00DD21FA">
              <w:rPr>
                <w:lang w:val="de-DE"/>
              </w:rPr>
              <w:t xml:space="preserve"> / t</w:t>
            </w:r>
            <w:r w:rsidRPr="00DD21FA">
              <w:rPr>
                <w:vertAlign w:val="subscript"/>
                <w:lang w:val="de-DE"/>
              </w:rPr>
              <w:t>m(t-1)progn</w:t>
            </w:r>
            <w:r w:rsidRPr="00DD21FA">
              <w:rPr>
                <w:lang w:val="de-DE"/>
              </w:rPr>
              <w:t>)</w:t>
            </w:r>
            <w:r w:rsidRPr="00DD21FA">
              <w:t>, kur</w:t>
            </w:r>
          </w:p>
          <w:p w:rsidR="00640562" w:rsidRPr="00DD21FA" w:rsidRDefault="00640562" w:rsidP="00C94AD7">
            <w:pPr>
              <w:pStyle w:val="naisf"/>
              <w:spacing w:before="120" w:after="0"/>
              <w:ind w:firstLine="0"/>
            </w:pPr>
            <w:r w:rsidRPr="00DD21FA">
              <w:t>I</w:t>
            </w:r>
            <w:r w:rsidRPr="00DD21FA">
              <w:rPr>
                <w:vertAlign w:val="subscript"/>
              </w:rPr>
              <w:t>max(t+1)</w:t>
            </w:r>
            <w:r w:rsidRPr="00DD21FA">
              <w:t xml:space="preserve"> – nākamā kalendāra gada iemaksu objekta maksimālais apmērs;</w:t>
            </w:r>
          </w:p>
          <w:p w:rsidR="00640562" w:rsidRPr="00DD21FA" w:rsidRDefault="00640562" w:rsidP="00C94AD7">
            <w:pPr>
              <w:pStyle w:val="naisf"/>
              <w:spacing w:before="0" w:after="0"/>
              <w:ind w:firstLine="0"/>
            </w:pPr>
            <w:proofErr w:type="spellStart"/>
            <w:r w:rsidRPr="00DD21FA">
              <w:t>I</w:t>
            </w:r>
            <w:r w:rsidRPr="00DD21FA">
              <w:rPr>
                <w:vertAlign w:val="subscript"/>
              </w:rPr>
              <w:t>max(t</w:t>
            </w:r>
            <w:proofErr w:type="spellEnd"/>
            <w:r w:rsidRPr="00DD21FA">
              <w:rPr>
                <w:vertAlign w:val="subscript"/>
              </w:rPr>
              <w:t>)</w:t>
            </w:r>
            <w:r w:rsidRPr="00DD21FA">
              <w:t xml:space="preserve"> – kalendāra gada iemaksu objekta maksimālais apmērs;</w:t>
            </w:r>
          </w:p>
          <w:p w:rsidR="00640562" w:rsidRPr="00DD21FA" w:rsidRDefault="00640562" w:rsidP="00C94AD7">
            <w:pPr>
              <w:pStyle w:val="naisf"/>
              <w:spacing w:before="0" w:after="0"/>
              <w:ind w:firstLine="0"/>
            </w:pPr>
            <w:r w:rsidRPr="00DD21FA">
              <w:t>t</w:t>
            </w:r>
            <w:r w:rsidRPr="00DD21FA">
              <w:rPr>
                <w:vertAlign w:val="subscript"/>
              </w:rPr>
              <w:t>m(t+1)progn</w:t>
            </w:r>
            <w:r w:rsidRPr="00DD21FA">
              <w:t xml:space="preserve"> – nākamajam kalendāra gadam Finanšu ministrijas prognozētais darba samaksas pieaugums;</w:t>
            </w:r>
          </w:p>
          <w:p w:rsidR="00640562" w:rsidRPr="00DD21FA" w:rsidRDefault="00640562" w:rsidP="00C94AD7">
            <w:pPr>
              <w:pStyle w:val="naisf"/>
              <w:spacing w:before="0" w:after="0"/>
              <w:ind w:firstLine="0"/>
            </w:pPr>
            <w:proofErr w:type="spellStart"/>
            <w:r w:rsidRPr="00DD21FA">
              <w:t>t</w:t>
            </w:r>
            <w:r w:rsidRPr="00DD21FA">
              <w:rPr>
                <w:vertAlign w:val="subscript"/>
              </w:rPr>
              <w:t>m(t-1)fakt</w:t>
            </w:r>
            <w:proofErr w:type="spellEnd"/>
            <w:r w:rsidRPr="00DD21FA">
              <w:t xml:space="preserve"> – iepriekšējā kalendāra gada faktiskais darba samaksas pieaugums;</w:t>
            </w:r>
          </w:p>
          <w:p w:rsidR="00640562" w:rsidRPr="00DD21FA" w:rsidRDefault="00640562" w:rsidP="00640562">
            <w:pPr>
              <w:jc w:val="both"/>
            </w:pPr>
            <w:proofErr w:type="spellStart"/>
            <w:r w:rsidRPr="00DD21FA">
              <w:t>t</w:t>
            </w:r>
            <w:r w:rsidRPr="00DD21FA">
              <w:rPr>
                <w:vertAlign w:val="subscript"/>
              </w:rPr>
              <w:t>m(t-1)progn</w:t>
            </w:r>
            <w:proofErr w:type="spellEnd"/>
            <w:r w:rsidRPr="00DD21FA">
              <w:t xml:space="preserve"> – iepriekšējam kalendāra gadam Finanšu ministrijas prognozētais darba samaksas pieaugums.</w:t>
            </w:r>
          </w:p>
          <w:p w:rsidR="002C4580" w:rsidRPr="00DD21FA" w:rsidRDefault="002C4580" w:rsidP="002C4580">
            <w:pPr>
              <w:jc w:val="both"/>
            </w:pPr>
          </w:p>
          <w:p w:rsidR="00640562" w:rsidRPr="00DD21FA" w:rsidRDefault="00640562" w:rsidP="002C4580">
            <w:pPr>
              <w:jc w:val="both"/>
            </w:pPr>
            <w:r w:rsidRPr="00DD21FA">
              <w:t>Taču, uzskatot, ka pēc šīs metodes aprēķinātais iemaksu objekta maksimālais apmērs 2005.gadā palielinātos pārāk strauji (sasniedzot 22 700 latu), Ministru kabinets 2004.gada 14.decembra sēdē (</w:t>
            </w:r>
            <w:smartTag w:uri="schemas-tilde-lv/tildestengine" w:element="veidnes">
              <w:smartTagPr>
                <w:attr w:name="text" w:val="protokols"/>
                <w:attr w:name="id" w:val="-1"/>
                <w:attr w:name="baseform" w:val="protokol|s"/>
              </w:smartTagPr>
              <w:r w:rsidRPr="00DD21FA">
                <w:t>protokols</w:t>
              </w:r>
            </w:smartTag>
            <w:r w:rsidRPr="00DD21FA">
              <w:t xml:space="preserve"> Nr.72, 21.§., 22.§.) pieņēma </w:t>
            </w:r>
            <w:smartTag w:uri="schemas-tilde-lv/tildestengine" w:element="veidnes">
              <w:smartTagPr>
                <w:attr w:name="text" w:val="lēmumu"/>
                <w:attr w:name="id" w:val="-1"/>
                <w:attr w:name="baseform" w:val="lēmum|s"/>
              </w:smartTagPr>
              <w:r w:rsidRPr="00DD21FA">
                <w:t>lēmumu</w:t>
              </w:r>
            </w:smartTag>
            <w:r w:rsidRPr="00DD21FA">
              <w:t xml:space="preserve"> 2005.gadā iemaksu objekta maksimālo apmēru noteikt konstantā apmērā – 19 900 latu gadā. Vienlaikus tika uzdots Labklājības ministrijai kopīgi ar Finanšu ministriju līdz 2005.gada 1.augustam pārskatīt maksimālā apmēra noteikšanas kārtību. Ņemot vērā minēto uzdevumu, ar 2006.gadu iemaksu objekta maksimālā apmēra aprēķināšanas metodika tika mainīta, paredzot iemaksu objekta maksimālo  apmēru turpmāk piesaistīt vidējās sociālās apdrošināšanas iemaksu algas pieaugumam. Tādējādi, sākot ar 2006.gadu, iemaksu objekta maksimālais apmērs tika pārskatīts atbilstoši vidējai sociālās apdrošināšanas iemaksu algai valstī iepriekšējā kalendāra gadā, piemērojot koeficientu 9,0. Koeficients tika noteikts tā, lai iemaksu objekta maksimālais apmērs turpmāk būtu tieši atkarīgs no vidējās apdrošināšanas algas pieauguma, t.i., lai pirmajā gadā (aprēķināts pēc jaunās metodes) iemaksu objekta maksimālais apmērs krasi nepalielinātos tieši uz koeficienta rēķina salīdzinājumā ar iepriekšējam gadam noteikto apmēru (aprēķināts pēc vecās metodes), bet lai nākamajos gados tas pieaugtu atkarībā no vidējās apdrošināšanas iemaksu algas izmaiņām.</w:t>
            </w:r>
          </w:p>
          <w:p w:rsidR="0050270F" w:rsidRPr="00DD21FA" w:rsidRDefault="00130CD1" w:rsidP="00DF01B0">
            <w:pPr>
              <w:jc w:val="both"/>
            </w:pPr>
            <w:r w:rsidRPr="00DD21FA">
              <w:t xml:space="preserve">       </w:t>
            </w:r>
            <w:r w:rsidR="00424A7C" w:rsidRPr="00DD21FA">
              <w:t xml:space="preserve">Lai palielinātu sociālās apdrošināšanas speciālā budžeta ieņēmumus, </w:t>
            </w:r>
            <w:r w:rsidR="00C42C20" w:rsidRPr="00DD21FA">
              <w:t>2008.gada 19.jūnijā Saeima pieņēma grozījumus likumā, kas paredz</w:t>
            </w:r>
            <w:r w:rsidR="00424A7C" w:rsidRPr="00DD21FA">
              <w:t xml:space="preserve">, ka </w:t>
            </w:r>
            <w:r w:rsidR="00C42C20" w:rsidRPr="00DD21FA">
              <w:t>iemaksu objekta maksimālais apmērs netiek noteikts no 2009.gada 1.janv</w:t>
            </w:r>
            <w:r w:rsidR="00424A7C" w:rsidRPr="00DD21FA">
              <w:t>āra līdz 2013.gada 31.decembrim,</w:t>
            </w:r>
            <w:r w:rsidR="0050270F" w:rsidRPr="00DD21FA">
              <w:t xml:space="preserve"> plānojot papildus ieņēmumus 50 milj. latu apmērā pirmajā normas ieviešanas gadā. </w:t>
            </w:r>
            <w:r w:rsidR="00DF01B0" w:rsidRPr="00DD21FA">
              <w:t xml:space="preserve"> </w:t>
            </w:r>
            <w:r w:rsidR="0050270F" w:rsidRPr="00DD21FA">
              <w:t>Taču vienlaikus ar krīzes radītajām sekām attiecībā uz budžeta ieņēmumu kritumu, ne tikai gaidītais rezultāts</w:t>
            </w:r>
            <w:r w:rsidR="003318E9" w:rsidRPr="00DD21FA">
              <w:t xml:space="preserve"> attiecībā uz papildus ieņēmumiem</w:t>
            </w:r>
            <w:r w:rsidR="0050270F" w:rsidRPr="00DD21FA">
              <w:t xml:space="preserve"> netika sasniegts, taču nācās pieņemt vairākas izmaiņas sociālās apdrošināšanas sistēm</w:t>
            </w:r>
            <w:r w:rsidR="003318E9" w:rsidRPr="00DD21FA">
              <w:t xml:space="preserve">ā. Piemēram, </w:t>
            </w:r>
            <w:r w:rsidR="0050270F" w:rsidRPr="00DD21FA">
              <w:t xml:space="preserve">2009.gadā tika pieņemts likums </w:t>
            </w:r>
            <w:r w:rsidR="0050270F" w:rsidRPr="00DD21FA">
              <w:lastRenderedPageBreak/>
              <w:t xml:space="preserve">„Par valsts pabalstu izmaksu laika periodā no 2009.gada līdz 2014.gadam”, kas, sākot ar 2010.gadu, noteica sociālās apdrošināšanas pabalstu izmaksu ierobežojumus. </w:t>
            </w:r>
            <w:r w:rsidR="00DF01B0" w:rsidRPr="00DD21FA">
              <w:t xml:space="preserve">Tā kā </w:t>
            </w:r>
            <w:r w:rsidR="0050270F" w:rsidRPr="00DD21FA">
              <w:t>sociālās apdrošināšanas pensijas</w:t>
            </w:r>
            <w:r w:rsidR="00B86112" w:rsidRPr="00DD21FA">
              <w:t xml:space="preserve"> un </w:t>
            </w:r>
            <w:r w:rsidR="0050270F" w:rsidRPr="00DD21FA">
              <w:t>pabalsti tiek aprēķināti no katras personas individuālās algas</w:t>
            </w:r>
            <w:r w:rsidR="003318E9" w:rsidRPr="00DD21FA">
              <w:t xml:space="preserve"> un ņemot vērā, ka tikai nelielai daļai no sociāli apdrošinātajām personām (2012.gadā – 0.4%) ienākumi pārsniedz </w:t>
            </w:r>
            <w:r w:rsidR="00226FAB" w:rsidRPr="00DD21FA">
              <w:t xml:space="preserve">aprēķināto </w:t>
            </w:r>
            <w:r w:rsidR="003318E9" w:rsidRPr="00DD21FA">
              <w:t>iemaksu objekta maksimālo apmēru</w:t>
            </w:r>
            <w:r w:rsidR="0050270F" w:rsidRPr="00DD21FA">
              <w:t xml:space="preserve">, tad iemaksu objekta maksimālā apmēra atcelšana </w:t>
            </w:r>
            <w:r w:rsidR="003318E9" w:rsidRPr="00DD21FA">
              <w:t xml:space="preserve">būtiskus papildus izdevumus neradīja. </w:t>
            </w:r>
          </w:p>
          <w:p w:rsidR="00C17FCD" w:rsidRPr="00DD21FA" w:rsidRDefault="00C17FCD" w:rsidP="00DD21FA">
            <w:pPr>
              <w:pStyle w:val="tv2131"/>
              <w:spacing w:line="240" w:lineRule="auto"/>
              <w:ind w:firstLine="0"/>
              <w:jc w:val="both"/>
              <w:rPr>
                <w:sz w:val="24"/>
                <w:szCs w:val="24"/>
              </w:rPr>
            </w:pPr>
            <w:r w:rsidRPr="00DD21FA">
              <w:rPr>
                <w:sz w:val="24"/>
                <w:szCs w:val="24"/>
              </w:rPr>
              <w:t xml:space="preserve">      V</w:t>
            </w:r>
            <w:r w:rsidRPr="00DD21FA">
              <w:rPr>
                <w:color w:val="000000"/>
                <w:sz w:val="24"/>
                <w:szCs w:val="24"/>
              </w:rPr>
              <w:t xml:space="preserve">alsts sociālās apdrošināšanas obligāto iemaksu objekta maksimālais apmērs (29600 latu) pēdējo reizi bija noteikts Ministru kabineta 2000.gada 6.jūnija noteikumos Nr.193 „Noteikumi par valsts sociālās </w:t>
            </w:r>
            <w:r w:rsidRPr="00DD21FA">
              <w:rPr>
                <w:sz w:val="24"/>
                <w:szCs w:val="24"/>
              </w:rPr>
              <w:t xml:space="preserve">apdrošināšanas obligāto iemaksu objekta minimālo un maksimālo apmēru” (turpmāk – MK noteikumi Nr.193). Likuma pārejas noteikumu 43.punkts noteica, ka likuma </w:t>
            </w:r>
            <w:hyperlink r:id="rId9" w:anchor="p14" w:history="1">
              <w:r w:rsidRPr="00DD21FA">
                <w:rPr>
                  <w:sz w:val="24"/>
                  <w:szCs w:val="24"/>
                </w:rPr>
                <w:t>14.panta</w:t>
              </w:r>
            </w:hyperlink>
            <w:r w:rsidRPr="00DD21FA">
              <w:rPr>
                <w:sz w:val="24"/>
                <w:szCs w:val="24"/>
              </w:rPr>
              <w:t xml:space="preserve"> piektajā un sestajā daļā paredzētais obligāto un brīvprātīgo iemaksu objekta maksimālā apmēra ierobežojums (Ministru kabinetam deleģētās tiesības noteikt iemaksu objekta maksimālo apmēru) netiek piemērots laikā no 2009.gada 1.janvāra līdz 2013.gada 31.decembrim. Pamatojoties uz iepriekš minēto, MK noteikumus Nr.193 ar Ministru kabineta 2008.gada 2.decembra noteikumu Nr.992 "Noteikumi par valsts sociālās apdrošināšanas obligāto iemaksu objekta minimālo apmēru un tā noteikšanas kārtību pašnodarbinātajam" 4.punktu atzina par spēku zaudējušiem ar 2009.gada 1.janvāri.</w:t>
            </w:r>
          </w:p>
          <w:p w:rsidR="00C17FCD" w:rsidRPr="00DD21FA" w:rsidRDefault="00C17FCD" w:rsidP="00D4449D">
            <w:pPr>
              <w:pStyle w:val="tv2131"/>
              <w:spacing w:line="240" w:lineRule="auto"/>
              <w:ind w:firstLine="0"/>
              <w:jc w:val="both"/>
              <w:rPr>
                <w:sz w:val="24"/>
                <w:szCs w:val="24"/>
              </w:rPr>
            </w:pPr>
            <w:r w:rsidRPr="00DD21FA">
              <w:rPr>
                <w:sz w:val="24"/>
                <w:szCs w:val="24"/>
              </w:rPr>
              <w:t xml:space="preserve">   </w:t>
            </w:r>
            <w:r w:rsidR="00A849AC" w:rsidRPr="00DD21FA">
              <w:rPr>
                <w:sz w:val="24"/>
                <w:szCs w:val="24"/>
              </w:rPr>
              <w:t xml:space="preserve"> Ministru kabineta 2010.gada 12.oktobra noteikumos Nr.976 “Noteikumi par brīvprātīgu pievienošanos valsts sociālajai apdrošināšanai”</w:t>
            </w:r>
            <w:r w:rsidR="00A849AC" w:rsidRPr="00DD21FA">
              <w:rPr>
                <w:bCs/>
                <w:sz w:val="24"/>
                <w:szCs w:val="24"/>
              </w:rPr>
              <w:t xml:space="preserve"> </w:t>
            </w:r>
            <w:r w:rsidR="00195072" w:rsidRPr="00DD21FA">
              <w:rPr>
                <w:bCs/>
                <w:sz w:val="24"/>
                <w:szCs w:val="24"/>
              </w:rPr>
              <w:t xml:space="preserve">šobrīd </w:t>
            </w:r>
            <w:r w:rsidR="00A849AC" w:rsidRPr="00DD21FA">
              <w:rPr>
                <w:bCs/>
                <w:sz w:val="24"/>
                <w:szCs w:val="24"/>
              </w:rPr>
              <w:t>ir ietverts regulējums par valsts sociālās apdrošināšanas brīvprātīgo iemaksu objekta minimālo un maksimālo apmēru un tā noteikšanas kārtību</w:t>
            </w:r>
            <w:r w:rsidR="00195072" w:rsidRPr="00DD21FA">
              <w:rPr>
                <w:bCs/>
                <w:sz w:val="24"/>
                <w:szCs w:val="24"/>
              </w:rPr>
              <w:t>. Savukārt pašnodarbināto personu minimālais iemaksu objekts ir noteikts Ministru kabineta 2008.gada 2.decembra noteikumos Nr.992 „Noteikumi par valsts sociālās apdrošināšanas obligāto iemaksu objekta minimālo apmēru un tā noteikšanas kārtību pašnodarbinātajam”. Tādējādi regulējums par iemaksu objekta minimālo un maksimālo apmēru ir s</w:t>
            </w:r>
            <w:r w:rsidR="00A849AC" w:rsidRPr="00DD21FA">
              <w:rPr>
                <w:bCs/>
                <w:sz w:val="24"/>
                <w:szCs w:val="24"/>
              </w:rPr>
              <w:t>adrumstalots</w:t>
            </w:r>
            <w:r w:rsidR="00195072" w:rsidRPr="00DD21FA">
              <w:rPr>
                <w:bCs/>
                <w:sz w:val="24"/>
                <w:szCs w:val="24"/>
              </w:rPr>
              <w:t xml:space="preserve">, un tas </w:t>
            </w:r>
            <w:r w:rsidR="00A849AC" w:rsidRPr="00DD21FA">
              <w:rPr>
                <w:bCs/>
                <w:sz w:val="24"/>
                <w:szCs w:val="24"/>
              </w:rPr>
              <w:t>apgrūtina tā piemērošanu un pārskatīšanu (t.sk. grozīšanu)</w:t>
            </w:r>
            <w:r w:rsidR="00195072" w:rsidRPr="00DD21FA">
              <w:rPr>
                <w:bCs/>
                <w:sz w:val="24"/>
                <w:szCs w:val="24"/>
              </w:rPr>
              <w:t xml:space="preserve">. Līdz ar to paredzēts iemaksu objekta minimālo apmēru pašnodarbinātām personām un brīvprātīgām personām ietvert vienā normatīvajā aktā, t.i., šajā noteikumu projektā.  </w:t>
            </w:r>
            <w:r w:rsidRPr="00DD21FA">
              <w:rPr>
                <w:sz w:val="24"/>
                <w:szCs w:val="24"/>
              </w:rPr>
              <w:t xml:space="preserve">    </w:t>
            </w:r>
          </w:p>
        </w:tc>
      </w:tr>
      <w:tr w:rsidR="00970D03" w:rsidRPr="007F1AF8" w:rsidTr="00130CD1">
        <w:tc>
          <w:tcPr>
            <w:tcW w:w="534" w:type="dxa"/>
          </w:tcPr>
          <w:p w:rsidR="00970D03" w:rsidRPr="007F1AF8" w:rsidRDefault="00970D03" w:rsidP="006F1D43">
            <w:r w:rsidRPr="007F1AF8">
              <w:lastRenderedPageBreak/>
              <w:t xml:space="preserve">3. </w:t>
            </w:r>
          </w:p>
        </w:tc>
        <w:tc>
          <w:tcPr>
            <w:tcW w:w="1795" w:type="dxa"/>
          </w:tcPr>
          <w:p w:rsidR="00970D03" w:rsidRPr="007F1AF8" w:rsidRDefault="00970D03" w:rsidP="006F1D43">
            <w:r w:rsidRPr="007F1AF8">
              <w:t>Saistītie politikas ietekmes novērtējumi un pētījumi</w:t>
            </w:r>
          </w:p>
        </w:tc>
        <w:tc>
          <w:tcPr>
            <w:tcW w:w="7135" w:type="dxa"/>
            <w:gridSpan w:val="2"/>
          </w:tcPr>
          <w:p w:rsidR="00970D03" w:rsidRPr="00DD21FA" w:rsidRDefault="00F26A0B" w:rsidP="006F1D43">
            <w:pPr>
              <w:autoSpaceDE w:val="0"/>
              <w:autoSpaceDN w:val="0"/>
              <w:adjustRightInd w:val="0"/>
            </w:pPr>
            <w:r w:rsidRPr="00DD21FA">
              <w:t>Pr</w:t>
            </w:r>
            <w:r w:rsidR="00C94AD7" w:rsidRPr="00DD21FA">
              <w:t>ojekts šo jomu neskar.</w:t>
            </w:r>
          </w:p>
        </w:tc>
      </w:tr>
      <w:tr w:rsidR="00970D03" w:rsidRPr="007F1AF8" w:rsidTr="00130CD1">
        <w:tc>
          <w:tcPr>
            <w:tcW w:w="534" w:type="dxa"/>
          </w:tcPr>
          <w:p w:rsidR="00970D03" w:rsidRPr="007F1AF8" w:rsidRDefault="00970D03" w:rsidP="006F1D43">
            <w:r w:rsidRPr="007F1AF8">
              <w:t>4.</w:t>
            </w:r>
          </w:p>
        </w:tc>
        <w:tc>
          <w:tcPr>
            <w:tcW w:w="1795" w:type="dxa"/>
          </w:tcPr>
          <w:p w:rsidR="00970D03" w:rsidRPr="007F1AF8" w:rsidRDefault="00970D03" w:rsidP="006F1D43">
            <w:r w:rsidRPr="007F1AF8">
              <w:t>Tiesiskā regulējuma mērķis un būtība</w:t>
            </w:r>
          </w:p>
        </w:tc>
        <w:tc>
          <w:tcPr>
            <w:tcW w:w="7135" w:type="dxa"/>
            <w:gridSpan w:val="2"/>
          </w:tcPr>
          <w:p w:rsidR="00F26A0B" w:rsidRDefault="00130CD1" w:rsidP="00C42C20">
            <w:pPr>
              <w:jc w:val="both"/>
            </w:pPr>
            <w:r>
              <w:t xml:space="preserve">      </w:t>
            </w:r>
            <w:r w:rsidR="00C42C20">
              <w:t>Noteikumu projekts izstrādāts, lai noteiktu iemaksu objekta maksimālo apmēru</w:t>
            </w:r>
            <w:r w:rsidR="0056018F">
              <w:t xml:space="preserve"> </w:t>
            </w:r>
            <w:r w:rsidR="00C17FCD">
              <w:t xml:space="preserve">kalendāra </w:t>
            </w:r>
            <w:r w:rsidR="0056018F">
              <w:t>gadam</w:t>
            </w:r>
            <w:r w:rsidR="00C42C20">
              <w:t xml:space="preserve">, kā arī lai noteiktu šā apmēra pārskatīšanas kārtību turpmākajiem gadiem. </w:t>
            </w:r>
          </w:p>
          <w:p w:rsidR="00C42C20" w:rsidRDefault="00F26A0B" w:rsidP="00C42C20">
            <w:pPr>
              <w:jc w:val="both"/>
            </w:pPr>
            <w:r>
              <w:t xml:space="preserve">      </w:t>
            </w:r>
            <w:r w:rsidR="00C42C20">
              <w:t xml:space="preserve">Noteikumu projekts paredz noteikt iemaksu objekta maksimālo apmēru </w:t>
            </w:r>
            <w:r w:rsidR="007D3535" w:rsidRPr="007D3535">
              <w:t>46</w:t>
            </w:r>
            <w:r w:rsidR="007D3535">
              <w:t> </w:t>
            </w:r>
            <w:r w:rsidR="007D3535" w:rsidRPr="007D3535">
              <w:t xml:space="preserve">400 eiro </w:t>
            </w:r>
            <w:r w:rsidR="007D3535">
              <w:t xml:space="preserve">(32 600 lati) </w:t>
            </w:r>
            <w:r w:rsidR="00C17FCD">
              <w:t xml:space="preserve">kalendāra </w:t>
            </w:r>
            <w:r w:rsidR="00C42C20">
              <w:t>gadā</w:t>
            </w:r>
            <w:r w:rsidR="00C03350">
              <w:t xml:space="preserve">, kas noteikts, </w:t>
            </w:r>
            <w:r w:rsidR="00C03350" w:rsidRPr="00047C53">
              <w:t xml:space="preserve">piemērojot 2008.gada iemaksu objekta maksimālajam apmēram </w:t>
            </w:r>
            <w:r w:rsidR="00047C53" w:rsidRPr="007D3535">
              <w:t>tautsaimniecībā nodarbināto mēneša vidējo bruto darba samaksas (faktiskajās cenās)</w:t>
            </w:r>
            <w:r w:rsidR="00047C53">
              <w:t xml:space="preserve"> </w:t>
            </w:r>
            <w:r w:rsidR="00C03350" w:rsidRPr="00047C53">
              <w:t>izmaiņu indeksus 2009.-2014.gadiem, kas aprēķināti, pamatojoties uz Finanšu ministrijas informāciju par faktisko un prognozēto darba samaksas pieaugumu</w:t>
            </w:r>
            <w:r w:rsidR="00C03350" w:rsidRPr="00047C53" w:rsidDel="00333115">
              <w:t xml:space="preserve"> </w:t>
            </w:r>
            <w:r w:rsidR="00C03350" w:rsidRPr="00047C53">
              <w:t>attiecīgajos gados</w:t>
            </w:r>
            <w:r w:rsidR="00047C53">
              <w:t>.</w:t>
            </w:r>
          </w:p>
          <w:p w:rsidR="00970D03" w:rsidRDefault="00130CD1" w:rsidP="00047C53">
            <w:pPr>
              <w:jc w:val="both"/>
            </w:pPr>
            <w:r>
              <w:lastRenderedPageBreak/>
              <w:t xml:space="preserve">       </w:t>
            </w:r>
            <w:r w:rsidR="00C94AD7">
              <w:t>I</w:t>
            </w:r>
            <w:r w:rsidR="00C42C20">
              <w:t xml:space="preserve">emaksu objekta maksimālais apmērs turpmāk </w:t>
            </w:r>
            <w:r w:rsidR="00047C53" w:rsidRPr="00047C53">
              <w:t>tiek noteikts, piemērojot iepriekšējā kalendāra gada iemaksu objekta maksimālajam apmēram tautsaimniecībā nodarbināto mēneša vidējo bruto darba samaksas (faktiskajās cenās) izmaiņu indeksu, kas aprēķināts, pamatojoties uz nākamajam kalendāra gadam Finanšu ministrijas prognozēto darba samaksas pieaugumu</w:t>
            </w:r>
            <w:r w:rsidR="00047C53" w:rsidRPr="003B1487">
              <w:t>.</w:t>
            </w:r>
            <w:r w:rsidR="00B63739" w:rsidRPr="003B1487">
              <w:t xml:space="preserve"> Šāda iemaksu objekta maksimālā apmēra aprēķina </w:t>
            </w:r>
            <w:r w:rsidR="00B63739" w:rsidRPr="00DD21FA">
              <w:rPr>
                <w:rFonts w:eastAsiaTheme="minorHAnsi"/>
                <w:color w:val="000000"/>
                <w:lang w:eastAsia="en-US"/>
              </w:rPr>
              <w:t>kārtība bija noteiktā laikā no 1999. līdz 2004.gadam un bija pamatota ar ekonomiskiem rādītājiem</w:t>
            </w:r>
            <w:r w:rsidR="00B63739">
              <w:rPr>
                <w:rFonts w:ascii="Helv" w:eastAsiaTheme="minorHAnsi" w:hAnsi="Helv" w:cs="Helv"/>
                <w:color w:val="000000"/>
                <w:sz w:val="20"/>
                <w:szCs w:val="20"/>
                <w:lang w:eastAsia="en-US"/>
              </w:rPr>
              <w:t xml:space="preserve">.  </w:t>
            </w:r>
          </w:p>
          <w:p w:rsidR="00C17FCD" w:rsidRDefault="00F26A0B" w:rsidP="00F26A0B">
            <w:pPr>
              <w:jc w:val="both"/>
            </w:pPr>
            <w:r>
              <w:t xml:space="preserve">      Noteikumu projekts paredz personām, kuras </w:t>
            </w:r>
            <w:r w:rsidRPr="00F26A0B">
              <w:t xml:space="preserve">kalendāra gadā </w:t>
            </w:r>
            <w:r>
              <w:t xml:space="preserve">ir </w:t>
            </w:r>
            <w:r w:rsidR="009367C6">
              <w:t>vairākos sociāli apdrošinātas personas statusos (</w:t>
            </w:r>
            <w:r w:rsidRPr="00F26A0B">
              <w:t>obligāti apdrošinātās personas statusā, brīvprātīgi apdrošinātās personas statusā</w:t>
            </w:r>
            <w:r w:rsidR="009367C6">
              <w:t>, mikrouzņēmuma darbinieka statusā)</w:t>
            </w:r>
            <w:r w:rsidRPr="00F26A0B">
              <w:t>, piemēro</w:t>
            </w:r>
            <w:r>
              <w:t>t</w:t>
            </w:r>
            <w:r w:rsidRPr="00F26A0B">
              <w:t xml:space="preserve"> vienu iemaksu objekta maksimālo apmēru</w:t>
            </w:r>
            <w:r>
              <w:t>.</w:t>
            </w:r>
          </w:p>
          <w:p w:rsidR="00F26A0B" w:rsidRPr="00F26A0B" w:rsidRDefault="00C17FCD" w:rsidP="00C17FCD">
            <w:pPr>
              <w:jc w:val="both"/>
            </w:pPr>
            <w:r>
              <w:t xml:space="preserve">     Noteikumu projekts paredz arī noteikt iemaksu objekta minimālo apmēru pašnodarbinātām personām un brīvprātīgo iemaksu objekta minimālo apmēru. </w:t>
            </w:r>
          </w:p>
        </w:tc>
      </w:tr>
      <w:tr w:rsidR="00970D03" w:rsidRPr="007F1AF8" w:rsidTr="00130CD1">
        <w:tc>
          <w:tcPr>
            <w:tcW w:w="534" w:type="dxa"/>
          </w:tcPr>
          <w:p w:rsidR="00970D03" w:rsidRPr="007F1AF8" w:rsidRDefault="00970D03" w:rsidP="006F1D43">
            <w:r w:rsidRPr="007F1AF8">
              <w:lastRenderedPageBreak/>
              <w:t>5.</w:t>
            </w:r>
          </w:p>
        </w:tc>
        <w:tc>
          <w:tcPr>
            <w:tcW w:w="1795" w:type="dxa"/>
          </w:tcPr>
          <w:p w:rsidR="00970D03" w:rsidRPr="007F1AF8" w:rsidRDefault="00970D03" w:rsidP="006F1D43">
            <w:r w:rsidRPr="007F1AF8">
              <w:t>Projekta izstrādē iesaistītās institūcijas</w:t>
            </w:r>
          </w:p>
        </w:tc>
        <w:tc>
          <w:tcPr>
            <w:tcW w:w="7135" w:type="dxa"/>
            <w:gridSpan w:val="2"/>
          </w:tcPr>
          <w:p w:rsidR="00970D03" w:rsidRPr="007F1AF8" w:rsidRDefault="00F26A0B" w:rsidP="006F1D43">
            <w:pPr>
              <w:jc w:val="both"/>
            </w:pPr>
            <w:r>
              <w:t>P</w:t>
            </w:r>
            <w:r w:rsidR="002D7DFD" w:rsidRPr="007F1AF8">
              <w:t>rojekts šo jomu neskar.</w:t>
            </w:r>
          </w:p>
        </w:tc>
      </w:tr>
      <w:tr w:rsidR="00970D03" w:rsidRPr="007F1AF8" w:rsidTr="00130CD1">
        <w:tc>
          <w:tcPr>
            <w:tcW w:w="534" w:type="dxa"/>
          </w:tcPr>
          <w:p w:rsidR="00970D03" w:rsidRPr="007F1AF8" w:rsidRDefault="00970D03" w:rsidP="006F1D43">
            <w:r w:rsidRPr="007F1AF8">
              <w:t>6.</w:t>
            </w:r>
          </w:p>
        </w:tc>
        <w:tc>
          <w:tcPr>
            <w:tcW w:w="1795" w:type="dxa"/>
          </w:tcPr>
          <w:p w:rsidR="00970D03" w:rsidRPr="007F1AF8" w:rsidRDefault="00970D03" w:rsidP="006F1D43">
            <w:r w:rsidRPr="007F1AF8">
              <w:t>Iemesli, kādēļ netika nodrošināta sabiedrības līdzdalība</w:t>
            </w:r>
          </w:p>
        </w:tc>
        <w:tc>
          <w:tcPr>
            <w:tcW w:w="7135" w:type="dxa"/>
            <w:gridSpan w:val="2"/>
          </w:tcPr>
          <w:p w:rsidR="00970D03" w:rsidRPr="007F1AF8" w:rsidRDefault="0056018F" w:rsidP="00864124">
            <w:pPr>
              <w:pStyle w:val="naiskr"/>
              <w:spacing w:before="0" w:after="0"/>
              <w:jc w:val="both"/>
            </w:pPr>
            <w:r>
              <w:t xml:space="preserve">Tā kā </w:t>
            </w:r>
            <w:r w:rsidRPr="00A102D7">
              <w:t>obligāt</w:t>
            </w:r>
            <w:r>
              <w:t xml:space="preserve">o </w:t>
            </w:r>
            <w:r w:rsidRPr="00A102D7">
              <w:t>un brīvprātīg</w:t>
            </w:r>
            <w:r>
              <w:t>o</w:t>
            </w:r>
            <w:r w:rsidRPr="00A102D7">
              <w:t xml:space="preserve"> iemaksu </w:t>
            </w:r>
            <w:r>
              <w:t>objekta maksimālo apmēru n</w:t>
            </w:r>
            <w:r w:rsidRPr="00A102D7">
              <w:t>osaka</w:t>
            </w:r>
            <w:r>
              <w:t xml:space="preserve">, ņemot vērā iepriekšējam kalendāra gadam un </w:t>
            </w:r>
            <w:r w:rsidRPr="00640562">
              <w:t>nākamajam kalendāra gadam Finanšu ministrijas prognozēt</w:t>
            </w:r>
            <w:r>
              <w:t xml:space="preserve">o </w:t>
            </w:r>
            <w:r w:rsidRPr="00640562">
              <w:t>darba samaksas pieaugum</w:t>
            </w:r>
            <w:r>
              <w:t xml:space="preserve">u un </w:t>
            </w:r>
            <w:r w:rsidR="00AB45B1" w:rsidRPr="00640562">
              <w:t>iepriekšējā kalendāra gada faktisk</w:t>
            </w:r>
            <w:r w:rsidR="00AB45B1">
              <w:t xml:space="preserve">o </w:t>
            </w:r>
            <w:r w:rsidR="00AB45B1" w:rsidRPr="00640562">
              <w:t>darba samaksas pieaugum</w:t>
            </w:r>
            <w:r w:rsidR="00AB45B1">
              <w:t>u, tad</w:t>
            </w:r>
            <w:r w:rsidRPr="00A102D7">
              <w:t xml:space="preserve"> noteikumu projekta izstrādes procesā nav iesaistīti sabiedrības pārstāvji, jo sabiedrības viedoklis nevar ietekmēt </w:t>
            </w:r>
            <w:r w:rsidR="00864124">
              <w:t xml:space="preserve">prognozēto darba samaksas pieaugumu. Vienlaikus noteikumu projektam nav </w:t>
            </w:r>
            <w:r w:rsidR="008E3382">
              <w:t xml:space="preserve">nepieciešama sabiedrības līdzdalība, jo noteikumu projekts pēc būtības nodrošina anotācijas I sadaļas 1.punktā minēto uzdevumu tehnisku izpildi. </w:t>
            </w:r>
          </w:p>
        </w:tc>
      </w:tr>
      <w:tr w:rsidR="00970D03" w:rsidRPr="007F1AF8" w:rsidTr="00130CD1">
        <w:tc>
          <w:tcPr>
            <w:tcW w:w="534" w:type="dxa"/>
          </w:tcPr>
          <w:p w:rsidR="00970D03" w:rsidRPr="007F1AF8" w:rsidRDefault="00970D03" w:rsidP="006F1D43">
            <w:r w:rsidRPr="007F1AF8">
              <w:t xml:space="preserve">7. </w:t>
            </w:r>
          </w:p>
        </w:tc>
        <w:tc>
          <w:tcPr>
            <w:tcW w:w="1795" w:type="dxa"/>
          </w:tcPr>
          <w:p w:rsidR="00970D03" w:rsidRPr="007F1AF8" w:rsidRDefault="00970D03" w:rsidP="006F1D43">
            <w:r w:rsidRPr="007F1AF8">
              <w:t>Cita informācija</w:t>
            </w:r>
          </w:p>
        </w:tc>
        <w:tc>
          <w:tcPr>
            <w:tcW w:w="7135" w:type="dxa"/>
            <w:gridSpan w:val="2"/>
          </w:tcPr>
          <w:p w:rsidR="00970D03" w:rsidRPr="007F1AF8" w:rsidRDefault="00970D03" w:rsidP="006F1D43">
            <w:pPr>
              <w:jc w:val="both"/>
            </w:pPr>
          </w:p>
        </w:tc>
      </w:tr>
      <w:tr w:rsidR="00970D03" w:rsidRPr="007F1AF8" w:rsidTr="003B30F4">
        <w:tc>
          <w:tcPr>
            <w:tcW w:w="9464" w:type="dxa"/>
            <w:gridSpan w:val="4"/>
          </w:tcPr>
          <w:p w:rsidR="00130CD1" w:rsidRDefault="00130CD1" w:rsidP="006F1D43">
            <w:pPr>
              <w:jc w:val="center"/>
              <w:rPr>
                <w:b/>
              </w:rPr>
            </w:pPr>
          </w:p>
          <w:p w:rsidR="00970D03" w:rsidRPr="007F1AF8" w:rsidRDefault="00970D03" w:rsidP="006F1D43">
            <w:pPr>
              <w:jc w:val="center"/>
              <w:rPr>
                <w:b/>
              </w:rPr>
            </w:pPr>
            <w:r w:rsidRPr="007F1AF8">
              <w:rPr>
                <w:b/>
              </w:rPr>
              <w:t>II Tiesību akta projekta ietekme uz sabiedrību</w:t>
            </w:r>
          </w:p>
        </w:tc>
      </w:tr>
      <w:tr w:rsidR="00970D03" w:rsidRPr="007F1AF8" w:rsidTr="003B30F4">
        <w:tc>
          <w:tcPr>
            <w:tcW w:w="534" w:type="dxa"/>
          </w:tcPr>
          <w:p w:rsidR="00970D03" w:rsidRPr="007F1AF8" w:rsidRDefault="00970D03" w:rsidP="006F1D43">
            <w:r w:rsidRPr="007F1AF8">
              <w:t>1.</w:t>
            </w:r>
          </w:p>
        </w:tc>
        <w:tc>
          <w:tcPr>
            <w:tcW w:w="2078" w:type="dxa"/>
            <w:gridSpan w:val="2"/>
          </w:tcPr>
          <w:p w:rsidR="00970D03" w:rsidRPr="007F1AF8" w:rsidRDefault="00970D03" w:rsidP="006F1D43">
            <w:r w:rsidRPr="007F1AF8">
              <w:t>Sabiedrības mērķgrupa</w:t>
            </w:r>
          </w:p>
        </w:tc>
        <w:tc>
          <w:tcPr>
            <w:tcW w:w="6852" w:type="dxa"/>
          </w:tcPr>
          <w:p w:rsidR="00970D03" w:rsidRPr="007F1AF8" w:rsidRDefault="002D7DFD" w:rsidP="00864124">
            <w:pPr>
              <w:jc w:val="both"/>
            </w:pPr>
            <w:r>
              <w:t xml:space="preserve">Pēc </w:t>
            </w:r>
            <w:r w:rsidR="00864124">
              <w:t xml:space="preserve">Valsts sociālās apdrošināšanas aģentūras (turpmāk – VSAA) </w:t>
            </w:r>
            <w:r>
              <w:t>datiem par 2012.gadu (d</w:t>
            </w:r>
            <w:r w:rsidRPr="00783BE2">
              <w:t>ati ir iegūti ar sagatavošanas periodu 2013.gada augusts</w:t>
            </w:r>
            <w:r>
              <w:t>), sociāli apdrošināto personu</w:t>
            </w:r>
            <w:r w:rsidRPr="00783BE2">
              <w:t xml:space="preserve"> ar iemaksu algu summu gadā </w:t>
            </w:r>
            <w:r>
              <w:t>virs 32 600 latiem skaits bija 4 259 personas (0.4% no kopējā apdrošināto personu skaita), un šo personu vidējā gada iemaksu algu summa bija 52 520 lati.</w:t>
            </w:r>
          </w:p>
        </w:tc>
      </w:tr>
      <w:tr w:rsidR="00970D03" w:rsidRPr="007F1AF8" w:rsidTr="003B30F4">
        <w:tc>
          <w:tcPr>
            <w:tcW w:w="534" w:type="dxa"/>
          </w:tcPr>
          <w:p w:rsidR="00970D03" w:rsidRPr="007F1AF8" w:rsidRDefault="00970D03" w:rsidP="006F1D43">
            <w:r w:rsidRPr="007F1AF8">
              <w:t xml:space="preserve">2. </w:t>
            </w:r>
          </w:p>
        </w:tc>
        <w:tc>
          <w:tcPr>
            <w:tcW w:w="2078" w:type="dxa"/>
            <w:gridSpan w:val="2"/>
          </w:tcPr>
          <w:p w:rsidR="00970D03" w:rsidRPr="007F1AF8" w:rsidRDefault="00970D03" w:rsidP="006F1D43">
            <w:pPr>
              <w:jc w:val="both"/>
            </w:pPr>
            <w:r w:rsidRPr="007F1AF8">
              <w:t>Citas sabiedrības grupas (bez mērķgrupas), kuras tiesiskais regulējuma arī ietekmē vai varētu ietekmēt</w:t>
            </w:r>
          </w:p>
        </w:tc>
        <w:tc>
          <w:tcPr>
            <w:tcW w:w="6852" w:type="dxa"/>
          </w:tcPr>
          <w:p w:rsidR="00970D03" w:rsidRPr="007F1AF8" w:rsidRDefault="00BA5EBE" w:rsidP="00BA5EBE">
            <w:pPr>
              <w:jc w:val="both"/>
              <w:rPr>
                <w:highlight w:val="yellow"/>
              </w:rPr>
            </w:pPr>
            <w:r>
              <w:t>P</w:t>
            </w:r>
            <w:r w:rsidR="00970D03" w:rsidRPr="007F1AF8">
              <w:t>rojekts šo jomu neskar.</w:t>
            </w:r>
          </w:p>
        </w:tc>
      </w:tr>
      <w:tr w:rsidR="00970D03" w:rsidRPr="007F1AF8" w:rsidTr="003B30F4">
        <w:tc>
          <w:tcPr>
            <w:tcW w:w="534" w:type="dxa"/>
          </w:tcPr>
          <w:p w:rsidR="00970D03" w:rsidRPr="007F1AF8" w:rsidRDefault="00970D03" w:rsidP="006F1D43">
            <w:r w:rsidRPr="007F1AF8">
              <w:t xml:space="preserve">3. </w:t>
            </w:r>
          </w:p>
        </w:tc>
        <w:tc>
          <w:tcPr>
            <w:tcW w:w="2078" w:type="dxa"/>
            <w:gridSpan w:val="2"/>
          </w:tcPr>
          <w:p w:rsidR="00970D03" w:rsidRPr="007F1AF8" w:rsidRDefault="00970D03" w:rsidP="006F1D43">
            <w:pPr>
              <w:jc w:val="both"/>
            </w:pPr>
            <w:r w:rsidRPr="007F1AF8">
              <w:t>Tiesiskā regulējuma finansiālā ietekme</w:t>
            </w:r>
          </w:p>
        </w:tc>
        <w:tc>
          <w:tcPr>
            <w:tcW w:w="6852" w:type="dxa"/>
          </w:tcPr>
          <w:p w:rsidR="00970D03" w:rsidRPr="007F1AF8" w:rsidRDefault="000C3B34" w:rsidP="008C1F59">
            <w:pPr>
              <w:jc w:val="both"/>
            </w:pPr>
            <w:r>
              <w:t>Iemaksu</w:t>
            </w:r>
            <w:r w:rsidRPr="00E25CDC">
              <w:t xml:space="preserve"> </w:t>
            </w:r>
            <w:r>
              <w:t xml:space="preserve">objekta maksimālā apmēra atjaunošanai ir negatīva finansiāla ietekme </w:t>
            </w:r>
            <w:r w:rsidRPr="00E25CDC">
              <w:t>uz speciālā budžeta ieņēmumu daļu</w:t>
            </w:r>
            <w:r>
              <w:t xml:space="preserve"> un iemaksām valsts fondēto pensiju shēmā</w:t>
            </w:r>
            <w:r w:rsidRPr="00E25CDC">
              <w:t xml:space="preserve">, </w:t>
            </w:r>
            <w:r>
              <w:t>bet vienlaikus ir pozitīva ietekme uz valsts pamatbudžeta ieņēmuma daļu, konkrēti - uz ieņēmumiem no iedzīvotāju ienākuma nodokļa.</w:t>
            </w:r>
          </w:p>
        </w:tc>
      </w:tr>
      <w:tr w:rsidR="00970D03" w:rsidRPr="007F1AF8" w:rsidTr="003B30F4">
        <w:tc>
          <w:tcPr>
            <w:tcW w:w="534" w:type="dxa"/>
          </w:tcPr>
          <w:p w:rsidR="00970D03" w:rsidRPr="007F1AF8" w:rsidRDefault="00970D03" w:rsidP="006F1D43">
            <w:r w:rsidRPr="007F1AF8">
              <w:t>4.</w:t>
            </w:r>
          </w:p>
        </w:tc>
        <w:tc>
          <w:tcPr>
            <w:tcW w:w="2078" w:type="dxa"/>
            <w:gridSpan w:val="2"/>
          </w:tcPr>
          <w:p w:rsidR="00970D03" w:rsidRPr="007F1AF8" w:rsidRDefault="00970D03" w:rsidP="006F1D43">
            <w:r w:rsidRPr="007F1AF8">
              <w:t xml:space="preserve">Tiesiskā </w:t>
            </w:r>
            <w:r w:rsidRPr="007F1AF8">
              <w:lastRenderedPageBreak/>
              <w:t>regulējuma nefinansiālā ietekme</w:t>
            </w:r>
          </w:p>
        </w:tc>
        <w:tc>
          <w:tcPr>
            <w:tcW w:w="6852" w:type="dxa"/>
          </w:tcPr>
          <w:p w:rsidR="00970D03" w:rsidRPr="007F1AF8" w:rsidRDefault="0006449C" w:rsidP="006F1D43">
            <w:pPr>
              <w:jc w:val="both"/>
            </w:pPr>
            <w:r>
              <w:rPr>
                <w:color w:val="000000"/>
              </w:rPr>
              <w:lastRenderedPageBreak/>
              <w:t>I</w:t>
            </w:r>
            <w:r w:rsidRPr="00885320">
              <w:rPr>
                <w:color w:val="000000"/>
              </w:rPr>
              <w:t xml:space="preserve">emaksu veikšana nodrošina personas tiesības uz sociālās </w:t>
            </w:r>
            <w:r w:rsidRPr="00885320">
              <w:rPr>
                <w:color w:val="000000"/>
              </w:rPr>
              <w:lastRenderedPageBreak/>
              <w:t>apdrošināšanas pensijām un pabalstiem, garantējot aizsardzību noteiktu sociālo risku iestāšanās gadījumā.</w:t>
            </w:r>
          </w:p>
        </w:tc>
      </w:tr>
      <w:tr w:rsidR="00970D03" w:rsidRPr="007F1AF8" w:rsidTr="003B30F4">
        <w:tc>
          <w:tcPr>
            <w:tcW w:w="534" w:type="dxa"/>
          </w:tcPr>
          <w:p w:rsidR="00970D03" w:rsidRPr="007F1AF8" w:rsidRDefault="00970D03" w:rsidP="006F1D43">
            <w:r w:rsidRPr="007F1AF8">
              <w:lastRenderedPageBreak/>
              <w:t>5.</w:t>
            </w:r>
          </w:p>
        </w:tc>
        <w:tc>
          <w:tcPr>
            <w:tcW w:w="2078" w:type="dxa"/>
            <w:gridSpan w:val="2"/>
          </w:tcPr>
          <w:p w:rsidR="00970D03" w:rsidRPr="007F1AF8" w:rsidRDefault="00970D03" w:rsidP="006F1D43">
            <w:r w:rsidRPr="007F1AF8">
              <w:t>Administratīvās procedūras raksturojums</w:t>
            </w:r>
          </w:p>
        </w:tc>
        <w:tc>
          <w:tcPr>
            <w:tcW w:w="6852" w:type="dxa"/>
          </w:tcPr>
          <w:p w:rsidR="00970D03" w:rsidRPr="00B47119" w:rsidRDefault="000C3B34" w:rsidP="000C3B34">
            <w:pPr>
              <w:pStyle w:val="BodyText"/>
              <w:spacing w:after="0"/>
              <w:rPr>
                <w:highlight w:val="yellow"/>
                <w:lang w:val="lv-LV"/>
              </w:rPr>
            </w:pPr>
            <w:proofErr w:type="spellStart"/>
            <w:r w:rsidRPr="007F1AF8">
              <w:t>Projekts</w:t>
            </w:r>
            <w:proofErr w:type="spellEnd"/>
            <w:r w:rsidRPr="007F1AF8">
              <w:t xml:space="preserve"> </w:t>
            </w:r>
            <w:proofErr w:type="spellStart"/>
            <w:r w:rsidRPr="007F1AF8">
              <w:t>šo</w:t>
            </w:r>
            <w:proofErr w:type="spellEnd"/>
            <w:r w:rsidRPr="007F1AF8">
              <w:t xml:space="preserve"> </w:t>
            </w:r>
            <w:proofErr w:type="spellStart"/>
            <w:r w:rsidRPr="007F1AF8">
              <w:t>jomu</w:t>
            </w:r>
            <w:proofErr w:type="spellEnd"/>
            <w:r w:rsidRPr="007F1AF8">
              <w:t xml:space="preserve"> </w:t>
            </w:r>
            <w:proofErr w:type="spellStart"/>
            <w:r w:rsidRPr="007F1AF8">
              <w:t>neskar</w:t>
            </w:r>
            <w:proofErr w:type="spellEnd"/>
            <w:r w:rsidRPr="007F1AF8">
              <w:t>.</w:t>
            </w:r>
          </w:p>
        </w:tc>
      </w:tr>
      <w:tr w:rsidR="00970D03" w:rsidRPr="007F1AF8" w:rsidTr="003B30F4">
        <w:tc>
          <w:tcPr>
            <w:tcW w:w="534" w:type="dxa"/>
          </w:tcPr>
          <w:p w:rsidR="00970D03" w:rsidRPr="007F1AF8" w:rsidRDefault="00970D03" w:rsidP="006F1D43">
            <w:r w:rsidRPr="007F1AF8">
              <w:t>6.</w:t>
            </w:r>
          </w:p>
        </w:tc>
        <w:tc>
          <w:tcPr>
            <w:tcW w:w="2078" w:type="dxa"/>
            <w:gridSpan w:val="2"/>
          </w:tcPr>
          <w:p w:rsidR="00970D03" w:rsidRPr="007F1AF8" w:rsidRDefault="00970D03" w:rsidP="006F1D43">
            <w:r w:rsidRPr="007F1AF8">
              <w:t>Administratīvo izmaksu monetārs novērtējums</w:t>
            </w:r>
          </w:p>
        </w:tc>
        <w:tc>
          <w:tcPr>
            <w:tcW w:w="6852" w:type="dxa"/>
          </w:tcPr>
          <w:p w:rsidR="00970D03" w:rsidRPr="00B47119" w:rsidRDefault="000C3B34" w:rsidP="006F1D43">
            <w:pPr>
              <w:pStyle w:val="BodyText"/>
              <w:spacing w:after="0"/>
              <w:jc w:val="both"/>
              <w:rPr>
                <w:lang w:val="lv-LV"/>
              </w:rPr>
            </w:pPr>
            <w:proofErr w:type="spellStart"/>
            <w:r w:rsidRPr="007F1AF8">
              <w:t>Projekts</w:t>
            </w:r>
            <w:proofErr w:type="spellEnd"/>
            <w:r w:rsidRPr="007F1AF8">
              <w:t xml:space="preserve"> </w:t>
            </w:r>
            <w:proofErr w:type="spellStart"/>
            <w:r w:rsidRPr="007F1AF8">
              <w:t>šo</w:t>
            </w:r>
            <w:proofErr w:type="spellEnd"/>
            <w:r w:rsidRPr="007F1AF8">
              <w:t xml:space="preserve"> </w:t>
            </w:r>
            <w:proofErr w:type="spellStart"/>
            <w:r w:rsidRPr="007F1AF8">
              <w:t>jomu</w:t>
            </w:r>
            <w:proofErr w:type="spellEnd"/>
            <w:r w:rsidRPr="007F1AF8">
              <w:t xml:space="preserve"> </w:t>
            </w:r>
            <w:proofErr w:type="spellStart"/>
            <w:r w:rsidRPr="007F1AF8">
              <w:t>neskar</w:t>
            </w:r>
            <w:proofErr w:type="spellEnd"/>
            <w:r w:rsidRPr="007F1AF8">
              <w:t>.</w:t>
            </w:r>
          </w:p>
        </w:tc>
      </w:tr>
      <w:tr w:rsidR="00970D03" w:rsidRPr="007F1AF8" w:rsidTr="003B30F4">
        <w:tc>
          <w:tcPr>
            <w:tcW w:w="534" w:type="dxa"/>
          </w:tcPr>
          <w:p w:rsidR="00970D03" w:rsidRPr="007F1AF8" w:rsidRDefault="00970D03" w:rsidP="006F1D43">
            <w:r w:rsidRPr="007F1AF8">
              <w:t xml:space="preserve">7. </w:t>
            </w:r>
          </w:p>
        </w:tc>
        <w:tc>
          <w:tcPr>
            <w:tcW w:w="2078" w:type="dxa"/>
            <w:gridSpan w:val="2"/>
          </w:tcPr>
          <w:p w:rsidR="00970D03" w:rsidRPr="007F1AF8" w:rsidRDefault="00970D03" w:rsidP="006F1D43">
            <w:r w:rsidRPr="007F1AF8">
              <w:t>Cita informācija</w:t>
            </w:r>
          </w:p>
        </w:tc>
        <w:tc>
          <w:tcPr>
            <w:tcW w:w="6852" w:type="dxa"/>
          </w:tcPr>
          <w:p w:rsidR="00970D03" w:rsidRPr="007F1AF8" w:rsidRDefault="00970D03" w:rsidP="006F1D43">
            <w:pPr>
              <w:jc w:val="both"/>
            </w:pPr>
            <w:r w:rsidRPr="007F1AF8">
              <w:t>Nav</w:t>
            </w:r>
          </w:p>
        </w:tc>
      </w:tr>
      <w:tr w:rsidR="003B30F4" w:rsidRPr="00B56D70" w:rsidTr="003B30F4">
        <w:tc>
          <w:tcPr>
            <w:tcW w:w="9464" w:type="dxa"/>
            <w:gridSpan w:val="4"/>
          </w:tcPr>
          <w:p w:rsidR="00B46DC0" w:rsidRPr="009367C6" w:rsidRDefault="00B46DC0" w:rsidP="00B46DC0"/>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8"/>
              <w:gridCol w:w="1583"/>
              <w:gridCol w:w="1490"/>
              <w:gridCol w:w="1471"/>
              <w:gridCol w:w="1515"/>
              <w:gridCol w:w="1520"/>
            </w:tblGrid>
            <w:tr w:rsidR="00B46DC0" w:rsidRPr="009367C6" w:rsidTr="00871467">
              <w:tc>
                <w:tcPr>
                  <w:tcW w:w="9287" w:type="dxa"/>
                  <w:gridSpan w:val="6"/>
                  <w:shd w:val="clear" w:color="auto" w:fill="auto"/>
                </w:tcPr>
                <w:p w:rsidR="00B46DC0" w:rsidRPr="009367C6" w:rsidRDefault="00B46DC0" w:rsidP="006F1D43">
                  <w:pPr>
                    <w:jc w:val="center"/>
                  </w:pPr>
                  <w:r w:rsidRPr="0093577A">
                    <w:br w:type="page"/>
                  </w:r>
                  <w:r w:rsidRPr="00D4449D">
                    <w:rPr>
                      <w:b/>
                    </w:rPr>
                    <w:t>III</w:t>
                  </w:r>
                  <w:r w:rsidRPr="00D4449D">
                    <w:t xml:space="preserve"> </w:t>
                  </w:r>
                  <w:r w:rsidRPr="009367C6">
                    <w:rPr>
                      <w:b/>
                      <w:bCs/>
                    </w:rPr>
                    <w:t xml:space="preserve">Tiesību </w:t>
                  </w:r>
                  <w:smartTag w:uri="schemas-tilde-lv/tildestengine" w:element="veidnes">
                    <w:smartTagPr>
                      <w:attr w:name="baseform" w:val="akt|s"/>
                      <w:attr w:name="id" w:val="-1"/>
                      <w:attr w:name="text" w:val="akta"/>
                    </w:smartTagPr>
                    <w:r w:rsidRPr="009367C6">
                      <w:rPr>
                        <w:b/>
                        <w:bCs/>
                      </w:rPr>
                      <w:t>akta</w:t>
                    </w:r>
                  </w:smartTag>
                  <w:r w:rsidRPr="009367C6">
                    <w:rPr>
                      <w:b/>
                      <w:bCs/>
                    </w:rPr>
                    <w:t xml:space="preserve"> projekta ietekme uz valsts budžetu un pašvaldību budžetiem</w:t>
                  </w:r>
                </w:p>
              </w:tc>
            </w:tr>
            <w:tr w:rsidR="00B46DC0" w:rsidRPr="009367C6" w:rsidTr="00871467">
              <w:tc>
                <w:tcPr>
                  <w:tcW w:w="4781" w:type="dxa"/>
                  <w:gridSpan w:val="3"/>
                  <w:shd w:val="clear" w:color="auto" w:fill="auto"/>
                </w:tcPr>
                <w:p w:rsidR="00B46DC0" w:rsidRPr="009367C6" w:rsidRDefault="00B46DC0" w:rsidP="006F1D43">
                  <w:pPr>
                    <w:jc w:val="center"/>
                  </w:pPr>
                </w:p>
              </w:tc>
              <w:tc>
                <w:tcPr>
                  <w:tcW w:w="4506" w:type="dxa"/>
                  <w:gridSpan w:val="3"/>
                  <w:shd w:val="clear" w:color="auto" w:fill="auto"/>
                  <w:vAlign w:val="center"/>
                </w:tcPr>
                <w:p w:rsidR="00B46DC0" w:rsidRPr="009367C6" w:rsidRDefault="00B46DC0" w:rsidP="00A62E8A">
                  <w:pPr>
                    <w:jc w:val="center"/>
                  </w:pPr>
                  <w:r w:rsidRPr="009367C6">
                    <w:t xml:space="preserve">(tūkst. </w:t>
                  </w:r>
                  <w:proofErr w:type="spellStart"/>
                  <w:r w:rsidR="00A62E8A" w:rsidRPr="00B1397A">
                    <w:t>euro</w:t>
                  </w:r>
                  <w:proofErr w:type="spellEnd"/>
                  <w:r w:rsidRPr="009367C6">
                    <w:t>)</w:t>
                  </w:r>
                </w:p>
              </w:tc>
            </w:tr>
            <w:tr w:rsidR="00B46DC0" w:rsidRPr="009367C6" w:rsidTr="00871467">
              <w:tc>
                <w:tcPr>
                  <w:tcW w:w="1708" w:type="dxa"/>
                  <w:vMerge w:val="restart"/>
                  <w:shd w:val="clear" w:color="auto" w:fill="auto"/>
                  <w:vAlign w:val="center"/>
                </w:tcPr>
                <w:p w:rsidR="00B46DC0" w:rsidRPr="009367C6" w:rsidRDefault="00B46DC0" w:rsidP="006F1D43">
                  <w:pPr>
                    <w:jc w:val="center"/>
                  </w:pPr>
                  <w:r w:rsidRPr="009367C6">
                    <w:rPr>
                      <w:b/>
                    </w:rPr>
                    <w:t>Rādītāji</w:t>
                  </w:r>
                </w:p>
              </w:tc>
              <w:tc>
                <w:tcPr>
                  <w:tcW w:w="3073" w:type="dxa"/>
                  <w:gridSpan w:val="2"/>
                  <w:vMerge w:val="restart"/>
                  <w:shd w:val="clear" w:color="auto" w:fill="auto"/>
                  <w:vAlign w:val="center"/>
                </w:tcPr>
                <w:p w:rsidR="00B46DC0" w:rsidRPr="009367C6" w:rsidRDefault="00B46DC0" w:rsidP="006F1D43">
                  <w:pPr>
                    <w:jc w:val="center"/>
                  </w:pPr>
                  <w:r w:rsidRPr="009367C6">
                    <w:rPr>
                      <w:b/>
                    </w:rPr>
                    <w:t>2013</w:t>
                  </w:r>
                </w:p>
              </w:tc>
              <w:tc>
                <w:tcPr>
                  <w:tcW w:w="4506" w:type="dxa"/>
                  <w:gridSpan w:val="3"/>
                  <w:shd w:val="clear" w:color="auto" w:fill="auto"/>
                  <w:vAlign w:val="center"/>
                </w:tcPr>
                <w:p w:rsidR="00B46DC0" w:rsidRPr="009367C6" w:rsidRDefault="00B46DC0" w:rsidP="006F1D43">
                  <w:pPr>
                    <w:jc w:val="center"/>
                  </w:pPr>
                  <w:r w:rsidRPr="009367C6">
                    <w:t>Turpmākie trīs gadi</w:t>
                  </w:r>
                </w:p>
              </w:tc>
            </w:tr>
            <w:tr w:rsidR="00B46DC0" w:rsidRPr="009367C6" w:rsidTr="00871467">
              <w:tc>
                <w:tcPr>
                  <w:tcW w:w="1708" w:type="dxa"/>
                  <w:vMerge/>
                  <w:shd w:val="clear" w:color="auto" w:fill="auto"/>
                </w:tcPr>
                <w:p w:rsidR="00B46DC0" w:rsidRPr="009367C6" w:rsidRDefault="00B46DC0" w:rsidP="006F1D43">
                  <w:pPr>
                    <w:jc w:val="center"/>
                  </w:pPr>
                </w:p>
              </w:tc>
              <w:tc>
                <w:tcPr>
                  <w:tcW w:w="3073" w:type="dxa"/>
                  <w:gridSpan w:val="2"/>
                  <w:vMerge/>
                  <w:shd w:val="clear" w:color="auto" w:fill="auto"/>
                </w:tcPr>
                <w:p w:rsidR="00B46DC0" w:rsidRPr="009367C6" w:rsidRDefault="00B46DC0" w:rsidP="006F1D43">
                  <w:pPr>
                    <w:jc w:val="center"/>
                    <w:rPr>
                      <w:b/>
                    </w:rPr>
                  </w:pPr>
                </w:p>
              </w:tc>
              <w:tc>
                <w:tcPr>
                  <w:tcW w:w="1471" w:type="dxa"/>
                  <w:shd w:val="clear" w:color="auto" w:fill="auto"/>
                  <w:vAlign w:val="bottom"/>
                </w:tcPr>
                <w:p w:rsidR="00B46DC0" w:rsidRPr="009367C6" w:rsidRDefault="00B46DC0" w:rsidP="006F1D43">
                  <w:pPr>
                    <w:pStyle w:val="naisf"/>
                    <w:spacing w:before="0" w:after="0"/>
                    <w:ind w:firstLine="0"/>
                    <w:jc w:val="center"/>
                    <w:rPr>
                      <w:b/>
                      <w:i/>
                    </w:rPr>
                  </w:pPr>
                  <w:r w:rsidRPr="009367C6">
                    <w:rPr>
                      <w:b/>
                      <w:bCs/>
                    </w:rPr>
                    <w:t>2014</w:t>
                  </w:r>
                </w:p>
              </w:tc>
              <w:tc>
                <w:tcPr>
                  <w:tcW w:w="1515" w:type="dxa"/>
                  <w:shd w:val="clear" w:color="auto" w:fill="auto"/>
                  <w:vAlign w:val="bottom"/>
                </w:tcPr>
                <w:p w:rsidR="00B46DC0" w:rsidRPr="009367C6" w:rsidRDefault="00B46DC0" w:rsidP="006F1D43">
                  <w:pPr>
                    <w:pStyle w:val="naisf"/>
                    <w:spacing w:before="0" w:after="0"/>
                    <w:ind w:firstLine="0"/>
                    <w:jc w:val="center"/>
                    <w:rPr>
                      <w:b/>
                      <w:i/>
                    </w:rPr>
                  </w:pPr>
                  <w:r w:rsidRPr="009367C6">
                    <w:rPr>
                      <w:b/>
                      <w:bCs/>
                    </w:rPr>
                    <w:t>2015</w:t>
                  </w:r>
                </w:p>
              </w:tc>
              <w:tc>
                <w:tcPr>
                  <w:tcW w:w="1520" w:type="dxa"/>
                  <w:shd w:val="clear" w:color="auto" w:fill="auto"/>
                  <w:vAlign w:val="bottom"/>
                </w:tcPr>
                <w:p w:rsidR="00B46DC0" w:rsidRPr="009367C6" w:rsidRDefault="00B46DC0" w:rsidP="006F1D43">
                  <w:pPr>
                    <w:pStyle w:val="naisf"/>
                    <w:spacing w:before="0" w:after="0"/>
                    <w:ind w:firstLine="0"/>
                    <w:jc w:val="center"/>
                    <w:rPr>
                      <w:b/>
                      <w:i/>
                    </w:rPr>
                  </w:pPr>
                  <w:r w:rsidRPr="009367C6">
                    <w:rPr>
                      <w:b/>
                      <w:bCs/>
                    </w:rPr>
                    <w:t>2016</w:t>
                  </w:r>
                </w:p>
              </w:tc>
            </w:tr>
            <w:tr w:rsidR="00B46DC0" w:rsidRPr="009367C6" w:rsidTr="00871467">
              <w:tc>
                <w:tcPr>
                  <w:tcW w:w="1708" w:type="dxa"/>
                  <w:vMerge/>
                  <w:shd w:val="clear" w:color="auto" w:fill="auto"/>
                  <w:vAlign w:val="bottom"/>
                </w:tcPr>
                <w:p w:rsidR="00B46DC0" w:rsidRPr="009367C6" w:rsidRDefault="00B46DC0" w:rsidP="006F1D43">
                  <w:pPr>
                    <w:jc w:val="center"/>
                  </w:pPr>
                </w:p>
              </w:tc>
              <w:tc>
                <w:tcPr>
                  <w:tcW w:w="1583" w:type="dxa"/>
                  <w:shd w:val="clear" w:color="auto" w:fill="auto"/>
                  <w:vAlign w:val="bottom"/>
                </w:tcPr>
                <w:p w:rsidR="00B46DC0" w:rsidRPr="009367C6" w:rsidRDefault="00B46DC0" w:rsidP="006F1D43">
                  <w:pPr>
                    <w:jc w:val="center"/>
                  </w:pPr>
                  <w:r w:rsidRPr="009367C6">
                    <w:t>Saskaņā ar valsts budžetu kārtējam gadam</w:t>
                  </w:r>
                </w:p>
              </w:tc>
              <w:tc>
                <w:tcPr>
                  <w:tcW w:w="1490" w:type="dxa"/>
                  <w:shd w:val="clear" w:color="auto" w:fill="auto"/>
                  <w:vAlign w:val="bottom"/>
                </w:tcPr>
                <w:p w:rsidR="00B46DC0" w:rsidRPr="009367C6" w:rsidRDefault="00B46DC0" w:rsidP="006F1D43">
                  <w:pPr>
                    <w:jc w:val="center"/>
                  </w:pPr>
                  <w:r w:rsidRPr="009367C6">
                    <w:t>Izmaiņas kārtējā gadā salīdzinot ar budžetu kārtējam gadam</w:t>
                  </w:r>
                </w:p>
              </w:tc>
              <w:tc>
                <w:tcPr>
                  <w:tcW w:w="1471" w:type="dxa"/>
                  <w:shd w:val="clear" w:color="auto" w:fill="auto"/>
                  <w:vAlign w:val="bottom"/>
                </w:tcPr>
                <w:p w:rsidR="00B46DC0" w:rsidRPr="009367C6" w:rsidRDefault="00B46DC0" w:rsidP="006F1D43">
                  <w:pPr>
                    <w:jc w:val="center"/>
                  </w:pPr>
                  <w:r w:rsidRPr="009367C6">
                    <w:t>Izmaiņas salīdzinot ar kārtējo (n) gadu</w:t>
                  </w:r>
                </w:p>
              </w:tc>
              <w:tc>
                <w:tcPr>
                  <w:tcW w:w="1515" w:type="dxa"/>
                  <w:shd w:val="clear" w:color="auto" w:fill="auto"/>
                  <w:vAlign w:val="bottom"/>
                </w:tcPr>
                <w:p w:rsidR="00B46DC0" w:rsidRPr="009367C6" w:rsidRDefault="00B46DC0" w:rsidP="006F1D43">
                  <w:pPr>
                    <w:jc w:val="center"/>
                  </w:pPr>
                  <w:r w:rsidRPr="009367C6">
                    <w:t>Izmaiņas salīdzinot ar kārtējo (n) gadu</w:t>
                  </w:r>
                </w:p>
              </w:tc>
              <w:tc>
                <w:tcPr>
                  <w:tcW w:w="1520" w:type="dxa"/>
                  <w:shd w:val="clear" w:color="auto" w:fill="auto"/>
                  <w:vAlign w:val="bottom"/>
                </w:tcPr>
                <w:p w:rsidR="00B46DC0" w:rsidRPr="009367C6" w:rsidRDefault="00B46DC0" w:rsidP="006F1D43">
                  <w:pPr>
                    <w:jc w:val="center"/>
                  </w:pPr>
                  <w:r w:rsidRPr="009367C6">
                    <w:t>Izmaiņas salīdzinot ar kārtējo (n) gadu</w:t>
                  </w:r>
                </w:p>
              </w:tc>
            </w:tr>
            <w:tr w:rsidR="00B46DC0" w:rsidRPr="009367C6" w:rsidTr="00871467">
              <w:tc>
                <w:tcPr>
                  <w:tcW w:w="1708" w:type="dxa"/>
                  <w:shd w:val="clear" w:color="auto" w:fill="auto"/>
                </w:tcPr>
                <w:p w:rsidR="00B46DC0" w:rsidRPr="009367C6" w:rsidRDefault="00B46DC0" w:rsidP="006F1D43">
                  <w:pPr>
                    <w:pStyle w:val="naisf"/>
                    <w:spacing w:before="0" w:after="0"/>
                    <w:ind w:firstLine="0"/>
                    <w:jc w:val="center"/>
                    <w:rPr>
                      <w:b/>
                    </w:rPr>
                  </w:pPr>
                  <w:r w:rsidRPr="009367C6">
                    <w:rPr>
                      <w:b/>
                    </w:rPr>
                    <w:t>1</w:t>
                  </w:r>
                </w:p>
              </w:tc>
              <w:tc>
                <w:tcPr>
                  <w:tcW w:w="1583" w:type="dxa"/>
                  <w:shd w:val="clear" w:color="auto" w:fill="auto"/>
                </w:tcPr>
                <w:p w:rsidR="00B46DC0" w:rsidRPr="009367C6" w:rsidRDefault="00B46DC0" w:rsidP="006F1D43">
                  <w:pPr>
                    <w:pStyle w:val="naisf"/>
                    <w:spacing w:before="0" w:after="0"/>
                    <w:ind w:firstLine="0"/>
                    <w:jc w:val="center"/>
                    <w:rPr>
                      <w:b/>
                    </w:rPr>
                  </w:pPr>
                  <w:r w:rsidRPr="009367C6">
                    <w:rPr>
                      <w:b/>
                    </w:rPr>
                    <w:t>2</w:t>
                  </w:r>
                </w:p>
              </w:tc>
              <w:tc>
                <w:tcPr>
                  <w:tcW w:w="1490" w:type="dxa"/>
                  <w:shd w:val="clear" w:color="auto" w:fill="auto"/>
                </w:tcPr>
                <w:p w:rsidR="00B46DC0" w:rsidRPr="009367C6" w:rsidRDefault="00B46DC0" w:rsidP="006F1D43">
                  <w:pPr>
                    <w:pStyle w:val="naisf"/>
                    <w:spacing w:before="0" w:after="0"/>
                    <w:ind w:firstLine="0"/>
                    <w:jc w:val="center"/>
                    <w:rPr>
                      <w:b/>
                    </w:rPr>
                  </w:pPr>
                  <w:r w:rsidRPr="009367C6">
                    <w:rPr>
                      <w:b/>
                    </w:rPr>
                    <w:t>3</w:t>
                  </w:r>
                </w:p>
              </w:tc>
              <w:tc>
                <w:tcPr>
                  <w:tcW w:w="1471" w:type="dxa"/>
                  <w:shd w:val="clear" w:color="auto" w:fill="auto"/>
                </w:tcPr>
                <w:p w:rsidR="00B46DC0" w:rsidRPr="009367C6" w:rsidRDefault="00B46DC0" w:rsidP="006F1D43">
                  <w:pPr>
                    <w:pStyle w:val="naisf"/>
                    <w:spacing w:before="0" w:after="0"/>
                    <w:ind w:firstLine="0"/>
                    <w:jc w:val="center"/>
                    <w:rPr>
                      <w:b/>
                    </w:rPr>
                  </w:pPr>
                  <w:r w:rsidRPr="009367C6">
                    <w:rPr>
                      <w:b/>
                    </w:rPr>
                    <w:t>4</w:t>
                  </w:r>
                </w:p>
              </w:tc>
              <w:tc>
                <w:tcPr>
                  <w:tcW w:w="1515" w:type="dxa"/>
                  <w:shd w:val="clear" w:color="auto" w:fill="auto"/>
                </w:tcPr>
                <w:p w:rsidR="00B46DC0" w:rsidRPr="009367C6" w:rsidRDefault="00B46DC0" w:rsidP="006F1D43">
                  <w:pPr>
                    <w:pStyle w:val="naisf"/>
                    <w:spacing w:before="0" w:after="0"/>
                    <w:ind w:firstLine="0"/>
                    <w:jc w:val="center"/>
                    <w:rPr>
                      <w:b/>
                    </w:rPr>
                  </w:pPr>
                  <w:r w:rsidRPr="009367C6">
                    <w:rPr>
                      <w:b/>
                    </w:rPr>
                    <w:t>5</w:t>
                  </w:r>
                </w:p>
              </w:tc>
              <w:tc>
                <w:tcPr>
                  <w:tcW w:w="1520" w:type="dxa"/>
                  <w:shd w:val="clear" w:color="auto" w:fill="auto"/>
                </w:tcPr>
                <w:p w:rsidR="00B46DC0" w:rsidRPr="009367C6" w:rsidRDefault="00B46DC0" w:rsidP="006F1D43">
                  <w:pPr>
                    <w:pStyle w:val="naisf"/>
                    <w:spacing w:before="0" w:after="0"/>
                    <w:ind w:firstLine="0"/>
                    <w:jc w:val="center"/>
                    <w:rPr>
                      <w:b/>
                    </w:rPr>
                  </w:pPr>
                  <w:r w:rsidRPr="009367C6">
                    <w:rPr>
                      <w:b/>
                    </w:rPr>
                    <w:t>6</w:t>
                  </w:r>
                </w:p>
              </w:tc>
            </w:tr>
            <w:tr w:rsidR="00B46DC0" w:rsidRPr="009367C6" w:rsidTr="00871467">
              <w:tc>
                <w:tcPr>
                  <w:tcW w:w="1708" w:type="dxa"/>
                  <w:shd w:val="clear" w:color="auto" w:fill="auto"/>
                </w:tcPr>
                <w:p w:rsidR="00B46DC0" w:rsidRPr="009367C6" w:rsidRDefault="00B46DC0" w:rsidP="006F1D43">
                  <w:r w:rsidRPr="009367C6">
                    <w:t>1. Budžeta ieņēmumi:</w:t>
                  </w:r>
                </w:p>
              </w:tc>
              <w:tc>
                <w:tcPr>
                  <w:tcW w:w="1583" w:type="dxa"/>
                  <w:shd w:val="clear" w:color="auto" w:fill="auto"/>
                </w:tcPr>
                <w:p w:rsidR="00B46DC0" w:rsidRPr="009367C6" w:rsidRDefault="00B46DC0" w:rsidP="006F1D43">
                  <w:pPr>
                    <w:jc w:val="center"/>
                  </w:pPr>
                  <w:r w:rsidRPr="009367C6">
                    <w:t>0</w:t>
                  </w:r>
                </w:p>
              </w:tc>
              <w:tc>
                <w:tcPr>
                  <w:tcW w:w="1490" w:type="dxa"/>
                  <w:shd w:val="clear" w:color="auto" w:fill="auto"/>
                  <w:vAlign w:val="center"/>
                </w:tcPr>
                <w:p w:rsidR="00B46DC0" w:rsidRPr="009367C6" w:rsidRDefault="00B46DC0" w:rsidP="006F1D43">
                  <w:pPr>
                    <w:pStyle w:val="naisf"/>
                    <w:spacing w:before="0" w:after="0"/>
                    <w:ind w:firstLine="0"/>
                    <w:jc w:val="center"/>
                  </w:pPr>
                  <w:r w:rsidRPr="009367C6">
                    <w:t>0</w:t>
                  </w:r>
                </w:p>
              </w:tc>
              <w:tc>
                <w:tcPr>
                  <w:tcW w:w="1471" w:type="dxa"/>
                  <w:shd w:val="clear" w:color="auto" w:fill="auto"/>
                  <w:vAlign w:val="center"/>
                </w:tcPr>
                <w:p w:rsidR="00B46DC0" w:rsidRPr="009367C6" w:rsidRDefault="00B46DC0" w:rsidP="006F1D43">
                  <w:pPr>
                    <w:pStyle w:val="naisf"/>
                    <w:spacing w:before="0" w:after="0"/>
                    <w:ind w:firstLine="0"/>
                    <w:jc w:val="center"/>
                  </w:pPr>
                  <w:r w:rsidRPr="009367C6">
                    <w:t>0</w:t>
                  </w:r>
                </w:p>
              </w:tc>
              <w:tc>
                <w:tcPr>
                  <w:tcW w:w="1515" w:type="dxa"/>
                  <w:shd w:val="clear" w:color="auto" w:fill="auto"/>
                  <w:vAlign w:val="center"/>
                </w:tcPr>
                <w:p w:rsidR="00B46DC0" w:rsidRPr="009367C6" w:rsidRDefault="00B46DC0" w:rsidP="00871467">
                  <w:pPr>
                    <w:pStyle w:val="naisf"/>
                    <w:spacing w:before="0" w:after="0"/>
                    <w:ind w:firstLine="0"/>
                    <w:jc w:val="center"/>
                  </w:pPr>
                  <w:r w:rsidRPr="00B1397A">
                    <w:t>-</w:t>
                  </w:r>
                  <w:r w:rsidR="00871467" w:rsidRPr="00B1397A">
                    <w:t>31 445.1</w:t>
                  </w:r>
                </w:p>
              </w:tc>
              <w:tc>
                <w:tcPr>
                  <w:tcW w:w="1520" w:type="dxa"/>
                  <w:shd w:val="clear" w:color="auto" w:fill="auto"/>
                  <w:vAlign w:val="center"/>
                </w:tcPr>
                <w:p w:rsidR="00B46DC0" w:rsidRPr="009367C6" w:rsidRDefault="00B46DC0" w:rsidP="00871467">
                  <w:pPr>
                    <w:pStyle w:val="naisf"/>
                    <w:spacing w:before="0" w:after="0"/>
                    <w:ind w:firstLine="0"/>
                    <w:jc w:val="center"/>
                  </w:pPr>
                  <w:r w:rsidRPr="00B1397A">
                    <w:t>-</w:t>
                  </w:r>
                  <w:r w:rsidR="00871467" w:rsidRPr="00B1397A">
                    <w:t>31 588.1</w:t>
                  </w:r>
                </w:p>
              </w:tc>
            </w:tr>
            <w:tr w:rsidR="00B46DC0" w:rsidRPr="009367C6" w:rsidTr="00871467">
              <w:tc>
                <w:tcPr>
                  <w:tcW w:w="1708" w:type="dxa"/>
                  <w:shd w:val="clear" w:color="auto" w:fill="auto"/>
                </w:tcPr>
                <w:p w:rsidR="00B46DC0" w:rsidRPr="009367C6" w:rsidRDefault="00B46DC0" w:rsidP="006F1D43">
                  <w:r w:rsidRPr="009367C6">
                    <w:t>1.1. valsts pamatbudžets, tai skaitā ieņēmumi no maksas pakalpojumiem un citi pašu ieņēmumi</w:t>
                  </w:r>
                </w:p>
              </w:tc>
              <w:tc>
                <w:tcPr>
                  <w:tcW w:w="1583" w:type="dxa"/>
                  <w:shd w:val="clear" w:color="auto" w:fill="auto"/>
                  <w:vAlign w:val="center"/>
                </w:tcPr>
                <w:p w:rsidR="00B46DC0" w:rsidRPr="009367C6" w:rsidRDefault="00B46DC0" w:rsidP="006F1D43">
                  <w:pPr>
                    <w:jc w:val="center"/>
                  </w:pPr>
                  <w:r w:rsidRPr="009367C6">
                    <w:t>0</w:t>
                  </w:r>
                </w:p>
              </w:tc>
              <w:tc>
                <w:tcPr>
                  <w:tcW w:w="1490" w:type="dxa"/>
                  <w:shd w:val="clear" w:color="auto" w:fill="auto"/>
                  <w:vAlign w:val="center"/>
                </w:tcPr>
                <w:p w:rsidR="00B46DC0" w:rsidRPr="009367C6" w:rsidRDefault="00B46DC0" w:rsidP="006F1D43">
                  <w:pPr>
                    <w:jc w:val="center"/>
                  </w:pPr>
                  <w:r w:rsidRPr="009367C6">
                    <w:t>0</w:t>
                  </w:r>
                </w:p>
              </w:tc>
              <w:tc>
                <w:tcPr>
                  <w:tcW w:w="1471" w:type="dxa"/>
                  <w:shd w:val="clear" w:color="auto" w:fill="auto"/>
                  <w:vAlign w:val="center"/>
                </w:tcPr>
                <w:p w:rsidR="00B46DC0" w:rsidRPr="009367C6" w:rsidRDefault="00B46DC0" w:rsidP="006F1D43">
                  <w:pPr>
                    <w:jc w:val="center"/>
                  </w:pPr>
                  <w:r w:rsidRPr="009367C6">
                    <w:t>0</w:t>
                  </w:r>
                </w:p>
              </w:tc>
              <w:tc>
                <w:tcPr>
                  <w:tcW w:w="1515" w:type="dxa"/>
                  <w:shd w:val="clear" w:color="auto" w:fill="auto"/>
                  <w:vAlign w:val="center"/>
                </w:tcPr>
                <w:p w:rsidR="00B46DC0" w:rsidRPr="00B1397A" w:rsidRDefault="00B46DC0" w:rsidP="00871467">
                  <w:pPr>
                    <w:jc w:val="center"/>
                  </w:pPr>
                  <w:r w:rsidRPr="00B1397A">
                    <w:t>+</w:t>
                  </w:r>
                  <w:r w:rsidR="00871467" w:rsidRPr="00B1397A">
                    <w:t>2277.</w:t>
                  </w:r>
                  <w:r w:rsidRPr="00B1397A">
                    <w:t>0</w:t>
                  </w:r>
                </w:p>
              </w:tc>
              <w:tc>
                <w:tcPr>
                  <w:tcW w:w="1520" w:type="dxa"/>
                  <w:shd w:val="clear" w:color="auto" w:fill="auto"/>
                  <w:vAlign w:val="center"/>
                </w:tcPr>
                <w:p w:rsidR="00B46DC0" w:rsidRPr="00B1397A" w:rsidRDefault="00B46DC0" w:rsidP="00871467">
                  <w:pPr>
                    <w:jc w:val="center"/>
                  </w:pPr>
                  <w:r w:rsidRPr="00B1397A">
                    <w:t>+</w:t>
                  </w:r>
                  <w:r w:rsidR="00871467" w:rsidRPr="00B1397A">
                    <w:t>2 134.0</w:t>
                  </w:r>
                </w:p>
              </w:tc>
            </w:tr>
            <w:tr w:rsidR="00B46DC0" w:rsidRPr="009367C6" w:rsidTr="00871467">
              <w:tc>
                <w:tcPr>
                  <w:tcW w:w="1708" w:type="dxa"/>
                  <w:shd w:val="clear" w:color="auto" w:fill="auto"/>
                </w:tcPr>
                <w:p w:rsidR="00B46DC0" w:rsidRPr="009367C6" w:rsidRDefault="00B46DC0" w:rsidP="006F1D43">
                  <w:pPr>
                    <w:pStyle w:val="naisf"/>
                    <w:spacing w:before="0" w:after="0"/>
                    <w:ind w:firstLine="0"/>
                    <w:jc w:val="left"/>
                    <w:rPr>
                      <w:i/>
                    </w:rPr>
                  </w:pPr>
                  <w:r w:rsidRPr="009367C6">
                    <w:t xml:space="preserve">1.2. valsts speciālais budžets </w:t>
                  </w:r>
                </w:p>
              </w:tc>
              <w:tc>
                <w:tcPr>
                  <w:tcW w:w="1583" w:type="dxa"/>
                  <w:shd w:val="clear" w:color="auto" w:fill="auto"/>
                  <w:vAlign w:val="center"/>
                </w:tcPr>
                <w:p w:rsidR="00B46DC0" w:rsidRPr="00D4449D" w:rsidRDefault="00B46DC0" w:rsidP="00A62E8A">
                  <w:pPr>
                    <w:pStyle w:val="naisf"/>
                    <w:spacing w:before="0" w:after="0"/>
                    <w:ind w:firstLine="0"/>
                    <w:jc w:val="left"/>
                    <w:rPr>
                      <w:sz w:val="22"/>
                      <w:szCs w:val="22"/>
                    </w:rPr>
                  </w:pPr>
                  <w:r w:rsidRPr="009367C6">
                    <w:rPr>
                      <w:sz w:val="22"/>
                      <w:szCs w:val="22"/>
                    </w:rPr>
                    <w:t xml:space="preserve">valsts speciālajā budžetā plānotās iemaksas:        </w:t>
                  </w:r>
                  <w:r w:rsidRPr="00B1397A">
                    <w:rPr>
                      <w:sz w:val="22"/>
                      <w:szCs w:val="22"/>
                    </w:rPr>
                    <w:t>1</w:t>
                  </w:r>
                  <w:r w:rsidR="00A62E8A" w:rsidRPr="00B1397A">
                    <w:rPr>
                      <w:sz w:val="22"/>
                      <w:szCs w:val="22"/>
                    </w:rPr>
                    <w:t> 911 105.6</w:t>
                  </w:r>
                  <w:r w:rsidR="00A62E8A" w:rsidRPr="009367C6">
                    <w:rPr>
                      <w:sz w:val="22"/>
                      <w:szCs w:val="22"/>
                    </w:rPr>
                    <w:t xml:space="preserve"> </w:t>
                  </w:r>
                  <w:r w:rsidRPr="0093577A">
                    <w:rPr>
                      <w:sz w:val="22"/>
                      <w:szCs w:val="22"/>
                    </w:rPr>
                    <w:t xml:space="preserve">tūkst. </w:t>
                  </w:r>
                  <w:proofErr w:type="spellStart"/>
                  <w:r w:rsidR="00A62E8A" w:rsidRPr="00D4449D">
                    <w:rPr>
                      <w:sz w:val="22"/>
                      <w:szCs w:val="22"/>
                    </w:rPr>
                    <w:t>euro</w:t>
                  </w:r>
                  <w:proofErr w:type="spellEnd"/>
                </w:p>
              </w:tc>
              <w:tc>
                <w:tcPr>
                  <w:tcW w:w="1490" w:type="dxa"/>
                  <w:shd w:val="clear" w:color="auto" w:fill="auto"/>
                  <w:vAlign w:val="center"/>
                </w:tcPr>
                <w:p w:rsidR="00B46DC0" w:rsidRPr="009367C6" w:rsidRDefault="00B46DC0" w:rsidP="006F1D43">
                  <w:pPr>
                    <w:pStyle w:val="naisf"/>
                    <w:spacing w:before="0" w:after="0"/>
                    <w:ind w:firstLine="0"/>
                    <w:jc w:val="center"/>
                  </w:pPr>
                  <w:r w:rsidRPr="009367C6">
                    <w:t>0</w:t>
                  </w:r>
                </w:p>
              </w:tc>
              <w:tc>
                <w:tcPr>
                  <w:tcW w:w="1471" w:type="dxa"/>
                  <w:shd w:val="clear" w:color="auto" w:fill="auto"/>
                  <w:vAlign w:val="center"/>
                </w:tcPr>
                <w:p w:rsidR="00B46DC0" w:rsidRPr="009367C6" w:rsidRDefault="00B46DC0" w:rsidP="006F1D43">
                  <w:pPr>
                    <w:pStyle w:val="naisf"/>
                    <w:spacing w:before="0" w:after="0"/>
                    <w:ind w:firstLine="0"/>
                    <w:jc w:val="center"/>
                  </w:pPr>
                  <w:r w:rsidRPr="009367C6">
                    <w:t>0</w:t>
                  </w:r>
                </w:p>
              </w:tc>
              <w:tc>
                <w:tcPr>
                  <w:tcW w:w="1515" w:type="dxa"/>
                  <w:shd w:val="clear" w:color="auto" w:fill="auto"/>
                  <w:vAlign w:val="center"/>
                </w:tcPr>
                <w:p w:rsidR="00B46DC0" w:rsidRPr="00B1397A" w:rsidRDefault="00B46DC0" w:rsidP="00871467">
                  <w:pPr>
                    <w:jc w:val="center"/>
                  </w:pPr>
                  <w:r w:rsidRPr="00B1397A">
                    <w:t>-</w:t>
                  </w:r>
                  <w:r w:rsidR="00871467" w:rsidRPr="00B1397A">
                    <w:t>33 722.1</w:t>
                  </w:r>
                </w:p>
              </w:tc>
              <w:tc>
                <w:tcPr>
                  <w:tcW w:w="1520" w:type="dxa"/>
                  <w:shd w:val="clear" w:color="auto" w:fill="auto"/>
                  <w:vAlign w:val="center"/>
                </w:tcPr>
                <w:p w:rsidR="00B46DC0" w:rsidRPr="00B1397A" w:rsidRDefault="00B46DC0" w:rsidP="00871467">
                  <w:pPr>
                    <w:pStyle w:val="naisf"/>
                    <w:spacing w:before="0" w:after="0"/>
                    <w:ind w:firstLine="0"/>
                    <w:jc w:val="center"/>
                  </w:pPr>
                  <w:r w:rsidRPr="00B1397A">
                    <w:t>-</w:t>
                  </w:r>
                  <w:r w:rsidR="00871467" w:rsidRPr="00B1397A">
                    <w:t>33 722.1</w:t>
                  </w:r>
                </w:p>
              </w:tc>
            </w:tr>
            <w:tr w:rsidR="00B46DC0" w:rsidRPr="009367C6" w:rsidTr="00871467">
              <w:tc>
                <w:tcPr>
                  <w:tcW w:w="1708" w:type="dxa"/>
                  <w:shd w:val="clear" w:color="auto" w:fill="auto"/>
                </w:tcPr>
                <w:p w:rsidR="00B46DC0" w:rsidRPr="009367C6" w:rsidRDefault="00B46DC0" w:rsidP="006F1D43">
                  <w:r w:rsidRPr="009367C6">
                    <w:t>1.3. pašvaldību budžets</w:t>
                  </w:r>
                </w:p>
              </w:tc>
              <w:tc>
                <w:tcPr>
                  <w:tcW w:w="1583" w:type="dxa"/>
                  <w:shd w:val="clear" w:color="auto" w:fill="auto"/>
                  <w:vAlign w:val="center"/>
                </w:tcPr>
                <w:p w:rsidR="00B46DC0" w:rsidRPr="009367C6" w:rsidRDefault="00B46DC0" w:rsidP="006F1D43">
                  <w:pPr>
                    <w:jc w:val="center"/>
                  </w:pPr>
                  <w:r w:rsidRPr="009367C6">
                    <w:t>0</w:t>
                  </w:r>
                </w:p>
              </w:tc>
              <w:tc>
                <w:tcPr>
                  <w:tcW w:w="1490" w:type="dxa"/>
                  <w:shd w:val="clear" w:color="auto" w:fill="auto"/>
                  <w:vAlign w:val="center"/>
                </w:tcPr>
                <w:p w:rsidR="00B46DC0" w:rsidRPr="009367C6" w:rsidRDefault="00B46DC0" w:rsidP="006F1D43">
                  <w:pPr>
                    <w:jc w:val="center"/>
                  </w:pPr>
                  <w:r w:rsidRPr="009367C6">
                    <w:t>0</w:t>
                  </w:r>
                </w:p>
              </w:tc>
              <w:tc>
                <w:tcPr>
                  <w:tcW w:w="1471" w:type="dxa"/>
                  <w:shd w:val="clear" w:color="auto" w:fill="auto"/>
                  <w:vAlign w:val="center"/>
                </w:tcPr>
                <w:p w:rsidR="00B46DC0" w:rsidRPr="009367C6" w:rsidRDefault="00B46DC0" w:rsidP="006F1D43">
                  <w:pPr>
                    <w:jc w:val="center"/>
                  </w:pPr>
                  <w:r w:rsidRPr="009367C6">
                    <w:t>0</w:t>
                  </w:r>
                </w:p>
              </w:tc>
              <w:tc>
                <w:tcPr>
                  <w:tcW w:w="1515" w:type="dxa"/>
                  <w:shd w:val="clear" w:color="auto" w:fill="auto"/>
                  <w:vAlign w:val="center"/>
                </w:tcPr>
                <w:p w:rsidR="00B46DC0" w:rsidRPr="009367C6" w:rsidRDefault="00B46DC0" w:rsidP="006F1D43">
                  <w:pPr>
                    <w:jc w:val="center"/>
                  </w:pPr>
                  <w:r w:rsidRPr="009367C6">
                    <w:t>0</w:t>
                  </w:r>
                </w:p>
              </w:tc>
              <w:tc>
                <w:tcPr>
                  <w:tcW w:w="1520" w:type="dxa"/>
                  <w:shd w:val="clear" w:color="auto" w:fill="auto"/>
                  <w:vAlign w:val="center"/>
                </w:tcPr>
                <w:p w:rsidR="00B46DC0" w:rsidRPr="009367C6" w:rsidRDefault="00B46DC0" w:rsidP="006F1D43">
                  <w:pPr>
                    <w:jc w:val="center"/>
                  </w:pPr>
                  <w:r w:rsidRPr="009367C6">
                    <w:t>0</w:t>
                  </w:r>
                </w:p>
              </w:tc>
            </w:tr>
            <w:tr w:rsidR="00B46DC0" w:rsidRPr="009367C6" w:rsidTr="00871467">
              <w:tc>
                <w:tcPr>
                  <w:tcW w:w="1708" w:type="dxa"/>
                  <w:shd w:val="clear" w:color="auto" w:fill="auto"/>
                </w:tcPr>
                <w:p w:rsidR="00B46DC0" w:rsidRPr="009367C6" w:rsidRDefault="00B46DC0" w:rsidP="006F1D43">
                  <w:r w:rsidRPr="009367C6">
                    <w:t>2. Budžeta izdevumi:</w:t>
                  </w:r>
                </w:p>
              </w:tc>
              <w:tc>
                <w:tcPr>
                  <w:tcW w:w="1583" w:type="dxa"/>
                  <w:shd w:val="clear" w:color="auto" w:fill="auto"/>
                </w:tcPr>
                <w:p w:rsidR="00B46DC0" w:rsidRPr="009367C6" w:rsidRDefault="00B46DC0" w:rsidP="006F1D43">
                  <w:pPr>
                    <w:jc w:val="center"/>
                  </w:pPr>
                  <w:r w:rsidRPr="009367C6">
                    <w:t>0</w:t>
                  </w:r>
                </w:p>
              </w:tc>
              <w:tc>
                <w:tcPr>
                  <w:tcW w:w="1490" w:type="dxa"/>
                  <w:shd w:val="clear" w:color="auto" w:fill="auto"/>
                </w:tcPr>
                <w:p w:rsidR="00B46DC0" w:rsidRPr="009367C6" w:rsidRDefault="00B46DC0" w:rsidP="006F1D43">
                  <w:pPr>
                    <w:jc w:val="center"/>
                  </w:pPr>
                  <w:r w:rsidRPr="009367C6">
                    <w:t>0</w:t>
                  </w:r>
                </w:p>
              </w:tc>
              <w:tc>
                <w:tcPr>
                  <w:tcW w:w="1471" w:type="dxa"/>
                  <w:shd w:val="clear" w:color="auto" w:fill="auto"/>
                  <w:vAlign w:val="center"/>
                </w:tcPr>
                <w:p w:rsidR="00B46DC0" w:rsidRPr="009367C6" w:rsidRDefault="00B46DC0" w:rsidP="006F1D43">
                  <w:pPr>
                    <w:jc w:val="center"/>
                  </w:pPr>
                  <w:r w:rsidRPr="009367C6">
                    <w:t>0</w:t>
                  </w:r>
                </w:p>
              </w:tc>
              <w:tc>
                <w:tcPr>
                  <w:tcW w:w="1515" w:type="dxa"/>
                  <w:shd w:val="clear" w:color="auto" w:fill="auto"/>
                  <w:vAlign w:val="center"/>
                </w:tcPr>
                <w:p w:rsidR="00B46DC0" w:rsidRPr="009367C6" w:rsidRDefault="00B46DC0" w:rsidP="006F1D43">
                  <w:pPr>
                    <w:jc w:val="center"/>
                  </w:pPr>
                  <w:r w:rsidRPr="009367C6">
                    <w:t>0</w:t>
                  </w:r>
                </w:p>
              </w:tc>
              <w:tc>
                <w:tcPr>
                  <w:tcW w:w="1520" w:type="dxa"/>
                  <w:shd w:val="clear" w:color="auto" w:fill="auto"/>
                  <w:vAlign w:val="center"/>
                </w:tcPr>
                <w:p w:rsidR="00B46DC0" w:rsidRPr="009367C6" w:rsidRDefault="00B46DC0" w:rsidP="006F1D43">
                  <w:pPr>
                    <w:jc w:val="center"/>
                  </w:pPr>
                  <w:r w:rsidRPr="009367C6">
                    <w:t>0</w:t>
                  </w:r>
                </w:p>
              </w:tc>
            </w:tr>
            <w:tr w:rsidR="00B46DC0" w:rsidRPr="009367C6" w:rsidTr="00871467">
              <w:trPr>
                <w:cantSplit/>
              </w:trPr>
              <w:tc>
                <w:tcPr>
                  <w:tcW w:w="1708" w:type="dxa"/>
                  <w:shd w:val="clear" w:color="auto" w:fill="auto"/>
                </w:tcPr>
                <w:p w:rsidR="00B46DC0" w:rsidRPr="009367C6" w:rsidRDefault="00B46DC0" w:rsidP="006F1D43">
                  <w:r w:rsidRPr="009367C6">
                    <w:t>2.1. valsts pamatbudžets</w:t>
                  </w:r>
                </w:p>
              </w:tc>
              <w:tc>
                <w:tcPr>
                  <w:tcW w:w="1583" w:type="dxa"/>
                  <w:shd w:val="clear" w:color="auto" w:fill="auto"/>
                  <w:vAlign w:val="center"/>
                </w:tcPr>
                <w:p w:rsidR="00B46DC0" w:rsidRPr="009367C6" w:rsidRDefault="00B46DC0" w:rsidP="006F1D43">
                  <w:pPr>
                    <w:jc w:val="center"/>
                  </w:pPr>
                  <w:r w:rsidRPr="009367C6">
                    <w:t>0</w:t>
                  </w:r>
                </w:p>
              </w:tc>
              <w:tc>
                <w:tcPr>
                  <w:tcW w:w="1490" w:type="dxa"/>
                  <w:shd w:val="clear" w:color="auto" w:fill="auto"/>
                  <w:vAlign w:val="center"/>
                </w:tcPr>
                <w:p w:rsidR="00B46DC0" w:rsidRPr="009367C6" w:rsidRDefault="00B46DC0" w:rsidP="006F1D43">
                  <w:pPr>
                    <w:jc w:val="center"/>
                  </w:pPr>
                  <w:r w:rsidRPr="009367C6">
                    <w:t>0</w:t>
                  </w:r>
                </w:p>
              </w:tc>
              <w:tc>
                <w:tcPr>
                  <w:tcW w:w="1471" w:type="dxa"/>
                  <w:shd w:val="clear" w:color="auto" w:fill="auto"/>
                  <w:vAlign w:val="center"/>
                </w:tcPr>
                <w:p w:rsidR="00B46DC0" w:rsidRPr="009367C6" w:rsidRDefault="00B46DC0" w:rsidP="006F1D43">
                  <w:pPr>
                    <w:jc w:val="center"/>
                  </w:pPr>
                  <w:r w:rsidRPr="009367C6">
                    <w:t>0</w:t>
                  </w:r>
                </w:p>
              </w:tc>
              <w:tc>
                <w:tcPr>
                  <w:tcW w:w="1515" w:type="dxa"/>
                  <w:shd w:val="clear" w:color="auto" w:fill="auto"/>
                  <w:vAlign w:val="center"/>
                </w:tcPr>
                <w:p w:rsidR="00B46DC0" w:rsidRPr="009367C6" w:rsidRDefault="00B46DC0" w:rsidP="006F1D43">
                  <w:pPr>
                    <w:jc w:val="center"/>
                  </w:pPr>
                  <w:r w:rsidRPr="009367C6">
                    <w:t>0</w:t>
                  </w:r>
                </w:p>
              </w:tc>
              <w:tc>
                <w:tcPr>
                  <w:tcW w:w="1520" w:type="dxa"/>
                  <w:shd w:val="clear" w:color="auto" w:fill="auto"/>
                  <w:vAlign w:val="center"/>
                </w:tcPr>
                <w:p w:rsidR="00B46DC0" w:rsidRPr="009367C6" w:rsidRDefault="00B46DC0" w:rsidP="006F1D43">
                  <w:pPr>
                    <w:jc w:val="center"/>
                  </w:pPr>
                  <w:r w:rsidRPr="009367C6">
                    <w:t>0</w:t>
                  </w:r>
                </w:p>
              </w:tc>
            </w:tr>
            <w:tr w:rsidR="00B46DC0" w:rsidRPr="009367C6" w:rsidTr="00871467">
              <w:tc>
                <w:tcPr>
                  <w:tcW w:w="1708" w:type="dxa"/>
                  <w:shd w:val="clear" w:color="auto" w:fill="auto"/>
                </w:tcPr>
                <w:p w:rsidR="00B46DC0" w:rsidRPr="009367C6" w:rsidRDefault="00B46DC0" w:rsidP="006F1D43">
                  <w:r w:rsidRPr="009367C6">
                    <w:t>2.2. valsts speciālais budžets</w:t>
                  </w:r>
                </w:p>
              </w:tc>
              <w:tc>
                <w:tcPr>
                  <w:tcW w:w="1583" w:type="dxa"/>
                  <w:shd w:val="clear" w:color="auto" w:fill="auto"/>
                  <w:vAlign w:val="center"/>
                </w:tcPr>
                <w:p w:rsidR="00B46DC0" w:rsidRPr="009367C6" w:rsidRDefault="00B46DC0" w:rsidP="006F1D43">
                  <w:pPr>
                    <w:pStyle w:val="naisf"/>
                    <w:spacing w:before="0" w:after="0"/>
                    <w:ind w:firstLine="0"/>
                    <w:jc w:val="center"/>
                  </w:pPr>
                  <w:r w:rsidRPr="009367C6">
                    <w:t>0</w:t>
                  </w:r>
                </w:p>
              </w:tc>
              <w:tc>
                <w:tcPr>
                  <w:tcW w:w="1490" w:type="dxa"/>
                  <w:shd w:val="clear" w:color="auto" w:fill="auto"/>
                  <w:vAlign w:val="center"/>
                </w:tcPr>
                <w:p w:rsidR="00B46DC0" w:rsidRPr="009367C6" w:rsidRDefault="00B46DC0" w:rsidP="006F1D43">
                  <w:pPr>
                    <w:pStyle w:val="naisf"/>
                    <w:spacing w:before="0" w:after="0"/>
                    <w:ind w:firstLine="0"/>
                    <w:jc w:val="center"/>
                  </w:pPr>
                  <w:r w:rsidRPr="009367C6">
                    <w:t>0</w:t>
                  </w:r>
                </w:p>
              </w:tc>
              <w:tc>
                <w:tcPr>
                  <w:tcW w:w="1471" w:type="dxa"/>
                  <w:shd w:val="clear" w:color="auto" w:fill="auto"/>
                  <w:vAlign w:val="center"/>
                </w:tcPr>
                <w:p w:rsidR="00B46DC0" w:rsidRPr="009367C6" w:rsidRDefault="00B46DC0" w:rsidP="006F1D43">
                  <w:pPr>
                    <w:jc w:val="center"/>
                  </w:pPr>
                  <w:r w:rsidRPr="009367C6">
                    <w:t>0</w:t>
                  </w:r>
                </w:p>
              </w:tc>
              <w:tc>
                <w:tcPr>
                  <w:tcW w:w="1515" w:type="dxa"/>
                  <w:shd w:val="clear" w:color="auto" w:fill="auto"/>
                  <w:vAlign w:val="center"/>
                </w:tcPr>
                <w:p w:rsidR="00B46DC0" w:rsidRPr="009367C6" w:rsidRDefault="00B46DC0" w:rsidP="006F1D43">
                  <w:pPr>
                    <w:jc w:val="center"/>
                  </w:pPr>
                  <w:r w:rsidRPr="009367C6">
                    <w:t>0</w:t>
                  </w:r>
                </w:p>
              </w:tc>
              <w:tc>
                <w:tcPr>
                  <w:tcW w:w="1520" w:type="dxa"/>
                  <w:shd w:val="clear" w:color="auto" w:fill="auto"/>
                  <w:vAlign w:val="center"/>
                </w:tcPr>
                <w:p w:rsidR="00B46DC0" w:rsidRPr="009367C6" w:rsidRDefault="00B46DC0" w:rsidP="006F1D43">
                  <w:pPr>
                    <w:jc w:val="center"/>
                  </w:pPr>
                  <w:r w:rsidRPr="009367C6">
                    <w:t>0</w:t>
                  </w:r>
                </w:p>
              </w:tc>
            </w:tr>
            <w:tr w:rsidR="00B46DC0" w:rsidRPr="009367C6" w:rsidTr="00871467">
              <w:tc>
                <w:tcPr>
                  <w:tcW w:w="1708" w:type="dxa"/>
                  <w:shd w:val="clear" w:color="auto" w:fill="auto"/>
                </w:tcPr>
                <w:p w:rsidR="00B46DC0" w:rsidRPr="009367C6" w:rsidRDefault="00B46DC0" w:rsidP="006F1D43">
                  <w:r w:rsidRPr="009367C6">
                    <w:t xml:space="preserve">2.3. pašvaldību budžets </w:t>
                  </w:r>
                </w:p>
              </w:tc>
              <w:tc>
                <w:tcPr>
                  <w:tcW w:w="1583" w:type="dxa"/>
                  <w:shd w:val="clear" w:color="auto" w:fill="auto"/>
                  <w:vAlign w:val="center"/>
                </w:tcPr>
                <w:p w:rsidR="00B46DC0" w:rsidRPr="009367C6" w:rsidRDefault="00B46DC0" w:rsidP="006F1D43">
                  <w:pPr>
                    <w:jc w:val="center"/>
                  </w:pPr>
                  <w:r w:rsidRPr="009367C6">
                    <w:t>0</w:t>
                  </w:r>
                </w:p>
              </w:tc>
              <w:tc>
                <w:tcPr>
                  <w:tcW w:w="1490" w:type="dxa"/>
                  <w:shd w:val="clear" w:color="auto" w:fill="auto"/>
                </w:tcPr>
                <w:p w:rsidR="00B46DC0" w:rsidRPr="009367C6" w:rsidRDefault="00B46DC0" w:rsidP="006F1D43">
                  <w:pPr>
                    <w:jc w:val="center"/>
                  </w:pPr>
                  <w:r w:rsidRPr="009367C6">
                    <w:t>0</w:t>
                  </w:r>
                </w:p>
              </w:tc>
              <w:tc>
                <w:tcPr>
                  <w:tcW w:w="1471" w:type="dxa"/>
                  <w:shd w:val="clear" w:color="auto" w:fill="auto"/>
                </w:tcPr>
                <w:p w:rsidR="00B46DC0" w:rsidRPr="009367C6" w:rsidRDefault="00B46DC0" w:rsidP="006F1D43">
                  <w:pPr>
                    <w:jc w:val="center"/>
                  </w:pPr>
                  <w:r w:rsidRPr="009367C6">
                    <w:t>0</w:t>
                  </w:r>
                </w:p>
              </w:tc>
              <w:tc>
                <w:tcPr>
                  <w:tcW w:w="1515" w:type="dxa"/>
                  <w:shd w:val="clear" w:color="auto" w:fill="auto"/>
                </w:tcPr>
                <w:p w:rsidR="00B46DC0" w:rsidRPr="009367C6" w:rsidRDefault="00B46DC0" w:rsidP="006F1D43">
                  <w:pPr>
                    <w:jc w:val="center"/>
                  </w:pPr>
                  <w:r w:rsidRPr="009367C6">
                    <w:t>0</w:t>
                  </w:r>
                </w:p>
              </w:tc>
              <w:tc>
                <w:tcPr>
                  <w:tcW w:w="1520" w:type="dxa"/>
                  <w:shd w:val="clear" w:color="auto" w:fill="auto"/>
                </w:tcPr>
                <w:p w:rsidR="00B46DC0" w:rsidRPr="009367C6" w:rsidRDefault="00B46DC0" w:rsidP="006F1D43">
                  <w:pPr>
                    <w:jc w:val="center"/>
                  </w:pPr>
                  <w:r w:rsidRPr="009367C6">
                    <w:t>0</w:t>
                  </w:r>
                </w:p>
              </w:tc>
            </w:tr>
            <w:tr w:rsidR="00871467" w:rsidRPr="009367C6" w:rsidTr="00871467">
              <w:tc>
                <w:tcPr>
                  <w:tcW w:w="1708" w:type="dxa"/>
                  <w:shd w:val="clear" w:color="auto" w:fill="auto"/>
                </w:tcPr>
                <w:p w:rsidR="00871467" w:rsidRPr="009367C6" w:rsidRDefault="00871467" w:rsidP="006F1D43">
                  <w:r w:rsidRPr="009367C6">
                    <w:t>3. Finansiālā ietekme:</w:t>
                  </w:r>
                </w:p>
              </w:tc>
              <w:tc>
                <w:tcPr>
                  <w:tcW w:w="1583" w:type="dxa"/>
                  <w:shd w:val="clear" w:color="auto" w:fill="auto"/>
                  <w:vAlign w:val="center"/>
                </w:tcPr>
                <w:p w:rsidR="00871467" w:rsidRPr="009367C6" w:rsidRDefault="00871467" w:rsidP="006F1D43">
                  <w:pPr>
                    <w:jc w:val="center"/>
                  </w:pPr>
                  <w:r w:rsidRPr="009367C6">
                    <w:t>0</w:t>
                  </w:r>
                </w:p>
              </w:tc>
              <w:tc>
                <w:tcPr>
                  <w:tcW w:w="1490" w:type="dxa"/>
                  <w:shd w:val="clear" w:color="auto" w:fill="auto"/>
                  <w:vAlign w:val="center"/>
                </w:tcPr>
                <w:p w:rsidR="00871467" w:rsidRPr="009367C6" w:rsidRDefault="00871467" w:rsidP="006F1D43">
                  <w:pPr>
                    <w:pStyle w:val="naisf"/>
                    <w:spacing w:before="0" w:after="0"/>
                    <w:ind w:firstLine="0"/>
                    <w:jc w:val="center"/>
                  </w:pPr>
                  <w:r w:rsidRPr="009367C6">
                    <w:t>0</w:t>
                  </w:r>
                </w:p>
              </w:tc>
              <w:tc>
                <w:tcPr>
                  <w:tcW w:w="1471" w:type="dxa"/>
                  <w:shd w:val="clear" w:color="auto" w:fill="auto"/>
                  <w:vAlign w:val="center"/>
                </w:tcPr>
                <w:p w:rsidR="00871467" w:rsidRPr="009367C6" w:rsidRDefault="00871467" w:rsidP="006F1D43">
                  <w:pPr>
                    <w:pStyle w:val="naisf"/>
                    <w:spacing w:before="0" w:after="0"/>
                    <w:ind w:firstLine="0"/>
                    <w:jc w:val="center"/>
                  </w:pPr>
                  <w:r w:rsidRPr="009367C6">
                    <w:t>0</w:t>
                  </w:r>
                </w:p>
              </w:tc>
              <w:tc>
                <w:tcPr>
                  <w:tcW w:w="1515" w:type="dxa"/>
                  <w:shd w:val="clear" w:color="auto" w:fill="auto"/>
                  <w:vAlign w:val="center"/>
                </w:tcPr>
                <w:p w:rsidR="00871467" w:rsidRPr="009367C6" w:rsidRDefault="00871467" w:rsidP="00D0699C">
                  <w:pPr>
                    <w:pStyle w:val="naisf"/>
                    <w:spacing w:before="0" w:after="0"/>
                    <w:ind w:firstLine="0"/>
                    <w:jc w:val="center"/>
                  </w:pPr>
                  <w:r w:rsidRPr="00B1397A">
                    <w:t>-31 445.1</w:t>
                  </w:r>
                </w:p>
              </w:tc>
              <w:tc>
                <w:tcPr>
                  <w:tcW w:w="1520" w:type="dxa"/>
                  <w:shd w:val="clear" w:color="auto" w:fill="auto"/>
                  <w:vAlign w:val="center"/>
                </w:tcPr>
                <w:p w:rsidR="00871467" w:rsidRPr="009367C6" w:rsidRDefault="00871467" w:rsidP="00D0699C">
                  <w:pPr>
                    <w:pStyle w:val="naisf"/>
                    <w:spacing w:before="0" w:after="0"/>
                    <w:ind w:firstLine="0"/>
                    <w:jc w:val="center"/>
                  </w:pPr>
                  <w:r w:rsidRPr="00B1397A">
                    <w:t>-31 588.1</w:t>
                  </w:r>
                </w:p>
              </w:tc>
            </w:tr>
            <w:tr w:rsidR="00871467" w:rsidRPr="009367C6" w:rsidTr="00871467">
              <w:tc>
                <w:tcPr>
                  <w:tcW w:w="1708" w:type="dxa"/>
                  <w:shd w:val="clear" w:color="auto" w:fill="auto"/>
                </w:tcPr>
                <w:p w:rsidR="00871467" w:rsidRPr="009367C6" w:rsidRDefault="00871467" w:rsidP="006F1D43">
                  <w:pPr>
                    <w:jc w:val="both"/>
                  </w:pPr>
                  <w:r w:rsidRPr="009367C6">
                    <w:lastRenderedPageBreak/>
                    <w:t>3.1. valsts pamatbudžets</w:t>
                  </w:r>
                </w:p>
              </w:tc>
              <w:tc>
                <w:tcPr>
                  <w:tcW w:w="1583" w:type="dxa"/>
                  <w:shd w:val="clear" w:color="auto" w:fill="auto"/>
                  <w:vAlign w:val="center"/>
                </w:tcPr>
                <w:p w:rsidR="00871467" w:rsidRPr="009367C6" w:rsidRDefault="00871467" w:rsidP="006F1D43">
                  <w:pPr>
                    <w:pStyle w:val="naisf"/>
                    <w:spacing w:before="0" w:after="0"/>
                    <w:ind w:firstLine="0"/>
                    <w:jc w:val="center"/>
                  </w:pPr>
                  <w:r w:rsidRPr="009367C6">
                    <w:t>0</w:t>
                  </w:r>
                </w:p>
              </w:tc>
              <w:tc>
                <w:tcPr>
                  <w:tcW w:w="1490" w:type="dxa"/>
                  <w:shd w:val="clear" w:color="auto" w:fill="auto"/>
                </w:tcPr>
                <w:p w:rsidR="00871467" w:rsidRPr="009367C6" w:rsidRDefault="00871467" w:rsidP="006F1D43">
                  <w:pPr>
                    <w:pStyle w:val="naisf"/>
                    <w:spacing w:before="0" w:after="0"/>
                    <w:ind w:firstLine="0"/>
                    <w:jc w:val="center"/>
                    <w:rPr>
                      <w:b/>
                      <w:i/>
                    </w:rPr>
                  </w:pPr>
                  <w:r w:rsidRPr="009367C6">
                    <w:t>0</w:t>
                  </w:r>
                </w:p>
              </w:tc>
              <w:tc>
                <w:tcPr>
                  <w:tcW w:w="1471" w:type="dxa"/>
                  <w:shd w:val="clear" w:color="auto" w:fill="auto"/>
                </w:tcPr>
                <w:p w:rsidR="00871467" w:rsidRPr="009367C6" w:rsidRDefault="00871467" w:rsidP="006F1D43">
                  <w:pPr>
                    <w:pStyle w:val="naisf"/>
                    <w:spacing w:before="0" w:after="0"/>
                    <w:ind w:firstLine="0"/>
                    <w:jc w:val="center"/>
                    <w:rPr>
                      <w:b/>
                      <w:i/>
                    </w:rPr>
                  </w:pPr>
                  <w:r w:rsidRPr="009367C6">
                    <w:t>0</w:t>
                  </w:r>
                </w:p>
              </w:tc>
              <w:tc>
                <w:tcPr>
                  <w:tcW w:w="1515" w:type="dxa"/>
                  <w:shd w:val="clear" w:color="auto" w:fill="auto"/>
                  <w:vAlign w:val="center"/>
                </w:tcPr>
                <w:p w:rsidR="00871467" w:rsidRPr="00B1397A" w:rsidRDefault="00871467" w:rsidP="00D0699C">
                  <w:pPr>
                    <w:jc w:val="center"/>
                  </w:pPr>
                  <w:r w:rsidRPr="00B1397A">
                    <w:t>+2277.0</w:t>
                  </w:r>
                </w:p>
              </w:tc>
              <w:tc>
                <w:tcPr>
                  <w:tcW w:w="1520" w:type="dxa"/>
                  <w:shd w:val="clear" w:color="auto" w:fill="auto"/>
                  <w:vAlign w:val="center"/>
                </w:tcPr>
                <w:p w:rsidR="00871467" w:rsidRPr="00B1397A" w:rsidRDefault="00871467" w:rsidP="00D0699C">
                  <w:pPr>
                    <w:jc w:val="center"/>
                  </w:pPr>
                  <w:r w:rsidRPr="00B1397A">
                    <w:t>+2 134.0</w:t>
                  </w:r>
                </w:p>
              </w:tc>
            </w:tr>
            <w:tr w:rsidR="00871467" w:rsidRPr="009367C6" w:rsidTr="00871467">
              <w:tc>
                <w:tcPr>
                  <w:tcW w:w="1708" w:type="dxa"/>
                  <w:shd w:val="clear" w:color="auto" w:fill="auto"/>
                </w:tcPr>
                <w:p w:rsidR="00871467" w:rsidRPr="009367C6" w:rsidRDefault="00871467" w:rsidP="006F1D43">
                  <w:pPr>
                    <w:jc w:val="both"/>
                  </w:pPr>
                  <w:r w:rsidRPr="009367C6">
                    <w:t>3.2. speciālais budžets</w:t>
                  </w:r>
                </w:p>
              </w:tc>
              <w:tc>
                <w:tcPr>
                  <w:tcW w:w="1583" w:type="dxa"/>
                  <w:shd w:val="clear" w:color="auto" w:fill="auto"/>
                  <w:vAlign w:val="center"/>
                </w:tcPr>
                <w:p w:rsidR="00871467" w:rsidRPr="009367C6" w:rsidRDefault="00871467" w:rsidP="00A62E8A">
                  <w:pPr>
                    <w:pStyle w:val="naisf"/>
                    <w:spacing w:before="0" w:after="0"/>
                    <w:ind w:firstLine="0"/>
                    <w:jc w:val="left"/>
                  </w:pPr>
                  <w:r w:rsidRPr="009367C6">
                    <w:rPr>
                      <w:sz w:val="22"/>
                      <w:szCs w:val="22"/>
                    </w:rPr>
                    <w:t>valsts speciālajā budžetā plānotā finansiālā bilance: -80 102.9</w:t>
                  </w:r>
                  <w:r w:rsidRPr="00B1397A">
                    <w:rPr>
                      <w:sz w:val="22"/>
                      <w:szCs w:val="22"/>
                    </w:rPr>
                    <w:t xml:space="preserve">  tūkst. </w:t>
                  </w:r>
                  <w:proofErr w:type="spellStart"/>
                  <w:r w:rsidRPr="00B1397A">
                    <w:rPr>
                      <w:sz w:val="22"/>
                      <w:szCs w:val="22"/>
                    </w:rPr>
                    <w:t>euro</w:t>
                  </w:r>
                  <w:proofErr w:type="spellEnd"/>
                </w:p>
              </w:tc>
              <w:tc>
                <w:tcPr>
                  <w:tcW w:w="1490" w:type="dxa"/>
                  <w:shd w:val="clear" w:color="auto" w:fill="auto"/>
                  <w:vAlign w:val="center"/>
                </w:tcPr>
                <w:p w:rsidR="00871467" w:rsidRPr="00D4449D" w:rsidRDefault="00871467" w:rsidP="006F1D43">
                  <w:pPr>
                    <w:pStyle w:val="naisf"/>
                    <w:spacing w:before="0" w:after="0"/>
                    <w:ind w:firstLine="0"/>
                    <w:jc w:val="center"/>
                  </w:pPr>
                  <w:r w:rsidRPr="0093577A">
                    <w:t>0</w:t>
                  </w:r>
                </w:p>
              </w:tc>
              <w:tc>
                <w:tcPr>
                  <w:tcW w:w="1471" w:type="dxa"/>
                  <w:shd w:val="clear" w:color="auto" w:fill="auto"/>
                  <w:vAlign w:val="center"/>
                </w:tcPr>
                <w:p w:rsidR="00871467" w:rsidRPr="009367C6" w:rsidRDefault="00871467" w:rsidP="006F1D43">
                  <w:pPr>
                    <w:pStyle w:val="naisf"/>
                    <w:spacing w:before="0" w:after="0"/>
                    <w:ind w:firstLine="0"/>
                    <w:jc w:val="center"/>
                  </w:pPr>
                  <w:r w:rsidRPr="009367C6">
                    <w:t>0</w:t>
                  </w:r>
                </w:p>
              </w:tc>
              <w:tc>
                <w:tcPr>
                  <w:tcW w:w="1515" w:type="dxa"/>
                  <w:shd w:val="clear" w:color="auto" w:fill="auto"/>
                  <w:vAlign w:val="center"/>
                </w:tcPr>
                <w:p w:rsidR="00871467" w:rsidRPr="00B1397A" w:rsidRDefault="00871467" w:rsidP="00D0699C">
                  <w:pPr>
                    <w:jc w:val="center"/>
                  </w:pPr>
                  <w:r w:rsidRPr="00B1397A">
                    <w:t>-33 722.1</w:t>
                  </w:r>
                </w:p>
              </w:tc>
              <w:tc>
                <w:tcPr>
                  <w:tcW w:w="1520" w:type="dxa"/>
                  <w:shd w:val="clear" w:color="auto" w:fill="auto"/>
                  <w:vAlign w:val="center"/>
                </w:tcPr>
                <w:p w:rsidR="00871467" w:rsidRPr="00B1397A" w:rsidRDefault="00871467" w:rsidP="00D0699C">
                  <w:pPr>
                    <w:pStyle w:val="naisf"/>
                    <w:spacing w:before="0" w:after="0"/>
                    <w:ind w:firstLine="0"/>
                    <w:jc w:val="center"/>
                  </w:pPr>
                  <w:r w:rsidRPr="00B1397A">
                    <w:t>-33 722.1</w:t>
                  </w:r>
                </w:p>
              </w:tc>
            </w:tr>
            <w:tr w:rsidR="00B46DC0" w:rsidRPr="009367C6" w:rsidTr="00871467">
              <w:tc>
                <w:tcPr>
                  <w:tcW w:w="1708" w:type="dxa"/>
                  <w:shd w:val="clear" w:color="auto" w:fill="auto"/>
                </w:tcPr>
                <w:p w:rsidR="00B46DC0" w:rsidRPr="009367C6" w:rsidRDefault="00B46DC0" w:rsidP="006F1D43">
                  <w:pPr>
                    <w:jc w:val="both"/>
                  </w:pPr>
                  <w:r w:rsidRPr="009367C6">
                    <w:t xml:space="preserve">3.3. pašvaldību budžets </w:t>
                  </w:r>
                </w:p>
              </w:tc>
              <w:tc>
                <w:tcPr>
                  <w:tcW w:w="1583" w:type="dxa"/>
                  <w:shd w:val="clear" w:color="auto" w:fill="auto"/>
                  <w:vAlign w:val="center"/>
                </w:tcPr>
                <w:p w:rsidR="00B46DC0" w:rsidRPr="009367C6" w:rsidRDefault="00B46DC0" w:rsidP="006F1D43">
                  <w:pPr>
                    <w:pStyle w:val="naisf"/>
                    <w:spacing w:before="0" w:after="0"/>
                    <w:ind w:firstLine="0"/>
                    <w:jc w:val="center"/>
                  </w:pPr>
                  <w:r w:rsidRPr="009367C6">
                    <w:t>0</w:t>
                  </w:r>
                </w:p>
              </w:tc>
              <w:tc>
                <w:tcPr>
                  <w:tcW w:w="1490" w:type="dxa"/>
                  <w:shd w:val="clear" w:color="auto" w:fill="auto"/>
                </w:tcPr>
                <w:p w:rsidR="00B46DC0" w:rsidRPr="009367C6" w:rsidRDefault="00B46DC0" w:rsidP="006F1D43">
                  <w:pPr>
                    <w:pStyle w:val="naisf"/>
                    <w:spacing w:before="0" w:after="0"/>
                    <w:ind w:firstLine="0"/>
                    <w:jc w:val="center"/>
                    <w:rPr>
                      <w:b/>
                      <w:i/>
                    </w:rPr>
                  </w:pPr>
                  <w:r w:rsidRPr="009367C6">
                    <w:t>0</w:t>
                  </w:r>
                </w:p>
              </w:tc>
              <w:tc>
                <w:tcPr>
                  <w:tcW w:w="1471" w:type="dxa"/>
                  <w:shd w:val="clear" w:color="auto" w:fill="auto"/>
                </w:tcPr>
                <w:p w:rsidR="00B46DC0" w:rsidRPr="009367C6" w:rsidRDefault="00B46DC0" w:rsidP="006F1D43">
                  <w:pPr>
                    <w:pStyle w:val="naisf"/>
                    <w:spacing w:before="0" w:after="0"/>
                    <w:ind w:firstLine="0"/>
                    <w:jc w:val="center"/>
                    <w:rPr>
                      <w:b/>
                      <w:i/>
                    </w:rPr>
                  </w:pPr>
                  <w:r w:rsidRPr="009367C6">
                    <w:t>0</w:t>
                  </w:r>
                </w:p>
              </w:tc>
              <w:tc>
                <w:tcPr>
                  <w:tcW w:w="1515" w:type="dxa"/>
                  <w:shd w:val="clear" w:color="auto" w:fill="auto"/>
                </w:tcPr>
                <w:p w:rsidR="00B46DC0" w:rsidRPr="009367C6" w:rsidRDefault="00B46DC0" w:rsidP="006F1D43">
                  <w:pPr>
                    <w:pStyle w:val="naisf"/>
                    <w:spacing w:before="0" w:after="0"/>
                    <w:ind w:firstLine="0"/>
                    <w:jc w:val="center"/>
                    <w:rPr>
                      <w:b/>
                      <w:i/>
                    </w:rPr>
                  </w:pPr>
                  <w:r w:rsidRPr="009367C6">
                    <w:t>0</w:t>
                  </w:r>
                </w:p>
              </w:tc>
              <w:tc>
                <w:tcPr>
                  <w:tcW w:w="1520" w:type="dxa"/>
                  <w:shd w:val="clear" w:color="auto" w:fill="auto"/>
                </w:tcPr>
                <w:p w:rsidR="00B46DC0" w:rsidRPr="009367C6" w:rsidRDefault="00B46DC0" w:rsidP="006F1D43">
                  <w:pPr>
                    <w:pStyle w:val="naisf"/>
                    <w:spacing w:before="0" w:after="0"/>
                    <w:ind w:firstLine="0"/>
                    <w:jc w:val="center"/>
                    <w:rPr>
                      <w:b/>
                      <w:i/>
                    </w:rPr>
                  </w:pPr>
                  <w:r w:rsidRPr="009367C6">
                    <w:t>0</w:t>
                  </w:r>
                </w:p>
              </w:tc>
            </w:tr>
            <w:tr w:rsidR="00B46DC0" w:rsidRPr="009367C6" w:rsidTr="00871467">
              <w:tc>
                <w:tcPr>
                  <w:tcW w:w="1708" w:type="dxa"/>
                  <w:shd w:val="clear" w:color="auto" w:fill="auto"/>
                </w:tcPr>
                <w:p w:rsidR="00B46DC0" w:rsidRPr="009367C6" w:rsidRDefault="00B46DC0" w:rsidP="006F1D43">
                  <w:r w:rsidRPr="009367C6">
                    <w:t>4. Finanšu līdzekļi papildu izdevumu finansēšanai (kompensējošu izdevumu samazinājumu norāda ar "+" zīmi)</w:t>
                  </w:r>
                </w:p>
              </w:tc>
              <w:tc>
                <w:tcPr>
                  <w:tcW w:w="1583" w:type="dxa"/>
                  <w:shd w:val="clear" w:color="auto" w:fill="auto"/>
                  <w:vAlign w:val="center"/>
                </w:tcPr>
                <w:p w:rsidR="00B46DC0" w:rsidRPr="009367C6" w:rsidRDefault="00B46DC0" w:rsidP="006F1D43">
                  <w:pPr>
                    <w:jc w:val="center"/>
                    <w:rPr>
                      <w:b/>
                    </w:rPr>
                  </w:pPr>
                  <w:r w:rsidRPr="009367C6">
                    <w:rPr>
                      <w:b/>
                    </w:rPr>
                    <w:t>x</w:t>
                  </w:r>
                </w:p>
              </w:tc>
              <w:tc>
                <w:tcPr>
                  <w:tcW w:w="1490" w:type="dxa"/>
                  <w:shd w:val="clear" w:color="auto" w:fill="auto"/>
                  <w:vAlign w:val="center"/>
                </w:tcPr>
                <w:p w:rsidR="00B46DC0" w:rsidRPr="009367C6" w:rsidRDefault="00B46DC0" w:rsidP="006F1D43">
                  <w:pPr>
                    <w:jc w:val="center"/>
                  </w:pPr>
                  <w:r w:rsidRPr="009367C6">
                    <w:t>0</w:t>
                  </w:r>
                </w:p>
              </w:tc>
              <w:tc>
                <w:tcPr>
                  <w:tcW w:w="1471" w:type="dxa"/>
                  <w:shd w:val="clear" w:color="auto" w:fill="auto"/>
                  <w:vAlign w:val="center"/>
                </w:tcPr>
                <w:p w:rsidR="00B46DC0" w:rsidRPr="009367C6" w:rsidRDefault="00B46DC0" w:rsidP="006F1D43">
                  <w:pPr>
                    <w:jc w:val="center"/>
                  </w:pPr>
                  <w:r w:rsidRPr="009367C6">
                    <w:t>0</w:t>
                  </w:r>
                </w:p>
              </w:tc>
              <w:tc>
                <w:tcPr>
                  <w:tcW w:w="1515" w:type="dxa"/>
                  <w:shd w:val="clear" w:color="auto" w:fill="auto"/>
                  <w:vAlign w:val="center"/>
                </w:tcPr>
                <w:p w:rsidR="00B46DC0" w:rsidRPr="009367C6" w:rsidRDefault="00B46DC0" w:rsidP="006F1D43">
                  <w:pPr>
                    <w:jc w:val="center"/>
                  </w:pPr>
                  <w:r w:rsidRPr="009367C6">
                    <w:t>0</w:t>
                  </w:r>
                </w:p>
              </w:tc>
              <w:tc>
                <w:tcPr>
                  <w:tcW w:w="1520" w:type="dxa"/>
                  <w:shd w:val="clear" w:color="auto" w:fill="auto"/>
                  <w:vAlign w:val="center"/>
                </w:tcPr>
                <w:p w:rsidR="00B46DC0" w:rsidRPr="009367C6" w:rsidRDefault="00B46DC0" w:rsidP="006F1D43">
                  <w:pPr>
                    <w:jc w:val="center"/>
                  </w:pPr>
                  <w:r w:rsidRPr="009367C6">
                    <w:t>0</w:t>
                  </w:r>
                </w:p>
              </w:tc>
            </w:tr>
            <w:tr w:rsidR="00B46DC0" w:rsidRPr="009367C6" w:rsidTr="00871467">
              <w:tc>
                <w:tcPr>
                  <w:tcW w:w="1708" w:type="dxa"/>
                  <w:shd w:val="clear" w:color="auto" w:fill="auto"/>
                </w:tcPr>
                <w:p w:rsidR="00B46DC0" w:rsidRPr="009367C6" w:rsidRDefault="00B46DC0" w:rsidP="006F1D43">
                  <w:r w:rsidRPr="009367C6">
                    <w:t>5. Precizēta finansiālā ietekme:</w:t>
                  </w:r>
                </w:p>
              </w:tc>
              <w:tc>
                <w:tcPr>
                  <w:tcW w:w="1583" w:type="dxa"/>
                  <w:vMerge w:val="restart"/>
                  <w:shd w:val="clear" w:color="auto" w:fill="auto"/>
                  <w:vAlign w:val="center"/>
                </w:tcPr>
                <w:p w:rsidR="00B46DC0" w:rsidRPr="009367C6" w:rsidRDefault="00B46DC0" w:rsidP="006F1D43">
                  <w:pPr>
                    <w:jc w:val="center"/>
                  </w:pPr>
                  <w:r w:rsidRPr="009367C6">
                    <w:rPr>
                      <w:b/>
                    </w:rPr>
                    <w:t>x</w:t>
                  </w:r>
                </w:p>
              </w:tc>
              <w:tc>
                <w:tcPr>
                  <w:tcW w:w="1490" w:type="dxa"/>
                  <w:shd w:val="clear" w:color="auto" w:fill="auto"/>
                  <w:vAlign w:val="center"/>
                </w:tcPr>
                <w:p w:rsidR="00B46DC0" w:rsidRPr="009367C6" w:rsidRDefault="00B46DC0" w:rsidP="006F1D43">
                  <w:pPr>
                    <w:jc w:val="center"/>
                  </w:pPr>
                  <w:r w:rsidRPr="009367C6">
                    <w:t>0</w:t>
                  </w:r>
                </w:p>
              </w:tc>
              <w:tc>
                <w:tcPr>
                  <w:tcW w:w="1471" w:type="dxa"/>
                  <w:shd w:val="clear" w:color="auto" w:fill="auto"/>
                  <w:vAlign w:val="center"/>
                </w:tcPr>
                <w:p w:rsidR="00B46DC0" w:rsidRPr="009367C6" w:rsidRDefault="00B46DC0" w:rsidP="006F1D43">
                  <w:pPr>
                    <w:jc w:val="center"/>
                  </w:pPr>
                  <w:r w:rsidRPr="009367C6">
                    <w:t>0</w:t>
                  </w:r>
                </w:p>
              </w:tc>
              <w:tc>
                <w:tcPr>
                  <w:tcW w:w="1515" w:type="dxa"/>
                  <w:shd w:val="clear" w:color="auto" w:fill="auto"/>
                  <w:vAlign w:val="center"/>
                </w:tcPr>
                <w:p w:rsidR="00B46DC0" w:rsidRPr="009367C6" w:rsidRDefault="00B46DC0" w:rsidP="006F1D43">
                  <w:pPr>
                    <w:jc w:val="center"/>
                  </w:pPr>
                  <w:r w:rsidRPr="009367C6">
                    <w:t>0</w:t>
                  </w:r>
                </w:p>
              </w:tc>
              <w:tc>
                <w:tcPr>
                  <w:tcW w:w="1520" w:type="dxa"/>
                  <w:shd w:val="clear" w:color="auto" w:fill="auto"/>
                  <w:vAlign w:val="center"/>
                </w:tcPr>
                <w:p w:rsidR="00B46DC0" w:rsidRPr="009367C6" w:rsidRDefault="00B46DC0" w:rsidP="006F1D43">
                  <w:pPr>
                    <w:jc w:val="center"/>
                  </w:pPr>
                  <w:r w:rsidRPr="009367C6">
                    <w:t>0</w:t>
                  </w:r>
                </w:p>
              </w:tc>
            </w:tr>
            <w:tr w:rsidR="00B46DC0" w:rsidRPr="009367C6" w:rsidTr="00871467">
              <w:tc>
                <w:tcPr>
                  <w:tcW w:w="1708" w:type="dxa"/>
                  <w:shd w:val="clear" w:color="auto" w:fill="auto"/>
                </w:tcPr>
                <w:p w:rsidR="00B46DC0" w:rsidRPr="009367C6" w:rsidRDefault="00B46DC0" w:rsidP="006F1D43">
                  <w:pPr>
                    <w:jc w:val="both"/>
                  </w:pPr>
                  <w:r w:rsidRPr="009367C6">
                    <w:t>5.1. valsts pamatbudžets</w:t>
                  </w:r>
                </w:p>
              </w:tc>
              <w:tc>
                <w:tcPr>
                  <w:tcW w:w="1583" w:type="dxa"/>
                  <w:vMerge/>
                  <w:shd w:val="clear" w:color="auto" w:fill="auto"/>
                </w:tcPr>
                <w:p w:rsidR="00B46DC0" w:rsidRPr="009367C6" w:rsidRDefault="00B46DC0" w:rsidP="006F1D43">
                  <w:pPr>
                    <w:jc w:val="center"/>
                  </w:pPr>
                </w:p>
              </w:tc>
              <w:tc>
                <w:tcPr>
                  <w:tcW w:w="1490" w:type="dxa"/>
                  <w:shd w:val="clear" w:color="auto" w:fill="auto"/>
                  <w:vAlign w:val="center"/>
                </w:tcPr>
                <w:p w:rsidR="00B46DC0" w:rsidRPr="009367C6" w:rsidRDefault="00B46DC0" w:rsidP="006F1D43">
                  <w:pPr>
                    <w:jc w:val="center"/>
                  </w:pPr>
                  <w:r w:rsidRPr="009367C6">
                    <w:t>0</w:t>
                  </w:r>
                </w:p>
              </w:tc>
              <w:tc>
                <w:tcPr>
                  <w:tcW w:w="1471" w:type="dxa"/>
                  <w:shd w:val="clear" w:color="auto" w:fill="auto"/>
                  <w:vAlign w:val="center"/>
                </w:tcPr>
                <w:p w:rsidR="00B46DC0" w:rsidRPr="009367C6" w:rsidRDefault="00B46DC0" w:rsidP="006F1D43">
                  <w:pPr>
                    <w:jc w:val="center"/>
                  </w:pPr>
                  <w:r w:rsidRPr="009367C6">
                    <w:t>0</w:t>
                  </w:r>
                </w:p>
              </w:tc>
              <w:tc>
                <w:tcPr>
                  <w:tcW w:w="1515" w:type="dxa"/>
                  <w:shd w:val="clear" w:color="auto" w:fill="auto"/>
                  <w:vAlign w:val="center"/>
                </w:tcPr>
                <w:p w:rsidR="00B46DC0" w:rsidRPr="009367C6" w:rsidRDefault="00B46DC0" w:rsidP="006F1D43">
                  <w:pPr>
                    <w:jc w:val="center"/>
                  </w:pPr>
                  <w:r w:rsidRPr="009367C6">
                    <w:t>0</w:t>
                  </w:r>
                </w:p>
              </w:tc>
              <w:tc>
                <w:tcPr>
                  <w:tcW w:w="1520" w:type="dxa"/>
                  <w:shd w:val="clear" w:color="auto" w:fill="auto"/>
                  <w:vAlign w:val="center"/>
                </w:tcPr>
                <w:p w:rsidR="00B46DC0" w:rsidRPr="009367C6" w:rsidRDefault="00B46DC0" w:rsidP="006F1D43">
                  <w:pPr>
                    <w:jc w:val="center"/>
                  </w:pPr>
                  <w:r w:rsidRPr="009367C6">
                    <w:t>0</w:t>
                  </w:r>
                </w:p>
              </w:tc>
            </w:tr>
            <w:tr w:rsidR="00B46DC0" w:rsidRPr="009367C6" w:rsidTr="00871467">
              <w:tc>
                <w:tcPr>
                  <w:tcW w:w="1708" w:type="dxa"/>
                  <w:shd w:val="clear" w:color="auto" w:fill="auto"/>
                </w:tcPr>
                <w:p w:rsidR="00B46DC0" w:rsidRPr="009367C6" w:rsidRDefault="00B46DC0" w:rsidP="006F1D43">
                  <w:pPr>
                    <w:jc w:val="both"/>
                  </w:pPr>
                  <w:r w:rsidRPr="009367C6">
                    <w:t>5.2. speciālais budžets</w:t>
                  </w:r>
                </w:p>
              </w:tc>
              <w:tc>
                <w:tcPr>
                  <w:tcW w:w="1583" w:type="dxa"/>
                  <w:vMerge/>
                  <w:shd w:val="clear" w:color="auto" w:fill="auto"/>
                </w:tcPr>
                <w:p w:rsidR="00B46DC0" w:rsidRPr="009367C6" w:rsidRDefault="00B46DC0" w:rsidP="006F1D43">
                  <w:pPr>
                    <w:jc w:val="center"/>
                  </w:pPr>
                </w:p>
              </w:tc>
              <w:tc>
                <w:tcPr>
                  <w:tcW w:w="1490" w:type="dxa"/>
                  <w:shd w:val="clear" w:color="auto" w:fill="auto"/>
                  <w:vAlign w:val="center"/>
                </w:tcPr>
                <w:p w:rsidR="00B46DC0" w:rsidRPr="009367C6" w:rsidRDefault="00B46DC0" w:rsidP="006F1D43">
                  <w:pPr>
                    <w:jc w:val="center"/>
                  </w:pPr>
                  <w:r w:rsidRPr="009367C6">
                    <w:t>0</w:t>
                  </w:r>
                </w:p>
              </w:tc>
              <w:tc>
                <w:tcPr>
                  <w:tcW w:w="1471" w:type="dxa"/>
                  <w:shd w:val="clear" w:color="auto" w:fill="auto"/>
                  <w:vAlign w:val="center"/>
                </w:tcPr>
                <w:p w:rsidR="00B46DC0" w:rsidRPr="009367C6" w:rsidRDefault="00B46DC0" w:rsidP="006F1D43">
                  <w:pPr>
                    <w:jc w:val="center"/>
                  </w:pPr>
                  <w:r w:rsidRPr="009367C6">
                    <w:t>0</w:t>
                  </w:r>
                </w:p>
              </w:tc>
              <w:tc>
                <w:tcPr>
                  <w:tcW w:w="1515" w:type="dxa"/>
                  <w:shd w:val="clear" w:color="auto" w:fill="auto"/>
                  <w:vAlign w:val="center"/>
                </w:tcPr>
                <w:p w:rsidR="00B46DC0" w:rsidRPr="009367C6" w:rsidRDefault="00B46DC0" w:rsidP="006F1D43">
                  <w:pPr>
                    <w:jc w:val="center"/>
                  </w:pPr>
                  <w:r w:rsidRPr="009367C6">
                    <w:t>0</w:t>
                  </w:r>
                </w:p>
              </w:tc>
              <w:tc>
                <w:tcPr>
                  <w:tcW w:w="1520" w:type="dxa"/>
                  <w:shd w:val="clear" w:color="auto" w:fill="auto"/>
                  <w:vAlign w:val="center"/>
                </w:tcPr>
                <w:p w:rsidR="00B46DC0" w:rsidRPr="009367C6" w:rsidRDefault="00B46DC0" w:rsidP="006F1D43">
                  <w:pPr>
                    <w:jc w:val="center"/>
                  </w:pPr>
                  <w:r w:rsidRPr="009367C6">
                    <w:t>0</w:t>
                  </w:r>
                </w:p>
              </w:tc>
            </w:tr>
            <w:tr w:rsidR="00B46DC0" w:rsidRPr="009367C6" w:rsidTr="00871467">
              <w:tc>
                <w:tcPr>
                  <w:tcW w:w="1708" w:type="dxa"/>
                  <w:shd w:val="clear" w:color="auto" w:fill="auto"/>
                </w:tcPr>
                <w:p w:rsidR="00B46DC0" w:rsidRPr="009367C6" w:rsidRDefault="00B46DC0" w:rsidP="006F1D43">
                  <w:pPr>
                    <w:jc w:val="both"/>
                  </w:pPr>
                  <w:r w:rsidRPr="009367C6">
                    <w:t xml:space="preserve">5.3. pašvaldību budžets </w:t>
                  </w:r>
                </w:p>
              </w:tc>
              <w:tc>
                <w:tcPr>
                  <w:tcW w:w="1583" w:type="dxa"/>
                  <w:vMerge/>
                  <w:shd w:val="clear" w:color="auto" w:fill="auto"/>
                </w:tcPr>
                <w:p w:rsidR="00B46DC0" w:rsidRPr="009367C6" w:rsidRDefault="00B46DC0" w:rsidP="006F1D43">
                  <w:pPr>
                    <w:jc w:val="center"/>
                  </w:pPr>
                </w:p>
              </w:tc>
              <w:tc>
                <w:tcPr>
                  <w:tcW w:w="1490" w:type="dxa"/>
                  <w:shd w:val="clear" w:color="auto" w:fill="auto"/>
                  <w:vAlign w:val="center"/>
                </w:tcPr>
                <w:p w:rsidR="00B46DC0" w:rsidRPr="009367C6" w:rsidRDefault="00B46DC0" w:rsidP="006F1D43">
                  <w:pPr>
                    <w:jc w:val="center"/>
                  </w:pPr>
                  <w:r w:rsidRPr="009367C6">
                    <w:t>0</w:t>
                  </w:r>
                </w:p>
              </w:tc>
              <w:tc>
                <w:tcPr>
                  <w:tcW w:w="1471" w:type="dxa"/>
                  <w:shd w:val="clear" w:color="auto" w:fill="auto"/>
                  <w:vAlign w:val="center"/>
                </w:tcPr>
                <w:p w:rsidR="00B46DC0" w:rsidRPr="009367C6" w:rsidRDefault="00B46DC0" w:rsidP="006F1D43">
                  <w:pPr>
                    <w:jc w:val="center"/>
                  </w:pPr>
                  <w:r w:rsidRPr="009367C6">
                    <w:t>0</w:t>
                  </w:r>
                </w:p>
              </w:tc>
              <w:tc>
                <w:tcPr>
                  <w:tcW w:w="1515" w:type="dxa"/>
                  <w:shd w:val="clear" w:color="auto" w:fill="auto"/>
                  <w:vAlign w:val="center"/>
                </w:tcPr>
                <w:p w:rsidR="00B46DC0" w:rsidRPr="009367C6" w:rsidRDefault="00B46DC0" w:rsidP="006F1D43">
                  <w:pPr>
                    <w:jc w:val="center"/>
                  </w:pPr>
                  <w:r w:rsidRPr="009367C6">
                    <w:t>0</w:t>
                  </w:r>
                </w:p>
              </w:tc>
              <w:tc>
                <w:tcPr>
                  <w:tcW w:w="1520" w:type="dxa"/>
                  <w:shd w:val="clear" w:color="auto" w:fill="auto"/>
                  <w:vAlign w:val="center"/>
                </w:tcPr>
                <w:p w:rsidR="00B46DC0" w:rsidRPr="009367C6" w:rsidRDefault="00B46DC0" w:rsidP="006F1D43">
                  <w:pPr>
                    <w:jc w:val="center"/>
                  </w:pPr>
                  <w:r w:rsidRPr="009367C6">
                    <w:t>0</w:t>
                  </w:r>
                </w:p>
              </w:tc>
            </w:tr>
            <w:tr w:rsidR="00B46DC0" w:rsidRPr="009367C6" w:rsidTr="00871467">
              <w:tc>
                <w:tcPr>
                  <w:tcW w:w="9287" w:type="dxa"/>
                  <w:gridSpan w:val="6"/>
                  <w:shd w:val="clear" w:color="auto" w:fill="auto"/>
                </w:tcPr>
                <w:p w:rsidR="00B46DC0" w:rsidRPr="009367C6" w:rsidRDefault="00B46DC0" w:rsidP="006F1D43">
                  <w:r w:rsidRPr="009367C6">
                    <w:t>6. Detalizēts ieņēmumu un izdevumu aprēķins (ja nepieciešams, detalizētu ieņēmumu un izdevumu aprēķinu var pievienot anotācijas pielikumā):</w:t>
                  </w:r>
                </w:p>
              </w:tc>
            </w:tr>
            <w:tr w:rsidR="00B46DC0" w:rsidRPr="009367C6" w:rsidTr="00871467">
              <w:tc>
                <w:tcPr>
                  <w:tcW w:w="1708" w:type="dxa"/>
                  <w:shd w:val="clear" w:color="auto" w:fill="auto"/>
                </w:tcPr>
                <w:p w:rsidR="00B46DC0" w:rsidRPr="009367C6" w:rsidRDefault="00B46DC0" w:rsidP="006F1D43">
                  <w:r w:rsidRPr="009367C6">
                    <w:t>6.1. Detalizēts ieņēmumu aprēķins</w:t>
                  </w:r>
                </w:p>
              </w:tc>
              <w:tc>
                <w:tcPr>
                  <w:tcW w:w="7579" w:type="dxa"/>
                  <w:gridSpan w:val="5"/>
                  <w:shd w:val="clear" w:color="auto" w:fill="auto"/>
                  <w:vAlign w:val="center"/>
                </w:tcPr>
                <w:p w:rsidR="00B46DC0" w:rsidRPr="009367C6" w:rsidRDefault="00B46DC0" w:rsidP="006F1D43">
                  <w:r w:rsidRPr="009367C6">
                    <w:t>Iemaksu objekta maksimālā apmēra atjaunošanai ir negatīva finansiāla ietekme uz speciālā budžeta ieņēmumu daļu un iemaksām valsts fondēto pensiju shēmā, bet vienlaikus ir pozitīva ietekme uz valsts pamatbudžeta ieņēmuma daļu, konkrēti - uz ieņēmumiem no iedzīvotāju ienākuma nodokļa.</w:t>
                  </w:r>
                </w:p>
                <w:p w:rsidR="00B46DC0" w:rsidRPr="009367C6" w:rsidRDefault="00B46DC0" w:rsidP="006F1D43">
                  <w:pPr>
                    <w:jc w:val="both"/>
                  </w:pPr>
                </w:p>
                <w:p w:rsidR="00B46DC0" w:rsidRPr="009367C6" w:rsidRDefault="00B46DC0" w:rsidP="006F1D43">
                  <w:pPr>
                    <w:jc w:val="both"/>
                  </w:pPr>
                  <w:r w:rsidRPr="009367C6">
                    <w:t>Iemaksu objekta maksimālais apmērs</w:t>
                  </w:r>
                  <w:r w:rsidR="0056018F" w:rsidRPr="009367C6">
                    <w:t xml:space="preserve"> </w:t>
                  </w:r>
                  <w:r w:rsidR="00C236D8" w:rsidRPr="009367C6">
                    <w:t xml:space="preserve">kalendāra </w:t>
                  </w:r>
                  <w:r w:rsidRPr="009367C6">
                    <w:t>gadam aprēķināts, ņemot vērā 2008.gada iemaksu objekta maksimālo apmēru (29 600 lati) un t/s nodarbināto mēneša vidējās bruto darba samaksas pieaugumu faktiskajās cenās (Finanšu ministrijas dati, par 2014.gadu – Finanšu ministrijas prognoze 2014.gada budžeta scenārijam) laika periodā no 2009. līdz 2014.gadam. Iemaksu objekta maksimālais apmērs</w:t>
                  </w:r>
                  <w:r w:rsidR="0056018F" w:rsidRPr="009367C6">
                    <w:t xml:space="preserve"> </w:t>
                  </w:r>
                  <w:r w:rsidR="00C236D8" w:rsidRPr="009367C6">
                    <w:t xml:space="preserve">kalendāra </w:t>
                  </w:r>
                  <w:r w:rsidRPr="009367C6">
                    <w:t xml:space="preserve">gadam aprēķināts </w:t>
                  </w:r>
                  <w:r w:rsidRPr="009367C6">
                    <w:rPr>
                      <w:b/>
                    </w:rPr>
                    <w:t>32 600 latu apmērā</w:t>
                  </w:r>
                  <w:r w:rsidR="008C1F59" w:rsidRPr="009367C6">
                    <w:rPr>
                      <w:b/>
                    </w:rPr>
                    <w:t xml:space="preserve"> (46 400 </w:t>
                  </w:r>
                  <w:proofErr w:type="spellStart"/>
                  <w:r w:rsidR="008C1F59" w:rsidRPr="009367C6">
                    <w:rPr>
                      <w:b/>
                      <w:i/>
                    </w:rPr>
                    <w:t>euro</w:t>
                  </w:r>
                  <w:proofErr w:type="spellEnd"/>
                  <w:r w:rsidR="008C1F59" w:rsidRPr="009367C6">
                    <w:rPr>
                      <w:b/>
                    </w:rPr>
                    <w:t>)</w:t>
                  </w:r>
                  <w:r w:rsidRPr="009367C6">
                    <w:t>.</w:t>
                  </w:r>
                </w:p>
                <w:p w:rsidR="00B46DC0" w:rsidRPr="009367C6" w:rsidRDefault="00B46DC0" w:rsidP="006F1D43">
                  <w:pPr>
                    <w:jc w:val="both"/>
                  </w:pPr>
                </w:p>
                <w:p w:rsidR="00B46DC0" w:rsidRPr="009367C6" w:rsidRDefault="00B46DC0" w:rsidP="006F1D43">
                  <w:pPr>
                    <w:jc w:val="both"/>
                  </w:pPr>
                  <w:r w:rsidRPr="009367C6">
                    <w:t>Pēc VSAA datiem par 2012.gadu (dati ir iegūti ar sagatavošanas periodu 2013.gada augusts), sociāli apdrošināto personu ar iemaksu algu summu gadā virs 32 600 latiem skaits bija 4 259 personas (0.4% no kopējā apdrošināto personu skaita), un šo personu vidējā gada iemaksu algu summa bija 52 520 lati.</w:t>
                  </w:r>
                </w:p>
                <w:p w:rsidR="00B46DC0" w:rsidRPr="009367C6" w:rsidRDefault="00B46DC0" w:rsidP="00DD21FA">
                  <w:pPr>
                    <w:autoSpaceDE w:val="0"/>
                    <w:autoSpaceDN w:val="0"/>
                    <w:adjustRightInd w:val="0"/>
                    <w:jc w:val="both"/>
                  </w:pPr>
                  <w:r w:rsidRPr="009367C6">
                    <w:lastRenderedPageBreak/>
                    <w:t>Atbilstoši Finanšu ministrijas sniegtajai informācijai ietekme uz budžetu tiek rēķināta tikai sākot no 2015.gada, jo tikai nākamajā gadā VSAA atmaksā pārmaksātās iemaksas, ja tādas rodas.</w:t>
                  </w:r>
                </w:p>
                <w:p w:rsidR="00B46DC0" w:rsidRPr="009367C6" w:rsidRDefault="00B46DC0" w:rsidP="006F1D43">
                  <w:pPr>
                    <w:autoSpaceDE w:val="0"/>
                    <w:autoSpaceDN w:val="0"/>
                    <w:adjustRightInd w:val="0"/>
                  </w:pPr>
                </w:p>
                <w:p w:rsidR="006F1D43" w:rsidRPr="009367C6" w:rsidRDefault="006F1D43" w:rsidP="006F1D43">
                  <w:pPr>
                    <w:autoSpaceDE w:val="0"/>
                    <w:autoSpaceDN w:val="0"/>
                    <w:adjustRightInd w:val="0"/>
                  </w:pPr>
                  <w:r w:rsidRPr="009367C6">
                    <w:t xml:space="preserve">Ietekme no iemaksu objekta maksimālā apmēra piemērošanas, tūkst. </w:t>
                  </w:r>
                  <w:proofErr w:type="spellStart"/>
                  <w:r w:rsidRPr="009367C6">
                    <w:t>euro</w:t>
                  </w:r>
                  <w:proofErr w:type="spellEnd"/>
                  <w:r w:rsidRPr="009367C6">
                    <w:t xml:space="preserve"> (Finanšu ministrijas aprēķini)</w:t>
                  </w: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126"/>
                    <w:gridCol w:w="2115"/>
                  </w:tblGrid>
                  <w:tr w:rsidR="006F1D43" w:rsidRPr="009367C6" w:rsidTr="006F1D43">
                    <w:tc>
                      <w:tcPr>
                        <w:tcW w:w="2552" w:type="dxa"/>
                        <w:shd w:val="clear" w:color="auto" w:fill="auto"/>
                      </w:tcPr>
                      <w:p w:rsidR="006F1D43" w:rsidRPr="009367C6" w:rsidRDefault="006F1D43" w:rsidP="006F1D43"/>
                    </w:tc>
                    <w:tc>
                      <w:tcPr>
                        <w:tcW w:w="2126" w:type="dxa"/>
                        <w:shd w:val="clear" w:color="auto" w:fill="auto"/>
                      </w:tcPr>
                      <w:p w:rsidR="006F1D43" w:rsidRPr="009367C6" w:rsidRDefault="006F1D43" w:rsidP="006F1D43">
                        <w:pPr>
                          <w:jc w:val="center"/>
                        </w:pPr>
                        <w:r w:rsidRPr="009367C6">
                          <w:t>2015</w:t>
                        </w:r>
                      </w:p>
                    </w:tc>
                    <w:tc>
                      <w:tcPr>
                        <w:tcW w:w="2115" w:type="dxa"/>
                        <w:shd w:val="clear" w:color="auto" w:fill="auto"/>
                      </w:tcPr>
                      <w:p w:rsidR="006F1D43" w:rsidRPr="009367C6" w:rsidRDefault="006F1D43" w:rsidP="006F1D43">
                        <w:pPr>
                          <w:jc w:val="center"/>
                        </w:pPr>
                        <w:r w:rsidRPr="009367C6">
                          <w:t>2016</w:t>
                        </w:r>
                      </w:p>
                    </w:tc>
                  </w:tr>
                  <w:tr w:rsidR="006F1D43" w:rsidRPr="009367C6" w:rsidTr="006F1D43">
                    <w:tc>
                      <w:tcPr>
                        <w:tcW w:w="2552" w:type="dxa"/>
                        <w:shd w:val="clear" w:color="auto" w:fill="auto"/>
                      </w:tcPr>
                      <w:p w:rsidR="006F1D43" w:rsidRPr="009367C6" w:rsidRDefault="006F1D43" w:rsidP="006F1D43">
                        <w:r w:rsidRPr="009367C6">
                          <w:t>Ietekme uz VSAOI</w:t>
                        </w:r>
                      </w:p>
                    </w:tc>
                    <w:tc>
                      <w:tcPr>
                        <w:tcW w:w="2126" w:type="dxa"/>
                        <w:shd w:val="clear" w:color="auto" w:fill="auto"/>
                      </w:tcPr>
                      <w:p w:rsidR="006F1D43" w:rsidRPr="009367C6" w:rsidRDefault="006F1D43" w:rsidP="006F1D43">
                        <w:pPr>
                          <w:jc w:val="center"/>
                        </w:pPr>
                        <w:r w:rsidRPr="009367C6">
                          <w:t>-33 722.1</w:t>
                        </w:r>
                      </w:p>
                    </w:tc>
                    <w:tc>
                      <w:tcPr>
                        <w:tcW w:w="2115" w:type="dxa"/>
                        <w:shd w:val="clear" w:color="auto" w:fill="auto"/>
                      </w:tcPr>
                      <w:p w:rsidR="006F1D43" w:rsidRPr="009367C6" w:rsidRDefault="006F1D43" w:rsidP="006F1D43">
                        <w:pPr>
                          <w:jc w:val="center"/>
                        </w:pPr>
                        <w:r w:rsidRPr="009367C6">
                          <w:t xml:space="preserve"> -33 722.1</w:t>
                        </w:r>
                      </w:p>
                    </w:tc>
                  </w:tr>
                  <w:tr w:rsidR="006F1D43" w:rsidRPr="009367C6" w:rsidTr="006F1D43">
                    <w:tc>
                      <w:tcPr>
                        <w:tcW w:w="2552" w:type="dxa"/>
                        <w:shd w:val="clear" w:color="auto" w:fill="auto"/>
                      </w:tcPr>
                      <w:p w:rsidR="006F1D43" w:rsidRPr="009367C6" w:rsidRDefault="006F1D43" w:rsidP="006F1D43">
                        <w:r w:rsidRPr="009367C6">
                          <w:t>Ietekme uz IIN</w:t>
                        </w:r>
                      </w:p>
                    </w:tc>
                    <w:tc>
                      <w:tcPr>
                        <w:tcW w:w="2126" w:type="dxa"/>
                        <w:shd w:val="clear" w:color="auto" w:fill="auto"/>
                      </w:tcPr>
                      <w:p w:rsidR="006F1D43" w:rsidRPr="009367C6" w:rsidRDefault="006F1D43" w:rsidP="006F1D43">
                        <w:pPr>
                          <w:jc w:val="center"/>
                        </w:pPr>
                        <w:r w:rsidRPr="009367C6">
                          <w:t>+ 2 277.0</w:t>
                        </w:r>
                      </w:p>
                    </w:tc>
                    <w:tc>
                      <w:tcPr>
                        <w:tcW w:w="2115" w:type="dxa"/>
                        <w:shd w:val="clear" w:color="auto" w:fill="auto"/>
                      </w:tcPr>
                      <w:p w:rsidR="006F1D43" w:rsidRPr="009367C6" w:rsidRDefault="006F1D43" w:rsidP="006F1D43">
                        <w:pPr>
                          <w:jc w:val="center"/>
                        </w:pPr>
                        <w:r w:rsidRPr="009367C6">
                          <w:t>+ 2 134.0</w:t>
                        </w:r>
                      </w:p>
                    </w:tc>
                  </w:tr>
                  <w:tr w:rsidR="006F1D43" w:rsidRPr="009367C6" w:rsidTr="006F1D43">
                    <w:tc>
                      <w:tcPr>
                        <w:tcW w:w="2552" w:type="dxa"/>
                        <w:shd w:val="clear" w:color="auto" w:fill="auto"/>
                      </w:tcPr>
                      <w:p w:rsidR="006F1D43" w:rsidRPr="009367C6" w:rsidRDefault="006F1D43" w:rsidP="006F1D43">
                        <w:r w:rsidRPr="009367C6">
                          <w:t>Kopējā ietekme</w:t>
                        </w:r>
                      </w:p>
                    </w:tc>
                    <w:tc>
                      <w:tcPr>
                        <w:tcW w:w="2126" w:type="dxa"/>
                        <w:shd w:val="clear" w:color="auto" w:fill="auto"/>
                      </w:tcPr>
                      <w:p w:rsidR="006F1D43" w:rsidRPr="009367C6" w:rsidRDefault="006F1D43" w:rsidP="006F1D43">
                        <w:pPr>
                          <w:jc w:val="center"/>
                        </w:pPr>
                        <w:r w:rsidRPr="009367C6">
                          <w:t>-31 445.1</w:t>
                        </w:r>
                      </w:p>
                    </w:tc>
                    <w:tc>
                      <w:tcPr>
                        <w:tcW w:w="2115" w:type="dxa"/>
                        <w:shd w:val="clear" w:color="auto" w:fill="auto"/>
                      </w:tcPr>
                      <w:p w:rsidR="006F1D43" w:rsidRPr="009367C6" w:rsidRDefault="006F1D43" w:rsidP="006F1D43">
                        <w:pPr>
                          <w:jc w:val="center"/>
                        </w:pPr>
                        <w:r w:rsidRPr="009367C6">
                          <w:t>-31 588.1</w:t>
                        </w:r>
                      </w:p>
                    </w:tc>
                  </w:tr>
                </w:tbl>
                <w:p w:rsidR="00B46DC0" w:rsidRPr="009367C6" w:rsidRDefault="00B46DC0" w:rsidP="006F1D43">
                  <w:pPr>
                    <w:autoSpaceDE w:val="0"/>
                    <w:autoSpaceDN w:val="0"/>
                    <w:adjustRightInd w:val="0"/>
                    <w:rPr>
                      <w:rFonts w:ascii="Calibri" w:eastAsia="Calibri" w:hAnsi="Calibri" w:cs="Calibri"/>
                      <w:color w:val="000000"/>
                      <w:sz w:val="22"/>
                      <w:szCs w:val="22"/>
                    </w:rPr>
                  </w:pPr>
                </w:p>
                <w:p w:rsidR="00956042" w:rsidRPr="009367C6" w:rsidRDefault="00B46DC0" w:rsidP="006F1D43">
                  <w:pPr>
                    <w:jc w:val="both"/>
                  </w:pPr>
                  <w:r w:rsidRPr="009367C6">
                    <w:t xml:space="preserve">Ieņēmumu izmaiņas saistībā ar iemaksu objekta maksimālā apmēra piemērošanu </w:t>
                  </w:r>
                  <w:r w:rsidRPr="009367C6">
                    <w:rPr>
                      <w:b/>
                    </w:rPr>
                    <w:t>ir iekļautas valsts sociālās apdrošināšanas speciālā budžeta maksimālajā izdevumu apmērā</w:t>
                  </w:r>
                  <w:r w:rsidRPr="009367C6">
                    <w:t xml:space="preserve"> 2014.-2016.gadam atbilstoši </w:t>
                  </w:r>
                  <w:r w:rsidR="006C5503" w:rsidRPr="009367C6">
                    <w:t>2013.gada</w:t>
                  </w:r>
                  <w:r w:rsidR="008E3382" w:rsidRPr="009367C6">
                    <w:t xml:space="preserve"> </w:t>
                  </w:r>
                  <w:r w:rsidR="006C5503" w:rsidRPr="009367C6">
                    <w:t>7</w:t>
                  </w:r>
                  <w:r w:rsidR="008E3382" w:rsidRPr="009367C6">
                    <w:t>.n</w:t>
                  </w:r>
                  <w:r w:rsidR="006C5503" w:rsidRPr="009367C6">
                    <w:t>ovembr</w:t>
                  </w:r>
                  <w:r w:rsidR="006519BD" w:rsidRPr="009367C6">
                    <w:t>ī</w:t>
                  </w:r>
                  <w:r w:rsidR="006C5503" w:rsidRPr="009367C6">
                    <w:t xml:space="preserve"> Saeimā </w:t>
                  </w:r>
                  <w:r w:rsidR="006C5503" w:rsidRPr="009367C6">
                    <w:rPr>
                      <w:color w:val="000000"/>
                      <w:shd w:val="clear" w:color="auto" w:fill="FFFFFF"/>
                    </w:rPr>
                    <w:t>pieņemtaj</w:t>
                  </w:r>
                  <w:r w:rsidR="006519BD" w:rsidRPr="009367C6">
                    <w:rPr>
                      <w:color w:val="000000"/>
                      <w:shd w:val="clear" w:color="auto" w:fill="FFFFFF"/>
                    </w:rPr>
                    <w:t>a</w:t>
                  </w:r>
                  <w:r w:rsidR="006C5503" w:rsidRPr="009367C6">
                    <w:rPr>
                      <w:color w:val="000000"/>
                      <w:shd w:val="clear" w:color="auto" w:fill="FFFFFF"/>
                    </w:rPr>
                    <w:t>m</w:t>
                  </w:r>
                  <w:r w:rsidR="00A62E8A" w:rsidRPr="009367C6">
                    <w:rPr>
                      <w:color w:val="000000"/>
                      <w:shd w:val="clear" w:color="auto" w:fill="FFFFFF"/>
                    </w:rPr>
                    <w:t xml:space="preserve"> un 27. novembrī</w:t>
                  </w:r>
                  <w:r w:rsidR="006C5503" w:rsidRPr="00B1397A">
                    <w:rPr>
                      <w:color w:val="000000"/>
                      <w:shd w:val="clear" w:color="auto" w:fill="FFFFFF"/>
                    </w:rPr>
                    <w:t xml:space="preserve"> </w:t>
                  </w:r>
                  <w:r w:rsidR="00A62E8A" w:rsidRPr="00B1397A">
                    <w:rPr>
                      <w:color w:val="000000"/>
                      <w:shd w:val="clear" w:color="auto" w:fill="FFFFFF"/>
                    </w:rPr>
                    <w:t xml:space="preserve">izsludinātajam </w:t>
                  </w:r>
                  <w:r w:rsidR="006C5503" w:rsidRPr="00B1397A">
                    <w:rPr>
                      <w:color w:val="000000"/>
                      <w:shd w:val="clear" w:color="auto" w:fill="FFFFFF"/>
                    </w:rPr>
                    <w:t xml:space="preserve">likumam </w:t>
                  </w:r>
                  <w:r w:rsidR="006519BD" w:rsidRPr="00B1397A">
                    <w:rPr>
                      <w:color w:val="000000"/>
                      <w:shd w:val="clear" w:color="auto" w:fill="FFFFFF"/>
                    </w:rPr>
                    <w:t>„P</w:t>
                  </w:r>
                  <w:r w:rsidR="006C5503" w:rsidRPr="00B1397A">
                    <w:rPr>
                      <w:color w:val="000000"/>
                      <w:shd w:val="clear" w:color="auto" w:fill="FFFFFF"/>
                    </w:rPr>
                    <w:t xml:space="preserve">ar </w:t>
                  </w:r>
                  <w:r w:rsidR="00A62E8A" w:rsidRPr="00B1397A">
                    <w:rPr>
                      <w:color w:val="000000"/>
                      <w:shd w:val="clear" w:color="auto" w:fill="FFFFFF"/>
                    </w:rPr>
                    <w:t>vidēja termiņa budžeta ietvaru 2014.,2015.,2016.gadam”</w:t>
                  </w:r>
                  <w:r w:rsidRPr="00B1397A">
                    <w:t>:</w:t>
                  </w:r>
                  <w:r w:rsidR="00956042" w:rsidRPr="009367C6">
                    <w:t xml:space="preserve"> </w:t>
                  </w:r>
                </w:p>
                <w:p w:rsidR="00B46DC0" w:rsidRPr="0093577A" w:rsidRDefault="00B46DC0" w:rsidP="006F1D43">
                  <w:pPr>
                    <w:jc w:val="both"/>
                    <w:rPr>
                      <w:b/>
                    </w:rPr>
                  </w:pPr>
                </w:p>
                <w:p w:rsidR="00956042" w:rsidRPr="009367C6" w:rsidRDefault="00956042" w:rsidP="00956042">
                  <w:pPr>
                    <w:jc w:val="right"/>
                  </w:pPr>
                  <w:proofErr w:type="spellStart"/>
                  <w:r w:rsidRPr="009367C6">
                    <w:t>tūkst.euro</w:t>
                  </w:r>
                  <w:proofErr w:type="spellEnd"/>
                </w:p>
                <w:tbl>
                  <w:tblPr>
                    <w:tblW w:w="6779" w:type="dxa"/>
                    <w:tblInd w:w="574" w:type="dxa"/>
                    <w:tblLayout w:type="fixed"/>
                    <w:tblLook w:val="04A0" w:firstRow="1" w:lastRow="0" w:firstColumn="1" w:lastColumn="0" w:noHBand="0" w:noVBand="1"/>
                  </w:tblPr>
                  <w:tblGrid>
                    <w:gridCol w:w="2567"/>
                    <w:gridCol w:w="1404"/>
                    <w:gridCol w:w="1404"/>
                    <w:gridCol w:w="1404"/>
                  </w:tblGrid>
                  <w:tr w:rsidR="00956042" w:rsidRPr="009367C6" w:rsidTr="00956042">
                    <w:trPr>
                      <w:trHeight w:val="2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042" w:rsidRPr="009367C6" w:rsidRDefault="00956042" w:rsidP="00956042">
                        <w:r w:rsidRPr="009367C6">
                          <w:t> </w:t>
                        </w:r>
                      </w:p>
                    </w:tc>
                    <w:tc>
                      <w:tcPr>
                        <w:tcW w:w="1404" w:type="dxa"/>
                        <w:tcBorders>
                          <w:top w:val="single" w:sz="4" w:space="0" w:color="auto"/>
                          <w:left w:val="nil"/>
                          <w:bottom w:val="single" w:sz="4" w:space="0" w:color="auto"/>
                          <w:right w:val="single" w:sz="4" w:space="0" w:color="auto"/>
                        </w:tcBorders>
                        <w:shd w:val="clear" w:color="000000" w:fill="auto"/>
                        <w:noWrap/>
                        <w:vAlign w:val="bottom"/>
                      </w:tcPr>
                      <w:p w:rsidR="00956042" w:rsidRPr="009367C6" w:rsidRDefault="00956042" w:rsidP="00956042">
                        <w:pPr>
                          <w:jc w:val="center"/>
                        </w:pPr>
                        <w:r w:rsidRPr="009367C6">
                          <w:t>2014</w:t>
                        </w:r>
                      </w:p>
                    </w:tc>
                    <w:tc>
                      <w:tcPr>
                        <w:tcW w:w="1404" w:type="dxa"/>
                        <w:tcBorders>
                          <w:top w:val="single" w:sz="4" w:space="0" w:color="auto"/>
                          <w:left w:val="nil"/>
                          <w:bottom w:val="single" w:sz="4" w:space="0" w:color="auto"/>
                          <w:right w:val="single" w:sz="4" w:space="0" w:color="auto"/>
                        </w:tcBorders>
                        <w:shd w:val="clear" w:color="000000" w:fill="auto"/>
                        <w:noWrap/>
                        <w:vAlign w:val="bottom"/>
                      </w:tcPr>
                      <w:p w:rsidR="00956042" w:rsidRPr="009367C6" w:rsidRDefault="00956042" w:rsidP="00956042">
                        <w:pPr>
                          <w:jc w:val="center"/>
                        </w:pPr>
                        <w:r w:rsidRPr="009367C6">
                          <w:t>2015</w:t>
                        </w:r>
                      </w:p>
                    </w:tc>
                    <w:tc>
                      <w:tcPr>
                        <w:tcW w:w="1404" w:type="dxa"/>
                        <w:tcBorders>
                          <w:top w:val="single" w:sz="4" w:space="0" w:color="auto"/>
                          <w:left w:val="nil"/>
                          <w:bottom w:val="single" w:sz="4" w:space="0" w:color="auto"/>
                          <w:right w:val="single" w:sz="4" w:space="0" w:color="auto"/>
                        </w:tcBorders>
                        <w:shd w:val="clear" w:color="000000" w:fill="auto"/>
                        <w:noWrap/>
                        <w:vAlign w:val="bottom"/>
                      </w:tcPr>
                      <w:p w:rsidR="00956042" w:rsidRPr="009367C6" w:rsidRDefault="00956042" w:rsidP="00956042">
                        <w:pPr>
                          <w:jc w:val="center"/>
                        </w:pPr>
                        <w:r w:rsidRPr="009367C6">
                          <w:t>2016</w:t>
                        </w:r>
                      </w:p>
                    </w:tc>
                  </w:tr>
                  <w:tr w:rsidR="006B3284" w:rsidRPr="009367C6" w:rsidTr="00956042">
                    <w:trPr>
                      <w:trHeight w:val="528"/>
                    </w:trPr>
                    <w:tc>
                      <w:tcPr>
                        <w:tcW w:w="2567" w:type="dxa"/>
                        <w:tcBorders>
                          <w:top w:val="nil"/>
                          <w:left w:val="single" w:sz="4" w:space="0" w:color="auto"/>
                          <w:bottom w:val="single" w:sz="4" w:space="0" w:color="auto"/>
                          <w:right w:val="single" w:sz="4" w:space="0" w:color="auto"/>
                        </w:tcBorders>
                        <w:shd w:val="clear" w:color="auto" w:fill="auto"/>
                        <w:vAlign w:val="bottom"/>
                      </w:tcPr>
                      <w:p w:rsidR="006B3284" w:rsidRPr="009367C6" w:rsidRDefault="006B3284" w:rsidP="006B3284">
                        <w:r w:rsidRPr="009367C6">
                          <w:t>Kopējās iemaksas, tūkst. EUR</w:t>
                        </w:r>
                      </w:p>
                    </w:tc>
                    <w:tc>
                      <w:tcPr>
                        <w:tcW w:w="1404" w:type="dxa"/>
                        <w:tcBorders>
                          <w:top w:val="nil"/>
                          <w:left w:val="nil"/>
                          <w:bottom w:val="single" w:sz="4" w:space="0" w:color="auto"/>
                          <w:right w:val="single" w:sz="4" w:space="0" w:color="auto"/>
                        </w:tcBorders>
                        <w:shd w:val="clear" w:color="auto" w:fill="auto"/>
                        <w:noWrap/>
                        <w:vAlign w:val="bottom"/>
                      </w:tcPr>
                      <w:p w:rsidR="006B3284" w:rsidRPr="009367C6" w:rsidRDefault="006B3284" w:rsidP="00F56B33">
                        <w:r w:rsidRPr="009367C6">
                          <w:t>2 223 836.2</w:t>
                        </w:r>
                      </w:p>
                    </w:tc>
                    <w:tc>
                      <w:tcPr>
                        <w:tcW w:w="1404" w:type="dxa"/>
                        <w:tcBorders>
                          <w:top w:val="nil"/>
                          <w:left w:val="nil"/>
                          <w:bottom w:val="single" w:sz="4" w:space="0" w:color="auto"/>
                          <w:right w:val="single" w:sz="4" w:space="0" w:color="auto"/>
                        </w:tcBorders>
                        <w:shd w:val="clear" w:color="auto" w:fill="auto"/>
                        <w:noWrap/>
                        <w:vAlign w:val="bottom"/>
                      </w:tcPr>
                      <w:p w:rsidR="006B3284" w:rsidRPr="009367C6" w:rsidRDefault="006B3284" w:rsidP="006B3284">
                        <w:pPr>
                          <w:jc w:val="center"/>
                        </w:pPr>
                        <w:r w:rsidRPr="009367C6">
                          <w:t>2 322 967.6</w:t>
                        </w:r>
                      </w:p>
                    </w:tc>
                    <w:tc>
                      <w:tcPr>
                        <w:tcW w:w="1404" w:type="dxa"/>
                        <w:tcBorders>
                          <w:top w:val="nil"/>
                          <w:left w:val="nil"/>
                          <w:bottom w:val="single" w:sz="4" w:space="0" w:color="auto"/>
                          <w:right w:val="single" w:sz="4" w:space="0" w:color="auto"/>
                        </w:tcBorders>
                        <w:shd w:val="clear" w:color="auto" w:fill="auto"/>
                        <w:noWrap/>
                        <w:vAlign w:val="bottom"/>
                      </w:tcPr>
                      <w:p w:rsidR="006B3284" w:rsidRPr="009367C6" w:rsidRDefault="006B3284" w:rsidP="006B3284">
                        <w:pPr>
                          <w:jc w:val="center"/>
                        </w:pPr>
                        <w:r w:rsidRPr="009367C6">
                          <w:t>2 458 839.3</w:t>
                        </w:r>
                      </w:p>
                    </w:tc>
                  </w:tr>
                  <w:tr w:rsidR="00956042" w:rsidRPr="009367C6" w:rsidTr="00956042">
                    <w:trPr>
                      <w:trHeight w:val="264"/>
                    </w:trPr>
                    <w:tc>
                      <w:tcPr>
                        <w:tcW w:w="2567" w:type="dxa"/>
                        <w:tcBorders>
                          <w:top w:val="nil"/>
                          <w:left w:val="single" w:sz="4" w:space="0" w:color="auto"/>
                          <w:bottom w:val="single" w:sz="4" w:space="0" w:color="auto"/>
                          <w:right w:val="single" w:sz="4" w:space="0" w:color="auto"/>
                        </w:tcBorders>
                        <w:shd w:val="clear" w:color="auto" w:fill="auto"/>
                        <w:vAlign w:val="bottom"/>
                      </w:tcPr>
                      <w:p w:rsidR="00956042" w:rsidRPr="009367C6" w:rsidRDefault="00956042" w:rsidP="00956042">
                        <w:r w:rsidRPr="009367C6">
                          <w:t>no tām:</w:t>
                        </w:r>
                      </w:p>
                    </w:tc>
                    <w:tc>
                      <w:tcPr>
                        <w:tcW w:w="1404" w:type="dxa"/>
                        <w:tcBorders>
                          <w:top w:val="nil"/>
                          <w:left w:val="nil"/>
                          <w:bottom w:val="single" w:sz="4" w:space="0" w:color="auto"/>
                          <w:right w:val="single" w:sz="4" w:space="0" w:color="auto"/>
                        </w:tcBorders>
                        <w:shd w:val="clear" w:color="auto" w:fill="auto"/>
                        <w:noWrap/>
                        <w:vAlign w:val="bottom"/>
                      </w:tcPr>
                      <w:p w:rsidR="00956042" w:rsidRPr="009367C6" w:rsidRDefault="00956042" w:rsidP="00956042">
                        <w:r w:rsidRPr="009367C6">
                          <w:t> </w:t>
                        </w:r>
                      </w:p>
                    </w:tc>
                    <w:tc>
                      <w:tcPr>
                        <w:tcW w:w="1404" w:type="dxa"/>
                        <w:tcBorders>
                          <w:top w:val="nil"/>
                          <w:left w:val="nil"/>
                          <w:bottom w:val="single" w:sz="4" w:space="0" w:color="auto"/>
                          <w:right w:val="single" w:sz="4" w:space="0" w:color="auto"/>
                        </w:tcBorders>
                        <w:shd w:val="clear" w:color="auto" w:fill="auto"/>
                        <w:noWrap/>
                        <w:vAlign w:val="bottom"/>
                      </w:tcPr>
                      <w:p w:rsidR="00956042" w:rsidRPr="009367C6" w:rsidRDefault="00956042" w:rsidP="00956042">
                        <w:r w:rsidRPr="009367C6">
                          <w:t> </w:t>
                        </w:r>
                      </w:p>
                    </w:tc>
                    <w:tc>
                      <w:tcPr>
                        <w:tcW w:w="1404" w:type="dxa"/>
                        <w:tcBorders>
                          <w:top w:val="nil"/>
                          <w:left w:val="nil"/>
                          <w:bottom w:val="single" w:sz="4" w:space="0" w:color="auto"/>
                          <w:right w:val="single" w:sz="4" w:space="0" w:color="auto"/>
                        </w:tcBorders>
                        <w:shd w:val="clear" w:color="auto" w:fill="auto"/>
                        <w:noWrap/>
                        <w:vAlign w:val="bottom"/>
                      </w:tcPr>
                      <w:p w:rsidR="00956042" w:rsidRPr="009367C6" w:rsidRDefault="00956042" w:rsidP="00956042">
                        <w:r w:rsidRPr="009367C6">
                          <w:t> </w:t>
                        </w:r>
                      </w:p>
                    </w:tc>
                  </w:tr>
                  <w:tr w:rsidR="006B3284" w:rsidRPr="009367C6" w:rsidTr="00956042">
                    <w:trPr>
                      <w:trHeight w:val="264"/>
                    </w:trPr>
                    <w:tc>
                      <w:tcPr>
                        <w:tcW w:w="2567" w:type="dxa"/>
                        <w:tcBorders>
                          <w:top w:val="nil"/>
                          <w:left w:val="single" w:sz="4" w:space="0" w:color="auto"/>
                          <w:bottom w:val="single" w:sz="4" w:space="0" w:color="auto"/>
                          <w:right w:val="single" w:sz="4" w:space="0" w:color="auto"/>
                        </w:tcBorders>
                        <w:shd w:val="clear" w:color="auto" w:fill="auto"/>
                        <w:vAlign w:val="bottom"/>
                      </w:tcPr>
                      <w:p w:rsidR="006B3284" w:rsidRPr="009367C6" w:rsidRDefault="006B3284" w:rsidP="00956042">
                        <w:pPr>
                          <w:jc w:val="right"/>
                        </w:pPr>
                        <w:r w:rsidRPr="009367C6">
                          <w:t xml:space="preserve"> iemaksas speciālajā budžetā</w:t>
                        </w:r>
                      </w:p>
                    </w:tc>
                    <w:tc>
                      <w:tcPr>
                        <w:tcW w:w="1404" w:type="dxa"/>
                        <w:tcBorders>
                          <w:top w:val="nil"/>
                          <w:left w:val="nil"/>
                          <w:bottom w:val="single" w:sz="4" w:space="0" w:color="auto"/>
                          <w:right w:val="single" w:sz="4" w:space="0" w:color="auto"/>
                        </w:tcBorders>
                        <w:shd w:val="clear" w:color="auto" w:fill="auto"/>
                        <w:noWrap/>
                        <w:vAlign w:val="bottom"/>
                      </w:tcPr>
                      <w:p w:rsidR="006B3284" w:rsidRPr="009367C6" w:rsidRDefault="006B3284" w:rsidP="00F56B33">
                        <w:pPr>
                          <w:jc w:val="right"/>
                        </w:pPr>
                        <w:r w:rsidRPr="009367C6">
                          <w:t>1 984 675.9</w:t>
                        </w:r>
                      </w:p>
                    </w:tc>
                    <w:tc>
                      <w:tcPr>
                        <w:tcW w:w="1404" w:type="dxa"/>
                        <w:tcBorders>
                          <w:top w:val="nil"/>
                          <w:left w:val="nil"/>
                          <w:bottom w:val="single" w:sz="4" w:space="0" w:color="auto"/>
                          <w:right w:val="single" w:sz="4" w:space="0" w:color="auto"/>
                        </w:tcBorders>
                        <w:shd w:val="clear" w:color="auto" w:fill="auto"/>
                        <w:noWrap/>
                        <w:vAlign w:val="bottom"/>
                      </w:tcPr>
                      <w:p w:rsidR="006B3284" w:rsidRPr="009367C6" w:rsidRDefault="006B3284" w:rsidP="006B3284">
                        <w:pPr>
                          <w:jc w:val="center"/>
                        </w:pPr>
                        <w:r w:rsidRPr="009367C6">
                          <w:t>2 029 293.3</w:t>
                        </w:r>
                      </w:p>
                    </w:tc>
                    <w:tc>
                      <w:tcPr>
                        <w:tcW w:w="1404" w:type="dxa"/>
                        <w:tcBorders>
                          <w:top w:val="nil"/>
                          <w:left w:val="nil"/>
                          <w:bottom w:val="single" w:sz="4" w:space="0" w:color="auto"/>
                          <w:right w:val="single" w:sz="4" w:space="0" w:color="auto"/>
                        </w:tcBorders>
                        <w:shd w:val="clear" w:color="auto" w:fill="auto"/>
                        <w:noWrap/>
                        <w:vAlign w:val="bottom"/>
                      </w:tcPr>
                      <w:p w:rsidR="006B3284" w:rsidRPr="009367C6" w:rsidRDefault="006B3284" w:rsidP="006B3284">
                        <w:pPr>
                          <w:jc w:val="center"/>
                        </w:pPr>
                        <w:r w:rsidRPr="009367C6">
                          <w:t>2 083 607.6</w:t>
                        </w:r>
                      </w:p>
                    </w:tc>
                  </w:tr>
                </w:tbl>
                <w:p w:rsidR="008E3382" w:rsidRPr="009367C6" w:rsidRDefault="008E3382" w:rsidP="006F1D43">
                  <w:pPr>
                    <w:autoSpaceDE w:val="0"/>
                    <w:autoSpaceDN w:val="0"/>
                    <w:adjustRightInd w:val="0"/>
                  </w:pPr>
                </w:p>
                <w:p w:rsidR="00B46DC0" w:rsidRPr="009367C6" w:rsidRDefault="00B46DC0" w:rsidP="006F1D43">
                  <w:pPr>
                    <w:jc w:val="both"/>
                  </w:pPr>
                </w:p>
              </w:tc>
            </w:tr>
            <w:tr w:rsidR="00B46DC0" w:rsidRPr="009367C6" w:rsidTr="00871467">
              <w:tc>
                <w:tcPr>
                  <w:tcW w:w="1708" w:type="dxa"/>
                  <w:shd w:val="clear" w:color="auto" w:fill="auto"/>
                </w:tcPr>
                <w:p w:rsidR="00B46DC0" w:rsidRPr="009367C6" w:rsidRDefault="00B46DC0" w:rsidP="006F1D43">
                  <w:r w:rsidRPr="009367C6">
                    <w:lastRenderedPageBreak/>
                    <w:t>6.2. Detalizēts izdevumu aprēķins</w:t>
                  </w:r>
                </w:p>
              </w:tc>
              <w:tc>
                <w:tcPr>
                  <w:tcW w:w="7579" w:type="dxa"/>
                  <w:gridSpan w:val="5"/>
                  <w:shd w:val="clear" w:color="auto" w:fill="auto"/>
                </w:tcPr>
                <w:p w:rsidR="002F2643" w:rsidRPr="009367C6" w:rsidRDefault="00B46DC0" w:rsidP="00B63739">
                  <w:pPr>
                    <w:spacing w:after="120"/>
                    <w:jc w:val="both"/>
                  </w:pPr>
                  <w:r w:rsidRPr="009367C6">
                    <w:t>Tā kā iemaksu objekta maksimālā apmēra noteikšana skar tikai 0.4% no sociāli apdrošināto personu skaita, tad ietekme uz budžeta izdevumiem būs nebūtiska</w:t>
                  </w:r>
                  <w:r w:rsidR="00B63739" w:rsidRPr="009367C6">
                    <w:t xml:space="preserve">, jo </w:t>
                  </w:r>
                  <w:r w:rsidR="00B63739" w:rsidRPr="009367C6">
                    <w:rPr>
                      <w:rFonts w:eastAsiaTheme="minorHAnsi"/>
                      <w:color w:val="000000"/>
                      <w:lang w:eastAsia="en-US"/>
                    </w:rPr>
                    <w:t>iemaksu veicēji virs iemaksu objekta maksimuma ir tikai aptuveni 0,4% no apdrošināto personu skaita un vēl jo mazāk no šīm personām ir personas, kuras pieprasītu pabalstu vai pensionētos. Tādējādi noteikumu projekta īstenošana tiks nodrošināta valsts sociālās apdrošināšanas speciālajā budžetā piešķirto līdzekļu ietvaros.</w:t>
                  </w:r>
                </w:p>
              </w:tc>
            </w:tr>
            <w:tr w:rsidR="00B46DC0" w:rsidRPr="009367C6" w:rsidTr="00871467">
              <w:tc>
                <w:tcPr>
                  <w:tcW w:w="1708" w:type="dxa"/>
                  <w:shd w:val="clear" w:color="auto" w:fill="auto"/>
                </w:tcPr>
                <w:p w:rsidR="00B46DC0" w:rsidRPr="009367C6" w:rsidRDefault="00B46DC0" w:rsidP="006F1D43">
                  <w:pPr>
                    <w:jc w:val="both"/>
                  </w:pPr>
                  <w:r w:rsidRPr="009367C6">
                    <w:t>7. Cita informācija</w:t>
                  </w:r>
                </w:p>
              </w:tc>
              <w:tc>
                <w:tcPr>
                  <w:tcW w:w="7579" w:type="dxa"/>
                  <w:gridSpan w:val="5"/>
                  <w:shd w:val="clear" w:color="auto" w:fill="auto"/>
                </w:tcPr>
                <w:p w:rsidR="00B46DC0" w:rsidRPr="00B1397A" w:rsidRDefault="009367C6" w:rsidP="006F1D43">
                  <w:pPr>
                    <w:tabs>
                      <w:tab w:val="left" w:pos="720"/>
                    </w:tabs>
                    <w:jc w:val="both"/>
                  </w:pPr>
                  <w:r w:rsidRPr="00B1397A">
                    <w:t>Nav</w:t>
                  </w:r>
                </w:p>
              </w:tc>
            </w:tr>
          </w:tbl>
          <w:p w:rsidR="00B46DC0" w:rsidRPr="009367C6" w:rsidRDefault="00B46DC0" w:rsidP="006F1D43">
            <w:pPr>
              <w:jc w:val="center"/>
              <w:rPr>
                <w:b/>
              </w:rPr>
            </w:pPr>
          </w:p>
        </w:tc>
      </w:tr>
      <w:tr w:rsidR="00970D03" w:rsidRPr="00B56D70" w:rsidTr="003B30F4">
        <w:tc>
          <w:tcPr>
            <w:tcW w:w="9464" w:type="dxa"/>
            <w:gridSpan w:val="4"/>
          </w:tcPr>
          <w:p w:rsidR="00CE1133" w:rsidRPr="009367C6" w:rsidRDefault="00CE1133" w:rsidP="00CE1133">
            <w:pPr>
              <w:jc w:val="center"/>
            </w:pPr>
          </w:p>
          <w:p w:rsidR="00DB123C" w:rsidRPr="0093577A" w:rsidRDefault="00DB123C" w:rsidP="00CE113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3072"/>
              <w:gridCol w:w="5819"/>
            </w:tblGrid>
            <w:tr w:rsidR="00CE1133" w:rsidRPr="009367C6" w:rsidTr="006F1D43">
              <w:tc>
                <w:tcPr>
                  <w:tcW w:w="9287" w:type="dxa"/>
                  <w:gridSpan w:val="3"/>
                </w:tcPr>
                <w:p w:rsidR="00CE1133" w:rsidRPr="009367C6" w:rsidRDefault="00CE1133" w:rsidP="006F1D43">
                  <w:pPr>
                    <w:jc w:val="center"/>
                    <w:rPr>
                      <w:b/>
                    </w:rPr>
                  </w:pPr>
                  <w:r w:rsidRPr="009367C6">
                    <w:rPr>
                      <w:b/>
                    </w:rPr>
                    <w:t xml:space="preserve">IV Tiesību </w:t>
                  </w:r>
                  <w:smartTag w:uri="schemas-tilde-lv/tildestengine" w:element="veidnes">
                    <w:smartTagPr>
                      <w:attr w:name="baseform" w:val="akt|s"/>
                      <w:attr w:name="id" w:val="-1"/>
                      <w:attr w:name="text" w:val="akta"/>
                    </w:smartTagPr>
                    <w:r w:rsidRPr="009367C6">
                      <w:rPr>
                        <w:b/>
                      </w:rPr>
                      <w:t>akta</w:t>
                    </w:r>
                  </w:smartTag>
                  <w:r w:rsidRPr="009367C6">
                    <w:rPr>
                      <w:b/>
                    </w:rPr>
                    <w:t xml:space="preserve"> projekta ietekme uz spēkā esošo tiesību normu sistēmu</w:t>
                  </w:r>
                </w:p>
              </w:tc>
            </w:tr>
            <w:tr w:rsidR="00CE1133" w:rsidRPr="009367C6" w:rsidTr="006F1D43">
              <w:tc>
                <w:tcPr>
                  <w:tcW w:w="396" w:type="dxa"/>
                </w:tcPr>
                <w:p w:rsidR="00CE1133" w:rsidRPr="009367C6" w:rsidRDefault="00CE1133" w:rsidP="006F1D43">
                  <w:r w:rsidRPr="009367C6">
                    <w:t>1.</w:t>
                  </w:r>
                </w:p>
              </w:tc>
              <w:tc>
                <w:tcPr>
                  <w:tcW w:w="3072" w:type="dxa"/>
                </w:tcPr>
                <w:p w:rsidR="00CE1133" w:rsidRPr="009367C6" w:rsidRDefault="00CE1133" w:rsidP="006F1D43">
                  <w:r w:rsidRPr="009367C6">
                    <w:t xml:space="preserve">Nepieciešamie saistītie tiesību </w:t>
                  </w:r>
                  <w:smartTag w:uri="schemas-tilde-lv/tildestengine" w:element="veidnes">
                    <w:smartTagPr>
                      <w:attr w:name="baseform" w:val="akt|s"/>
                      <w:attr w:name="id" w:val="-1"/>
                      <w:attr w:name="text" w:val="aktu"/>
                    </w:smartTagPr>
                    <w:r w:rsidRPr="009367C6">
                      <w:t>aktu</w:t>
                    </w:r>
                  </w:smartTag>
                  <w:r w:rsidRPr="009367C6">
                    <w:t xml:space="preserve"> projekti</w:t>
                  </w:r>
                </w:p>
              </w:tc>
              <w:tc>
                <w:tcPr>
                  <w:tcW w:w="5819" w:type="dxa"/>
                </w:tcPr>
                <w:p w:rsidR="00CE1133" w:rsidRPr="009367C6" w:rsidRDefault="00CE1133" w:rsidP="00F26A0B">
                  <w:pPr>
                    <w:jc w:val="both"/>
                  </w:pPr>
                  <w:r w:rsidRPr="009367C6">
                    <w:t xml:space="preserve">Noteikumu projekts jāvirza </w:t>
                  </w:r>
                  <w:r w:rsidR="00F26A0B" w:rsidRPr="009367C6">
                    <w:t xml:space="preserve">vienlaicīgi </w:t>
                  </w:r>
                  <w:r w:rsidRPr="009367C6">
                    <w:t xml:space="preserve">ar </w:t>
                  </w:r>
                  <w:r w:rsidRPr="009367C6">
                    <w:rPr>
                      <w:iCs/>
                    </w:rPr>
                    <w:t xml:space="preserve">Ministru kabineta noteikumu projektu „Grozījumi Ministru kabineta </w:t>
                  </w:r>
                  <w:r w:rsidRPr="009367C6">
                    <w:t>2010.gada 12.oktobra noteikumos Nr.976 “Noteikumi par brīvprātīgu pievienošanos valsts sociālajai apdrošināšanai””.</w:t>
                  </w:r>
                </w:p>
              </w:tc>
            </w:tr>
            <w:tr w:rsidR="00CE1133" w:rsidRPr="009367C6" w:rsidTr="006F1D43">
              <w:tc>
                <w:tcPr>
                  <w:tcW w:w="396" w:type="dxa"/>
                </w:tcPr>
                <w:p w:rsidR="00CE1133" w:rsidRPr="009367C6" w:rsidRDefault="00CE1133" w:rsidP="006F1D43">
                  <w:r w:rsidRPr="009367C6">
                    <w:t xml:space="preserve">2. </w:t>
                  </w:r>
                </w:p>
              </w:tc>
              <w:tc>
                <w:tcPr>
                  <w:tcW w:w="3072" w:type="dxa"/>
                </w:tcPr>
                <w:p w:rsidR="00CE1133" w:rsidRPr="009367C6" w:rsidRDefault="00CE1133" w:rsidP="006F1D43">
                  <w:r w:rsidRPr="009367C6">
                    <w:t>Cita informācija</w:t>
                  </w:r>
                </w:p>
              </w:tc>
              <w:tc>
                <w:tcPr>
                  <w:tcW w:w="5819" w:type="dxa"/>
                </w:tcPr>
                <w:p w:rsidR="00CE1133" w:rsidRPr="009367C6" w:rsidRDefault="00CE1133" w:rsidP="006F1D43">
                  <w:pPr>
                    <w:jc w:val="both"/>
                  </w:pPr>
                  <w:r w:rsidRPr="009367C6">
                    <w:t>Nav</w:t>
                  </w:r>
                </w:p>
              </w:tc>
            </w:tr>
          </w:tbl>
          <w:p w:rsidR="00970D03" w:rsidRPr="009367C6" w:rsidRDefault="00970D03" w:rsidP="006F1D43">
            <w:pPr>
              <w:jc w:val="center"/>
              <w:rPr>
                <w:b/>
              </w:rPr>
            </w:pPr>
          </w:p>
        </w:tc>
      </w:tr>
      <w:tr w:rsidR="00970D03" w:rsidRPr="00B56D70" w:rsidTr="003B30F4">
        <w:tc>
          <w:tcPr>
            <w:tcW w:w="9464" w:type="dxa"/>
            <w:gridSpan w:val="4"/>
          </w:tcPr>
          <w:p w:rsidR="00130CD1" w:rsidRPr="009367C6" w:rsidRDefault="00130CD1" w:rsidP="006F1D43">
            <w:pPr>
              <w:jc w:val="center"/>
              <w:rPr>
                <w:b/>
              </w:rPr>
            </w:pPr>
          </w:p>
          <w:p w:rsidR="00970D03" w:rsidRPr="00D4449D" w:rsidRDefault="00970D03" w:rsidP="006F1D43">
            <w:pPr>
              <w:jc w:val="center"/>
            </w:pPr>
            <w:r w:rsidRPr="0093577A">
              <w:rPr>
                <w:b/>
              </w:rPr>
              <w:t>V. Tiesību akta projekta atbilstība Latvijas Republikas starptautiskajām saistībām</w:t>
            </w:r>
          </w:p>
        </w:tc>
      </w:tr>
      <w:tr w:rsidR="00970D03" w:rsidRPr="00B56D70" w:rsidTr="003B30F4">
        <w:tc>
          <w:tcPr>
            <w:tcW w:w="9464" w:type="dxa"/>
            <w:gridSpan w:val="4"/>
          </w:tcPr>
          <w:p w:rsidR="00970D03" w:rsidRPr="009367C6" w:rsidRDefault="00970D03" w:rsidP="006F1D43">
            <w:pPr>
              <w:jc w:val="center"/>
              <w:rPr>
                <w:b/>
              </w:rPr>
            </w:pPr>
            <w:r w:rsidRPr="009367C6">
              <w:t>Projekts šo jomu neskar</w:t>
            </w:r>
          </w:p>
        </w:tc>
      </w:tr>
      <w:tr w:rsidR="00970D03" w:rsidRPr="00B56D70" w:rsidTr="003B30F4">
        <w:tc>
          <w:tcPr>
            <w:tcW w:w="9464" w:type="dxa"/>
            <w:gridSpan w:val="4"/>
          </w:tcPr>
          <w:p w:rsidR="00970D03" w:rsidRPr="009367C6" w:rsidRDefault="00970D03" w:rsidP="006F1D43">
            <w:pPr>
              <w:jc w:val="center"/>
              <w:rPr>
                <w:b/>
              </w:rPr>
            </w:pPr>
            <w:r w:rsidRPr="009367C6">
              <w:rPr>
                <w:b/>
              </w:rPr>
              <w:t>VI Sabiedrības līdzdalība un šīs līdzdalības rezultāti</w:t>
            </w:r>
          </w:p>
        </w:tc>
      </w:tr>
      <w:tr w:rsidR="00970D03" w:rsidRPr="00B56D70" w:rsidTr="003B30F4">
        <w:trPr>
          <w:trHeight w:val="351"/>
        </w:trPr>
        <w:tc>
          <w:tcPr>
            <w:tcW w:w="534" w:type="dxa"/>
          </w:tcPr>
          <w:p w:rsidR="00970D03" w:rsidRPr="00B56D70" w:rsidRDefault="00970D03" w:rsidP="006F1D43">
            <w:pPr>
              <w:jc w:val="center"/>
            </w:pPr>
            <w:r w:rsidRPr="00B56D70">
              <w:t>1.</w:t>
            </w:r>
          </w:p>
        </w:tc>
        <w:tc>
          <w:tcPr>
            <w:tcW w:w="2078" w:type="dxa"/>
            <w:gridSpan w:val="2"/>
          </w:tcPr>
          <w:p w:rsidR="00970D03" w:rsidRPr="00B56D70" w:rsidRDefault="00970D03" w:rsidP="006F1D43">
            <w:r w:rsidRPr="00B56D70">
              <w:t xml:space="preserve">Sabiedrības informēšana par projekta izstrādes </w:t>
            </w:r>
            <w:r w:rsidRPr="00B56D70">
              <w:lastRenderedPageBreak/>
              <w:t>uzsākšanu</w:t>
            </w:r>
          </w:p>
        </w:tc>
        <w:tc>
          <w:tcPr>
            <w:tcW w:w="6852" w:type="dxa"/>
          </w:tcPr>
          <w:p w:rsidR="00970D03" w:rsidRPr="00B56D70" w:rsidRDefault="00970D03" w:rsidP="006F1D43">
            <w:pPr>
              <w:autoSpaceDE w:val="0"/>
              <w:autoSpaceDN w:val="0"/>
              <w:adjustRightInd w:val="0"/>
              <w:jc w:val="both"/>
            </w:pPr>
            <w:r w:rsidRPr="00B56D70">
              <w:lastRenderedPageBreak/>
              <w:t>Projekts šo jomu neskar.</w:t>
            </w:r>
          </w:p>
        </w:tc>
      </w:tr>
      <w:tr w:rsidR="00970D03" w:rsidRPr="00B56D70" w:rsidTr="003B30F4">
        <w:trPr>
          <w:trHeight w:val="348"/>
        </w:trPr>
        <w:tc>
          <w:tcPr>
            <w:tcW w:w="534" w:type="dxa"/>
          </w:tcPr>
          <w:p w:rsidR="00970D03" w:rsidRPr="00B56D70" w:rsidRDefault="00970D03" w:rsidP="006F1D43">
            <w:pPr>
              <w:jc w:val="center"/>
            </w:pPr>
            <w:r w:rsidRPr="00B56D70">
              <w:lastRenderedPageBreak/>
              <w:t>2.</w:t>
            </w:r>
          </w:p>
        </w:tc>
        <w:tc>
          <w:tcPr>
            <w:tcW w:w="2078" w:type="dxa"/>
            <w:gridSpan w:val="2"/>
          </w:tcPr>
          <w:p w:rsidR="00970D03" w:rsidRPr="00B56D70" w:rsidRDefault="00970D03" w:rsidP="006F1D43">
            <w:r w:rsidRPr="00B56D70">
              <w:t>Sabiedrības līdzdalība projekta izstrādē</w:t>
            </w:r>
          </w:p>
        </w:tc>
        <w:tc>
          <w:tcPr>
            <w:tcW w:w="6852" w:type="dxa"/>
          </w:tcPr>
          <w:p w:rsidR="00970D03" w:rsidRPr="00B56D70" w:rsidRDefault="00970D03" w:rsidP="006F1D43">
            <w:pPr>
              <w:shd w:val="clear" w:color="auto" w:fill="FAFBF7"/>
              <w:spacing w:before="75" w:after="75" w:line="225" w:lineRule="atLeast"/>
              <w:jc w:val="both"/>
            </w:pPr>
            <w:r w:rsidRPr="00B56D70">
              <w:t>Projekts šo jomu neskar.</w:t>
            </w:r>
          </w:p>
        </w:tc>
      </w:tr>
      <w:tr w:rsidR="00970D03" w:rsidRPr="00B56D70" w:rsidTr="003B30F4">
        <w:trPr>
          <w:trHeight w:val="348"/>
        </w:trPr>
        <w:tc>
          <w:tcPr>
            <w:tcW w:w="534" w:type="dxa"/>
          </w:tcPr>
          <w:p w:rsidR="00970D03" w:rsidRPr="00B56D70" w:rsidRDefault="00970D03" w:rsidP="006F1D43">
            <w:pPr>
              <w:jc w:val="center"/>
            </w:pPr>
            <w:r w:rsidRPr="00B56D70">
              <w:t>3.</w:t>
            </w:r>
          </w:p>
        </w:tc>
        <w:tc>
          <w:tcPr>
            <w:tcW w:w="2078" w:type="dxa"/>
            <w:gridSpan w:val="2"/>
          </w:tcPr>
          <w:p w:rsidR="00970D03" w:rsidRPr="00B56D70" w:rsidRDefault="00970D03" w:rsidP="006F1D43">
            <w:r w:rsidRPr="00B56D70">
              <w:t>Sabiedrības līdzdalības rezultāti</w:t>
            </w:r>
          </w:p>
        </w:tc>
        <w:tc>
          <w:tcPr>
            <w:tcW w:w="6852" w:type="dxa"/>
          </w:tcPr>
          <w:p w:rsidR="00970D03" w:rsidRPr="00B56D70" w:rsidRDefault="00970D03" w:rsidP="006F1D43">
            <w:pPr>
              <w:pStyle w:val="NoSpacing"/>
              <w:ind w:right="-567"/>
              <w:jc w:val="both"/>
              <w:rPr>
                <w:rFonts w:ascii="Times New Roman" w:hAnsi="Times New Roman"/>
                <w:lang w:val="lv-LV"/>
              </w:rPr>
            </w:pPr>
            <w:r w:rsidRPr="00B56D70">
              <w:rPr>
                <w:rFonts w:ascii="Times New Roman" w:hAnsi="Times New Roman"/>
                <w:sz w:val="24"/>
                <w:szCs w:val="24"/>
                <w:lang w:val="lv-LV" w:eastAsia="lv-LV"/>
              </w:rPr>
              <w:t>Projekts šo jomu neskar.</w:t>
            </w:r>
          </w:p>
        </w:tc>
      </w:tr>
      <w:tr w:rsidR="00970D03" w:rsidRPr="00B56D70" w:rsidTr="003B30F4">
        <w:trPr>
          <w:trHeight w:val="348"/>
        </w:trPr>
        <w:tc>
          <w:tcPr>
            <w:tcW w:w="534" w:type="dxa"/>
          </w:tcPr>
          <w:p w:rsidR="00970D03" w:rsidRPr="00B56D70" w:rsidRDefault="00970D03" w:rsidP="006F1D43">
            <w:pPr>
              <w:jc w:val="center"/>
            </w:pPr>
            <w:r w:rsidRPr="00B56D70">
              <w:t>4.</w:t>
            </w:r>
          </w:p>
        </w:tc>
        <w:tc>
          <w:tcPr>
            <w:tcW w:w="2078" w:type="dxa"/>
            <w:gridSpan w:val="2"/>
          </w:tcPr>
          <w:p w:rsidR="00970D03" w:rsidRPr="00B56D70" w:rsidRDefault="00970D03" w:rsidP="006F1D43">
            <w:r w:rsidRPr="00B56D70">
              <w:t>Saeimas un ekspertu līdzdalība</w:t>
            </w:r>
          </w:p>
        </w:tc>
        <w:tc>
          <w:tcPr>
            <w:tcW w:w="6852" w:type="dxa"/>
          </w:tcPr>
          <w:p w:rsidR="00970D03" w:rsidRPr="00B56D70" w:rsidRDefault="0006449C" w:rsidP="006F1D43">
            <w:pPr>
              <w:spacing w:after="120"/>
              <w:jc w:val="both"/>
            </w:pPr>
            <w:r w:rsidRPr="00B56D70">
              <w:t>Projekts šo jomu neskar.</w:t>
            </w:r>
          </w:p>
        </w:tc>
      </w:tr>
      <w:tr w:rsidR="00970D03" w:rsidRPr="00B56D70" w:rsidTr="003B30F4">
        <w:trPr>
          <w:trHeight w:val="348"/>
        </w:trPr>
        <w:tc>
          <w:tcPr>
            <w:tcW w:w="534" w:type="dxa"/>
          </w:tcPr>
          <w:p w:rsidR="00970D03" w:rsidRPr="00B56D70" w:rsidRDefault="00970D03" w:rsidP="006F1D43">
            <w:pPr>
              <w:jc w:val="center"/>
            </w:pPr>
            <w:r w:rsidRPr="00B56D70">
              <w:t>5.</w:t>
            </w:r>
          </w:p>
        </w:tc>
        <w:tc>
          <w:tcPr>
            <w:tcW w:w="2078" w:type="dxa"/>
            <w:gridSpan w:val="2"/>
          </w:tcPr>
          <w:p w:rsidR="00970D03" w:rsidRPr="00B56D70" w:rsidRDefault="00970D03" w:rsidP="006F1D43">
            <w:r w:rsidRPr="00B56D70">
              <w:t>Cita informācija</w:t>
            </w:r>
          </w:p>
        </w:tc>
        <w:tc>
          <w:tcPr>
            <w:tcW w:w="6852" w:type="dxa"/>
          </w:tcPr>
          <w:p w:rsidR="00970D03" w:rsidRPr="00B56D70" w:rsidRDefault="00970D03" w:rsidP="006F1D43">
            <w:r w:rsidRPr="00B56D70">
              <w:t>Nav</w:t>
            </w:r>
          </w:p>
        </w:tc>
      </w:tr>
    </w:tbl>
    <w:p w:rsidR="00970D03" w:rsidRPr="00B56D70" w:rsidRDefault="00970D03" w:rsidP="00970D03">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432"/>
        <w:gridCol w:w="5636"/>
      </w:tblGrid>
      <w:tr w:rsidR="00970D03" w:rsidRPr="00B56D70" w:rsidTr="00130CD1">
        <w:tc>
          <w:tcPr>
            <w:tcW w:w="9464" w:type="dxa"/>
            <w:gridSpan w:val="3"/>
          </w:tcPr>
          <w:p w:rsidR="00970D03" w:rsidRPr="00B56D70" w:rsidRDefault="00970D03" w:rsidP="006F1D43">
            <w:pPr>
              <w:jc w:val="center"/>
              <w:rPr>
                <w:b/>
              </w:rPr>
            </w:pPr>
            <w:r w:rsidRPr="00B56D70">
              <w:rPr>
                <w:b/>
              </w:rPr>
              <w:t>VII Tiesību akta projekta izpildes nodrošināšana un tās ietekme uz institūcijām</w:t>
            </w:r>
          </w:p>
        </w:tc>
      </w:tr>
      <w:tr w:rsidR="00970D03" w:rsidRPr="00B76D85" w:rsidTr="00130CD1">
        <w:tc>
          <w:tcPr>
            <w:tcW w:w="396" w:type="dxa"/>
          </w:tcPr>
          <w:p w:rsidR="00970D03" w:rsidRPr="00B56D70" w:rsidRDefault="00970D03" w:rsidP="006F1D43">
            <w:r w:rsidRPr="00B56D70">
              <w:t xml:space="preserve">1. </w:t>
            </w:r>
          </w:p>
        </w:tc>
        <w:tc>
          <w:tcPr>
            <w:tcW w:w="3432" w:type="dxa"/>
          </w:tcPr>
          <w:p w:rsidR="00970D03" w:rsidRPr="00B56D70" w:rsidRDefault="00970D03" w:rsidP="006F1D43">
            <w:r w:rsidRPr="00B56D70">
              <w:t>Projekta izpildē iesaistītās institūcijas</w:t>
            </w:r>
          </w:p>
        </w:tc>
        <w:tc>
          <w:tcPr>
            <w:tcW w:w="5636" w:type="dxa"/>
          </w:tcPr>
          <w:p w:rsidR="00970D03" w:rsidRPr="00043389" w:rsidRDefault="002D7DFD" w:rsidP="002D7DFD">
            <w:pPr>
              <w:pStyle w:val="naisnod"/>
              <w:spacing w:before="0" w:after="0"/>
              <w:jc w:val="both"/>
            </w:pPr>
            <w:r w:rsidRPr="00B56D70">
              <w:rPr>
                <w:b w:val="0"/>
                <w:iCs/>
              </w:rPr>
              <w:t>Ministru kabineta noteikumu projekta</w:t>
            </w:r>
            <w:r w:rsidR="00970D03" w:rsidRPr="00B56D70">
              <w:rPr>
                <w:b w:val="0"/>
                <w:iCs/>
              </w:rPr>
              <w:t xml:space="preserve"> izpildi nodrošinās </w:t>
            </w:r>
            <w:r w:rsidR="0056018F" w:rsidRPr="00B56D70">
              <w:rPr>
                <w:b w:val="0"/>
                <w:iCs/>
              </w:rPr>
              <w:t xml:space="preserve">Finanšu ministrija, </w:t>
            </w:r>
            <w:r w:rsidRPr="00B56D70">
              <w:rPr>
                <w:b w:val="0"/>
                <w:iCs/>
              </w:rPr>
              <w:t>Valsts ieņēmumu dienests un VSAA</w:t>
            </w:r>
            <w:r w:rsidR="00970D03" w:rsidRPr="00B56D70">
              <w:rPr>
                <w:b w:val="0"/>
                <w:iCs/>
              </w:rPr>
              <w:t>.</w:t>
            </w:r>
            <w:r w:rsidR="00970D03" w:rsidRPr="00041D17">
              <w:rPr>
                <w:b w:val="0"/>
                <w:i/>
                <w:iCs/>
              </w:rPr>
              <w:t xml:space="preserve"> </w:t>
            </w:r>
          </w:p>
        </w:tc>
      </w:tr>
      <w:tr w:rsidR="00970D03" w:rsidRPr="00B76D85" w:rsidTr="00130CD1">
        <w:tc>
          <w:tcPr>
            <w:tcW w:w="396" w:type="dxa"/>
          </w:tcPr>
          <w:p w:rsidR="00970D03" w:rsidRPr="00B76D85" w:rsidRDefault="00970D03" w:rsidP="006F1D43">
            <w:r>
              <w:t xml:space="preserve">2. </w:t>
            </w:r>
          </w:p>
        </w:tc>
        <w:tc>
          <w:tcPr>
            <w:tcW w:w="3432" w:type="dxa"/>
          </w:tcPr>
          <w:p w:rsidR="00970D03" w:rsidRPr="00B76D85" w:rsidRDefault="00970D03" w:rsidP="006F1D43">
            <w:r>
              <w:t>Projekta izpildes ietekme uz pārvaldes funkcijām</w:t>
            </w:r>
          </w:p>
        </w:tc>
        <w:tc>
          <w:tcPr>
            <w:tcW w:w="5636" w:type="dxa"/>
          </w:tcPr>
          <w:p w:rsidR="00970D03" w:rsidRPr="002D7DFD" w:rsidRDefault="002D7DFD" w:rsidP="002D7DFD">
            <w:pPr>
              <w:pStyle w:val="naisnod"/>
              <w:spacing w:before="0" w:after="0"/>
              <w:jc w:val="both"/>
              <w:rPr>
                <w:b w:val="0"/>
              </w:rPr>
            </w:pPr>
            <w:r w:rsidRPr="002D7DFD">
              <w:rPr>
                <w:b w:val="0"/>
                <w:iCs/>
              </w:rPr>
              <w:t xml:space="preserve">Ministru kabineta noteikumu projekta </w:t>
            </w:r>
            <w:r w:rsidR="00970D03" w:rsidRPr="002D7DFD">
              <w:rPr>
                <w:b w:val="0"/>
              </w:rPr>
              <w:t xml:space="preserve">izpildi </w:t>
            </w:r>
            <w:r w:rsidR="0056018F">
              <w:rPr>
                <w:b w:val="0"/>
              </w:rPr>
              <w:t xml:space="preserve">Finanšu ministrija, </w:t>
            </w:r>
            <w:r w:rsidRPr="002D7DFD">
              <w:rPr>
                <w:b w:val="0"/>
                <w:iCs/>
              </w:rPr>
              <w:t>Valsts ieņēmumu dienests un VSAA</w:t>
            </w:r>
            <w:r w:rsidRPr="002D7DFD">
              <w:rPr>
                <w:b w:val="0"/>
                <w:i/>
                <w:iCs/>
              </w:rPr>
              <w:t xml:space="preserve"> </w:t>
            </w:r>
            <w:r w:rsidR="00970D03" w:rsidRPr="002D7DFD">
              <w:rPr>
                <w:b w:val="0"/>
              </w:rPr>
              <w:t>nodrošinās esošo funkciju ietvaros.</w:t>
            </w:r>
          </w:p>
        </w:tc>
      </w:tr>
      <w:tr w:rsidR="00970D03" w:rsidRPr="00B76D85" w:rsidTr="00130CD1">
        <w:tc>
          <w:tcPr>
            <w:tcW w:w="396" w:type="dxa"/>
          </w:tcPr>
          <w:p w:rsidR="00970D03" w:rsidRPr="00B76D85" w:rsidRDefault="00970D03" w:rsidP="006F1D43">
            <w:r>
              <w:t>3.</w:t>
            </w:r>
          </w:p>
        </w:tc>
        <w:tc>
          <w:tcPr>
            <w:tcW w:w="3432" w:type="dxa"/>
          </w:tcPr>
          <w:p w:rsidR="00970D03" w:rsidRDefault="00970D03" w:rsidP="006F1D43">
            <w:r>
              <w:t>Projekta izpildes ietekme uz pārvaldes institucionālo struktūru.</w:t>
            </w:r>
          </w:p>
          <w:p w:rsidR="00970D03" w:rsidRPr="00B76D85" w:rsidRDefault="00970D03" w:rsidP="006F1D43">
            <w:r>
              <w:t>Jaunu institūciju izveide.</w:t>
            </w:r>
          </w:p>
        </w:tc>
        <w:tc>
          <w:tcPr>
            <w:tcW w:w="5636" w:type="dxa"/>
          </w:tcPr>
          <w:p w:rsidR="00970D03" w:rsidRPr="00B76D85" w:rsidRDefault="00970D03" w:rsidP="006F1D43">
            <w:pPr>
              <w:jc w:val="both"/>
            </w:pPr>
            <w:r>
              <w:t>Projekts šo jomu neskar.</w:t>
            </w:r>
          </w:p>
        </w:tc>
      </w:tr>
      <w:tr w:rsidR="00970D03" w:rsidRPr="00B76D85" w:rsidTr="00130CD1">
        <w:tc>
          <w:tcPr>
            <w:tcW w:w="396" w:type="dxa"/>
          </w:tcPr>
          <w:p w:rsidR="00970D03" w:rsidRPr="00B76D85" w:rsidRDefault="00970D03" w:rsidP="006F1D43">
            <w:r>
              <w:t>4.</w:t>
            </w:r>
          </w:p>
        </w:tc>
        <w:tc>
          <w:tcPr>
            <w:tcW w:w="3432" w:type="dxa"/>
          </w:tcPr>
          <w:p w:rsidR="00970D03" w:rsidRDefault="00970D03" w:rsidP="006F1D43">
            <w:r>
              <w:t>Projekta izpildes ietekme uz pārvaldes institucionālo struktūru.</w:t>
            </w:r>
          </w:p>
          <w:p w:rsidR="00970D03" w:rsidRPr="00B76D85" w:rsidRDefault="00970D03" w:rsidP="006F1D43">
            <w:r>
              <w:t>Esošo institūciju likvidācija.</w:t>
            </w:r>
          </w:p>
        </w:tc>
        <w:tc>
          <w:tcPr>
            <w:tcW w:w="5636" w:type="dxa"/>
          </w:tcPr>
          <w:p w:rsidR="00970D03" w:rsidRPr="00B76D85" w:rsidRDefault="00970D03" w:rsidP="006F1D43">
            <w:pPr>
              <w:jc w:val="both"/>
            </w:pPr>
            <w:r>
              <w:t>Projekts šo jomu neskar.</w:t>
            </w:r>
          </w:p>
        </w:tc>
      </w:tr>
      <w:tr w:rsidR="00970D03" w:rsidRPr="00B76D85" w:rsidTr="00130CD1">
        <w:tc>
          <w:tcPr>
            <w:tcW w:w="396" w:type="dxa"/>
          </w:tcPr>
          <w:p w:rsidR="00970D03" w:rsidRPr="00B76D85" w:rsidRDefault="00970D03" w:rsidP="006F1D43">
            <w:r>
              <w:t>5.</w:t>
            </w:r>
          </w:p>
        </w:tc>
        <w:tc>
          <w:tcPr>
            <w:tcW w:w="3432" w:type="dxa"/>
          </w:tcPr>
          <w:p w:rsidR="00970D03" w:rsidRDefault="00970D03" w:rsidP="006F1D43">
            <w:r>
              <w:t>Projekta izpildes ietekme uz pārvaldes institucionālo struktūru.</w:t>
            </w:r>
          </w:p>
          <w:p w:rsidR="00970D03" w:rsidRPr="00B76D85" w:rsidRDefault="00970D03" w:rsidP="006F1D43">
            <w:r>
              <w:t>Esošo institūciju reorganizācija.</w:t>
            </w:r>
          </w:p>
        </w:tc>
        <w:tc>
          <w:tcPr>
            <w:tcW w:w="5636" w:type="dxa"/>
          </w:tcPr>
          <w:p w:rsidR="00970D03" w:rsidRPr="00B76D85" w:rsidRDefault="00970D03" w:rsidP="006F1D43">
            <w:pPr>
              <w:jc w:val="both"/>
            </w:pPr>
            <w:r>
              <w:t>Projekts šo jomu neskar.</w:t>
            </w:r>
          </w:p>
        </w:tc>
      </w:tr>
      <w:tr w:rsidR="00970D03" w:rsidRPr="00B76D85" w:rsidTr="00130CD1">
        <w:tc>
          <w:tcPr>
            <w:tcW w:w="396" w:type="dxa"/>
          </w:tcPr>
          <w:p w:rsidR="00970D03" w:rsidRDefault="00970D03" w:rsidP="006F1D43">
            <w:r>
              <w:t xml:space="preserve">6. </w:t>
            </w:r>
          </w:p>
        </w:tc>
        <w:tc>
          <w:tcPr>
            <w:tcW w:w="3432" w:type="dxa"/>
          </w:tcPr>
          <w:p w:rsidR="00970D03" w:rsidRDefault="00970D03" w:rsidP="006F1D43">
            <w:r>
              <w:t>Cita informācija</w:t>
            </w:r>
          </w:p>
        </w:tc>
        <w:tc>
          <w:tcPr>
            <w:tcW w:w="5636" w:type="dxa"/>
          </w:tcPr>
          <w:p w:rsidR="00970D03" w:rsidRPr="00B76D85" w:rsidRDefault="00970D03" w:rsidP="006F1D43">
            <w:pPr>
              <w:jc w:val="both"/>
            </w:pPr>
            <w:r w:rsidRPr="004E47CF">
              <w:t>Nav</w:t>
            </w:r>
          </w:p>
        </w:tc>
      </w:tr>
    </w:tbl>
    <w:p w:rsidR="00970D03" w:rsidRDefault="00970D03" w:rsidP="00970D03">
      <w:pPr>
        <w:jc w:val="center"/>
      </w:pPr>
    </w:p>
    <w:p w:rsidR="00970D03" w:rsidRDefault="00970D03" w:rsidP="00970D03">
      <w:pPr>
        <w:jc w:val="center"/>
      </w:pPr>
    </w:p>
    <w:p w:rsidR="00970D03" w:rsidRPr="008207C1" w:rsidRDefault="00970D03" w:rsidP="00970D03">
      <w:pPr>
        <w:rPr>
          <w:sz w:val="28"/>
          <w:szCs w:val="28"/>
        </w:rPr>
      </w:pPr>
      <w:r>
        <w:rPr>
          <w:sz w:val="28"/>
          <w:szCs w:val="28"/>
        </w:rPr>
        <w:tab/>
      </w:r>
      <w:r w:rsidRPr="008207C1">
        <w:rPr>
          <w:sz w:val="28"/>
          <w:szCs w:val="28"/>
        </w:rPr>
        <w:t>Labklājības ministr</w:t>
      </w:r>
      <w:r>
        <w:rPr>
          <w:sz w:val="28"/>
          <w:szCs w:val="28"/>
        </w:rPr>
        <w:t>e</w:t>
      </w:r>
      <w:r w:rsidRPr="008207C1">
        <w:rPr>
          <w:sz w:val="28"/>
          <w:szCs w:val="28"/>
        </w:rPr>
        <w:tab/>
      </w:r>
      <w:r w:rsidRPr="008207C1">
        <w:rPr>
          <w:sz w:val="28"/>
          <w:szCs w:val="28"/>
        </w:rPr>
        <w:tab/>
      </w:r>
      <w:r w:rsidRPr="008207C1">
        <w:rPr>
          <w:sz w:val="28"/>
          <w:szCs w:val="28"/>
        </w:rPr>
        <w:tab/>
      </w:r>
      <w:r>
        <w:rPr>
          <w:sz w:val="28"/>
          <w:szCs w:val="28"/>
        </w:rPr>
        <w:tab/>
        <w:t xml:space="preserve">          </w:t>
      </w:r>
      <w:proofErr w:type="spellStart"/>
      <w:r>
        <w:rPr>
          <w:sz w:val="28"/>
          <w:szCs w:val="28"/>
        </w:rPr>
        <w:t>I</w:t>
      </w:r>
      <w:r w:rsidRPr="008207C1">
        <w:rPr>
          <w:sz w:val="28"/>
          <w:szCs w:val="28"/>
        </w:rPr>
        <w:t>.</w:t>
      </w:r>
      <w:r>
        <w:rPr>
          <w:sz w:val="28"/>
          <w:szCs w:val="28"/>
        </w:rPr>
        <w:t>Viņķele</w:t>
      </w:r>
      <w:proofErr w:type="spellEnd"/>
    </w:p>
    <w:p w:rsidR="00130CD1" w:rsidRDefault="00130CD1" w:rsidP="00970D03">
      <w:pPr>
        <w:rPr>
          <w:sz w:val="28"/>
          <w:szCs w:val="28"/>
        </w:rPr>
      </w:pPr>
    </w:p>
    <w:p w:rsidR="00DD21FA" w:rsidRDefault="00DD21FA" w:rsidP="00970D03">
      <w:pPr>
        <w:rPr>
          <w:sz w:val="28"/>
          <w:szCs w:val="28"/>
        </w:rPr>
      </w:pPr>
    </w:p>
    <w:p w:rsidR="00DD21FA" w:rsidRDefault="00DD21FA" w:rsidP="00970D03">
      <w:pPr>
        <w:rPr>
          <w:sz w:val="28"/>
          <w:szCs w:val="28"/>
        </w:rPr>
      </w:pPr>
    </w:p>
    <w:p w:rsidR="00C23C28" w:rsidRDefault="00C23C28" w:rsidP="00226FAB">
      <w:pPr>
        <w:rPr>
          <w:sz w:val="22"/>
          <w:szCs w:val="22"/>
        </w:rPr>
      </w:pPr>
      <w:r>
        <w:rPr>
          <w:sz w:val="22"/>
          <w:szCs w:val="22"/>
        </w:rPr>
        <w:t>06.12.2013 09:37</w:t>
      </w:r>
    </w:p>
    <w:p w:rsidR="00226FAB" w:rsidRPr="00D52AC9" w:rsidRDefault="009367C6" w:rsidP="00226FAB">
      <w:pPr>
        <w:rPr>
          <w:sz w:val="22"/>
          <w:szCs w:val="22"/>
        </w:rPr>
      </w:pPr>
      <w:bookmarkStart w:id="0" w:name="_GoBack"/>
      <w:bookmarkEnd w:id="0"/>
      <w:r>
        <w:rPr>
          <w:sz w:val="22"/>
          <w:szCs w:val="22"/>
        </w:rPr>
        <w:t>2200</w:t>
      </w:r>
    </w:p>
    <w:p w:rsidR="00226FAB" w:rsidRPr="00D52AC9" w:rsidRDefault="00226FAB" w:rsidP="00226FAB">
      <w:pPr>
        <w:rPr>
          <w:sz w:val="22"/>
          <w:szCs w:val="22"/>
        </w:rPr>
      </w:pPr>
      <w:proofErr w:type="spellStart"/>
      <w:r w:rsidRPr="00D52AC9">
        <w:rPr>
          <w:sz w:val="22"/>
          <w:szCs w:val="22"/>
        </w:rPr>
        <w:t>S.Rucka</w:t>
      </w:r>
      <w:proofErr w:type="spellEnd"/>
    </w:p>
    <w:p w:rsidR="003F296C" w:rsidRPr="00970D03" w:rsidRDefault="00226FAB" w:rsidP="00970D03">
      <w:r w:rsidRPr="00D52AC9">
        <w:rPr>
          <w:sz w:val="22"/>
          <w:szCs w:val="22"/>
        </w:rPr>
        <w:t xml:space="preserve">67021562, </w:t>
      </w:r>
      <w:hyperlink r:id="rId10" w:history="1">
        <w:r w:rsidRPr="00D52AC9">
          <w:rPr>
            <w:rStyle w:val="Hyperlink"/>
            <w:sz w:val="22"/>
            <w:szCs w:val="22"/>
          </w:rPr>
          <w:t>Sandra.Rucka@lm.gov.lv</w:t>
        </w:r>
      </w:hyperlink>
    </w:p>
    <w:sectPr w:rsidR="003F296C" w:rsidRPr="00970D03" w:rsidSect="00B56D70">
      <w:headerReference w:type="even" r:id="rId11"/>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E8A" w:rsidRDefault="00A62E8A" w:rsidP="00970D03">
      <w:r>
        <w:separator/>
      </w:r>
    </w:p>
  </w:endnote>
  <w:endnote w:type="continuationSeparator" w:id="0">
    <w:p w:rsidR="00A62E8A" w:rsidRDefault="00A62E8A" w:rsidP="0097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E8A" w:rsidRPr="00130CD1" w:rsidRDefault="00A62E8A" w:rsidP="002E24A2">
    <w:pPr>
      <w:rPr>
        <w:sz w:val="20"/>
        <w:szCs w:val="20"/>
      </w:rPr>
    </w:pPr>
    <w:r w:rsidRPr="00130CD1">
      <w:rPr>
        <w:sz w:val="20"/>
        <w:szCs w:val="20"/>
      </w:rPr>
      <w:t>LManot_</w:t>
    </w:r>
    <w:r w:rsidR="009367C6">
      <w:rPr>
        <w:sz w:val="20"/>
        <w:szCs w:val="20"/>
      </w:rPr>
      <w:t>0</w:t>
    </w:r>
    <w:r w:rsidR="00C23C28">
      <w:rPr>
        <w:sz w:val="20"/>
        <w:szCs w:val="20"/>
      </w:rPr>
      <w:t>6</w:t>
    </w:r>
    <w:r w:rsidR="009367C6">
      <w:rPr>
        <w:sz w:val="20"/>
        <w:szCs w:val="20"/>
      </w:rPr>
      <w:t>1213</w:t>
    </w:r>
    <w:r w:rsidRPr="00130CD1">
      <w:rPr>
        <w:sz w:val="20"/>
        <w:szCs w:val="20"/>
      </w:rPr>
      <w:t>; Noteikumi par valsts sociālās apdrošināšanas obligāto un brīvprātīgo</w:t>
    </w:r>
    <w:r w:rsidRPr="00130CD1">
      <w:rPr>
        <w:b/>
        <w:sz w:val="20"/>
        <w:szCs w:val="20"/>
      </w:rPr>
      <w:t xml:space="preserve"> </w:t>
    </w:r>
    <w:r w:rsidRPr="00130CD1">
      <w:rPr>
        <w:sz w:val="20"/>
        <w:szCs w:val="20"/>
      </w:rPr>
      <w:t xml:space="preserve">iemaksu objekta </w:t>
    </w:r>
    <w:r>
      <w:rPr>
        <w:sz w:val="20"/>
        <w:szCs w:val="20"/>
      </w:rPr>
      <w:t xml:space="preserve">minimālo un </w:t>
    </w:r>
    <w:r w:rsidRPr="00130CD1">
      <w:rPr>
        <w:sz w:val="20"/>
        <w:szCs w:val="20"/>
      </w:rPr>
      <w:t>maksimālo apmēru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E8A" w:rsidRPr="00130CD1" w:rsidRDefault="00A62E8A" w:rsidP="002D7DFD">
    <w:pPr>
      <w:rPr>
        <w:sz w:val="20"/>
        <w:szCs w:val="20"/>
      </w:rPr>
    </w:pPr>
    <w:r w:rsidRPr="00130CD1">
      <w:rPr>
        <w:sz w:val="20"/>
        <w:szCs w:val="20"/>
      </w:rPr>
      <w:t>LManot_</w:t>
    </w:r>
    <w:r w:rsidR="009367C6">
      <w:rPr>
        <w:sz w:val="20"/>
        <w:szCs w:val="20"/>
      </w:rPr>
      <w:t>0</w:t>
    </w:r>
    <w:r w:rsidR="00C23C28">
      <w:rPr>
        <w:sz w:val="20"/>
        <w:szCs w:val="20"/>
      </w:rPr>
      <w:t>6</w:t>
    </w:r>
    <w:r w:rsidR="009367C6">
      <w:rPr>
        <w:sz w:val="20"/>
        <w:szCs w:val="20"/>
      </w:rPr>
      <w:t>1213</w:t>
    </w:r>
    <w:r w:rsidRPr="00130CD1">
      <w:rPr>
        <w:sz w:val="20"/>
        <w:szCs w:val="20"/>
      </w:rPr>
      <w:t>; Noteikumi par valsts sociālās apdrošināšanas obligāto un brīvprātīgo</w:t>
    </w:r>
    <w:r w:rsidRPr="00130CD1">
      <w:rPr>
        <w:b/>
        <w:sz w:val="20"/>
        <w:szCs w:val="20"/>
      </w:rPr>
      <w:t xml:space="preserve"> </w:t>
    </w:r>
    <w:r w:rsidRPr="00130CD1">
      <w:rPr>
        <w:sz w:val="20"/>
        <w:szCs w:val="20"/>
      </w:rPr>
      <w:t xml:space="preserve">iemaksu objekta </w:t>
    </w:r>
    <w:r>
      <w:rPr>
        <w:sz w:val="20"/>
        <w:szCs w:val="20"/>
      </w:rPr>
      <w:t xml:space="preserve">minimālo un </w:t>
    </w:r>
    <w:r w:rsidRPr="00130CD1">
      <w:rPr>
        <w:sz w:val="20"/>
        <w:szCs w:val="20"/>
      </w:rPr>
      <w:t>maksimālo apmēru</w:t>
    </w:r>
  </w:p>
  <w:p w:rsidR="00A62E8A" w:rsidRPr="008B0C87" w:rsidRDefault="00A62E8A" w:rsidP="006F1D43">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E8A" w:rsidRDefault="00A62E8A" w:rsidP="00970D03">
      <w:r>
        <w:separator/>
      </w:r>
    </w:p>
  </w:footnote>
  <w:footnote w:type="continuationSeparator" w:id="0">
    <w:p w:rsidR="00A62E8A" w:rsidRDefault="00A62E8A" w:rsidP="00970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E8A" w:rsidRDefault="00A62E8A" w:rsidP="006F1D4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2E8A" w:rsidRDefault="00A62E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E8A" w:rsidRDefault="00A62E8A" w:rsidP="006F1D4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3C28">
      <w:rPr>
        <w:rStyle w:val="PageNumber"/>
        <w:noProof/>
      </w:rPr>
      <w:t>8</w:t>
    </w:r>
    <w:r>
      <w:rPr>
        <w:rStyle w:val="PageNumber"/>
      </w:rPr>
      <w:fldChar w:fldCharType="end"/>
    </w:r>
  </w:p>
  <w:p w:rsidR="00A62E8A" w:rsidRDefault="00A62E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52D3"/>
    <w:multiLevelType w:val="hybridMultilevel"/>
    <w:tmpl w:val="6B669CD8"/>
    <w:lvl w:ilvl="0" w:tplc="0426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5D955620"/>
    <w:multiLevelType w:val="hybridMultilevel"/>
    <w:tmpl w:val="B98001EC"/>
    <w:lvl w:ilvl="0" w:tplc="505087A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D03"/>
    <w:rsid w:val="000027A5"/>
    <w:rsid w:val="00047C53"/>
    <w:rsid w:val="0006449C"/>
    <w:rsid w:val="000C3B34"/>
    <w:rsid w:val="00130CD1"/>
    <w:rsid w:val="00195072"/>
    <w:rsid w:val="001D412C"/>
    <w:rsid w:val="00226FAB"/>
    <w:rsid w:val="002A2448"/>
    <w:rsid w:val="002C4580"/>
    <w:rsid w:val="002D7DFD"/>
    <w:rsid w:val="002E24A2"/>
    <w:rsid w:val="002F2643"/>
    <w:rsid w:val="00307AA2"/>
    <w:rsid w:val="003318E9"/>
    <w:rsid w:val="00355EE7"/>
    <w:rsid w:val="003B1487"/>
    <w:rsid w:val="003B30F4"/>
    <w:rsid w:val="003F296C"/>
    <w:rsid w:val="00424A7C"/>
    <w:rsid w:val="004772D3"/>
    <w:rsid w:val="004A7CA1"/>
    <w:rsid w:val="004F2D4C"/>
    <w:rsid w:val="0050270F"/>
    <w:rsid w:val="0056018F"/>
    <w:rsid w:val="00640562"/>
    <w:rsid w:val="006519BD"/>
    <w:rsid w:val="006877D9"/>
    <w:rsid w:val="006B3284"/>
    <w:rsid w:val="006C5503"/>
    <w:rsid w:val="006F1D43"/>
    <w:rsid w:val="007D1A59"/>
    <w:rsid w:val="007D3535"/>
    <w:rsid w:val="00864124"/>
    <w:rsid w:val="00871467"/>
    <w:rsid w:val="008C1F59"/>
    <w:rsid w:val="008D42D1"/>
    <w:rsid w:val="008E3382"/>
    <w:rsid w:val="00904C48"/>
    <w:rsid w:val="0093577A"/>
    <w:rsid w:val="009367C6"/>
    <w:rsid w:val="00956042"/>
    <w:rsid w:val="00970D03"/>
    <w:rsid w:val="00A62E8A"/>
    <w:rsid w:val="00A849AC"/>
    <w:rsid w:val="00AB45B1"/>
    <w:rsid w:val="00AB67DA"/>
    <w:rsid w:val="00AF2DF8"/>
    <w:rsid w:val="00B02E01"/>
    <w:rsid w:val="00B1397A"/>
    <w:rsid w:val="00B46DC0"/>
    <w:rsid w:val="00B56BEC"/>
    <w:rsid w:val="00B56D70"/>
    <w:rsid w:val="00B63739"/>
    <w:rsid w:val="00B86112"/>
    <w:rsid w:val="00BA5EBE"/>
    <w:rsid w:val="00C03350"/>
    <w:rsid w:val="00C17FCD"/>
    <w:rsid w:val="00C236D8"/>
    <w:rsid w:val="00C23C28"/>
    <w:rsid w:val="00C2580A"/>
    <w:rsid w:val="00C42C20"/>
    <w:rsid w:val="00C94AD7"/>
    <w:rsid w:val="00CE1133"/>
    <w:rsid w:val="00D4449D"/>
    <w:rsid w:val="00D47316"/>
    <w:rsid w:val="00DB123C"/>
    <w:rsid w:val="00DD21FA"/>
    <w:rsid w:val="00DF01B0"/>
    <w:rsid w:val="00E20169"/>
    <w:rsid w:val="00E35FCA"/>
    <w:rsid w:val="00E52AC6"/>
    <w:rsid w:val="00EA44A5"/>
    <w:rsid w:val="00F26A0B"/>
    <w:rsid w:val="00F56B33"/>
    <w:rsid w:val="00FD60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D0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970D03"/>
    <w:pPr>
      <w:spacing w:before="45" w:line="360" w:lineRule="auto"/>
      <w:ind w:firstLine="300"/>
    </w:pPr>
    <w:rPr>
      <w:i/>
      <w:iCs/>
      <w:color w:val="414142"/>
      <w:sz w:val="20"/>
      <w:szCs w:val="20"/>
    </w:rPr>
  </w:style>
  <w:style w:type="paragraph" w:customStyle="1" w:styleId="naiskr">
    <w:name w:val="naiskr"/>
    <w:basedOn w:val="Normal"/>
    <w:rsid w:val="00970D03"/>
    <w:pPr>
      <w:spacing w:before="75" w:after="75"/>
    </w:pPr>
  </w:style>
  <w:style w:type="paragraph" w:styleId="Header">
    <w:name w:val="header"/>
    <w:basedOn w:val="Normal"/>
    <w:link w:val="HeaderChar"/>
    <w:uiPriority w:val="99"/>
    <w:rsid w:val="00970D03"/>
    <w:pPr>
      <w:tabs>
        <w:tab w:val="center" w:pos="4153"/>
        <w:tab w:val="right" w:pos="8306"/>
      </w:tabs>
    </w:pPr>
  </w:style>
  <w:style w:type="character" w:customStyle="1" w:styleId="HeaderChar">
    <w:name w:val="Header Char"/>
    <w:basedOn w:val="DefaultParagraphFont"/>
    <w:link w:val="Header"/>
    <w:uiPriority w:val="99"/>
    <w:rsid w:val="00970D03"/>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970D03"/>
    <w:rPr>
      <w:rFonts w:cs="Times New Roman"/>
    </w:rPr>
  </w:style>
  <w:style w:type="paragraph" w:styleId="Footer">
    <w:name w:val="footer"/>
    <w:basedOn w:val="Normal"/>
    <w:link w:val="FooterChar"/>
    <w:uiPriority w:val="99"/>
    <w:rsid w:val="00970D03"/>
    <w:pPr>
      <w:tabs>
        <w:tab w:val="center" w:pos="4153"/>
        <w:tab w:val="right" w:pos="8306"/>
      </w:tabs>
    </w:pPr>
  </w:style>
  <w:style w:type="character" w:customStyle="1" w:styleId="FooterChar">
    <w:name w:val="Footer Char"/>
    <w:basedOn w:val="DefaultParagraphFont"/>
    <w:link w:val="Footer"/>
    <w:uiPriority w:val="99"/>
    <w:rsid w:val="00970D03"/>
    <w:rPr>
      <w:rFonts w:ascii="Times New Roman" w:eastAsia="Times New Roman" w:hAnsi="Times New Roman" w:cs="Times New Roman"/>
      <w:sz w:val="24"/>
      <w:szCs w:val="24"/>
      <w:lang w:eastAsia="lv-LV"/>
    </w:rPr>
  </w:style>
  <w:style w:type="paragraph" w:customStyle="1" w:styleId="naisnod">
    <w:name w:val="naisnod"/>
    <w:basedOn w:val="Normal"/>
    <w:uiPriority w:val="99"/>
    <w:rsid w:val="00970D03"/>
    <w:pPr>
      <w:spacing w:before="150" w:after="150"/>
      <w:jc w:val="center"/>
    </w:pPr>
    <w:rPr>
      <w:b/>
      <w:bCs/>
    </w:rPr>
  </w:style>
  <w:style w:type="paragraph" w:styleId="FootnoteText">
    <w:name w:val="footnote text"/>
    <w:basedOn w:val="Normal"/>
    <w:link w:val="FootnoteTextChar"/>
    <w:uiPriority w:val="99"/>
    <w:semiHidden/>
    <w:rsid w:val="00970D03"/>
    <w:rPr>
      <w:sz w:val="20"/>
      <w:szCs w:val="20"/>
    </w:rPr>
  </w:style>
  <w:style w:type="character" w:customStyle="1" w:styleId="FootnoteTextChar">
    <w:name w:val="Footnote Text Char"/>
    <w:basedOn w:val="DefaultParagraphFont"/>
    <w:link w:val="FootnoteText"/>
    <w:uiPriority w:val="99"/>
    <w:semiHidden/>
    <w:rsid w:val="00970D03"/>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rsid w:val="00970D03"/>
    <w:rPr>
      <w:rFonts w:cs="Times New Roman"/>
      <w:vertAlign w:val="superscript"/>
    </w:rPr>
  </w:style>
  <w:style w:type="paragraph" w:styleId="BodyText">
    <w:name w:val="Body Text"/>
    <w:basedOn w:val="Normal"/>
    <w:link w:val="BodyTextChar"/>
    <w:uiPriority w:val="99"/>
    <w:rsid w:val="00970D03"/>
    <w:pPr>
      <w:spacing w:after="120"/>
    </w:pPr>
    <w:rPr>
      <w:lang w:val="en-GB" w:eastAsia="en-US"/>
    </w:rPr>
  </w:style>
  <w:style w:type="character" w:customStyle="1" w:styleId="BodyTextChar">
    <w:name w:val="Body Text Char"/>
    <w:basedOn w:val="DefaultParagraphFont"/>
    <w:link w:val="BodyText"/>
    <w:uiPriority w:val="99"/>
    <w:rsid w:val="00970D03"/>
    <w:rPr>
      <w:rFonts w:ascii="Times New Roman" w:eastAsia="Times New Roman" w:hAnsi="Times New Roman" w:cs="Times New Roman"/>
      <w:sz w:val="24"/>
      <w:szCs w:val="24"/>
      <w:lang w:val="en-GB"/>
    </w:rPr>
  </w:style>
  <w:style w:type="paragraph" w:styleId="NoSpacing">
    <w:name w:val="No Spacing"/>
    <w:uiPriority w:val="99"/>
    <w:qFormat/>
    <w:rsid w:val="00970D03"/>
    <w:pPr>
      <w:spacing w:after="0" w:line="240" w:lineRule="auto"/>
    </w:pPr>
    <w:rPr>
      <w:rFonts w:ascii="Calibri" w:eastAsia="Calibri" w:hAnsi="Calibri" w:cs="Times New Roman"/>
      <w:lang w:val="en-US"/>
    </w:rPr>
  </w:style>
  <w:style w:type="character" w:customStyle="1" w:styleId="spelle">
    <w:name w:val="spelle"/>
    <w:basedOn w:val="DefaultParagraphFont"/>
    <w:uiPriority w:val="99"/>
    <w:rsid w:val="00970D03"/>
    <w:rPr>
      <w:rFonts w:cs="Times New Roman"/>
    </w:rPr>
  </w:style>
  <w:style w:type="character" w:styleId="Hyperlink">
    <w:name w:val="Hyperlink"/>
    <w:basedOn w:val="DefaultParagraphFont"/>
    <w:uiPriority w:val="99"/>
    <w:rsid w:val="00970D03"/>
    <w:rPr>
      <w:rFonts w:cs="Times New Roman"/>
      <w:color w:val="0000FF"/>
      <w:u w:val="single"/>
    </w:rPr>
  </w:style>
  <w:style w:type="paragraph" w:customStyle="1" w:styleId="tv2131">
    <w:name w:val="tv2131"/>
    <w:basedOn w:val="Normal"/>
    <w:rsid w:val="001D412C"/>
    <w:pPr>
      <w:spacing w:line="360" w:lineRule="auto"/>
      <w:ind w:firstLine="300"/>
    </w:pPr>
    <w:rPr>
      <w:color w:val="414142"/>
      <w:sz w:val="20"/>
      <w:szCs w:val="20"/>
    </w:rPr>
  </w:style>
  <w:style w:type="paragraph" w:customStyle="1" w:styleId="naisf">
    <w:name w:val="naisf"/>
    <w:basedOn w:val="Normal"/>
    <w:link w:val="naisfChar"/>
    <w:rsid w:val="003B30F4"/>
    <w:pPr>
      <w:spacing w:before="75" w:after="75"/>
      <w:ind w:firstLine="375"/>
      <w:jc w:val="both"/>
    </w:pPr>
  </w:style>
  <w:style w:type="character" w:customStyle="1" w:styleId="naisfChar">
    <w:name w:val="naisf Char"/>
    <w:link w:val="naisf"/>
    <w:locked/>
    <w:rsid w:val="003B30F4"/>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3B30F4"/>
    <w:pPr>
      <w:ind w:left="720"/>
      <w:contextualSpacing/>
      <w:jc w:val="both"/>
    </w:pPr>
    <w:rPr>
      <w:szCs w:val="20"/>
      <w:lang w:eastAsia="en-US"/>
    </w:rPr>
  </w:style>
  <w:style w:type="paragraph" w:styleId="BodyText2">
    <w:name w:val="Body Text 2"/>
    <w:basedOn w:val="Normal"/>
    <w:link w:val="BodyText2Char"/>
    <w:uiPriority w:val="99"/>
    <w:semiHidden/>
    <w:unhideWhenUsed/>
    <w:rsid w:val="00C42C20"/>
    <w:pPr>
      <w:spacing w:after="120" w:line="480" w:lineRule="auto"/>
    </w:pPr>
  </w:style>
  <w:style w:type="character" w:customStyle="1" w:styleId="BodyText2Char">
    <w:name w:val="Body Text 2 Char"/>
    <w:basedOn w:val="DefaultParagraphFont"/>
    <w:link w:val="BodyText2"/>
    <w:uiPriority w:val="99"/>
    <w:semiHidden/>
    <w:rsid w:val="00C42C20"/>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047C53"/>
    <w:rPr>
      <w:sz w:val="16"/>
      <w:szCs w:val="16"/>
    </w:rPr>
  </w:style>
  <w:style w:type="paragraph" w:styleId="CommentText">
    <w:name w:val="annotation text"/>
    <w:basedOn w:val="Normal"/>
    <w:link w:val="CommentTextChar"/>
    <w:uiPriority w:val="99"/>
    <w:semiHidden/>
    <w:unhideWhenUsed/>
    <w:rsid w:val="00047C53"/>
    <w:rPr>
      <w:sz w:val="20"/>
      <w:szCs w:val="20"/>
    </w:rPr>
  </w:style>
  <w:style w:type="character" w:customStyle="1" w:styleId="CommentTextChar">
    <w:name w:val="Comment Text Char"/>
    <w:basedOn w:val="DefaultParagraphFont"/>
    <w:link w:val="CommentText"/>
    <w:uiPriority w:val="99"/>
    <w:semiHidden/>
    <w:rsid w:val="00047C5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47C53"/>
    <w:rPr>
      <w:b/>
      <w:bCs/>
    </w:rPr>
  </w:style>
  <w:style w:type="character" w:customStyle="1" w:styleId="CommentSubjectChar">
    <w:name w:val="Comment Subject Char"/>
    <w:basedOn w:val="CommentTextChar"/>
    <w:link w:val="CommentSubject"/>
    <w:uiPriority w:val="99"/>
    <w:semiHidden/>
    <w:rsid w:val="00047C53"/>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047C53"/>
    <w:rPr>
      <w:rFonts w:ascii="Tahoma" w:hAnsi="Tahoma" w:cs="Tahoma"/>
      <w:sz w:val="16"/>
      <w:szCs w:val="16"/>
    </w:rPr>
  </w:style>
  <w:style w:type="character" w:customStyle="1" w:styleId="BalloonTextChar">
    <w:name w:val="Balloon Text Char"/>
    <w:basedOn w:val="DefaultParagraphFont"/>
    <w:link w:val="BalloonText"/>
    <w:uiPriority w:val="99"/>
    <w:semiHidden/>
    <w:rsid w:val="00047C53"/>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D0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970D03"/>
    <w:pPr>
      <w:spacing w:before="45" w:line="360" w:lineRule="auto"/>
      <w:ind w:firstLine="300"/>
    </w:pPr>
    <w:rPr>
      <w:i/>
      <w:iCs/>
      <w:color w:val="414142"/>
      <w:sz w:val="20"/>
      <w:szCs w:val="20"/>
    </w:rPr>
  </w:style>
  <w:style w:type="paragraph" w:customStyle="1" w:styleId="naiskr">
    <w:name w:val="naiskr"/>
    <w:basedOn w:val="Normal"/>
    <w:rsid w:val="00970D03"/>
    <w:pPr>
      <w:spacing w:before="75" w:after="75"/>
    </w:pPr>
  </w:style>
  <w:style w:type="paragraph" w:styleId="Header">
    <w:name w:val="header"/>
    <w:basedOn w:val="Normal"/>
    <w:link w:val="HeaderChar"/>
    <w:uiPriority w:val="99"/>
    <w:rsid w:val="00970D03"/>
    <w:pPr>
      <w:tabs>
        <w:tab w:val="center" w:pos="4153"/>
        <w:tab w:val="right" w:pos="8306"/>
      </w:tabs>
    </w:pPr>
  </w:style>
  <w:style w:type="character" w:customStyle="1" w:styleId="HeaderChar">
    <w:name w:val="Header Char"/>
    <w:basedOn w:val="DefaultParagraphFont"/>
    <w:link w:val="Header"/>
    <w:uiPriority w:val="99"/>
    <w:rsid w:val="00970D03"/>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970D03"/>
    <w:rPr>
      <w:rFonts w:cs="Times New Roman"/>
    </w:rPr>
  </w:style>
  <w:style w:type="paragraph" w:styleId="Footer">
    <w:name w:val="footer"/>
    <w:basedOn w:val="Normal"/>
    <w:link w:val="FooterChar"/>
    <w:uiPriority w:val="99"/>
    <w:rsid w:val="00970D03"/>
    <w:pPr>
      <w:tabs>
        <w:tab w:val="center" w:pos="4153"/>
        <w:tab w:val="right" w:pos="8306"/>
      </w:tabs>
    </w:pPr>
  </w:style>
  <w:style w:type="character" w:customStyle="1" w:styleId="FooterChar">
    <w:name w:val="Footer Char"/>
    <w:basedOn w:val="DefaultParagraphFont"/>
    <w:link w:val="Footer"/>
    <w:uiPriority w:val="99"/>
    <w:rsid w:val="00970D03"/>
    <w:rPr>
      <w:rFonts w:ascii="Times New Roman" w:eastAsia="Times New Roman" w:hAnsi="Times New Roman" w:cs="Times New Roman"/>
      <w:sz w:val="24"/>
      <w:szCs w:val="24"/>
      <w:lang w:eastAsia="lv-LV"/>
    </w:rPr>
  </w:style>
  <w:style w:type="paragraph" w:customStyle="1" w:styleId="naisnod">
    <w:name w:val="naisnod"/>
    <w:basedOn w:val="Normal"/>
    <w:uiPriority w:val="99"/>
    <w:rsid w:val="00970D03"/>
    <w:pPr>
      <w:spacing w:before="150" w:after="150"/>
      <w:jc w:val="center"/>
    </w:pPr>
    <w:rPr>
      <w:b/>
      <w:bCs/>
    </w:rPr>
  </w:style>
  <w:style w:type="paragraph" w:styleId="FootnoteText">
    <w:name w:val="footnote text"/>
    <w:basedOn w:val="Normal"/>
    <w:link w:val="FootnoteTextChar"/>
    <w:uiPriority w:val="99"/>
    <w:semiHidden/>
    <w:rsid w:val="00970D03"/>
    <w:rPr>
      <w:sz w:val="20"/>
      <w:szCs w:val="20"/>
    </w:rPr>
  </w:style>
  <w:style w:type="character" w:customStyle="1" w:styleId="FootnoteTextChar">
    <w:name w:val="Footnote Text Char"/>
    <w:basedOn w:val="DefaultParagraphFont"/>
    <w:link w:val="FootnoteText"/>
    <w:uiPriority w:val="99"/>
    <w:semiHidden/>
    <w:rsid w:val="00970D03"/>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rsid w:val="00970D03"/>
    <w:rPr>
      <w:rFonts w:cs="Times New Roman"/>
      <w:vertAlign w:val="superscript"/>
    </w:rPr>
  </w:style>
  <w:style w:type="paragraph" w:styleId="BodyText">
    <w:name w:val="Body Text"/>
    <w:basedOn w:val="Normal"/>
    <w:link w:val="BodyTextChar"/>
    <w:uiPriority w:val="99"/>
    <w:rsid w:val="00970D03"/>
    <w:pPr>
      <w:spacing w:after="120"/>
    </w:pPr>
    <w:rPr>
      <w:lang w:val="en-GB" w:eastAsia="en-US"/>
    </w:rPr>
  </w:style>
  <w:style w:type="character" w:customStyle="1" w:styleId="BodyTextChar">
    <w:name w:val="Body Text Char"/>
    <w:basedOn w:val="DefaultParagraphFont"/>
    <w:link w:val="BodyText"/>
    <w:uiPriority w:val="99"/>
    <w:rsid w:val="00970D03"/>
    <w:rPr>
      <w:rFonts w:ascii="Times New Roman" w:eastAsia="Times New Roman" w:hAnsi="Times New Roman" w:cs="Times New Roman"/>
      <w:sz w:val="24"/>
      <w:szCs w:val="24"/>
      <w:lang w:val="en-GB"/>
    </w:rPr>
  </w:style>
  <w:style w:type="paragraph" w:styleId="NoSpacing">
    <w:name w:val="No Spacing"/>
    <w:uiPriority w:val="99"/>
    <w:qFormat/>
    <w:rsid w:val="00970D03"/>
    <w:pPr>
      <w:spacing w:after="0" w:line="240" w:lineRule="auto"/>
    </w:pPr>
    <w:rPr>
      <w:rFonts w:ascii="Calibri" w:eastAsia="Calibri" w:hAnsi="Calibri" w:cs="Times New Roman"/>
      <w:lang w:val="en-US"/>
    </w:rPr>
  </w:style>
  <w:style w:type="character" w:customStyle="1" w:styleId="spelle">
    <w:name w:val="spelle"/>
    <w:basedOn w:val="DefaultParagraphFont"/>
    <w:uiPriority w:val="99"/>
    <w:rsid w:val="00970D03"/>
    <w:rPr>
      <w:rFonts w:cs="Times New Roman"/>
    </w:rPr>
  </w:style>
  <w:style w:type="character" w:styleId="Hyperlink">
    <w:name w:val="Hyperlink"/>
    <w:basedOn w:val="DefaultParagraphFont"/>
    <w:uiPriority w:val="99"/>
    <w:rsid w:val="00970D03"/>
    <w:rPr>
      <w:rFonts w:cs="Times New Roman"/>
      <w:color w:val="0000FF"/>
      <w:u w:val="single"/>
    </w:rPr>
  </w:style>
  <w:style w:type="paragraph" w:customStyle="1" w:styleId="tv2131">
    <w:name w:val="tv2131"/>
    <w:basedOn w:val="Normal"/>
    <w:rsid w:val="001D412C"/>
    <w:pPr>
      <w:spacing w:line="360" w:lineRule="auto"/>
      <w:ind w:firstLine="300"/>
    </w:pPr>
    <w:rPr>
      <w:color w:val="414142"/>
      <w:sz w:val="20"/>
      <w:szCs w:val="20"/>
    </w:rPr>
  </w:style>
  <w:style w:type="paragraph" w:customStyle="1" w:styleId="naisf">
    <w:name w:val="naisf"/>
    <w:basedOn w:val="Normal"/>
    <w:link w:val="naisfChar"/>
    <w:rsid w:val="003B30F4"/>
    <w:pPr>
      <w:spacing w:before="75" w:after="75"/>
      <w:ind w:firstLine="375"/>
      <w:jc w:val="both"/>
    </w:pPr>
  </w:style>
  <w:style w:type="character" w:customStyle="1" w:styleId="naisfChar">
    <w:name w:val="naisf Char"/>
    <w:link w:val="naisf"/>
    <w:locked/>
    <w:rsid w:val="003B30F4"/>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3B30F4"/>
    <w:pPr>
      <w:ind w:left="720"/>
      <w:contextualSpacing/>
      <w:jc w:val="both"/>
    </w:pPr>
    <w:rPr>
      <w:szCs w:val="20"/>
      <w:lang w:eastAsia="en-US"/>
    </w:rPr>
  </w:style>
  <w:style w:type="paragraph" w:styleId="BodyText2">
    <w:name w:val="Body Text 2"/>
    <w:basedOn w:val="Normal"/>
    <w:link w:val="BodyText2Char"/>
    <w:uiPriority w:val="99"/>
    <w:semiHidden/>
    <w:unhideWhenUsed/>
    <w:rsid w:val="00C42C20"/>
    <w:pPr>
      <w:spacing w:after="120" w:line="480" w:lineRule="auto"/>
    </w:pPr>
  </w:style>
  <w:style w:type="character" w:customStyle="1" w:styleId="BodyText2Char">
    <w:name w:val="Body Text 2 Char"/>
    <w:basedOn w:val="DefaultParagraphFont"/>
    <w:link w:val="BodyText2"/>
    <w:uiPriority w:val="99"/>
    <w:semiHidden/>
    <w:rsid w:val="00C42C20"/>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047C53"/>
    <w:rPr>
      <w:sz w:val="16"/>
      <w:szCs w:val="16"/>
    </w:rPr>
  </w:style>
  <w:style w:type="paragraph" w:styleId="CommentText">
    <w:name w:val="annotation text"/>
    <w:basedOn w:val="Normal"/>
    <w:link w:val="CommentTextChar"/>
    <w:uiPriority w:val="99"/>
    <w:semiHidden/>
    <w:unhideWhenUsed/>
    <w:rsid w:val="00047C53"/>
    <w:rPr>
      <w:sz w:val="20"/>
      <w:szCs w:val="20"/>
    </w:rPr>
  </w:style>
  <w:style w:type="character" w:customStyle="1" w:styleId="CommentTextChar">
    <w:name w:val="Comment Text Char"/>
    <w:basedOn w:val="DefaultParagraphFont"/>
    <w:link w:val="CommentText"/>
    <w:uiPriority w:val="99"/>
    <w:semiHidden/>
    <w:rsid w:val="00047C5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47C53"/>
    <w:rPr>
      <w:b/>
      <w:bCs/>
    </w:rPr>
  </w:style>
  <w:style w:type="character" w:customStyle="1" w:styleId="CommentSubjectChar">
    <w:name w:val="Comment Subject Char"/>
    <w:basedOn w:val="CommentTextChar"/>
    <w:link w:val="CommentSubject"/>
    <w:uiPriority w:val="99"/>
    <w:semiHidden/>
    <w:rsid w:val="00047C53"/>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047C53"/>
    <w:rPr>
      <w:rFonts w:ascii="Tahoma" w:hAnsi="Tahoma" w:cs="Tahoma"/>
      <w:sz w:val="16"/>
      <w:szCs w:val="16"/>
    </w:rPr>
  </w:style>
  <w:style w:type="character" w:customStyle="1" w:styleId="BalloonTextChar">
    <w:name w:val="Balloon Text Char"/>
    <w:basedOn w:val="DefaultParagraphFont"/>
    <w:link w:val="BalloonText"/>
    <w:uiPriority w:val="99"/>
    <w:semiHidden/>
    <w:rsid w:val="00047C53"/>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00714">
      <w:bodyDiv w:val="1"/>
      <w:marLeft w:val="0"/>
      <w:marRight w:val="0"/>
      <w:marTop w:val="0"/>
      <w:marBottom w:val="0"/>
      <w:divBdr>
        <w:top w:val="none" w:sz="0" w:space="0" w:color="auto"/>
        <w:left w:val="none" w:sz="0" w:space="0" w:color="auto"/>
        <w:bottom w:val="none" w:sz="0" w:space="0" w:color="auto"/>
        <w:right w:val="none" w:sz="0" w:space="0" w:color="auto"/>
      </w:divBdr>
      <w:divsChild>
        <w:div w:id="1284461565">
          <w:marLeft w:val="0"/>
          <w:marRight w:val="0"/>
          <w:marTop w:val="0"/>
          <w:marBottom w:val="0"/>
          <w:divBdr>
            <w:top w:val="none" w:sz="0" w:space="0" w:color="auto"/>
            <w:left w:val="none" w:sz="0" w:space="0" w:color="auto"/>
            <w:bottom w:val="none" w:sz="0" w:space="0" w:color="auto"/>
            <w:right w:val="none" w:sz="0" w:space="0" w:color="auto"/>
          </w:divBdr>
          <w:divsChild>
            <w:div w:id="1599291742">
              <w:marLeft w:val="0"/>
              <w:marRight w:val="0"/>
              <w:marTop w:val="0"/>
              <w:marBottom w:val="0"/>
              <w:divBdr>
                <w:top w:val="none" w:sz="0" w:space="0" w:color="auto"/>
                <w:left w:val="none" w:sz="0" w:space="0" w:color="auto"/>
                <w:bottom w:val="none" w:sz="0" w:space="0" w:color="auto"/>
                <w:right w:val="none" w:sz="0" w:space="0" w:color="auto"/>
              </w:divBdr>
              <w:divsChild>
                <w:div w:id="2073699583">
                  <w:marLeft w:val="0"/>
                  <w:marRight w:val="0"/>
                  <w:marTop w:val="0"/>
                  <w:marBottom w:val="0"/>
                  <w:divBdr>
                    <w:top w:val="none" w:sz="0" w:space="0" w:color="auto"/>
                    <w:left w:val="none" w:sz="0" w:space="0" w:color="auto"/>
                    <w:bottom w:val="none" w:sz="0" w:space="0" w:color="auto"/>
                    <w:right w:val="none" w:sz="0" w:space="0" w:color="auto"/>
                  </w:divBdr>
                  <w:divsChild>
                    <w:div w:id="1978491964">
                      <w:marLeft w:val="0"/>
                      <w:marRight w:val="0"/>
                      <w:marTop w:val="0"/>
                      <w:marBottom w:val="0"/>
                      <w:divBdr>
                        <w:top w:val="none" w:sz="0" w:space="0" w:color="auto"/>
                        <w:left w:val="none" w:sz="0" w:space="0" w:color="auto"/>
                        <w:bottom w:val="none" w:sz="0" w:space="0" w:color="auto"/>
                        <w:right w:val="none" w:sz="0" w:space="0" w:color="auto"/>
                      </w:divBdr>
                      <w:divsChild>
                        <w:div w:id="1994601682">
                          <w:marLeft w:val="0"/>
                          <w:marRight w:val="0"/>
                          <w:marTop w:val="0"/>
                          <w:marBottom w:val="0"/>
                          <w:divBdr>
                            <w:top w:val="none" w:sz="0" w:space="0" w:color="auto"/>
                            <w:left w:val="none" w:sz="0" w:space="0" w:color="auto"/>
                            <w:bottom w:val="none" w:sz="0" w:space="0" w:color="auto"/>
                            <w:right w:val="none" w:sz="0" w:space="0" w:color="auto"/>
                          </w:divBdr>
                          <w:divsChild>
                            <w:div w:id="322779916">
                              <w:marLeft w:val="0"/>
                              <w:marRight w:val="0"/>
                              <w:marTop w:val="400"/>
                              <w:marBottom w:val="0"/>
                              <w:divBdr>
                                <w:top w:val="none" w:sz="0" w:space="0" w:color="auto"/>
                                <w:left w:val="none" w:sz="0" w:space="0" w:color="auto"/>
                                <w:bottom w:val="none" w:sz="0" w:space="0" w:color="auto"/>
                                <w:right w:val="none" w:sz="0" w:space="0" w:color="auto"/>
                              </w:divBdr>
                            </w:div>
                            <w:div w:id="1222132117">
                              <w:marLeft w:val="0"/>
                              <w:marRight w:val="0"/>
                              <w:marTop w:val="240"/>
                              <w:marBottom w:val="0"/>
                              <w:divBdr>
                                <w:top w:val="none" w:sz="0" w:space="0" w:color="auto"/>
                                <w:left w:val="none" w:sz="0" w:space="0" w:color="auto"/>
                                <w:bottom w:val="none" w:sz="0" w:space="0" w:color="auto"/>
                                <w:right w:val="none" w:sz="0" w:space="0" w:color="auto"/>
                              </w:divBdr>
                            </w:div>
                            <w:div w:id="4030670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355509">
      <w:bodyDiv w:val="1"/>
      <w:marLeft w:val="0"/>
      <w:marRight w:val="0"/>
      <w:marTop w:val="0"/>
      <w:marBottom w:val="0"/>
      <w:divBdr>
        <w:top w:val="none" w:sz="0" w:space="0" w:color="auto"/>
        <w:left w:val="none" w:sz="0" w:space="0" w:color="auto"/>
        <w:bottom w:val="none" w:sz="0" w:space="0" w:color="auto"/>
        <w:right w:val="none" w:sz="0" w:space="0" w:color="auto"/>
      </w:divBdr>
      <w:divsChild>
        <w:div w:id="813912012">
          <w:marLeft w:val="0"/>
          <w:marRight w:val="0"/>
          <w:marTop w:val="0"/>
          <w:marBottom w:val="0"/>
          <w:divBdr>
            <w:top w:val="none" w:sz="0" w:space="0" w:color="auto"/>
            <w:left w:val="none" w:sz="0" w:space="0" w:color="auto"/>
            <w:bottom w:val="none" w:sz="0" w:space="0" w:color="auto"/>
            <w:right w:val="none" w:sz="0" w:space="0" w:color="auto"/>
          </w:divBdr>
          <w:divsChild>
            <w:div w:id="1935017448">
              <w:marLeft w:val="0"/>
              <w:marRight w:val="0"/>
              <w:marTop w:val="0"/>
              <w:marBottom w:val="0"/>
              <w:divBdr>
                <w:top w:val="none" w:sz="0" w:space="0" w:color="auto"/>
                <w:left w:val="none" w:sz="0" w:space="0" w:color="auto"/>
                <w:bottom w:val="none" w:sz="0" w:space="0" w:color="auto"/>
                <w:right w:val="none" w:sz="0" w:space="0" w:color="auto"/>
              </w:divBdr>
              <w:divsChild>
                <w:div w:id="401410428">
                  <w:marLeft w:val="0"/>
                  <w:marRight w:val="0"/>
                  <w:marTop w:val="0"/>
                  <w:marBottom w:val="0"/>
                  <w:divBdr>
                    <w:top w:val="none" w:sz="0" w:space="0" w:color="auto"/>
                    <w:left w:val="none" w:sz="0" w:space="0" w:color="auto"/>
                    <w:bottom w:val="none" w:sz="0" w:space="0" w:color="auto"/>
                    <w:right w:val="none" w:sz="0" w:space="0" w:color="auto"/>
                  </w:divBdr>
                  <w:divsChild>
                    <w:div w:id="542837191">
                      <w:marLeft w:val="0"/>
                      <w:marRight w:val="0"/>
                      <w:marTop w:val="0"/>
                      <w:marBottom w:val="0"/>
                      <w:divBdr>
                        <w:top w:val="none" w:sz="0" w:space="0" w:color="auto"/>
                        <w:left w:val="none" w:sz="0" w:space="0" w:color="auto"/>
                        <w:bottom w:val="none" w:sz="0" w:space="0" w:color="auto"/>
                        <w:right w:val="none" w:sz="0" w:space="0" w:color="auto"/>
                      </w:divBdr>
                      <w:divsChild>
                        <w:div w:id="1670517471">
                          <w:marLeft w:val="0"/>
                          <w:marRight w:val="0"/>
                          <w:marTop w:val="0"/>
                          <w:marBottom w:val="0"/>
                          <w:divBdr>
                            <w:top w:val="none" w:sz="0" w:space="0" w:color="auto"/>
                            <w:left w:val="none" w:sz="0" w:space="0" w:color="auto"/>
                            <w:bottom w:val="none" w:sz="0" w:space="0" w:color="auto"/>
                            <w:right w:val="none" w:sz="0" w:space="0" w:color="auto"/>
                          </w:divBdr>
                          <w:divsChild>
                            <w:div w:id="113503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59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andra.Rucka@lm.gov.lv" TargetMode="External"/><Relationship Id="rId4" Type="http://schemas.microsoft.com/office/2007/relationships/stylesWithEffects" Target="stylesWithEffects.xml"/><Relationship Id="rId9" Type="http://schemas.openxmlformats.org/officeDocument/2006/relationships/hyperlink" Target="http://likumi.lv/doc.php?id=4546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80F3E-7683-4E9E-973A-AC511EDC0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10928</Words>
  <Characters>6229</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Ministru kabineta noteikumu projekta "Noteikumi par valsts sociālās apdrošināšanas obligāto un brīvprātīgo iemaksu objekta minimālo un maksimālo apmēru"</vt:lpstr>
    </vt:vector>
  </TitlesOfParts>
  <Company/>
  <LinksUpToDate>false</LinksUpToDate>
  <CharactersWithSpaces>17123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valsts sociālās apdrošināšanas obligāto un brīvprātīgo iemaksu objekta minimālo un maksimālo apmēru" sākotnējās ietekmes novērtējuma ziņojums (anotācija)</dc:title>
  <dc:creator>Sandra Rucka</dc:creator>
  <cp:keywords/>
  <dc:description>S.Rucka
tālr.67021562, Sandra.Rucka@lm.gov.lv
</dc:description>
  <cp:lastModifiedBy>Sandra Rucka</cp:lastModifiedBy>
  <cp:revision>5</cp:revision>
  <cp:lastPrinted>2013-10-07T11:02:00Z</cp:lastPrinted>
  <dcterms:created xsi:type="dcterms:W3CDTF">2013-12-05T14:49:00Z</dcterms:created>
  <dcterms:modified xsi:type="dcterms:W3CDTF">2013-12-06T07:37:00Z</dcterms:modified>
</cp:coreProperties>
</file>