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8" w:rsidRPr="009C1695" w:rsidRDefault="00467228" w:rsidP="00F31E69">
      <w:pPr>
        <w:jc w:val="center"/>
        <w:rPr>
          <w:b/>
          <w:bCs/>
          <w:sz w:val="28"/>
          <w:szCs w:val="28"/>
        </w:rPr>
      </w:pPr>
      <w:r w:rsidRPr="009C1695">
        <w:rPr>
          <w:b/>
          <w:bCs/>
          <w:sz w:val="28"/>
          <w:szCs w:val="28"/>
        </w:rPr>
        <w:t>Ministru kabineta noteikumu projekta „Grozījumi Ministru kabineta 200</w:t>
      </w:r>
      <w:r>
        <w:rPr>
          <w:b/>
          <w:bCs/>
          <w:sz w:val="28"/>
          <w:szCs w:val="28"/>
        </w:rPr>
        <w:t>6</w:t>
      </w:r>
      <w:r w:rsidRPr="009C1695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19.decembra</w:t>
      </w:r>
      <w:r w:rsidRPr="009C1695">
        <w:rPr>
          <w:b/>
          <w:bCs/>
          <w:sz w:val="28"/>
          <w:szCs w:val="28"/>
        </w:rPr>
        <w:t xml:space="preserve"> noteikumos Nr.</w:t>
      </w:r>
      <w:r>
        <w:rPr>
          <w:b/>
          <w:bCs/>
          <w:sz w:val="28"/>
          <w:szCs w:val="28"/>
        </w:rPr>
        <w:t>1036 „Audžuģimenes noteikumi</w:t>
      </w:r>
      <w:r w:rsidRPr="009C1695">
        <w:rPr>
          <w:b/>
          <w:bCs/>
          <w:sz w:val="28"/>
          <w:szCs w:val="28"/>
        </w:rPr>
        <w:t>””</w:t>
      </w:r>
    </w:p>
    <w:p w:rsidR="00467228" w:rsidRPr="009C1695" w:rsidRDefault="00467228" w:rsidP="009C1695">
      <w:pPr>
        <w:tabs>
          <w:tab w:val="center" w:pos="4535"/>
          <w:tab w:val="right" w:pos="9071"/>
        </w:tabs>
        <w:rPr>
          <w:b/>
          <w:bCs/>
        </w:rPr>
      </w:pPr>
      <w:r w:rsidRPr="009C1695">
        <w:rPr>
          <w:b/>
          <w:bCs/>
          <w:sz w:val="28"/>
          <w:szCs w:val="28"/>
        </w:rPr>
        <w:tab/>
        <w:t>sākotnējās ietekmes novērtējuma ziņojums (anotācija)</w:t>
      </w:r>
      <w:r w:rsidRPr="009C1695">
        <w:rPr>
          <w:b/>
          <w:bCs/>
          <w:sz w:val="28"/>
          <w:szCs w:val="28"/>
        </w:rPr>
        <w:tab/>
      </w:r>
    </w:p>
    <w:p w:rsidR="00467228" w:rsidRDefault="00467228" w:rsidP="000864C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072"/>
        <w:gridCol w:w="5819"/>
      </w:tblGrid>
      <w:tr w:rsidR="00467228" w:rsidRPr="00B76D85">
        <w:tc>
          <w:tcPr>
            <w:tcW w:w="5000" w:type="pct"/>
            <w:gridSpan w:val="3"/>
          </w:tcPr>
          <w:p w:rsidR="00467228" w:rsidRPr="00E10C41" w:rsidRDefault="00467228" w:rsidP="00E10C41">
            <w:pPr>
              <w:jc w:val="center"/>
              <w:rPr>
                <w:b/>
                <w:bCs/>
              </w:rPr>
            </w:pPr>
            <w:r w:rsidRPr="00E10C41">
              <w:rPr>
                <w:b/>
                <w:bCs/>
              </w:rPr>
              <w:t>I Tiesību akta projekta izstrādes nepieciešamība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>1.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Pamatojums</w:t>
            </w:r>
          </w:p>
        </w:tc>
        <w:tc>
          <w:tcPr>
            <w:tcW w:w="3133" w:type="pct"/>
          </w:tcPr>
          <w:p w:rsidR="00467228" w:rsidRPr="00324392" w:rsidRDefault="00467228" w:rsidP="00E10C41">
            <w:pPr>
              <w:jc w:val="both"/>
            </w:pPr>
            <w:r w:rsidRPr="00324392">
              <w:rPr>
                <w:i/>
                <w:iCs/>
              </w:rPr>
              <w:t>Euro</w:t>
            </w:r>
            <w:r w:rsidRPr="00324392">
              <w:t xml:space="preserve"> ieviešanas kārtības likuma 30.panta pirmā daļa, Ministru kabineta 2012.gada 27.jūnija rīkojums Nr.282 „Par „Koncepciju par normatīvo aktu sakārtošanu saistībā ar eiro ieviešanu Latvijā”” </w:t>
            </w:r>
            <w:r>
              <w:t>4.punkts</w:t>
            </w:r>
            <w:r w:rsidRPr="00324392">
              <w:t xml:space="preserve"> un Ministru kabineta 2013.gada 29.maija rīkojums Nr.212 (MK 21.05.2013. prot. Nr.30 52.§) „Par tiesību aktu grozījumu virzību saistībā ar </w:t>
            </w:r>
            <w:r w:rsidRPr="00324392">
              <w:rPr>
                <w:i/>
                <w:iCs/>
              </w:rPr>
              <w:t>euro</w:t>
            </w:r>
            <w:r w:rsidRPr="00324392">
              <w:t xml:space="preserve"> ieviešanu Latvijā” 1.5.apakšpunkts.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 xml:space="preserve">2. 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Pašreizējā situācija un problēmas</w:t>
            </w:r>
          </w:p>
        </w:tc>
        <w:tc>
          <w:tcPr>
            <w:tcW w:w="3133" w:type="pct"/>
          </w:tcPr>
          <w:p w:rsidR="00467228" w:rsidRPr="00716E2F" w:rsidRDefault="00467228" w:rsidP="00E10C41">
            <w:pPr>
              <w:jc w:val="both"/>
            </w:pPr>
            <w:r w:rsidRPr="00E10C41">
              <w:t xml:space="preserve">Ņemot vērā, ka ar 2014.gada 1.janvāri Latvijā plānots ieviest </w:t>
            </w:r>
            <w:r w:rsidRPr="00E10C41">
              <w:rPr>
                <w:i/>
                <w:iCs/>
              </w:rPr>
              <w:t>euro</w:t>
            </w:r>
            <w:r w:rsidRPr="00E10C41">
              <w:t>, ir nepieciešams veikt grozījumu</w:t>
            </w:r>
            <w:r>
              <w:t>s</w:t>
            </w:r>
            <w:r w:rsidRPr="00E10C41">
              <w:t xml:space="preserve"> Ministru </w:t>
            </w:r>
            <w:r w:rsidRPr="00324392">
              <w:t>kabineta 200</w:t>
            </w:r>
            <w:r>
              <w:t>6</w:t>
            </w:r>
            <w:r w:rsidRPr="00324392">
              <w:t xml:space="preserve">.gada </w:t>
            </w:r>
            <w:r>
              <w:t>19.decembra</w:t>
            </w:r>
            <w:r w:rsidRPr="00324392">
              <w:t xml:space="preserve"> noteikumos Nr.</w:t>
            </w:r>
            <w:r>
              <w:t>1036</w:t>
            </w:r>
            <w:r w:rsidRPr="00324392">
              <w:t xml:space="preserve"> “</w:t>
            </w:r>
            <w:r>
              <w:t>Audžuģimenes noteikumi</w:t>
            </w:r>
            <w:r w:rsidRPr="00324392">
              <w:t xml:space="preserve">” (turpmāk – MK noteikumi), aizstājot tajā latus ar </w:t>
            </w:r>
            <w:r w:rsidRPr="00324392">
              <w:rPr>
                <w:i/>
                <w:iCs/>
              </w:rPr>
              <w:t>euro</w:t>
            </w:r>
            <w:r w:rsidRPr="00324392">
              <w:t>.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 xml:space="preserve">3. 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467228" w:rsidRPr="00716E2F" w:rsidRDefault="00467228" w:rsidP="00E10C41">
            <w:pPr>
              <w:jc w:val="both"/>
            </w:pPr>
            <w:r w:rsidRPr="00716E2F">
              <w:t>Nav attiecināms.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>4.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467228" w:rsidRPr="00876DB9" w:rsidRDefault="00467228" w:rsidP="00876DB9">
            <w:pPr>
              <w:jc w:val="both"/>
            </w:pPr>
            <w:r w:rsidRPr="00876DB9">
              <w:t xml:space="preserve">Šā projekta mērķis ir pielāgot MK noteikumus </w:t>
            </w:r>
            <w:r w:rsidRPr="00876DB9">
              <w:rPr>
                <w:i/>
                <w:iCs/>
              </w:rPr>
              <w:t>euro</w:t>
            </w:r>
            <w:r w:rsidRPr="00876DB9">
              <w:t xml:space="preserve"> ieviešanai, aizstājot tajā</w:t>
            </w:r>
            <w:r>
              <w:t xml:space="preserve"> vārdu</w:t>
            </w:r>
            <w:r w:rsidRPr="00876DB9">
              <w:t xml:space="preserve"> </w:t>
            </w:r>
            <w:r>
              <w:t>„</w:t>
            </w:r>
            <w:r w:rsidRPr="00876DB9">
              <w:t>latu</w:t>
            </w:r>
            <w:r>
              <w:t>”</w:t>
            </w:r>
            <w:r w:rsidRPr="00876DB9">
              <w:t xml:space="preserve"> ar </w:t>
            </w:r>
            <w:r>
              <w:t>vārdu „</w:t>
            </w:r>
            <w:r w:rsidRPr="00876DB9">
              <w:rPr>
                <w:i/>
                <w:iCs/>
              </w:rPr>
              <w:t>euro</w:t>
            </w:r>
            <w:r>
              <w:rPr>
                <w:i/>
                <w:iCs/>
              </w:rPr>
              <w:t>”</w:t>
            </w:r>
            <w:r w:rsidRPr="00876DB9">
              <w:t>.</w:t>
            </w:r>
          </w:p>
          <w:p w:rsidR="00467228" w:rsidRPr="00876DB9" w:rsidRDefault="00467228" w:rsidP="00E10C41">
            <w:pPr>
              <w:jc w:val="both"/>
            </w:pPr>
            <w:r w:rsidRPr="00876DB9">
              <w:t>Izstrādātais Ministru kabineta noteikumu projekt</w:t>
            </w:r>
            <w:r>
              <w:t>s</w:t>
            </w:r>
            <w:r w:rsidRPr="00876DB9">
              <w:t xml:space="preserve"> „Grozījumi Ministru kabineta 2006.gada 19.decembra noteikumos Nr.1036</w:t>
            </w:r>
            <w:r>
              <w:t xml:space="preserve"> „</w:t>
            </w:r>
            <w:r w:rsidRPr="00876DB9">
              <w:t>Audžuģimenes noteikumi””</w:t>
            </w:r>
            <w:r>
              <w:t xml:space="preserve"> </w:t>
            </w:r>
            <w:r w:rsidRPr="00876DB9">
              <w:t>paredz aizstāt MK noteikumu 3.pielikuma 3.punktā minēto vārdu „lati” (attiecīgajā locījumā) ar vārdu „</w:t>
            </w:r>
            <w:r w:rsidRPr="00876DB9">
              <w:rPr>
                <w:i/>
                <w:iCs/>
              </w:rPr>
              <w:t>euro</w:t>
            </w:r>
            <w:r w:rsidRPr="00876DB9">
              <w:t xml:space="preserve">” atbilstoši </w:t>
            </w:r>
            <w:r w:rsidRPr="00876DB9">
              <w:rPr>
                <w:i/>
                <w:iCs/>
              </w:rPr>
              <w:t>Euro</w:t>
            </w:r>
            <w:r w:rsidRPr="00876DB9">
              <w:t xml:space="preserve"> ieviešana kārtības likuma 6.pantā paredzētajiem principiem.</w:t>
            </w:r>
          </w:p>
          <w:p w:rsidR="00467228" w:rsidRPr="00876DB9" w:rsidRDefault="00467228" w:rsidP="00E10C41">
            <w:pPr>
              <w:jc w:val="both"/>
            </w:pPr>
            <w:r w:rsidRPr="00876DB9">
              <w:t>Grozījumi MK noteikumos nerada nekāda veida ietekmi uz valsts budžetu.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>5.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467228" w:rsidRPr="008F285C" w:rsidRDefault="00467228" w:rsidP="00E10C41">
            <w:pPr>
              <w:jc w:val="both"/>
            </w:pPr>
            <w:r w:rsidRPr="00E10C41">
              <w:t>Nav attiecināms.</w:t>
            </w:r>
          </w:p>
        </w:tc>
        <w:bookmarkStart w:id="0" w:name="_GoBack"/>
        <w:bookmarkEnd w:id="0"/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>6.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467228" w:rsidRPr="008F285C" w:rsidRDefault="00467228" w:rsidP="00E10C41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467228" w:rsidRPr="003F27FC">
        <w:tc>
          <w:tcPr>
            <w:tcW w:w="213" w:type="pct"/>
          </w:tcPr>
          <w:p w:rsidR="00467228" w:rsidRPr="00716E2F" w:rsidRDefault="00467228" w:rsidP="00955BA3">
            <w:r w:rsidRPr="00716E2F">
              <w:t xml:space="preserve">7. </w:t>
            </w:r>
          </w:p>
        </w:tc>
        <w:tc>
          <w:tcPr>
            <w:tcW w:w="1654" w:type="pct"/>
          </w:tcPr>
          <w:p w:rsidR="00467228" w:rsidRPr="00716E2F" w:rsidRDefault="00467228" w:rsidP="00955BA3">
            <w:r w:rsidRPr="00716E2F">
              <w:t>Cita informācija</w:t>
            </w:r>
          </w:p>
        </w:tc>
        <w:tc>
          <w:tcPr>
            <w:tcW w:w="3133" w:type="pct"/>
          </w:tcPr>
          <w:p w:rsidR="00467228" w:rsidRPr="00E10C41" w:rsidRDefault="00467228" w:rsidP="00E10C41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</w:t>
            </w:r>
            <w:r>
              <w:t xml:space="preserve"> Eiropas Savienības darbību 140.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67228" w:rsidRPr="00B76D85">
        <w:tc>
          <w:tcPr>
            <w:tcW w:w="9287" w:type="dxa"/>
          </w:tcPr>
          <w:p w:rsidR="00467228" w:rsidRPr="00E10C41" w:rsidRDefault="00467228" w:rsidP="00E10C41">
            <w:pPr>
              <w:jc w:val="center"/>
              <w:rPr>
                <w:b/>
                <w:bCs/>
              </w:rPr>
            </w:pPr>
            <w:r w:rsidRPr="00E10C41">
              <w:rPr>
                <w:b/>
                <w:bCs/>
              </w:rPr>
              <w:t>II Tiesību akta projekta ietekme uz sabiedrību</w:t>
            </w:r>
          </w:p>
        </w:tc>
      </w:tr>
      <w:tr w:rsidR="00467228" w:rsidRPr="00F837C9">
        <w:tc>
          <w:tcPr>
            <w:tcW w:w="9287" w:type="dxa"/>
          </w:tcPr>
          <w:p w:rsidR="00467228" w:rsidRPr="00E10C41" w:rsidRDefault="00467228" w:rsidP="00E10C41">
            <w:pPr>
              <w:jc w:val="both"/>
            </w:pPr>
            <w:r w:rsidRPr="00E10C41">
              <w:rPr>
                <w:sz w:val="22"/>
                <w:szCs w:val="22"/>
              </w:rPr>
              <w:t>Projekts nerada ietekmi uz sabiedrību, jo nemaina spēkā esošo tiesisko regulējumu pēc būtības.</w:t>
            </w:r>
          </w:p>
        </w:tc>
      </w:tr>
    </w:tbl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67228">
        <w:tc>
          <w:tcPr>
            <w:tcW w:w="9287" w:type="dxa"/>
          </w:tcPr>
          <w:p w:rsidR="00467228" w:rsidRDefault="00467228" w:rsidP="00E10C41">
            <w:pPr>
              <w:jc w:val="center"/>
            </w:pPr>
            <w:r>
              <w:br w:type="page"/>
            </w:r>
            <w:r>
              <w:br w:type="page"/>
            </w:r>
            <w:r w:rsidRPr="00E10C41">
              <w:rPr>
                <w:b/>
                <w:bCs/>
              </w:rPr>
              <w:t>III</w:t>
            </w:r>
            <w:r>
              <w:t xml:space="preserve"> </w:t>
            </w:r>
            <w:r w:rsidRPr="00E10C41">
              <w:rPr>
                <w:b/>
                <w:bCs/>
              </w:rPr>
              <w:t>Tiesību akta projekta ietekme uz valsts budžetu un pašvaldību budžetiem</w:t>
            </w:r>
          </w:p>
        </w:tc>
      </w:tr>
      <w:tr w:rsidR="00467228" w:rsidRPr="00F837C9">
        <w:tc>
          <w:tcPr>
            <w:tcW w:w="9287" w:type="dxa"/>
          </w:tcPr>
          <w:p w:rsidR="00467228" w:rsidRPr="00E10C41" w:rsidRDefault="00467228" w:rsidP="00AC4142">
            <w:pPr>
              <w:jc w:val="center"/>
            </w:pPr>
            <w:r w:rsidRPr="00AC4142">
              <w:t>Projekts nerada ietekmi uz valsts budžetu un pašvaldību budžetiem, jo nemaina spēkā esošo tiesisko regulējumu pēc būtības.</w:t>
            </w:r>
          </w:p>
        </w:tc>
      </w:tr>
    </w:tbl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67228" w:rsidRPr="00B76D85">
        <w:tc>
          <w:tcPr>
            <w:tcW w:w="9287" w:type="dxa"/>
          </w:tcPr>
          <w:p w:rsidR="00467228" w:rsidRPr="00E10C41" w:rsidRDefault="00467228" w:rsidP="00E10C41">
            <w:pPr>
              <w:jc w:val="center"/>
              <w:rPr>
                <w:b/>
                <w:bCs/>
              </w:rPr>
            </w:pPr>
            <w:r w:rsidRPr="00E10C41">
              <w:rPr>
                <w:b/>
                <w:bCs/>
              </w:rPr>
              <w:t>IV Tiesību akta projekta ietekme uz spēkā esošo tiesību normu sistēmu</w:t>
            </w:r>
          </w:p>
        </w:tc>
      </w:tr>
      <w:tr w:rsidR="00467228" w:rsidRPr="005F2CFC">
        <w:tc>
          <w:tcPr>
            <w:tcW w:w="9287" w:type="dxa"/>
          </w:tcPr>
          <w:p w:rsidR="00467228" w:rsidRPr="00E10C41" w:rsidRDefault="00467228" w:rsidP="00E10C4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E10C41">
              <w:t>Projekts nerada ietekmi uz spēkā esošo tiesību normu sistēmu.</w:t>
            </w:r>
          </w:p>
        </w:tc>
      </w:tr>
    </w:tbl>
    <w:p w:rsidR="00467228" w:rsidRDefault="00467228" w:rsidP="000864C1">
      <w:pPr>
        <w:jc w:val="center"/>
      </w:pPr>
    </w:p>
    <w:p w:rsidR="00467228" w:rsidRDefault="00467228" w:rsidP="001F1C49">
      <w:pPr>
        <w:jc w:val="center"/>
        <w:rPr>
          <w:i/>
          <w:iCs/>
        </w:rPr>
      </w:pPr>
    </w:p>
    <w:p w:rsidR="00467228" w:rsidRPr="009C59D1" w:rsidRDefault="00467228" w:rsidP="001F1C49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p w:rsidR="00467228" w:rsidRDefault="00467228" w:rsidP="000864C1">
      <w:pPr>
        <w:jc w:val="center"/>
      </w:pPr>
    </w:p>
    <w:p w:rsidR="00467228" w:rsidRPr="008207C1" w:rsidRDefault="00467228" w:rsidP="00876DB9">
      <w:pPr>
        <w:tabs>
          <w:tab w:val="right" w:pos="9120"/>
        </w:tabs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ab/>
        <w:t>I.Viņķele</w:t>
      </w:r>
    </w:p>
    <w:p w:rsidR="00467228" w:rsidRDefault="00467228" w:rsidP="000864C1">
      <w:pPr>
        <w:rPr>
          <w:sz w:val="28"/>
          <w:szCs w:val="28"/>
        </w:rPr>
      </w:pPr>
    </w:p>
    <w:p w:rsidR="00467228" w:rsidRPr="008207C1" w:rsidRDefault="00467228" w:rsidP="000864C1">
      <w:pPr>
        <w:rPr>
          <w:sz w:val="28"/>
          <w:szCs w:val="28"/>
        </w:rPr>
      </w:pPr>
    </w:p>
    <w:p w:rsidR="00467228" w:rsidRDefault="00467228" w:rsidP="000864C1">
      <w:pPr>
        <w:pStyle w:val="Footer"/>
      </w:pPr>
    </w:p>
    <w:p w:rsidR="00467228" w:rsidRDefault="00467228" w:rsidP="000864C1">
      <w:pPr>
        <w:pStyle w:val="Footer"/>
      </w:pPr>
    </w:p>
    <w:p w:rsidR="00467228" w:rsidRDefault="00467228" w:rsidP="000864C1">
      <w:pPr>
        <w:pStyle w:val="Footer"/>
      </w:pPr>
    </w:p>
    <w:p w:rsidR="00467228" w:rsidRDefault="00467228" w:rsidP="000864C1">
      <w:pPr>
        <w:pStyle w:val="Footer"/>
      </w:pPr>
    </w:p>
    <w:p w:rsidR="00467228" w:rsidRPr="0083656F" w:rsidRDefault="00467228" w:rsidP="000864C1">
      <w:pPr>
        <w:pStyle w:val="Footer"/>
      </w:pPr>
    </w:p>
    <w:p w:rsidR="00467228" w:rsidRPr="0083656F" w:rsidRDefault="00467228" w:rsidP="000864C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11.07</w:t>
      </w:r>
      <w:r w:rsidRPr="0083656F">
        <w:rPr>
          <w:sz w:val="20"/>
          <w:szCs w:val="20"/>
        </w:rPr>
        <w:t xml:space="preserve">.2013 </w:t>
      </w:r>
      <w:r>
        <w:rPr>
          <w:sz w:val="20"/>
          <w:szCs w:val="20"/>
        </w:rPr>
        <w:t>16:15</w:t>
      </w:r>
    </w:p>
    <w:p w:rsidR="00467228" w:rsidRPr="0083656F" w:rsidRDefault="00467228" w:rsidP="000864C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338</w:t>
      </w:r>
    </w:p>
    <w:p w:rsidR="00467228" w:rsidRPr="002B0373" w:rsidRDefault="00467228" w:rsidP="00753077">
      <w:pPr>
        <w:rPr>
          <w:sz w:val="20"/>
          <w:szCs w:val="20"/>
        </w:rPr>
      </w:pPr>
      <w:r>
        <w:rPr>
          <w:sz w:val="20"/>
          <w:szCs w:val="20"/>
        </w:rPr>
        <w:t>B.Abersone</w:t>
      </w:r>
    </w:p>
    <w:p w:rsidR="00467228" w:rsidRDefault="00467228" w:rsidP="00753077">
      <w:pPr>
        <w:rPr>
          <w:sz w:val="20"/>
          <w:szCs w:val="20"/>
        </w:rPr>
      </w:pPr>
      <w:r>
        <w:rPr>
          <w:sz w:val="20"/>
          <w:szCs w:val="20"/>
        </w:rPr>
        <w:t>tālr.67021590</w:t>
      </w:r>
      <w:r w:rsidRPr="002B0373">
        <w:rPr>
          <w:sz w:val="20"/>
          <w:szCs w:val="20"/>
        </w:rPr>
        <w:t xml:space="preserve">, </w:t>
      </w:r>
      <w:r>
        <w:rPr>
          <w:sz w:val="20"/>
          <w:szCs w:val="20"/>
        </w:rPr>
        <w:t>fakss 67021618</w:t>
      </w:r>
    </w:p>
    <w:p w:rsidR="00467228" w:rsidRPr="00111F0E" w:rsidRDefault="00467228" w:rsidP="00753077">
      <w:pPr>
        <w:rPr>
          <w:rStyle w:val="Hyperlink"/>
          <w:sz w:val="20"/>
          <w:szCs w:val="20"/>
        </w:rPr>
      </w:pPr>
      <w:hyperlink r:id="rId6" w:history="1">
        <w:r w:rsidRPr="00E97297">
          <w:rPr>
            <w:rStyle w:val="Hyperlink"/>
            <w:sz w:val="20"/>
            <w:szCs w:val="20"/>
          </w:rPr>
          <w:t>baiba.abersone@lm.gov.lv</w:t>
        </w:r>
      </w:hyperlink>
      <w:r w:rsidRPr="00AD2E96">
        <w:rPr>
          <w:sz w:val="20"/>
          <w:szCs w:val="20"/>
        </w:rPr>
        <w:t xml:space="preserve"> </w:t>
      </w:r>
    </w:p>
    <w:p w:rsidR="00467228" w:rsidRDefault="00467228"/>
    <w:sectPr w:rsidR="00467228" w:rsidSect="009C169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28" w:rsidRDefault="00467228" w:rsidP="00250284">
      <w:r>
        <w:separator/>
      </w:r>
    </w:p>
  </w:endnote>
  <w:endnote w:type="continuationSeparator" w:id="0">
    <w:p w:rsidR="00467228" w:rsidRDefault="00467228" w:rsidP="0025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28" w:rsidRPr="00AC4142" w:rsidRDefault="00467228" w:rsidP="00AC4142">
    <w:pPr>
      <w:jc w:val="both"/>
      <w:rPr>
        <w:sz w:val="20"/>
        <w:szCs w:val="20"/>
      </w:rPr>
    </w:pPr>
    <w:r>
      <w:rPr>
        <w:sz w:val="20"/>
        <w:szCs w:val="20"/>
      </w:rPr>
      <w:t>LManot_1107</w:t>
    </w:r>
    <w:r w:rsidRPr="00AC4142">
      <w:rPr>
        <w:sz w:val="20"/>
        <w:szCs w:val="20"/>
      </w:rPr>
      <w:t>13_Audz_euro; Grozījumi Ministru kabineta 2006.gada 19.decembra noteikumos Nr.1036 “Audžuģimenes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28" w:rsidRPr="00AC4142" w:rsidRDefault="00467228" w:rsidP="00AC4142">
    <w:pPr>
      <w:jc w:val="both"/>
      <w:rPr>
        <w:sz w:val="20"/>
        <w:szCs w:val="20"/>
      </w:rPr>
    </w:pPr>
    <w:r>
      <w:rPr>
        <w:sz w:val="20"/>
        <w:szCs w:val="20"/>
      </w:rPr>
      <w:t>LManot_1107</w:t>
    </w:r>
    <w:r w:rsidRPr="00AC4142">
      <w:rPr>
        <w:sz w:val="20"/>
        <w:szCs w:val="20"/>
      </w:rPr>
      <w:t>13_Audz_euro; Grozījumi Ministru kabineta 2006.gada 19.decembra noteikumos Nr.1036 “Audžuģimenes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28" w:rsidRDefault="00467228" w:rsidP="00250284">
      <w:r>
        <w:separator/>
      </w:r>
    </w:p>
  </w:footnote>
  <w:footnote w:type="continuationSeparator" w:id="0">
    <w:p w:rsidR="00467228" w:rsidRDefault="00467228" w:rsidP="0025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28" w:rsidRDefault="00467228" w:rsidP="00242D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7228" w:rsidRDefault="004672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4C1"/>
    <w:rsid w:val="000864C1"/>
    <w:rsid w:val="000946FE"/>
    <w:rsid w:val="000951AE"/>
    <w:rsid w:val="000A1A23"/>
    <w:rsid w:val="000A1A9B"/>
    <w:rsid w:val="000F2D15"/>
    <w:rsid w:val="00111F0E"/>
    <w:rsid w:val="00115437"/>
    <w:rsid w:val="00115741"/>
    <w:rsid w:val="00134C18"/>
    <w:rsid w:val="001442EB"/>
    <w:rsid w:val="0015345A"/>
    <w:rsid w:val="00154AB9"/>
    <w:rsid w:val="00164615"/>
    <w:rsid w:val="00175494"/>
    <w:rsid w:val="00176D0C"/>
    <w:rsid w:val="0018059C"/>
    <w:rsid w:val="0019772D"/>
    <w:rsid w:val="001E66A5"/>
    <w:rsid w:val="001E7323"/>
    <w:rsid w:val="001F1C49"/>
    <w:rsid w:val="00214274"/>
    <w:rsid w:val="00215B93"/>
    <w:rsid w:val="00242D7D"/>
    <w:rsid w:val="00250284"/>
    <w:rsid w:val="00280C58"/>
    <w:rsid w:val="00286A52"/>
    <w:rsid w:val="002B0373"/>
    <w:rsid w:val="002B75C3"/>
    <w:rsid w:val="002C20CD"/>
    <w:rsid w:val="00300CAA"/>
    <w:rsid w:val="00324392"/>
    <w:rsid w:val="00380853"/>
    <w:rsid w:val="003A3E1E"/>
    <w:rsid w:val="003B629D"/>
    <w:rsid w:val="003F27FC"/>
    <w:rsid w:val="00445FD5"/>
    <w:rsid w:val="00467228"/>
    <w:rsid w:val="00496104"/>
    <w:rsid w:val="004A7F8B"/>
    <w:rsid w:val="00535AED"/>
    <w:rsid w:val="005D07C7"/>
    <w:rsid w:val="005F2CFC"/>
    <w:rsid w:val="00615E30"/>
    <w:rsid w:val="00620F76"/>
    <w:rsid w:val="00641ECA"/>
    <w:rsid w:val="00650F5D"/>
    <w:rsid w:val="006670E0"/>
    <w:rsid w:val="006979B4"/>
    <w:rsid w:val="006A6CD9"/>
    <w:rsid w:val="00716E2F"/>
    <w:rsid w:val="00753077"/>
    <w:rsid w:val="00773DFE"/>
    <w:rsid w:val="007E1E4F"/>
    <w:rsid w:val="00806E17"/>
    <w:rsid w:val="008207C1"/>
    <w:rsid w:val="0083656F"/>
    <w:rsid w:val="00876DB9"/>
    <w:rsid w:val="008952EE"/>
    <w:rsid w:val="008D1E8B"/>
    <w:rsid w:val="008D7523"/>
    <w:rsid w:val="008F285C"/>
    <w:rsid w:val="00907316"/>
    <w:rsid w:val="0094058D"/>
    <w:rsid w:val="00945930"/>
    <w:rsid w:val="009529CF"/>
    <w:rsid w:val="00955BA3"/>
    <w:rsid w:val="00973322"/>
    <w:rsid w:val="00992459"/>
    <w:rsid w:val="009C1695"/>
    <w:rsid w:val="009C59D1"/>
    <w:rsid w:val="00A27760"/>
    <w:rsid w:val="00A4745E"/>
    <w:rsid w:val="00A659F5"/>
    <w:rsid w:val="00AA334D"/>
    <w:rsid w:val="00AB41F0"/>
    <w:rsid w:val="00AC181D"/>
    <w:rsid w:val="00AC4142"/>
    <w:rsid w:val="00AD2E96"/>
    <w:rsid w:val="00AE5E54"/>
    <w:rsid w:val="00B31CF6"/>
    <w:rsid w:val="00B62672"/>
    <w:rsid w:val="00B76D85"/>
    <w:rsid w:val="00BA1CAB"/>
    <w:rsid w:val="00C66C95"/>
    <w:rsid w:val="00C8167C"/>
    <w:rsid w:val="00C92316"/>
    <w:rsid w:val="00D23BF7"/>
    <w:rsid w:val="00D668D9"/>
    <w:rsid w:val="00E030F6"/>
    <w:rsid w:val="00E07929"/>
    <w:rsid w:val="00E10C41"/>
    <w:rsid w:val="00E81870"/>
    <w:rsid w:val="00E97297"/>
    <w:rsid w:val="00EA4A29"/>
    <w:rsid w:val="00EB012D"/>
    <w:rsid w:val="00EE77FD"/>
    <w:rsid w:val="00F31E69"/>
    <w:rsid w:val="00F62D75"/>
    <w:rsid w:val="00F82CD5"/>
    <w:rsid w:val="00F837C9"/>
    <w:rsid w:val="00F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4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0864C1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0864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4C1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0864C1"/>
  </w:style>
  <w:style w:type="paragraph" w:styleId="Footer">
    <w:name w:val="footer"/>
    <w:basedOn w:val="Normal"/>
    <w:link w:val="FooterChar"/>
    <w:uiPriority w:val="99"/>
    <w:rsid w:val="000864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4C1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864C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0864C1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08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64C1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Normal"/>
    <w:uiPriority w:val="99"/>
    <w:rsid w:val="00214274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7530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F1C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C49"/>
    <w:rPr>
      <w:rFonts w:ascii="Tahoma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7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abersone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349</Words>
  <Characters>2426</Characters>
  <Application>Microsoft Office Outlook</Application>
  <DocSecurity>0</DocSecurity>
  <Lines>0</Lines>
  <Paragraphs>0</Paragraphs>
  <ScaleCrop>false</ScaleCrop>
  <Company>Labklājības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19.decembra noteikumos Nr.1036 “Audžuģimenes noteikumi”</dc:title>
  <dc:subject>Anotācija</dc:subject>
  <dc:creator>Baiba Abersone</dc:creator>
  <cp:keywords/>
  <dc:description>baiba.abersone@lm.gov.lv, t.67021590</dc:description>
  <cp:lastModifiedBy>baibaa</cp:lastModifiedBy>
  <cp:revision>4</cp:revision>
  <dcterms:created xsi:type="dcterms:W3CDTF">2013-06-17T07:22:00Z</dcterms:created>
  <dcterms:modified xsi:type="dcterms:W3CDTF">2013-07-11T13:15:00Z</dcterms:modified>
</cp:coreProperties>
</file>