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1D" w:rsidRPr="00295D40" w:rsidRDefault="008A2E1D" w:rsidP="008A2E1D">
      <w:pPr>
        <w:jc w:val="center"/>
        <w:rPr>
          <w:b/>
          <w:sz w:val="28"/>
          <w:szCs w:val="28"/>
        </w:rPr>
      </w:pPr>
      <w:r w:rsidRPr="00295D40">
        <w:rPr>
          <w:b/>
          <w:sz w:val="28"/>
          <w:szCs w:val="28"/>
        </w:rPr>
        <w:t>Noteikumi par valsts mērķdotāciju pašvaldībām dzīvokļa pabalsta izmaksu nodrošināšanai laikā no 2014.gada 1.aprīļa līdz 2017.gada 31.decembrim</w:t>
      </w:r>
    </w:p>
    <w:p w:rsidR="00B445F0" w:rsidRPr="00295D40" w:rsidRDefault="00B76D85" w:rsidP="00B76D85">
      <w:pPr>
        <w:jc w:val="center"/>
        <w:rPr>
          <w:b/>
          <w:sz w:val="28"/>
          <w:szCs w:val="28"/>
        </w:rPr>
      </w:pPr>
      <w:r w:rsidRPr="00295D40">
        <w:rPr>
          <w:b/>
          <w:sz w:val="28"/>
          <w:szCs w:val="28"/>
        </w:rPr>
        <w:t>sākotnējās ietekmes novērtējuma ziņojums (anotācija)</w:t>
      </w:r>
    </w:p>
    <w:p w:rsidR="00B76D85" w:rsidRPr="00295D40" w:rsidRDefault="00B76D85" w:rsidP="00B76D85">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295D40" w:rsidRPr="00295D40" w:rsidTr="00B66418">
        <w:tc>
          <w:tcPr>
            <w:tcW w:w="5000" w:type="pct"/>
            <w:gridSpan w:val="3"/>
            <w:shd w:val="clear" w:color="auto" w:fill="auto"/>
          </w:tcPr>
          <w:p w:rsidR="00194614" w:rsidRPr="00295D40" w:rsidRDefault="00C01716" w:rsidP="00B66418">
            <w:pPr>
              <w:jc w:val="center"/>
              <w:rPr>
                <w:b/>
              </w:rPr>
            </w:pPr>
            <w:r w:rsidRPr="00295D40">
              <w:rPr>
                <w:b/>
              </w:rPr>
              <w:t>I Tiesību akta projekta izstrādes nepieciešamība</w:t>
            </w:r>
          </w:p>
        </w:tc>
      </w:tr>
      <w:tr w:rsidR="00295D40" w:rsidRPr="00295D40" w:rsidTr="00B66418">
        <w:tc>
          <w:tcPr>
            <w:tcW w:w="213" w:type="pct"/>
            <w:shd w:val="clear" w:color="auto" w:fill="auto"/>
          </w:tcPr>
          <w:p w:rsidR="00B76D85" w:rsidRPr="00295D40" w:rsidRDefault="00B76D85" w:rsidP="00B76D85">
            <w:pPr>
              <w:rPr>
                <w:sz w:val="22"/>
                <w:szCs w:val="22"/>
              </w:rPr>
            </w:pPr>
            <w:r w:rsidRPr="00295D40">
              <w:rPr>
                <w:sz w:val="22"/>
                <w:szCs w:val="22"/>
              </w:rPr>
              <w:t>1.</w:t>
            </w:r>
          </w:p>
        </w:tc>
        <w:tc>
          <w:tcPr>
            <w:tcW w:w="1654" w:type="pct"/>
            <w:shd w:val="clear" w:color="auto" w:fill="auto"/>
          </w:tcPr>
          <w:p w:rsidR="00B76D85" w:rsidRPr="00295D40" w:rsidRDefault="00B76D85" w:rsidP="00B76D85">
            <w:pPr>
              <w:rPr>
                <w:sz w:val="22"/>
                <w:szCs w:val="22"/>
              </w:rPr>
            </w:pPr>
            <w:r w:rsidRPr="00295D40">
              <w:rPr>
                <w:sz w:val="22"/>
                <w:szCs w:val="22"/>
              </w:rPr>
              <w:t>Pamatojums</w:t>
            </w:r>
          </w:p>
        </w:tc>
        <w:tc>
          <w:tcPr>
            <w:tcW w:w="3133" w:type="pct"/>
            <w:shd w:val="clear" w:color="auto" w:fill="auto"/>
          </w:tcPr>
          <w:p w:rsidR="00BC5670" w:rsidRPr="00295D40" w:rsidRDefault="00BC5670" w:rsidP="00964185">
            <w:pPr>
              <w:jc w:val="both"/>
              <w:rPr>
                <w:rFonts w:eastAsia="Calibri"/>
                <w:sz w:val="22"/>
                <w:szCs w:val="22"/>
              </w:rPr>
            </w:pPr>
            <w:r w:rsidRPr="00295D40">
              <w:rPr>
                <w:sz w:val="22"/>
                <w:szCs w:val="22"/>
              </w:rPr>
              <w:t xml:space="preserve">Ministru kabinets 2013.gada 13.augusta sēdē </w:t>
            </w:r>
            <w:r w:rsidRPr="00295D40">
              <w:rPr>
                <w:rFonts w:eastAsia="Calibri"/>
                <w:sz w:val="22"/>
                <w:szCs w:val="22"/>
              </w:rPr>
              <w:t>(</w:t>
            </w:r>
            <w:r w:rsidRPr="00295D40">
              <w:rPr>
                <w:sz w:val="22"/>
                <w:szCs w:val="22"/>
                <w:shd w:val="clear" w:color="auto" w:fill="FFFFFF"/>
              </w:rPr>
              <w:t xml:space="preserve">prot. Nr.44, 156.§) </w:t>
            </w:r>
            <w:r w:rsidRPr="00295D40">
              <w:rPr>
                <w:sz w:val="22"/>
                <w:szCs w:val="22"/>
              </w:rPr>
              <w:t xml:space="preserve">pamatā atbalstīja Ekonomikas ministrijas sagatavotajā </w:t>
            </w:r>
            <w:r w:rsidRPr="00295D40">
              <w:rPr>
                <w:rFonts w:eastAsia="Calibri"/>
                <w:sz w:val="22"/>
                <w:szCs w:val="22"/>
              </w:rPr>
              <w:t xml:space="preserve">informatīvajā ziņojumā </w:t>
            </w:r>
            <w:r w:rsidRPr="00295D40">
              <w:rPr>
                <w:rFonts w:eastAsia="Calibri"/>
                <w:i/>
                <w:sz w:val="22"/>
                <w:szCs w:val="22"/>
              </w:rPr>
              <w:t>"Komplekss risinājums elektroenerģijas tirgus problemātikai"</w:t>
            </w:r>
            <w:r w:rsidRPr="00295D40">
              <w:rPr>
                <w:rFonts w:eastAsia="Calibri"/>
                <w:sz w:val="22"/>
                <w:szCs w:val="22"/>
              </w:rPr>
              <w:t xml:space="preserve"> ietvertos risinājumus, kas cita starpā paredz „Sociālā atbalsta instrumenta izveidei saistībā ar elektroenerģijas tirgus atvēršanas procesu ir jāizstrādā likumprojekts „Grozījumi likumā „Par palīdzību dzīvokļa jautājumu risināšanā””, paredzot, ka dzīvokļa pabalstos tiek ietverts maksājums elektroenerģijas izmaksu daļējai segšanai.”</w:t>
            </w:r>
          </w:p>
          <w:p w:rsidR="00CD0FF0" w:rsidRPr="00295D40" w:rsidRDefault="00DC2A17" w:rsidP="00964185">
            <w:pPr>
              <w:jc w:val="both"/>
              <w:rPr>
                <w:bCs/>
                <w:sz w:val="22"/>
                <w:szCs w:val="22"/>
              </w:rPr>
            </w:pPr>
            <w:r w:rsidRPr="00295D40">
              <w:rPr>
                <w:bCs/>
                <w:sz w:val="22"/>
                <w:szCs w:val="22"/>
              </w:rPr>
              <w:t xml:space="preserve">2013.gada </w:t>
            </w:r>
            <w:r w:rsidR="00957D2D" w:rsidRPr="00295D40">
              <w:rPr>
                <w:bCs/>
                <w:sz w:val="22"/>
                <w:szCs w:val="22"/>
              </w:rPr>
              <w:t>6</w:t>
            </w:r>
            <w:r w:rsidRPr="00295D40">
              <w:rPr>
                <w:bCs/>
                <w:sz w:val="22"/>
                <w:szCs w:val="22"/>
              </w:rPr>
              <w:t>.novembrī Saeima pieņēma likumu „Grozījumi likumā „Par palīdzību dzīvokļa jaut</w:t>
            </w:r>
            <w:r w:rsidR="0080427E" w:rsidRPr="00295D40">
              <w:rPr>
                <w:bCs/>
                <w:sz w:val="22"/>
                <w:szCs w:val="22"/>
              </w:rPr>
              <w:t>ājumu ri</w:t>
            </w:r>
            <w:r w:rsidRPr="00295D40">
              <w:rPr>
                <w:bCs/>
                <w:sz w:val="22"/>
                <w:szCs w:val="22"/>
              </w:rPr>
              <w:t>sināš</w:t>
            </w:r>
            <w:r w:rsidR="0080427E" w:rsidRPr="00295D40">
              <w:rPr>
                <w:bCs/>
                <w:sz w:val="22"/>
                <w:szCs w:val="22"/>
              </w:rPr>
              <w:t>a</w:t>
            </w:r>
            <w:r w:rsidRPr="00295D40">
              <w:rPr>
                <w:bCs/>
                <w:sz w:val="22"/>
                <w:szCs w:val="22"/>
              </w:rPr>
              <w:t>nā””</w:t>
            </w:r>
            <w:r w:rsidR="00964185" w:rsidRPr="00295D40">
              <w:rPr>
                <w:bCs/>
                <w:sz w:val="22"/>
                <w:szCs w:val="22"/>
              </w:rPr>
              <w:t xml:space="preserve">, </w:t>
            </w:r>
            <w:r w:rsidR="0080427E" w:rsidRPr="00295D40">
              <w:rPr>
                <w:bCs/>
                <w:sz w:val="22"/>
                <w:szCs w:val="22"/>
              </w:rPr>
              <w:t>papildin</w:t>
            </w:r>
            <w:r w:rsidR="00964185" w:rsidRPr="00295D40">
              <w:rPr>
                <w:bCs/>
                <w:sz w:val="22"/>
                <w:szCs w:val="22"/>
              </w:rPr>
              <w:t>ot likumu</w:t>
            </w:r>
            <w:r w:rsidR="0080427E" w:rsidRPr="00295D40">
              <w:rPr>
                <w:bCs/>
                <w:sz w:val="22"/>
                <w:szCs w:val="22"/>
              </w:rPr>
              <w:t xml:space="preserve"> ar </w:t>
            </w:r>
            <w:r w:rsidR="0080427E" w:rsidRPr="00295D40">
              <w:rPr>
                <w:sz w:val="22"/>
                <w:szCs w:val="22"/>
              </w:rPr>
              <w:t>25</w:t>
            </w:r>
            <w:r w:rsidR="0080427E" w:rsidRPr="00295D40">
              <w:rPr>
                <w:bCs/>
                <w:sz w:val="22"/>
                <w:szCs w:val="22"/>
                <w:vertAlign w:val="superscript"/>
              </w:rPr>
              <w:t>1</w:t>
            </w:r>
            <w:r w:rsidR="0080427E" w:rsidRPr="00295D40">
              <w:rPr>
                <w:bCs/>
                <w:sz w:val="22"/>
                <w:szCs w:val="22"/>
              </w:rPr>
              <w:t xml:space="preserve">. </w:t>
            </w:r>
            <w:r w:rsidR="00607E3A" w:rsidRPr="00295D40">
              <w:rPr>
                <w:bCs/>
                <w:sz w:val="22"/>
                <w:szCs w:val="22"/>
              </w:rPr>
              <w:t>p</w:t>
            </w:r>
            <w:r w:rsidR="0080427E" w:rsidRPr="00295D40">
              <w:rPr>
                <w:bCs/>
                <w:sz w:val="22"/>
                <w:szCs w:val="22"/>
              </w:rPr>
              <w:t>antu</w:t>
            </w:r>
            <w:r w:rsidR="00087623" w:rsidRPr="00295D40">
              <w:rPr>
                <w:bCs/>
                <w:sz w:val="22"/>
                <w:szCs w:val="22"/>
              </w:rPr>
              <w:t>, kas nosaka, ka no 2014.gada 1.aprīļa līdz 2017</w:t>
            </w:r>
            <w:r w:rsidR="00607E3A" w:rsidRPr="00295D40">
              <w:rPr>
                <w:bCs/>
                <w:sz w:val="22"/>
                <w:szCs w:val="22"/>
              </w:rPr>
              <w:t>.gada</w:t>
            </w:r>
            <w:r w:rsidR="001426BB" w:rsidRPr="00295D40">
              <w:rPr>
                <w:bCs/>
                <w:sz w:val="22"/>
                <w:szCs w:val="22"/>
              </w:rPr>
              <w:t xml:space="preserve"> </w:t>
            </w:r>
            <w:r w:rsidR="00087623" w:rsidRPr="00295D40">
              <w:rPr>
                <w:bCs/>
                <w:sz w:val="22"/>
                <w:szCs w:val="22"/>
              </w:rPr>
              <w:t>31.decembrim valsts piešķir mērķdotāciju pašvaldībām dzīvokļa pabalsta izmaksu nodrošināšanai atbilstoši gadskārtējā valsts budžeta likumā paredzētajiem līdzekļiem.</w:t>
            </w:r>
            <w:r w:rsidR="00C702F2" w:rsidRPr="00295D40">
              <w:rPr>
                <w:bCs/>
                <w:sz w:val="22"/>
                <w:szCs w:val="22"/>
              </w:rPr>
              <w:t xml:space="preserve"> </w:t>
            </w:r>
          </w:p>
          <w:p w:rsidR="00CD0FF0" w:rsidRPr="00295D40" w:rsidRDefault="00CD0FF0" w:rsidP="00CD0FF0">
            <w:pPr>
              <w:jc w:val="both"/>
              <w:rPr>
                <w:bCs/>
                <w:sz w:val="22"/>
                <w:szCs w:val="22"/>
              </w:rPr>
            </w:pPr>
            <w:r w:rsidRPr="00295D40">
              <w:rPr>
                <w:sz w:val="22"/>
                <w:szCs w:val="22"/>
              </w:rPr>
              <w:t>Ministru kabineta noteikumu projekts „</w:t>
            </w:r>
            <w:r w:rsidR="00CF1859" w:rsidRPr="00295D40">
              <w:rPr>
                <w:sz w:val="22"/>
                <w:szCs w:val="22"/>
              </w:rPr>
              <w:t>Noteikumi par valsts mērķdotāciju pašvaldībām dzīvokļa pabalsta izmaksu norosināšanai laikā no 2014.gada 1.aprīļa līdz 2017.gada 31.decembrim</w:t>
            </w:r>
            <w:r w:rsidRPr="00295D40">
              <w:rPr>
                <w:sz w:val="22"/>
                <w:szCs w:val="22"/>
              </w:rPr>
              <w:t>” (turpmāk – noteikumu projekts) ir izstrādāts, pamatojoties uz likuma „Par palīdzību dzīvokļa jautājumu risināšanai” 25</w:t>
            </w:r>
            <w:r w:rsidRPr="00295D40">
              <w:rPr>
                <w:bCs/>
                <w:sz w:val="22"/>
                <w:szCs w:val="22"/>
                <w:vertAlign w:val="superscript"/>
              </w:rPr>
              <w:t>1</w:t>
            </w:r>
            <w:r w:rsidRPr="00295D40">
              <w:rPr>
                <w:bCs/>
                <w:sz w:val="22"/>
                <w:szCs w:val="22"/>
              </w:rPr>
              <w:t>. panta otro daļu.</w:t>
            </w:r>
          </w:p>
          <w:p w:rsidR="00144C99" w:rsidRPr="00295D40" w:rsidRDefault="00C702F2" w:rsidP="00366171">
            <w:pPr>
              <w:jc w:val="both"/>
              <w:rPr>
                <w:i/>
                <w:sz w:val="22"/>
                <w:szCs w:val="22"/>
              </w:rPr>
            </w:pPr>
            <w:r w:rsidRPr="00295D40">
              <w:rPr>
                <w:bCs/>
                <w:sz w:val="22"/>
                <w:szCs w:val="22"/>
              </w:rPr>
              <w:t>Likuma pārejas noteikumu 10.punktā noteikts, ka Ministru kabineta</w:t>
            </w:r>
            <w:r w:rsidR="00AC1F66" w:rsidRPr="00295D40">
              <w:rPr>
                <w:bCs/>
                <w:sz w:val="22"/>
                <w:szCs w:val="22"/>
              </w:rPr>
              <w:t xml:space="preserve"> noteikumi </w:t>
            </w:r>
            <w:r w:rsidRPr="00295D40">
              <w:rPr>
                <w:bCs/>
                <w:sz w:val="22"/>
                <w:szCs w:val="22"/>
              </w:rPr>
              <w:t xml:space="preserve">jāizdod </w:t>
            </w:r>
            <w:r w:rsidRPr="00295D40">
              <w:rPr>
                <w:bCs/>
                <w:sz w:val="22"/>
                <w:szCs w:val="22"/>
                <w:u w:val="single"/>
              </w:rPr>
              <w:t>līdz 2014.gada 15.janvārim</w:t>
            </w:r>
            <w:r w:rsidR="00AC1F66" w:rsidRPr="00295D40">
              <w:rPr>
                <w:bCs/>
                <w:sz w:val="22"/>
                <w:szCs w:val="22"/>
              </w:rPr>
              <w:t xml:space="preserve"> (Ministru prezidenta 2013.gada 13.decembra rezolūcija Nr.12/2013-JUR-389).</w:t>
            </w:r>
            <w:r w:rsidRPr="00295D40">
              <w:rPr>
                <w:bCs/>
                <w:sz w:val="22"/>
                <w:szCs w:val="22"/>
              </w:rPr>
              <w:t xml:space="preserve"> </w:t>
            </w:r>
            <w:r w:rsidR="00087623" w:rsidRPr="00295D40">
              <w:rPr>
                <w:bCs/>
                <w:sz w:val="22"/>
                <w:szCs w:val="22"/>
              </w:rPr>
              <w:t xml:space="preserve"> </w:t>
            </w:r>
          </w:p>
        </w:tc>
      </w:tr>
      <w:tr w:rsidR="00295D40" w:rsidRPr="00295D40" w:rsidTr="00B66418">
        <w:tc>
          <w:tcPr>
            <w:tcW w:w="213" w:type="pct"/>
            <w:shd w:val="clear" w:color="auto" w:fill="auto"/>
          </w:tcPr>
          <w:p w:rsidR="00B76D85" w:rsidRPr="00295D40" w:rsidRDefault="00B76D85" w:rsidP="00B76D85">
            <w:pPr>
              <w:rPr>
                <w:sz w:val="22"/>
                <w:szCs w:val="22"/>
              </w:rPr>
            </w:pPr>
            <w:r w:rsidRPr="00295D40">
              <w:rPr>
                <w:sz w:val="22"/>
                <w:szCs w:val="22"/>
              </w:rPr>
              <w:t xml:space="preserve">2. </w:t>
            </w:r>
          </w:p>
        </w:tc>
        <w:tc>
          <w:tcPr>
            <w:tcW w:w="1654" w:type="pct"/>
            <w:shd w:val="clear" w:color="auto" w:fill="auto"/>
          </w:tcPr>
          <w:p w:rsidR="00B76D85" w:rsidRPr="00295D40" w:rsidRDefault="00B76D85" w:rsidP="00B76D85">
            <w:pPr>
              <w:rPr>
                <w:sz w:val="22"/>
                <w:szCs w:val="22"/>
              </w:rPr>
            </w:pPr>
            <w:r w:rsidRPr="00295D40">
              <w:rPr>
                <w:sz w:val="22"/>
                <w:szCs w:val="22"/>
              </w:rPr>
              <w:t>Pašreizējā situācija un problēmas</w:t>
            </w:r>
          </w:p>
        </w:tc>
        <w:tc>
          <w:tcPr>
            <w:tcW w:w="3133" w:type="pct"/>
            <w:shd w:val="clear" w:color="auto" w:fill="auto"/>
          </w:tcPr>
          <w:p w:rsidR="00B30A0B" w:rsidRPr="00295D40" w:rsidRDefault="00486A11" w:rsidP="00B66418">
            <w:pPr>
              <w:jc w:val="both"/>
              <w:rPr>
                <w:iCs/>
                <w:sz w:val="22"/>
                <w:szCs w:val="22"/>
              </w:rPr>
            </w:pPr>
            <w:r w:rsidRPr="00295D40">
              <w:rPr>
                <w:iCs/>
                <w:sz w:val="22"/>
                <w:szCs w:val="22"/>
              </w:rPr>
              <w:t xml:space="preserve">Atbilstoši Elektroenerģijas tirgus likuma aktuālajām izmaiņām (06.11.2013.) no 2014.gada 1.aprīļa pilnībā tiek liberalizēts elektroenerģijas tirgus un </w:t>
            </w:r>
            <w:r w:rsidR="002E6394" w:rsidRPr="00295D40">
              <w:rPr>
                <w:iCs/>
                <w:sz w:val="22"/>
                <w:szCs w:val="22"/>
              </w:rPr>
              <w:t xml:space="preserve">tiek izbeigta elektroenerģijas cenu regulācija. </w:t>
            </w:r>
            <w:r w:rsidR="00D5770E" w:rsidRPr="00295D40">
              <w:rPr>
                <w:iCs/>
                <w:sz w:val="22"/>
                <w:szCs w:val="22"/>
              </w:rPr>
              <w:t>P</w:t>
            </w:r>
            <w:r w:rsidR="003056BC" w:rsidRPr="00295D40">
              <w:rPr>
                <w:iCs/>
                <w:sz w:val="22"/>
                <w:szCs w:val="22"/>
              </w:rPr>
              <w:t>lānotās elektroenerģijas tirgus atvēršanas rezultātā vairs nepastāvēs regulētie elektroenerģijas tarifi</w:t>
            </w:r>
            <w:r w:rsidR="00313E69" w:rsidRPr="00295D40">
              <w:rPr>
                <w:iCs/>
                <w:sz w:val="22"/>
                <w:szCs w:val="22"/>
              </w:rPr>
              <w:t xml:space="preserve"> un par</w:t>
            </w:r>
            <w:r w:rsidR="003056BC" w:rsidRPr="00295D40">
              <w:rPr>
                <w:iCs/>
                <w:sz w:val="22"/>
                <w:szCs w:val="22"/>
              </w:rPr>
              <w:t>edzams, ka elektroenerģijas kopējā cena</w:t>
            </w:r>
            <w:r w:rsidR="00313E69" w:rsidRPr="00295D40">
              <w:rPr>
                <w:iCs/>
                <w:sz w:val="22"/>
                <w:szCs w:val="22"/>
              </w:rPr>
              <w:t xml:space="preserve"> </w:t>
            </w:r>
            <w:r w:rsidR="003056BC" w:rsidRPr="00295D40">
              <w:rPr>
                <w:iCs/>
                <w:sz w:val="22"/>
                <w:szCs w:val="22"/>
              </w:rPr>
              <w:t xml:space="preserve">mājsaimniecībām 2014.gadā pieaugs par 7% pret šobrīd spēkā esošo elektroenerģijas </w:t>
            </w:r>
            <w:r w:rsidR="00F40041" w:rsidRPr="00295D40">
              <w:rPr>
                <w:iCs/>
                <w:sz w:val="22"/>
                <w:szCs w:val="22"/>
              </w:rPr>
              <w:t>tirdzniecības gala tarifu „Pamata tarifs”</w:t>
            </w:r>
            <w:r w:rsidR="00166DEA" w:rsidRPr="00295D40">
              <w:rPr>
                <w:iCs/>
                <w:sz w:val="22"/>
                <w:szCs w:val="22"/>
              </w:rPr>
              <w:t xml:space="preserve">, jo </w:t>
            </w:r>
            <w:r w:rsidR="002D6A51" w:rsidRPr="00295D40">
              <w:rPr>
                <w:iCs/>
                <w:sz w:val="22"/>
                <w:szCs w:val="22"/>
              </w:rPr>
              <w:t xml:space="preserve">„Starta </w:t>
            </w:r>
            <w:r w:rsidR="00166DEA" w:rsidRPr="00295D40">
              <w:rPr>
                <w:iCs/>
                <w:sz w:val="22"/>
                <w:szCs w:val="22"/>
              </w:rPr>
              <w:t>tarifos</w:t>
            </w:r>
            <w:r w:rsidR="002D6A51" w:rsidRPr="00295D40">
              <w:rPr>
                <w:iCs/>
                <w:sz w:val="22"/>
                <w:szCs w:val="22"/>
              </w:rPr>
              <w:t>”</w:t>
            </w:r>
            <w:r w:rsidR="00166DEA" w:rsidRPr="00295D40">
              <w:rPr>
                <w:iCs/>
                <w:sz w:val="22"/>
                <w:szCs w:val="22"/>
              </w:rPr>
              <w:t xml:space="preserve"> iekļautā elektroenerģijas </w:t>
            </w:r>
            <w:r w:rsidR="00E11D47" w:rsidRPr="00295D40">
              <w:rPr>
                <w:iCs/>
                <w:sz w:val="22"/>
                <w:szCs w:val="22"/>
              </w:rPr>
              <w:t>cena neatbilda faktiskajai elektroenerģijas tirgus cenai.</w:t>
            </w:r>
            <w:r w:rsidR="00083A25" w:rsidRPr="00295D40">
              <w:rPr>
                <w:iCs/>
                <w:sz w:val="22"/>
                <w:szCs w:val="22"/>
              </w:rPr>
              <w:t xml:space="preserve"> </w:t>
            </w:r>
          </w:p>
          <w:p w:rsidR="00A61D4D" w:rsidRPr="00295D40" w:rsidRDefault="00A61D4D" w:rsidP="00A61D4D">
            <w:pPr>
              <w:jc w:val="both"/>
              <w:rPr>
                <w:sz w:val="22"/>
                <w:szCs w:val="22"/>
                <w:shd w:val="clear" w:color="auto" w:fill="FFFFFF"/>
              </w:rPr>
            </w:pPr>
            <w:r w:rsidRPr="00295D40">
              <w:rPr>
                <w:sz w:val="22"/>
                <w:szCs w:val="22"/>
                <w:shd w:val="clear" w:color="auto" w:fill="FFFFFF"/>
              </w:rPr>
              <w:t xml:space="preserve">Tiek prognozēts, ka līdz ar elektroenerģijas cenu kāpumu pieaugs arī siltuma izmaksas, kas pašvaldībām var radīt lielākus izdevumus dzīvokļa pabalstu izmaksām, īpaši ziemas periodā. Tas var apgrūtināt pašvaldībām likuma „Par pašvaldībām” 15.panta pirmā daļas 7. un 9.punktā noteikto autonomo funkciju izpildi (nodrošināt iedzīvotājiem sociālo palīdzību un sniegt palīdzību iedzīvotājiem dzīvokļa jautājumu risināšanā). </w:t>
            </w:r>
          </w:p>
          <w:p w:rsidR="004648C2" w:rsidRPr="00295D40" w:rsidRDefault="004648C2" w:rsidP="004648C2">
            <w:pPr>
              <w:jc w:val="both"/>
              <w:rPr>
                <w:sz w:val="22"/>
                <w:szCs w:val="22"/>
              </w:rPr>
            </w:pPr>
            <w:r w:rsidRPr="00295D40">
              <w:rPr>
                <w:sz w:val="22"/>
                <w:szCs w:val="22"/>
              </w:rPr>
              <w:t xml:space="preserve">Attiecīgi sociālā palīdzība tiek sniegta tādā kārtībā, kā to nosaka Sociālo pakalpojumu un sociālās palīdzības </w:t>
            </w:r>
            <w:r w:rsidR="004C6440" w:rsidRPr="00295D40">
              <w:rPr>
                <w:sz w:val="22"/>
                <w:szCs w:val="22"/>
              </w:rPr>
              <w:t xml:space="preserve">(turpmāk - SPSP) </w:t>
            </w:r>
            <w:r w:rsidRPr="00295D40">
              <w:rPr>
                <w:sz w:val="22"/>
                <w:szCs w:val="22"/>
              </w:rPr>
              <w:t xml:space="preserve">likums, savukārt </w:t>
            </w:r>
            <w:r w:rsidR="00646289" w:rsidRPr="00295D40">
              <w:rPr>
                <w:sz w:val="22"/>
                <w:szCs w:val="22"/>
              </w:rPr>
              <w:t xml:space="preserve">palīdzība </w:t>
            </w:r>
            <w:r w:rsidRPr="00295D40">
              <w:rPr>
                <w:sz w:val="22"/>
                <w:szCs w:val="22"/>
              </w:rPr>
              <w:t xml:space="preserve">iedzīvotājiem </w:t>
            </w:r>
            <w:r w:rsidR="00646289" w:rsidRPr="00295D40">
              <w:rPr>
                <w:sz w:val="22"/>
                <w:szCs w:val="22"/>
              </w:rPr>
              <w:t xml:space="preserve">dzīvokļa </w:t>
            </w:r>
            <w:r w:rsidR="00646289" w:rsidRPr="00295D40">
              <w:rPr>
                <w:sz w:val="22"/>
                <w:szCs w:val="22"/>
              </w:rPr>
              <w:lastRenderedPageBreak/>
              <w:t xml:space="preserve">jautājumu risināšanā </w:t>
            </w:r>
            <w:r w:rsidRPr="00295D40">
              <w:rPr>
                <w:sz w:val="22"/>
                <w:szCs w:val="22"/>
              </w:rPr>
              <w:t xml:space="preserve">tiek </w:t>
            </w:r>
            <w:r w:rsidR="00646289" w:rsidRPr="00295D40">
              <w:rPr>
                <w:sz w:val="22"/>
                <w:szCs w:val="22"/>
              </w:rPr>
              <w:t>sniegta atbilstoši</w:t>
            </w:r>
            <w:r w:rsidRPr="00295D40">
              <w:rPr>
                <w:sz w:val="22"/>
                <w:szCs w:val="22"/>
              </w:rPr>
              <w:t xml:space="preserve"> likum</w:t>
            </w:r>
            <w:r w:rsidR="00646289" w:rsidRPr="00295D40">
              <w:rPr>
                <w:sz w:val="22"/>
                <w:szCs w:val="22"/>
              </w:rPr>
              <w:t>ā</w:t>
            </w:r>
            <w:r w:rsidRPr="00295D40">
              <w:rPr>
                <w:sz w:val="22"/>
                <w:szCs w:val="22"/>
              </w:rPr>
              <w:t xml:space="preserve"> "Par palīdzību</w:t>
            </w:r>
            <w:r w:rsidR="00646289" w:rsidRPr="00295D40">
              <w:rPr>
                <w:sz w:val="22"/>
                <w:szCs w:val="22"/>
              </w:rPr>
              <w:t xml:space="preserve"> dzīvokļa jautājumu risināšanā" noteiktajam.</w:t>
            </w:r>
            <w:r w:rsidR="00982E7D" w:rsidRPr="00295D40">
              <w:rPr>
                <w:sz w:val="22"/>
                <w:szCs w:val="22"/>
              </w:rPr>
              <w:t xml:space="preserve"> </w:t>
            </w:r>
          </w:p>
          <w:p w:rsidR="004C6440" w:rsidRPr="00295D40" w:rsidRDefault="00AB1F96" w:rsidP="004C6440">
            <w:pPr>
              <w:pStyle w:val="naisc"/>
              <w:spacing w:before="0" w:after="0"/>
              <w:jc w:val="both"/>
              <w:rPr>
                <w:sz w:val="22"/>
                <w:szCs w:val="22"/>
              </w:rPr>
            </w:pPr>
            <w:r w:rsidRPr="00295D40">
              <w:rPr>
                <w:sz w:val="22"/>
                <w:szCs w:val="22"/>
              </w:rPr>
              <w:t>Atbilstoši S</w:t>
            </w:r>
            <w:r w:rsidR="004C6440" w:rsidRPr="00295D40">
              <w:rPr>
                <w:sz w:val="22"/>
                <w:szCs w:val="22"/>
              </w:rPr>
              <w:t>PSP</w:t>
            </w:r>
            <w:r w:rsidRPr="00295D40">
              <w:rPr>
                <w:sz w:val="22"/>
                <w:szCs w:val="22"/>
              </w:rPr>
              <w:t xml:space="preserve"> likuma 35.panta pirmajā daļa noteiktajam </w:t>
            </w:r>
            <w:r w:rsidRPr="00295D40">
              <w:rPr>
                <w:sz w:val="22"/>
                <w:szCs w:val="22"/>
                <w:u w:val="single"/>
              </w:rPr>
              <w:t>dzīvokļa pabalsts</w:t>
            </w:r>
            <w:r w:rsidRPr="00295D40">
              <w:rPr>
                <w:sz w:val="22"/>
                <w:szCs w:val="22"/>
              </w:rPr>
              <w:t xml:space="preserve"> ir </w:t>
            </w:r>
            <w:r w:rsidRPr="00295D40">
              <w:rPr>
                <w:i/>
                <w:sz w:val="22"/>
                <w:szCs w:val="22"/>
              </w:rPr>
              <w:t>viens no pašvaldības obligāti izmaksājamiem sociālās palīdzības pabalstiem</w:t>
            </w:r>
            <w:r w:rsidR="00831B0F" w:rsidRPr="00295D40">
              <w:rPr>
                <w:i/>
                <w:sz w:val="22"/>
                <w:szCs w:val="22"/>
              </w:rPr>
              <w:t xml:space="preserve">, </w:t>
            </w:r>
            <w:r w:rsidR="00831B0F" w:rsidRPr="00295D40">
              <w:rPr>
                <w:sz w:val="22"/>
                <w:szCs w:val="22"/>
              </w:rPr>
              <w:t>kam jāsasniedz likumā noteikto mērķi.</w:t>
            </w:r>
            <w:r w:rsidRPr="00295D40">
              <w:rPr>
                <w:sz w:val="22"/>
                <w:szCs w:val="22"/>
              </w:rPr>
              <w:t xml:space="preserve"> </w:t>
            </w:r>
            <w:r w:rsidR="004C6440" w:rsidRPr="00295D40">
              <w:rPr>
                <w:sz w:val="22"/>
                <w:szCs w:val="22"/>
              </w:rPr>
              <w:t xml:space="preserve">SPSP likums paredz </w:t>
            </w:r>
            <w:r w:rsidR="004C6440" w:rsidRPr="00295D40">
              <w:rPr>
                <w:sz w:val="22"/>
                <w:szCs w:val="22"/>
                <w:u w:val="single"/>
              </w:rPr>
              <w:t>sociālo palīdzību izmaksāt no pašvaldības budžeta līdzekļiem</w:t>
            </w:r>
            <w:r w:rsidR="004C6440" w:rsidRPr="00295D40">
              <w:rPr>
                <w:sz w:val="22"/>
                <w:szCs w:val="22"/>
              </w:rPr>
              <w:t xml:space="preserve">.  </w:t>
            </w:r>
          </w:p>
          <w:p w:rsidR="00AB1F96" w:rsidRPr="00295D40" w:rsidRDefault="00831B0F" w:rsidP="00AB1F96">
            <w:pPr>
              <w:pStyle w:val="naisc"/>
              <w:spacing w:before="0" w:after="0"/>
              <w:jc w:val="both"/>
              <w:rPr>
                <w:sz w:val="22"/>
                <w:szCs w:val="22"/>
              </w:rPr>
            </w:pPr>
            <w:r w:rsidRPr="00295D40">
              <w:rPr>
                <w:sz w:val="22"/>
                <w:szCs w:val="22"/>
              </w:rPr>
              <w:t>I</w:t>
            </w:r>
            <w:r w:rsidR="00AB1F96" w:rsidRPr="00295D40">
              <w:rPr>
                <w:sz w:val="22"/>
                <w:szCs w:val="22"/>
              </w:rPr>
              <w:t xml:space="preserve">epriekšminētā likuma 32.pants nosaka, ka sociālās palīdzības mērķis ir sniegt materiālu atbalstu krīzes situācijā nonākušām </w:t>
            </w:r>
            <w:r w:rsidR="00AB1F96" w:rsidRPr="00295D40">
              <w:rPr>
                <w:sz w:val="22"/>
                <w:szCs w:val="22"/>
                <w:u w:val="single"/>
              </w:rPr>
              <w:t>trūcīgām</w:t>
            </w:r>
            <w:r w:rsidR="00AB1F96" w:rsidRPr="00295D40">
              <w:rPr>
                <w:sz w:val="22"/>
                <w:szCs w:val="22"/>
              </w:rPr>
              <w:t xml:space="preserve"> un </w:t>
            </w:r>
            <w:r w:rsidR="00AB1F96" w:rsidRPr="00295D40">
              <w:rPr>
                <w:sz w:val="22"/>
                <w:szCs w:val="22"/>
                <w:u w:val="single"/>
              </w:rPr>
              <w:t>maznodrošinātām</w:t>
            </w:r>
            <w:r w:rsidR="00AB1F96" w:rsidRPr="00295D40">
              <w:rPr>
                <w:sz w:val="22"/>
                <w:szCs w:val="22"/>
              </w:rPr>
              <w:t xml:space="preserve"> ģimenēm (personām), lai apmierinātu to </w:t>
            </w:r>
            <w:r w:rsidR="00AB1F96" w:rsidRPr="00295D40">
              <w:rPr>
                <w:i/>
                <w:sz w:val="22"/>
                <w:szCs w:val="22"/>
              </w:rPr>
              <w:t xml:space="preserve">pamatvajadzības </w:t>
            </w:r>
            <w:r w:rsidR="00AB1F96" w:rsidRPr="00295D40">
              <w:rPr>
                <w:sz w:val="22"/>
                <w:szCs w:val="22"/>
              </w:rPr>
              <w:t>un veicinātu darbspējīgo personu līdzdarbību savas situācijas uzlabošanā. Atbilstoši S</w:t>
            </w:r>
            <w:r w:rsidR="00132B9B" w:rsidRPr="00295D40">
              <w:rPr>
                <w:sz w:val="22"/>
                <w:szCs w:val="22"/>
              </w:rPr>
              <w:t>PSP</w:t>
            </w:r>
            <w:r w:rsidR="00AB1F96" w:rsidRPr="00295D40">
              <w:rPr>
                <w:sz w:val="22"/>
                <w:szCs w:val="22"/>
              </w:rPr>
              <w:t xml:space="preserve"> likuma 1.panta 11.punktā noteiktajam pamatvajadzības ir </w:t>
            </w:r>
            <w:r w:rsidR="00AB1F96" w:rsidRPr="00295D40">
              <w:rPr>
                <w:i/>
                <w:sz w:val="22"/>
                <w:szCs w:val="22"/>
              </w:rPr>
              <w:t xml:space="preserve">ēdiens, apģērbs, </w:t>
            </w:r>
            <w:r w:rsidR="00AB1F96" w:rsidRPr="00295D40">
              <w:rPr>
                <w:i/>
                <w:sz w:val="22"/>
                <w:szCs w:val="22"/>
                <w:u w:val="single"/>
              </w:rPr>
              <w:t>mājoklis</w:t>
            </w:r>
            <w:r w:rsidR="00AB1F96" w:rsidRPr="00295D40">
              <w:rPr>
                <w:i/>
                <w:sz w:val="22"/>
                <w:szCs w:val="22"/>
              </w:rPr>
              <w:t>, veselības aprūpe un obligātā izglītība.</w:t>
            </w:r>
            <w:r w:rsidR="00D1652C" w:rsidRPr="00295D40">
              <w:rPr>
                <w:i/>
                <w:sz w:val="22"/>
                <w:szCs w:val="22"/>
              </w:rPr>
              <w:t xml:space="preserve"> </w:t>
            </w:r>
            <w:r w:rsidR="00D1652C" w:rsidRPr="00295D40">
              <w:rPr>
                <w:sz w:val="22"/>
                <w:szCs w:val="22"/>
              </w:rPr>
              <w:t xml:space="preserve">Viens no pašvaldības sociālā dienesta uzdevumiem, kas noteikts iepriekšminētā likuma 11.panta 5.punktā, ir sniegt sociālo palīdzību. </w:t>
            </w:r>
            <w:r w:rsidR="00AB1F96" w:rsidRPr="00295D40">
              <w:rPr>
                <w:sz w:val="22"/>
                <w:szCs w:val="22"/>
              </w:rPr>
              <w:t xml:space="preserve"> </w:t>
            </w:r>
          </w:p>
          <w:p w:rsidR="00AB1F96" w:rsidRPr="00295D40" w:rsidRDefault="00AB1F96" w:rsidP="00AB1F96">
            <w:pPr>
              <w:pStyle w:val="naisc"/>
              <w:spacing w:before="0" w:after="0"/>
              <w:jc w:val="both"/>
              <w:rPr>
                <w:sz w:val="22"/>
                <w:szCs w:val="22"/>
              </w:rPr>
            </w:pPr>
            <w:r w:rsidRPr="00295D40">
              <w:rPr>
                <w:sz w:val="22"/>
                <w:szCs w:val="22"/>
              </w:rPr>
              <w:t xml:space="preserve">Tātad </w:t>
            </w:r>
            <w:r w:rsidR="002F56C7" w:rsidRPr="00295D40">
              <w:rPr>
                <w:sz w:val="22"/>
                <w:szCs w:val="22"/>
              </w:rPr>
              <w:t xml:space="preserve">dzīvokļa pabalstu piešķir un </w:t>
            </w:r>
            <w:r w:rsidRPr="00295D40">
              <w:rPr>
                <w:sz w:val="22"/>
                <w:szCs w:val="22"/>
              </w:rPr>
              <w:t>izmaksā</w:t>
            </w:r>
            <w:r w:rsidR="002F56C7" w:rsidRPr="00295D40">
              <w:rPr>
                <w:sz w:val="22"/>
                <w:szCs w:val="22"/>
              </w:rPr>
              <w:t xml:space="preserve"> pašvaldības sociālais dienests </w:t>
            </w:r>
            <w:r w:rsidRPr="00295D40">
              <w:rPr>
                <w:sz w:val="22"/>
                <w:szCs w:val="22"/>
              </w:rPr>
              <w:t xml:space="preserve">atbilstoši sociālās palīdzības sniegšanas pamatprincipiem – novērtējot mājsaimniecības materiālos resursus - ienākumus un īpašumus (5.panta pirmā daļa), vienas no pamatvajadzībām </w:t>
            </w:r>
            <w:r w:rsidRPr="00295D40">
              <w:rPr>
                <w:i/>
                <w:sz w:val="22"/>
                <w:szCs w:val="22"/>
              </w:rPr>
              <w:t>(mājoklis</w:t>
            </w:r>
            <w:r w:rsidRPr="00295D40">
              <w:rPr>
                <w:sz w:val="22"/>
                <w:szCs w:val="22"/>
              </w:rPr>
              <w:t>) nodrošināšanai.</w:t>
            </w:r>
          </w:p>
          <w:p w:rsidR="00E0594A" w:rsidRPr="00295D40" w:rsidRDefault="00E0594A" w:rsidP="00E0594A">
            <w:pPr>
              <w:jc w:val="both"/>
              <w:rPr>
                <w:sz w:val="22"/>
                <w:szCs w:val="22"/>
              </w:rPr>
            </w:pPr>
            <w:r w:rsidRPr="00295D40">
              <w:rPr>
                <w:sz w:val="22"/>
                <w:szCs w:val="22"/>
              </w:rPr>
              <w:t xml:space="preserve">Dzīvokļa pabalsta </w:t>
            </w:r>
            <w:proofErr w:type="gramStart"/>
            <w:r w:rsidRPr="00295D40">
              <w:rPr>
                <w:sz w:val="22"/>
                <w:szCs w:val="22"/>
              </w:rPr>
              <w:t>saturs</w:t>
            </w:r>
            <w:proofErr w:type="gramEnd"/>
            <w:r w:rsidRPr="00295D40">
              <w:rPr>
                <w:sz w:val="22"/>
                <w:szCs w:val="22"/>
              </w:rPr>
              <w:t xml:space="preserve"> iezīmēts likuma "Par palīdzību dzīvokļa jautājumu risināšanā" 3.pantā, kur noteikts, ka viens no palīdzības veidiem ir pabalsta piešķiršana dzīvojamās telpas īres maksas un maksas par pakalpojumiem, kas saistīti ar dzīvojamās telpas lietošanu, segšanai (turpmāk – dzīvokļa pabalsts). Nosacīti dzīvokļa pabalsta saturs ir iezīmēts arī likuma „Par palīdzību dzīvokļa jautājumu risināšanā” 16.panta trešajā daļā, kur noteikts, ka dzīvošanai derīgai telpai jābūt </w:t>
            </w:r>
            <w:r w:rsidRPr="00295D40">
              <w:rPr>
                <w:sz w:val="22"/>
                <w:szCs w:val="22"/>
                <w:u w:val="single"/>
              </w:rPr>
              <w:t>apgaismojamai</w:t>
            </w:r>
            <w:r w:rsidRPr="00295D40">
              <w:rPr>
                <w:sz w:val="22"/>
                <w:szCs w:val="22"/>
              </w:rPr>
              <w:t xml:space="preserve"> un </w:t>
            </w:r>
            <w:r w:rsidRPr="00295D40">
              <w:rPr>
                <w:sz w:val="22"/>
                <w:szCs w:val="22"/>
                <w:u w:val="single"/>
              </w:rPr>
              <w:t>apkurināmai</w:t>
            </w:r>
            <w:r w:rsidRPr="00295D40">
              <w:rPr>
                <w:sz w:val="22"/>
                <w:szCs w:val="22"/>
              </w:rPr>
              <w:t xml:space="preserve"> [..]. </w:t>
            </w:r>
          </w:p>
          <w:p w:rsidR="00E0594A" w:rsidRPr="00295D40" w:rsidRDefault="00AB1F96" w:rsidP="00E0594A">
            <w:pPr>
              <w:pStyle w:val="naisc"/>
              <w:spacing w:before="0" w:after="0"/>
              <w:jc w:val="both"/>
              <w:rPr>
                <w:sz w:val="22"/>
                <w:szCs w:val="22"/>
              </w:rPr>
            </w:pPr>
            <w:r w:rsidRPr="00295D40">
              <w:rPr>
                <w:sz w:val="22"/>
                <w:szCs w:val="22"/>
              </w:rPr>
              <w:t>Atbilstoši S</w:t>
            </w:r>
            <w:r w:rsidR="004C0E4F" w:rsidRPr="00295D40">
              <w:rPr>
                <w:sz w:val="22"/>
                <w:szCs w:val="22"/>
              </w:rPr>
              <w:t>PSP</w:t>
            </w:r>
            <w:r w:rsidRPr="00295D40">
              <w:rPr>
                <w:sz w:val="22"/>
                <w:szCs w:val="22"/>
              </w:rPr>
              <w:t xml:space="preserve"> likuma 14.panta 4.punktā noteiktajam </w:t>
            </w:r>
            <w:r w:rsidRPr="00295D40">
              <w:rPr>
                <w:sz w:val="22"/>
                <w:szCs w:val="22"/>
                <w:u w:val="single"/>
              </w:rPr>
              <w:t>Labklājības ministrijas uzdevums</w:t>
            </w:r>
            <w:r w:rsidRPr="00295D40">
              <w:rPr>
                <w:sz w:val="22"/>
                <w:szCs w:val="22"/>
              </w:rPr>
              <w:t xml:space="preserve"> sociālo pakalpojumu un sociālās palīdzības jomā ir </w:t>
            </w:r>
            <w:r w:rsidRPr="00295D40">
              <w:rPr>
                <w:sz w:val="22"/>
                <w:szCs w:val="22"/>
                <w:u w:val="single"/>
              </w:rPr>
              <w:t>pārraudzīt šā likuma īstenošanu</w:t>
            </w:r>
            <w:r w:rsidRPr="00295D40">
              <w:rPr>
                <w:sz w:val="22"/>
                <w:szCs w:val="22"/>
              </w:rPr>
              <w:t xml:space="preserve">. </w:t>
            </w:r>
            <w:r w:rsidR="00B80798" w:rsidRPr="00295D40">
              <w:rPr>
                <w:sz w:val="22"/>
                <w:szCs w:val="22"/>
              </w:rPr>
              <w:t>Tas nozīmē, ka Labklājības ministrijas uzdevums ir pārbaudīt sniegtā pakalpojuma kvalitāti.</w:t>
            </w:r>
            <w:r w:rsidR="00B04A10" w:rsidRPr="00295D40">
              <w:rPr>
                <w:sz w:val="22"/>
                <w:szCs w:val="22"/>
              </w:rPr>
              <w:t xml:space="preserve"> Kvalitātes pārbaude atbilstoši SPSP likumā noteiktajam tieši attiecas uz sociālajiem pakalpojumiem. Sociālās palīdzības piešķiršanas pamatotība var tikt pārbaudīta saistībā ar sociālo darbu.</w:t>
            </w:r>
            <w:r w:rsidR="00E0594A" w:rsidRPr="00295D40">
              <w:rPr>
                <w:sz w:val="22"/>
                <w:szCs w:val="22"/>
              </w:rPr>
              <w:t xml:space="preserve"> Labklājības ministrijai ir tiesības pārbaudīt sociālā dienesta klientu lietās un datu bāzē esošo informāciju, ja klients ir sūdzējies L</w:t>
            </w:r>
            <w:r w:rsidR="00232DC0" w:rsidRPr="00295D40">
              <w:rPr>
                <w:sz w:val="22"/>
                <w:szCs w:val="22"/>
              </w:rPr>
              <w:t>abklājības ministrijā</w:t>
            </w:r>
            <w:r w:rsidR="00E0594A" w:rsidRPr="00295D40">
              <w:rPr>
                <w:sz w:val="22"/>
                <w:szCs w:val="22"/>
              </w:rPr>
              <w:t xml:space="preserve"> vai ja tiek plānota sociālā dienesta sniegtā pakalpojuma kvalitātes vai likuma īstenošanas pārbaude. Savukārt Fizisko personu datu aizsardzības likums (11.panta 7.punkts) nosaka, ka sensitīvo personas datu apstrāde ir pieļaujama, ja tas nepieciešams sociālās palīdzības sniegšanai.    </w:t>
            </w:r>
          </w:p>
          <w:p w:rsidR="0025755F" w:rsidRPr="00295D40" w:rsidRDefault="0025755F" w:rsidP="0025755F">
            <w:pPr>
              <w:jc w:val="both"/>
              <w:rPr>
                <w:sz w:val="22"/>
                <w:szCs w:val="22"/>
              </w:rPr>
            </w:pPr>
            <w:r w:rsidRPr="00295D40">
              <w:rPr>
                <w:sz w:val="22"/>
                <w:szCs w:val="22"/>
              </w:rPr>
              <w:t>Latvijas mājsaimniecību izdevumu par mājokli īpatsvars kopējos izdevumos, tajā skaitā par elektrību un siltumu, laika periodā no 2008. gada līdz 201</w:t>
            </w:r>
            <w:r w:rsidR="00EB22C5" w:rsidRPr="00295D40">
              <w:rPr>
                <w:sz w:val="22"/>
                <w:szCs w:val="22"/>
              </w:rPr>
              <w:t>2</w:t>
            </w:r>
            <w:r w:rsidRPr="00295D40">
              <w:rPr>
                <w:sz w:val="22"/>
                <w:szCs w:val="22"/>
              </w:rPr>
              <w:t xml:space="preserve">. gadam, ir pieaudzis. Mājsaimniecību izdevumi par mājokli 2008. gadā veidoja vidēji </w:t>
            </w:r>
            <w:r w:rsidR="009C2F46" w:rsidRPr="00295D40">
              <w:rPr>
                <w:sz w:val="22"/>
                <w:szCs w:val="22"/>
              </w:rPr>
              <w:t xml:space="preserve">39,29 </w:t>
            </w:r>
            <w:proofErr w:type="spellStart"/>
            <w:r w:rsidR="009C2F46" w:rsidRPr="00295D40">
              <w:rPr>
                <w:i/>
                <w:sz w:val="22"/>
                <w:szCs w:val="22"/>
              </w:rPr>
              <w:t>euro</w:t>
            </w:r>
            <w:proofErr w:type="spellEnd"/>
            <w:proofErr w:type="gramStart"/>
            <w:r w:rsidR="009C2F46" w:rsidRPr="00295D40">
              <w:rPr>
                <w:sz w:val="22"/>
                <w:szCs w:val="22"/>
              </w:rPr>
              <w:t xml:space="preserve"> </w:t>
            </w:r>
            <w:r w:rsidRPr="00295D40">
              <w:rPr>
                <w:sz w:val="22"/>
                <w:szCs w:val="22"/>
              </w:rPr>
              <w:t xml:space="preserve"> </w:t>
            </w:r>
            <w:proofErr w:type="gramEnd"/>
            <w:r w:rsidRPr="00295D40">
              <w:rPr>
                <w:sz w:val="22"/>
                <w:szCs w:val="22"/>
              </w:rPr>
              <w:t>mēnesī uz vienu mājsaimniecības locekli jeb 11,9% no kopējiem izdevumiem mājsaimniecībai, bet 201</w:t>
            </w:r>
            <w:r w:rsidR="00EB22C5" w:rsidRPr="00295D40">
              <w:rPr>
                <w:sz w:val="22"/>
                <w:szCs w:val="22"/>
              </w:rPr>
              <w:t>2</w:t>
            </w:r>
            <w:r w:rsidRPr="00295D40">
              <w:rPr>
                <w:sz w:val="22"/>
                <w:szCs w:val="22"/>
              </w:rPr>
              <w:t xml:space="preserve">.gadā - vidēji </w:t>
            </w:r>
            <w:r w:rsidR="009C2F46" w:rsidRPr="00295D40">
              <w:rPr>
                <w:sz w:val="22"/>
                <w:szCs w:val="22"/>
              </w:rPr>
              <w:t>4</w:t>
            </w:r>
            <w:r w:rsidR="00EB22C5" w:rsidRPr="00295D40">
              <w:rPr>
                <w:sz w:val="22"/>
                <w:szCs w:val="22"/>
              </w:rPr>
              <w:t>7</w:t>
            </w:r>
            <w:r w:rsidR="009C2F46" w:rsidRPr="00295D40">
              <w:rPr>
                <w:sz w:val="22"/>
                <w:szCs w:val="22"/>
              </w:rPr>
              <w:t>,</w:t>
            </w:r>
            <w:r w:rsidR="00EB22C5" w:rsidRPr="00295D40">
              <w:rPr>
                <w:sz w:val="22"/>
                <w:szCs w:val="22"/>
              </w:rPr>
              <w:t>38</w:t>
            </w:r>
            <w:r w:rsidR="009C2F46" w:rsidRPr="00295D40">
              <w:rPr>
                <w:sz w:val="22"/>
                <w:szCs w:val="22"/>
              </w:rPr>
              <w:t xml:space="preserve"> </w:t>
            </w:r>
            <w:proofErr w:type="spellStart"/>
            <w:r w:rsidR="009C2F46" w:rsidRPr="00295D40">
              <w:rPr>
                <w:i/>
                <w:sz w:val="22"/>
                <w:szCs w:val="22"/>
              </w:rPr>
              <w:t>euro</w:t>
            </w:r>
            <w:proofErr w:type="spellEnd"/>
            <w:r w:rsidR="009C2F46" w:rsidRPr="00295D40">
              <w:rPr>
                <w:sz w:val="22"/>
                <w:szCs w:val="22"/>
              </w:rPr>
              <w:t xml:space="preserve"> </w:t>
            </w:r>
            <w:r w:rsidRPr="00295D40">
              <w:rPr>
                <w:sz w:val="22"/>
                <w:szCs w:val="22"/>
              </w:rPr>
              <w:t xml:space="preserve"> mēnesī uz vienu mājsaimniecības locekli jeb 16,</w:t>
            </w:r>
            <w:r w:rsidR="00EB22C5" w:rsidRPr="00295D40">
              <w:rPr>
                <w:sz w:val="22"/>
                <w:szCs w:val="22"/>
              </w:rPr>
              <w:t>8</w:t>
            </w:r>
            <w:r w:rsidRPr="00295D40">
              <w:rPr>
                <w:sz w:val="22"/>
                <w:szCs w:val="22"/>
              </w:rPr>
              <w:t xml:space="preserve">% no kopējiem izdevumiem </w:t>
            </w:r>
            <w:r w:rsidRPr="00295D40">
              <w:rPr>
                <w:sz w:val="22"/>
                <w:szCs w:val="22"/>
              </w:rPr>
              <w:lastRenderedPageBreak/>
              <w:t>mājsaimniecībai. Ar to arī izskaidrojama mājsaimniecību nespēja norēķināties par siltumenerģiju, elektroenerģiju un citiem ar mājokli saistītiem izdevumiem.</w:t>
            </w:r>
          </w:p>
          <w:p w:rsidR="00663457" w:rsidRPr="00295D40" w:rsidRDefault="00011CC1" w:rsidP="0025755F">
            <w:pPr>
              <w:jc w:val="both"/>
              <w:rPr>
                <w:sz w:val="22"/>
                <w:szCs w:val="22"/>
              </w:rPr>
            </w:pPr>
            <w:r w:rsidRPr="00295D40">
              <w:rPr>
                <w:sz w:val="22"/>
                <w:szCs w:val="22"/>
              </w:rPr>
              <w:t>L</w:t>
            </w:r>
            <w:r w:rsidR="00663457" w:rsidRPr="00295D40">
              <w:rPr>
                <w:sz w:val="22"/>
                <w:szCs w:val="22"/>
              </w:rPr>
              <w:t xml:space="preserve">aika periodā no 2010.gada līdz 2012.gadam dzīvokļa pabalstu Latvijā kopumā saņēma tikai 70 līdz 75 % no visām par trūcīgām atzītām personām. Palielinoties izdevumiem par mājokli, tai skaitā par siltumu un elektroenerģiju, var prognozēt, ka palīdzība būs nepieciešama arī tām ģimenēm, kuras iepriekš nekvalificējās kā dzīvokļa pabalsta saņēmēji un, ņemot vērā nabadzības riskam pakļautās iedzīvotāju grupas, pašvaldībām var rasties objektīva nepieciešamība paaugstināt maznodrošinātā ienākumu līmeni, lai sniegtu atbalstu plašākai mērķa grupai, </w:t>
            </w:r>
            <w:r w:rsidR="00663457" w:rsidRPr="00295D40">
              <w:rPr>
                <w:i/>
                <w:sz w:val="22"/>
                <w:szCs w:val="22"/>
              </w:rPr>
              <w:t>piemēram</w:t>
            </w:r>
            <w:r w:rsidR="00663457" w:rsidRPr="00295D40">
              <w:rPr>
                <w:sz w:val="22"/>
                <w:szCs w:val="22"/>
              </w:rPr>
              <w:t>, ģimenēm ar bērniem, mājsaimniecībām ar vecuma vai invaliditātes pensijas saņēmējiem.</w:t>
            </w:r>
          </w:p>
          <w:p w:rsidR="00964185" w:rsidRPr="00295D40" w:rsidRDefault="001B5BAB" w:rsidP="001B5BAB">
            <w:pPr>
              <w:jc w:val="both"/>
              <w:rPr>
                <w:bCs/>
                <w:sz w:val="22"/>
                <w:szCs w:val="22"/>
              </w:rPr>
            </w:pPr>
            <w:r w:rsidRPr="00295D40">
              <w:rPr>
                <w:sz w:val="22"/>
                <w:szCs w:val="22"/>
              </w:rPr>
              <w:t>Turklāt pēc pilnīgas elektroenerģijas tirgus liberalizācijas AS "Latvenergo" vairs nepildīs sociālā atbalsta funkcijas, līdz ar to pašvaldībām būs nepieciešami papildu līdzekļi sociāli neaizsargāto iedzīvotāju atbalstam.</w:t>
            </w:r>
            <w:r w:rsidR="00964185" w:rsidRPr="00295D40">
              <w:rPr>
                <w:bCs/>
                <w:sz w:val="22"/>
                <w:szCs w:val="22"/>
              </w:rPr>
              <w:t xml:space="preserve"> </w:t>
            </w:r>
          </w:p>
          <w:p w:rsidR="00252213" w:rsidRPr="00295D40" w:rsidRDefault="00964185" w:rsidP="00945A1A">
            <w:pPr>
              <w:jc w:val="both"/>
              <w:rPr>
                <w:i/>
                <w:sz w:val="22"/>
                <w:szCs w:val="22"/>
              </w:rPr>
            </w:pPr>
            <w:r w:rsidRPr="00295D40">
              <w:rPr>
                <w:bCs/>
                <w:sz w:val="22"/>
                <w:szCs w:val="22"/>
              </w:rPr>
              <w:t xml:space="preserve">Attiecīgi </w:t>
            </w:r>
            <w:r w:rsidR="009018B9" w:rsidRPr="00295D40">
              <w:rPr>
                <w:bCs/>
                <w:sz w:val="22"/>
                <w:szCs w:val="22"/>
              </w:rPr>
              <w:t xml:space="preserve">likumā „Par </w:t>
            </w:r>
            <w:r w:rsidRPr="00295D40">
              <w:rPr>
                <w:bCs/>
                <w:sz w:val="22"/>
                <w:szCs w:val="22"/>
              </w:rPr>
              <w:t>palīdzību dzīvokļa jautājumu risināšanā"</w:t>
            </w:r>
            <w:r w:rsidR="009018B9" w:rsidRPr="00295D40">
              <w:rPr>
                <w:bCs/>
                <w:sz w:val="22"/>
                <w:szCs w:val="22"/>
              </w:rPr>
              <w:t xml:space="preserve"> noteikts, ka </w:t>
            </w:r>
            <w:r w:rsidRPr="00295D40">
              <w:rPr>
                <w:bCs/>
                <w:sz w:val="22"/>
                <w:szCs w:val="22"/>
              </w:rPr>
              <w:t>pašvaldībām tiks piešķirta</w:t>
            </w:r>
            <w:r w:rsidR="009018B9" w:rsidRPr="00295D40">
              <w:rPr>
                <w:bCs/>
                <w:sz w:val="22"/>
                <w:szCs w:val="22"/>
              </w:rPr>
              <w:t xml:space="preserve"> mērķdotācija</w:t>
            </w:r>
            <w:r w:rsidRPr="00295D40">
              <w:rPr>
                <w:bCs/>
                <w:sz w:val="22"/>
                <w:szCs w:val="22"/>
              </w:rPr>
              <w:t xml:space="preserve">, veicot </w:t>
            </w:r>
            <w:proofErr w:type="spellStart"/>
            <w:r w:rsidRPr="00295D40">
              <w:rPr>
                <w:bCs/>
                <w:sz w:val="22"/>
                <w:szCs w:val="22"/>
              </w:rPr>
              <w:t>līdzmaksājumu</w:t>
            </w:r>
            <w:proofErr w:type="spellEnd"/>
            <w:r w:rsidRPr="00295D40">
              <w:rPr>
                <w:bCs/>
                <w:sz w:val="22"/>
                <w:szCs w:val="22"/>
              </w:rPr>
              <w:t xml:space="preserve"> par pašvaldību faktiskajiem izdevumiem dzīvokļa pabalsta izmaksu nodrošināšanai.</w:t>
            </w:r>
            <w:r w:rsidR="003D77D4" w:rsidRPr="00295D40">
              <w:rPr>
                <w:bCs/>
                <w:sz w:val="22"/>
                <w:szCs w:val="22"/>
              </w:rPr>
              <w:t xml:space="preserve"> </w:t>
            </w:r>
            <w:r w:rsidR="002052F7" w:rsidRPr="00295D40">
              <w:rPr>
                <w:bCs/>
                <w:sz w:val="22"/>
                <w:szCs w:val="22"/>
              </w:rPr>
              <w:t>Kārtība un nosacījumi m</w:t>
            </w:r>
            <w:r w:rsidR="003D77D4" w:rsidRPr="00295D40">
              <w:rPr>
                <w:bCs/>
                <w:sz w:val="22"/>
                <w:szCs w:val="22"/>
              </w:rPr>
              <w:t>ērķdotācijas</w:t>
            </w:r>
            <w:r w:rsidR="00945A1A" w:rsidRPr="00295D40">
              <w:rPr>
                <w:bCs/>
                <w:sz w:val="22"/>
                <w:szCs w:val="22"/>
              </w:rPr>
              <w:t xml:space="preserve"> </w:t>
            </w:r>
            <w:r w:rsidR="003D77D4" w:rsidRPr="00295D40">
              <w:rPr>
                <w:bCs/>
                <w:sz w:val="22"/>
                <w:szCs w:val="22"/>
              </w:rPr>
              <w:t>piešķiršana</w:t>
            </w:r>
            <w:r w:rsidR="00945A1A" w:rsidRPr="00295D40">
              <w:rPr>
                <w:bCs/>
                <w:sz w:val="22"/>
                <w:szCs w:val="22"/>
              </w:rPr>
              <w:t>i</w:t>
            </w:r>
            <w:r w:rsidR="003D77D4" w:rsidRPr="00295D40">
              <w:rPr>
                <w:bCs/>
                <w:sz w:val="22"/>
                <w:szCs w:val="22"/>
              </w:rPr>
              <w:t xml:space="preserve"> jānosaka Ministru kabineta noteikumos.</w:t>
            </w:r>
            <w:r w:rsidRPr="00295D40">
              <w:rPr>
                <w:bCs/>
                <w:sz w:val="22"/>
                <w:szCs w:val="22"/>
              </w:rPr>
              <w:t xml:space="preserve">    </w:t>
            </w:r>
          </w:p>
        </w:tc>
      </w:tr>
      <w:tr w:rsidR="00295D40" w:rsidRPr="00295D40" w:rsidTr="00B66418">
        <w:tc>
          <w:tcPr>
            <w:tcW w:w="213" w:type="pct"/>
            <w:shd w:val="clear" w:color="auto" w:fill="auto"/>
          </w:tcPr>
          <w:p w:rsidR="00B76D85" w:rsidRPr="00295D40" w:rsidRDefault="00B76D85" w:rsidP="00B76D85">
            <w:pPr>
              <w:rPr>
                <w:sz w:val="22"/>
                <w:szCs w:val="22"/>
              </w:rPr>
            </w:pPr>
            <w:r w:rsidRPr="00295D40">
              <w:rPr>
                <w:sz w:val="22"/>
                <w:szCs w:val="22"/>
              </w:rPr>
              <w:lastRenderedPageBreak/>
              <w:t xml:space="preserve">3. </w:t>
            </w:r>
          </w:p>
        </w:tc>
        <w:tc>
          <w:tcPr>
            <w:tcW w:w="1654" w:type="pct"/>
            <w:shd w:val="clear" w:color="auto" w:fill="auto"/>
          </w:tcPr>
          <w:p w:rsidR="00B76D85" w:rsidRPr="00295D40" w:rsidRDefault="00B76D85" w:rsidP="00B76D85">
            <w:pPr>
              <w:rPr>
                <w:sz w:val="22"/>
                <w:szCs w:val="22"/>
              </w:rPr>
            </w:pPr>
            <w:r w:rsidRPr="00295D40">
              <w:rPr>
                <w:sz w:val="22"/>
                <w:szCs w:val="22"/>
              </w:rPr>
              <w:t>Saistītie politikas ietekmes novērtējumi un pētījumi</w:t>
            </w:r>
          </w:p>
        </w:tc>
        <w:tc>
          <w:tcPr>
            <w:tcW w:w="3133" w:type="pct"/>
            <w:shd w:val="clear" w:color="auto" w:fill="auto"/>
          </w:tcPr>
          <w:p w:rsidR="00EF4F23" w:rsidRPr="00295D40" w:rsidRDefault="00EF4F23" w:rsidP="00EF4F23">
            <w:pPr>
              <w:jc w:val="both"/>
              <w:rPr>
                <w:sz w:val="22"/>
                <w:szCs w:val="22"/>
                <w:shd w:val="clear" w:color="auto" w:fill="FFFFFF"/>
              </w:rPr>
            </w:pPr>
            <w:r w:rsidRPr="00295D40">
              <w:rPr>
                <w:sz w:val="22"/>
                <w:szCs w:val="22"/>
                <w:shd w:val="clear" w:color="auto" w:fill="FFFFFF"/>
              </w:rPr>
              <w:t>Ministru kabineta 2013.gada 13.augusta sēdē tika pieņemts zināšanai informatīvais ziņojums "Komplekss risinājums elektroenerģijas tirgus problemātikai" (turpmāk – Ziņojums) (prot.Nr.44, 156.§) un pamatā tika atbalstīti Ziņojumā ietvertie risinājumi, kuru tālākai virzībai un realizācijai nepieciešama steidzama tiesiskā regulējuma ietvara izveide. Viens no tiem bija likumprojekts "Grozījumi likumā "Par palīdzību dzīvokļa jautājumu risināšanā"", lai sociālās p</w:t>
            </w:r>
            <w:r w:rsidR="009018B9" w:rsidRPr="00295D40">
              <w:rPr>
                <w:sz w:val="22"/>
                <w:szCs w:val="22"/>
                <w:shd w:val="clear" w:color="auto" w:fill="FFFFFF"/>
              </w:rPr>
              <w:t>alīdzība</w:t>
            </w:r>
            <w:r w:rsidRPr="00295D40">
              <w:rPr>
                <w:sz w:val="22"/>
                <w:szCs w:val="22"/>
                <w:shd w:val="clear" w:color="auto" w:fill="FFFFFF"/>
              </w:rPr>
              <w:t xml:space="preserve">s ietvaros sniegtu atbalstu mājsaimniecībām ar zemiem ienākumiem elektroenerģijas cenu celšanās situācijā. </w:t>
            </w:r>
          </w:p>
          <w:p w:rsidR="00EF4F23" w:rsidRPr="00295D40" w:rsidRDefault="00EF4F23" w:rsidP="00EF4F23">
            <w:pPr>
              <w:jc w:val="both"/>
              <w:rPr>
                <w:rStyle w:val="apple-converted-space"/>
                <w:sz w:val="22"/>
                <w:szCs w:val="22"/>
                <w:shd w:val="clear" w:color="auto" w:fill="FFFFFF"/>
              </w:rPr>
            </w:pPr>
            <w:r w:rsidRPr="00295D40">
              <w:rPr>
                <w:sz w:val="22"/>
                <w:szCs w:val="22"/>
                <w:shd w:val="clear" w:color="auto" w:fill="FFFFFF"/>
              </w:rPr>
              <w:t xml:space="preserve">Atbilstoši Ministru kabineta 2013.gada 13.augusta sēdes </w:t>
            </w:r>
            <w:proofErr w:type="spellStart"/>
            <w:r w:rsidRPr="00295D40">
              <w:rPr>
                <w:sz w:val="22"/>
                <w:szCs w:val="22"/>
                <w:shd w:val="clear" w:color="auto" w:fill="FFFFFF"/>
              </w:rPr>
              <w:t>protokollēmuma</w:t>
            </w:r>
            <w:proofErr w:type="spellEnd"/>
            <w:r w:rsidRPr="00295D40">
              <w:rPr>
                <w:sz w:val="22"/>
                <w:szCs w:val="22"/>
                <w:shd w:val="clear" w:color="auto" w:fill="FFFFFF"/>
              </w:rPr>
              <w:t xml:space="preserve"> Nr.44, 156.§ 8.punktam jautājumu par kompleksiem risinājumiem elektroenerģijas tirgus problemātikai</w:t>
            </w:r>
            <w:r w:rsidRPr="00295D40">
              <w:rPr>
                <w:rStyle w:val="apple-converted-space"/>
                <w:sz w:val="22"/>
                <w:szCs w:val="22"/>
                <w:shd w:val="clear" w:color="auto" w:fill="FFFFFF"/>
              </w:rPr>
              <w:t xml:space="preserve"> tika </w:t>
            </w:r>
            <w:r w:rsidRPr="00295D40">
              <w:rPr>
                <w:sz w:val="22"/>
                <w:szCs w:val="22"/>
                <w:shd w:val="clear" w:color="auto" w:fill="FFFFFF"/>
              </w:rPr>
              <w:t>uzdots izskatīt Ministru kabinetā valsts budžeta projekta 2014.gadam sagatavošanas procesā.</w:t>
            </w:r>
            <w:r w:rsidRPr="00295D40">
              <w:rPr>
                <w:rStyle w:val="apple-converted-space"/>
                <w:sz w:val="22"/>
                <w:szCs w:val="22"/>
                <w:shd w:val="clear" w:color="auto" w:fill="FFFFFF"/>
              </w:rPr>
              <w:t> </w:t>
            </w:r>
          </w:p>
          <w:p w:rsidR="00917806" w:rsidRPr="00295D40" w:rsidRDefault="00917806" w:rsidP="00917806">
            <w:pPr>
              <w:jc w:val="both"/>
              <w:rPr>
                <w:sz w:val="22"/>
                <w:szCs w:val="22"/>
                <w:shd w:val="clear" w:color="auto" w:fill="FFFFFF"/>
              </w:rPr>
            </w:pPr>
            <w:r w:rsidRPr="00295D40">
              <w:rPr>
                <w:sz w:val="22"/>
                <w:szCs w:val="22"/>
                <w:shd w:val="clear" w:color="auto" w:fill="FFFFFF"/>
              </w:rPr>
              <w:t xml:space="preserve">Lai nodrošinātu likumprojektā „Grozījumi likumā „Par palīdzību dzīvokļa jautājumu risināšanā”” ietvertā sociālā atbalsta instrumenta īstenošanu mērķdotāciju veidā pašvaldībām, </w:t>
            </w:r>
            <w:r w:rsidRPr="00295D40">
              <w:rPr>
                <w:sz w:val="22"/>
                <w:szCs w:val="22"/>
              </w:rPr>
              <w:t>likumā „Par vidēja termiņa budžeta ietvaru 2014., 2015. un 2016. gadam” un likumā „Par valsts budžetu 2014. gadam” paredzēt</w:t>
            </w:r>
            <w:r w:rsidR="00552B5C" w:rsidRPr="00295D40">
              <w:rPr>
                <w:sz w:val="22"/>
                <w:szCs w:val="22"/>
              </w:rPr>
              <w:t>ais</w:t>
            </w:r>
            <w:r w:rsidRPr="00295D40">
              <w:rPr>
                <w:sz w:val="22"/>
                <w:szCs w:val="22"/>
              </w:rPr>
              <w:t xml:space="preserve"> </w:t>
            </w:r>
            <w:r w:rsidRPr="00295D40">
              <w:rPr>
                <w:sz w:val="22"/>
                <w:szCs w:val="22"/>
                <w:shd w:val="clear" w:color="auto" w:fill="FFFFFF"/>
              </w:rPr>
              <w:t>finansējum</w:t>
            </w:r>
            <w:r w:rsidR="00552B5C" w:rsidRPr="00295D40">
              <w:rPr>
                <w:sz w:val="22"/>
                <w:szCs w:val="22"/>
                <w:shd w:val="clear" w:color="auto" w:fill="FFFFFF"/>
              </w:rPr>
              <w:t>s</w:t>
            </w:r>
            <w:r w:rsidRPr="00295D40">
              <w:rPr>
                <w:sz w:val="22"/>
                <w:szCs w:val="22"/>
                <w:shd w:val="clear" w:color="auto" w:fill="FFFFFF"/>
              </w:rPr>
              <w:t xml:space="preserve"> - 2014.gadā </w:t>
            </w:r>
            <w:r w:rsidRPr="00295D40">
              <w:rPr>
                <w:b/>
                <w:sz w:val="22"/>
                <w:szCs w:val="22"/>
                <w:shd w:val="clear" w:color="auto" w:fill="FFFFFF"/>
              </w:rPr>
              <w:t xml:space="preserve">3 841 754 </w:t>
            </w:r>
            <w:proofErr w:type="spellStart"/>
            <w:r w:rsidRPr="00295D40">
              <w:rPr>
                <w:b/>
                <w:i/>
                <w:sz w:val="22"/>
                <w:szCs w:val="22"/>
                <w:shd w:val="clear" w:color="auto" w:fill="FFFFFF"/>
              </w:rPr>
              <w:t>euro</w:t>
            </w:r>
            <w:proofErr w:type="spellEnd"/>
            <w:r w:rsidRPr="00295D40">
              <w:rPr>
                <w:sz w:val="22"/>
                <w:szCs w:val="22"/>
                <w:shd w:val="clear" w:color="auto" w:fill="FFFFFF"/>
              </w:rPr>
              <w:t xml:space="preserve"> apmērā, 2015.-2016.gadā ik gadu </w:t>
            </w:r>
            <w:r w:rsidRPr="00295D40">
              <w:rPr>
                <w:b/>
                <w:sz w:val="22"/>
                <w:szCs w:val="22"/>
                <w:shd w:val="clear" w:color="auto" w:fill="FFFFFF"/>
              </w:rPr>
              <w:t xml:space="preserve">5 122 339 </w:t>
            </w:r>
            <w:proofErr w:type="spellStart"/>
            <w:r w:rsidRPr="00295D40">
              <w:rPr>
                <w:b/>
                <w:i/>
                <w:sz w:val="22"/>
                <w:szCs w:val="22"/>
                <w:shd w:val="clear" w:color="auto" w:fill="FFFFFF"/>
              </w:rPr>
              <w:t>euro</w:t>
            </w:r>
            <w:proofErr w:type="spellEnd"/>
            <w:r w:rsidRPr="00295D40">
              <w:rPr>
                <w:sz w:val="22"/>
                <w:szCs w:val="22"/>
                <w:shd w:val="clear" w:color="auto" w:fill="FFFFFF"/>
              </w:rPr>
              <w:t xml:space="preserve"> apmērā </w:t>
            </w:r>
            <w:r w:rsidR="00552B5C" w:rsidRPr="00295D40">
              <w:rPr>
                <w:sz w:val="22"/>
                <w:szCs w:val="22"/>
                <w:shd w:val="clear" w:color="auto" w:fill="FFFFFF"/>
              </w:rPr>
              <w:t>–</w:t>
            </w:r>
            <w:r w:rsidRPr="00295D40">
              <w:rPr>
                <w:sz w:val="22"/>
                <w:szCs w:val="22"/>
                <w:shd w:val="clear" w:color="auto" w:fill="FFFFFF"/>
              </w:rPr>
              <w:t xml:space="preserve"> </w:t>
            </w:r>
            <w:r w:rsidR="00552B5C" w:rsidRPr="00295D40">
              <w:rPr>
                <w:sz w:val="22"/>
                <w:szCs w:val="22"/>
                <w:shd w:val="clear" w:color="auto" w:fill="FFFFFF"/>
              </w:rPr>
              <w:t xml:space="preserve">tika </w:t>
            </w:r>
            <w:r w:rsidRPr="00295D40">
              <w:rPr>
                <w:sz w:val="22"/>
                <w:szCs w:val="22"/>
                <w:shd w:val="clear" w:color="auto" w:fill="FFFFFF"/>
              </w:rPr>
              <w:t>pārdalīt</w:t>
            </w:r>
            <w:r w:rsidR="00552B5C" w:rsidRPr="00295D40">
              <w:rPr>
                <w:sz w:val="22"/>
                <w:szCs w:val="22"/>
                <w:shd w:val="clear" w:color="auto" w:fill="FFFFFF"/>
              </w:rPr>
              <w:t>s</w:t>
            </w:r>
            <w:r w:rsidRPr="00295D40">
              <w:rPr>
                <w:sz w:val="22"/>
                <w:szCs w:val="22"/>
                <w:shd w:val="clear" w:color="auto" w:fill="FFFFFF"/>
              </w:rPr>
              <w:t xml:space="preserve"> no Ekonomikas ministrijas budžeta apakšprogrammas 29.02.00 „Elektroenerģijas lietotāju atbalsts” uz Labklājības ministrijas pamatbudžetu, izveidojot jaunu apakšprogrammu 05.68.00 „Dzīvokļa pabalst</w:t>
            </w:r>
            <w:r w:rsidR="005B4695" w:rsidRPr="00295D40">
              <w:rPr>
                <w:sz w:val="22"/>
                <w:szCs w:val="22"/>
                <w:shd w:val="clear" w:color="auto" w:fill="FFFFFF"/>
              </w:rPr>
              <w:t>a</w:t>
            </w:r>
            <w:r w:rsidRPr="00295D40">
              <w:rPr>
                <w:sz w:val="22"/>
                <w:szCs w:val="22"/>
                <w:shd w:val="clear" w:color="auto" w:fill="FFFFFF"/>
              </w:rPr>
              <w:t xml:space="preserve"> līdzfinansējuma nodrošināšana pašvaldībām”. </w:t>
            </w:r>
          </w:p>
          <w:p w:rsidR="00B76D85" w:rsidRPr="00295D40" w:rsidRDefault="003413A0" w:rsidP="0042169D">
            <w:pPr>
              <w:pStyle w:val="naiskr"/>
              <w:spacing w:before="0" w:after="0"/>
              <w:jc w:val="both"/>
              <w:rPr>
                <w:i/>
                <w:sz w:val="22"/>
                <w:szCs w:val="22"/>
              </w:rPr>
            </w:pPr>
            <w:r w:rsidRPr="00295D40">
              <w:rPr>
                <w:iCs/>
                <w:sz w:val="22"/>
                <w:szCs w:val="22"/>
              </w:rPr>
              <w:t xml:space="preserve">2013.gada 10.decembrī </w:t>
            </w:r>
            <w:r w:rsidR="00CB6C31" w:rsidRPr="00295D40">
              <w:rPr>
                <w:iCs/>
                <w:sz w:val="22"/>
                <w:szCs w:val="22"/>
              </w:rPr>
              <w:t xml:space="preserve">Ministru kabinetā </w:t>
            </w:r>
            <w:r w:rsidR="0042169D" w:rsidRPr="00295D40">
              <w:rPr>
                <w:iCs/>
                <w:sz w:val="22"/>
                <w:szCs w:val="22"/>
              </w:rPr>
              <w:t xml:space="preserve">(prot. Nr.66 104§) </w:t>
            </w:r>
            <w:r w:rsidRPr="00295D40">
              <w:rPr>
                <w:iCs/>
                <w:sz w:val="22"/>
                <w:szCs w:val="22"/>
              </w:rPr>
              <w:t>apstiprinā</w:t>
            </w:r>
            <w:r w:rsidR="00CB6C31" w:rsidRPr="00295D40">
              <w:rPr>
                <w:iCs/>
                <w:sz w:val="22"/>
                <w:szCs w:val="22"/>
              </w:rPr>
              <w:t>ts</w:t>
            </w:r>
            <w:r w:rsidRPr="00295D40">
              <w:rPr>
                <w:iCs/>
                <w:sz w:val="22"/>
                <w:szCs w:val="22"/>
              </w:rPr>
              <w:t xml:space="preserve"> Labklāj</w:t>
            </w:r>
            <w:r w:rsidR="00CB6C31" w:rsidRPr="00295D40">
              <w:rPr>
                <w:iCs/>
                <w:sz w:val="22"/>
                <w:szCs w:val="22"/>
              </w:rPr>
              <w:t>ības ministrijas sagatavotais</w:t>
            </w:r>
            <w:r w:rsidRPr="00295D40">
              <w:rPr>
                <w:iCs/>
                <w:sz w:val="22"/>
                <w:szCs w:val="22"/>
              </w:rPr>
              <w:t xml:space="preserve"> informat</w:t>
            </w:r>
            <w:r w:rsidR="00CB6C31" w:rsidRPr="00295D40">
              <w:rPr>
                <w:iCs/>
                <w:sz w:val="22"/>
                <w:szCs w:val="22"/>
              </w:rPr>
              <w:t>īvais</w:t>
            </w:r>
            <w:r w:rsidRPr="00295D40">
              <w:rPr>
                <w:iCs/>
                <w:sz w:val="22"/>
                <w:szCs w:val="22"/>
              </w:rPr>
              <w:t xml:space="preserve"> </w:t>
            </w:r>
            <w:r w:rsidRPr="00295D40">
              <w:rPr>
                <w:iCs/>
                <w:sz w:val="22"/>
                <w:szCs w:val="22"/>
              </w:rPr>
              <w:lastRenderedPageBreak/>
              <w:t>ziņojum</w:t>
            </w:r>
            <w:r w:rsidR="00CB6C31" w:rsidRPr="00295D40">
              <w:rPr>
                <w:iCs/>
                <w:sz w:val="22"/>
                <w:szCs w:val="22"/>
              </w:rPr>
              <w:t>s</w:t>
            </w:r>
            <w:r w:rsidRPr="00295D40">
              <w:rPr>
                <w:iCs/>
                <w:sz w:val="22"/>
                <w:szCs w:val="22"/>
              </w:rPr>
              <w:t xml:space="preserve"> </w:t>
            </w:r>
            <w:r w:rsidR="005F13A9" w:rsidRPr="00295D40">
              <w:rPr>
                <w:iCs/>
                <w:sz w:val="22"/>
                <w:szCs w:val="22"/>
              </w:rPr>
              <w:t xml:space="preserve">„Priekšlikumi sociālās drošības sistēmas pilnveidošanai” par problēmām un risinājumiem </w:t>
            </w:r>
            <w:r w:rsidR="00194AF6" w:rsidRPr="00295D40">
              <w:rPr>
                <w:iCs/>
                <w:sz w:val="22"/>
                <w:szCs w:val="22"/>
              </w:rPr>
              <w:t xml:space="preserve">sociālās drošības jomā, </w:t>
            </w:r>
            <w:r w:rsidR="00BD37C2" w:rsidRPr="00295D40">
              <w:rPr>
                <w:iCs/>
                <w:sz w:val="22"/>
                <w:szCs w:val="22"/>
              </w:rPr>
              <w:t>tai skaitā sociālās palīdzības sistēmā, kas skar arī dzīvokļa pabalstu</w:t>
            </w:r>
            <w:r w:rsidR="00A0413E" w:rsidRPr="00295D40">
              <w:rPr>
                <w:iCs/>
                <w:sz w:val="22"/>
                <w:szCs w:val="22"/>
              </w:rPr>
              <w:t xml:space="preserve"> un tā saturu</w:t>
            </w:r>
            <w:r w:rsidR="00BD37C2" w:rsidRPr="00295D40">
              <w:rPr>
                <w:iCs/>
                <w:sz w:val="22"/>
                <w:szCs w:val="22"/>
              </w:rPr>
              <w:t>.</w:t>
            </w:r>
          </w:p>
        </w:tc>
      </w:tr>
      <w:tr w:rsidR="00295D40" w:rsidRPr="00295D40" w:rsidTr="00B66418">
        <w:tc>
          <w:tcPr>
            <w:tcW w:w="213" w:type="pct"/>
            <w:shd w:val="clear" w:color="auto" w:fill="auto"/>
          </w:tcPr>
          <w:p w:rsidR="00B76D85" w:rsidRPr="00295D40" w:rsidRDefault="00B76D85" w:rsidP="00B76D85">
            <w:pPr>
              <w:rPr>
                <w:sz w:val="22"/>
                <w:szCs w:val="22"/>
              </w:rPr>
            </w:pPr>
            <w:r w:rsidRPr="00295D40">
              <w:rPr>
                <w:sz w:val="22"/>
                <w:szCs w:val="22"/>
              </w:rPr>
              <w:lastRenderedPageBreak/>
              <w:t>4.</w:t>
            </w:r>
          </w:p>
        </w:tc>
        <w:tc>
          <w:tcPr>
            <w:tcW w:w="1654" w:type="pct"/>
            <w:shd w:val="clear" w:color="auto" w:fill="auto"/>
          </w:tcPr>
          <w:p w:rsidR="00B76D85" w:rsidRPr="00295D40" w:rsidRDefault="00B76D85" w:rsidP="00B76D85">
            <w:pPr>
              <w:rPr>
                <w:sz w:val="22"/>
                <w:szCs w:val="22"/>
              </w:rPr>
            </w:pPr>
            <w:r w:rsidRPr="00295D40">
              <w:rPr>
                <w:sz w:val="22"/>
                <w:szCs w:val="22"/>
              </w:rPr>
              <w:t>Tiesiskā regulējuma mērķis un būtība</w:t>
            </w:r>
          </w:p>
        </w:tc>
        <w:tc>
          <w:tcPr>
            <w:tcW w:w="3133" w:type="pct"/>
            <w:shd w:val="clear" w:color="auto" w:fill="auto"/>
          </w:tcPr>
          <w:p w:rsidR="006149B3" w:rsidRPr="00295D40" w:rsidRDefault="00CB6C31" w:rsidP="006149B3">
            <w:pPr>
              <w:jc w:val="both"/>
              <w:rPr>
                <w:iCs/>
                <w:sz w:val="22"/>
                <w:szCs w:val="22"/>
              </w:rPr>
            </w:pPr>
            <w:r w:rsidRPr="00295D40">
              <w:rPr>
                <w:iCs/>
                <w:sz w:val="22"/>
                <w:szCs w:val="22"/>
              </w:rPr>
              <w:t xml:space="preserve">Noteikumu projekta mērķis ir </w:t>
            </w:r>
            <w:r w:rsidR="009018B9" w:rsidRPr="00295D40">
              <w:rPr>
                <w:iCs/>
                <w:sz w:val="22"/>
                <w:szCs w:val="22"/>
              </w:rPr>
              <w:t>atbilstoši</w:t>
            </w:r>
            <w:r w:rsidR="00DB555F" w:rsidRPr="00295D40">
              <w:rPr>
                <w:iCs/>
                <w:sz w:val="22"/>
                <w:szCs w:val="22"/>
              </w:rPr>
              <w:t xml:space="preserve"> likumā </w:t>
            </w:r>
            <w:r w:rsidR="00DB555F" w:rsidRPr="00295D40">
              <w:rPr>
                <w:bCs/>
                <w:sz w:val="22"/>
                <w:szCs w:val="22"/>
              </w:rPr>
              <w:t>„Par palīdzību dzīvokļa jautājumu risināšanā”</w:t>
            </w:r>
            <w:r w:rsidR="00DB555F" w:rsidRPr="00295D40">
              <w:rPr>
                <w:iCs/>
                <w:sz w:val="22"/>
                <w:szCs w:val="22"/>
              </w:rPr>
              <w:t xml:space="preserve"> ietvert</w:t>
            </w:r>
            <w:r w:rsidR="009018B9" w:rsidRPr="00295D40">
              <w:rPr>
                <w:iCs/>
                <w:sz w:val="22"/>
                <w:szCs w:val="22"/>
              </w:rPr>
              <w:t>ajam</w:t>
            </w:r>
            <w:r w:rsidR="00DB555F" w:rsidRPr="00295D40">
              <w:rPr>
                <w:iCs/>
                <w:sz w:val="22"/>
                <w:szCs w:val="22"/>
              </w:rPr>
              <w:t xml:space="preserve"> deleģējum</w:t>
            </w:r>
            <w:r w:rsidR="009018B9" w:rsidRPr="00295D40">
              <w:rPr>
                <w:iCs/>
                <w:sz w:val="22"/>
                <w:szCs w:val="22"/>
              </w:rPr>
              <w:t>am</w:t>
            </w:r>
            <w:r w:rsidR="00DB555F" w:rsidRPr="00295D40">
              <w:rPr>
                <w:iCs/>
                <w:sz w:val="22"/>
                <w:szCs w:val="22"/>
              </w:rPr>
              <w:t xml:space="preserve"> noteikt kārtību, kādā </w:t>
            </w:r>
            <w:r w:rsidR="00DD07AD" w:rsidRPr="00295D40">
              <w:rPr>
                <w:iCs/>
                <w:sz w:val="22"/>
                <w:szCs w:val="22"/>
              </w:rPr>
              <w:t xml:space="preserve">valsts piešķir pašvaldībām mērķdotāciju dzīvokļa pabalsta izmaksu nodrošināšanai. </w:t>
            </w:r>
          </w:p>
          <w:p w:rsidR="006149B3" w:rsidRPr="00295D40" w:rsidRDefault="003D77D4" w:rsidP="006149B3">
            <w:pPr>
              <w:jc w:val="both"/>
              <w:rPr>
                <w:sz w:val="22"/>
                <w:szCs w:val="22"/>
              </w:rPr>
            </w:pPr>
            <w:r w:rsidRPr="00295D40">
              <w:rPr>
                <w:sz w:val="22"/>
                <w:szCs w:val="22"/>
              </w:rPr>
              <w:t>N</w:t>
            </w:r>
            <w:r w:rsidR="00D365FF" w:rsidRPr="00295D40">
              <w:rPr>
                <w:sz w:val="22"/>
                <w:szCs w:val="22"/>
              </w:rPr>
              <w:t>oteikumu projekts paredz:</w:t>
            </w:r>
            <w:r w:rsidR="00B4783E" w:rsidRPr="00295D40">
              <w:rPr>
                <w:sz w:val="22"/>
                <w:szCs w:val="22"/>
              </w:rPr>
              <w:t xml:space="preserve"> </w:t>
            </w:r>
          </w:p>
          <w:p w:rsidR="006A7473" w:rsidRPr="00295D40" w:rsidRDefault="006A7473" w:rsidP="006A7473">
            <w:pPr>
              <w:pStyle w:val="ListParagraph"/>
              <w:numPr>
                <w:ilvl w:val="0"/>
                <w:numId w:val="7"/>
              </w:numPr>
              <w:autoSpaceDE w:val="0"/>
              <w:autoSpaceDN w:val="0"/>
              <w:adjustRightInd w:val="0"/>
              <w:jc w:val="both"/>
              <w:rPr>
                <w:sz w:val="22"/>
                <w:szCs w:val="22"/>
              </w:rPr>
            </w:pPr>
            <w:r w:rsidRPr="00295D40">
              <w:rPr>
                <w:sz w:val="22"/>
                <w:szCs w:val="22"/>
              </w:rPr>
              <w:t>ka valsts piešķir mērķdotāciju pašvaldībām dzīvokļa pabalsta izmaksu nodrošināšanai par periodu no 2014.gada 1.aprīļa līdz 2017.gada 31.decembrim;</w:t>
            </w:r>
          </w:p>
          <w:p w:rsidR="002039E9" w:rsidRPr="00295D40" w:rsidRDefault="002039E9" w:rsidP="002039E9">
            <w:pPr>
              <w:pStyle w:val="ListParagraph"/>
              <w:numPr>
                <w:ilvl w:val="0"/>
                <w:numId w:val="7"/>
              </w:numPr>
              <w:autoSpaceDE w:val="0"/>
              <w:autoSpaceDN w:val="0"/>
              <w:adjustRightInd w:val="0"/>
              <w:jc w:val="both"/>
              <w:rPr>
                <w:sz w:val="22"/>
                <w:szCs w:val="22"/>
              </w:rPr>
            </w:pPr>
            <w:r w:rsidRPr="00295D40">
              <w:rPr>
                <w:sz w:val="22"/>
                <w:szCs w:val="22"/>
              </w:rPr>
              <w:t xml:space="preserve">ka pašvaldība ir tiesīga </w:t>
            </w:r>
            <w:r w:rsidR="008A0C68" w:rsidRPr="00295D40">
              <w:rPr>
                <w:sz w:val="22"/>
                <w:szCs w:val="22"/>
              </w:rPr>
              <w:t>saņemt</w:t>
            </w:r>
            <w:r w:rsidRPr="00295D40">
              <w:rPr>
                <w:sz w:val="22"/>
                <w:szCs w:val="22"/>
              </w:rPr>
              <w:t xml:space="preserve"> mērķdotāciju, ja dzīvokļa pabalsts piešķirts</w:t>
            </w:r>
            <w:r w:rsidR="006A7473" w:rsidRPr="00295D40">
              <w:rPr>
                <w:sz w:val="22"/>
                <w:szCs w:val="22"/>
              </w:rPr>
              <w:t xml:space="preserve"> ģimenei (personai)</w:t>
            </w:r>
            <w:r w:rsidRPr="00295D40">
              <w:rPr>
                <w:sz w:val="22"/>
                <w:szCs w:val="22"/>
              </w:rPr>
              <w:t xml:space="preserve">, ņemot vērā sociālās palīdzības sniegšanas </w:t>
            </w:r>
            <w:r w:rsidR="006A7473" w:rsidRPr="00295D40">
              <w:rPr>
                <w:sz w:val="22"/>
                <w:szCs w:val="22"/>
              </w:rPr>
              <w:t>pamatprincipus</w:t>
            </w:r>
            <w:r w:rsidRPr="00295D40">
              <w:rPr>
                <w:sz w:val="22"/>
                <w:szCs w:val="22"/>
              </w:rPr>
              <w:t xml:space="preserve"> un normatīvajos aktos noteiktos ar dzīvojamās telpas lietošanu saistītos izdevumu</w:t>
            </w:r>
            <w:r w:rsidR="00125B90" w:rsidRPr="00295D40">
              <w:rPr>
                <w:sz w:val="22"/>
                <w:szCs w:val="22"/>
              </w:rPr>
              <w:t>s</w:t>
            </w:r>
            <w:r w:rsidRPr="00295D40">
              <w:rPr>
                <w:sz w:val="22"/>
                <w:szCs w:val="22"/>
              </w:rPr>
              <w:t xml:space="preserve">; </w:t>
            </w:r>
          </w:p>
          <w:p w:rsidR="008A0C68" w:rsidRPr="00295D40" w:rsidRDefault="008A0C68" w:rsidP="008A0C68">
            <w:pPr>
              <w:pStyle w:val="ListParagraph"/>
              <w:numPr>
                <w:ilvl w:val="0"/>
                <w:numId w:val="7"/>
              </w:numPr>
              <w:autoSpaceDE w:val="0"/>
              <w:autoSpaceDN w:val="0"/>
              <w:adjustRightInd w:val="0"/>
              <w:jc w:val="both"/>
              <w:rPr>
                <w:sz w:val="22"/>
                <w:szCs w:val="22"/>
              </w:rPr>
            </w:pPr>
            <w:r w:rsidRPr="00295D40">
              <w:rPr>
                <w:sz w:val="22"/>
                <w:szCs w:val="22"/>
              </w:rPr>
              <w:t>ka mērķdotāciju pašvaldībām nepiešķir par parāda, kas pārsniedz dzīvokļa pabalsta mēneša apmēru pabalsta saņēmējam, un par avansa maksājumiem pakalpojumu, kuri saistīti ar dzīvojamās telpas lietošanu, sniedzējiem, kas pārsniedz trīs mēnešu dzīvokļa pabalsta apmēru mājsaimniecībai. Šie nosacījumi ir būtiski, jo ir pašvaldības, kuras (</w:t>
            </w:r>
            <w:r w:rsidRPr="00295D40">
              <w:rPr>
                <w:i/>
                <w:sz w:val="22"/>
                <w:szCs w:val="22"/>
              </w:rPr>
              <w:t>piemēram</w:t>
            </w:r>
            <w:r w:rsidRPr="00295D40">
              <w:rPr>
                <w:sz w:val="22"/>
                <w:szCs w:val="22"/>
              </w:rPr>
              <w:t xml:space="preserve">, Rīga) maksā dzīvokļa pabalstu palielinātā apmērā, noslēdzot trīspusēju līgumu par lielāka parāda apmaksas grafiku. Par šo summu nav paredzēts maksāt valsts līdzfinansējumu. Tāpat, ja pašvaldība paredzējusi pārskaitīt avansa maksājumu siltuma ražotājam, piemēram, visai apkures sezonai, valsts līdzfinansējumu paredzēts piešķirt tikai tajā situācijā, kad šie līdzekļi nonākuši līdz iedzīvotājam dzīvokļa pabalsta veidā.     </w:t>
            </w:r>
          </w:p>
          <w:p w:rsidR="00D365FF" w:rsidRPr="00295D40" w:rsidRDefault="002039E9" w:rsidP="00AE4E26">
            <w:pPr>
              <w:pStyle w:val="ListParagraph"/>
              <w:numPr>
                <w:ilvl w:val="0"/>
                <w:numId w:val="7"/>
              </w:numPr>
              <w:autoSpaceDE w:val="0"/>
              <w:autoSpaceDN w:val="0"/>
              <w:adjustRightInd w:val="0"/>
              <w:jc w:val="both"/>
              <w:rPr>
                <w:sz w:val="22"/>
                <w:szCs w:val="22"/>
              </w:rPr>
            </w:pPr>
            <w:r w:rsidRPr="00295D40">
              <w:rPr>
                <w:sz w:val="22"/>
                <w:szCs w:val="22"/>
              </w:rPr>
              <w:t xml:space="preserve">ka valsts piešķir </w:t>
            </w:r>
            <w:r w:rsidR="00D365FF" w:rsidRPr="00295D40">
              <w:rPr>
                <w:sz w:val="22"/>
                <w:szCs w:val="22"/>
              </w:rPr>
              <w:t xml:space="preserve">pašvaldībām </w:t>
            </w:r>
            <w:r w:rsidRPr="00295D40">
              <w:rPr>
                <w:sz w:val="22"/>
                <w:szCs w:val="22"/>
              </w:rPr>
              <w:t xml:space="preserve">mērķdotāciju </w:t>
            </w:r>
            <w:r w:rsidR="00E050A9" w:rsidRPr="00295D40">
              <w:rPr>
                <w:sz w:val="22"/>
                <w:szCs w:val="22"/>
              </w:rPr>
              <w:t xml:space="preserve">dzīvokļa </w:t>
            </w:r>
            <w:r w:rsidR="00D365FF" w:rsidRPr="00295D40">
              <w:rPr>
                <w:sz w:val="22"/>
                <w:szCs w:val="22"/>
              </w:rPr>
              <w:t>pabalsta izmaksu nodrošināšanai</w:t>
            </w:r>
            <w:r w:rsidR="006F53C3" w:rsidRPr="00295D40">
              <w:rPr>
                <w:sz w:val="22"/>
                <w:szCs w:val="22"/>
              </w:rPr>
              <w:t xml:space="preserve"> 15% apmērā no pašvaldības faktiski izlietotajiem līdzekļiem dzīvokļa pabalsta izmaksu nodrošināšanai</w:t>
            </w:r>
            <w:r w:rsidR="00D365FF" w:rsidRPr="00295D40">
              <w:rPr>
                <w:sz w:val="22"/>
                <w:szCs w:val="22"/>
              </w:rPr>
              <w:t>;</w:t>
            </w:r>
          </w:p>
          <w:p w:rsidR="002E5227" w:rsidRPr="00295D40" w:rsidRDefault="00E84B95" w:rsidP="00AE4E26">
            <w:pPr>
              <w:pStyle w:val="ListParagraph"/>
              <w:numPr>
                <w:ilvl w:val="0"/>
                <w:numId w:val="7"/>
              </w:numPr>
              <w:autoSpaceDE w:val="0"/>
              <w:autoSpaceDN w:val="0"/>
              <w:adjustRightInd w:val="0"/>
              <w:jc w:val="both"/>
              <w:rPr>
                <w:sz w:val="22"/>
                <w:szCs w:val="22"/>
              </w:rPr>
            </w:pPr>
            <w:r w:rsidRPr="00295D40">
              <w:rPr>
                <w:sz w:val="22"/>
                <w:szCs w:val="22"/>
              </w:rPr>
              <w:t>mērķdotācija</w:t>
            </w:r>
            <w:r w:rsidR="00F77D63" w:rsidRPr="00295D40">
              <w:rPr>
                <w:sz w:val="22"/>
                <w:szCs w:val="22"/>
              </w:rPr>
              <w:t>s</w:t>
            </w:r>
            <w:r w:rsidR="00D365FF" w:rsidRPr="00295D40">
              <w:rPr>
                <w:sz w:val="22"/>
                <w:szCs w:val="22"/>
              </w:rPr>
              <w:t xml:space="preserve"> piešķiršanas kārtību</w:t>
            </w:r>
            <w:r w:rsidR="0040127B" w:rsidRPr="00295D40">
              <w:rPr>
                <w:sz w:val="22"/>
                <w:szCs w:val="22"/>
              </w:rPr>
              <w:t xml:space="preserve">, nosakot, ka pašvaldība līdz </w:t>
            </w:r>
            <w:r w:rsidR="00FD40AB" w:rsidRPr="00295D40">
              <w:rPr>
                <w:sz w:val="22"/>
                <w:szCs w:val="22"/>
              </w:rPr>
              <w:t xml:space="preserve">kārtējā </w:t>
            </w:r>
            <w:r w:rsidR="0040127B" w:rsidRPr="00295D40">
              <w:rPr>
                <w:sz w:val="22"/>
                <w:szCs w:val="22"/>
              </w:rPr>
              <w:t xml:space="preserve">gada 15.aprīlim iesniedz Labklājības ministrijā pieprasījumu </w:t>
            </w:r>
            <w:r w:rsidR="002E5227" w:rsidRPr="00295D40">
              <w:rPr>
                <w:sz w:val="22"/>
                <w:szCs w:val="22"/>
              </w:rPr>
              <w:t>mērķdotācijas piešķiršanai</w:t>
            </w:r>
            <w:r w:rsidR="006A7473" w:rsidRPr="00295D40">
              <w:rPr>
                <w:sz w:val="22"/>
                <w:szCs w:val="22"/>
              </w:rPr>
              <w:t xml:space="preserve"> (</w:t>
            </w:r>
            <w:r w:rsidR="00E910A1" w:rsidRPr="00295D40">
              <w:rPr>
                <w:sz w:val="22"/>
                <w:szCs w:val="22"/>
              </w:rPr>
              <w:t xml:space="preserve">noteikumu </w:t>
            </w:r>
            <w:r w:rsidR="006A7473" w:rsidRPr="00295D40">
              <w:rPr>
                <w:sz w:val="22"/>
                <w:szCs w:val="22"/>
              </w:rPr>
              <w:t>pielikums)</w:t>
            </w:r>
            <w:r w:rsidR="002E5227" w:rsidRPr="00295D40">
              <w:rPr>
                <w:sz w:val="22"/>
                <w:szCs w:val="22"/>
              </w:rPr>
              <w:t>;</w:t>
            </w:r>
          </w:p>
          <w:p w:rsidR="005459A8" w:rsidRPr="00295D40" w:rsidRDefault="005459A8" w:rsidP="00AE4E26">
            <w:pPr>
              <w:pStyle w:val="ListParagraph"/>
              <w:numPr>
                <w:ilvl w:val="0"/>
                <w:numId w:val="7"/>
              </w:numPr>
              <w:autoSpaceDE w:val="0"/>
              <w:autoSpaceDN w:val="0"/>
              <w:adjustRightInd w:val="0"/>
              <w:jc w:val="both"/>
              <w:rPr>
                <w:sz w:val="22"/>
                <w:szCs w:val="22"/>
              </w:rPr>
            </w:pPr>
            <w:r w:rsidRPr="00295D40">
              <w:rPr>
                <w:sz w:val="22"/>
                <w:szCs w:val="22"/>
              </w:rPr>
              <w:t>ka Labklājības ministrija pārskaita mērķdotāciju, kas aprēķināta, pamatojoties uz pašvaldības mēneša pārskata par pamatbudžeta izpildi norādītajām dzīvokļa pabalstam izlietotajām summām, pašvaldības norādītajā kontā. Labklājības ministrija pašvaldības pārskatu informāciju iegūst Valsts kases informācijas sistēmā „Ministriju, centrālo valsts iestāžu un pašvaldību budžeta pārskatu informācijas sistēmā” (turpmāk – e-pārskati).</w:t>
            </w:r>
          </w:p>
          <w:p w:rsidR="00863002" w:rsidRPr="00295D40" w:rsidRDefault="00025433" w:rsidP="00AE4E26">
            <w:pPr>
              <w:pStyle w:val="ListParagraph"/>
              <w:numPr>
                <w:ilvl w:val="0"/>
                <w:numId w:val="7"/>
              </w:numPr>
              <w:autoSpaceDE w:val="0"/>
              <w:autoSpaceDN w:val="0"/>
              <w:adjustRightInd w:val="0"/>
              <w:jc w:val="both"/>
              <w:rPr>
                <w:sz w:val="22"/>
                <w:szCs w:val="22"/>
              </w:rPr>
            </w:pPr>
            <w:r w:rsidRPr="00295D40">
              <w:rPr>
                <w:sz w:val="22"/>
                <w:szCs w:val="22"/>
              </w:rPr>
              <w:t>izlases veidā veicamo pārbaužu veikšanas kārt</w:t>
            </w:r>
            <w:r w:rsidR="00F73708" w:rsidRPr="00295D40">
              <w:rPr>
                <w:sz w:val="22"/>
                <w:szCs w:val="22"/>
              </w:rPr>
              <w:t>ību un pārbaudāmos dokumentus;</w:t>
            </w:r>
          </w:p>
          <w:p w:rsidR="00F73708" w:rsidRPr="00295D40" w:rsidRDefault="008E278C" w:rsidP="00AE4E26">
            <w:pPr>
              <w:pStyle w:val="ListParagraph"/>
              <w:numPr>
                <w:ilvl w:val="0"/>
                <w:numId w:val="7"/>
              </w:numPr>
              <w:autoSpaceDE w:val="0"/>
              <w:autoSpaceDN w:val="0"/>
              <w:adjustRightInd w:val="0"/>
              <w:jc w:val="both"/>
              <w:rPr>
                <w:sz w:val="22"/>
                <w:szCs w:val="22"/>
              </w:rPr>
            </w:pPr>
            <w:r w:rsidRPr="00295D40">
              <w:rPr>
                <w:sz w:val="22"/>
                <w:szCs w:val="22"/>
              </w:rPr>
              <w:t xml:space="preserve">izmaksātās mērķdotācijas salīdzināšanas kārtību </w:t>
            </w:r>
            <w:r w:rsidR="0063062A" w:rsidRPr="00295D40">
              <w:rPr>
                <w:sz w:val="22"/>
                <w:szCs w:val="22"/>
              </w:rPr>
              <w:t xml:space="preserve">un </w:t>
            </w:r>
            <w:r w:rsidRPr="00295D40">
              <w:rPr>
                <w:sz w:val="22"/>
                <w:szCs w:val="22"/>
              </w:rPr>
              <w:t xml:space="preserve">pārmaksāto līdzekļu vai neizmaksāto līdzekļu </w:t>
            </w:r>
            <w:r w:rsidRPr="00295D40">
              <w:rPr>
                <w:sz w:val="22"/>
                <w:szCs w:val="22"/>
              </w:rPr>
              <w:lastRenderedPageBreak/>
              <w:t>izlīdzināšanas kārtību.</w:t>
            </w:r>
          </w:p>
          <w:p w:rsidR="00B76D85" w:rsidRPr="00295D40" w:rsidRDefault="00D365FF" w:rsidP="00B4783E">
            <w:pPr>
              <w:jc w:val="both"/>
              <w:rPr>
                <w:i/>
                <w:sz w:val="22"/>
                <w:szCs w:val="22"/>
              </w:rPr>
            </w:pPr>
            <w:r w:rsidRPr="00295D40">
              <w:rPr>
                <w:bCs/>
                <w:sz w:val="22"/>
                <w:szCs w:val="22"/>
              </w:rPr>
              <w:t xml:space="preserve">MK noteikumu projekts </w:t>
            </w:r>
            <w:r w:rsidRPr="00295D40">
              <w:rPr>
                <w:sz w:val="22"/>
                <w:szCs w:val="22"/>
              </w:rPr>
              <w:t>atrisinās noteikumu projekta anotācijas I sadaļas 2.punktā minētās problēmas.</w:t>
            </w:r>
          </w:p>
        </w:tc>
      </w:tr>
      <w:tr w:rsidR="00295D40" w:rsidRPr="00295D40" w:rsidTr="00B66418">
        <w:tc>
          <w:tcPr>
            <w:tcW w:w="213" w:type="pct"/>
            <w:shd w:val="clear" w:color="auto" w:fill="auto"/>
          </w:tcPr>
          <w:p w:rsidR="00B76D85" w:rsidRPr="00295D40" w:rsidRDefault="00B76D85" w:rsidP="00B76D85">
            <w:pPr>
              <w:rPr>
                <w:sz w:val="22"/>
                <w:szCs w:val="22"/>
              </w:rPr>
            </w:pPr>
            <w:r w:rsidRPr="00295D40">
              <w:rPr>
                <w:sz w:val="22"/>
                <w:szCs w:val="22"/>
              </w:rPr>
              <w:lastRenderedPageBreak/>
              <w:t>5.</w:t>
            </w:r>
          </w:p>
        </w:tc>
        <w:tc>
          <w:tcPr>
            <w:tcW w:w="1654" w:type="pct"/>
            <w:shd w:val="clear" w:color="auto" w:fill="auto"/>
          </w:tcPr>
          <w:p w:rsidR="00B76D85" w:rsidRPr="00295D40" w:rsidRDefault="00B76D85" w:rsidP="00B76D85">
            <w:pPr>
              <w:rPr>
                <w:sz w:val="22"/>
                <w:szCs w:val="22"/>
              </w:rPr>
            </w:pPr>
            <w:r w:rsidRPr="00295D40">
              <w:rPr>
                <w:sz w:val="22"/>
                <w:szCs w:val="22"/>
              </w:rPr>
              <w:t>Projekta izstrādē iesaistītās institūcijas</w:t>
            </w:r>
          </w:p>
        </w:tc>
        <w:tc>
          <w:tcPr>
            <w:tcW w:w="3133" w:type="pct"/>
            <w:shd w:val="clear" w:color="auto" w:fill="auto"/>
          </w:tcPr>
          <w:p w:rsidR="00B76D85" w:rsidRPr="00295D40" w:rsidRDefault="00244FF7" w:rsidP="00244FF7">
            <w:pPr>
              <w:jc w:val="both"/>
              <w:rPr>
                <w:i/>
                <w:sz w:val="22"/>
                <w:szCs w:val="22"/>
              </w:rPr>
            </w:pPr>
            <w:r w:rsidRPr="00295D40">
              <w:rPr>
                <w:iCs/>
                <w:sz w:val="22"/>
                <w:szCs w:val="22"/>
              </w:rPr>
              <w:t xml:space="preserve">Ekonomikas ministrija, Latvijas Pašvaldību savienība, Latvijas Lielo pilsētu asociācija (2013.gada 4.novembra vēstule </w:t>
            </w:r>
            <w:r w:rsidR="006D4379" w:rsidRPr="00295D40">
              <w:rPr>
                <w:iCs/>
                <w:sz w:val="22"/>
                <w:szCs w:val="22"/>
              </w:rPr>
              <w:t>Nr.5-1/206)</w:t>
            </w:r>
            <w:r w:rsidRPr="00295D40">
              <w:rPr>
                <w:iCs/>
                <w:sz w:val="22"/>
                <w:szCs w:val="22"/>
              </w:rPr>
              <w:t xml:space="preserve">. </w:t>
            </w:r>
          </w:p>
        </w:tc>
      </w:tr>
      <w:tr w:rsidR="00295D40" w:rsidRPr="00295D40" w:rsidTr="00B66418">
        <w:tc>
          <w:tcPr>
            <w:tcW w:w="213" w:type="pct"/>
            <w:shd w:val="clear" w:color="auto" w:fill="auto"/>
          </w:tcPr>
          <w:p w:rsidR="00B76D85" w:rsidRPr="00295D40" w:rsidRDefault="00B76D85" w:rsidP="00B76D85">
            <w:pPr>
              <w:rPr>
                <w:sz w:val="22"/>
                <w:szCs w:val="22"/>
              </w:rPr>
            </w:pPr>
            <w:r w:rsidRPr="00295D40">
              <w:rPr>
                <w:sz w:val="22"/>
                <w:szCs w:val="22"/>
              </w:rPr>
              <w:t>6.</w:t>
            </w:r>
          </w:p>
        </w:tc>
        <w:tc>
          <w:tcPr>
            <w:tcW w:w="1654" w:type="pct"/>
            <w:shd w:val="clear" w:color="auto" w:fill="auto"/>
          </w:tcPr>
          <w:p w:rsidR="00B76D85" w:rsidRPr="00295D40" w:rsidRDefault="00B76D85" w:rsidP="00B76D85">
            <w:pPr>
              <w:rPr>
                <w:sz w:val="22"/>
                <w:szCs w:val="22"/>
              </w:rPr>
            </w:pPr>
            <w:r w:rsidRPr="00295D40">
              <w:rPr>
                <w:sz w:val="22"/>
                <w:szCs w:val="22"/>
              </w:rPr>
              <w:t>Iemesli, kādēļ netika nodrošināta sabiedrības līdzdalība</w:t>
            </w:r>
          </w:p>
        </w:tc>
        <w:tc>
          <w:tcPr>
            <w:tcW w:w="3133" w:type="pct"/>
            <w:shd w:val="clear" w:color="auto" w:fill="auto"/>
          </w:tcPr>
          <w:p w:rsidR="00B76D85" w:rsidRPr="00295D40" w:rsidRDefault="00806706" w:rsidP="009018B9">
            <w:pPr>
              <w:jc w:val="both"/>
              <w:rPr>
                <w:sz w:val="22"/>
                <w:szCs w:val="22"/>
              </w:rPr>
            </w:pPr>
            <w:r w:rsidRPr="00295D40">
              <w:rPr>
                <w:sz w:val="22"/>
                <w:szCs w:val="22"/>
              </w:rPr>
              <w:t>MK noteikumu projekt</w:t>
            </w:r>
            <w:r w:rsidR="006A5354" w:rsidRPr="00295D40">
              <w:rPr>
                <w:sz w:val="22"/>
                <w:szCs w:val="22"/>
              </w:rPr>
              <w:t xml:space="preserve">a </w:t>
            </w:r>
            <w:r w:rsidR="009018B9" w:rsidRPr="00295D40">
              <w:rPr>
                <w:sz w:val="22"/>
                <w:szCs w:val="22"/>
              </w:rPr>
              <w:t>nepieciešamība</w:t>
            </w:r>
            <w:r w:rsidR="006A5354" w:rsidRPr="00295D40">
              <w:rPr>
                <w:sz w:val="22"/>
                <w:szCs w:val="22"/>
              </w:rPr>
              <w:t xml:space="preserve"> tika apspriesta </w:t>
            </w:r>
            <w:r w:rsidR="009018B9" w:rsidRPr="00295D40">
              <w:rPr>
                <w:sz w:val="22"/>
                <w:szCs w:val="22"/>
              </w:rPr>
              <w:t xml:space="preserve">ar Latvijas Pašvaldību savienību </w:t>
            </w:r>
            <w:r w:rsidR="006A5354" w:rsidRPr="00295D40">
              <w:rPr>
                <w:sz w:val="22"/>
                <w:szCs w:val="22"/>
              </w:rPr>
              <w:t>likumprojekta "Grozījumi likumā "Par palīdzību dzīvokļa jautājumu risināšanā"" izstrādes un saskaņošanas gait</w:t>
            </w:r>
            <w:r w:rsidR="00CE5252" w:rsidRPr="00295D40">
              <w:rPr>
                <w:sz w:val="22"/>
                <w:szCs w:val="22"/>
              </w:rPr>
              <w:t>ā</w:t>
            </w:r>
            <w:r w:rsidR="006A5354" w:rsidRPr="00295D40">
              <w:rPr>
                <w:sz w:val="22"/>
                <w:szCs w:val="22"/>
              </w:rPr>
              <w:t>.</w:t>
            </w:r>
            <w:r w:rsidR="00CE5252" w:rsidRPr="00295D40">
              <w:rPr>
                <w:sz w:val="22"/>
                <w:szCs w:val="22"/>
              </w:rPr>
              <w:t xml:space="preserve"> Savu redzējumu sniedza Latvijas Lielo pilsētu asociācija. </w:t>
            </w:r>
          </w:p>
          <w:p w:rsidR="009018B9" w:rsidRPr="00295D40" w:rsidRDefault="009018B9" w:rsidP="009018B9">
            <w:pPr>
              <w:jc w:val="both"/>
              <w:rPr>
                <w:i/>
                <w:sz w:val="22"/>
                <w:szCs w:val="22"/>
              </w:rPr>
            </w:pPr>
            <w:r w:rsidRPr="00295D40">
              <w:rPr>
                <w:sz w:val="22"/>
                <w:szCs w:val="22"/>
              </w:rPr>
              <w:t>Pirms izsludināšanas Valsts sekretāru sanāksmē, noteikumu projekts ir ievietots Labklājības ministrijas mājaslapā.</w:t>
            </w:r>
            <w:r w:rsidRPr="00295D40">
              <w:rPr>
                <w:vanish/>
                <w:sz w:val="22"/>
                <w:szCs w:val="22"/>
              </w:rPr>
              <w:t>aslapnistrijas mkts ir ievietots Labkl</w:t>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r w:rsidRPr="00295D40">
              <w:rPr>
                <w:vanish/>
                <w:sz w:val="22"/>
                <w:szCs w:val="22"/>
              </w:rPr>
              <w:pgNum/>
            </w:r>
          </w:p>
        </w:tc>
      </w:tr>
      <w:tr w:rsidR="00B76D85" w:rsidRPr="00295D40" w:rsidTr="00B66418">
        <w:tc>
          <w:tcPr>
            <w:tcW w:w="213" w:type="pct"/>
            <w:shd w:val="clear" w:color="auto" w:fill="auto"/>
          </w:tcPr>
          <w:p w:rsidR="00B76D85" w:rsidRPr="00295D40" w:rsidRDefault="00B76D85" w:rsidP="00B76D85">
            <w:pPr>
              <w:rPr>
                <w:sz w:val="22"/>
                <w:szCs w:val="22"/>
              </w:rPr>
            </w:pPr>
            <w:r w:rsidRPr="00295D40">
              <w:rPr>
                <w:sz w:val="22"/>
                <w:szCs w:val="22"/>
              </w:rPr>
              <w:t xml:space="preserve">7. </w:t>
            </w:r>
          </w:p>
        </w:tc>
        <w:tc>
          <w:tcPr>
            <w:tcW w:w="1654" w:type="pct"/>
            <w:shd w:val="clear" w:color="auto" w:fill="auto"/>
          </w:tcPr>
          <w:p w:rsidR="00B76D85" w:rsidRPr="00295D40" w:rsidRDefault="00B76D85" w:rsidP="00B76D85">
            <w:pPr>
              <w:rPr>
                <w:sz w:val="22"/>
                <w:szCs w:val="22"/>
              </w:rPr>
            </w:pPr>
            <w:r w:rsidRPr="00295D40">
              <w:rPr>
                <w:sz w:val="22"/>
                <w:szCs w:val="22"/>
              </w:rPr>
              <w:t>Cita informācija</w:t>
            </w:r>
          </w:p>
        </w:tc>
        <w:tc>
          <w:tcPr>
            <w:tcW w:w="3133" w:type="pct"/>
            <w:shd w:val="clear" w:color="auto" w:fill="auto"/>
          </w:tcPr>
          <w:p w:rsidR="00B76D85" w:rsidRPr="00295D40" w:rsidRDefault="00702B71" w:rsidP="009A1CF9">
            <w:pPr>
              <w:pStyle w:val="naiskr"/>
              <w:spacing w:before="0" w:after="0"/>
              <w:rPr>
                <w:i/>
                <w:sz w:val="22"/>
                <w:szCs w:val="22"/>
              </w:rPr>
            </w:pPr>
            <w:r w:rsidRPr="00295D40">
              <w:rPr>
                <w:sz w:val="22"/>
                <w:szCs w:val="22"/>
              </w:rPr>
              <w:t>Nav.</w:t>
            </w:r>
          </w:p>
        </w:tc>
      </w:tr>
    </w:tbl>
    <w:p w:rsidR="00B76D85" w:rsidRPr="00295D40" w:rsidRDefault="00B76D85"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927"/>
        <w:gridCol w:w="5966"/>
      </w:tblGrid>
      <w:tr w:rsidR="00295D40" w:rsidRPr="00295D40" w:rsidTr="00B66418">
        <w:tc>
          <w:tcPr>
            <w:tcW w:w="9287" w:type="dxa"/>
            <w:gridSpan w:val="3"/>
            <w:shd w:val="clear" w:color="auto" w:fill="auto"/>
          </w:tcPr>
          <w:p w:rsidR="00C01716" w:rsidRPr="00295D40" w:rsidRDefault="00C01716" w:rsidP="00B66418">
            <w:pPr>
              <w:jc w:val="center"/>
              <w:rPr>
                <w:b/>
              </w:rPr>
            </w:pPr>
            <w:r w:rsidRPr="00295D40">
              <w:rPr>
                <w:b/>
              </w:rPr>
              <w:t>II Tiesību akta projekta ietekme uz sabiedrību</w:t>
            </w:r>
          </w:p>
        </w:tc>
      </w:tr>
      <w:tr w:rsidR="00295D40" w:rsidRPr="00295D40" w:rsidTr="00B66418">
        <w:tc>
          <w:tcPr>
            <w:tcW w:w="396" w:type="dxa"/>
            <w:shd w:val="clear" w:color="auto" w:fill="auto"/>
          </w:tcPr>
          <w:p w:rsidR="00B76D85" w:rsidRPr="00295D40" w:rsidRDefault="00B76D85" w:rsidP="00242D7D">
            <w:pPr>
              <w:rPr>
                <w:sz w:val="22"/>
                <w:szCs w:val="22"/>
              </w:rPr>
            </w:pPr>
            <w:r w:rsidRPr="00295D40">
              <w:rPr>
                <w:sz w:val="22"/>
                <w:szCs w:val="22"/>
              </w:rPr>
              <w:t>1.</w:t>
            </w:r>
          </w:p>
        </w:tc>
        <w:tc>
          <w:tcPr>
            <w:tcW w:w="3072" w:type="dxa"/>
            <w:shd w:val="clear" w:color="auto" w:fill="auto"/>
          </w:tcPr>
          <w:p w:rsidR="00B76D85" w:rsidRPr="00295D40" w:rsidRDefault="007513BD" w:rsidP="00242D7D">
            <w:pPr>
              <w:rPr>
                <w:sz w:val="22"/>
                <w:szCs w:val="22"/>
              </w:rPr>
            </w:pPr>
            <w:r w:rsidRPr="00295D40">
              <w:rPr>
                <w:sz w:val="22"/>
                <w:szCs w:val="22"/>
              </w:rPr>
              <w:t>Sabiedrības mērķgrupa</w:t>
            </w:r>
          </w:p>
        </w:tc>
        <w:tc>
          <w:tcPr>
            <w:tcW w:w="5819" w:type="dxa"/>
            <w:shd w:val="clear" w:color="auto" w:fill="auto"/>
          </w:tcPr>
          <w:p w:rsidR="00B43014" w:rsidRPr="00295D40" w:rsidRDefault="00B43014" w:rsidP="00B43014">
            <w:pPr>
              <w:jc w:val="both"/>
              <w:rPr>
                <w:rFonts w:ascii="Verdana" w:hAnsi="Verdana"/>
                <w:sz w:val="22"/>
                <w:szCs w:val="22"/>
              </w:rPr>
            </w:pPr>
            <w:r w:rsidRPr="00295D40">
              <w:rPr>
                <w:sz w:val="22"/>
                <w:szCs w:val="22"/>
              </w:rPr>
              <w:t xml:space="preserve">MK noteikumu projekts attieksies uz zemu ienākumu mājsaimniecībām, kuras pašas saviem spēkiem nevarēs norēķināties par </w:t>
            </w:r>
            <w:r w:rsidR="008C4DB5" w:rsidRPr="00295D40">
              <w:rPr>
                <w:sz w:val="22"/>
                <w:szCs w:val="22"/>
              </w:rPr>
              <w:t>mājokli</w:t>
            </w:r>
            <w:r w:rsidRPr="00295D40">
              <w:rPr>
                <w:sz w:val="22"/>
                <w:szCs w:val="22"/>
              </w:rPr>
              <w:t>, tai skaitā par elektroenerģiju.</w:t>
            </w:r>
          </w:p>
          <w:p w:rsidR="007B50C1" w:rsidRPr="00295D40" w:rsidRDefault="00B43014" w:rsidP="00B43014">
            <w:pPr>
              <w:jc w:val="both"/>
              <w:rPr>
                <w:sz w:val="22"/>
                <w:szCs w:val="22"/>
              </w:rPr>
            </w:pPr>
            <w:r w:rsidRPr="00295D40">
              <w:rPr>
                <w:sz w:val="22"/>
                <w:szCs w:val="22"/>
              </w:rPr>
              <w:t>Latvijā 2012.gadā bija 821 060 mājsaimniecības (ar mājsaimniecību saprotot vairākas personas, kuras dzīvo vienā mājoklī un kopīgi sedz mājsaimniecības izdevumus vai viena persona, kura saimnieko atsevišķi).</w:t>
            </w:r>
            <w:r w:rsidR="007B50C1" w:rsidRPr="00295D40">
              <w:rPr>
                <w:sz w:val="22"/>
                <w:szCs w:val="22"/>
              </w:rPr>
              <w:t xml:space="preserve"> Saskaņā ar pašvaldību sniegto informāciju</w:t>
            </w:r>
            <w:r w:rsidR="00E5030E" w:rsidRPr="00295D40">
              <w:rPr>
                <w:sz w:val="22"/>
                <w:szCs w:val="22"/>
              </w:rPr>
              <w:t xml:space="preserve"> </w:t>
            </w:r>
            <w:r w:rsidR="00E5030E" w:rsidRPr="00295D40">
              <w:rPr>
                <w:sz w:val="22"/>
                <w:szCs w:val="22"/>
                <w:u w:val="single"/>
              </w:rPr>
              <w:t>dzīvokļa pabalstu saņēmušo personu skaita dinamika</w:t>
            </w:r>
            <w:r w:rsidR="00E5030E" w:rsidRPr="00295D40">
              <w:rPr>
                <w:sz w:val="22"/>
                <w:szCs w:val="22"/>
              </w:rPr>
              <w:t xml:space="preserve"> </w:t>
            </w:r>
            <w:r w:rsidR="00C1174A" w:rsidRPr="00295D40">
              <w:rPr>
                <w:i/>
                <w:sz w:val="22"/>
                <w:szCs w:val="22"/>
              </w:rPr>
              <w:t>gada</w:t>
            </w:r>
            <w:r w:rsidR="007221AE" w:rsidRPr="00295D40">
              <w:rPr>
                <w:i/>
                <w:sz w:val="22"/>
                <w:szCs w:val="22"/>
              </w:rPr>
              <w:t xml:space="preserve"> </w:t>
            </w:r>
            <w:r w:rsidR="00A161B4" w:rsidRPr="00295D40">
              <w:rPr>
                <w:i/>
                <w:sz w:val="22"/>
                <w:szCs w:val="22"/>
              </w:rPr>
              <w:t xml:space="preserve">laikā </w:t>
            </w:r>
            <w:r w:rsidR="00C1174A" w:rsidRPr="00295D40">
              <w:rPr>
                <w:i/>
                <w:sz w:val="22"/>
                <w:szCs w:val="22"/>
              </w:rPr>
              <w:t>kopumā</w:t>
            </w:r>
            <w:r w:rsidR="00C1174A" w:rsidRPr="00295D40">
              <w:rPr>
                <w:sz w:val="22"/>
                <w:szCs w:val="22"/>
              </w:rPr>
              <w:t xml:space="preserve"> </w:t>
            </w:r>
            <w:r w:rsidR="00A161B4" w:rsidRPr="00295D40">
              <w:rPr>
                <w:sz w:val="22"/>
                <w:szCs w:val="22"/>
              </w:rPr>
              <w:t>no 2009.gada līdz 201</w:t>
            </w:r>
            <w:r w:rsidR="005A7B34" w:rsidRPr="00295D40">
              <w:rPr>
                <w:sz w:val="22"/>
                <w:szCs w:val="22"/>
              </w:rPr>
              <w:t>3</w:t>
            </w:r>
            <w:r w:rsidR="00A161B4" w:rsidRPr="00295D40">
              <w:rPr>
                <w:sz w:val="22"/>
                <w:szCs w:val="22"/>
              </w:rPr>
              <w:t>.</w:t>
            </w:r>
            <w:r w:rsidR="004A3071" w:rsidRPr="00295D40">
              <w:rPr>
                <w:sz w:val="22"/>
                <w:szCs w:val="22"/>
              </w:rPr>
              <w:t>gada</w:t>
            </w:r>
            <w:r w:rsidR="00A161B4" w:rsidRPr="00295D40">
              <w:rPr>
                <w:sz w:val="22"/>
                <w:szCs w:val="22"/>
              </w:rPr>
              <w:t>m bija</w:t>
            </w:r>
            <w:r w:rsidR="00E5030E" w:rsidRPr="00295D40">
              <w:rPr>
                <w:sz w:val="22"/>
                <w:szCs w:val="22"/>
              </w:rPr>
              <w:t xml:space="preserve"> šāda:</w:t>
            </w:r>
            <w:r w:rsidR="007B50C1" w:rsidRPr="00295D40">
              <w:rPr>
                <w:sz w:val="22"/>
                <w:szCs w:val="22"/>
              </w:rPr>
              <w:t xml:space="preserve"> </w:t>
            </w:r>
          </w:p>
          <w:tbl>
            <w:tblPr>
              <w:tblStyle w:val="TableGrid"/>
              <w:tblW w:w="0" w:type="auto"/>
              <w:tblInd w:w="1352" w:type="dxa"/>
              <w:tblLook w:val="04A0" w:firstRow="1" w:lastRow="0" w:firstColumn="1" w:lastColumn="0" w:noHBand="0" w:noVBand="1"/>
            </w:tblPr>
            <w:tblGrid>
              <w:gridCol w:w="1515"/>
              <w:gridCol w:w="1745"/>
            </w:tblGrid>
            <w:tr w:rsidR="00295D40" w:rsidRPr="00295D40" w:rsidTr="00AD111A">
              <w:tc>
                <w:tcPr>
                  <w:tcW w:w="1515" w:type="dxa"/>
                </w:tcPr>
                <w:p w:rsidR="00AD111A" w:rsidRPr="00295D40" w:rsidRDefault="00AD111A" w:rsidP="00AD111A">
                  <w:pPr>
                    <w:jc w:val="right"/>
                    <w:rPr>
                      <w:sz w:val="22"/>
                      <w:szCs w:val="22"/>
                    </w:rPr>
                  </w:pPr>
                  <w:r w:rsidRPr="00295D40">
                    <w:rPr>
                      <w:sz w:val="22"/>
                      <w:szCs w:val="22"/>
                    </w:rPr>
                    <w:t>2009</w:t>
                  </w:r>
                </w:p>
              </w:tc>
              <w:tc>
                <w:tcPr>
                  <w:tcW w:w="1745" w:type="dxa"/>
                </w:tcPr>
                <w:p w:rsidR="00AD111A" w:rsidRPr="00295D40" w:rsidRDefault="00AD111A" w:rsidP="00AD111A">
                  <w:pPr>
                    <w:jc w:val="right"/>
                    <w:rPr>
                      <w:sz w:val="22"/>
                      <w:szCs w:val="22"/>
                    </w:rPr>
                  </w:pPr>
                  <w:r w:rsidRPr="00295D40">
                    <w:rPr>
                      <w:sz w:val="22"/>
                      <w:szCs w:val="22"/>
                    </w:rPr>
                    <w:t>134 136</w:t>
                  </w:r>
                </w:p>
              </w:tc>
            </w:tr>
            <w:tr w:rsidR="00295D40" w:rsidRPr="00295D40" w:rsidTr="00AD111A">
              <w:tc>
                <w:tcPr>
                  <w:tcW w:w="1515" w:type="dxa"/>
                </w:tcPr>
                <w:p w:rsidR="00AD111A" w:rsidRPr="00295D40" w:rsidRDefault="00AD111A" w:rsidP="00AD111A">
                  <w:pPr>
                    <w:jc w:val="right"/>
                    <w:rPr>
                      <w:sz w:val="22"/>
                      <w:szCs w:val="22"/>
                    </w:rPr>
                  </w:pPr>
                  <w:r w:rsidRPr="00295D40">
                    <w:rPr>
                      <w:sz w:val="22"/>
                      <w:szCs w:val="22"/>
                    </w:rPr>
                    <w:t>2010</w:t>
                  </w:r>
                </w:p>
              </w:tc>
              <w:tc>
                <w:tcPr>
                  <w:tcW w:w="1745" w:type="dxa"/>
                </w:tcPr>
                <w:p w:rsidR="00AD111A" w:rsidRPr="00295D40" w:rsidRDefault="00AD111A" w:rsidP="005A7B34">
                  <w:pPr>
                    <w:jc w:val="right"/>
                    <w:rPr>
                      <w:sz w:val="22"/>
                      <w:szCs w:val="22"/>
                    </w:rPr>
                  </w:pPr>
                  <w:r w:rsidRPr="00295D40">
                    <w:rPr>
                      <w:sz w:val="22"/>
                      <w:szCs w:val="22"/>
                    </w:rPr>
                    <w:t>209 220</w:t>
                  </w:r>
                </w:p>
              </w:tc>
            </w:tr>
            <w:tr w:rsidR="00295D40" w:rsidRPr="00295D40" w:rsidTr="00AD111A">
              <w:tc>
                <w:tcPr>
                  <w:tcW w:w="1515" w:type="dxa"/>
                </w:tcPr>
                <w:p w:rsidR="00AD111A" w:rsidRPr="00295D40" w:rsidRDefault="00AD111A" w:rsidP="00AD111A">
                  <w:pPr>
                    <w:jc w:val="right"/>
                    <w:rPr>
                      <w:sz w:val="22"/>
                      <w:szCs w:val="22"/>
                    </w:rPr>
                  </w:pPr>
                  <w:r w:rsidRPr="00295D40">
                    <w:rPr>
                      <w:sz w:val="22"/>
                      <w:szCs w:val="22"/>
                    </w:rPr>
                    <w:t>2011</w:t>
                  </w:r>
                </w:p>
              </w:tc>
              <w:tc>
                <w:tcPr>
                  <w:tcW w:w="1745" w:type="dxa"/>
                </w:tcPr>
                <w:p w:rsidR="00AD111A" w:rsidRPr="00295D40" w:rsidRDefault="00AD111A" w:rsidP="005A7B34">
                  <w:pPr>
                    <w:jc w:val="right"/>
                    <w:rPr>
                      <w:sz w:val="22"/>
                      <w:szCs w:val="22"/>
                    </w:rPr>
                  </w:pPr>
                  <w:r w:rsidRPr="00295D40">
                    <w:rPr>
                      <w:sz w:val="22"/>
                      <w:szCs w:val="22"/>
                    </w:rPr>
                    <w:t>211 476</w:t>
                  </w:r>
                </w:p>
              </w:tc>
            </w:tr>
            <w:tr w:rsidR="00295D40" w:rsidRPr="00295D40" w:rsidTr="00AD111A">
              <w:tc>
                <w:tcPr>
                  <w:tcW w:w="1515" w:type="dxa"/>
                </w:tcPr>
                <w:p w:rsidR="00AD111A" w:rsidRPr="00295D40" w:rsidRDefault="005A7B34" w:rsidP="00AD111A">
                  <w:pPr>
                    <w:jc w:val="right"/>
                    <w:rPr>
                      <w:sz w:val="22"/>
                      <w:szCs w:val="22"/>
                    </w:rPr>
                  </w:pPr>
                  <w:r w:rsidRPr="00295D40">
                    <w:rPr>
                      <w:sz w:val="22"/>
                      <w:szCs w:val="22"/>
                    </w:rPr>
                    <w:t>2012</w:t>
                  </w:r>
                </w:p>
              </w:tc>
              <w:tc>
                <w:tcPr>
                  <w:tcW w:w="1745" w:type="dxa"/>
                </w:tcPr>
                <w:p w:rsidR="00AD111A" w:rsidRPr="00295D40" w:rsidRDefault="005A7B34" w:rsidP="005A7B34">
                  <w:pPr>
                    <w:jc w:val="right"/>
                    <w:rPr>
                      <w:sz w:val="22"/>
                      <w:szCs w:val="22"/>
                    </w:rPr>
                  </w:pPr>
                  <w:r w:rsidRPr="00295D40">
                    <w:rPr>
                      <w:sz w:val="22"/>
                      <w:szCs w:val="22"/>
                    </w:rPr>
                    <w:t>185 146</w:t>
                  </w:r>
                </w:p>
              </w:tc>
            </w:tr>
            <w:tr w:rsidR="00295D40" w:rsidRPr="00295D40" w:rsidTr="00AD111A">
              <w:tc>
                <w:tcPr>
                  <w:tcW w:w="1515" w:type="dxa"/>
                </w:tcPr>
                <w:p w:rsidR="00AD111A" w:rsidRPr="00295D40" w:rsidRDefault="005A7B34" w:rsidP="00AD111A">
                  <w:pPr>
                    <w:jc w:val="right"/>
                    <w:rPr>
                      <w:sz w:val="22"/>
                      <w:szCs w:val="22"/>
                    </w:rPr>
                  </w:pPr>
                  <w:r w:rsidRPr="00295D40">
                    <w:rPr>
                      <w:sz w:val="22"/>
                      <w:szCs w:val="22"/>
                    </w:rPr>
                    <w:t xml:space="preserve">2013 </w:t>
                  </w:r>
                  <w:r w:rsidRPr="00295D40">
                    <w:rPr>
                      <w:i/>
                      <w:sz w:val="22"/>
                      <w:szCs w:val="22"/>
                    </w:rPr>
                    <w:t>(provizoriski)</w:t>
                  </w:r>
                </w:p>
              </w:tc>
              <w:tc>
                <w:tcPr>
                  <w:tcW w:w="1745" w:type="dxa"/>
                </w:tcPr>
                <w:p w:rsidR="00AD111A" w:rsidRPr="00295D40" w:rsidRDefault="005A7B34" w:rsidP="005A7B34">
                  <w:pPr>
                    <w:jc w:val="right"/>
                    <w:rPr>
                      <w:sz w:val="22"/>
                      <w:szCs w:val="22"/>
                    </w:rPr>
                  </w:pPr>
                  <w:r w:rsidRPr="00295D40">
                    <w:rPr>
                      <w:sz w:val="22"/>
                      <w:szCs w:val="22"/>
                    </w:rPr>
                    <w:t>158 490</w:t>
                  </w:r>
                </w:p>
              </w:tc>
            </w:tr>
          </w:tbl>
          <w:p w:rsidR="00A16645" w:rsidRPr="00295D40" w:rsidRDefault="00A16645" w:rsidP="00B43014">
            <w:pPr>
              <w:jc w:val="both"/>
              <w:rPr>
                <w:sz w:val="22"/>
                <w:szCs w:val="22"/>
              </w:rPr>
            </w:pPr>
          </w:p>
          <w:p w:rsidR="00B76D85" w:rsidRPr="00295D40" w:rsidRDefault="004A3071" w:rsidP="007221AE">
            <w:pPr>
              <w:jc w:val="both"/>
              <w:rPr>
                <w:i/>
                <w:sz w:val="22"/>
                <w:szCs w:val="22"/>
              </w:rPr>
            </w:pPr>
            <w:r w:rsidRPr="00295D40">
              <w:rPr>
                <w:sz w:val="22"/>
                <w:szCs w:val="22"/>
              </w:rPr>
              <w:t xml:space="preserve">Analizējot dzīvokļa pabalsta </w:t>
            </w:r>
            <w:r w:rsidR="00646869" w:rsidRPr="00295D40">
              <w:rPr>
                <w:sz w:val="22"/>
                <w:szCs w:val="22"/>
              </w:rPr>
              <w:t xml:space="preserve">saņēmēju dinamiku </w:t>
            </w:r>
            <w:r w:rsidRPr="00295D40">
              <w:rPr>
                <w:sz w:val="22"/>
                <w:szCs w:val="22"/>
              </w:rPr>
              <w:t xml:space="preserve">pa </w:t>
            </w:r>
            <w:r w:rsidRPr="00295D40">
              <w:rPr>
                <w:i/>
                <w:sz w:val="22"/>
                <w:szCs w:val="22"/>
              </w:rPr>
              <w:t>mēnešiem</w:t>
            </w:r>
            <w:r w:rsidR="00646869" w:rsidRPr="00295D40">
              <w:rPr>
                <w:sz w:val="22"/>
                <w:szCs w:val="22"/>
              </w:rPr>
              <w:t xml:space="preserve">, redzam, ka 2012. gadā </w:t>
            </w:r>
            <w:r w:rsidR="003E1775" w:rsidRPr="00295D40">
              <w:rPr>
                <w:sz w:val="22"/>
                <w:szCs w:val="22"/>
              </w:rPr>
              <w:t>dzīvokļa</w:t>
            </w:r>
            <w:r w:rsidR="00646869" w:rsidRPr="00295D40">
              <w:rPr>
                <w:sz w:val="22"/>
                <w:szCs w:val="22"/>
              </w:rPr>
              <w:t xml:space="preserve"> pabalstu </w:t>
            </w:r>
            <w:r w:rsidR="003E1775" w:rsidRPr="00295D40">
              <w:rPr>
                <w:sz w:val="22"/>
                <w:szCs w:val="22"/>
              </w:rPr>
              <w:t xml:space="preserve">saņēmēju maksimālais skaits </w:t>
            </w:r>
            <w:r w:rsidR="00646869" w:rsidRPr="00295D40">
              <w:rPr>
                <w:sz w:val="22"/>
                <w:szCs w:val="22"/>
              </w:rPr>
              <w:t xml:space="preserve">– 67 tūkst. personas </w:t>
            </w:r>
            <w:r w:rsidR="003E1775" w:rsidRPr="00295D40">
              <w:rPr>
                <w:sz w:val="22"/>
                <w:szCs w:val="22"/>
              </w:rPr>
              <w:t xml:space="preserve">bija </w:t>
            </w:r>
            <w:r w:rsidR="00646869" w:rsidRPr="00295D40">
              <w:rPr>
                <w:sz w:val="22"/>
                <w:szCs w:val="22"/>
              </w:rPr>
              <w:t>martā, bet minimālais – 33,3 tūkst. personas jūlijā</w:t>
            </w:r>
            <w:r w:rsidR="007221AE" w:rsidRPr="00295D40">
              <w:rPr>
                <w:sz w:val="22"/>
                <w:szCs w:val="22"/>
              </w:rPr>
              <w:t>.</w:t>
            </w:r>
            <w:r w:rsidR="00646869" w:rsidRPr="00295D40">
              <w:rPr>
                <w:sz w:val="22"/>
                <w:szCs w:val="22"/>
              </w:rPr>
              <w:t xml:space="preserve"> </w:t>
            </w:r>
            <w:r w:rsidR="007221AE" w:rsidRPr="00295D40">
              <w:rPr>
                <w:sz w:val="22"/>
                <w:szCs w:val="22"/>
              </w:rPr>
              <w:t>S</w:t>
            </w:r>
            <w:r w:rsidR="00646869" w:rsidRPr="00295D40">
              <w:rPr>
                <w:sz w:val="22"/>
                <w:szCs w:val="22"/>
              </w:rPr>
              <w:t xml:space="preserve">avukārt 2013.gadā dzīvokļa pabalstu saņēmēju skaits ir ievērojami samazinājies – maksimālais skaits </w:t>
            </w:r>
            <w:r w:rsidR="003E1775" w:rsidRPr="00295D40">
              <w:rPr>
                <w:sz w:val="22"/>
                <w:szCs w:val="22"/>
              </w:rPr>
              <w:t xml:space="preserve">59,1 tūkst. arī bija martā, bet minimālais – 26,6 tūkst. personas </w:t>
            </w:r>
            <w:r w:rsidR="00A161B4" w:rsidRPr="00295D40">
              <w:rPr>
                <w:sz w:val="22"/>
                <w:szCs w:val="22"/>
              </w:rPr>
              <w:t>augustā.</w:t>
            </w:r>
            <w:r w:rsidR="003E1775" w:rsidRPr="00295D40">
              <w:rPr>
                <w:sz w:val="22"/>
                <w:szCs w:val="22"/>
              </w:rPr>
              <w:t xml:space="preserve">  </w:t>
            </w:r>
          </w:p>
        </w:tc>
      </w:tr>
      <w:tr w:rsidR="00295D40" w:rsidRPr="00295D40" w:rsidTr="00B66418">
        <w:tc>
          <w:tcPr>
            <w:tcW w:w="396" w:type="dxa"/>
            <w:shd w:val="clear" w:color="auto" w:fill="auto"/>
          </w:tcPr>
          <w:p w:rsidR="00B76D85" w:rsidRPr="00295D40" w:rsidRDefault="00B76D85" w:rsidP="00242D7D">
            <w:pPr>
              <w:rPr>
                <w:sz w:val="22"/>
                <w:szCs w:val="22"/>
              </w:rPr>
            </w:pPr>
            <w:r w:rsidRPr="00295D40">
              <w:rPr>
                <w:sz w:val="22"/>
                <w:szCs w:val="22"/>
              </w:rPr>
              <w:t xml:space="preserve">2. </w:t>
            </w:r>
          </w:p>
        </w:tc>
        <w:tc>
          <w:tcPr>
            <w:tcW w:w="3072" w:type="dxa"/>
            <w:shd w:val="clear" w:color="auto" w:fill="auto"/>
          </w:tcPr>
          <w:p w:rsidR="00B76D85" w:rsidRPr="00295D40" w:rsidRDefault="007513BD" w:rsidP="00242D7D">
            <w:pPr>
              <w:rPr>
                <w:sz w:val="22"/>
                <w:szCs w:val="22"/>
              </w:rPr>
            </w:pPr>
            <w:r w:rsidRPr="00295D40">
              <w:rPr>
                <w:sz w:val="22"/>
                <w:szCs w:val="22"/>
              </w:rPr>
              <w:t>Citas sabiedrības grupas (bez mērķgrupas), kuras tiesiskais regulējuma arī ietekmē vai varētu ietekmēt</w:t>
            </w:r>
          </w:p>
        </w:tc>
        <w:tc>
          <w:tcPr>
            <w:tcW w:w="5819" w:type="dxa"/>
            <w:shd w:val="clear" w:color="auto" w:fill="auto"/>
          </w:tcPr>
          <w:p w:rsidR="00B76D85" w:rsidRPr="00295D40" w:rsidRDefault="007221AE" w:rsidP="00B66418">
            <w:pPr>
              <w:jc w:val="both"/>
              <w:rPr>
                <w:sz w:val="22"/>
                <w:szCs w:val="22"/>
              </w:rPr>
            </w:pPr>
            <w:r w:rsidRPr="00295D40">
              <w:rPr>
                <w:iCs/>
                <w:sz w:val="22"/>
                <w:szCs w:val="22"/>
              </w:rPr>
              <w:t>Nav.</w:t>
            </w:r>
          </w:p>
        </w:tc>
      </w:tr>
      <w:tr w:rsidR="00295D40" w:rsidRPr="00295D40" w:rsidTr="00B66418">
        <w:tc>
          <w:tcPr>
            <w:tcW w:w="396" w:type="dxa"/>
            <w:shd w:val="clear" w:color="auto" w:fill="auto"/>
          </w:tcPr>
          <w:p w:rsidR="00B76D85" w:rsidRPr="00295D40" w:rsidRDefault="00B76D85" w:rsidP="00242D7D">
            <w:pPr>
              <w:rPr>
                <w:sz w:val="22"/>
                <w:szCs w:val="22"/>
              </w:rPr>
            </w:pPr>
            <w:r w:rsidRPr="00295D40">
              <w:rPr>
                <w:sz w:val="22"/>
                <w:szCs w:val="22"/>
              </w:rPr>
              <w:t xml:space="preserve">3. </w:t>
            </w:r>
          </w:p>
        </w:tc>
        <w:tc>
          <w:tcPr>
            <w:tcW w:w="3072" w:type="dxa"/>
            <w:shd w:val="clear" w:color="auto" w:fill="auto"/>
          </w:tcPr>
          <w:p w:rsidR="00B76D85" w:rsidRPr="00295D40" w:rsidRDefault="007513BD" w:rsidP="00242D7D">
            <w:pPr>
              <w:rPr>
                <w:sz w:val="22"/>
                <w:szCs w:val="22"/>
              </w:rPr>
            </w:pPr>
            <w:r w:rsidRPr="00295D40">
              <w:rPr>
                <w:sz w:val="22"/>
                <w:szCs w:val="22"/>
              </w:rPr>
              <w:t>Tiesiskā regulējuma finansiālā ietekme</w:t>
            </w:r>
          </w:p>
        </w:tc>
        <w:tc>
          <w:tcPr>
            <w:tcW w:w="5819" w:type="dxa"/>
            <w:shd w:val="clear" w:color="auto" w:fill="auto"/>
          </w:tcPr>
          <w:p w:rsidR="00B76D85" w:rsidRPr="00295D40" w:rsidRDefault="00E05011" w:rsidP="00917806">
            <w:pPr>
              <w:jc w:val="both"/>
              <w:rPr>
                <w:sz w:val="22"/>
                <w:szCs w:val="22"/>
              </w:rPr>
            </w:pPr>
            <w:r w:rsidRPr="00295D40">
              <w:rPr>
                <w:sz w:val="22"/>
                <w:szCs w:val="22"/>
              </w:rPr>
              <w:t xml:space="preserve">Kopumā </w:t>
            </w:r>
            <w:r w:rsidR="009D7CEE" w:rsidRPr="00295D40">
              <w:rPr>
                <w:sz w:val="22"/>
                <w:szCs w:val="22"/>
              </w:rPr>
              <w:t>plānot</w:t>
            </w:r>
            <w:r w:rsidR="00B32CC4" w:rsidRPr="00295D40">
              <w:rPr>
                <w:sz w:val="22"/>
                <w:szCs w:val="22"/>
              </w:rPr>
              <w:t>a</w:t>
            </w:r>
            <w:r w:rsidR="009D7CEE" w:rsidRPr="00295D40">
              <w:rPr>
                <w:sz w:val="22"/>
                <w:szCs w:val="22"/>
              </w:rPr>
              <w:t>is</w:t>
            </w:r>
            <w:r w:rsidRPr="00295D40">
              <w:rPr>
                <w:sz w:val="22"/>
                <w:szCs w:val="22"/>
              </w:rPr>
              <w:t xml:space="preserve"> sociālā atbalsta instrument</w:t>
            </w:r>
            <w:r w:rsidR="006C05E3" w:rsidRPr="00295D40">
              <w:rPr>
                <w:sz w:val="22"/>
                <w:szCs w:val="22"/>
              </w:rPr>
              <w:t>s</w:t>
            </w:r>
            <w:r w:rsidRPr="00295D40">
              <w:rPr>
                <w:sz w:val="22"/>
                <w:szCs w:val="22"/>
              </w:rPr>
              <w:t xml:space="preserve"> laika periodam līdz 2016. gadam būs</w:t>
            </w:r>
            <w:r w:rsidRPr="00295D40">
              <w:rPr>
                <w:b/>
                <w:bCs/>
                <w:sz w:val="22"/>
                <w:szCs w:val="22"/>
              </w:rPr>
              <w:t xml:space="preserve"> 14,09 milj. </w:t>
            </w:r>
            <w:proofErr w:type="spellStart"/>
            <w:r w:rsidR="00C725CE" w:rsidRPr="00295D40">
              <w:rPr>
                <w:b/>
                <w:bCs/>
                <w:i/>
                <w:sz w:val="22"/>
                <w:szCs w:val="22"/>
              </w:rPr>
              <w:t>euro</w:t>
            </w:r>
            <w:proofErr w:type="spellEnd"/>
            <w:r w:rsidR="00CA10C1" w:rsidRPr="00295D40">
              <w:rPr>
                <w:b/>
                <w:bCs/>
                <w:sz w:val="22"/>
                <w:szCs w:val="22"/>
              </w:rPr>
              <w:t xml:space="preserve"> </w:t>
            </w:r>
            <w:r w:rsidR="00CA10C1" w:rsidRPr="00295D40">
              <w:rPr>
                <w:bCs/>
                <w:sz w:val="22"/>
                <w:szCs w:val="22"/>
              </w:rPr>
              <w:t>(9,9 milj. lati)</w:t>
            </w:r>
            <w:r w:rsidRPr="00295D40">
              <w:rPr>
                <w:sz w:val="22"/>
                <w:szCs w:val="22"/>
              </w:rPr>
              <w:t xml:space="preserve">, no kuriem </w:t>
            </w:r>
            <w:r w:rsidRPr="00295D40">
              <w:rPr>
                <w:b/>
                <w:sz w:val="22"/>
                <w:szCs w:val="22"/>
              </w:rPr>
              <w:t>3,8 milj.</w:t>
            </w:r>
            <w:r w:rsidRPr="00295D40">
              <w:rPr>
                <w:sz w:val="22"/>
                <w:szCs w:val="22"/>
              </w:rPr>
              <w:t xml:space="preserve"> </w:t>
            </w:r>
            <w:proofErr w:type="spellStart"/>
            <w:r w:rsidR="00C725CE" w:rsidRPr="00295D40">
              <w:rPr>
                <w:i/>
                <w:sz w:val="22"/>
                <w:szCs w:val="22"/>
              </w:rPr>
              <w:t>euro</w:t>
            </w:r>
            <w:proofErr w:type="spellEnd"/>
            <w:r w:rsidRPr="00295D40">
              <w:rPr>
                <w:sz w:val="22"/>
                <w:szCs w:val="22"/>
              </w:rPr>
              <w:t xml:space="preserve"> </w:t>
            </w:r>
            <w:r w:rsidR="00CA10C1" w:rsidRPr="00295D40">
              <w:rPr>
                <w:sz w:val="22"/>
                <w:szCs w:val="22"/>
              </w:rPr>
              <w:t xml:space="preserve">(2,7 milj. lati) </w:t>
            </w:r>
            <w:r w:rsidRPr="00295D40">
              <w:rPr>
                <w:sz w:val="22"/>
                <w:szCs w:val="22"/>
              </w:rPr>
              <w:t xml:space="preserve">tiktu izmaksāti pašvaldībām mērķdotāciju veidā 2014. gadā, sākot ar 1. aprīli, kad tiks atvērts elektroenerģijas tirgus, kā arī </w:t>
            </w:r>
            <w:r w:rsidRPr="00295D40">
              <w:rPr>
                <w:b/>
                <w:sz w:val="22"/>
                <w:szCs w:val="22"/>
              </w:rPr>
              <w:t xml:space="preserve">5,12 milj. </w:t>
            </w:r>
            <w:proofErr w:type="spellStart"/>
            <w:r w:rsidR="00C725CE" w:rsidRPr="00295D40">
              <w:rPr>
                <w:b/>
                <w:i/>
                <w:sz w:val="22"/>
                <w:szCs w:val="22"/>
              </w:rPr>
              <w:t>euro</w:t>
            </w:r>
            <w:proofErr w:type="spellEnd"/>
            <w:r w:rsidRPr="00295D40">
              <w:rPr>
                <w:sz w:val="22"/>
                <w:szCs w:val="22"/>
              </w:rPr>
              <w:t xml:space="preserve"> </w:t>
            </w:r>
            <w:r w:rsidR="00CA10C1" w:rsidRPr="00295D40">
              <w:rPr>
                <w:sz w:val="22"/>
                <w:szCs w:val="22"/>
              </w:rPr>
              <w:t xml:space="preserve">(3,6 milj. lati) </w:t>
            </w:r>
            <w:r w:rsidRPr="00295D40">
              <w:rPr>
                <w:sz w:val="22"/>
                <w:szCs w:val="22"/>
              </w:rPr>
              <w:t xml:space="preserve">2015. gadā un </w:t>
            </w:r>
            <w:r w:rsidRPr="00295D40">
              <w:rPr>
                <w:b/>
                <w:sz w:val="22"/>
                <w:szCs w:val="22"/>
              </w:rPr>
              <w:t>5,12 milj.</w:t>
            </w:r>
            <w:r w:rsidR="0092748C" w:rsidRPr="00295D40">
              <w:rPr>
                <w:b/>
                <w:i/>
                <w:sz w:val="22"/>
                <w:szCs w:val="22"/>
              </w:rPr>
              <w:t xml:space="preserve"> </w:t>
            </w:r>
            <w:proofErr w:type="spellStart"/>
            <w:r w:rsidR="0092748C" w:rsidRPr="00295D40">
              <w:rPr>
                <w:b/>
                <w:i/>
                <w:sz w:val="22"/>
                <w:szCs w:val="22"/>
              </w:rPr>
              <w:t>euro</w:t>
            </w:r>
            <w:proofErr w:type="spellEnd"/>
            <w:r w:rsidRPr="00295D40">
              <w:rPr>
                <w:sz w:val="22"/>
                <w:szCs w:val="22"/>
              </w:rPr>
              <w:t xml:space="preserve"> </w:t>
            </w:r>
            <w:r w:rsidR="00CA10C1" w:rsidRPr="00295D40">
              <w:rPr>
                <w:sz w:val="22"/>
                <w:szCs w:val="22"/>
              </w:rPr>
              <w:t xml:space="preserve">(3,6 milj. lati) </w:t>
            </w:r>
            <w:r w:rsidRPr="00295D40">
              <w:rPr>
                <w:sz w:val="22"/>
                <w:szCs w:val="22"/>
              </w:rPr>
              <w:t>2016. gadā. </w:t>
            </w:r>
          </w:p>
          <w:p w:rsidR="009B3F71" w:rsidRPr="00295D40" w:rsidRDefault="005F6390" w:rsidP="00917806">
            <w:pPr>
              <w:jc w:val="both"/>
              <w:rPr>
                <w:sz w:val="22"/>
                <w:szCs w:val="22"/>
              </w:rPr>
            </w:pPr>
            <w:r w:rsidRPr="00295D40">
              <w:rPr>
                <w:sz w:val="22"/>
                <w:szCs w:val="22"/>
              </w:rPr>
              <w:t>Ņemot vērā</w:t>
            </w:r>
            <w:r w:rsidR="0001202E" w:rsidRPr="00295D40">
              <w:rPr>
                <w:sz w:val="22"/>
                <w:szCs w:val="22"/>
              </w:rPr>
              <w:t xml:space="preserve"> likumā „Par vidēja termiņa budžeta ietvaru 2014., 2015. un 2016. gadam” un</w:t>
            </w:r>
            <w:r w:rsidRPr="00295D40">
              <w:rPr>
                <w:sz w:val="22"/>
                <w:szCs w:val="22"/>
              </w:rPr>
              <w:t xml:space="preserve"> </w:t>
            </w:r>
            <w:r w:rsidR="0001202E" w:rsidRPr="00295D40">
              <w:rPr>
                <w:sz w:val="22"/>
                <w:szCs w:val="22"/>
              </w:rPr>
              <w:t xml:space="preserve">likumā „Par valsts budžetu 2014. gadam” paredzētā </w:t>
            </w:r>
            <w:r w:rsidR="0001202E" w:rsidRPr="00295D40">
              <w:rPr>
                <w:sz w:val="22"/>
                <w:szCs w:val="22"/>
                <w:shd w:val="clear" w:color="auto" w:fill="FFFFFF"/>
              </w:rPr>
              <w:t xml:space="preserve">finansējuma </w:t>
            </w:r>
            <w:r w:rsidR="00A33410" w:rsidRPr="00295D40">
              <w:rPr>
                <w:sz w:val="22"/>
                <w:szCs w:val="22"/>
                <w:shd w:val="clear" w:color="auto" w:fill="FFFFFF"/>
              </w:rPr>
              <w:t xml:space="preserve">kopējo </w:t>
            </w:r>
            <w:r w:rsidR="0001202E" w:rsidRPr="00295D40">
              <w:rPr>
                <w:sz w:val="22"/>
                <w:szCs w:val="22"/>
                <w:shd w:val="clear" w:color="auto" w:fill="FFFFFF"/>
              </w:rPr>
              <w:t>apmēru</w:t>
            </w:r>
            <w:r w:rsidR="00A33410" w:rsidRPr="00295D40">
              <w:rPr>
                <w:sz w:val="22"/>
                <w:szCs w:val="22"/>
                <w:shd w:val="clear" w:color="auto" w:fill="FFFFFF"/>
              </w:rPr>
              <w:t xml:space="preserve"> un dzīvokļa pabalstiem izlieto līdzekļu apmēra dinamiku laika periodā no </w:t>
            </w:r>
            <w:r w:rsidR="00A33410" w:rsidRPr="00295D40">
              <w:rPr>
                <w:sz w:val="22"/>
                <w:szCs w:val="22"/>
                <w:shd w:val="clear" w:color="auto" w:fill="FFFFFF"/>
              </w:rPr>
              <w:lastRenderedPageBreak/>
              <w:t>2010.gada līdz 2013.gadam (11 mēneši)</w:t>
            </w:r>
            <w:r w:rsidR="0001202E" w:rsidRPr="00295D40">
              <w:rPr>
                <w:sz w:val="22"/>
                <w:szCs w:val="22"/>
                <w:shd w:val="clear" w:color="auto" w:fill="FFFFFF"/>
              </w:rPr>
              <w:t>, tika modelēts līdzfinansējuma apmērs</w:t>
            </w:r>
            <w:r w:rsidR="00A33410" w:rsidRPr="00295D40">
              <w:rPr>
                <w:sz w:val="22"/>
                <w:szCs w:val="22"/>
                <w:shd w:val="clear" w:color="auto" w:fill="FFFFFF"/>
              </w:rPr>
              <w:t>:</w:t>
            </w:r>
          </w:p>
          <w:tbl>
            <w:tblPr>
              <w:tblW w:w="5740" w:type="dxa"/>
              <w:tblLook w:val="04A0" w:firstRow="1" w:lastRow="0" w:firstColumn="1" w:lastColumn="0" w:noHBand="0" w:noVBand="1"/>
            </w:tblPr>
            <w:tblGrid>
              <w:gridCol w:w="1494"/>
              <w:gridCol w:w="1134"/>
              <w:gridCol w:w="992"/>
              <w:gridCol w:w="992"/>
              <w:gridCol w:w="1128"/>
            </w:tblGrid>
            <w:tr w:rsidR="00295D40" w:rsidRPr="00295D40" w:rsidTr="005F6390">
              <w:trPr>
                <w:trHeight w:val="510"/>
              </w:trPr>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F71" w:rsidRPr="00295D40" w:rsidRDefault="009B3F71">
                  <w:pPr>
                    <w:rPr>
                      <w:sz w:val="20"/>
                      <w:szCs w:val="20"/>
                    </w:rPr>
                  </w:pPr>
                  <w:r w:rsidRPr="00295D40">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B3F71" w:rsidRPr="00295D40" w:rsidRDefault="009B3F71">
                  <w:pPr>
                    <w:jc w:val="center"/>
                    <w:rPr>
                      <w:sz w:val="16"/>
                      <w:szCs w:val="16"/>
                    </w:rPr>
                  </w:pPr>
                  <w:r w:rsidRPr="00295D40">
                    <w:rPr>
                      <w:sz w:val="16"/>
                      <w:szCs w:val="16"/>
                    </w:rPr>
                    <w:t>2010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B3F71" w:rsidRPr="00295D40" w:rsidRDefault="009B3F71">
                  <w:pPr>
                    <w:jc w:val="center"/>
                    <w:rPr>
                      <w:sz w:val="16"/>
                      <w:szCs w:val="16"/>
                    </w:rPr>
                  </w:pPr>
                  <w:r w:rsidRPr="00295D40">
                    <w:rPr>
                      <w:sz w:val="16"/>
                      <w:szCs w:val="16"/>
                    </w:rPr>
                    <w:t>2011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B3F71" w:rsidRPr="00295D40" w:rsidRDefault="009B3F71">
                  <w:pPr>
                    <w:jc w:val="center"/>
                    <w:rPr>
                      <w:sz w:val="16"/>
                      <w:szCs w:val="16"/>
                    </w:rPr>
                  </w:pPr>
                  <w:r w:rsidRPr="00295D40">
                    <w:rPr>
                      <w:sz w:val="16"/>
                      <w:szCs w:val="16"/>
                    </w:rPr>
                    <w:t>2012</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9B3F71" w:rsidRPr="00295D40" w:rsidRDefault="009B3F71" w:rsidP="00252C14">
                  <w:pPr>
                    <w:jc w:val="center"/>
                    <w:rPr>
                      <w:sz w:val="16"/>
                      <w:szCs w:val="16"/>
                    </w:rPr>
                  </w:pPr>
                  <w:r w:rsidRPr="00295D40">
                    <w:rPr>
                      <w:sz w:val="16"/>
                      <w:szCs w:val="16"/>
                    </w:rPr>
                    <w:t>2013</w:t>
                  </w:r>
                  <w:r w:rsidR="006C493C" w:rsidRPr="00295D40">
                    <w:rPr>
                      <w:sz w:val="16"/>
                      <w:szCs w:val="16"/>
                    </w:rPr>
                    <w:t xml:space="preserve"> (</w:t>
                  </w:r>
                  <w:proofErr w:type="spellStart"/>
                  <w:r w:rsidR="006C493C" w:rsidRPr="00295D40">
                    <w:rPr>
                      <w:sz w:val="16"/>
                      <w:szCs w:val="16"/>
                    </w:rPr>
                    <w:t>pr</w:t>
                  </w:r>
                  <w:r w:rsidR="00252C14" w:rsidRPr="00295D40">
                    <w:rPr>
                      <w:sz w:val="16"/>
                      <w:szCs w:val="16"/>
                    </w:rPr>
                    <w:t>o</w:t>
                  </w:r>
                  <w:r w:rsidR="006C493C" w:rsidRPr="00295D40">
                    <w:rPr>
                      <w:sz w:val="16"/>
                      <w:szCs w:val="16"/>
                    </w:rPr>
                    <w:t>viz</w:t>
                  </w:r>
                  <w:proofErr w:type="spellEnd"/>
                  <w:r w:rsidR="006C493C" w:rsidRPr="00295D40">
                    <w:rPr>
                      <w:sz w:val="16"/>
                      <w:szCs w:val="16"/>
                    </w:rPr>
                    <w:t>.)</w:t>
                  </w:r>
                </w:p>
              </w:tc>
            </w:tr>
            <w:tr w:rsidR="00295D40" w:rsidRPr="00295D40" w:rsidTr="005F6390">
              <w:trPr>
                <w:trHeight w:val="780"/>
              </w:trPr>
              <w:tc>
                <w:tcPr>
                  <w:tcW w:w="1494" w:type="dxa"/>
                  <w:tcBorders>
                    <w:top w:val="nil"/>
                    <w:left w:val="single" w:sz="4" w:space="0" w:color="auto"/>
                    <w:bottom w:val="single" w:sz="4" w:space="0" w:color="auto"/>
                    <w:right w:val="single" w:sz="4" w:space="0" w:color="auto"/>
                  </w:tcBorders>
                  <w:shd w:val="clear" w:color="auto" w:fill="auto"/>
                  <w:vAlign w:val="bottom"/>
                  <w:hideMark/>
                </w:tcPr>
                <w:p w:rsidR="009B3F71" w:rsidRPr="00295D40" w:rsidRDefault="009B3F71">
                  <w:pPr>
                    <w:rPr>
                      <w:b/>
                      <w:bCs/>
                      <w:sz w:val="18"/>
                      <w:szCs w:val="18"/>
                    </w:rPr>
                  </w:pPr>
                  <w:r w:rsidRPr="00295D40">
                    <w:rPr>
                      <w:b/>
                      <w:bCs/>
                      <w:sz w:val="18"/>
                      <w:szCs w:val="18"/>
                    </w:rPr>
                    <w:t>Dzīvokļa pabalstam izlietotie līdzekļi (</w:t>
                  </w:r>
                  <w:proofErr w:type="spellStart"/>
                  <w:r w:rsidRPr="00295D40">
                    <w:rPr>
                      <w:b/>
                      <w:bCs/>
                      <w:i/>
                      <w:sz w:val="18"/>
                      <w:szCs w:val="18"/>
                    </w:rPr>
                    <w:t>euro</w:t>
                  </w:r>
                  <w:proofErr w:type="spellEnd"/>
                  <w:r w:rsidRPr="00295D40">
                    <w:rPr>
                      <w:b/>
                      <w:bCs/>
                      <w:sz w:val="18"/>
                      <w:szCs w:val="18"/>
                    </w:rPr>
                    <w:t>)</w:t>
                  </w:r>
                </w:p>
              </w:tc>
              <w:tc>
                <w:tcPr>
                  <w:tcW w:w="1134" w:type="dxa"/>
                  <w:tcBorders>
                    <w:top w:val="nil"/>
                    <w:left w:val="nil"/>
                    <w:bottom w:val="single" w:sz="4" w:space="0" w:color="auto"/>
                    <w:right w:val="single" w:sz="4" w:space="0" w:color="auto"/>
                  </w:tcBorders>
                  <w:shd w:val="clear" w:color="auto" w:fill="auto"/>
                  <w:noWrap/>
                  <w:vAlign w:val="bottom"/>
                  <w:hideMark/>
                </w:tcPr>
                <w:p w:rsidR="009B3F71" w:rsidRPr="00295D40" w:rsidRDefault="009B3F71">
                  <w:pPr>
                    <w:jc w:val="right"/>
                    <w:rPr>
                      <w:sz w:val="16"/>
                      <w:szCs w:val="16"/>
                    </w:rPr>
                  </w:pPr>
                  <w:r w:rsidRPr="00295D40">
                    <w:rPr>
                      <w:sz w:val="16"/>
                      <w:szCs w:val="16"/>
                    </w:rPr>
                    <w:t>24 556 721</w:t>
                  </w:r>
                </w:p>
              </w:tc>
              <w:tc>
                <w:tcPr>
                  <w:tcW w:w="992" w:type="dxa"/>
                  <w:tcBorders>
                    <w:top w:val="nil"/>
                    <w:left w:val="nil"/>
                    <w:bottom w:val="single" w:sz="4" w:space="0" w:color="auto"/>
                    <w:right w:val="single" w:sz="4" w:space="0" w:color="auto"/>
                  </w:tcBorders>
                  <w:shd w:val="clear" w:color="auto" w:fill="auto"/>
                  <w:noWrap/>
                  <w:vAlign w:val="bottom"/>
                  <w:hideMark/>
                </w:tcPr>
                <w:p w:rsidR="009B3F71" w:rsidRPr="00295D40" w:rsidRDefault="009B3F71">
                  <w:pPr>
                    <w:jc w:val="right"/>
                    <w:rPr>
                      <w:sz w:val="16"/>
                      <w:szCs w:val="16"/>
                    </w:rPr>
                  </w:pPr>
                  <w:r w:rsidRPr="00295D40">
                    <w:rPr>
                      <w:sz w:val="16"/>
                      <w:szCs w:val="16"/>
                    </w:rPr>
                    <w:t>28 527 951</w:t>
                  </w:r>
                </w:p>
              </w:tc>
              <w:tc>
                <w:tcPr>
                  <w:tcW w:w="992" w:type="dxa"/>
                  <w:tcBorders>
                    <w:top w:val="nil"/>
                    <w:left w:val="nil"/>
                    <w:bottom w:val="single" w:sz="4" w:space="0" w:color="auto"/>
                    <w:right w:val="single" w:sz="4" w:space="0" w:color="auto"/>
                  </w:tcBorders>
                  <w:shd w:val="clear" w:color="auto" w:fill="auto"/>
                  <w:noWrap/>
                  <w:vAlign w:val="bottom"/>
                  <w:hideMark/>
                </w:tcPr>
                <w:p w:rsidR="009B3F71" w:rsidRPr="00295D40" w:rsidRDefault="009B3F71">
                  <w:pPr>
                    <w:jc w:val="right"/>
                    <w:rPr>
                      <w:sz w:val="16"/>
                      <w:szCs w:val="16"/>
                    </w:rPr>
                  </w:pPr>
                  <w:r w:rsidRPr="00295D40">
                    <w:rPr>
                      <w:sz w:val="16"/>
                      <w:szCs w:val="16"/>
                    </w:rPr>
                    <w:t>26 743 486</w:t>
                  </w:r>
                </w:p>
              </w:tc>
              <w:tc>
                <w:tcPr>
                  <w:tcW w:w="1128" w:type="dxa"/>
                  <w:tcBorders>
                    <w:top w:val="nil"/>
                    <w:left w:val="nil"/>
                    <w:bottom w:val="single" w:sz="4" w:space="0" w:color="auto"/>
                    <w:right w:val="single" w:sz="4" w:space="0" w:color="auto"/>
                  </w:tcBorders>
                  <w:shd w:val="clear" w:color="auto" w:fill="auto"/>
                  <w:noWrap/>
                  <w:vAlign w:val="bottom"/>
                  <w:hideMark/>
                </w:tcPr>
                <w:p w:rsidR="009B3F71" w:rsidRPr="00295D40" w:rsidRDefault="00D118C0">
                  <w:pPr>
                    <w:jc w:val="right"/>
                    <w:rPr>
                      <w:sz w:val="16"/>
                      <w:szCs w:val="16"/>
                    </w:rPr>
                  </w:pPr>
                  <w:r w:rsidRPr="00295D40">
                    <w:rPr>
                      <w:sz w:val="16"/>
                      <w:szCs w:val="16"/>
                    </w:rPr>
                    <w:t>23 371 683</w:t>
                  </w:r>
                </w:p>
              </w:tc>
            </w:tr>
            <w:tr w:rsidR="00295D40" w:rsidRPr="00295D40" w:rsidTr="005F6390">
              <w:trPr>
                <w:trHeight w:val="405"/>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B3F71" w:rsidRPr="00295D40" w:rsidRDefault="009B3F71">
                  <w:pPr>
                    <w:rPr>
                      <w:i/>
                      <w:iCs/>
                      <w:sz w:val="18"/>
                      <w:szCs w:val="18"/>
                    </w:rPr>
                  </w:pPr>
                  <w:proofErr w:type="spellStart"/>
                  <w:r w:rsidRPr="00295D40">
                    <w:rPr>
                      <w:i/>
                      <w:iCs/>
                      <w:sz w:val="18"/>
                      <w:szCs w:val="18"/>
                    </w:rPr>
                    <w:t>Līdzfinasējums</w:t>
                  </w:r>
                  <w:proofErr w:type="spellEnd"/>
                  <w:r w:rsidRPr="00295D40">
                    <w:rPr>
                      <w:i/>
                      <w:iCs/>
                      <w:sz w:val="18"/>
                      <w:szCs w:val="18"/>
                    </w:rPr>
                    <w:t xml:space="preserve"> 20%</w:t>
                  </w:r>
                </w:p>
              </w:tc>
              <w:tc>
                <w:tcPr>
                  <w:tcW w:w="1134" w:type="dxa"/>
                  <w:tcBorders>
                    <w:top w:val="nil"/>
                    <w:left w:val="nil"/>
                    <w:bottom w:val="single" w:sz="4" w:space="0" w:color="auto"/>
                    <w:right w:val="single" w:sz="4" w:space="0" w:color="auto"/>
                  </w:tcBorders>
                  <w:shd w:val="clear" w:color="auto" w:fill="auto"/>
                  <w:noWrap/>
                  <w:vAlign w:val="bottom"/>
                  <w:hideMark/>
                </w:tcPr>
                <w:p w:rsidR="009B3F71" w:rsidRPr="00295D40" w:rsidRDefault="009B3F71">
                  <w:pPr>
                    <w:jc w:val="right"/>
                    <w:rPr>
                      <w:sz w:val="16"/>
                      <w:szCs w:val="16"/>
                    </w:rPr>
                  </w:pPr>
                  <w:r w:rsidRPr="00295D40">
                    <w:rPr>
                      <w:sz w:val="16"/>
                      <w:szCs w:val="16"/>
                    </w:rPr>
                    <w:t>4 911 344</w:t>
                  </w:r>
                </w:p>
              </w:tc>
              <w:tc>
                <w:tcPr>
                  <w:tcW w:w="992" w:type="dxa"/>
                  <w:tcBorders>
                    <w:top w:val="nil"/>
                    <w:left w:val="nil"/>
                    <w:bottom w:val="single" w:sz="4" w:space="0" w:color="auto"/>
                    <w:right w:val="single" w:sz="4" w:space="0" w:color="auto"/>
                  </w:tcBorders>
                  <w:shd w:val="clear" w:color="auto" w:fill="auto"/>
                  <w:noWrap/>
                  <w:vAlign w:val="bottom"/>
                  <w:hideMark/>
                </w:tcPr>
                <w:p w:rsidR="009B3F71" w:rsidRPr="00295D40" w:rsidRDefault="009B3F71">
                  <w:pPr>
                    <w:jc w:val="right"/>
                    <w:rPr>
                      <w:sz w:val="16"/>
                      <w:szCs w:val="16"/>
                    </w:rPr>
                  </w:pPr>
                  <w:r w:rsidRPr="00295D40">
                    <w:rPr>
                      <w:sz w:val="16"/>
                      <w:szCs w:val="16"/>
                    </w:rPr>
                    <w:t>5 705 589</w:t>
                  </w:r>
                </w:p>
              </w:tc>
              <w:tc>
                <w:tcPr>
                  <w:tcW w:w="992" w:type="dxa"/>
                  <w:tcBorders>
                    <w:top w:val="nil"/>
                    <w:left w:val="nil"/>
                    <w:bottom w:val="single" w:sz="4" w:space="0" w:color="auto"/>
                    <w:right w:val="single" w:sz="4" w:space="0" w:color="auto"/>
                  </w:tcBorders>
                  <w:shd w:val="clear" w:color="auto" w:fill="auto"/>
                  <w:noWrap/>
                  <w:vAlign w:val="bottom"/>
                  <w:hideMark/>
                </w:tcPr>
                <w:p w:rsidR="009B3F71" w:rsidRPr="00295D40" w:rsidRDefault="009B3F71">
                  <w:pPr>
                    <w:jc w:val="right"/>
                    <w:rPr>
                      <w:sz w:val="16"/>
                      <w:szCs w:val="16"/>
                    </w:rPr>
                  </w:pPr>
                  <w:r w:rsidRPr="00295D40">
                    <w:rPr>
                      <w:sz w:val="16"/>
                      <w:szCs w:val="16"/>
                    </w:rPr>
                    <w:t>5 348 696</w:t>
                  </w:r>
                </w:p>
              </w:tc>
              <w:tc>
                <w:tcPr>
                  <w:tcW w:w="1128" w:type="dxa"/>
                  <w:tcBorders>
                    <w:top w:val="nil"/>
                    <w:left w:val="nil"/>
                    <w:bottom w:val="single" w:sz="4" w:space="0" w:color="auto"/>
                    <w:right w:val="single" w:sz="4" w:space="0" w:color="auto"/>
                  </w:tcBorders>
                  <w:shd w:val="clear" w:color="auto" w:fill="auto"/>
                  <w:noWrap/>
                  <w:vAlign w:val="bottom"/>
                  <w:hideMark/>
                </w:tcPr>
                <w:p w:rsidR="009B3F71" w:rsidRPr="00295D40" w:rsidRDefault="006C493C">
                  <w:pPr>
                    <w:jc w:val="right"/>
                    <w:rPr>
                      <w:sz w:val="16"/>
                      <w:szCs w:val="16"/>
                    </w:rPr>
                  </w:pPr>
                  <w:r w:rsidRPr="00295D40">
                    <w:rPr>
                      <w:sz w:val="16"/>
                      <w:szCs w:val="16"/>
                    </w:rPr>
                    <w:t>4 074 337</w:t>
                  </w:r>
                </w:p>
              </w:tc>
            </w:tr>
            <w:tr w:rsidR="00295D40" w:rsidRPr="00295D40" w:rsidTr="005F6390">
              <w:trPr>
                <w:trHeight w:val="405"/>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B3F71" w:rsidRPr="00295D40" w:rsidRDefault="009B3F71">
                  <w:pPr>
                    <w:rPr>
                      <w:b/>
                      <w:bCs/>
                      <w:i/>
                      <w:iCs/>
                      <w:sz w:val="18"/>
                      <w:szCs w:val="18"/>
                    </w:rPr>
                  </w:pPr>
                  <w:proofErr w:type="spellStart"/>
                  <w:r w:rsidRPr="00295D40">
                    <w:rPr>
                      <w:b/>
                      <w:bCs/>
                      <w:i/>
                      <w:iCs/>
                      <w:sz w:val="18"/>
                      <w:szCs w:val="18"/>
                    </w:rPr>
                    <w:t>Līdzfinasējums</w:t>
                  </w:r>
                  <w:proofErr w:type="spellEnd"/>
                  <w:r w:rsidRPr="00295D40">
                    <w:rPr>
                      <w:b/>
                      <w:bCs/>
                      <w:i/>
                      <w:iCs/>
                      <w:sz w:val="18"/>
                      <w:szCs w:val="18"/>
                    </w:rPr>
                    <w:t xml:space="preserve"> 15%</w:t>
                  </w:r>
                </w:p>
              </w:tc>
              <w:tc>
                <w:tcPr>
                  <w:tcW w:w="1134" w:type="dxa"/>
                  <w:tcBorders>
                    <w:top w:val="nil"/>
                    <w:left w:val="nil"/>
                    <w:bottom w:val="single" w:sz="4" w:space="0" w:color="auto"/>
                    <w:right w:val="single" w:sz="4" w:space="0" w:color="auto"/>
                  </w:tcBorders>
                  <w:shd w:val="clear" w:color="auto" w:fill="auto"/>
                  <w:noWrap/>
                  <w:vAlign w:val="bottom"/>
                  <w:hideMark/>
                </w:tcPr>
                <w:p w:rsidR="009B3F71" w:rsidRPr="00295D40" w:rsidRDefault="009B3F71">
                  <w:pPr>
                    <w:jc w:val="right"/>
                    <w:rPr>
                      <w:sz w:val="16"/>
                      <w:szCs w:val="16"/>
                    </w:rPr>
                  </w:pPr>
                  <w:r w:rsidRPr="00295D40">
                    <w:rPr>
                      <w:sz w:val="16"/>
                      <w:szCs w:val="16"/>
                    </w:rPr>
                    <w:t>3 683 508</w:t>
                  </w:r>
                </w:p>
              </w:tc>
              <w:tc>
                <w:tcPr>
                  <w:tcW w:w="992" w:type="dxa"/>
                  <w:tcBorders>
                    <w:top w:val="nil"/>
                    <w:left w:val="nil"/>
                    <w:bottom w:val="single" w:sz="4" w:space="0" w:color="auto"/>
                    <w:right w:val="single" w:sz="4" w:space="0" w:color="auto"/>
                  </w:tcBorders>
                  <w:shd w:val="clear" w:color="auto" w:fill="auto"/>
                  <w:noWrap/>
                  <w:vAlign w:val="bottom"/>
                  <w:hideMark/>
                </w:tcPr>
                <w:p w:rsidR="009B3F71" w:rsidRPr="00295D40" w:rsidRDefault="009B3F71">
                  <w:pPr>
                    <w:jc w:val="right"/>
                    <w:rPr>
                      <w:b/>
                      <w:bCs/>
                      <w:sz w:val="16"/>
                      <w:szCs w:val="16"/>
                    </w:rPr>
                  </w:pPr>
                  <w:r w:rsidRPr="00295D40">
                    <w:rPr>
                      <w:b/>
                      <w:bCs/>
                      <w:sz w:val="16"/>
                      <w:szCs w:val="16"/>
                    </w:rPr>
                    <w:t>4 279 192</w:t>
                  </w:r>
                </w:p>
              </w:tc>
              <w:tc>
                <w:tcPr>
                  <w:tcW w:w="992" w:type="dxa"/>
                  <w:tcBorders>
                    <w:top w:val="nil"/>
                    <w:left w:val="nil"/>
                    <w:bottom w:val="single" w:sz="4" w:space="0" w:color="auto"/>
                    <w:right w:val="single" w:sz="4" w:space="0" w:color="auto"/>
                  </w:tcBorders>
                  <w:shd w:val="clear" w:color="auto" w:fill="auto"/>
                  <w:noWrap/>
                  <w:vAlign w:val="bottom"/>
                  <w:hideMark/>
                </w:tcPr>
                <w:p w:rsidR="009B3F71" w:rsidRPr="00295D40" w:rsidRDefault="009B3F71">
                  <w:pPr>
                    <w:jc w:val="right"/>
                    <w:rPr>
                      <w:sz w:val="16"/>
                      <w:szCs w:val="16"/>
                    </w:rPr>
                  </w:pPr>
                  <w:r w:rsidRPr="00295D40">
                    <w:rPr>
                      <w:sz w:val="16"/>
                      <w:szCs w:val="16"/>
                    </w:rPr>
                    <w:t>4 011 522</w:t>
                  </w:r>
                </w:p>
              </w:tc>
              <w:tc>
                <w:tcPr>
                  <w:tcW w:w="1128" w:type="dxa"/>
                  <w:tcBorders>
                    <w:top w:val="nil"/>
                    <w:left w:val="nil"/>
                    <w:bottom w:val="single" w:sz="4" w:space="0" w:color="auto"/>
                    <w:right w:val="single" w:sz="4" w:space="0" w:color="auto"/>
                  </w:tcBorders>
                  <w:shd w:val="clear" w:color="auto" w:fill="auto"/>
                  <w:noWrap/>
                  <w:vAlign w:val="bottom"/>
                  <w:hideMark/>
                </w:tcPr>
                <w:p w:rsidR="009B3F71" w:rsidRPr="00295D40" w:rsidRDefault="006C493C">
                  <w:pPr>
                    <w:jc w:val="right"/>
                    <w:rPr>
                      <w:sz w:val="16"/>
                      <w:szCs w:val="16"/>
                    </w:rPr>
                  </w:pPr>
                  <w:r w:rsidRPr="00295D40">
                    <w:rPr>
                      <w:sz w:val="16"/>
                      <w:szCs w:val="16"/>
                    </w:rPr>
                    <w:t>3 505 752</w:t>
                  </w:r>
                </w:p>
              </w:tc>
            </w:tr>
            <w:tr w:rsidR="00295D40" w:rsidRPr="00295D40" w:rsidTr="005F6390">
              <w:trPr>
                <w:trHeight w:val="405"/>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B3F71" w:rsidRPr="00295D40" w:rsidRDefault="009B3F71">
                  <w:pPr>
                    <w:rPr>
                      <w:i/>
                      <w:iCs/>
                      <w:sz w:val="18"/>
                      <w:szCs w:val="18"/>
                    </w:rPr>
                  </w:pPr>
                  <w:proofErr w:type="spellStart"/>
                  <w:r w:rsidRPr="00295D40">
                    <w:rPr>
                      <w:i/>
                      <w:iCs/>
                      <w:sz w:val="18"/>
                      <w:szCs w:val="18"/>
                    </w:rPr>
                    <w:t>Līdzfinasējums</w:t>
                  </w:r>
                  <w:proofErr w:type="spellEnd"/>
                  <w:r w:rsidRPr="00295D40">
                    <w:rPr>
                      <w:i/>
                      <w:iCs/>
                      <w:sz w:val="18"/>
                      <w:szCs w:val="18"/>
                    </w:rPr>
                    <w:t xml:space="preserve"> 10%</w:t>
                  </w:r>
                </w:p>
              </w:tc>
              <w:tc>
                <w:tcPr>
                  <w:tcW w:w="1134" w:type="dxa"/>
                  <w:tcBorders>
                    <w:top w:val="nil"/>
                    <w:left w:val="nil"/>
                    <w:bottom w:val="single" w:sz="4" w:space="0" w:color="auto"/>
                    <w:right w:val="single" w:sz="4" w:space="0" w:color="auto"/>
                  </w:tcBorders>
                  <w:shd w:val="clear" w:color="auto" w:fill="auto"/>
                  <w:noWrap/>
                  <w:vAlign w:val="bottom"/>
                  <w:hideMark/>
                </w:tcPr>
                <w:p w:rsidR="009B3F71" w:rsidRPr="00295D40" w:rsidRDefault="009B3F71">
                  <w:pPr>
                    <w:jc w:val="right"/>
                    <w:rPr>
                      <w:sz w:val="16"/>
                      <w:szCs w:val="16"/>
                    </w:rPr>
                  </w:pPr>
                  <w:r w:rsidRPr="00295D40">
                    <w:rPr>
                      <w:sz w:val="16"/>
                      <w:szCs w:val="16"/>
                    </w:rPr>
                    <w:t>2 455 672</w:t>
                  </w:r>
                </w:p>
              </w:tc>
              <w:tc>
                <w:tcPr>
                  <w:tcW w:w="992" w:type="dxa"/>
                  <w:tcBorders>
                    <w:top w:val="nil"/>
                    <w:left w:val="nil"/>
                    <w:bottom w:val="single" w:sz="4" w:space="0" w:color="auto"/>
                    <w:right w:val="single" w:sz="4" w:space="0" w:color="auto"/>
                  </w:tcBorders>
                  <w:shd w:val="clear" w:color="auto" w:fill="auto"/>
                  <w:noWrap/>
                  <w:vAlign w:val="bottom"/>
                  <w:hideMark/>
                </w:tcPr>
                <w:p w:rsidR="009B3F71" w:rsidRPr="00295D40" w:rsidRDefault="009B3F71">
                  <w:pPr>
                    <w:jc w:val="right"/>
                    <w:rPr>
                      <w:sz w:val="16"/>
                      <w:szCs w:val="16"/>
                    </w:rPr>
                  </w:pPr>
                  <w:r w:rsidRPr="00295D40">
                    <w:rPr>
                      <w:sz w:val="16"/>
                      <w:szCs w:val="16"/>
                    </w:rPr>
                    <w:t>2 852 794</w:t>
                  </w:r>
                </w:p>
              </w:tc>
              <w:tc>
                <w:tcPr>
                  <w:tcW w:w="992" w:type="dxa"/>
                  <w:tcBorders>
                    <w:top w:val="nil"/>
                    <w:left w:val="nil"/>
                    <w:bottom w:val="single" w:sz="4" w:space="0" w:color="auto"/>
                    <w:right w:val="single" w:sz="4" w:space="0" w:color="auto"/>
                  </w:tcBorders>
                  <w:shd w:val="clear" w:color="auto" w:fill="auto"/>
                  <w:noWrap/>
                  <w:vAlign w:val="bottom"/>
                  <w:hideMark/>
                </w:tcPr>
                <w:p w:rsidR="009B3F71" w:rsidRPr="00295D40" w:rsidRDefault="009B3F71">
                  <w:pPr>
                    <w:jc w:val="right"/>
                    <w:rPr>
                      <w:sz w:val="16"/>
                      <w:szCs w:val="16"/>
                    </w:rPr>
                  </w:pPr>
                  <w:r w:rsidRPr="00295D40">
                    <w:rPr>
                      <w:sz w:val="16"/>
                      <w:szCs w:val="16"/>
                    </w:rPr>
                    <w:t>2 674 349</w:t>
                  </w:r>
                </w:p>
              </w:tc>
              <w:tc>
                <w:tcPr>
                  <w:tcW w:w="1128" w:type="dxa"/>
                  <w:tcBorders>
                    <w:top w:val="nil"/>
                    <w:left w:val="nil"/>
                    <w:bottom w:val="single" w:sz="4" w:space="0" w:color="auto"/>
                    <w:right w:val="single" w:sz="4" w:space="0" w:color="auto"/>
                  </w:tcBorders>
                  <w:shd w:val="clear" w:color="auto" w:fill="auto"/>
                  <w:noWrap/>
                  <w:vAlign w:val="bottom"/>
                  <w:hideMark/>
                </w:tcPr>
                <w:p w:rsidR="009B3F71" w:rsidRPr="00295D40" w:rsidRDefault="006C493C">
                  <w:pPr>
                    <w:jc w:val="right"/>
                    <w:rPr>
                      <w:sz w:val="16"/>
                      <w:szCs w:val="16"/>
                    </w:rPr>
                  </w:pPr>
                  <w:r w:rsidRPr="00295D40">
                    <w:rPr>
                      <w:sz w:val="16"/>
                      <w:szCs w:val="16"/>
                    </w:rPr>
                    <w:t>2 337 168</w:t>
                  </w:r>
                </w:p>
              </w:tc>
            </w:tr>
          </w:tbl>
          <w:p w:rsidR="009B3F71" w:rsidRPr="00295D40" w:rsidRDefault="009B3F71" w:rsidP="00917806">
            <w:pPr>
              <w:jc w:val="both"/>
              <w:rPr>
                <w:sz w:val="22"/>
                <w:szCs w:val="22"/>
              </w:rPr>
            </w:pPr>
          </w:p>
          <w:p w:rsidR="009B3F71" w:rsidRPr="00295D40" w:rsidRDefault="00014E51" w:rsidP="00975B6B">
            <w:pPr>
              <w:jc w:val="both"/>
              <w:rPr>
                <w:sz w:val="22"/>
                <w:szCs w:val="22"/>
              </w:rPr>
            </w:pPr>
            <w:r w:rsidRPr="00295D40">
              <w:rPr>
                <w:sz w:val="22"/>
                <w:szCs w:val="22"/>
              </w:rPr>
              <w:t>Par pamatu ņemts dzīvokļa pabalstam izlietot</w:t>
            </w:r>
            <w:r w:rsidR="00184CEA" w:rsidRPr="00295D40">
              <w:rPr>
                <w:sz w:val="22"/>
                <w:szCs w:val="22"/>
              </w:rPr>
              <w:t>o</w:t>
            </w:r>
            <w:r w:rsidRPr="00295D40">
              <w:rPr>
                <w:sz w:val="22"/>
                <w:szCs w:val="22"/>
              </w:rPr>
              <w:t xml:space="preserve"> līdzekļu </w:t>
            </w:r>
            <w:r w:rsidR="00184CEA" w:rsidRPr="00295D40">
              <w:rPr>
                <w:sz w:val="22"/>
                <w:szCs w:val="22"/>
              </w:rPr>
              <w:t xml:space="preserve">maksimālais </w:t>
            </w:r>
            <w:r w:rsidRPr="00295D40">
              <w:rPr>
                <w:sz w:val="22"/>
                <w:szCs w:val="22"/>
              </w:rPr>
              <w:t>apmērs 2011.gadā</w:t>
            </w:r>
            <w:r w:rsidR="00184CEA" w:rsidRPr="00295D40">
              <w:rPr>
                <w:sz w:val="22"/>
                <w:szCs w:val="22"/>
              </w:rPr>
              <w:t xml:space="preserve">, </w:t>
            </w:r>
            <w:r w:rsidR="00D66A8A" w:rsidRPr="00295D40">
              <w:rPr>
                <w:sz w:val="22"/>
                <w:szCs w:val="22"/>
              </w:rPr>
              <w:t xml:space="preserve">neskatoties uz to, ka </w:t>
            </w:r>
            <w:r w:rsidR="003A35B3" w:rsidRPr="00295D40">
              <w:rPr>
                <w:sz w:val="22"/>
                <w:szCs w:val="22"/>
              </w:rPr>
              <w:t xml:space="preserve">izdevumu apmērs samazinās (līdz ar valsts līdzfinansējuma pašvaldībām </w:t>
            </w:r>
            <w:r w:rsidR="00510994" w:rsidRPr="00295D40">
              <w:rPr>
                <w:sz w:val="22"/>
                <w:szCs w:val="22"/>
              </w:rPr>
              <w:t>pārtraukšanu pēc 2012.gada 1.maija)</w:t>
            </w:r>
            <w:r w:rsidR="003E7FD8" w:rsidRPr="00295D40">
              <w:rPr>
                <w:sz w:val="22"/>
                <w:szCs w:val="22"/>
              </w:rPr>
              <w:t>.</w:t>
            </w:r>
            <w:r w:rsidR="003A35B3" w:rsidRPr="00295D40">
              <w:rPr>
                <w:sz w:val="22"/>
                <w:szCs w:val="22"/>
              </w:rPr>
              <w:t xml:space="preserve"> </w:t>
            </w:r>
            <w:r w:rsidR="00975B6B" w:rsidRPr="00295D40">
              <w:rPr>
                <w:sz w:val="22"/>
                <w:szCs w:val="22"/>
              </w:rPr>
              <w:t>Paplašinot dzīvokļa pabalsta saturu un iekļaujot tajā izdevumus par elektroenerģiju,</w:t>
            </w:r>
            <w:r w:rsidR="00AA27B4" w:rsidRPr="00295D40">
              <w:rPr>
                <w:sz w:val="22"/>
                <w:szCs w:val="22"/>
              </w:rPr>
              <w:t xml:space="preserve"> </w:t>
            </w:r>
            <w:r w:rsidR="00184CEA" w:rsidRPr="00295D40">
              <w:rPr>
                <w:sz w:val="22"/>
                <w:szCs w:val="22"/>
              </w:rPr>
              <w:t xml:space="preserve">lielākam skaitam mājsaimniecību </w:t>
            </w:r>
            <w:r w:rsidR="00D66A8A" w:rsidRPr="00295D40">
              <w:rPr>
                <w:sz w:val="22"/>
                <w:szCs w:val="22"/>
              </w:rPr>
              <w:t>tiks nodrošināts atbalsts ar mājokli saistīto izdevumu seg</w:t>
            </w:r>
            <w:r w:rsidR="00510994" w:rsidRPr="00295D40">
              <w:rPr>
                <w:sz w:val="22"/>
                <w:szCs w:val="22"/>
              </w:rPr>
              <w:t>šanai un pašvaldību izdevumi pieaugs.</w:t>
            </w:r>
            <w:r w:rsidR="00D66A8A" w:rsidRPr="00295D40">
              <w:rPr>
                <w:sz w:val="22"/>
                <w:szCs w:val="22"/>
              </w:rPr>
              <w:t xml:space="preserve"> </w:t>
            </w:r>
            <w:r w:rsidR="003E7FD8" w:rsidRPr="00295D40">
              <w:rPr>
                <w:sz w:val="22"/>
                <w:szCs w:val="22"/>
              </w:rPr>
              <w:t xml:space="preserve">Tiek plānots, ka elektroenerģijas cena pieaugs par 7%, bet līdz ar to pieaugs arī apkures izmaksas. </w:t>
            </w:r>
            <w:r w:rsidR="00406C28" w:rsidRPr="00295D40">
              <w:rPr>
                <w:sz w:val="22"/>
                <w:szCs w:val="22"/>
              </w:rPr>
              <w:t xml:space="preserve">Pēc provizoriskām aplēsēm </w:t>
            </w:r>
            <w:r w:rsidR="003E7FD8" w:rsidRPr="00295D40">
              <w:rPr>
                <w:sz w:val="22"/>
                <w:szCs w:val="22"/>
              </w:rPr>
              <w:t>15% līdzfinansējuma apmērs</w:t>
            </w:r>
            <w:r w:rsidR="00406C28" w:rsidRPr="00295D40">
              <w:rPr>
                <w:sz w:val="22"/>
                <w:szCs w:val="22"/>
              </w:rPr>
              <w:t xml:space="preserve"> varētu būt optimāls, lai iekļautos paredzētā finansējuma </w:t>
            </w:r>
            <w:r w:rsidR="00C64116" w:rsidRPr="00295D40">
              <w:rPr>
                <w:sz w:val="22"/>
                <w:szCs w:val="22"/>
              </w:rPr>
              <w:t>ietvaros nodrošin</w:t>
            </w:r>
            <w:r w:rsidR="00F07B42" w:rsidRPr="00295D40">
              <w:rPr>
                <w:sz w:val="22"/>
                <w:szCs w:val="22"/>
              </w:rPr>
              <w:t>ot</w:t>
            </w:r>
            <w:r w:rsidR="00C64116" w:rsidRPr="00295D40">
              <w:rPr>
                <w:sz w:val="22"/>
                <w:szCs w:val="22"/>
              </w:rPr>
              <w:t xml:space="preserve"> atbalstu plānotajai mērķgrupai.</w:t>
            </w:r>
          </w:p>
        </w:tc>
      </w:tr>
      <w:tr w:rsidR="00295D40" w:rsidRPr="00295D40" w:rsidTr="00B66418">
        <w:tc>
          <w:tcPr>
            <w:tcW w:w="396" w:type="dxa"/>
            <w:shd w:val="clear" w:color="auto" w:fill="auto"/>
          </w:tcPr>
          <w:p w:rsidR="00B76D85" w:rsidRPr="00295D40" w:rsidRDefault="00B76D85" w:rsidP="00242D7D">
            <w:pPr>
              <w:rPr>
                <w:sz w:val="22"/>
                <w:szCs w:val="22"/>
              </w:rPr>
            </w:pPr>
            <w:r w:rsidRPr="00295D40">
              <w:rPr>
                <w:sz w:val="22"/>
                <w:szCs w:val="22"/>
              </w:rPr>
              <w:lastRenderedPageBreak/>
              <w:t>4.</w:t>
            </w:r>
          </w:p>
        </w:tc>
        <w:tc>
          <w:tcPr>
            <w:tcW w:w="3072" w:type="dxa"/>
            <w:shd w:val="clear" w:color="auto" w:fill="auto"/>
          </w:tcPr>
          <w:p w:rsidR="00B76D85" w:rsidRPr="00295D40" w:rsidRDefault="00B76D85" w:rsidP="00242D7D">
            <w:pPr>
              <w:rPr>
                <w:sz w:val="22"/>
                <w:szCs w:val="22"/>
              </w:rPr>
            </w:pPr>
            <w:r w:rsidRPr="00295D40">
              <w:rPr>
                <w:sz w:val="22"/>
                <w:szCs w:val="22"/>
              </w:rPr>
              <w:t xml:space="preserve">Tiesiskā regulējuma </w:t>
            </w:r>
            <w:r w:rsidR="007513BD" w:rsidRPr="00295D40">
              <w:rPr>
                <w:sz w:val="22"/>
                <w:szCs w:val="22"/>
              </w:rPr>
              <w:t>nefinansiālā ietekme</w:t>
            </w:r>
          </w:p>
        </w:tc>
        <w:tc>
          <w:tcPr>
            <w:tcW w:w="5819" w:type="dxa"/>
            <w:shd w:val="clear" w:color="auto" w:fill="auto"/>
          </w:tcPr>
          <w:p w:rsidR="00B76D85" w:rsidRPr="00295D40" w:rsidRDefault="00887A7F" w:rsidP="00B66418">
            <w:pPr>
              <w:jc w:val="both"/>
              <w:rPr>
                <w:i/>
                <w:sz w:val="22"/>
                <w:szCs w:val="22"/>
              </w:rPr>
            </w:pPr>
            <w:r w:rsidRPr="00295D40">
              <w:rPr>
                <w:iCs/>
                <w:sz w:val="22"/>
                <w:szCs w:val="22"/>
              </w:rPr>
              <w:t>Nav.</w:t>
            </w:r>
          </w:p>
        </w:tc>
      </w:tr>
      <w:tr w:rsidR="00295D40" w:rsidRPr="00295D40" w:rsidTr="00B66418">
        <w:tc>
          <w:tcPr>
            <w:tcW w:w="396" w:type="dxa"/>
            <w:shd w:val="clear" w:color="auto" w:fill="auto"/>
          </w:tcPr>
          <w:p w:rsidR="00B76D85" w:rsidRPr="00295D40" w:rsidRDefault="00B76D85" w:rsidP="00242D7D">
            <w:pPr>
              <w:rPr>
                <w:sz w:val="22"/>
                <w:szCs w:val="22"/>
              </w:rPr>
            </w:pPr>
            <w:r w:rsidRPr="00295D40">
              <w:rPr>
                <w:sz w:val="22"/>
                <w:szCs w:val="22"/>
              </w:rPr>
              <w:t>5.</w:t>
            </w:r>
          </w:p>
        </w:tc>
        <w:tc>
          <w:tcPr>
            <w:tcW w:w="3072" w:type="dxa"/>
            <w:shd w:val="clear" w:color="auto" w:fill="auto"/>
          </w:tcPr>
          <w:p w:rsidR="00B76D85" w:rsidRPr="00295D40" w:rsidRDefault="007513BD" w:rsidP="00242D7D">
            <w:pPr>
              <w:rPr>
                <w:sz w:val="22"/>
                <w:szCs w:val="22"/>
              </w:rPr>
            </w:pPr>
            <w:r w:rsidRPr="00295D40">
              <w:rPr>
                <w:sz w:val="22"/>
                <w:szCs w:val="22"/>
              </w:rPr>
              <w:t>Administratīvās procedūras raksturojums</w:t>
            </w:r>
          </w:p>
        </w:tc>
        <w:tc>
          <w:tcPr>
            <w:tcW w:w="5819" w:type="dxa"/>
            <w:shd w:val="clear" w:color="auto" w:fill="auto"/>
          </w:tcPr>
          <w:p w:rsidR="00D06832" w:rsidRPr="00295D40" w:rsidRDefault="00D268DC" w:rsidP="00DE112C">
            <w:pPr>
              <w:jc w:val="both"/>
              <w:rPr>
                <w:iCs/>
                <w:sz w:val="22"/>
                <w:szCs w:val="22"/>
              </w:rPr>
            </w:pPr>
            <w:r w:rsidRPr="00295D40">
              <w:rPr>
                <w:iCs/>
                <w:sz w:val="22"/>
                <w:szCs w:val="22"/>
              </w:rPr>
              <w:t>Pašvaldība</w:t>
            </w:r>
            <w:r w:rsidR="00E910A1" w:rsidRPr="00295D40">
              <w:rPr>
                <w:iCs/>
                <w:sz w:val="22"/>
                <w:szCs w:val="22"/>
              </w:rPr>
              <w:t xml:space="preserve"> </w:t>
            </w:r>
            <w:r w:rsidRPr="00295D40">
              <w:rPr>
                <w:iCs/>
                <w:sz w:val="22"/>
                <w:szCs w:val="22"/>
              </w:rPr>
              <w:t xml:space="preserve">līdz </w:t>
            </w:r>
            <w:r w:rsidR="00E910A1" w:rsidRPr="00295D40">
              <w:rPr>
                <w:iCs/>
                <w:sz w:val="22"/>
                <w:szCs w:val="22"/>
              </w:rPr>
              <w:t xml:space="preserve">kārtējā </w:t>
            </w:r>
            <w:r w:rsidRPr="00295D40">
              <w:rPr>
                <w:iCs/>
                <w:sz w:val="22"/>
                <w:szCs w:val="22"/>
              </w:rPr>
              <w:t>gada 15.aprīlim iesniedz Labklājības ministrijā pieprasījumu</w:t>
            </w:r>
            <w:r w:rsidR="0028289D" w:rsidRPr="00295D40">
              <w:rPr>
                <w:iCs/>
                <w:sz w:val="22"/>
                <w:szCs w:val="22"/>
              </w:rPr>
              <w:t xml:space="preserve"> mērķdotācijas </w:t>
            </w:r>
            <w:r w:rsidR="00B0447F" w:rsidRPr="00295D40">
              <w:rPr>
                <w:iCs/>
                <w:sz w:val="22"/>
                <w:szCs w:val="22"/>
              </w:rPr>
              <w:t>„Dzīvokļa pabalsts izmaksu nodrošināšanai” piešķiršanai un datu salīdzināšanai par iepriekšējā saimnieciskā gadā dzīvokļa pabalstam izlietotajiem līdzek</w:t>
            </w:r>
            <w:r w:rsidR="00DE112C" w:rsidRPr="00295D40">
              <w:rPr>
                <w:iCs/>
                <w:sz w:val="22"/>
                <w:szCs w:val="22"/>
              </w:rPr>
              <w:t xml:space="preserve">ļiem </w:t>
            </w:r>
            <w:r w:rsidR="00E910A1" w:rsidRPr="00295D40">
              <w:rPr>
                <w:iCs/>
                <w:sz w:val="22"/>
                <w:szCs w:val="22"/>
              </w:rPr>
              <w:t>(noteikumu pielikums).</w:t>
            </w:r>
            <w:r w:rsidR="0028289D" w:rsidRPr="00295D40">
              <w:rPr>
                <w:iCs/>
                <w:sz w:val="22"/>
                <w:szCs w:val="22"/>
              </w:rPr>
              <w:t xml:space="preserve"> </w:t>
            </w:r>
          </w:p>
          <w:p w:rsidR="00DE112C" w:rsidRPr="00295D40" w:rsidRDefault="00964FB6" w:rsidP="00DE112C">
            <w:pPr>
              <w:jc w:val="both"/>
              <w:rPr>
                <w:sz w:val="22"/>
                <w:szCs w:val="22"/>
              </w:rPr>
            </w:pPr>
            <w:r w:rsidRPr="00295D40">
              <w:rPr>
                <w:iCs/>
                <w:sz w:val="22"/>
                <w:szCs w:val="22"/>
              </w:rPr>
              <w:t>Labklājības ministrija</w:t>
            </w:r>
            <w:r w:rsidR="00DE112C" w:rsidRPr="00295D40">
              <w:rPr>
                <w:iCs/>
                <w:sz w:val="22"/>
                <w:szCs w:val="22"/>
              </w:rPr>
              <w:t xml:space="preserve"> </w:t>
            </w:r>
            <w:r w:rsidR="00DE112C" w:rsidRPr="00295D40">
              <w:rPr>
                <w:sz w:val="22"/>
                <w:szCs w:val="22"/>
              </w:rPr>
              <w:t xml:space="preserve">aprēķina konkrētai pašvaldībai pienākošās mērķdotācijas apmēru, pamatojoties uz e-pārskatos iekļautajā pašvaldības mēneša pārskatā par pamatbudžeta izpildi norādītajiem datiem izdevumu kodos atbilstoši ekonomiskajām kategorijām 6270 „Dzīvokļa pabalsts naudā” un </w:t>
            </w:r>
            <w:r w:rsidR="00F45A57" w:rsidRPr="00295D40">
              <w:rPr>
                <w:sz w:val="22"/>
                <w:szCs w:val="22"/>
              </w:rPr>
              <w:t xml:space="preserve">6360 „Dzīvokļa pabalsts natūrā”. Labklājības ministrija līdz pārskata mēnesim sekojošā mēneša pēdējam datumam pārskaita mērķdotāciju uz </w:t>
            </w:r>
            <w:r w:rsidR="00042806" w:rsidRPr="00295D40">
              <w:rPr>
                <w:sz w:val="22"/>
                <w:szCs w:val="22"/>
              </w:rPr>
              <w:t xml:space="preserve">pašvaldības </w:t>
            </w:r>
            <w:r w:rsidR="00F45A57" w:rsidRPr="00295D40">
              <w:rPr>
                <w:sz w:val="22"/>
                <w:szCs w:val="22"/>
              </w:rPr>
              <w:t xml:space="preserve">pieprasījumā norādīto kontu. </w:t>
            </w:r>
          </w:p>
          <w:p w:rsidR="00FB0D61" w:rsidRPr="00295D40" w:rsidRDefault="00FB0D61" w:rsidP="00DE112C">
            <w:pPr>
              <w:jc w:val="both"/>
              <w:rPr>
                <w:iCs/>
                <w:sz w:val="22"/>
                <w:szCs w:val="22"/>
              </w:rPr>
            </w:pPr>
            <w:r w:rsidRPr="00295D40">
              <w:rPr>
                <w:sz w:val="22"/>
                <w:szCs w:val="22"/>
              </w:rPr>
              <w:t>Labklājības ministrija veic saimnieciskā gada ietvaros izmaksātās mērķdotācijas apmēra un dzīvokļa pabalstam izlietoto līdzekļu salīdzināšanu līdz nākamā gada 15.aprīlim un nepieciešamības gadījumā veic pārmaksātās vai par maz pārskaitītās mērķdotācijas apmēra koriģēšanu.</w:t>
            </w:r>
          </w:p>
          <w:p w:rsidR="00B76D85" w:rsidRPr="00295D40" w:rsidRDefault="003C55BB" w:rsidP="005A75E0">
            <w:pPr>
              <w:jc w:val="both"/>
              <w:rPr>
                <w:i/>
                <w:sz w:val="22"/>
                <w:szCs w:val="22"/>
              </w:rPr>
            </w:pPr>
            <w:r w:rsidRPr="00295D40">
              <w:rPr>
                <w:iCs/>
                <w:sz w:val="22"/>
                <w:szCs w:val="22"/>
              </w:rPr>
              <w:t xml:space="preserve">Labklājības ministrija izlases </w:t>
            </w:r>
            <w:r w:rsidR="00D97F57" w:rsidRPr="00295D40">
              <w:rPr>
                <w:iCs/>
                <w:sz w:val="22"/>
                <w:szCs w:val="22"/>
              </w:rPr>
              <w:t>kārtībā</w:t>
            </w:r>
            <w:r w:rsidRPr="00295D40">
              <w:rPr>
                <w:iCs/>
                <w:sz w:val="22"/>
                <w:szCs w:val="22"/>
              </w:rPr>
              <w:t xml:space="preserve"> veic pārbaudes par</w:t>
            </w:r>
            <w:r w:rsidR="00D97F57" w:rsidRPr="00295D40">
              <w:rPr>
                <w:iCs/>
                <w:sz w:val="22"/>
                <w:szCs w:val="22"/>
              </w:rPr>
              <w:t xml:space="preserve"> </w:t>
            </w:r>
            <w:r w:rsidR="000D0AE3" w:rsidRPr="00295D40">
              <w:rPr>
                <w:iCs/>
                <w:sz w:val="22"/>
                <w:szCs w:val="22"/>
              </w:rPr>
              <w:t xml:space="preserve">dzīvokļa pabalsts piešķiršanas un izmaksas pamatotību. </w:t>
            </w:r>
            <w:r w:rsidR="002F2A5C" w:rsidRPr="00295D40">
              <w:rPr>
                <w:iCs/>
                <w:sz w:val="22"/>
                <w:szCs w:val="22"/>
              </w:rPr>
              <w:t xml:space="preserve"> </w:t>
            </w:r>
          </w:p>
        </w:tc>
      </w:tr>
      <w:tr w:rsidR="00295D40" w:rsidRPr="00295D40" w:rsidTr="00B66418">
        <w:tc>
          <w:tcPr>
            <w:tcW w:w="396" w:type="dxa"/>
            <w:shd w:val="clear" w:color="auto" w:fill="auto"/>
          </w:tcPr>
          <w:p w:rsidR="00B76D85" w:rsidRPr="00295D40" w:rsidRDefault="00B76D85" w:rsidP="00242D7D">
            <w:pPr>
              <w:rPr>
                <w:sz w:val="22"/>
                <w:szCs w:val="22"/>
              </w:rPr>
            </w:pPr>
            <w:r w:rsidRPr="00295D40">
              <w:rPr>
                <w:sz w:val="22"/>
                <w:szCs w:val="22"/>
              </w:rPr>
              <w:t>6.</w:t>
            </w:r>
          </w:p>
        </w:tc>
        <w:tc>
          <w:tcPr>
            <w:tcW w:w="3072" w:type="dxa"/>
            <w:shd w:val="clear" w:color="auto" w:fill="auto"/>
          </w:tcPr>
          <w:p w:rsidR="00B76D85" w:rsidRPr="00295D40" w:rsidRDefault="007513BD" w:rsidP="00242D7D">
            <w:pPr>
              <w:rPr>
                <w:sz w:val="22"/>
                <w:szCs w:val="22"/>
              </w:rPr>
            </w:pPr>
            <w:r w:rsidRPr="00295D40">
              <w:rPr>
                <w:sz w:val="22"/>
                <w:szCs w:val="22"/>
              </w:rPr>
              <w:t>Administratīvo izmaksu monetārs novērtējums</w:t>
            </w:r>
          </w:p>
        </w:tc>
        <w:tc>
          <w:tcPr>
            <w:tcW w:w="5819" w:type="dxa"/>
            <w:shd w:val="clear" w:color="auto" w:fill="auto"/>
          </w:tcPr>
          <w:p w:rsidR="00B76D85" w:rsidRPr="00295D40" w:rsidRDefault="00463D51" w:rsidP="00B66418">
            <w:pPr>
              <w:jc w:val="both"/>
              <w:rPr>
                <w:i/>
                <w:sz w:val="22"/>
                <w:szCs w:val="22"/>
              </w:rPr>
            </w:pPr>
            <w:r w:rsidRPr="00295D40">
              <w:rPr>
                <w:iCs/>
                <w:sz w:val="22"/>
                <w:szCs w:val="22"/>
              </w:rPr>
              <w:t>Labklājības ministrijā tiks izveidotas divas amata vietas, kas veiks sociālā atbalsta administrēšanu, nepieciešamais f</w:t>
            </w:r>
            <w:r w:rsidRPr="00295D40">
              <w:rPr>
                <w:sz w:val="22"/>
                <w:szCs w:val="22"/>
                <w:shd w:val="clear" w:color="auto" w:fill="FFFFFF"/>
              </w:rPr>
              <w:t xml:space="preserve">inansējums - 2014.gadā </w:t>
            </w:r>
            <w:r w:rsidRPr="00295D40">
              <w:rPr>
                <w:b/>
                <w:sz w:val="22"/>
                <w:szCs w:val="22"/>
                <w:shd w:val="clear" w:color="auto" w:fill="FFFFFF"/>
              </w:rPr>
              <w:t xml:space="preserve">28 131 </w:t>
            </w:r>
            <w:proofErr w:type="spellStart"/>
            <w:r w:rsidRPr="00295D40">
              <w:rPr>
                <w:b/>
                <w:sz w:val="22"/>
                <w:szCs w:val="22"/>
                <w:shd w:val="clear" w:color="auto" w:fill="FFFFFF"/>
              </w:rPr>
              <w:t>euro</w:t>
            </w:r>
            <w:proofErr w:type="spellEnd"/>
            <w:r w:rsidRPr="00295D40">
              <w:rPr>
                <w:sz w:val="22"/>
                <w:szCs w:val="22"/>
                <w:shd w:val="clear" w:color="auto" w:fill="FFFFFF"/>
              </w:rPr>
              <w:t xml:space="preserve"> apmērā, 2015.-2016.gadā ik gadu </w:t>
            </w:r>
            <w:r w:rsidRPr="00295D40">
              <w:rPr>
                <w:b/>
                <w:sz w:val="22"/>
                <w:szCs w:val="22"/>
                <w:shd w:val="clear" w:color="auto" w:fill="FFFFFF"/>
              </w:rPr>
              <w:t xml:space="preserve">36 333 </w:t>
            </w:r>
            <w:proofErr w:type="spellStart"/>
            <w:r w:rsidRPr="00295D40">
              <w:rPr>
                <w:b/>
                <w:sz w:val="22"/>
                <w:szCs w:val="22"/>
                <w:shd w:val="clear" w:color="auto" w:fill="FFFFFF"/>
              </w:rPr>
              <w:t>euro</w:t>
            </w:r>
            <w:proofErr w:type="spellEnd"/>
            <w:r w:rsidRPr="00295D40">
              <w:rPr>
                <w:sz w:val="22"/>
                <w:szCs w:val="22"/>
                <w:shd w:val="clear" w:color="auto" w:fill="FFFFFF"/>
              </w:rPr>
              <w:t xml:space="preserve"> apmērā – tiks nodrošināts pārdalot finansējumu no Ekonomikas ministrijas budžeta apakšprogrammas 29.02.00 „Elektroenerģijas lietotāju atbalsts” uz Labklājības ministrijas pamatbudžeta apakšprogrammu </w:t>
            </w:r>
            <w:r w:rsidRPr="00295D40">
              <w:rPr>
                <w:sz w:val="22"/>
                <w:szCs w:val="22"/>
                <w:shd w:val="clear" w:color="auto" w:fill="FFFFFF"/>
              </w:rPr>
              <w:lastRenderedPageBreak/>
              <w:t xml:space="preserve">97.01.00 </w:t>
            </w:r>
            <w:r w:rsidRPr="00295D40">
              <w:rPr>
                <w:sz w:val="22"/>
                <w:szCs w:val="22"/>
              </w:rPr>
              <w:t>„Labklājības nozares vadība un politikas plānošana”.</w:t>
            </w:r>
          </w:p>
        </w:tc>
      </w:tr>
      <w:tr w:rsidR="00B76D85" w:rsidRPr="00295D40" w:rsidTr="00B66418">
        <w:tc>
          <w:tcPr>
            <w:tcW w:w="396" w:type="dxa"/>
            <w:shd w:val="clear" w:color="auto" w:fill="auto"/>
          </w:tcPr>
          <w:p w:rsidR="00B76D85" w:rsidRPr="00295D40" w:rsidRDefault="00B76D85" w:rsidP="00242D7D">
            <w:pPr>
              <w:rPr>
                <w:sz w:val="22"/>
                <w:szCs w:val="22"/>
              </w:rPr>
            </w:pPr>
            <w:r w:rsidRPr="00295D40">
              <w:rPr>
                <w:sz w:val="22"/>
                <w:szCs w:val="22"/>
              </w:rPr>
              <w:lastRenderedPageBreak/>
              <w:t xml:space="preserve">7. </w:t>
            </w:r>
          </w:p>
        </w:tc>
        <w:tc>
          <w:tcPr>
            <w:tcW w:w="3072" w:type="dxa"/>
            <w:shd w:val="clear" w:color="auto" w:fill="auto"/>
          </w:tcPr>
          <w:p w:rsidR="00B76D85" w:rsidRPr="00295D40" w:rsidRDefault="00B76D85" w:rsidP="00242D7D">
            <w:pPr>
              <w:rPr>
                <w:sz w:val="22"/>
                <w:szCs w:val="22"/>
              </w:rPr>
            </w:pPr>
            <w:r w:rsidRPr="00295D40">
              <w:rPr>
                <w:sz w:val="22"/>
                <w:szCs w:val="22"/>
              </w:rPr>
              <w:t>Cita informācija</w:t>
            </w:r>
          </w:p>
        </w:tc>
        <w:tc>
          <w:tcPr>
            <w:tcW w:w="5819" w:type="dxa"/>
            <w:shd w:val="clear" w:color="auto" w:fill="auto"/>
          </w:tcPr>
          <w:p w:rsidR="00B76D85" w:rsidRPr="00295D40" w:rsidRDefault="00887A7F" w:rsidP="00B66418">
            <w:pPr>
              <w:jc w:val="both"/>
              <w:rPr>
                <w:iCs/>
                <w:sz w:val="22"/>
                <w:szCs w:val="22"/>
              </w:rPr>
            </w:pPr>
            <w:r w:rsidRPr="00295D40">
              <w:rPr>
                <w:iCs/>
                <w:sz w:val="22"/>
                <w:szCs w:val="22"/>
              </w:rPr>
              <w:t>Nav.</w:t>
            </w:r>
          </w:p>
          <w:p w:rsidR="002B4DBF" w:rsidRPr="00295D40" w:rsidRDefault="002B4DBF" w:rsidP="00B66418">
            <w:pPr>
              <w:jc w:val="both"/>
              <w:rPr>
                <w:i/>
                <w:sz w:val="22"/>
                <w:szCs w:val="22"/>
              </w:rPr>
            </w:pPr>
          </w:p>
        </w:tc>
      </w:tr>
    </w:tbl>
    <w:p w:rsidR="00DB4594" w:rsidRPr="00295D40" w:rsidRDefault="00DB4594" w:rsidP="00B76D85">
      <w:pPr>
        <w:jc w:val="center"/>
      </w:pPr>
    </w:p>
    <w:p w:rsidR="00DB4594" w:rsidRPr="00295D40" w:rsidRDefault="00DB4594">
      <w:r w:rsidRPr="00295D4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1484"/>
        <w:gridCol w:w="1331"/>
        <w:gridCol w:w="1313"/>
        <w:gridCol w:w="1315"/>
        <w:gridCol w:w="1320"/>
      </w:tblGrid>
      <w:tr w:rsidR="00295D40" w:rsidRPr="00295D40" w:rsidTr="00B66418">
        <w:tc>
          <w:tcPr>
            <w:tcW w:w="9287" w:type="dxa"/>
            <w:gridSpan w:val="6"/>
            <w:shd w:val="clear" w:color="auto" w:fill="auto"/>
          </w:tcPr>
          <w:p w:rsidR="00273F99" w:rsidRPr="00295D40" w:rsidRDefault="00DB4594" w:rsidP="00B66418">
            <w:pPr>
              <w:jc w:val="center"/>
            </w:pPr>
            <w:r w:rsidRPr="00295D40">
              <w:lastRenderedPageBreak/>
              <w:br w:type="page"/>
            </w:r>
            <w:r w:rsidR="00273F99" w:rsidRPr="00295D40">
              <w:rPr>
                <w:b/>
              </w:rPr>
              <w:t>III</w:t>
            </w:r>
            <w:r w:rsidR="00273F99" w:rsidRPr="00295D40">
              <w:t xml:space="preserve"> </w:t>
            </w:r>
            <w:r w:rsidR="00273F99" w:rsidRPr="00295D40">
              <w:rPr>
                <w:b/>
                <w:bCs/>
              </w:rPr>
              <w:t>Tiesību akta projekta ietekme uz valsts budžetu un pašvaldību budžetiem</w:t>
            </w:r>
          </w:p>
        </w:tc>
      </w:tr>
      <w:tr w:rsidR="00295D40" w:rsidRPr="00295D40" w:rsidTr="00610826">
        <w:tc>
          <w:tcPr>
            <w:tcW w:w="2524" w:type="dxa"/>
            <w:vMerge w:val="restart"/>
            <w:shd w:val="clear" w:color="auto" w:fill="auto"/>
            <w:vAlign w:val="center"/>
          </w:tcPr>
          <w:p w:rsidR="00273F99" w:rsidRPr="00295D40" w:rsidRDefault="00273F99" w:rsidP="00B66418">
            <w:pPr>
              <w:jc w:val="center"/>
            </w:pPr>
            <w:r w:rsidRPr="00295D40">
              <w:rPr>
                <w:b/>
                <w:sz w:val="22"/>
                <w:szCs w:val="22"/>
              </w:rPr>
              <w:t>Rādītāji</w:t>
            </w:r>
          </w:p>
        </w:tc>
        <w:tc>
          <w:tcPr>
            <w:tcW w:w="2815" w:type="dxa"/>
            <w:gridSpan w:val="2"/>
            <w:vMerge w:val="restart"/>
            <w:shd w:val="clear" w:color="auto" w:fill="auto"/>
            <w:vAlign w:val="center"/>
          </w:tcPr>
          <w:p w:rsidR="00273F99" w:rsidRPr="00295D40" w:rsidRDefault="00273F99" w:rsidP="002C2BCF">
            <w:pPr>
              <w:jc w:val="center"/>
            </w:pPr>
            <w:r w:rsidRPr="00295D40">
              <w:rPr>
                <w:b/>
                <w:sz w:val="22"/>
                <w:szCs w:val="22"/>
              </w:rPr>
              <w:t>201</w:t>
            </w:r>
            <w:r w:rsidR="00FF4A2F" w:rsidRPr="00295D40">
              <w:rPr>
                <w:b/>
                <w:sz w:val="22"/>
                <w:szCs w:val="22"/>
              </w:rPr>
              <w:t>4</w:t>
            </w:r>
          </w:p>
        </w:tc>
        <w:tc>
          <w:tcPr>
            <w:tcW w:w="3948" w:type="dxa"/>
            <w:gridSpan w:val="3"/>
            <w:shd w:val="clear" w:color="auto" w:fill="auto"/>
            <w:vAlign w:val="center"/>
          </w:tcPr>
          <w:p w:rsidR="00273F99" w:rsidRPr="00295D40" w:rsidRDefault="00273F99" w:rsidP="00B66418">
            <w:pPr>
              <w:jc w:val="center"/>
            </w:pPr>
            <w:r w:rsidRPr="00295D40">
              <w:rPr>
                <w:sz w:val="22"/>
                <w:szCs w:val="22"/>
              </w:rPr>
              <w:t>Turpmākie trīs gadi</w:t>
            </w:r>
            <w:r w:rsidR="00F15A1A" w:rsidRPr="00295D40">
              <w:rPr>
                <w:sz w:val="22"/>
                <w:szCs w:val="22"/>
              </w:rPr>
              <w:t xml:space="preserve"> (</w:t>
            </w:r>
            <w:proofErr w:type="spellStart"/>
            <w:r w:rsidR="00F15A1A" w:rsidRPr="00295D40">
              <w:rPr>
                <w:i/>
                <w:sz w:val="22"/>
                <w:szCs w:val="22"/>
              </w:rPr>
              <w:t>euro</w:t>
            </w:r>
            <w:proofErr w:type="spellEnd"/>
            <w:r w:rsidR="00F15A1A" w:rsidRPr="00295D40">
              <w:rPr>
                <w:sz w:val="22"/>
                <w:szCs w:val="22"/>
              </w:rPr>
              <w:t>)</w:t>
            </w:r>
          </w:p>
        </w:tc>
      </w:tr>
      <w:tr w:rsidR="00295D40" w:rsidRPr="00295D40" w:rsidTr="00610826">
        <w:tc>
          <w:tcPr>
            <w:tcW w:w="2524" w:type="dxa"/>
            <w:vMerge/>
            <w:shd w:val="clear" w:color="auto" w:fill="auto"/>
          </w:tcPr>
          <w:p w:rsidR="00273F99" w:rsidRPr="00295D40" w:rsidRDefault="00273F99" w:rsidP="00B66418">
            <w:pPr>
              <w:jc w:val="center"/>
            </w:pPr>
          </w:p>
        </w:tc>
        <w:tc>
          <w:tcPr>
            <w:tcW w:w="2815" w:type="dxa"/>
            <w:gridSpan w:val="2"/>
            <w:vMerge/>
            <w:shd w:val="clear" w:color="auto" w:fill="auto"/>
          </w:tcPr>
          <w:p w:rsidR="00273F99" w:rsidRPr="00295D40" w:rsidRDefault="00273F99" w:rsidP="00B66418">
            <w:pPr>
              <w:jc w:val="center"/>
              <w:rPr>
                <w:b/>
                <w:sz w:val="22"/>
                <w:szCs w:val="22"/>
              </w:rPr>
            </w:pPr>
          </w:p>
        </w:tc>
        <w:tc>
          <w:tcPr>
            <w:tcW w:w="1313" w:type="dxa"/>
            <w:shd w:val="clear" w:color="auto" w:fill="auto"/>
            <w:vAlign w:val="bottom"/>
          </w:tcPr>
          <w:p w:rsidR="00273F99" w:rsidRPr="00295D40" w:rsidRDefault="00273F99" w:rsidP="002C2BCF">
            <w:pPr>
              <w:pStyle w:val="naisf"/>
              <w:spacing w:before="0" w:after="0"/>
              <w:ind w:firstLine="0"/>
              <w:jc w:val="center"/>
              <w:rPr>
                <w:b/>
                <w:i/>
                <w:sz w:val="22"/>
                <w:szCs w:val="22"/>
              </w:rPr>
            </w:pPr>
            <w:r w:rsidRPr="00295D40">
              <w:rPr>
                <w:b/>
                <w:bCs/>
                <w:sz w:val="22"/>
                <w:szCs w:val="22"/>
              </w:rPr>
              <w:t>201</w:t>
            </w:r>
            <w:r w:rsidR="00FF4A2F" w:rsidRPr="00295D40">
              <w:rPr>
                <w:b/>
                <w:bCs/>
                <w:sz w:val="22"/>
                <w:szCs w:val="22"/>
              </w:rPr>
              <w:t>5</w:t>
            </w:r>
          </w:p>
        </w:tc>
        <w:tc>
          <w:tcPr>
            <w:tcW w:w="1315" w:type="dxa"/>
            <w:shd w:val="clear" w:color="auto" w:fill="auto"/>
            <w:vAlign w:val="bottom"/>
          </w:tcPr>
          <w:p w:rsidR="00273F99" w:rsidRPr="00295D40" w:rsidRDefault="00273F99" w:rsidP="002C2BCF">
            <w:pPr>
              <w:pStyle w:val="naisf"/>
              <w:spacing w:before="0" w:after="0"/>
              <w:ind w:firstLine="0"/>
              <w:jc w:val="center"/>
              <w:rPr>
                <w:b/>
                <w:i/>
                <w:sz w:val="22"/>
                <w:szCs w:val="22"/>
              </w:rPr>
            </w:pPr>
            <w:r w:rsidRPr="00295D40">
              <w:rPr>
                <w:b/>
                <w:bCs/>
                <w:sz w:val="22"/>
                <w:szCs w:val="22"/>
              </w:rPr>
              <w:t>201</w:t>
            </w:r>
            <w:r w:rsidR="00FF4A2F" w:rsidRPr="00295D40">
              <w:rPr>
                <w:b/>
                <w:bCs/>
                <w:sz w:val="22"/>
                <w:szCs w:val="22"/>
              </w:rPr>
              <w:t>6</w:t>
            </w:r>
          </w:p>
        </w:tc>
        <w:tc>
          <w:tcPr>
            <w:tcW w:w="1320" w:type="dxa"/>
            <w:shd w:val="clear" w:color="auto" w:fill="auto"/>
            <w:vAlign w:val="bottom"/>
          </w:tcPr>
          <w:p w:rsidR="00273F99" w:rsidRPr="00295D40" w:rsidRDefault="00273F99" w:rsidP="002C2BCF">
            <w:pPr>
              <w:pStyle w:val="naisf"/>
              <w:spacing w:before="0" w:after="0"/>
              <w:ind w:firstLine="0"/>
              <w:jc w:val="center"/>
              <w:rPr>
                <w:b/>
                <w:i/>
                <w:sz w:val="22"/>
                <w:szCs w:val="22"/>
              </w:rPr>
            </w:pPr>
            <w:r w:rsidRPr="00295D40">
              <w:rPr>
                <w:b/>
                <w:bCs/>
                <w:sz w:val="22"/>
                <w:szCs w:val="22"/>
              </w:rPr>
              <w:t>201</w:t>
            </w:r>
            <w:r w:rsidR="00FF4A2F" w:rsidRPr="00295D40">
              <w:rPr>
                <w:b/>
                <w:bCs/>
                <w:sz w:val="22"/>
                <w:szCs w:val="22"/>
              </w:rPr>
              <w:t>7</w:t>
            </w:r>
          </w:p>
        </w:tc>
      </w:tr>
      <w:tr w:rsidR="00295D40" w:rsidRPr="00295D40" w:rsidTr="00610826">
        <w:tc>
          <w:tcPr>
            <w:tcW w:w="2524" w:type="dxa"/>
            <w:vMerge/>
            <w:shd w:val="clear" w:color="auto" w:fill="auto"/>
            <w:vAlign w:val="bottom"/>
          </w:tcPr>
          <w:p w:rsidR="00273F99" w:rsidRPr="00295D40" w:rsidRDefault="00273F99" w:rsidP="00B66418">
            <w:pPr>
              <w:jc w:val="center"/>
              <w:rPr>
                <w:sz w:val="22"/>
                <w:szCs w:val="22"/>
              </w:rPr>
            </w:pPr>
          </w:p>
        </w:tc>
        <w:tc>
          <w:tcPr>
            <w:tcW w:w="1484" w:type="dxa"/>
            <w:shd w:val="clear" w:color="auto" w:fill="auto"/>
            <w:vAlign w:val="bottom"/>
          </w:tcPr>
          <w:p w:rsidR="00273F99" w:rsidRPr="00295D40" w:rsidRDefault="00273F99" w:rsidP="00B66418">
            <w:pPr>
              <w:jc w:val="center"/>
              <w:rPr>
                <w:sz w:val="22"/>
                <w:szCs w:val="22"/>
              </w:rPr>
            </w:pPr>
            <w:r w:rsidRPr="00295D40">
              <w:rPr>
                <w:sz w:val="22"/>
                <w:szCs w:val="22"/>
              </w:rPr>
              <w:t>Saskaņā ar valsts budžetu kārtējam gadam</w:t>
            </w:r>
          </w:p>
        </w:tc>
        <w:tc>
          <w:tcPr>
            <w:tcW w:w="1331" w:type="dxa"/>
            <w:shd w:val="clear" w:color="auto" w:fill="auto"/>
            <w:vAlign w:val="bottom"/>
          </w:tcPr>
          <w:p w:rsidR="00273F99" w:rsidRPr="00295D40" w:rsidRDefault="00273F99" w:rsidP="00B66418">
            <w:pPr>
              <w:jc w:val="center"/>
              <w:rPr>
                <w:sz w:val="22"/>
                <w:szCs w:val="22"/>
              </w:rPr>
            </w:pPr>
            <w:r w:rsidRPr="00295D40">
              <w:rPr>
                <w:sz w:val="22"/>
                <w:szCs w:val="22"/>
              </w:rPr>
              <w:t>Izmaiņas kārtējā gadā salīdzinot ar budžetu kārtējam gadam</w:t>
            </w:r>
          </w:p>
        </w:tc>
        <w:tc>
          <w:tcPr>
            <w:tcW w:w="1313" w:type="dxa"/>
            <w:shd w:val="clear" w:color="auto" w:fill="auto"/>
            <w:vAlign w:val="bottom"/>
          </w:tcPr>
          <w:p w:rsidR="00273F99" w:rsidRPr="00295D40" w:rsidRDefault="00273F99" w:rsidP="00B66418">
            <w:pPr>
              <w:jc w:val="center"/>
              <w:rPr>
                <w:sz w:val="22"/>
                <w:szCs w:val="22"/>
              </w:rPr>
            </w:pPr>
            <w:r w:rsidRPr="00295D40">
              <w:rPr>
                <w:sz w:val="22"/>
                <w:szCs w:val="22"/>
              </w:rPr>
              <w:t>Izmaiņas salīdzinot ar kārtējo (n) gadu</w:t>
            </w:r>
          </w:p>
        </w:tc>
        <w:tc>
          <w:tcPr>
            <w:tcW w:w="1315" w:type="dxa"/>
            <w:shd w:val="clear" w:color="auto" w:fill="auto"/>
            <w:vAlign w:val="bottom"/>
          </w:tcPr>
          <w:p w:rsidR="00273F99" w:rsidRPr="00295D40" w:rsidRDefault="00273F99" w:rsidP="00B66418">
            <w:pPr>
              <w:jc w:val="center"/>
              <w:rPr>
                <w:sz w:val="22"/>
                <w:szCs w:val="22"/>
              </w:rPr>
            </w:pPr>
            <w:r w:rsidRPr="00295D40">
              <w:rPr>
                <w:sz w:val="22"/>
                <w:szCs w:val="22"/>
              </w:rPr>
              <w:t>Izmaiņas salīdzinot ar kārtējo (n) gadu</w:t>
            </w:r>
          </w:p>
        </w:tc>
        <w:tc>
          <w:tcPr>
            <w:tcW w:w="1320" w:type="dxa"/>
            <w:shd w:val="clear" w:color="auto" w:fill="auto"/>
            <w:vAlign w:val="bottom"/>
          </w:tcPr>
          <w:p w:rsidR="00273F99" w:rsidRPr="00295D40" w:rsidRDefault="00273F99" w:rsidP="00B66418">
            <w:pPr>
              <w:jc w:val="center"/>
              <w:rPr>
                <w:sz w:val="22"/>
                <w:szCs w:val="22"/>
              </w:rPr>
            </w:pPr>
            <w:r w:rsidRPr="00295D40">
              <w:rPr>
                <w:sz w:val="22"/>
                <w:szCs w:val="22"/>
              </w:rPr>
              <w:t>Izmaiņas salīdzinot ar kārtējo (n) gadu</w:t>
            </w:r>
          </w:p>
        </w:tc>
      </w:tr>
      <w:tr w:rsidR="00295D40" w:rsidRPr="00295D40" w:rsidTr="00610826">
        <w:tc>
          <w:tcPr>
            <w:tcW w:w="2524" w:type="dxa"/>
            <w:shd w:val="clear" w:color="auto" w:fill="auto"/>
          </w:tcPr>
          <w:p w:rsidR="003B629D" w:rsidRPr="00295D40" w:rsidRDefault="003B629D" w:rsidP="00B66418">
            <w:pPr>
              <w:pStyle w:val="naisf"/>
              <w:spacing w:before="0" w:after="0"/>
              <w:ind w:firstLine="0"/>
              <w:jc w:val="center"/>
              <w:rPr>
                <w:b/>
                <w:sz w:val="22"/>
                <w:szCs w:val="22"/>
              </w:rPr>
            </w:pPr>
            <w:r w:rsidRPr="00295D40">
              <w:rPr>
                <w:b/>
                <w:sz w:val="22"/>
                <w:szCs w:val="22"/>
              </w:rPr>
              <w:t>1</w:t>
            </w:r>
          </w:p>
        </w:tc>
        <w:tc>
          <w:tcPr>
            <w:tcW w:w="1484" w:type="dxa"/>
            <w:shd w:val="clear" w:color="auto" w:fill="auto"/>
          </w:tcPr>
          <w:p w:rsidR="003B629D" w:rsidRPr="00295D40" w:rsidRDefault="003B629D" w:rsidP="00B66418">
            <w:pPr>
              <w:pStyle w:val="naisf"/>
              <w:spacing w:before="0" w:after="0"/>
              <w:ind w:firstLine="0"/>
              <w:jc w:val="center"/>
              <w:rPr>
                <w:b/>
                <w:sz w:val="22"/>
                <w:szCs w:val="22"/>
              </w:rPr>
            </w:pPr>
            <w:r w:rsidRPr="00295D40">
              <w:rPr>
                <w:b/>
                <w:sz w:val="22"/>
                <w:szCs w:val="22"/>
              </w:rPr>
              <w:t>2</w:t>
            </w:r>
          </w:p>
        </w:tc>
        <w:tc>
          <w:tcPr>
            <w:tcW w:w="1331" w:type="dxa"/>
            <w:shd w:val="clear" w:color="auto" w:fill="auto"/>
          </w:tcPr>
          <w:p w:rsidR="003B629D" w:rsidRPr="00295D40" w:rsidRDefault="003B629D" w:rsidP="00B66418">
            <w:pPr>
              <w:pStyle w:val="naisf"/>
              <w:spacing w:before="0" w:after="0"/>
              <w:ind w:firstLine="0"/>
              <w:jc w:val="center"/>
              <w:rPr>
                <w:b/>
                <w:sz w:val="22"/>
                <w:szCs w:val="22"/>
              </w:rPr>
            </w:pPr>
            <w:r w:rsidRPr="00295D40">
              <w:rPr>
                <w:b/>
                <w:sz w:val="22"/>
                <w:szCs w:val="22"/>
              </w:rPr>
              <w:t>3</w:t>
            </w:r>
          </w:p>
        </w:tc>
        <w:tc>
          <w:tcPr>
            <w:tcW w:w="1313" w:type="dxa"/>
            <w:shd w:val="clear" w:color="auto" w:fill="auto"/>
          </w:tcPr>
          <w:p w:rsidR="003B629D" w:rsidRPr="00295D40" w:rsidRDefault="003B629D" w:rsidP="00B66418">
            <w:pPr>
              <w:pStyle w:val="naisf"/>
              <w:spacing w:before="0" w:after="0"/>
              <w:ind w:firstLine="0"/>
              <w:jc w:val="center"/>
              <w:rPr>
                <w:b/>
                <w:sz w:val="22"/>
                <w:szCs w:val="22"/>
              </w:rPr>
            </w:pPr>
            <w:r w:rsidRPr="00295D40">
              <w:rPr>
                <w:b/>
                <w:sz w:val="22"/>
                <w:szCs w:val="22"/>
              </w:rPr>
              <w:t>4</w:t>
            </w:r>
          </w:p>
        </w:tc>
        <w:tc>
          <w:tcPr>
            <w:tcW w:w="1315" w:type="dxa"/>
            <w:shd w:val="clear" w:color="auto" w:fill="auto"/>
          </w:tcPr>
          <w:p w:rsidR="003B629D" w:rsidRPr="00295D40" w:rsidRDefault="003B629D" w:rsidP="00B66418">
            <w:pPr>
              <w:pStyle w:val="naisf"/>
              <w:spacing w:before="0" w:after="0"/>
              <w:ind w:firstLine="0"/>
              <w:jc w:val="center"/>
              <w:rPr>
                <w:b/>
                <w:sz w:val="22"/>
                <w:szCs w:val="22"/>
              </w:rPr>
            </w:pPr>
            <w:r w:rsidRPr="00295D40">
              <w:rPr>
                <w:b/>
                <w:sz w:val="22"/>
                <w:szCs w:val="22"/>
              </w:rPr>
              <w:t>5</w:t>
            </w:r>
          </w:p>
        </w:tc>
        <w:tc>
          <w:tcPr>
            <w:tcW w:w="1320" w:type="dxa"/>
            <w:shd w:val="clear" w:color="auto" w:fill="auto"/>
          </w:tcPr>
          <w:p w:rsidR="003B629D" w:rsidRPr="00295D40" w:rsidRDefault="003B629D" w:rsidP="00B66418">
            <w:pPr>
              <w:pStyle w:val="naisf"/>
              <w:spacing w:before="0" w:after="0"/>
              <w:ind w:firstLine="0"/>
              <w:jc w:val="center"/>
              <w:rPr>
                <w:b/>
                <w:sz w:val="22"/>
                <w:szCs w:val="22"/>
              </w:rPr>
            </w:pPr>
            <w:r w:rsidRPr="00295D40">
              <w:rPr>
                <w:b/>
                <w:sz w:val="22"/>
                <w:szCs w:val="22"/>
              </w:rPr>
              <w:t>6</w:t>
            </w:r>
          </w:p>
        </w:tc>
      </w:tr>
      <w:tr w:rsidR="00295D40" w:rsidRPr="00295D40" w:rsidTr="00610826">
        <w:tc>
          <w:tcPr>
            <w:tcW w:w="2524" w:type="dxa"/>
            <w:shd w:val="clear" w:color="auto" w:fill="auto"/>
          </w:tcPr>
          <w:p w:rsidR="00FF4A2F" w:rsidRPr="00295D40" w:rsidRDefault="00FF4A2F" w:rsidP="003F27FC">
            <w:r w:rsidRPr="00295D40">
              <w:rPr>
                <w:sz w:val="22"/>
                <w:szCs w:val="22"/>
              </w:rPr>
              <w:t>1. Budžeta ieņēmumi:</w:t>
            </w:r>
          </w:p>
        </w:tc>
        <w:tc>
          <w:tcPr>
            <w:tcW w:w="1484" w:type="dxa"/>
            <w:shd w:val="clear" w:color="auto" w:fill="auto"/>
          </w:tcPr>
          <w:p w:rsidR="00FF4A2F" w:rsidRPr="00295D40" w:rsidRDefault="008C3226" w:rsidP="00A33410">
            <w:pPr>
              <w:jc w:val="center"/>
            </w:pPr>
            <w:r w:rsidRPr="00295D40">
              <w:rPr>
                <w:sz w:val="22"/>
                <w:szCs w:val="22"/>
              </w:rPr>
              <w:t>3 869 885</w:t>
            </w:r>
          </w:p>
        </w:tc>
        <w:tc>
          <w:tcPr>
            <w:tcW w:w="1331" w:type="dxa"/>
            <w:shd w:val="clear" w:color="auto" w:fill="auto"/>
          </w:tcPr>
          <w:p w:rsidR="00FF4A2F" w:rsidRPr="00295D40" w:rsidRDefault="00FF4A2F" w:rsidP="00A33410"/>
        </w:tc>
        <w:tc>
          <w:tcPr>
            <w:tcW w:w="1313" w:type="dxa"/>
            <w:shd w:val="clear" w:color="auto" w:fill="auto"/>
          </w:tcPr>
          <w:p w:rsidR="00FF4A2F" w:rsidRPr="00295D40" w:rsidRDefault="008C3226" w:rsidP="00A33410">
            <w:pPr>
              <w:jc w:val="center"/>
            </w:pPr>
            <w:r w:rsidRPr="00295D40">
              <w:rPr>
                <w:sz w:val="22"/>
                <w:szCs w:val="22"/>
              </w:rPr>
              <w:t>1 288 787</w:t>
            </w:r>
          </w:p>
        </w:tc>
        <w:tc>
          <w:tcPr>
            <w:tcW w:w="1315" w:type="dxa"/>
            <w:shd w:val="clear" w:color="auto" w:fill="auto"/>
          </w:tcPr>
          <w:p w:rsidR="00FF4A2F" w:rsidRPr="00295D40" w:rsidRDefault="008C3226" w:rsidP="00A33410">
            <w:pPr>
              <w:jc w:val="center"/>
            </w:pPr>
            <w:r w:rsidRPr="00295D40">
              <w:rPr>
                <w:sz w:val="22"/>
                <w:szCs w:val="22"/>
              </w:rPr>
              <w:t>1 288 787</w:t>
            </w:r>
          </w:p>
        </w:tc>
        <w:tc>
          <w:tcPr>
            <w:tcW w:w="1320" w:type="dxa"/>
            <w:shd w:val="clear" w:color="auto" w:fill="auto"/>
          </w:tcPr>
          <w:p w:rsidR="00FF4A2F" w:rsidRPr="00295D40" w:rsidRDefault="008C3226" w:rsidP="00A33410">
            <w:pPr>
              <w:jc w:val="center"/>
            </w:pPr>
            <w:r w:rsidRPr="00295D40">
              <w:rPr>
                <w:sz w:val="22"/>
                <w:szCs w:val="22"/>
              </w:rPr>
              <w:t>1 288 787</w:t>
            </w:r>
          </w:p>
        </w:tc>
      </w:tr>
      <w:tr w:rsidR="00295D40" w:rsidRPr="00295D40" w:rsidTr="00A33410">
        <w:tc>
          <w:tcPr>
            <w:tcW w:w="2524" w:type="dxa"/>
            <w:shd w:val="clear" w:color="auto" w:fill="auto"/>
          </w:tcPr>
          <w:p w:rsidR="00FF4A2F" w:rsidRPr="00295D40" w:rsidRDefault="00FF4A2F" w:rsidP="00273F99">
            <w:pPr>
              <w:rPr>
                <w:sz w:val="22"/>
                <w:szCs w:val="22"/>
              </w:rPr>
            </w:pPr>
            <w:r w:rsidRPr="00295D40">
              <w:rPr>
                <w:sz w:val="22"/>
                <w:szCs w:val="22"/>
              </w:rPr>
              <w:t>1.1. valsts pamatbudžets, tai skaitā ieņēmumi no maksas pakalpojumiem un citi pašu ieņēmumi</w:t>
            </w:r>
          </w:p>
        </w:tc>
        <w:tc>
          <w:tcPr>
            <w:tcW w:w="1484" w:type="dxa"/>
            <w:shd w:val="clear" w:color="auto" w:fill="auto"/>
          </w:tcPr>
          <w:p w:rsidR="00FF4A2F" w:rsidRPr="00295D40" w:rsidRDefault="008C3226" w:rsidP="00A33410">
            <w:pPr>
              <w:jc w:val="center"/>
            </w:pPr>
            <w:r w:rsidRPr="00295D40">
              <w:rPr>
                <w:sz w:val="22"/>
                <w:szCs w:val="22"/>
              </w:rPr>
              <w:t>3 869 885</w:t>
            </w:r>
          </w:p>
        </w:tc>
        <w:tc>
          <w:tcPr>
            <w:tcW w:w="1331" w:type="dxa"/>
            <w:shd w:val="clear" w:color="auto" w:fill="auto"/>
            <w:vAlign w:val="center"/>
          </w:tcPr>
          <w:p w:rsidR="00FF4A2F" w:rsidRPr="00295D40" w:rsidRDefault="00FF4A2F" w:rsidP="00A33410">
            <w:pPr>
              <w:jc w:val="center"/>
              <w:rPr>
                <w:sz w:val="22"/>
                <w:szCs w:val="22"/>
              </w:rPr>
            </w:pPr>
          </w:p>
        </w:tc>
        <w:tc>
          <w:tcPr>
            <w:tcW w:w="1313" w:type="dxa"/>
            <w:shd w:val="clear" w:color="auto" w:fill="auto"/>
          </w:tcPr>
          <w:p w:rsidR="00FF4A2F" w:rsidRPr="00295D40" w:rsidRDefault="008C3226" w:rsidP="00A33410">
            <w:pPr>
              <w:jc w:val="center"/>
            </w:pPr>
            <w:r w:rsidRPr="00295D40">
              <w:rPr>
                <w:sz w:val="22"/>
                <w:szCs w:val="22"/>
              </w:rPr>
              <w:t>1 288 787</w:t>
            </w:r>
          </w:p>
        </w:tc>
        <w:tc>
          <w:tcPr>
            <w:tcW w:w="1315" w:type="dxa"/>
            <w:shd w:val="clear" w:color="auto" w:fill="auto"/>
          </w:tcPr>
          <w:p w:rsidR="00FF4A2F" w:rsidRPr="00295D40" w:rsidRDefault="008C3226" w:rsidP="00A33410">
            <w:pPr>
              <w:jc w:val="center"/>
            </w:pPr>
            <w:r w:rsidRPr="00295D40">
              <w:rPr>
                <w:sz w:val="22"/>
                <w:szCs w:val="22"/>
              </w:rPr>
              <w:t>1 288 787</w:t>
            </w:r>
          </w:p>
        </w:tc>
        <w:tc>
          <w:tcPr>
            <w:tcW w:w="1320" w:type="dxa"/>
            <w:shd w:val="clear" w:color="auto" w:fill="auto"/>
          </w:tcPr>
          <w:p w:rsidR="00FF4A2F" w:rsidRPr="00295D40" w:rsidRDefault="008C3226" w:rsidP="00A33410">
            <w:pPr>
              <w:jc w:val="center"/>
            </w:pPr>
            <w:r w:rsidRPr="00295D40">
              <w:rPr>
                <w:sz w:val="22"/>
                <w:szCs w:val="22"/>
              </w:rPr>
              <w:t>1 288 787</w:t>
            </w:r>
          </w:p>
        </w:tc>
      </w:tr>
      <w:tr w:rsidR="00295D40" w:rsidRPr="00295D40" w:rsidTr="00610826">
        <w:tc>
          <w:tcPr>
            <w:tcW w:w="2524" w:type="dxa"/>
            <w:shd w:val="clear" w:color="auto" w:fill="auto"/>
          </w:tcPr>
          <w:p w:rsidR="00FF4A2F" w:rsidRPr="00295D40" w:rsidRDefault="00FF4A2F" w:rsidP="00B66418">
            <w:pPr>
              <w:pStyle w:val="naisf"/>
              <w:spacing w:before="0" w:after="0"/>
              <w:ind w:firstLine="0"/>
              <w:jc w:val="left"/>
              <w:rPr>
                <w:i/>
                <w:sz w:val="22"/>
                <w:szCs w:val="22"/>
              </w:rPr>
            </w:pPr>
            <w:r w:rsidRPr="00295D40">
              <w:rPr>
                <w:sz w:val="22"/>
                <w:szCs w:val="22"/>
              </w:rPr>
              <w:t>1.2. valsts speciālais budžets</w:t>
            </w:r>
          </w:p>
        </w:tc>
        <w:tc>
          <w:tcPr>
            <w:tcW w:w="1484" w:type="dxa"/>
            <w:shd w:val="clear" w:color="auto" w:fill="auto"/>
            <w:vAlign w:val="center"/>
          </w:tcPr>
          <w:p w:rsidR="00FF4A2F" w:rsidRPr="00295D40" w:rsidRDefault="00FF4A2F" w:rsidP="00A33410">
            <w:pPr>
              <w:pStyle w:val="naisf"/>
              <w:spacing w:before="0" w:after="0"/>
              <w:ind w:firstLine="0"/>
              <w:jc w:val="center"/>
              <w:rPr>
                <w:sz w:val="22"/>
                <w:szCs w:val="22"/>
              </w:rPr>
            </w:pPr>
          </w:p>
        </w:tc>
        <w:tc>
          <w:tcPr>
            <w:tcW w:w="1331" w:type="dxa"/>
            <w:shd w:val="clear" w:color="auto" w:fill="auto"/>
            <w:vAlign w:val="center"/>
          </w:tcPr>
          <w:p w:rsidR="00FF4A2F" w:rsidRPr="00295D40" w:rsidRDefault="00FF4A2F" w:rsidP="00A33410">
            <w:pPr>
              <w:pStyle w:val="naisf"/>
              <w:spacing w:before="0" w:after="0"/>
              <w:ind w:firstLine="0"/>
              <w:jc w:val="center"/>
              <w:rPr>
                <w:sz w:val="22"/>
                <w:szCs w:val="22"/>
              </w:rPr>
            </w:pPr>
          </w:p>
        </w:tc>
        <w:tc>
          <w:tcPr>
            <w:tcW w:w="1313" w:type="dxa"/>
            <w:shd w:val="clear" w:color="auto" w:fill="auto"/>
            <w:vAlign w:val="center"/>
          </w:tcPr>
          <w:p w:rsidR="00FF4A2F" w:rsidRPr="00295D40" w:rsidRDefault="00FF4A2F" w:rsidP="00A33410">
            <w:pPr>
              <w:pStyle w:val="naisf"/>
              <w:spacing w:before="0" w:after="0"/>
              <w:ind w:firstLine="0"/>
              <w:jc w:val="center"/>
              <w:rPr>
                <w:sz w:val="22"/>
                <w:szCs w:val="22"/>
              </w:rPr>
            </w:pPr>
          </w:p>
        </w:tc>
        <w:tc>
          <w:tcPr>
            <w:tcW w:w="1315" w:type="dxa"/>
            <w:shd w:val="clear" w:color="auto" w:fill="auto"/>
            <w:vAlign w:val="center"/>
          </w:tcPr>
          <w:p w:rsidR="00FF4A2F" w:rsidRPr="00295D40" w:rsidRDefault="00FF4A2F" w:rsidP="00A33410">
            <w:pPr>
              <w:pStyle w:val="naisf"/>
              <w:spacing w:before="0" w:after="0"/>
              <w:ind w:firstLine="0"/>
              <w:jc w:val="center"/>
              <w:rPr>
                <w:sz w:val="22"/>
                <w:szCs w:val="22"/>
              </w:rPr>
            </w:pPr>
          </w:p>
        </w:tc>
        <w:tc>
          <w:tcPr>
            <w:tcW w:w="1320" w:type="dxa"/>
            <w:shd w:val="clear" w:color="auto" w:fill="auto"/>
            <w:vAlign w:val="center"/>
          </w:tcPr>
          <w:p w:rsidR="00FF4A2F" w:rsidRPr="00295D40" w:rsidRDefault="00FF4A2F" w:rsidP="00A33410">
            <w:pPr>
              <w:pStyle w:val="naisf"/>
              <w:spacing w:before="0" w:after="0"/>
              <w:ind w:firstLine="0"/>
              <w:jc w:val="center"/>
              <w:rPr>
                <w:sz w:val="22"/>
                <w:szCs w:val="22"/>
              </w:rPr>
            </w:pPr>
          </w:p>
        </w:tc>
      </w:tr>
      <w:tr w:rsidR="00295D40" w:rsidRPr="00295D40" w:rsidTr="00610826">
        <w:tc>
          <w:tcPr>
            <w:tcW w:w="2524" w:type="dxa"/>
            <w:shd w:val="clear" w:color="auto" w:fill="auto"/>
          </w:tcPr>
          <w:p w:rsidR="00FF4A2F" w:rsidRPr="00295D40" w:rsidRDefault="00FF4A2F" w:rsidP="00273F99">
            <w:r w:rsidRPr="00295D40">
              <w:rPr>
                <w:sz w:val="22"/>
                <w:szCs w:val="22"/>
              </w:rPr>
              <w:t>1.3. pašvaldību budžets</w:t>
            </w:r>
          </w:p>
        </w:tc>
        <w:tc>
          <w:tcPr>
            <w:tcW w:w="1484" w:type="dxa"/>
            <w:shd w:val="clear" w:color="auto" w:fill="auto"/>
            <w:vAlign w:val="center"/>
          </w:tcPr>
          <w:p w:rsidR="00FF4A2F" w:rsidRPr="00295D40" w:rsidRDefault="00FF4A2F" w:rsidP="00A33410">
            <w:pPr>
              <w:jc w:val="center"/>
            </w:pPr>
          </w:p>
        </w:tc>
        <w:tc>
          <w:tcPr>
            <w:tcW w:w="1331" w:type="dxa"/>
            <w:shd w:val="clear" w:color="auto" w:fill="auto"/>
            <w:vAlign w:val="center"/>
          </w:tcPr>
          <w:p w:rsidR="00FF4A2F" w:rsidRPr="00295D40" w:rsidRDefault="00FF4A2F" w:rsidP="00A33410">
            <w:pPr>
              <w:jc w:val="center"/>
            </w:pPr>
          </w:p>
        </w:tc>
        <w:tc>
          <w:tcPr>
            <w:tcW w:w="1313" w:type="dxa"/>
            <w:shd w:val="clear" w:color="auto" w:fill="auto"/>
            <w:vAlign w:val="center"/>
          </w:tcPr>
          <w:p w:rsidR="00FF4A2F" w:rsidRPr="00295D40" w:rsidRDefault="00FF4A2F" w:rsidP="00A33410">
            <w:pPr>
              <w:jc w:val="center"/>
            </w:pPr>
          </w:p>
        </w:tc>
        <w:tc>
          <w:tcPr>
            <w:tcW w:w="1315" w:type="dxa"/>
            <w:shd w:val="clear" w:color="auto" w:fill="auto"/>
            <w:vAlign w:val="center"/>
          </w:tcPr>
          <w:p w:rsidR="00FF4A2F" w:rsidRPr="00295D40" w:rsidRDefault="00FF4A2F" w:rsidP="00A33410">
            <w:pPr>
              <w:jc w:val="center"/>
            </w:pPr>
          </w:p>
        </w:tc>
        <w:tc>
          <w:tcPr>
            <w:tcW w:w="1320" w:type="dxa"/>
            <w:shd w:val="clear" w:color="auto" w:fill="auto"/>
            <w:vAlign w:val="center"/>
          </w:tcPr>
          <w:p w:rsidR="00FF4A2F" w:rsidRPr="00295D40" w:rsidRDefault="00FF4A2F" w:rsidP="00A33410">
            <w:pPr>
              <w:jc w:val="center"/>
            </w:pPr>
          </w:p>
        </w:tc>
      </w:tr>
      <w:tr w:rsidR="00295D40" w:rsidRPr="00295D40" w:rsidTr="00610826">
        <w:tc>
          <w:tcPr>
            <w:tcW w:w="2524" w:type="dxa"/>
            <w:shd w:val="clear" w:color="auto" w:fill="auto"/>
          </w:tcPr>
          <w:p w:rsidR="00FF4A2F" w:rsidRPr="00295D40" w:rsidRDefault="00FF4A2F" w:rsidP="003F27FC">
            <w:r w:rsidRPr="00295D40">
              <w:rPr>
                <w:sz w:val="22"/>
                <w:szCs w:val="22"/>
              </w:rPr>
              <w:t>2. Budžeta izdevumi:</w:t>
            </w:r>
          </w:p>
        </w:tc>
        <w:tc>
          <w:tcPr>
            <w:tcW w:w="1484" w:type="dxa"/>
            <w:shd w:val="clear" w:color="auto" w:fill="auto"/>
          </w:tcPr>
          <w:p w:rsidR="00F15A1A" w:rsidRPr="00295D40" w:rsidRDefault="00F15A1A" w:rsidP="00A33410">
            <w:pPr>
              <w:jc w:val="center"/>
            </w:pPr>
            <w:r w:rsidRPr="00295D40">
              <w:rPr>
                <w:sz w:val="22"/>
                <w:szCs w:val="22"/>
              </w:rPr>
              <w:t>3 869 885</w:t>
            </w:r>
          </w:p>
        </w:tc>
        <w:tc>
          <w:tcPr>
            <w:tcW w:w="1331" w:type="dxa"/>
            <w:shd w:val="clear" w:color="auto" w:fill="auto"/>
          </w:tcPr>
          <w:p w:rsidR="00FF4A2F" w:rsidRPr="00295D40" w:rsidRDefault="00FF4A2F" w:rsidP="00A33410">
            <w:pPr>
              <w:jc w:val="center"/>
            </w:pPr>
          </w:p>
        </w:tc>
        <w:tc>
          <w:tcPr>
            <w:tcW w:w="1313" w:type="dxa"/>
            <w:shd w:val="clear" w:color="auto" w:fill="auto"/>
          </w:tcPr>
          <w:p w:rsidR="00F15A1A" w:rsidRPr="00295D40" w:rsidRDefault="00F15A1A" w:rsidP="00A33410">
            <w:pPr>
              <w:jc w:val="center"/>
            </w:pPr>
            <w:r w:rsidRPr="00295D40">
              <w:rPr>
                <w:sz w:val="22"/>
                <w:szCs w:val="22"/>
              </w:rPr>
              <w:t>1 288 787</w:t>
            </w:r>
          </w:p>
        </w:tc>
        <w:tc>
          <w:tcPr>
            <w:tcW w:w="1315" w:type="dxa"/>
            <w:shd w:val="clear" w:color="auto" w:fill="auto"/>
          </w:tcPr>
          <w:p w:rsidR="00FF4A2F" w:rsidRPr="00295D40" w:rsidRDefault="008C3226" w:rsidP="00A33410">
            <w:pPr>
              <w:jc w:val="center"/>
            </w:pPr>
            <w:r w:rsidRPr="00295D40">
              <w:rPr>
                <w:sz w:val="22"/>
                <w:szCs w:val="22"/>
              </w:rPr>
              <w:t>1 288 787</w:t>
            </w:r>
          </w:p>
        </w:tc>
        <w:tc>
          <w:tcPr>
            <w:tcW w:w="1320" w:type="dxa"/>
            <w:shd w:val="clear" w:color="auto" w:fill="auto"/>
          </w:tcPr>
          <w:p w:rsidR="00FF4A2F" w:rsidRPr="00295D40" w:rsidRDefault="008C3226" w:rsidP="00A33410">
            <w:pPr>
              <w:jc w:val="center"/>
            </w:pPr>
            <w:r w:rsidRPr="00295D40">
              <w:rPr>
                <w:sz w:val="22"/>
                <w:szCs w:val="22"/>
              </w:rPr>
              <w:t>1 288 787</w:t>
            </w:r>
          </w:p>
        </w:tc>
      </w:tr>
      <w:tr w:rsidR="00295D40" w:rsidRPr="00295D40" w:rsidTr="00610826">
        <w:tc>
          <w:tcPr>
            <w:tcW w:w="2524" w:type="dxa"/>
            <w:shd w:val="clear" w:color="auto" w:fill="auto"/>
          </w:tcPr>
          <w:p w:rsidR="00FF4A2F" w:rsidRPr="00295D40" w:rsidRDefault="00FF4A2F" w:rsidP="00273F99">
            <w:pPr>
              <w:rPr>
                <w:sz w:val="22"/>
                <w:szCs w:val="22"/>
              </w:rPr>
            </w:pPr>
            <w:r w:rsidRPr="00295D40">
              <w:rPr>
                <w:sz w:val="22"/>
                <w:szCs w:val="22"/>
              </w:rPr>
              <w:t>2.1. valsts pamatbudžets</w:t>
            </w:r>
          </w:p>
        </w:tc>
        <w:tc>
          <w:tcPr>
            <w:tcW w:w="1484" w:type="dxa"/>
            <w:shd w:val="clear" w:color="auto" w:fill="auto"/>
          </w:tcPr>
          <w:p w:rsidR="00F15A1A" w:rsidRPr="00295D40" w:rsidRDefault="00F15A1A" w:rsidP="00A33410">
            <w:pPr>
              <w:jc w:val="center"/>
            </w:pPr>
            <w:r w:rsidRPr="00295D40">
              <w:rPr>
                <w:sz w:val="22"/>
                <w:szCs w:val="22"/>
              </w:rPr>
              <w:t>3 869 885</w:t>
            </w:r>
          </w:p>
        </w:tc>
        <w:tc>
          <w:tcPr>
            <w:tcW w:w="1331" w:type="dxa"/>
            <w:shd w:val="clear" w:color="auto" w:fill="auto"/>
          </w:tcPr>
          <w:p w:rsidR="00FF4A2F" w:rsidRPr="00295D40" w:rsidRDefault="00FF4A2F" w:rsidP="00A33410">
            <w:pPr>
              <w:jc w:val="center"/>
            </w:pPr>
          </w:p>
        </w:tc>
        <w:tc>
          <w:tcPr>
            <w:tcW w:w="1313" w:type="dxa"/>
            <w:shd w:val="clear" w:color="auto" w:fill="auto"/>
          </w:tcPr>
          <w:p w:rsidR="00F15A1A" w:rsidRPr="00295D40" w:rsidRDefault="00F15A1A" w:rsidP="00A33410">
            <w:pPr>
              <w:jc w:val="center"/>
            </w:pPr>
            <w:r w:rsidRPr="00295D40">
              <w:rPr>
                <w:sz w:val="22"/>
                <w:szCs w:val="22"/>
              </w:rPr>
              <w:t>1 288 787</w:t>
            </w:r>
          </w:p>
        </w:tc>
        <w:tc>
          <w:tcPr>
            <w:tcW w:w="1315" w:type="dxa"/>
            <w:shd w:val="clear" w:color="auto" w:fill="auto"/>
          </w:tcPr>
          <w:p w:rsidR="00FF4A2F" w:rsidRPr="00295D40" w:rsidRDefault="008C3226" w:rsidP="00A33410">
            <w:pPr>
              <w:jc w:val="center"/>
            </w:pPr>
            <w:r w:rsidRPr="00295D40">
              <w:rPr>
                <w:sz w:val="22"/>
                <w:szCs w:val="22"/>
              </w:rPr>
              <w:t>1 288 787</w:t>
            </w:r>
          </w:p>
        </w:tc>
        <w:tc>
          <w:tcPr>
            <w:tcW w:w="1320" w:type="dxa"/>
            <w:shd w:val="clear" w:color="auto" w:fill="auto"/>
          </w:tcPr>
          <w:p w:rsidR="00FF4A2F" w:rsidRPr="00295D40" w:rsidRDefault="008C3226" w:rsidP="00A33410">
            <w:pPr>
              <w:jc w:val="center"/>
            </w:pPr>
            <w:r w:rsidRPr="00295D40">
              <w:rPr>
                <w:sz w:val="22"/>
                <w:szCs w:val="22"/>
              </w:rPr>
              <w:t>1 288 787</w:t>
            </w:r>
          </w:p>
        </w:tc>
      </w:tr>
      <w:tr w:rsidR="00295D40" w:rsidRPr="00295D40" w:rsidTr="00610826">
        <w:tc>
          <w:tcPr>
            <w:tcW w:w="2524" w:type="dxa"/>
            <w:shd w:val="clear" w:color="auto" w:fill="auto"/>
          </w:tcPr>
          <w:p w:rsidR="00FF4A2F" w:rsidRPr="00295D40" w:rsidRDefault="00FF4A2F" w:rsidP="00273F99">
            <w:pPr>
              <w:rPr>
                <w:sz w:val="22"/>
                <w:szCs w:val="22"/>
              </w:rPr>
            </w:pPr>
            <w:r w:rsidRPr="00295D40">
              <w:rPr>
                <w:sz w:val="22"/>
                <w:szCs w:val="22"/>
              </w:rPr>
              <w:t>2.2. valsts speciālais budžets</w:t>
            </w:r>
          </w:p>
        </w:tc>
        <w:tc>
          <w:tcPr>
            <w:tcW w:w="1484" w:type="dxa"/>
            <w:shd w:val="clear" w:color="auto" w:fill="auto"/>
            <w:vAlign w:val="center"/>
          </w:tcPr>
          <w:p w:rsidR="00FF4A2F" w:rsidRPr="00295D40" w:rsidRDefault="00FF4A2F" w:rsidP="00B66418">
            <w:pPr>
              <w:pStyle w:val="naisf"/>
              <w:spacing w:before="0" w:after="0"/>
              <w:ind w:firstLine="0"/>
              <w:jc w:val="center"/>
              <w:rPr>
                <w:sz w:val="22"/>
                <w:szCs w:val="22"/>
              </w:rPr>
            </w:pPr>
          </w:p>
        </w:tc>
        <w:tc>
          <w:tcPr>
            <w:tcW w:w="1331" w:type="dxa"/>
            <w:shd w:val="clear" w:color="auto" w:fill="auto"/>
            <w:vAlign w:val="center"/>
          </w:tcPr>
          <w:p w:rsidR="00FF4A2F" w:rsidRPr="00295D40" w:rsidRDefault="00FF4A2F" w:rsidP="00B66418">
            <w:pPr>
              <w:pStyle w:val="naisf"/>
              <w:spacing w:before="0" w:after="0"/>
              <w:ind w:firstLine="0"/>
              <w:jc w:val="center"/>
              <w:rPr>
                <w:sz w:val="22"/>
                <w:szCs w:val="22"/>
              </w:rPr>
            </w:pPr>
          </w:p>
        </w:tc>
        <w:tc>
          <w:tcPr>
            <w:tcW w:w="1313" w:type="dxa"/>
            <w:shd w:val="clear" w:color="auto" w:fill="auto"/>
            <w:vAlign w:val="center"/>
          </w:tcPr>
          <w:p w:rsidR="00FF4A2F" w:rsidRPr="00295D40" w:rsidRDefault="00FF4A2F" w:rsidP="00B66418">
            <w:pPr>
              <w:pStyle w:val="naisf"/>
              <w:spacing w:before="0" w:after="0"/>
              <w:ind w:firstLine="0"/>
              <w:jc w:val="center"/>
              <w:rPr>
                <w:sz w:val="22"/>
                <w:szCs w:val="22"/>
              </w:rPr>
            </w:pPr>
          </w:p>
        </w:tc>
        <w:tc>
          <w:tcPr>
            <w:tcW w:w="1315" w:type="dxa"/>
            <w:shd w:val="clear" w:color="auto" w:fill="auto"/>
            <w:vAlign w:val="center"/>
          </w:tcPr>
          <w:p w:rsidR="00FF4A2F" w:rsidRPr="00295D40" w:rsidRDefault="00FF4A2F" w:rsidP="00B66418">
            <w:pPr>
              <w:pStyle w:val="naisf"/>
              <w:spacing w:before="0" w:after="0"/>
              <w:ind w:firstLine="0"/>
              <w:jc w:val="center"/>
              <w:rPr>
                <w:sz w:val="22"/>
                <w:szCs w:val="22"/>
              </w:rPr>
            </w:pPr>
          </w:p>
        </w:tc>
        <w:tc>
          <w:tcPr>
            <w:tcW w:w="1320" w:type="dxa"/>
            <w:shd w:val="clear" w:color="auto" w:fill="auto"/>
            <w:vAlign w:val="center"/>
          </w:tcPr>
          <w:p w:rsidR="00FF4A2F" w:rsidRPr="00295D40" w:rsidRDefault="00FF4A2F" w:rsidP="00B66418">
            <w:pPr>
              <w:pStyle w:val="naisf"/>
              <w:spacing w:before="0" w:after="0"/>
              <w:ind w:firstLine="0"/>
              <w:jc w:val="center"/>
              <w:rPr>
                <w:sz w:val="22"/>
                <w:szCs w:val="22"/>
              </w:rPr>
            </w:pPr>
          </w:p>
        </w:tc>
      </w:tr>
      <w:tr w:rsidR="00295D40" w:rsidRPr="00295D40" w:rsidTr="00610826">
        <w:tc>
          <w:tcPr>
            <w:tcW w:w="2524" w:type="dxa"/>
            <w:shd w:val="clear" w:color="auto" w:fill="auto"/>
          </w:tcPr>
          <w:p w:rsidR="00FF4A2F" w:rsidRPr="00295D40" w:rsidRDefault="00FF4A2F" w:rsidP="00273F99">
            <w:pPr>
              <w:rPr>
                <w:sz w:val="22"/>
                <w:szCs w:val="22"/>
              </w:rPr>
            </w:pPr>
            <w:r w:rsidRPr="00295D40">
              <w:rPr>
                <w:sz w:val="22"/>
                <w:szCs w:val="22"/>
              </w:rPr>
              <w:t xml:space="preserve">2.3. pašvaldību budžets </w:t>
            </w:r>
          </w:p>
        </w:tc>
        <w:tc>
          <w:tcPr>
            <w:tcW w:w="1484" w:type="dxa"/>
            <w:shd w:val="clear" w:color="auto" w:fill="auto"/>
            <w:vAlign w:val="center"/>
          </w:tcPr>
          <w:p w:rsidR="00FF4A2F" w:rsidRPr="00295D40" w:rsidRDefault="00FF4A2F" w:rsidP="00B66418">
            <w:pPr>
              <w:jc w:val="center"/>
            </w:pPr>
          </w:p>
        </w:tc>
        <w:tc>
          <w:tcPr>
            <w:tcW w:w="1331" w:type="dxa"/>
            <w:shd w:val="clear" w:color="auto" w:fill="auto"/>
            <w:vAlign w:val="center"/>
          </w:tcPr>
          <w:p w:rsidR="00FF4A2F" w:rsidRPr="00295D40" w:rsidRDefault="00FF4A2F" w:rsidP="00B66418">
            <w:pPr>
              <w:jc w:val="center"/>
            </w:pPr>
          </w:p>
        </w:tc>
        <w:tc>
          <w:tcPr>
            <w:tcW w:w="1313" w:type="dxa"/>
            <w:shd w:val="clear" w:color="auto" w:fill="auto"/>
            <w:vAlign w:val="center"/>
          </w:tcPr>
          <w:p w:rsidR="00FF4A2F" w:rsidRPr="00295D40" w:rsidRDefault="00FF4A2F" w:rsidP="00B66418">
            <w:pPr>
              <w:jc w:val="center"/>
            </w:pPr>
          </w:p>
        </w:tc>
        <w:tc>
          <w:tcPr>
            <w:tcW w:w="1315" w:type="dxa"/>
            <w:shd w:val="clear" w:color="auto" w:fill="auto"/>
            <w:vAlign w:val="center"/>
          </w:tcPr>
          <w:p w:rsidR="00FF4A2F" w:rsidRPr="00295D40" w:rsidRDefault="00FF4A2F" w:rsidP="00B66418">
            <w:pPr>
              <w:jc w:val="center"/>
            </w:pPr>
          </w:p>
        </w:tc>
        <w:tc>
          <w:tcPr>
            <w:tcW w:w="1320" w:type="dxa"/>
            <w:shd w:val="clear" w:color="auto" w:fill="auto"/>
            <w:vAlign w:val="center"/>
          </w:tcPr>
          <w:p w:rsidR="00FF4A2F" w:rsidRPr="00295D40" w:rsidRDefault="00FF4A2F" w:rsidP="00B66418">
            <w:pPr>
              <w:jc w:val="center"/>
            </w:pPr>
          </w:p>
        </w:tc>
      </w:tr>
      <w:tr w:rsidR="00295D40" w:rsidRPr="00295D40" w:rsidTr="00610826">
        <w:tc>
          <w:tcPr>
            <w:tcW w:w="2524" w:type="dxa"/>
            <w:shd w:val="clear" w:color="auto" w:fill="auto"/>
          </w:tcPr>
          <w:p w:rsidR="00FF4A2F" w:rsidRPr="00295D40" w:rsidRDefault="00FF4A2F" w:rsidP="009B74D0">
            <w:pPr>
              <w:jc w:val="center"/>
            </w:pPr>
            <w:r w:rsidRPr="00295D40">
              <w:rPr>
                <w:sz w:val="22"/>
                <w:szCs w:val="22"/>
              </w:rPr>
              <w:t>3. Finansiālā ietekme:</w:t>
            </w:r>
          </w:p>
        </w:tc>
        <w:tc>
          <w:tcPr>
            <w:tcW w:w="1484" w:type="dxa"/>
            <w:shd w:val="clear" w:color="auto" w:fill="auto"/>
          </w:tcPr>
          <w:p w:rsidR="00FF4A2F" w:rsidRPr="00295D40" w:rsidRDefault="006E1AB7" w:rsidP="009B74D0">
            <w:pPr>
              <w:jc w:val="center"/>
            </w:pPr>
            <w:r w:rsidRPr="00295D40">
              <w:t>0</w:t>
            </w:r>
          </w:p>
        </w:tc>
        <w:tc>
          <w:tcPr>
            <w:tcW w:w="1331" w:type="dxa"/>
            <w:shd w:val="clear" w:color="auto" w:fill="auto"/>
          </w:tcPr>
          <w:p w:rsidR="00FF4A2F" w:rsidRPr="00295D40" w:rsidRDefault="00FF4A2F" w:rsidP="009B74D0">
            <w:pPr>
              <w:jc w:val="center"/>
            </w:pPr>
          </w:p>
        </w:tc>
        <w:tc>
          <w:tcPr>
            <w:tcW w:w="1313" w:type="dxa"/>
            <w:shd w:val="clear" w:color="auto" w:fill="auto"/>
          </w:tcPr>
          <w:p w:rsidR="00FF4A2F" w:rsidRPr="00295D40" w:rsidRDefault="00FF4A2F" w:rsidP="009B74D0">
            <w:pPr>
              <w:jc w:val="center"/>
            </w:pPr>
            <w:r w:rsidRPr="00295D40">
              <w:t>0</w:t>
            </w:r>
          </w:p>
        </w:tc>
        <w:tc>
          <w:tcPr>
            <w:tcW w:w="1315" w:type="dxa"/>
            <w:shd w:val="clear" w:color="auto" w:fill="auto"/>
          </w:tcPr>
          <w:p w:rsidR="00FF4A2F" w:rsidRPr="00295D40" w:rsidRDefault="00FF4A2F" w:rsidP="009B74D0">
            <w:pPr>
              <w:jc w:val="center"/>
            </w:pPr>
            <w:r w:rsidRPr="00295D40">
              <w:t>0</w:t>
            </w:r>
          </w:p>
        </w:tc>
        <w:tc>
          <w:tcPr>
            <w:tcW w:w="1320" w:type="dxa"/>
            <w:shd w:val="clear" w:color="auto" w:fill="auto"/>
          </w:tcPr>
          <w:p w:rsidR="00FF4A2F" w:rsidRPr="00295D40" w:rsidRDefault="00FF4A2F" w:rsidP="009B74D0">
            <w:pPr>
              <w:jc w:val="center"/>
            </w:pPr>
            <w:r w:rsidRPr="00295D40">
              <w:t>0</w:t>
            </w:r>
          </w:p>
        </w:tc>
      </w:tr>
      <w:tr w:rsidR="00295D40" w:rsidRPr="00295D40" w:rsidTr="00610826">
        <w:tc>
          <w:tcPr>
            <w:tcW w:w="2524" w:type="dxa"/>
            <w:shd w:val="clear" w:color="auto" w:fill="auto"/>
          </w:tcPr>
          <w:p w:rsidR="00FF4A2F" w:rsidRPr="00295D40" w:rsidRDefault="00FF4A2F" w:rsidP="00B66418">
            <w:pPr>
              <w:jc w:val="both"/>
              <w:rPr>
                <w:sz w:val="22"/>
                <w:szCs w:val="22"/>
              </w:rPr>
            </w:pPr>
            <w:r w:rsidRPr="00295D40">
              <w:rPr>
                <w:sz w:val="22"/>
                <w:szCs w:val="22"/>
              </w:rPr>
              <w:t>3.1. valsts pamatbudžets</w:t>
            </w:r>
          </w:p>
        </w:tc>
        <w:tc>
          <w:tcPr>
            <w:tcW w:w="1484" w:type="dxa"/>
            <w:shd w:val="clear" w:color="auto" w:fill="auto"/>
            <w:vAlign w:val="center"/>
          </w:tcPr>
          <w:p w:rsidR="00FF4A2F" w:rsidRPr="00295D40" w:rsidRDefault="00FF4A2F" w:rsidP="00B66418">
            <w:pPr>
              <w:pStyle w:val="naisf"/>
              <w:spacing w:before="0" w:after="0"/>
              <w:ind w:firstLine="0"/>
              <w:jc w:val="center"/>
              <w:rPr>
                <w:b/>
                <w:i/>
                <w:sz w:val="22"/>
                <w:szCs w:val="22"/>
              </w:rPr>
            </w:pPr>
          </w:p>
        </w:tc>
        <w:tc>
          <w:tcPr>
            <w:tcW w:w="1331" w:type="dxa"/>
            <w:shd w:val="clear" w:color="auto" w:fill="auto"/>
            <w:vAlign w:val="center"/>
          </w:tcPr>
          <w:p w:rsidR="00FF4A2F" w:rsidRPr="00295D40" w:rsidRDefault="00FF4A2F" w:rsidP="00B66418">
            <w:pPr>
              <w:pStyle w:val="naisf"/>
              <w:spacing w:before="0" w:after="0"/>
              <w:ind w:firstLine="0"/>
              <w:jc w:val="center"/>
              <w:rPr>
                <w:b/>
                <w:i/>
                <w:sz w:val="22"/>
                <w:szCs w:val="22"/>
              </w:rPr>
            </w:pPr>
          </w:p>
        </w:tc>
        <w:tc>
          <w:tcPr>
            <w:tcW w:w="1313" w:type="dxa"/>
            <w:shd w:val="clear" w:color="auto" w:fill="auto"/>
            <w:vAlign w:val="center"/>
          </w:tcPr>
          <w:p w:rsidR="00FF4A2F" w:rsidRPr="00295D40" w:rsidRDefault="00FF4A2F" w:rsidP="00B66418">
            <w:pPr>
              <w:pStyle w:val="naisf"/>
              <w:spacing w:before="0" w:after="0"/>
              <w:ind w:firstLine="0"/>
              <w:jc w:val="center"/>
              <w:rPr>
                <w:b/>
                <w:i/>
                <w:sz w:val="22"/>
                <w:szCs w:val="22"/>
              </w:rPr>
            </w:pPr>
          </w:p>
        </w:tc>
        <w:tc>
          <w:tcPr>
            <w:tcW w:w="1315" w:type="dxa"/>
            <w:shd w:val="clear" w:color="auto" w:fill="auto"/>
            <w:vAlign w:val="center"/>
          </w:tcPr>
          <w:p w:rsidR="00FF4A2F" w:rsidRPr="00295D40" w:rsidRDefault="00FF4A2F" w:rsidP="00B66418">
            <w:pPr>
              <w:pStyle w:val="naisf"/>
              <w:spacing w:before="0" w:after="0"/>
              <w:ind w:firstLine="0"/>
              <w:jc w:val="center"/>
              <w:rPr>
                <w:b/>
                <w:i/>
                <w:sz w:val="22"/>
                <w:szCs w:val="22"/>
              </w:rPr>
            </w:pPr>
          </w:p>
        </w:tc>
        <w:tc>
          <w:tcPr>
            <w:tcW w:w="1320" w:type="dxa"/>
            <w:shd w:val="clear" w:color="auto" w:fill="auto"/>
            <w:vAlign w:val="center"/>
          </w:tcPr>
          <w:p w:rsidR="00FF4A2F" w:rsidRPr="00295D40" w:rsidRDefault="00FF4A2F" w:rsidP="00B66418">
            <w:pPr>
              <w:pStyle w:val="naisf"/>
              <w:spacing w:before="0" w:after="0"/>
              <w:ind w:firstLine="0"/>
              <w:jc w:val="center"/>
              <w:rPr>
                <w:b/>
                <w:i/>
                <w:sz w:val="22"/>
                <w:szCs w:val="22"/>
              </w:rPr>
            </w:pPr>
          </w:p>
        </w:tc>
      </w:tr>
      <w:tr w:rsidR="00295D40" w:rsidRPr="00295D40" w:rsidTr="00610826">
        <w:tc>
          <w:tcPr>
            <w:tcW w:w="2524" w:type="dxa"/>
            <w:shd w:val="clear" w:color="auto" w:fill="auto"/>
          </w:tcPr>
          <w:p w:rsidR="00FF4A2F" w:rsidRPr="00295D40" w:rsidRDefault="00FF4A2F" w:rsidP="00B66418">
            <w:pPr>
              <w:jc w:val="both"/>
              <w:rPr>
                <w:sz w:val="22"/>
                <w:szCs w:val="22"/>
              </w:rPr>
            </w:pPr>
            <w:r w:rsidRPr="00295D40">
              <w:rPr>
                <w:sz w:val="22"/>
                <w:szCs w:val="22"/>
              </w:rPr>
              <w:t>3.2. speciālais budžets</w:t>
            </w:r>
          </w:p>
        </w:tc>
        <w:tc>
          <w:tcPr>
            <w:tcW w:w="1484" w:type="dxa"/>
            <w:shd w:val="clear" w:color="auto" w:fill="auto"/>
            <w:vAlign w:val="center"/>
          </w:tcPr>
          <w:p w:rsidR="00FF4A2F" w:rsidRPr="00295D40" w:rsidRDefault="00FF4A2F" w:rsidP="00B66418">
            <w:pPr>
              <w:pStyle w:val="naisf"/>
              <w:spacing w:before="0" w:after="0"/>
              <w:ind w:firstLine="0"/>
              <w:jc w:val="center"/>
            </w:pPr>
          </w:p>
        </w:tc>
        <w:tc>
          <w:tcPr>
            <w:tcW w:w="1331" w:type="dxa"/>
            <w:shd w:val="clear" w:color="auto" w:fill="auto"/>
            <w:vAlign w:val="center"/>
          </w:tcPr>
          <w:p w:rsidR="00FF4A2F" w:rsidRPr="00295D40" w:rsidRDefault="00FF4A2F" w:rsidP="00B66418">
            <w:pPr>
              <w:pStyle w:val="naisf"/>
              <w:spacing w:before="0" w:after="0"/>
              <w:ind w:firstLine="0"/>
              <w:jc w:val="center"/>
              <w:rPr>
                <w:b/>
                <w:i/>
                <w:sz w:val="22"/>
                <w:szCs w:val="22"/>
              </w:rPr>
            </w:pPr>
          </w:p>
        </w:tc>
        <w:tc>
          <w:tcPr>
            <w:tcW w:w="1313" w:type="dxa"/>
            <w:shd w:val="clear" w:color="auto" w:fill="auto"/>
            <w:vAlign w:val="center"/>
          </w:tcPr>
          <w:p w:rsidR="00FF4A2F" w:rsidRPr="00295D40" w:rsidRDefault="00FF4A2F" w:rsidP="00B66418">
            <w:pPr>
              <w:pStyle w:val="naisf"/>
              <w:spacing w:before="0" w:after="0"/>
              <w:ind w:firstLine="0"/>
              <w:jc w:val="center"/>
              <w:rPr>
                <w:sz w:val="22"/>
                <w:szCs w:val="22"/>
              </w:rPr>
            </w:pPr>
          </w:p>
        </w:tc>
        <w:tc>
          <w:tcPr>
            <w:tcW w:w="1315" w:type="dxa"/>
            <w:shd w:val="clear" w:color="auto" w:fill="auto"/>
            <w:vAlign w:val="center"/>
          </w:tcPr>
          <w:p w:rsidR="00FF4A2F" w:rsidRPr="00295D40" w:rsidRDefault="00FF4A2F" w:rsidP="00B66418">
            <w:pPr>
              <w:pStyle w:val="naisf"/>
              <w:spacing w:before="0" w:after="0"/>
              <w:ind w:firstLine="0"/>
              <w:jc w:val="center"/>
              <w:rPr>
                <w:sz w:val="22"/>
                <w:szCs w:val="22"/>
              </w:rPr>
            </w:pPr>
          </w:p>
        </w:tc>
        <w:tc>
          <w:tcPr>
            <w:tcW w:w="1320" w:type="dxa"/>
            <w:shd w:val="clear" w:color="auto" w:fill="auto"/>
            <w:vAlign w:val="center"/>
          </w:tcPr>
          <w:p w:rsidR="00FF4A2F" w:rsidRPr="00295D40" w:rsidRDefault="00FF4A2F" w:rsidP="00B66418">
            <w:pPr>
              <w:pStyle w:val="naisf"/>
              <w:spacing w:before="0" w:after="0"/>
              <w:ind w:firstLine="0"/>
              <w:jc w:val="center"/>
              <w:rPr>
                <w:sz w:val="22"/>
                <w:szCs w:val="22"/>
              </w:rPr>
            </w:pPr>
          </w:p>
        </w:tc>
      </w:tr>
      <w:tr w:rsidR="00295D40" w:rsidRPr="00295D40" w:rsidTr="00610826">
        <w:tc>
          <w:tcPr>
            <w:tcW w:w="2524" w:type="dxa"/>
            <w:shd w:val="clear" w:color="auto" w:fill="auto"/>
          </w:tcPr>
          <w:p w:rsidR="00FF4A2F" w:rsidRPr="00295D40" w:rsidRDefault="00FF4A2F" w:rsidP="00B66418">
            <w:pPr>
              <w:jc w:val="both"/>
              <w:rPr>
                <w:sz w:val="22"/>
                <w:szCs w:val="22"/>
              </w:rPr>
            </w:pPr>
            <w:r w:rsidRPr="00295D40">
              <w:rPr>
                <w:sz w:val="22"/>
                <w:szCs w:val="22"/>
              </w:rPr>
              <w:t xml:space="preserve">3.3. pašvaldību budžets </w:t>
            </w:r>
          </w:p>
        </w:tc>
        <w:tc>
          <w:tcPr>
            <w:tcW w:w="1484" w:type="dxa"/>
            <w:shd w:val="clear" w:color="auto" w:fill="auto"/>
            <w:vAlign w:val="center"/>
          </w:tcPr>
          <w:p w:rsidR="00FF4A2F" w:rsidRPr="00295D40" w:rsidRDefault="00FF4A2F" w:rsidP="00B66418">
            <w:pPr>
              <w:pStyle w:val="naisf"/>
              <w:spacing w:before="0" w:after="0"/>
              <w:ind w:firstLine="0"/>
              <w:jc w:val="center"/>
              <w:rPr>
                <w:b/>
                <w:i/>
                <w:sz w:val="22"/>
                <w:szCs w:val="22"/>
              </w:rPr>
            </w:pPr>
          </w:p>
        </w:tc>
        <w:tc>
          <w:tcPr>
            <w:tcW w:w="1331" w:type="dxa"/>
            <w:shd w:val="clear" w:color="auto" w:fill="auto"/>
            <w:vAlign w:val="center"/>
          </w:tcPr>
          <w:p w:rsidR="00FF4A2F" w:rsidRPr="00295D40" w:rsidRDefault="00FF4A2F" w:rsidP="00B66418">
            <w:pPr>
              <w:pStyle w:val="naisf"/>
              <w:spacing w:before="0" w:after="0"/>
              <w:ind w:firstLine="0"/>
              <w:jc w:val="center"/>
              <w:rPr>
                <w:b/>
                <w:i/>
                <w:sz w:val="22"/>
                <w:szCs w:val="22"/>
              </w:rPr>
            </w:pPr>
          </w:p>
        </w:tc>
        <w:tc>
          <w:tcPr>
            <w:tcW w:w="1313" w:type="dxa"/>
            <w:shd w:val="clear" w:color="auto" w:fill="auto"/>
            <w:vAlign w:val="center"/>
          </w:tcPr>
          <w:p w:rsidR="00FF4A2F" w:rsidRPr="00295D40" w:rsidRDefault="00FF4A2F" w:rsidP="00B66418">
            <w:pPr>
              <w:pStyle w:val="naisf"/>
              <w:spacing w:before="0" w:after="0"/>
              <w:ind w:firstLine="0"/>
              <w:jc w:val="center"/>
              <w:rPr>
                <w:b/>
                <w:i/>
                <w:sz w:val="22"/>
                <w:szCs w:val="22"/>
              </w:rPr>
            </w:pPr>
          </w:p>
        </w:tc>
        <w:tc>
          <w:tcPr>
            <w:tcW w:w="1315" w:type="dxa"/>
            <w:shd w:val="clear" w:color="auto" w:fill="auto"/>
            <w:vAlign w:val="center"/>
          </w:tcPr>
          <w:p w:rsidR="00FF4A2F" w:rsidRPr="00295D40" w:rsidRDefault="00FF4A2F" w:rsidP="00B66418">
            <w:pPr>
              <w:pStyle w:val="naisf"/>
              <w:spacing w:before="0" w:after="0"/>
              <w:ind w:firstLine="0"/>
              <w:jc w:val="center"/>
              <w:rPr>
                <w:b/>
                <w:i/>
                <w:sz w:val="22"/>
                <w:szCs w:val="22"/>
              </w:rPr>
            </w:pPr>
          </w:p>
        </w:tc>
        <w:tc>
          <w:tcPr>
            <w:tcW w:w="1320" w:type="dxa"/>
            <w:shd w:val="clear" w:color="auto" w:fill="auto"/>
            <w:vAlign w:val="center"/>
          </w:tcPr>
          <w:p w:rsidR="00FF4A2F" w:rsidRPr="00295D40" w:rsidRDefault="00FF4A2F" w:rsidP="00B66418">
            <w:pPr>
              <w:pStyle w:val="naisf"/>
              <w:spacing w:before="0" w:after="0"/>
              <w:ind w:firstLine="0"/>
              <w:jc w:val="center"/>
              <w:rPr>
                <w:b/>
                <w:i/>
                <w:sz w:val="22"/>
                <w:szCs w:val="22"/>
              </w:rPr>
            </w:pPr>
          </w:p>
        </w:tc>
      </w:tr>
      <w:tr w:rsidR="00295D40" w:rsidRPr="00295D40" w:rsidTr="00610826">
        <w:tc>
          <w:tcPr>
            <w:tcW w:w="2524" w:type="dxa"/>
            <w:shd w:val="clear" w:color="auto" w:fill="auto"/>
          </w:tcPr>
          <w:p w:rsidR="00FF4A2F" w:rsidRPr="00295D40" w:rsidRDefault="00FF4A2F" w:rsidP="00273F99">
            <w:r w:rsidRPr="00295D40">
              <w:rPr>
                <w:sz w:val="22"/>
                <w:szCs w:val="22"/>
              </w:rPr>
              <w:t>4. Finanšu līdzekļi papildu izdevumu finansēšanai (kompensējošu izdevumu samazinājumu norāda ar "+" zīmi)</w:t>
            </w:r>
          </w:p>
        </w:tc>
        <w:tc>
          <w:tcPr>
            <w:tcW w:w="1484" w:type="dxa"/>
            <w:shd w:val="clear" w:color="auto" w:fill="auto"/>
            <w:vAlign w:val="center"/>
          </w:tcPr>
          <w:p w:rsidR="00FF4A2F" w:rsidRPr="00295D40" w:rsidRDefault="00FF4A2F" w:rsidP="00B66418">
            <w:pPr>
              <w:jc w:val="center"/>
              <w:rPr>
                <w:b/>
                <w:sz w:val="40"/>
                <w:szCs w:val="40"/>
              </w:rPr>
            </w:pPr>
            <w:r w:rsidRPr="00295D40">
              <w:rPr>
                <w:b/>
                <w:sz w:val="40"/>
                <w:szCs w:val="40"/>
              </w:rPr>
              <w:t>x</w:t>
            </w:r>
          </w:p>
        </w:tc>
        <w:tc>
          <w:tcPr>
            <w:tcW w:w="1331" w:type="dxa"/>
            <w:shd w:val="clear" w:color="auto" w:fill="auto"/>
            <w:vAlign w:val="center"/>
          </w:tcPr>
          <w:p w:rsidR="00FF4A2F" w:rsidRPr="00295D40" w:rsidRDefault="00FF4A2F" w:rsidP="00B66418">
            <w:pPr>
              <w:jc w:val="center"/>
            </w:pPr>
          </w:p>
        </w:tc>
        <w:tc>
          <w:tcPr>
            <w:tcW w:w="1313" w:type="dxa"/>
            <w:shd w:val="clear" w:color="auto" w:fill="auto"/>
            <w:vAlign w:val="center"/>
          </w:tcPr>
          <w:p w:rsidR="00FF4A2F" w:rsidRPr="00295D40" w:rsidRDefault="00FF4A2F" w:rsidP="00B66418">
            <w:pPr>
              <w:jc w:val="center"/>
            </w:pPr>
          </w:p>
        </w:tc>
        <w:tc>
          <w:tcPr>
            <w:tcW w:w="1315" w:type="dxa"/>
            <w:shd w:val="clear" w:color="auto" w:fill="auto"/>
            <w:vAlign w:val="center"/>
          </w:tcPr>
          <w:p w:rsidR="00FF4A2F" w:rsidRPr="00295D40" w:rsidRDefault="00FF4A2F" w:rsidP="00B66418">
            <w:pPr>
              <w:jc w:val="center"/>
            </w:pPr>
          </w:p>
        </w:tc>
        <w:tc>
          <w:tcPr>
            <w:tcW w:w="1320" w:type="dxa"/>
            <w:shd w:val="clear" w:color="auto" w:fill="auto"/>
            <w:vAlign w:val="center"/>
          </w:tcPr>
          <w:p w:rsidR="00FF4A2F" w:rsidRPr="00295D40" w:rsidRDefault="00FF4A2F" w:rsidP="00B66418">
            <w:pPr>
              <w:jc w:val="center"/>
            </w:pPr>
          </w:p>
        </w:tc>
      </w:tr>
      <w:tr w:rsidR="00295D40" w:rsidRPr="00295D40" w:rsidTr="00610826">
        <w:tc>
          <w:tcPr>
            <w:tcW w:w="2524" w:type="dxa"/>
            <w:shd w:val="clear" w:color="auto" w:fill="auto"/>
          </w:tcPr>
          <w:p w:rsidR="00FF4A2F" w:rsidRPr="00295D40" w:rsidRDefault="00FF4A2F" w:rsidP="00273F99">
            <w:r w:rsidRPr="00295D40">
              <w:rPr>
                <w:sz w:val="22"/>
                <w:szCs w:val="22"/>
              </w:rPr>
              <w:t>5. Precizēta finansiālā ietekme:</w:t>
            </w:r>
          </w:p>
        </w:tc>
        <w:tc>
          <w:tcPr>
            <w:tcW w:w="1484" w:type="dxa"/>
            <w:vMerge w:val="restart"/>
            <w:shd w:val="clear" w:color="auto" w:fill="auto"/>
            <w:vAlign w:val="center"/>
          </w:tcPr>
          <w:p w:rsidR="00FF4A2F" w:rsidRPr="00295D40" w:rsidRDefault="00FF4A2F" w:rsidP="00B66418">
            <w:pPr>
              <w:jc w:val="center"/>
            </w:pPr>
            <w:r w:rsidRPr="00295D40">
              <w:rPr>
                <w:b/>
                <w:sz w:val="40"/>
                <w:szCs w:val="40"/>
              </w:rPr>
              <w:t>x</w:t>
            </w:r>
          </w:p>
        </w:tc>
        <w:tc>
          <w:tcPr>
            <w:tcW w:w="1331" w:type="dxa"/>
            <w:shd w:val="clear" w:color="auto" w:fill="auto"/>
            <w:vAlign w:val="center"/>
          </w:tcPr>
          <w:p w:rsidR="00FF4A2F" w:rsidRPr="00295D40" w:rsidRDefault="00FF4A2F" w:rsidP="00B66418">
            <w:pPr>
              <w:jc w:val="center"/>
            </w:pPr>
          </w:p>
        </w:tc>
        <w:tc>
          <w:tcPr>
            <w:tcW w:w="1313" w:type="dxa"/>
            <w:shd w:val="clear" w:color="auto" w:fill="auto"/>
            <w:vAlign w:val="center"/>
          </w:tcPr>
          <w:p w:rsidR="00FF4A2F" w:rsidRPr="00295D40" w:rsidRDefault="00FF4A2F" w:rsidP="00B66418">
            <w:pPr>
              <w:jc w:val="center"/>
            </w:pPr>
          </w:p>
        </w:tc>
        <w:tc>
          <w:tcPr>
            <w:tcW w:w="1315" w:type="dxa"/>
            <w:shd w:val="clear" w:color="auto" w:fill="auto"/>
            <w:vAlign w:val="center"/>
          </w:tcPr>
          <w:p w:rsidR="00FF4A2F" w:rsidRPr="00295D40" w:rsidRDefault="00FF4A2F" w:rsidP="00B66418">
            <w:pPr>
              <w:jc w:val="center"/>
            </w:pPr>
          </w:p>
        </w:tc>
        <w:tc>
          <w:tcPr>
            <w:tcW w:w="1320" w:type="dxa"/>
            <w:shd w:val="clear" w:color="auto" w:fill="auto"/>
            <w:vAlign w:val="center"/>
          </w:tcPr>
          <w:p w:rsidR="00FF4A2F" w:rsidRPr="00295D40" w:rsidRDefault="00FF4A2F" w:rsidP="00B66418">
            <w:pPr>
              <w:jc w:val="center"/>
            </w:pPr>
          </w:p>
        </w:tc>
      </w:tr>
      <w:tr w:rsidR="00295D40" w:rsidRPr="00295D40" w:rsidTr="00610826">
        <w:tc>
          <w:tcPr>
            <w:tcW w:w="2524" w:type="dxa"/>
            <w:shd w:val="clear" w:color="auto" w:fill="auto"/>
          </w:tcPr>
          <w:p w:rsidR="00FF4A2F" w:rsidRPr="00295D40" w:rsidRDefault="00FF4A2F" w:rsidP="00B66418">
            <w:pPr>
              <w:jc w:val="both"/>
              <w:rPr>
                <w:sz w:val="22"/>
                <w:szCs w:val="22"/>
              </w:rPr>
            </w:pPr>
            <w:r w:rsidRPr="00295D40">
              <w:rPr>
                <w:sz w:val="22"/>
                <w:szCs w:val="22"/>
              </w:rPr>
              <w:t>5.1. valsts pamatbudžets</w:t>
            </w:r>
          </w:p>
        </w:tc>
        <w:tc>
          <w:tcPr>
            <w:tcW w:w="1484" w:type="dxa"/>
            <w:vMerge/>
            <w:shd w:val="clear" w:color="auto" w:fill="auto"/>
          </w:tcPr>
          <w:p w:rsidR="00FF4A2F" w:rsidRPr="00295D40" w:rsidRDefault="00FF4A2F" w:rsidP="00B66418">
            <w:pPr>
              <w:jc w:val="center"/>
            </w:pPr>
          </w:p>
        </w:tc>
        <w:tc>
          <w:tcPr>
            <w:tcW w:w="1331" w:type="dxa"/>
            <w:shd w:val="clear" w:color="auto" w:fill="auto"/>
            <w:vAlign w:val="center"/>
          </w:tcPr>
          <w:p w:rsidR="00FF4A2F" w:rsidRPr="00295D40" w:rsidRDefault="00FF4A2F" w:rsidP="00B66418">
            <w:pPr>
              <w:jc w:val="center"/>
            </w:pPr>
          </w:p>
        </w:tc>
        <w:tc>
          <w:tcPr>
            <w:tcW w:w="1313" w:type="dxa"/>
            <w:shd w:val="clear" w:color="auto" w:fill="auto"/>
            <w:vAlign w:val="center"/>
          </w:tcPr>
          <w:p w:rsidR="00FF4A2F" w:rsidRPr="00295D40" w:rsidRDefault="00FF4A2F" w:rsidP="00B66418">
            <w:pPr>
              <w:jc w:val="center"/>
            </w:pPr>
          </w:p>
        </w:tc>
        <w:tc>
          <w:tcPr>
            <w:tcW w:w="1315" w:type="dxa"/>
            <w:shd w:val="clear" w:color="auto" w:fill="auto"/>
            <w:vAlign w:val="center"/>
          </w:tcPr>
          <w:p w:rsidR="00FF4A2F" w:rsidRPr="00295D40" w:rsidRDefault="00FF4A2F" w:rsidP="00B66418">
            <w:pPr>
              <w:jc w:val="center"/>
            </w:pPr>
          </w:p>
        </w:tc>
        <w:tc>
          <w:tcPr>
            <w:tcW w:w="1320" w:type="dxa"/>
            <w:shd w:val="clear" w:color="auto" w:fill="auto"/>
            <w:vAlign w:val="center"/>
          </w:tcPr>
          <w:p w:rsidR="00FF4A2F" w:rsidRPr="00295D40" w:rsidRDefault="00FF4A2F" w:rsidP="00B66418">
            <w:pPr>
              <w:jc w:val="center"/>
            </w:pPr>
          </w:p>
        </w:tc>
      </w:tr>
      <w:tr w:rsidR="00295D40" w:rsidRPr="00295D40" w:rsidTr="00610826">
        <w:tc>
          <w:tcPr>
            <w:tcW w:w="2524" w:type="dxa"/>
            <w:shd w:val="clear" w:color="auto" w:fill="auto"/>
          </w:tcPr>
          <w:p w:rsidR="00FF4A2F" w:rsidRPr="00295D40" w:rsidRDefault="00FF4A2F" w:rsidP="00B66418">
            <w:pPr>
              <w:jc w:val="both"/>
              <w:rPr>
                <w:sz w:val="22"/>
                <w:szCs w:val="22"/>
              </w:rPr>
            </w:pPr>
            <w:r w:rsidRPr="00295D40">
              <w:rPr>
                <w:sz w:val="22"/>
                <w:szCs w:val="22"/>
              </w:rPr>
              <w:t>5.2. speciālais budžets</w:t>
            </w:r>
          </w:p>
        </w:tc>
        <w:tc>
          <w:tcPr>
            <w:tcW w:w="1484" w:type="dxa"/>
            <w:vMerge/>
            <w:shd w:val="clear" w:color="auto" w:fill="auto"/>
          </w:tcPr>
          <w:p w:rsidR="00FF4A2F" w:rsidRPr="00295D40" w:rsidRDefault="00FF4A2F" w:rsidP="00B66418">
            <w:pPr>
              <w:jc w:val="center"/>
            </w:pPr>
          </w:p>
        </w:tc>
        <w:tc>
          <w:tcPr>
            <w:tcW w:w="1331" w:type="dxa"/>
            <w:shd w:val="clear" w:color="auto" w:fill="auto"/>
            <w:vAlign w:val="center"/>
          </w:tcPr>
          <w:p w:rsidR="00FF4A2F" w:rsidRPr="00295D40" w:rsidRDefault="00FF4A2F" w:rsidP="00B66418">
            <w:pPr>
              <w:jc w:val="center"/>
            </w:pPr>
          </w:p>
        </w:tc>
        <w:tc>
          <w:tcPr>
            <w:tcW w:w="1313" w:type="dxa"/>
            <w:shd w:val="clear" w:color="auto" w:fill="auto"/>
            <w:vAlign w:val="center"/>
          </w:tcPr>
          <w:p w:rsidR="00FF4A2F" w:rsidRPr="00295D40" w:rsidRDefault="00FF4A2F" w:rsidP="00B66418">
            <w:pPr>
              <w:jc w:val="center"/>
            </w:pPr>
          </w:p>
        </w:tc>
        <w:tc>
          <w:tcPr>
            <w:tcW w:w="1315" w:type="dxa"/>
            <w:shd w:val="clear" w:color="auto" w:fill="auto"/>
            <w:vAlign w:val="center"/>
          </w:tcPr>
          <w:p w:rsidR="00FF4A2F" w:rsidRPr="00295D40" w:rsidRDefault="00FF4A2F" w:rsidP="00B66418">
            <w:pPr>
              <w:jc w:val="center"/>
            </w:pPr>
          </w:p>
        </w:tc>
        <w:tc>
          <w:tcPr>
            <w:tcW w:w="1320" w:type="dxa"/>
            <w:shd w:val="clear" w:color="auto" w:fill="auto"/>
            <w:vAlign w:val="center"/>
          </w:tcPr>
          <w:p w:rsidR="00FF4A2F" w:rsidRPr="00295D40" w:rsidRDefault="00FF4A2F" w:rsidP="00B66418">
            <w:pPr>
              <w:jc w:val="center"/>
            </w:pPr>
          </w:p>
        </w:tc>
      </w:tr>
      <w:tr w:rsidR="00295D40" w:rsidRPr="00295D40" w:rsidTr="00610826">
        <w:tc>
          <w:tcPr>
            <w:tcW w:w="2524" w:type="dxa"/>
            <w:shd w:val="clear" w:color="auto" w:fill="auto"/>
          </w:tcPr>
          <w:p w:rsidR="00FF4A2F" w:rsidRPr="00295D40" w:rsidRDefault="00FF4A2F" w:rsidP="00B66418">
            <w:pPr>
              <w:jc w:val="both"/>
              <w:rPr>
                <w:sz w:val="22"/>
                <w:szCs w:val="22"/>
              </w:rPr>
            </w:pPr>
            <w:r w:rsidRPr="00295D40">
              <w:rPr>
                <w:sz w:val="22"/>
                <w:szCs w:val="22"/>
              </w:rPr>
              <w:t xml:space="preserve">5.3. pašvaldību budžets </w:t>
            </w:r>
          </w:p>
        </w:tc>
        <w:tc>
          <w:tcPr>
            <w:tcW w:w="1484" w:type="dxa"/>
            <w:vMerge/>
            <w:shd w:val="clear" w:color="auto" w:fill="auto"/>
          </w:tcPr>
          <w:p w:rsidR="00FF4A2F" w:rsidRPr="00295D40" w:rsidRDefault="00FF4A2F" w:rsidP="00B66418">
            <w:pPr>
              <w:jc w:val="center"/>
            </w:pPr>
          </w:p>
        </w:tc>
        <w:tc>
          <w:tcPr>
            <w:tcW w:w="1331" w:type="dxa"/>
            <w:shd w:val="clear" w:color="auto" w:fill="auto"/>
            <w:vAlign w:val="center"/>
          </w:tcPr>
          <w:p w:rsidR="00FF4A2F" w:rsidRPr="00295D40" w:rsidRDefault="00FF4A2F" w:rsidP="00B66418">
            <w:pPr>
              <w:jc w:val="center"/>
            </w:pPr>
          </w:p>
        </w:tc>
        <w:tc>
          <w:tcPr>
            <w:tcW w:w="1313" w:type="dxa"/>
            <w:shd w:val="clear" w:color="auto" w:fill="auto"/>
            <w:vAlign w:val="center"/>
          </w:tcPr>
          <w:p w:rsidR="00FF4A2F" w:rsidRPr="00295D40" w:rsidRDefault="00FF4A2F" w:rsidP="00B66418">
            <w:pPr>
              <w:jc w:val="center"/>
            </w:pPr>
          </w:p>
        </w:tc>
        <w:tc>
          <w:tcPr>
            <w:tcW w:w="1315" w:type="dxa"/>
            <w:shd w:val="clear" w:color="auto" w:fill="auto"/>
            <w:vAlign w:val="center"/>
          </w:tcPr>
          <w:p w:rsidR="00FF4A2F" w:rsidRPr="00295D40" w:rsidRDefault="00FF4A2F" w:rsidP="00B66418">
            <w:pPr>
              <w:jc w:val="center"/>
            </w:pPr>
          </w:p>
        </w:tc>
        <w:tc>
          <w:tcPr>
            <w:tcW w:w="1320" w:type="dxa"/>
            <w:shd w:val="clear" w:color="auto" w:fill="auto"/>
            <w:vAlign w:val="center"/>
          </w:tcPr>
          <w:p w:rsidR="00FF4A2F" w:rsidRPr="00295D40" w:rsidRDefault="00FF4A2F" w:rsidP="00B66418">
            <w:pPr>
              <w:jc w:val="center"/>
            </w:pPr>
          </w:p>
        </w:tc>
      </w:tr>
      <w:tr w:rsidR="00295D40" w:rsidRPr="00295D40" w:rsidTr="00B66418">
        <w:tc>
          <w:tcPr>
            <w:tcW w:w="9287" w:type="dxa"/>
            <w:gridSpan w:val="6"/>
            <w:shd w:val="clear" w:color="auto" w:fill="auto"/>
          </w:tcPr>
          <w:p w:rsidR="00FF4A2F" w:rsidRPr="00295D40" w:rsidRDefault="00FF4A2F" w:rsidP="003F27FC">
            <w:r w:rsidRPr="00295D40">
              <w:rPr>
                <w:sz w:val="22"/>
                <w:szCs w:val="22"/>
              </w:rPr>
              <w:t>6. Detalizēts ieņēmumu un izdevumu aprēķins (ja nepieciešams, detalizētu ieņēmumu un izdevumu aprēķinu var pievienot anotācijas pielikumā):</w:t>
            </w:r>
          </w:p>
        </w:tc>
      </w:tr>
      <w:tr w:rsidR="00295D40" w:rsidRPr="00295D40" w:rsidTr="00610826">
        <w:tc>
          <w:tcPr>
            <w:tcW w:w="2524" w:type="dxa"/>
            <w:shd w:val="clear" w:color="auto" w:fill="auto"/>
          </w:tcPr>
          <w:p w:rsidR="00FF4A2F" w:rsidRPr="00295D40" w:rsidRDefault="00FF4A2F" w:rsidP="00273F99">
            <w:pPr>
              <w:rPr>
                <w:sz w:val="22"/>
                <w:szCs w:val="22"/>
              </w:rPr>
            </w:pPr>
            <w:r w:rsidRPr="00295D40">
              <w:rPr>
                <w:sz w:val="22"/>
                <w:szCs w:val="22"/>
              </w:rPr>
              <w:t>6.1. Detalizēts ieņēmumu aprēķins</w:t>
            </w:r>
          </w:p>
        </w:tc>
        <w:tc>
          <w:tcPr>
            <w:tcW w:w="6763" w:type="dxa"/>
            <w:gridSpan w:val="5"/>
            <w:shd w:val="clear" w:color="auto" w:fill="auto"/>
            <w:vAlign w:val="center"/>
          </w:tcPr>
          <w:p w:rsidR="00FF4A2F" w:rsidRPr="00295D40" w:rsidRDefault="00FF4A2F" w:rsidP="002241A8">
            <w:pPr>
              <w:jc w:val="both"/>
              <w:rPr>
                <w:sz w:val="22"/>
                <w:szCs w:val="22"/>
              </w:rPr>
            </w:pPr>
            <w:r w:rsidRPr="00295D40">
              <w:rPr>
                <w:sz w:val="22"/>
                <w:szCs w:val="22"/>
              </w:rPr>
              <w:t>Mērķdotācija pašvaldībai (dzīvokļa pabalsta līdzfinansējumam</w:t>
            </w:r>
            <w:r w:rsidR="002241A8" w:rsidRPr="00295D40">
              <w:rPr>
                <w:sz w:val="22"/>
                <w:szCs w:val="22"/>
              </w:rPr>
              <w:t xml:space="preserve"> 15% apmērā</w:t>
            </w:r>
            <w:r w:rsidRPr="00295D40">
              <w:rPr>
                <w:sz w:val="22"/>
                <w:szCs w:val="22"/>
              </w:rPr>
              <w:t xml:space="preserve">) ir ieplānota Labklājības ministrijas </w:t>
            </w:r>
            <w:r w:rsidR="003B099E" w:rsidRPr="00295D40">
              <w:rPr>
                <w:sz w:val="22"/>
                <w:szCs w:val="22"/>
              </w:rPr>
              <w:t>pamatbudžetā atbilstoši likumam „Par vidēja termiņa budžeta ietvaru 2014., 2015. un 2016.gadam”</w:t>
            </w:r>
            <w:r w:rsidR="005A4FB9" w:rsidRPr="00295D40">
              <w:rPr>
                <w:sz w:val="22"/>
                <w:szCs w:val="22"/>
              </w:rPr>
              <w:t>.</w:t>
            </w:r>
          </w:p>
        </w:tc>
      </w:tr>
      <w:tr w:rsidR="00295D40" w:rsidRPr="00295D40" w:rsidTr="00610826">
        <w:tc>
          <w:tcPr>
            <w:tcW w:w="2524" w:type="dxa"/>
            <w:shd w:val="clear" w:color="auto" w:fill="auto"/>
          </w:tcPr>
          <w:p w:rsidR="00FF4A2F" w:rsidRPr="00295D40" w:rsidRDefault="00FF4A2F" w:rsidP="00DB4594">
            <w:pPr>
              <w:rPr>
                <w:sz w:val="22"/>
                <w:szCs w:val="22"/>
              </w:rPr>
            </w:pPr>
            <w:r w:rsidRPr="00295D40">
              <w:rPr>
                <w:sz w:val="22"/>
                <w:szCs w:val="22"/>
              </w:rPr>
              <w:t>6.2. Detalizēts izdevumu aprēķins</w:t>
            </w:r>
          </w:p>
        </w:tc>
        <w:tc>
          <w:tcPr>
            <w:tcW w:w="6763" w:type="dxa"/>
            <w:gridSpan w:val="5"/>
            <w:shd w:val="clear" w:color="auto" w:fill="auto"/>
          </w:tcPr>
          <w:p w:rsidR="00FF4A2F" w:rsidRPr="00295D40" w:rsidRDefault="00FF4A2F" w:rsidP="00C53269">
            <w:pPr>
              <w:jc w:val="both"/>
              <w:rPr>
                <w:sz w:val="22"/>
                <w:szCs w:val="22"/>
              </w:rPr>
            </w:pPr>
            <w:r w:rsidRPr="00295D40">
              <w:rPr>
                <w:sz w:val="22"/>
                <w:szCs w:val="22"/>
                <w:u w:val="single"/>
              </w:rPr>
              <w:t xml:space="preserve">2014.gadā 3 869 885 </w:t>
            </w:r>
            <w:proofErr w:type="spellStart"/>
            <w:r w:rsidRPr="00295D40">
              <w:rPr>
                <w:i/>
                <w:sz w:val="22"/>
                <w:szCs w:val="22"/>
                <w:u w:val="single"/>
              </w:rPr>
              <w:t>euro</w:t>
            </w:r>
            <w:proofErr w:type="spellEnd"/>
            <w:r w:rsidRPr="00295D40">
              <w:rPr>
                <w:sz w:val="22"/>
                <w:szCs w:val="22"/>
                <w:u w:val="single"/>
              </w:rPr>
              <w:t xml:space="preserve"> apmērā:</w:t>
            </w:r>
          </w:p>
          <w:p w:rsidR="00FF4A2F" w:rsidRPr="00295D40" w:rsidRDefault="00FF4A2F" w:rsidP="00C53269">
            <w:pPr>
              <w:jc w:val="both"/>
              <w:rPr>
                <w:sz w:val="22"/>
                <w:szCs w:val="22"/>
              </w:rPr>
            </w:pPr>
            <w:r w:rsidRPr="00295D40">
              <w:rPr>
                <w:sz w:val="22"/>
                <w:szCs w:val="22"/>
              </w:rPr>
              <w:t xml:space="preserve"> - 3 841 754 </w:t>
            </w:r>
            <w:proofErr w:type="spellStart"/>
            <w:r w:rsidRPr="00295D40">
              <w:rPr>
                <w:i/>
                <w:sz w:val="22"/>
                <w:szCs w:val="22"/>
              </w:rPr>
              <w:t>euro</w:t>
            </w:r>
            <w:proofErr w:type="spellEnd"/>
            <w:r w:rsidRPr="00295D40">
              <w:rPr>
                <w:sz w:val="22"/>
                <w:szCs w:val="22"/>
              </w:rPr>
              <w:t xml:space="preserve"> apakšprogrammai 05.68.00 „Dzīvokļa pabalsta līdzfinansējuma nodrošināšana pašvaldībām” mērķdotācijas dzīvokļa pabalsta 15% līdzfinansējumam no 2014.gada 1.aprīļa (valsts budžeta uzturēšanas izdevumu transferti pašvaldībām noteiktam mērķim); </w:t>
            </w:r>
          </w:p>
          <w:p w:rsidR="00FF4A2F" w:rsidRPr="00295D40" w:rsidRDefault="00FF4A2F" w:rsidP="00C53269">
            <w:pPr>
              <w:pStyle w:val="naiskr"/>
              <w:spacing w:before="0" w:after="0"/>
              <w:jc w:val="both"/>
              <w:rPr>
                <w:i/>
                <w:sz w:val="22"/>
                <w:szCs w:val="22"/>
              </w:rPr>
            </w:pPr>
            <w:r w:rsidRPr="00295D40">
              <w:rPr>
                <w:sz w:val="22"/>
                <w:szCs w:val="22"/>
              </w:rPr>
              <w:t xml:space="preserve">- 28 131 </w:t>
            </w:r>
            <w:proofErr w:type="spellStart"/>
            <w:r w:rsidRPr="00295D40">
              <w:rPr>
                <w:i/>
                <w:sz w:val="22"/>
                <w:szCs w:val="22"/>
              </w:rPr>
              <w:t>euro</w:t>
            </w:r>
            <w:proofErr w:type="spellEnd"/>
            <w:r w:rsidRPr="00295D40">
              <w:rPr>
                <w:sz w:val="22"/>
                <w:szCs w:val="22"/>
              </w:rPr>
              <w:t xml:space="preserve"> apakšprogrammai 97.01.00 „Labklājības nozares vadība un politikas plānošana”, lai nodrošinātu sociālā atbalsta administrēšanu izmaksas izveidotas 2 amatu vietas (atlīdzībai 24 289 </w:t>
            </w:r>
            <w:proofErr w:type="spellStart"/>
            <w:r w:rsidRPr="00295D40">
              <w:rPr>
                <w:i/>
                <w:sz w:val="22"/>
                <w:szCs w:val="22"/>
              </w:rPr>
              <w:t>euro</w:t>
            </w:r>
            <w:proofErr w:type="spellEnd"/>
            <w:r w:rsidRPr="00295D40">
              <w:rPr>
                <w:sz w:val="22"/>
                <w:szCs w:val="22"/>
              </w:rPr>
              <w:t xml:space="preserve">, t.sk., </w:t>
            </w:r>
            <w:r w:rsidRPr="00295D40">
              <w:rPr>
                <w:sz w:val="22"/>
                <w:szCs w:val="22"/>
              </w:rPr>
              <w:lastRenderedPageBreak/>
              <w:t xml:space="preserve">atalgojumam 18 021 </w:t>
            </w:r>
            <w:proofErr w:type="spellStart"/>
            <w:r w:rsidRPr="00295D40">
              <w:rPr>
                <w:i/>
                <w:sz w:val="22"/>
                <w:szCs w:val="22"/>
              </w:rPr>
              <w:t>euro</w:t>
            </w:r>
            <w:proofErr w:type="spellEnd"/>
            <w:r w:rsidRPr="00295D40">
              <w:rPr>
                <w:sz w:val="22"/>
                <w:szCs w:val="22"/>
              </w:rPr>
              <w:t xml:space="preserve"> un precēm un pakalpojumiem 3 842 </w:t>
            </w:r>
            <w:proofErr w:type="spellStart"/>
            <w:r w:rsidRPr="00295D40">
              <w:rPr>
                <w:i/>
                <w:sz w:val="22"/>
                <w:szCs w:val="22"/>
              </w:rPr>
              <w:t>euro</w:t>
            </w:r>
            <w:proofErr w:type="spellEnd"/>
            <w:r w:rsidRPr="00295D40">
              <w:rPr>
                <w:sz w:val="22"/>
                <w:szCs w:val="22"/>
              </w:rPr>
              <w:t xml:space="preserve">) </w:t>
            </w:r>
          </w:p>
          <w:p w:rsidR="00FF4A2F" w:rsidRPr="00295D40" w:rsidRDefault="00FF4A2F" w:rsidP="00C53269">
            <w:pPr>
              <w:jc w:val="both"/>
              <w:rPr>
                <w:sz w:val="22"/>
                <w:szCs w:val="22"/>
                <w:u w:val="single"/>
              </w:rPr>
            </w:pPr>
          </w:p>
          <w:p w:rsidR="00FF4A2F" w:rsidRPr="00295D40" w:rsidRDefault="00FF4A2F" w:rsidP="00FF4A2F">
            <w:pPr>
              <w:jc w:val="both"/>
              <w:rPr>
                <w:sz w:val="22"/>
                <w:szCs w:val="22"/>
              </w:rPr>
            </w:pPr>
            <w:r w:rsidRPr="00295D40">
              <w:rPr>
                <w:sz w:val="22"/>
                <w:szCs w:val="22"/>
              </w:rPr>
              <w:t xml:space="preserve">2015., 2016. un 2017.gadam finansējuma pieaugums pret 2014.gadu </w:t>
            </w:r>
          </w:p>
          <w:p w:rsidR="00FF4A2F" w:rsidRPr="00295D40" w:rsidRDefault="00FF4A2F" w:rsidP="00FF4A2F">
            <w:pPr>
              <w:jc w:val="both"/>
              <w:rPr>
                <w:sz w:val="22"/>
                <w:szCs w:val="22"/>
              </w:rPr>
            </w:pPr>
            <w:r w:rsidRPr="00295D40">
              <w:rPr>
                <w:b/>
                <w:sz w:val="22"/>
                <w:szCs w:val="22"/>
              </w:rPr>
              <w:t xml:space="preserve">1 288 787 </w:t>
            </w:r>
            <w:proofErr w:type="spellStart"/>
            <w:r w:rsidRPr="00295D40">
              <w:rPr>
                <w:b/>
                <w:i/>
                <w:sz w:val="22"/>
                <w:szCs w:val="22"/>
              </w:rPr>
              <w:t>euro</w:t>
            </w:r>
            <w:proofErr w:type="spellEnd"/>
            <w:r w:rsidRPr="00295D40">
              <w:rPr>
                <w:sz w:val="22"/>
                <w:szCs w:val="22"/>
              </w:rPr>
              <w:t xml:space="preserve"> (2014.gadā pašvaldībām mērķdotācija plānota 9 mēnešiem, bet turpmākajiem gadiem 12 mēnešiem)</w:t>
            </w:r>
          </w:p>
          <w:p w:rsidR="00FF4A2F" w:rsidRPr="00295D40" w:rsidRDefault="00FF4A2F" w:rsidP="00C53269">
            <w:pPr>
              <w:jc w:val="both"/>
              <w:rPr>
                <w:sz w:val="22"/>
                <w:szCs w:val="22"/>
              </w:rPr>
            </w:pPr>
            <w:r w:rsidRPr="00295D40">
              <w:rPr>
                <w:sz w:val="22"/>
                <w:szCs w:val="22"/>
                <w:u w:val="single"/>
              </w:rPr>
              <w:t xml:space="preserve">2015. un 2016.gadā 5 158 672 </w:t>
            </w:r>
            <w:proofErr w:type="spellStart"/>
            <w:r w:rsidRPr="00295D40">
              <w:rPr>
                <w:i/>
                <w:sz w:val="22"/>
                <w:szCs w:val="22"/>
                <w:u w:val="single"/>
              </w:rPr>
              <w:t>euro</w:t>
            </w:r>
            <w:proofErr w:type="spellEnd"/>
            <w:r w:rsidRPr="00295D40">
              <w:rPr>
                <w:i/>
                <w:sz w:val="22"/>
                <w:szCs w:val="22"/>
                <w:u w:val="single"/>
              </w:rPr>
              <w:t xml:space="preserve"> </w:t>
            </w:r>
            <w:r w:rsidRPr="00295D40">
              <w:rPr>
                <w:sz w:val="22"/>
                <w:szCs w:val="22"/>
                <w:u w:val="single"/>
              </w:rPr>
              <w:t>apmērā:</w:t>
            </w:r>
          </w:p>
          <w:p w:rsidR="00FF4A2F" w:rsidRPr="00295D40" w:rsidRDefault="00FF4A2F" w:rsidP="00C53269">
            <w:pPr>
              <w:jc w:val="both"/>
              <w:rPr>
                <w:sz w:val="22"/>
                <w:szCs w:val="22"/>
              </w:rPr>
            </w:pPr>
            <w:r w:rsidRPr="00295D40">
              <w:rPr>
                <w:sz w:val="22"/>
                <w:szCs w:val="22"/>
              </w:rPr>
              <w:t xml:space="preserve"> - 5 122 339 </w:t>
            </w:r>
            <w:proofErr w:type="spellStart"/>
            <w:r w:rsidRPr="00295D40">
              <w:rPr>
                <w:i/>
                <w:sz w:val="22"/>
                <w:szCs w:val="22"/>
              </w:rPr>
              <w:t>euro</w:t>
            </w:r>
            <w:proofErr w:type="spellEnd"/>
            <w:r w:rsidRPr="00295D40">
              <w:rPr>
                <w:sz w:val="22"/>
                <w:szCs w:val="22"/>
              </w:rPr>
              <w:t xml:space="preserve"> apakšprogrammai 05.68.00 „Dzīvokļa pabalsta līdzfinansējuma nodrošināšana pašvaldībām” mērķdotācijas dzīvokļa pabalsta 15% līdzfinansējumam (valsts budžeta uzturēšanas izdevumu transferti pašvaldībām noteiktam mērķim); </w:t>
            </w:r>
          </w:p>
          <w:p w:rsidR="00FF4A2F" w:rsidRPr="00295D40" w:rsidRDefault="00FF4A2F" w:rsidP="00C53269">
            <w:pPr>
              <w:jc w:val="both"/>
              <w:rPr>
                <w:sz w:val="22"/>
                <w:szCs w:val="22"/>
              </w:rPr>
            </w:pPr>
            <w:r w:rsidRPr="00295D40">
              <w:rPr>
                <w:sz w:val="22"/>
                <w:szCs w:val="22"/>
              </w:rPr>
              <w:t xml:space="preserve">- 36 333 </w:t>
            </w:r>
            <w:proofErr w:type="spellStart"/>
            <w:r w:rsidRPr="00295D40">
              <w:rPr>
                <w:i/>
                <w:sz w:val="22"/>
                <w:szCs w:val="22"/>
              </w:rPr>
              <w:t>euro</w:t>
            </w:r>
            <w:proofErr w:type="spellEnd"/>
            <w:r w:rsidRPr="00295D40">
              <w:rPr>
                <w:sz w:val="22"/>
                <w:szCs w:val="22"/>
              </w:rPr>
              <w:t xml:space="preserve"> apakšprogrammai 97.01.00 „Labklājības nozares vadība un politikas plānošana”, lai nodrošinātu sociālā atbalsta administrēšanu izmaksas izveidotas 2 amatu vietas (atlīdzībai 31 211 </w:t>
            </w:r>
            <w:proofErr w:type="spellStart"/>
            <w:r w:rsidRPr="00295D40">
              <w:rPr>
                <w:i/>
                <w:sz w:val="22"/>
                <w:szCs w:val="22"/>
              </w:rPr>
              <w:t>euro</w:t>
            </w:r>
            <w:proofErr w:type="spellEnd"/>
            <w:r w:rsidRPr="00295D40">
              <w:rPr>
                <w:sz w:val="22"/>
                <w:szCs w:val="22"/>
              </w:rPr>
              <w:t xml:space="preserve">, t.sk., atalgojumam 23 802 </w:t>
            </w:r>
            <w:proofErr w:type="spellStart"/>
            <w:r w:rsidRPr="00295D40">
              <w:rPr>
                <w:i/>
                <w:sz w:val="22"/>
                <w:szCs w:val="22"/>
              </w:rPr>
              <w:t>euro</w:t>
            </w:r>
            <w:proofErr w:type="spellEnd"/>
            <w:r w:rsidRPr="00295D40">
              <w:rPr>
                <w:sz w:val="22"/>
                <w:szCs w:val="22"/>
              </w:rPr>
              <w:t xml:space="preserve"> un precēm un pakalpojumiem 5 122 </w:t>
            </w:r>
            <w:proofErr w:type="spellStart"/>
            <w:r w:rsidRPr="00295D40">
              <w:rPr>
                <w:i/>
                <w:sz w:val="22"/>
                <w:szCs w:val="22"/>
              </w:rPr>
              <w:t>euro</w:t>
            </w:r>
            <w:proofErr w:type="spellEnd"/>
            <w:r w:rsidRPr="00295D40">
              <w:rPr>
                <w:sz w:val="22"/>
                <w:szCs w:val="22"/>
              </w:rPr>
              <w:t>)</w:t>
            </w:r>
          </w:p>
        </w:tc>
      </w:tr>
      <w:tr w:rsidR="002241A8" w:rsidRPr="00295D40" w:rsidTr="00610826">
        <w:tc>
          <w:tcPr>
            <w:tcW w:w="2524" w:type="dxa"/>
            <w:shd w:val="clear" w:color="auto" w:fill="auto"/>
          </w:tcPr>
          <w:p w:rsidR="00FF4A2F" w:rsidRPr="00295D40" w:rsidRDefault="00FF4A2F" w:rsidP="00B66418">
            <w:pPr>
              <w:jc w:val="both"/>
              <w:rPr>
                <w:sz w:val="22"/>
                <w:szCs w:val="22"/>
              </w:rPr>
            </w:pPr>
            <w:r w:rsidRPr="00295D40">
              <w:rPr>
                <w:sz w:val="22"/>
                <w:szCs w:val="22"/>
              </w:rPr>
              <w:lastRenderedPageBreak/>
              <w:t>7. Cita informācija</w:t>
            </w:r>
          </w:p>
        </w:tc>
        <w:tc>
          <w:tcPr>
            <w:tcW w:w="6763" w:type="dxa"/>
            <w:gridSpan w:val="5"/>
            <w:shd w:val="clear" w:color="auto" w:fill="auto"/>
          </w:tcPr>
          <w:p w:rsidR="00DF3A7E" w:rsidRPr="00295D40" w:rsidRDefault="00DF3A7E" w:rsidP="002241A8">
            <w:pPr>
              <w:pStyle w:val="naiskr"/>
              <w:spacing w:before="0" w:after="0"/>
              <w:jc w:val="both"/>
              <w:rPr>
                <w:sz w:val="22"/>
                <w:szCs w:val="22"/>
              </w:rPr>
            </w:pPr>
            <w:r w:rsidRPr="00295D40">
              <w:rPr>
                <w:sz w:val="22"/>
                <w:szCs w:val="22"/>
              </w:rPr>
              <w:t>Noteikumu projektā paredzēto pasākumu īstenošanai līdzekļi ir ieplānoti Labklājības ministrijas pamatbudžetā atbilstoši likumam „Par vidēja termiņa budžeta ietvaru 2014., 2015. un 2016.gadam” un noteikumi tiks īstenoti Labklājības ministrijai piešķirto valsts budžeta līdzekļu ietvaros.</w:t>
            </w:r>
          </w:p>
          <w:p w:rsidR="00765526" w:rsidRPr="00295D40" w:rsidRDefault="00765526" w:rsidP="00765526">
            <w:pPr>
              <w:jc w:val="both"/>
              <w:rPr>
                <w:sz w:val="22"/>
                <w:szCs w:val="22"/>
              </w:rPr>
            </w:pPr>
            <w:r w:rsidRPr="00295D40">
              <w:rPr>
                <w:sz w:val="22"/>
                <w:szCs w:val="22"/>
              </w:rPr>
              <w:t>Labklājības ministrija sagatavos un iesniegs Finanšu ministrijā priekšlikumu par papildu nepieciešamā finansējuma apmēru 2018.gadā, lai nodrošinātu gala norēķinus par 2017.gada decembrī pašvaldību izlietotajiem līdzekļiem dzīvokļa pabalsta izmaksām, un jautājums par papildu nepieciešamo finansējumu 2018.gadam skatāms Ministru kabinetā likumprojekta par valsts budžetu kārtējam gadam un likumprojekta par vidēja termiņa budžeta ietvaru sagatavošanas un izskatīšanas procesā.</w:t>
            </w:r>
          </w:p>
          <w:p w:rsidR="009462E9" w:rsidRPr="00295D40" w:rsidRDefault="009462E9" w:rsidP="009462E9">
            <w:pPr>
              <w:jc w:val="both"/>
              <w:rPr>
                <w:i/>
              </w:rPr>
            </w:pPr>
            <w:r w:rsidRPr="00295D40">
              <w:rPr>
                <w:sz w:val="22"/>
                <w:szCs w:val="22"/>
              </w:rPr>
              <w:t>Pašvaldība mēneša laikā no fakta konstatācijas dienas atmaksā nepamatoti saņemto mērķdotāciju, ieskaitot pārmaksas summu Valsts kasē atvērtajā Labklājības ministrijas pamatbudžeta izdevumu kontā ieņēmumu klasifikācijas kodā 21.4.9.9.„Pārējie iepriekš neklasificētie pašu ieņēmumi” un Labklājības ministrija minētos līdzekļus (pārējo iepriekš neklasificēto pašu ieņēmumu samazinājums) pārskaita valsts pamatbudžeta ieņēmumos.</w:t>
            </w:r>
          </w:p>
        </w:tc>
      </w:tr>
    </w:tbl>
    <w:p w:rsidR="003B629D" w:rsidRPr="00295D40" w:rsidRDefault="003B629D" w:rsidP="00B76D85">
      <w:pPr>
        <w:jc w:val="center"/>
      </w:pPr>
    </w:p>
    <w:p w:rsidR="004A05F6" w:rsidRPr="00295D40" w:rsidRDefault="004A05F6"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295D40" w:rsidRPr="00295D40" w:rsidTr="00B66418">
        <w:tc>
          <w:tcPr>
            <w:tcW w:w="9287" w:type="dxa"/>
            <w:gridSpan w:val="3"/>
            <w:shd w:val="clear" w:color="auto" w:fill="auto"/>
          </w:tcPr>
          <w:p w:rsidR="00194614" w:rsidRPr="00295D40" w:rsidRDefault="00194614" w:rsidP="00B66418">
            <w:pPr>
              <w:jc w:val="center"/>
              <w:rPr>
                <w:b/>
              </w:rPr>
            </w:pPr>
            <w:r w:rsidRPr="00295D40">
              <w:rPr>
                <w:b/>
              </w:rPr>
              <w:t>VII Tiesību akta projekta izpildes nodrošināšana un tās ietekme uz institūcijām</w:t>
            </w:r>
          </w:p>
        </w:tc>
      </w:tr>
      <w:tr w:rsidR="00295D40" w:rsidRPr="00295D40" w:rsidTr="00B66418">
        <w:tc>
          <w:tcPr>
            <w:tcW w:w="396" w:type="dxa"/>
            <w:shd w:val="clear" w:color="auto" w:fill="auto"/>
          </w:tcPr>
          <w:p w:rsidR="00B76D85" w:rsidRPr="00295D40" w:rsidRDefault="00194614" w:rsidP="00242D7D">
            <w:r w:rsidRPr="00295D40">
              <w:t>1</w:t>
            </w:r>
            <w:r w:rsidR="00B76D85" w:rsidRPr="00295D40">
              <w:t xml:space="preserve">. </w:t>
            </w:r>
          </w:p>
        </w:tc>
        <w:tc>
          <w:tcPr>
            <w:tcW w:w="3072" w:type="dxa"/>
            <w:shd w:val="clear" w:color="auto" w:fill="auto"/>
          </w:tcPr>
          <w:p w:rsidR="00B76D85" w:rsidRPr="00295D40" w:rsidRDefault="00194614" w:rsidP="00242D7D">
            <w:pPr>
              <w:rPr>
                <w:sz w:val="22"/>
                <w:szCs w:val="22"/>
              </w:rPr>
            </w:pPr>
            <w:r w:rsidRPr="00295D40">
              <w:rPr>
                <w:sz w:val="22"/>
                <w:szCs w:val="22"/>
              </w:rPr>
              <w:t>Projekta izpildē iesaistītās institūcijas</w:t>
            </w:r>
          </w:p>
        </w:tc>
        <w:tc>
          <w:tcPr>
            <w:tcW w:w="5819" w:type="dxa"/>
            <w:shd w:val="clear" w:color="auto" w:fill="auto"/>
          </w:tcPr>
          <w:p w:rsidR="00B76D85" w:rsidRPr="00295D40" w:rsidRDefault="00CB7829" w:rsidP="002A651A">
            <w:pPr>
              <w:jc w:val="both"/>
              <w:rPr>
                <w:i/>
              </w:rPr>
            </w:pPr>
            <w:r w:rsidRPr="00295D40">
              <w:rPr>
                <w:iCs/>
                <w:sz w:val="22"/>
                <w:szCs w:val="22"/>
              </w:rPr>
              <w:t>MK noteikumu projekta izpildē iesaistīta Labklājības ministrija un pašvaldību sociālie dienesti, kuri pieņem lēmumu par dzīvokļa pabalsta aprēķināšanu un piešķiršanu.</w:t>
            </w:r>
            <w:r w:rsidR="002A651A" w:rsidRPr="00295D40">
              <w:t xml:space="preserve"> </w:t>
            </w:r>
          </w:p>
        </w:tc>
      </w:tr>
      <w:tr w:rsidR="00295D40" w:rsidRPr="00295D40" w:rsidTr="00B66418">
        <w:tc>
          <w:tcPr>
            <w:tcW w:w="396" w:type="dxa"/>
            <w:shd w:val="clear" w:color="auto" w:fill="auto"/>
          </w:tcPr>
          <w:p w:rsidR="00B76D85" w:rsidRPr="00295D40" w:rsidRDefault="00194614" w:rsidP="00242D7D">
            <w:r w:rsidRPr="00295D40">
              <w:t>2</w:t>
            </w:r>
            <w:r w:rsidR="00B76D85" w:rsidRPr="00295D40">
              <w:t xml:space="preserve">. </w:t>
            </w:r>
          </w:p>
        </w:tc>
        <w:tc>
          <w:tcPr>
            <w:tcW w:w="3072" w:type="dxa"/>
            <w:shd w:val="clear" w:color="auto" w:fill="auto"/>
          </w:tcPr>
          <w:p w:rsidR="00B76D85" w:rsidRPr="00295D40" w:rsidRDefault="00194614" w:rsidP="00242D7D">
            <w:pPr>
              <w:rPr>
                <w:sz w:val="22"/>
                <w:szCs w:val="22"/>
              </w:rPr>
            </w:pPr>
            <w:r w:rsidRPr="00295D40">
              <w:rPr>
                <w:sz w:val="22"/>
                <w:szCs w:val="22"/>
              </w:rPr>
              <w:t>Projekta izpildes ietekme uz pārvaldes funkcijām</w:t>
            </w:r>
          </w:p>
        </w:tc>
        <w:tc>
          <w:tcPr>
            <w:tcW w:w="5819" w:type="dxa"/>
            <w:shd w:val="clear" w:color="auto" w:fill="auto"/>
          </w:tcPr>
          <w:p w:rsidR="00B76D85" w:rsidRPr="00295D40" w:rsidRDefault="00E23005" w:rsidP="000D7475">
            <w:pPr>
              <w:jc w:val="both"/>
              <w:rPr>
                <w:i/>
                <w:sz w:val="22"/>
                <w:szCs w:val="22"/>
              </w:rPr>
            </w:pPr>
            <w:r w:rsidRPr="00295D40">
              <w:rPr>
                <w:sz w:val="22"/>
                <w:szCs w:val="22"/>
              </w:rPr>
              <w:t>Ministru kabineta noteikumu projekts nosaka valsts budžeta mērķdotācijas piešķiršanas kārtību</w:t>
            </w:r>
            <w:r w:rsidR="000D7475" w:rsidRPr="00295D40">
              <w:rPr>
                <w:sz w:val="22"/>
                <w:szCs w:val="22"/>
              </w:rPr>
              <w:t xml:space="preserve"> un nosacījumus</w:t>
            </w:r>
            <w:r w:rsidRPr="00295D40">
              <w:rPr>
                <w:sz w:val="22"/>
                <w:szCs w:val="22"/>
              </w:rPr>
              <w:t>, kādā izvērtējami pašvaldību pieprasījumi.</w:t>
            </w:r>
          </w:p>
        </w:tc>
      </w:tr>
      <w:tr w:rsidR="00295D40" w:rsidRPr="00295D40" w:rsidTr="00B66418">
        <w:tc>
          <w:tcPr>
            <w:tcW w:w="396" w:type="dxa"/>
            <w:shd w:val="clear" w:color="auto" w:fill="auto"/>
          </w:tcPr>
          <w:p w:rsidR="00194614" w:rsidRPr="00295D40" w:rsidRDefault="00194614" w:rsidP="00242D7D">
            <w:r w:rsidRPr="00295D40">
              <w:t>3.</w:t>
            </w:r>
          </w:p>
        </w:tc>
        <w:tc>
          <w:tcPr>
            <w:tcW w:w="3072" w:type="dxa"/>
            <w:shd w:val="clear" w:color="auto" w:fill="auto"/>
          </w:tcPr>
          <w:p w:rsidR="00194614" w:rsidRPr="00295D40" w:rsidRDefault="00194614" w:rsidP="00242D7D">
            <w:pPr>
              <w:rPr>
                <w:sz w:val="22"/>
                <w:szCs w:val="22"/>
              </w:rPr>
            </w:pPr>
            <w:r w:rsidRPr="00295D40">
              <w:rPr>
                <w:sz w:val="22"/>
                <w:szCs w:val="22"/>
              </w:rPr>
              <w:t>Projekta izpildes ietekme uz pārvaldes institucionālo struktūru.</w:t>
            </w:r>
          </w:p>
          <w:p w:rsidR="00194614" w:rsidRPr="00295D40" w:rsidRDefault="00194614" w:rsidP="00242D7D">
            <w:pPr>
              <w:rPr>
                <w:sz w:val="22"/>
                <w:szCs w:val="22"/>
              </w:rPr>
            </w:pPr>
            <w:r w:rsidRPr="00295D40">
              <w:rPr>
                <w:sz w:val="22"/>
                <w:szCs w:val="22"/>
              </w:rPr>
              <w:t>Jaunu institūciju izveide.</w:t>
            </w:r>
          </w:p>
        </w:tc>
        <w:tc>
          <w:tcPr>
            <w:tcW w:w="5819" w:type="dxa"/>
            <w:shd w:val="clear" w:color="auto" w:fill="auto"/>
          </w:tcPr>
          <w:p w:rsidR="00F63BCF" w:rsidRPr="00295D40" w:rsidRDefault="006E2D8C" w:rsidP="00F63BCF">
            <w:pPr>
              <w:jc w:val="both"/>
              <w:rPr>
                <w:sz w:val="22"/>
                <w:szCs w:val="22"/>
              </w:rPr>
            </w:pPr>
            <w:r w:rsidRPr="00295D40">
              <w:rPr>
                <w:sz w:val="22"/>
                <w:szCs w:val="22"/>
              </w:rPr>
              <w:t>MK noteikumu projekt</w:t>
            </w:r>
            <w:r w:rsidR="00F63BCF" w:rsidRPr="00295D40">
              <w:rPr>
                <w:sz w:val="22"/>
                <w:szCs w:val="22"/>
              </w:rPr>
              <w:t>s neparedz ietekmi uz pārvaldes institucionālo struktūru.</w:t>
            </w:r>
          </w:p>
          <w:p w:rsidR="00194614" w:rsidRPr="00295D40" w:rsidRDefault="00F63BCF" w:rsidP="00753E7B">
            <w:pPr>
              <w:jc w:val="both"/>
              <w:rPr>
                <w:i/>
              </w:rPr>
            </w:pPr>
            <w:r w:rsidRPr="00295D40">
              <w:rPr>
                <w:sz w:val="22"/>
                <w:szCs w:val="22"/>
              </w:rPr>
              <w:t>Jaun</w:t>
            </w:r>
            <w:r w:rsidR="00FF44F5" w:rsidRPr="00295D40">
              <w:rPr>
                <w:sz w:val="22"/>
                <w:szCs w:val="22"/>
              </w:rPr>
              <w:t>u institūciju izveide</w:t>
            </w:r>
            <w:r w:rsidRPr="00295D40">
              <w:rPr>
                <w:sz w:val="22"/>
                <w:szCs w:val="22"/>
              </w:rPr>
              <w:t xml:space="preserve"> netiek paredzēta</w:t>
            </w:r>
            <w:r w:rsidR="006E2D8C" w:rsidRPr="00295D40">
              <w:rPr>
                <w:sz w:val="22"/>
                <w:szCs w:val="22"/>
              </w:rPr>
              <w:t>.</w:t>
            </w:r>
            <w:r w:rsidR="006E2D8C" w:rsidRPr="00295D40">
              <w:rPr>
                <w:iCs/>
                <w:sz w:val="22"/>
                <w:szCs w:val="22"/>
              </w:rPr>
              <w:t xml:space="preserve"> </w:t>
            </w:r>
          </w:p>
        </w:tc>
      </w:tr>
      <w:tr w:rsidR="00295D40" w:rsidRPr="00295D40" w:rsidTr="00B66418">
        <w:tc>
          <w:tcPr>
            <w:tcW w:w="396" w:type="dxa"/>
            <w:shd w:val="clear" w:color="auto" w:fill="auto"/>
          </w:tcPr>
          <w:p w:rsidR="00194614" w:rsidRPr="00295D40" w:rsidRDefault="00194614" w:rsidP="00242D7D">
            <w:r w:rsidRPr="00295D40">
              <w:t>4.</w:t>
            </w:r>
          </w:p>
        </w:tc>
        <w:tc>
          <w:tcPr>
            <w:tcW w:w="3072" w:type="dxa"/>
            <w:shd w:val="clear" w:color="auto" w:fill="auto"/>
          </w:tcPr>
          <w:p w:rsidR="00194614" w:rsidRPr="00295D40" w:rsidRDefault="00194614" w:rsidP="00242D7D">
            <w:pPr>
              <w:rPr>
                <w:sz w:val="22"/>
                <w:szCs w:val="22"/>
              </w:rPr>
            </w:pPr>
            <w:r w:rsidRPr="00295D40">
              <w:rPr>
                <w:sz w:val="22"/>
                <w:szCs w:val="22"/>
              </w:rPr>
              <w:t>Projekta izpildes ietekme uz pārvaldes institucionālo struktūru.</w:t>
            </w:r>
          </w:p>
          <w:p w:rsidR="00194614" w:rsidRPr="00295D40" w:rsidRDefault="00194614" w:rsidP="00242D7D">
            <w:pPr>
              <w:rPr>
                <w:sz w:val="22"/>
                <w:szCs w:val="22"/>
              </w:rPr>
            </w:pPr>
            <w:r w:rsidRPr="00295D40">
              <w:rPr>
                <w:sz w:val="22"/>
                <w:szCs w:val="22"/>
              </w:rPr>
              <w:t>Esošo institūciju likvidācija.</w:t>
            </w:r>
          </w:p>
        </w:tc>
        <w:tc>
          <w:tcPr>
            <w:tcW w:w="5819" w:type="dxa"/>
            <w:shd w:val="clear" w:color="auto" w:fill="auto"/>
          </w:tcPr>
          <w:p w:rsidR="00FF44F5" w:rsidRPr="00295D40" w:rsidRDefault="00FF44F5" w:rsidP="00FF44F5">
            <w:pPr>
              <w:jc w:val="both"/>
              <w:rPr>
                <w:sz w:val="22"/>
                <w:szCs w:val="22"/>
              </w:rPr>
            </w:pPr>
            <w:r w:rsidRPr="00295D40">
              <w:rPr>
                <w:sz w:val="22"/>
                <w:szCs w:val="22"/>
              </w:rPr>
              <w:t>MK noteikumu projekts neparedz ietekmi uz pārvaldes institucionālo struktūru.</w:t>
            </w:r>
          </w:p>
          <w:p w:rsidR="00194614" w:rsidRPr="00295D40" w:rsidRDefault="00FF44F5" w:rsidP="00FF44F5">
            <w:pPr>
              <w:jc w:val="both"/>
              <w:rPr>
                <w:i/>
              </w:rPr>
            </w:pPr>
            <w:r w:rsidRPr="00295D40">
              <w:rPr>
                <w:sz w:val="22"/>
                <w:szCs w:val="22"/>
              </w:rPr>
              <w:t>Esošās institūcijas netiek likvidētas.</w:t>
            </w:r>
          </w:p>
        </w:tc>
      </w:tr>
      <w:tr w:rsidR="00295D40" w:rsidRPr="00295D40" w:rsidTr="00B66418">
        <w:tc>
          <w:tcPr>
            <w:tcW w:w="396" w:type="dxa"/>
            <w:shd w:val="clear" w:color="auto" w:fill="auto"/>
          </w:tcPr>
          <w:p w:rsidR="00194614" w:rsidRPr="00295D40" w:rsidRDefault="00194614" w:rsidP="00242D7D">
            <w:r w:rsidRPr="00295D40">
              <w:t>5.</w:t>
            </w:r>
          </w:p>
        </w:tc>
        <w:tc>
          <w:tcPr>
            <w:tcW w:w="3072" w:type="dxa"/>
            <w:shd w:val="clear" w:color="auto" w:fill="auto"/>
          </w:tcPr>
          <w:p w:rsidR="00194614" w:rsidRPr="00295D40" w:rsidRDefault="00194614" w:rsidP="00242D7D">
            <w:pPr>
              <w:rPr>
                <w:sz w:val="22"/>
                <w:szCs w:val="22"/>
              </w:rPr>
            </w:pPr>
            <w:r w:rsidRPr="00295D40">
              <w:rPr>
                <w:sz w:val="22"/>
                <w:szCs w:val="22"/>
              </w:rPr>
              <w:t>Projekta izpildes ietekme uz pārvaldes institucionālo struktūru.</w:t>
            </w:r>
          </w:p>
          <w:p w:rsidR="00194614" w:rsidRPr="00295D40" w:rsidRDefault="00194614" w:rsidP="00242D7D">
            <w:pPr>
              <w:rPr>
                <w:sz w:val="22"/>
                <w:szCs w:val="22"/>
              </w:rPr>
            </w:pPr>
            <w:r w:rsidRPr="00295D40">
              <w:rPr>
                <w:sz w:val="22"/>
                <w:szCs w:val="22"/>
              </w:rPr>
              <w:t>Esošo institūciju reorganizācija.</w:t>
            </w:r>
          </w:p>
        </w:tc>
        <w:tc>
          <w:tcPr>
            <w:tcW w:w="5819" w:type="dxa"/>
            <w:shd w:val="clear" w:color="auto" w:fill="auto"/>
          </w:tcPr>
          <w:p w:rsidR="00FF44F5" w:rsidRPr="00295D40" w:rsidRDefault="00FF44F5" w:rsidP="00FF44F5">
            <w:pPr>
              <w:jc w:val="both"/>
              <w:rPr>
                <w:sz w:val="22"/>
                <w:szCs w:val="22"/>
              </w:rPr>
            </w:pPr>
            <w:r w:rsidRPr="00295D40">
              <w:rPr>
                <w:sz w:val="22"/>
                <w:szCs w:val="22"/>
              </w:rPr>
              <w:t>MK noteikumu projekts neparedz ietekmi uz pārvaldes institucionālo struktūru.</w:t>
            </w:r>
          </w:p>
          <w:p w:rsidR="00194614" w:rsidRPr="00295D40" w:rsidRDefault="00514C9A" w:rsidP="00514C9A">
            <w:pPr>
              <w:jc w:val="both"/>
              <w:rPr>
                <w:i/>
              </w:rPr>
            </w:pPr>
            <w:r w:rsidRPr="00295D40">
              <w:rPr>
                <w:sz w:val="22"/>
                <w:szCs w:val="22"/>
              </w:rPr>
              <w:t xml:space="preserve">Esošās </w:t>
            </w:r>
            <w:r w:rsidR="00FF44F5" w:rsidRPr="00295D40">
              <w:rPr>
                <w:sz w:val="22"/>
                <w:szCs w:val="22"/>
              </w:rPr>
              <w:t xml:space="preserve">institūcijas netiek </w:t>
            </w:r>
            <w:r w:rsidRPr="00295D40">
              <w:rPr>
                <w:sz w:val="22"/>
                <w:szCs w:val="22"/>
              </w:rPr>
              <w:t>reorganizētas.</w:t>
            </w:r>
          </w:p>
        </w:tc>
      </w:tr>
      <w:tr w:rsidR="00194614" w:rsidRPr="00295D40" w:rsidTr="00B66418">
        <w:tc>
          <w:tcPr>
            <w:tcW w:w="396" w:type="dxa"/>
            <w:shd w:val="clear" w:color="auto" w:fill="auto"/>
          </w:tcPr>
          <w:p w:rsidR="00194614" w:rsidRPr="00295D40" w:rsidRDefault="00194614" w:rsidP="00242D7D">
            <w:r w:rsidRPr="00295D40">
              <w:lastRenderedPageBreak/>
              <w:t xml:space="preserve">6. </w:t>
            </w:r>
          </w:p>
        </w:tc>
        <w:tc>
          <w:tcPr>
            <w:tcW w:w="3072" w:type="dxa"/>
            <w:shd w:val="clear" w:color="auto" w:fill="auto"/>
          </w:tcPr>
          <w:p w:rsidR="00194614" w:rsidRPr="00295D40" w:rsidRDefault="00194614" w:rsidP="00242D7D">
            <w:pPr>
              <w:rPr>
                <w:sz w:val="22"/>
                <w:szCs w:val="22"/>
              </w:rPr>
            </w:pPr>
            <w:r w:rsidRPr="00295D40">
              <w:rPr>
                <w:sz w:val="22"/>
                <w:szCs w:val="22"/>
              </w:rPr>
              <w:t>Cita informācija</w:t>
            </w:r>
          </w:p>
        </w:tc>
        <w:tc>
          <w:tcPr>
            <w:tcW w:w="5819" w:type="dxa"/>
            <w:shd w:val="clear" w:color="auto" w:fill="auto"/>
          </w:tcPr>
          <w:p w:rsidR="00194614" w:rsidRPr="00295D40" w:rsidRDefault="0012151E" w:rsidP="00B66418">
            <w:pPr>
              <w:jc w:val="both"/>
            </w:pPr>
            <w:r w:rsidRPr="00295D40">
              <w:rPr>
                <w:sz w:val="22"/>
                <w:szCs w:val="22"/>
              </w:rPr>
              <w:t>Nav</w:t>
            </w:r>
          </w:p>
        </w:tc>
      </w:tr>
    </w:tbl>
    <w:p w:rsidR="00B76D85" w:rsidRPr="00295D40" w:rsidRDefault="00B76D85" w:rsidP="00B76D85">
      <w:pPr>
        <w:jc w:val="center"/>
      </w:pPr>
    </w:p>
    <w:p w:rsidR="00FE5D00" w:rsidRPr="00295D40" w:rsidRDefault="003C5B84" w:rsidP="00C56D23">
      <w:pPr>
        <w:rPr>
          <w:i/>
        </w:rPr>
      </w:pPr>
      <w:r w:rsidRPr="00295D40">
        <w:rPr>
          <w:i/>
        </w:rPr>
        <w:t>Anotācijas V un VI sadaļa – projekts šis jomas neskar.</w:t>
      </w:r>
    </w:p>
    <w:p w:rsidR="00514C9A" w:rsidRPr="00295D40" w:rsidRDefault="00514C9A" w:rsidP="00194614">
      <w:pPr>
        <w:rPr>
          <w:i/>
          <w:sz w:val="28"/>
          <w:szCs w:val="28"/>
        </w:rPr>
      </w:pPr>
    </w:p>
    <w:p w:rsidR="00E3532B" w:rsidRPr="00295D40" w:rsidRDefault="00E3532B" w:rsidP="00194614">
      <w:pPr>
        <w:rPr>
          <w:sz w:val="28"/>
          <w:szCs w:val="28"/>
        </w:rPr>
      </w:pPr>
    </w:p>
    <w:p w:rsidR="009A1CF9" w:rsidRPr="00295D40" w:rsidRDefault="009A1CF9" w:rsidP="00194614">
      <w:pPr>
        <w:rPr>
          <w:sz w:val="28"/>
          <w:szCs w:val="28"/>
        </w:rPr>
      </w:pPr>
    </w:p>
    <w:p w:rsidR="009A1CF9" w:rsidRPr="00295D40" w:rsidRDefault="009A1CF9" w:rsidP="00194614">
      <w:pPr>
        <w:rPr>
          <w:sz w:val="28"/>
          <w:szCs w:val="28"/>
        </w:rPr>
      </w:pPr>
    </w:p>
    <w:p w:rsidR="000D7475" w:rsidRPr="00295D40" w:rsidRDefault="000D7475" w:rsidP="00194614">
      <w:pPr>
        <w:rPr>
          <w:sz w:val="28"/>
          <w:szCs w:val="28"/>
        </w:rPr>
      </w:pPr>
    </w:p>
    <w:p w:rsidR="00194614" w:rsidRPr="00295D40" w:rsidRDefault="00194614" w:rsidP="00194614">
      <w:pPr>
        <w:rPr>
          <w:sz w:val="28"/>
          <w:szCs w:val="28"/>
        </w:rPr>
      </w:pPr>
      <w:r w:rsidRPr="00295D40">
        <w:rPr>
          <w:sz w:val="28"/>
          <w:szCs w:val="28"/>
        </w:rPr>
        <w:t>Labklājības ministr</w:t>
      </w:r>
      <w:r w:rsidR="000D7475" w:rsidRPr="00295D40">
        <w:rPr>
          <w:sz w:val="28"/>
          <w:szCs w:val="28"/>
        </w:rPr>
        <w:t>s</w:t>
      </w:r>
      <w:r w:rsidRPr="00295D40">
        <w:rPr>
          <w:sz w:val="28"/>
          <w:szCs w:val="28"/>
        </w:rPr>
        <w:tab/>
      </w:r>
      <w:r w:rsidRPr="00295D40">
        <w:rPr>
          <w:sz w:val="28"/>
          <w:szCs w:val="28"/>
        </w:rPr>
        <w:tab/>
      </w:r>
      <w:r w:rsidRPr="00295D40">
        <w:rPr>
          <w:sz w:val="28"/>
          <w:szCs w:val="28"/>
        </w:rPr>
        <w:tab/>
      </w:r>
      <w:r w:rsidRPr="00295D40">
        <w:rPr>
          <w:sz w:val="28"/>
          <w:szCs w:val="28"/>
        </w:rPr>
        <w:tab/>
      </w:r>
      <w:r w:rsidRPr="00295D40">
        <w:rPr>
          <w:sz w:val="28"/>
          <w:szCs w:val="28"/>
        </w:rPr>
        <w:tab/>
      </w:r>
      <w:r w:rsidRPr="00295D40">
        <w:rPr>
          <w:sz w:val="28"/>
          <w:szCs w:val="28"/>
        </w:rPr>
        <w:tab/>
      </w:r>
      <w:r w:rsidR="000D7475" w:rsidRPr="00295D40">
        <w:rPr>
          <w:sz w:val="28"/>
          <w:szCs w:val="28"/>
        </w:rPr>
        <w:t>U.Augulis</w:t>
      </w:r>
    </w:p>
    <w:p w:rsidR="00194614" w:rsidRPr="00295D40" w:rsidRDefault="00194614" w:rsidP="00194614">
      <w:pPr>
        <w:rPr>
          <w:sz w:val="28"/>
          <w:szCs w:val="28"/>
        </w:rPr>
      </w:pPr>
    </w:p>
    <w:p w:rsidR="00E3532B" w:rsidRPr="00295D40" w:rsidRDefault="00E3532B" w:rsidP="00194614">
      <w:pPr>
        <w:rPr>
          <w:sz w:val="28"/>
          <w:szCs w:val="28"/>
        </w:rPr>
      </w:pPr>
    </w:p>
    <w:p w:rsidR="00E3532B" w:rsidRPr="00295D40" w:rsidRDefault="00E3532B" w:rsidP="00194614">
      <w:pPr>
        <w:rPr>
          <w:sz w:val="28"/>
          <w:szCs w:val="28"/>
        </w:rPr>
      </w:pPr>
    </w:p>
    <w:p w:rsidR="00E3532B" w:rsidRPr="00295D40" w:rsidRDefault="00E3532B" w:rsidP="00194614">
      <w:pPr>
        <w:rPr>
          <w:sz w:val="28"/>
          <w:szCs w:val="28"/>
        </w:rPr>
      </w:pPr>
    </w:p>
    <w:p w:rsidR="00E3532B" w:rsidRPr="00295D40" w:rsidRDefault="00E3532B" w:rsidP="00194614">
      <w:pPr>
        <w:rPr>
          <w:sz w:val="28"/>
          <w:szCs w:val="28"/>
        </w:rPr>
      </w:pPr>
    </w:p>
    <w:p w:rsidR="00E3532B" w:rsidRPr="00295D40" w:rsidRDefault="00E3532B" w:rsidP="00194614">
      <w:pPr>
        <w:rPr>
          <w:sz w:val="28"/>
          <w:szCs w:val="28"/>
        </w:rPr>
      </w:pPr>
    </w:p>
    <w:p w:rsidR="00E3532B" w:rsidRPr="00295D40" w:rsidRDefault="00E3532B" w:rsidP="00194614">
      <w:pPr>
        <w:rPr>
          <w:sz w:val="28"/>
          <w:szCs w:val="28"/>
        </w:rPr>
      </w:pPr>
    </w:p>
    <w:p w:rsidR="00C56D23" w:rsidRPr="00295D40" w:rsidRDefault="00C56D23" w:rsidP="00194614">
      <w:pPr>
        <w:pStyle w:val="Footer"/>
      </w:pPr>
    </w:p>
    <w:p w:rsidR="00312266" w:rsidRPr="00295D40" w:rsidRDefault="00387325" w:rsidP="00312266">
      <w:pPr>
        <w:tabs>
          <w:tab w:val="left" w:pos="6804"/>
        </w:tabs>
        <w:rPr>
          <w:sz w:val="20"/>
        </w:rPr>
      </w:pPr>
      <w:r w:rsidRPr="00295D40">
        <w:rPr>
          <w:sz w:val="20"/>
        </w:rPr>
        <w:t>1</w:t>
      </w:r>
      <w:r w:rsidR="00A541A3" w:rsidRPr="00295D40">
        <w:rPr>
          <w:sz w:val="20"/>
        </w:rPr>
        <w:t>4</w:t>
      </w:r>
      <w:r w:rsidR="00312266" w:rsidRPr="00295D40">
        <w:rPr>
          <w:sz w:val="20"/>
        </w:rPr>
        <w:t>.</w:t>
      </w:r>
      <w:r w:rsidR="00257B6F" w:rsidRPr="00295D40">
        <w:rPr>
          <w:sz w:val="20"/>
        </w:rPr>
        <w:t>0</w:t>
      </w:r>
      <w:r w:rsidRPr="00295D40">
        <w:rPr>
          <w:sz w:val="20"/>
        </w:rPr>
        <w:t>2</w:t>
      </w:r>
      <w:r w:rsidR="00312266" w:rsidRPr="00295D40">
        <w:rPr>
          <w:sz w:val="20"/>
        </w:rPr>
        <w:t>.201</w:t>
      </w:r>
      <w:r w:rsidR="00257B6F" w:rsidRPr="00295D40">
        <w:rPr>
          <w:sz w:val="20"/>
        </w:rPr>
        <w:t>4</w:t>
      </w:r>
      <w:r w:rsidR="00312266" w:rsidRPr="00295D40">
        <w:rPr>
          <w:sz w:val="20"/>
        </w:rPr>
        <w:t>. 1</w:t>
      </w:r>
      <w:r w:rsidR="00295D40">
        <w:rPr>
          <w:sz w:val="20"/>
        </w:rPr>
        <w:t>0</w:t>
      </w:r>
      <w:r w:rsidR="00312266" w:rsidRPr="00295D40">
        <w:rPr>
          <w:sz w:val="20"/>
        </w:rPr>
        <w:t>:</w:t>
      </w:r>
      <w:r w:rsidR="00295D40">
        <w:rPr>
          <w:sz w:val="20"/>
        </w:rPr>
        <w:t>41</w:t>
      </w:r>
      <w:bookmarkStart w:id="0" w:name="_GoBack"/>
      <w:bookmarkEnd w:id="0"/>
    </w:p>
    <w:p w:rsidR="00312266" w:rsidRPr="00295D40" w:rsidRDefault="002241A8" w:rsidP="00312266">
      <w:pPr>
        <w:tabs>
          <w:tab w:val="left" w:pos="6804"/>
        </w:tabs>
        <w:rPr>
          <w:sz w:val="20"/>
        </w:rPr>
      </w:pPr>
      <w:r w:rsidRPr="00295D40">
        <w:rPr>
          <w:sz w:val="20"/>
        </w:rPr>
        <w:t>2</w:t>
      </w:r>
      <w:r w:rsidR="002B4DBF" w:rsidRPr="00295D40">
        <w:rPr>
          <w:sz w:val="20"/>
        </w:rPr>
        <w:t>742</w:t>
      </w:r>
    </w:p>
    <w:tbl>
      <w:tblPr>
        <w:tblW w:w="0" w:type="auto"/>
        <w:tblLook w:val="00A0" w:firstRow="1" w:lastRow="0" w:firstColumn="1" w:lastColumn="0" w:noHBand="0" w:noVBand="0"/>
      </w:tblPr>
      <w:tblGrid>
        <w:gridCol w:w="6828"/>
      </w:tblGrid>
      <w:tr w:rsidR="00295D40" w:rsidRPr="00295D40" w:rsidTr="00B66418">
        <w:tc>
          <w:tcPr>
            <w:tcW w:w="6828" w:type="dxa"/>
          </w:tcPr>
          <w:p w:rsidR="00312266" w:rsidRPr="00295D40" w:rsidRDefault="00312266" w:rsidP="00B66418">
            <w:pPr>
              <w:rPr>
                <w:sz w:val="20"/>
              </w:rPr>
            </w:pPr>
            <w:r w:rsidRPr="00295D40">
              <w:rPr>
                <w:sz w:val="20"/>
              </w:rPr>
              <w:t xml:space="preserve">Maruta </w:t>
            </w:r>
            <w:proofErr w:type="spellStart"/>
            <w:r w:rsidRPr="00295D40">
              <w:rPr>
                <w:sz w:val="20"/>
              </w:rPr>
              <w:t>Pavasare</w:t>
            </w:r>
            <w:proofErr w:type="spellEnd"/>
          </w:p>
        </w:tc>
      </w:tr>
      <w:tr w:rsidR="00295D40" w:rsidRPr="00295D40" w:rsidTr="00B66418">
        <w:tc>
          <w:tcPr>
            <w:tcW w:w="6828" w:type="dxa"/>
          </w:tcPr>
          <w:p w:rsidR="00312266" w:rsidRPr="00295D40" w:rsidRDefault="00312266" w:rsidP="00B66418">
            <w:pPr>
              <w:rPr>
                <w:sz w:val="20"/>
              </w:rPr>
            </w:pPr>
            <w:r w:rsidRPr="00295D40">
              <w:rPr>
                <w:sz w:val="20"/>
              </w:rPr>
              <w:t xml:space="preserve">Sociālās iekļaušanas un sociālā darba politikas </w:t>
            </w:r>
          </w:p>
          <w:p w:rsidR="00312266" w:rsidRPr="00295D40" w:rsidRDefault="00312266" w:rsidP="00B66418">
            <w:pPr>
              <w:rPr>
                <w:sz w:val="20"/>
              </w:rPr>
            </w:pPr>
            <w:r w:rsidRPr="00295D40">
              <w:rPr>
                <w:sz w:val="20"/>
              </w:rPr>
              <w:t>departamenta vecākā referente</w:t>
            </w:r>
          </w:p>
        </w:tc>
      </w:tr>
      <w:tr w:rsidR="00295D40" w:rsidRPr="00295D40" w:rsidTr="00B66418">
        <w:tc>
          <w:tcPr>
            <w:tcW w:w="6828" w:type="dxa"/>
          </w:tcPr>
          <w:p w:rsidR="00312266" w:rsidRPr="00295D40" w:rsidRDefault="00312266" w:rsidP="00B66418">
            <w:pPr>
              <w:rPr>
                <w:sz w:val="20"/>
              </w:rPr>
            </w:pPr>
            <w:r w:rsidRPr="00295D40">
              <w:rPr>
                <w:sz w:val="20"/>
              </w:rPr>
              <w:t>67021661; fax: 67021607</w:t>
            </w:r>
          </w:p>
        </w:tc>
      </w:tr>
      <w:tr w:rsidR="00312266" w:rsidRPr="00295D40" w:rsidTr="00B66418">
        <w:tc>
          <w:tcPr>
            <w:tcW w:w="6828" w:type="dxa"/>
          </w:tcPr>
          <w:p w:rsidR="00312266" w:rsidRPr="00295D40" w:rsidRDefault="00295D40" w:rsidP="00B66418">
            <w:pPr>
              <w:rPr>
                <w:sz w:val="20"/>
              </w:rPr>
            </w:pPr>
            <w:hyperlink r:id="rId9" w:history="1">
              <w:r w:rsidR="00312266" w:rsidRPr="00295D40">
                <w:rPr>
                  <w:rStyle w:val="Hyperlink"/>
                  <w:color w:val="auto"/>
                  <w:sz w:val="20"/>
                </w:rPr>
                <w:t>maruta.pavasare@lm..gov.lv</w:t>
              </w:r>
            </w:hyperlink>
          </w:p>
        </w:tc>
      </w:tr>
    </w:tbl>
    <w:p w:rsidR="00330E6E" w:rsidRPr="00295D40" w:rsidRDefault="00330E6E" w:rsidP="00194614">
      <w:pPr>
        <w:pStyle w:val="Footer"/>
      </w:pPr>
    </w:p>
    <w:sectPr w:rsidR="00330E6E" w:rsidRPr="00295D40" w:rsidSect="00FC797D">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410" w:rsidRDefault="00A33410">
      <w:r>
        <w:separator/>
      </w:r>
    </w:p>
  </w:endnote>
  <w:endnote w:type="continuationSeparator" w:id="0">
    <w:p w:rsidR="00A33410" w:rsidRDefault="00A3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1D" w:rsidRPr="006D09E5" w:rsidRDefault="00A33410" w:rsidP="008A2E1D">
    <w:pPr>
      <w:pStyle w:val="NormalWeb"/>
      <w:jc w:val="both"/>
      <w:rPr>
        <w:sz w:val="20"/>
        <w:szCs w:val="20"/>
      </w:rPr>
    </w:pPr>
    <w:r w:rsidRPr="00FB4C84">
      <w:rPr>
        <w:sz w:val="20"/>
        <w:szCs w:val="20"/>
      </w:rPr>
      <w:t>LM</w:t>
    </w:r>
    <w:r>
      <w:rPr>
        <w:sz w:val="20"/>
        <w:szCs w:val="20"/>
      </w:rPr>
      <w:t>a</w:t>
    </w:r>
    <w:r w:rsidRPr="00FB4C84">
      <w:rPr>
        <w:sz w:val="20"/>
        <w:szCs w:val="20"/>
      </w:rPr>
      <w:t>not</w:t>
    </w:r>
    <w:r>
      <w:rPr>
        <w:sz w:val="20"/>
        <w:szCs w:val="20"/>
      </w:rPr>
      <w:t>_</w:t>
    </w:r>
    <w:r w:rsidR="00387325">
      <w:rPr>
        <w:sz w:val="20"/>
        <w:szCs w:val="20"/>
      </w:rPr>
      <w:t>1</w:t>
    </w:r>
    <w:r w:rsidR="00A541A3">
      <w:rPr>
        <w:sz w:val="20"/>
        <w:szCs w:val="20"/>
      </w:rPr>
      <w:t>4</w:t>
    </w:r>
    <w:r>
      <w:rPr>
        <w:sz w:val="20"/>
        <w:szCs w:val="20"/>
      </w:rPr>
      <w:t>0</w:t>
    </w:r>
    <w:r w:rsidR="00387325">
      <w:rPr>
        <w:sz w:val="20"/>
        <w:szCs w:val="20"/>
      </w:rPr>
      <w:t>2</w:t>
    </w:r>
    <w:r>
      <w:rPr>
        <w:sz w:val="20"/>
        <w:szCs w:val="20"/>
      </w:rPr>
      <w:t>14_merkdot</w:t>
    </w:r>
    <w:r w:rsidRPr="006D09E5">
      <w:rPr>
        <w:sz w:val="20"/>
        <w:szCs w:val="20"/>
      </w:rPr>
      <w:t xml:space="preserve">; </w:t>
    </w:r>
    <w:r w:rsidR="008A2E1D" w:rsidRPr="006D09E5">
      <w:rPr>
        <w:bCs/>
        <w:sz w:val="20"/>
        <w:szCs w:val="20"/>
      </w:rPr>
      <w:t xml:space="preserve">Ministru kabineta noteikumu projekts </w:t>
    </w:r>
    <w:r w:rsidR="008A2E1D" w:rsidRPr="006D09E5">
      <w:rPr>
        <w:color w:val="000000"/>
        <w:sz w:val="20"/>
        <w:szCs w:val="20"/>
      </w:rPr>
      <w:t>„</w:t>
    </w:r>
    <w:r w:rsidR="008A2E1D">
      <w:rPr>
        <w:color w:val="000000"/>
        <w:sz w:val="20"/>
        <w:szCs w:val="20"/>
      </w:rPr>
      <w:t>Noteikumi par v</w:t>
    </w:r>
    <w:r w:rsidR="008A2E1D" w:rsidRPr="006D09E5">
      <w:rPr>
        <w:color w:val="000000"/>
        <w:sz w:val="20"/>
        <w:szCs w:val="20"/>
      </w:rPr>
      <w:t>als</w:t>
    </w:r>
    <w:r w:rsidR="008A2E1D">
      <w:rPr>
        <w:color w:val="000000"/>
        <w:sz w:val="20"/>
        <w:szCs w:val="20"/>
      </w:rPr>
      <w:t>ts mērķdotāciju pašvaldībām dzīvokļa pabalsta izmaksu nodrošināšanai laikā no 2014.gada 1.aprīļa līdz 2017.gada 31.decembrim”.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1D" w:rsidRPr="006D09E5" w:rsidRDefault="00A33410" w:rsidP="008A2E1D">
    <w:pPr>
      <w:pStyle w:val="NormalWeb"/>
      <w:jc w:val="both"/>
      <w:rPr>
        <w:sz w:val="20"/>
        <w:szCs w:val="20"/>
      </w:rPr>
    </w:pPr>
    <w:r w:rsidRPr="00FB4C84">
      <w:rPr>
        <w:sz w:val="20"/>
        <w:szCs w:val="20"/>
      </w:rPr>
      <w:t>LM</w:t>
    </w:r>
    <w:r>
      <w:rPr>
        <w:sz w:val="20"/>
        <w:szCs w:val="20"/>
      </w:rPr>
      <w:t>a</w:t>
    </w:r>
    <w:r w:rsidRPr="00FB4C84">
      <w:rPr>
        <w:sz w:val="20"/>
        <w:szCs w:val="20"/>
      </w:rPr>
      <w:t>not</w:t>
    </w:r>
    <w:r>
      <w:rPr>
        <w:sz w:val="20"/>
        <w:szCs w:val="20"/>
      </w:rPr>
      <w:t>_</w:t>
    </w:r>
    <w:r w:rsidR="00387325">
      <w:rPr>
        <w:sz w:val="20"/>
        <w:szCs w:val="20"/>
      </w:rPr>
      <w:t>1</w:t>
    </w:r>
    <w:r w:rsidR="00A541A3">
      <w:rPr>
        <w:sz w:val="20"/>
        <w:szCs w:val="20"/>
      </w:rPr>
      <w:t>4</w:t>
    </w:r>
    <w:r>
      <w:rPr>
        <w:sz w:val="20"/>
        <w:szCs w:val="20"/>
      </w:rPr>
      <w:t>0</w:t>
    </w:r>
    <w:r w:rsidR="00387325">
      <w:rPr>
        <w:sz w:val="20"/>
        <w:szCs w:val="20"/>
      </w:rPr>
      <w:t>2</w:t>
    </w:r>
    <w:r>
      <w:rPr>
        <w:sz w:val="20"/>
        <w:szCs w:val="20"/>
      </w:rPr>
      <w:t>14_merkdot</w:t>
    </w:r>
    <w:r w:rsidRPr="006D09E5">
      <w:rPr>
        <w:sz w:val="20"/>
        <w:szCs w:val="20"/>
      </w:rPr>
      <w:t xml:space="preserve">; </w:t>
    </w:r>
    <w:r w:rsidR="008A2E1D" w:rsidRPr="006D09E5">
      <w:rPr>
        <w:bCs/>
        <w:sz w:val="20"/>
        <w:szCs w:val="20"/>
      </w:rPr>
      <w:t xml:space="preserve">Ministru kabineta noteikumu projekts </w:t>
    </w:r>
    <w:r w:rsidR="008A2E1D" w:rsidRPr="006D09E5">
      <w:rPr>
        <w:color w:val="000000"/>
        <w:sz w:val="20"/>
        <w:szCs w:val="20"/>
      </w:rPr>
      <w:t>„</w:t>
    </w:r>
    <w:r w:rsidR="008A2E1D">
      <w:rPr>
        <w:color w:val="000000"/>
        <w:sz w:val="20"/>
        <w:szCs w:val="20"/>
      </w:rPr>
      <w:t>Noteikumi par v</w:t>
    </w:r>
    <w:r w:rsidR="008A2E1D" w:rsidRPr="006D09E5">
      <w:rPr>
        <w:color w:val="000000"/>
        <w:sz w:val="20"/>
        <w:szCs w:val="20"/>
      </w:rPr>
      <w:t>als</w:t>
    </w:r>
    <w:r w:rsidR="008A2E1D">
      <w:rPr>
        <w:color w:val="000000"/>
        <w:sz w:val="20"/>
        <w:szCs w:val="20"/>
      </w:rPr>
      <w:t>ts mērķdotāciju pašvaldībām dzīvokļa pabalsta izmaksu nodrošināšanai laikā no 2014.gada 1.aprīļa līdz 2017.gada 31.decembrim”.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410" w:rsidRDefault="00A33410">
      <w:r>
        <w:separator/>
      </w:r>
    </w:p>
  </w:footnote>
  <w:footnote w:type="continuationSeparator" w:id="0">
    <w:p w:rsidR="00A33410" w:rsidRDefault="00A33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410" w:rsidRDefault="00A33410"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3410" w:rsidRDefault="00A334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410" w:rsidRDefault="00A33410"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5D40">
      <w:rPr>
        <w:rStyle w:val="PageNumber"/>
        <w:noProof/>
      </w:rPr>
      <w:t>10</w:t>
    </w:r>
    <w:r>
      <w:rPr>
        <w:rStyle w:val="PageNumber"/>
      </w:rPr>
      <w:fldChar w:fldCharType="end"/>
    </w:r>
  </w:p>
  <w:p w:rsidR="00A33410" w:rsidRDefault="00A33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445A1"/>
    <w:multiLevelType w:val="hybridMultilevel"/>
    <w:tmpl w:val="F6441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D196C53"/>
    <w:multiLevelType w:val="hybridMultilevel"/>
    <w:tmpl w:val="F626A6BA"/>
    <w:lvl w:ilvl="0" w:tplc="0426000F">
      <w:start w:val="1"/>
      <w:numFmt w:val="decimal"/>
      <w:lvlText w:val="%1."/>
      <w:lvlJc w:val="left"/>
      <w:pPr>
        <w:ind w:left="90" w:hanging="360"/>
      </w:pPr>
    </w:lvl>
    <w:lvl w:ilvl="1" w:tplc="04260019" w:tentative="1">
      <w:start w:val="1"/>
      <w:numFmt w:val="lowerLetter"/>
      <w:lvlText w:val="%2."/>
      <w:lvlJc w:val="left"/>
      <w:pPr>
        <w:ind w:left="810" w:hanging="360"/>
      </w:pPr>
    </w:lvl>
    <w:lvl w:ilvl="2" w:tplc="0426001B" w:tentative="1">
      <w:start w:val="1"/>
      <w:numFmt w:val="lowerRoman"/>
      <w:lvlText w:val="%3."/>
      <w:lvlJc w:val="right"/>
      <w:pPr>
        <w:ind w:left="1530" w:hanging="180"/>
      </w:pPr>
    </w:lvl>
    <w:lvl w:ilvl="3" w:tplc="0426000F" w:tentative="1">
      <w:start w:val="1"/>
      <w:numFmt w:val="decimal"/>
      <w:lvlText w:val="%4."/>
      <w:lvlJc w:val="left"/>
      <w:pPr>
        <w:ind w:left="2250" w:hanging="360"/>
      </w:pPr>
    </w:lvl>
    <w:lvl w:ilvl="4" w:tplc="04260019" w:tentative="1">
      <w:start w:val="1"/>
      <w:numFmt w:val="lowerLetter"/>
      <w:lvlText w:val="%5."/>
      <w:lvlJc w:val="left"/>
      <w:pPr>
        <w:ind w:left="2970" w:hanging="360"/>
      </w:pPr>
    </w:lvl>
    <w:lvl w:ilvl="5" w:tplc="0426001B" w:tentative="1">
      <w:start w:val="1"/>
      <w:numFmt w:val="lowerRoman"/>
      <w:lvlText w:val="%6."/>
      <w:lvlJc w:val="right"/>
      <w:pPr>
        <w:ind w:left="3690" w:hanging="180"/>
      </w:pPr>
    </w:lvl>
    <w:lvl w:ilvl="6" w:tplc="0426000F" w:tentative="1">
      <w:start w:val="1"/>
      <w:numFmt w:val="decimal"/>
      <w:lvlText w:val="%7."/>
      <w:lvlJc w:val="left"/>
      <w:pPr>
        <w:ind w:left="4410" w:hanging="360"/>
      </w:pPr>
    </w:lvl>
    <w:lvl w:ilvl="7" w:tplc="04260019" w:tentative="1">
      <w:start w:val="1"/>
      <w:numFmt w:val="lowerLetter"/>
      <w:lvlText w:val="%8."/>
      <w:lvlJc w:val="left"/>
      <w:pPr>
        <w:ind w:left="5130" w:hanging="360"/>
      </w:pPr>
    </w:lvl>
    <w:lvl w:ilvl="8" w:tplc="0426001B" w:tentative="1">
      <w:start w:val="1"/>
      <w:numFmt w:val="lowerRoman"/>
      <w:lvlText w:val="%9."/>
      <w:lvlJc w:val="right"/>
      <w:pPr>
        <w:ind w:left="5850" w:hanging="180"/>
      </w:pPr>
    </w:lvl>
  </w:abstractNum>
  <w:abstractNum w:abstractNumId="2">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3F57342A"/>
    <w:multiLevelType w:val="hybridMultilevel"/>
    <w:tmpl w:val="CCF67AA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49B0FA3"/>
    <w:multiLevelType w:val="hybridMultilevel"/>
    <w:tmpl w:val="1BA4EA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B801258"/>
    <w:multiLevelType w:val="multilevel"/>
    <w:tmpl w:val="60CCEE02"/>
    <w:lvl w:ilvl="0">
      <w:start w:val="1"/>
      <w:numFmt w:val="decimal"/>
      <w:lvlText w:val="%1."/>
      <w:lvlJc w:val="left"/>
      <w:pPr>
        <w:tabs>
          <w:tab w:val="num" w:pos="840"/>
        </w:tabs>
        <w:ind w:left="840" w:hanging="660"/>
      </w:pPr>
      <w:rPr>
        <w:rFonts w:hint="default"/>
      </w:rPr>
    </w:lvl>
    <w:lvl w:ilvl="1">
      <w:start w:val="1"/>
      <w:numFmt w:val="decimal"/>
      <w:isLgl/>
      <w:lvlText w:val="%1.%2."/>
      <w:lvlJc w:val="left"/>
      <w:pPr>
        <w:tabs>
          <w:tab w:val="num" w:pos="1380"/>
        </w:tabs>
        <w:ind w:left="1380" w:hanging="1005"/>
      </w:pPr>
      <w:rPr>
        <w:rFonts w:hint="default"/>
      </w:rPr>
    </w:lvl>
    <w:lvl w:ilvl="2">
      <w:start w:val="1"/>
      <w:numFmt w:val="decimal"/>
      <w:isLgl/>
      <w:lvlText w:val="%1.%2.%3."/>
      <w:lvlJc w:val="left"/>
      <w:pPr>
        <w:tabs>
          <w:tab w:val="num" w:pos="1380"/>
        </w:tabs>
        <w:ind w:left="1380" w:hanging="1005"/>
      </w:pPr>
      <w:rPr>
        <w:rFonts w:hint="default"/>
      </w:rPr>
    </w:lvl>
    <w:lvl w:ilvl="3">
      <w:start w:val="1"/>
      <w:numFmt w:val="decimal"/>
      <w:isLgl/>
      <w:lvlText w:val="%1.%2.%3.%4."/>
      <w:lvlJc w:val="left"/>
      <w:pPr>
        <w:tabs>
          <w:tab w:val="num" w:pos="1455"/>
        </w:tabs>
        <w:ind w:left="1455" w:hanging="1080"/>
      </w:pPr>
      <w:rPr>
        <w:rFonts w:hint="default"/>
      </w:rPr>
    </w:lvl>
    <w:lvl w:ilvl="4">
      <w:start w:val="1"/>
      <w:numFmt w:val="decimal"/>
      <w:isLgl/>
      <w:lvlText w:val="%1.%2.%3.%4.%5."/>
      <w:lvlJc w:val="left"/>
      <w:pPr>
        <w:tabs>
          <w:tab w:val="num" w:pos="1455"/>
        </w:tabs>
        <w:ind w:left="1455" w:hanging="1080"/>
      </w:pPr>
      <w:rPr>
        <w:rFonts w:hint="default"/>
      </w:rPr>
    </w:lvl>
    <w:lvl w:ilvl="5">
      <w:start w:val="1"/>
      <w:numFmt w:val="decimal"/>
      <w:isLgl/>
      <w:lvlText w:val="%1.%2.%3.%4.%5.%6."/>
      <w:lvlJc w:val="left"/>
      <w:pPr>
        <w:tabs>
          <w:tab w:val="num" w:pos="1815"/>
        </w:tabs>
        <w:ind w:left="1815" w:hanging="1440"/>
      </w:pPr>
      <w:rPr>
        <w:rFonts w:hint="default"/>
      </w:rPr>
    </w:lvl>
    <w:lvl w:ilvl="6">
      <w:start w:val="1"/>
      <w:numFmt w:val="decimal"/>
      <w:isLgl/>
      <w:lvlText w:val="%1.%2.%3.%4.%5.%6.%7."/>
      <w:lvlJc w:val="left"/>
      <w:pPr>
        <w:tabs>
          <w:tab w:val="num" w:pos="2175"/>
        </w:tabs>
        <w:ind w:left="2175" w:hanging="1800"/>
      </w:pPr>
      <w:rPr>
        <w:rFonts w:hint="default"/>
      </w:rPr>
    </w:lvl>
    <w:lvl w:ilvl="7">
      <w:start w:val="1"/>
      <w:numFmt w:val="decimal"/>
      <w:isLgl/>
      <w:lvlText w:val="%1.%2.%3.%4.%5.%6.%7.%8."/>
      <w:lvlJc w:val="left"/>
      <w:pPr>
        <w:tabs>
          <w:tab w:val="num" w:pos="2175"/>
        </w:tabs>
        <w:ind w:left="2175" w:hanging="1800"/>
      </w:pPr>
      <w:rPr>
        <w:rFonts w:hint="default"/>
      </w:rPr>
    </w:lvl>
    <w:lvl w:ilvl="8">
      <w:start w:val="1"/>
      <w:numFmt w:val="decimal"/>
      <w:isLgl/>
      <w:lvlText w:val="%1.%2.%3.%4.%5.%6.%7.%8.%9."/>
      <w:lvlJc w:val="left"/>
      <w:pPr>
        <w:tabs>
          <w:tab w:val="num" w:pos="2535"/>
        </w:tabs>
        <w:ind w:left="2535" w:hanging="2160"/>
      </w:pPr>
      <w:rPr>
        <w:rFonts w:hint="default"/>
      </w:rPr>
    </w:lvl>
  </w:abstractNum>
  <w:abstractNum w:abstractNumId="6">
    <w:nsid w:val="633A6752"/>
    <w:multiLevelType w:val="hybridMultilevel"/>
    <w:tmpl w:val="3FBEDAD4"/>
    <w:lvl w:ilvl="0" w:tplc="52805494">
      <w:start w:val="1"/>
      <w:numFmt w:val="decimal"/>
      <w:lvlText w:val="%1)"/>
      <w:lvlJc w:val="left"/>
      <w:pPr>
        <w:tabs>
          <w:tab w:val="num" w:pos="990"/>
        </w:tabs>
        <w:ind w:left="990" w:hanging="630"/>
      </w:pPr>
      <w:rPr>
        <w:rFonts w:hint="default"/>
        <w:color w:val="000000"/>
      </w:rPr>
    </w:lvl>
    <w:lvl w:ilvl="1" w:tplc="04260019">
      <w:start w:val="1"/>
      <w:numFmt w:val="lowerLetter"/>
      <w:lvlText w:val="%2."/>
      <w:lvlJc w:val="left"/>
      <w:pPr>
        <w:tabs>
          <w:tab w:val="num" w:pos="1398"/>
        </w:tabs>
        <w:ind w:left="1398" w:hanging="360"/>
      </w:pPr>
    </w:lvl>
    <w:lvl w:ilvl="2" w:tplc="0426001B" w:tentative="1">
      <w:start w:val="1"/>
      <w:numFmt w:val="lowerRoman"/>
      <w:lvlText w:val="%3."/>
      <w:lvlJc w:val="right"/>
      <w:pPr>
        <w:tabs>
          <w:tab w:val="num" w:pos="2118"/>
        </w:tabs>
        <w:ind w:left="2118" w:hanging="180"/>
      </w:pPr>
    </w:lvl>
    <w:lvl w:ilvl="3" w:tplc="0426000F" w:tentative="1">
      <w:start w:val="1"/>
      <w:numFmt w:val="decimal"/>
      <w:lvlText w:val="%4."/>
      <w:lvlJc w:val="left"/>
      <w:pPr>
        <w:tabs>
          <w:tab w:val="num" w:pos="2838"/>
        </w:tabs>
        <w:ind w:left="2838" w:hanging="360"/>
      </w:pPr>
    </w:lvl>
    <w:lvl w:ilvl="4" w:tplc="04260019" w:tentative="1">
      <w:start w:val="1"/>
      <w:numFmt w:val="lowerLetter"/>
      <w:lvlText w:val="%5."/>
      <w:lvlJc w:val="left"/>
      <w:pPr>
        <w:tabs>
          <w:tab w:val="num" w:pos="3558"/>
        </w:tabs>
        <w:ind w:left="3558" w:hanging="360"/>
      </w:pPr>
    </w:lvl>
    <w:lvl w:ilvl="5" w:tplc="0426001B" w:tentative="1">
      <w:start w:val="1"/>
      <w:numFmt w:val="lowerRoman"/>
      <w:lvlText w:val="%6."/>
      <w:lvlJc w:val="right"/>
      <w:pPr>
        <w:tabs>
          <w:tab w:val="num" w:pos="4278"/>
        </w:tabs>
        <w:ind w:left="4278" w:hanging="180"/>
      </w:pPr>
    </w:lvl>
    <w:lvl w:ilvl="6" w:tplc="0426000F" w:tentative="1">
      <w:start w:val="1"/>
      <w:numFmt w:val="decimal"/>
      <w:lvlText w:val="%7."/>
      <w:lvlJc w:val="left"/>
      <w:pPr>
        <w:tabs>
          <w:tab w:val="num" w:pos="4998"/>
        </w:tabs>
        <w:ind w:left="4998" w:hanging="360"/>
      </w:pPr>
    </w:lvl>
    <w:lvl w:ilvl="7" w:tplc="04260019" w:tentative="1">
      <w:start w:val="1"/>
      <w:numFmt w:val="lowerLetter"/>
      <w:lvlText w:val="%8."/>
      <w:lvlJc w:val="left"/>
      <w:pPr>
        <w:tabs>
          <w:tab w:val="num" w:pos="5718"/>
        </w:tabs>
        <w:ind w:left="5718" w:hanging="360"/>
      </w:pPr>
    </w:lvl>
    <w:lvl w:ilvl="8" w:tplc="0426001B" w:tentative="1">
      <w:start w:val="1"/>
      <w:numFmt w:val="lowerRoman"/>
      <w:lvlText w:val="%9."/>
      <w:lvlJc w:val="right"/>
      <w:pPr>
        <w:tabs>
          <w:tab w:val="num" w:pos="6438"/>
        </w:tabs>
        <w:ind w:left="6438" w:hanging="180"/>
      </w:pPr>
    </w:lvl>
  </w:abstractNum>
  <w:num w:numId="1">
    <w:abstractNumId w:val="2"/>
  </w:num>
  <w:num w:numId="2">
    <w:abstractNumId w:val="6"/>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85"/>
    <w:rsid w:val="0000047D"/>
    <w:rsid w:val="0000568A"/>
    <w:rsid w:val="00011CC1"/>
    <w:rsid w:val="0001202E"/>
    <w:rsid w:val="00014889"/>
    <w:rsid w:val="00014E51"/>
    <w:rsid w:val="0001527E"/>
    <w:rsid w:val="000227AD"/>
    <w:rsid w:val="00025433"/>
    <w:rsid w:val="00042806"/>
    <w:rsid w:val="00043389"/>
    <w:rsid w:val="00057C10"/>
    <w:rsid w:val="0006002A"/>
    <w:rsid w:val="00065FDF"/>
    <w:rsid w:val="000779F9"/>
    <w:rsid w:val="00083A25"/>
    <w:rsid w:val="00084CB0"/>
    <w:rsid w:val="00085BA7"/>
    <w:rsid w:val="00087623"/>
    <w:rsid w:val="000D0AE3"/>
    <w:rsid w:val="000D7475"/>
    <w:rsid w:val="000E1762"/>
    <w:rsid w:val="000E18D5"/>
    <w:rsid w:val="000E60DD"/>
    <w:rsid w:val="00101735"/>
    <w:rsid w:val="00110583"/>
    <w:rsid w:val="00115437"/>
    <w:rsid w:val="0012151E"/>
    <w:rsid w:val="00125B90"/>
    <w:rsid w:val="00132B9B"/>
    <w:rsid w:val="001426BB"/>
    <w:rsid w:val="00144C99"/>
    <w:rsid w:val="00147F9F"/>
    <w:rsid w:val="00156111"/>
    <w:rsid w:val="00166DEA"/>
    <w:rsid w:val="00170E63"/>
    <w:rsid w:val="00184CEA"/>
    <w:rsid w:val="00187A0D"/>
    <w:rsid w:val="00194614"/>
    <w:rsid w:val="00194AF6"/>
    <w:rsid w:val="001A1962"/>
    <w:rsid w:val="001B5BAB"/>
    <w:rsid w:val="001C67A6"/>
    <w:rsid w:val="001F22C7"/>
    <w:rsid w:val="002014E9"/>
    <w:rsid w:val="002039E9"/>
    <w:rsid w:val="00203CE8"/>
    <w:rsid w:val="002052F7"/>
    <w:rsid w:val="002175D9"/>
    <w:rsid w:val="002241A8"/>
    <w:rsid w:val="0022698A"/>
    <w:rsid w:val="002319F7"/>
    <w:rsid w:val="002327FF"/>
    <w:rsid w:val="00232DC0"/>
    <w:rsid w:val="00233870"/>
    <w:rsid w:val="00242D7D"/>
    <w:rsid w:val="00244FF7"/>
    <w:rsid w:val="00252213"/>
    <w:rsid w:val="00252C14"/>
    <w:rsid w:val="0025755F"/>
    <w:rsid w:val="00257B6F"/>
    <w:rsid w:val="0026431D"/>
    <w:rsid w:val="00273F99"/>
    <w:rsid w:val="0028289D"/>
    <w:rsid w:val="00285698"/>
    <w:rsid w:val="00285E8F"/>
    <w:rsid w:val="00295D40"/>
    <w:rsid w:val="002A0240"/>
    <w:rsid w:val="002A651A"/>
    <w:rsid w:val="002B4DBF"/>
    <w:rsid w:val="002B6DC6"/>
    <w:rsid w:val="002C25C3"/>
    <w:rsid w:val="002C2BCF"/>
    <w:rsid w:val="002C6198"/>
    <w:rsid w:val="002D10DE"/>
    <w:rsid w:val="002D25D8"/>
    <w:rsid w:val="002D6A51"/>
    <w:rsid w:val="002E224D"/>
    <w:rsid w:val="002E5227"/>
    <w:rsid w:val="002E6394"/>
    <w:rsid w:val="002F2A5C"/>
    <w:rsid w:val="002F4ACA"/>
    <w:rsid w:val="002F53AE"/>
    <w:rsid w:val="002F56C7"/>
    <w:rsid w:val="00302136"/>
    <w:rsid w:val="003056BC"/>
    <w:rsid w:val="00310150"/>
    <w:rsid w:val="00312266"/>
    <w:rsid w:val="00313E69"/>
    <w:rsid w:val="00330E6E"/>
    <w:rsid w:val="003413A0"/>
    <w:rsid w:val="00366171"/>
    <w:rsid w:val="003816DA"/>
    <w:rsid w:val="00387325"/>
    <w:rsid w:val="003A35B3"/>
    <w:rsid w:val="003B099E"/>
    <w:rsid w:val="003B3847"/>
    <w:rsid w:val="003B5517"/>
    <w:rsid w:val="003B629D"/>
    <w:rsid w:val="003C55BB"/>
    <w:rsid w:val="003C5B84"/>
    <w:rsid w:val="003D77D4"/>
    <w:rsid w:val="003E1775"/>
    <w:rsid w:val="003E7FD8"/>
    <w:rsid w:val="003F27FC"/>
    <w:rsid w:val="0040127B"/>
    <w:rsid w:val="00401381"/>
    <w:rsid w:val="004034D1"/>
    <w:rsid w:val="00403FC2"/>
    <w:rsid w:val="00406C28"/>
    <w:rsid w:val="00412542"/>
    <w:rsid w:val="00421529"/>
    <w:rsid w:val="0042169D"/>
    <w:rsid w:val="00440E9A"/>
    <w:rsid w:val="00444780"/>
    <w:rsid w:val="00447E33"/>
    <w:rsid w:val="0045203F"/>
    <w:rsid w:val="004558AE"/>
    <w:rsid w:val="00463D51"/>
    <w:rsid w:val="004648C2"/>
    <w:rsid w:val="0047120E"/>
    <w:rsid w:val="00471B13"/>
    <w:rsid w:val="00486A11"/>
    <w:rsid w:val="00495FA0"/>
    <w:rsid w:val="004A05F6"/>
    <w:rsid w:val="004A3071"/>
    <w:rsid w:val="004C0E4F"/>
    <w:rsid w:val="004C6440"/>
    <w:rsid w:val="004E0B5B"/>
    <w:rsid w:val="004E68D6"/>
    <w:rsid w:val="005038E7"/>
    <w:rsid w:val="00507483"/>
    <w:rsid w:val="00510994"/>
    <w:rsid w:val="00511D68"/>
    <w:rsid w:val="0051235A"/>
    <w:rsid w:val="00514C9A"/>
    <w:rsid w:val="00542C64"/>
    <w:rsid w:val="00543047"/>
    <w:rsid w:val="005438FE"/>
    <w:rsid w:val="005459A8"/>
    <w:rsid w:val="00546711"/>
    <w:rsid w:val="00552B5C"/>
    <w:rsid w:val="0056060A"/>
    <w:rsid w:val="005617AE"/>
    <w:rsid w:val="0056356A"/>
    <w:rsid w:val="00571796"/>
    <w:rsid w:val="005805BC"/>
    <w:rsid w:val="00586A43"/>
    <w:rsid w:val="005A4037"/>
    <w:rsid w:val="005A47DB"/>
    <w:rsid w:val="005A4FB9"/>
    <w:rsid w:val="005A6338"/>
    <w:rsid w:val="005A75E0"/>
    <w:rsid w:val="005A7888"/>
    <w:rsid w:val="005A7B34"/>
    <w:rsid w:val="005B4695"/>
    <w:rsid w:val="005C42B9"/>
    <w:rsid w:val="005E64E5"/>
    <w:rsid w:val="005F13A9"/>
    <w:rsid w:val="005F6390"/>
    <w:rsid w:val="00607E3A"/>
    <w:rsid w:val="00610826"/>
    <w:rsid w:val="00611534"/>
    <w:rsid w:val="00612B4E"/>
    <w:rsid w:val="006149B3"/>
    <w:rsid w:val="00626D1A"/>
    <w:rsid w:val="0063062A"/>
    <w:rsid w:val="00630B60"/>
    <w:rsid w:val="00630EE6"/>
    <w:rsid w:val="00631FCF"/>
    <w:rsid w:val="00632EF2"/>
    <w:rsid w:val="00634CFA"/>
    <w:rsid w:val="006365DF"/>
    <w:rsid w:val="00642B33"/>
    <w:rsid w:val="00646289"/>
    <w:rsid w:val="00646869"/>
    <w:rsid w:val="00663457"/>
    <w:rsid w:val="00672371"/>
    <w:rsid w:val="00673E72"/>
    <w:rsid w:val="0068651F"/>
    <w:rsid w:val="00695242"/>
    <w:rsid w:val="006A2711"/>
    <w:rsid w:val="006A5354"/>
    <w:rsid w:val="006A7473"/>
    <w:rsid w:val="006C05E3"/>
    <w:rsid w:val="006C0CCD"/>
    <w:rsid w:val="006C493C"/>
    <w:rsid w:val="006D4379"/>
    <w:rsid w:val="006E1AB7"/>
    <w:rsid w:val="006E2D8C"/>
    <w:rsid w:val="006F5326"/>
    <w:rsid w:val="006F53C3"/>
    <w:rsid w:val="00702B71"/>
    <w:rsid w:val="00704C57"/>
    <w:rsid w:val="0071151B"/>
    <w:rsid w:val="0071284D"/>
    <w:rsid w:val="00720618"/>
    <w:rsid w:val="007221AE"/>
    <w:rsid w:val="00722AE8"/>
    <w:rsid w:val="00735654"/>
    <w:rsid w:val="007513BD"/>
    <w:rsid w:val="00753E7B"/>
    <w:rsid w:val="007563A9"/>
    <w:rsid w:val="00765526"/>
    <w:rsid w:val="00785D91"/>
    <w:rsid w:val="007A1C00"/>
    <w:rsid w:val="007B50C1"/>
    <w:rsid w:val="007B5137"/>
    <w:rsid w:val="007C29D6"/>
    <w:rsid w:val="007C3F30"/>
    <w:rsid w:val="008028B0"/>
    <w:rsid w:val="0080427E"/>
    <w:rsid w:val="00806706"/>
    <w:rsid w:val="0081515A"/>
    <w:rsid w:val="00821AAF"/>
    <w:rsid w:val="00831B0F"/>
    <w:rsid w:val="008564DA"/>
    <w:rsid w:val="00860BCE"/>
    <w:rsid w:val="00863002"/>
    <w:rsid w:val="00864113"/>
    <w:rsid w:val="00881FD7"/>
    <w:rsid w:val="00887A7F"/>
    <w:rsid w:val="0089237A"/>
    <w:rsid w:val="00895B62"/>
    <w:rsid w:val="008A0C68"/>
    <w:rsid w:val="008A2E1D"/>
    <w:rsid w:val="008A511F"/>
    <w:rsid w:val="008B106D"/>
    <w:rsid w:val="008C3226"/>
    <w:rsid w:val="008C4DB5"/>
    <w:rsid w:val="008C5F59"/>
    <w:rsid w:val="008D3190"/>
    <w:rsid w:val="008E278C"/>
    <w:rsid w:val="008F3021"/>
    <w:rsid w:val="00901108"/>
    <w:rsid w:val="009018B9"/>
    <w:rsid w:val="00910FFD"/>
    <w:rsid w:val="00917806"/>
    <w:rsid w:val="00922BD5"/>
    <w:rsid w:val="00926F74"/>
    <w:rsid w:val="0092748C"/>
    <w:rsid w:val="00934A94"/>
    <w:rsid w:val="0093569B"/>
    <w:rsid w:val="0093595C"/>
    <w:rsid w:val="00945A1A"/>
    <w:rsid w:val="009462E9"/>
    <w:rsid w:val="009508F7"/>
    <w:rsid w:val="00953490"/>
    <w:rsid w:val="0095728B"/>
    <w:rsid w:val="00957D2D"/>
    <w:rsid w:val="00964185"/>
    <w:rsid w:val="00964FB6"/>
    <w:rsid w:val="00966185"/>
    <w:rsid w:val="00975B6B"/>
    <w:rsid w:val="00982E7D"/>
    <w:rsid w:val="0099488C"/>
    <w:rsid w:val="00996AC2"/>
    <w:rsid w:val="009A0EC2"/>
    <w:rsid w:val="009A1CF9"/>
    <w:rsid w:val="009B01C4"/>
    <w:rsid w:val="009B3F71"/>
    <w:rsid w:val="009B74D0"/>
    <w:rsid w:val="009C2F46"/>
    <w:rsid w:val="009D177A"/>
    <w:rsid w:val="009D7CEE"/>
    <w:rsid w:val="009E2A09"/>
    <w:rsid w:val="009E68E2"/>
    <w:rsid w:val="00A0413E"/>
    <w:rsid w:val="00A078D9"/>
    <w:rsid w:val="00A161B4"/>
    <w:rsid w:val="00A16645"/>
    <w:rsid w:val="00A170A4"/>
    <w:rsid w:val="00A21121"/>
    <w:rsid w:val="00A30E57"/>
    <w:rsid w:val="00A33410"/>
    <w:rsid w:val="00A36979"/>
    <w:rsid w:val="00A541A3"/>
    <w:rsid w:val="00A56762"/>
    <w:rsid w:val="00A61D4D"/>
    <w:rsid w:val="00A81499"/>
    <w:rsid w:val="00A8673F"/>
    <w:rsid w:val="00A87DD1"/>
    <w:rsid w:val="00A96856"/>
    <w:rsid w:val="00AA27B4"/>
    <w:rsid w:val="00AB0EC0"/>
    <w:rsid w:val="00AB17A6"/>
    <w:rsid w:val="00AB1F96"/>
    <w:rsid w:val="00AB3EDF"/>
    <w:rsid w:val="00AB4227"/>
    <w:rsid w:val="00AC08E8"/>
    <w:rsid w:val="00AC1F66"/>
    <w:rsid w:val="00AC2E7F"/>
    <w:rsid w:val="00AD111A"/>
    <w:rsid w:val="00AE4E26"/>
    <w:rsid w:val="00AE5EB4"/>
    <w:rsid w:val="00B0447F"/>
    <w:rsid w:val="00B04A10"/>
    <w:rsid w:val="00B20827"/>
    <w:rsid w:val="00B30A0B"/>
    <w:rsid w:val="00B32CC4"/>
    <w:rsid w:val="00B43014"/>
    <w:rsid w:val="00B445F0"/>
    <w:rsid w:val="00B44A75"/>
    <w:rsid w:val="00B4783E"/>
    <w:rsid w:val="00B61D11"/>
    <w:rsid w:val="00B62B30"/>
    <w:rsid w:val="00B66418"/>
    <w:rsid w:val="00B76D85"/>
    <w:rsid w:val="00B80798"/>
    <w:rsid w:val="00BB0C05"/>
    <w:rsid w:val="00BC4041"/>
    <w:rsid w:val="00BC5670"/>
    <w:rsid w:val="00BD0BB9"/>
    <w:rsid w:val="00BD37C2"/>
    <w:rsid w:val="00BD70AB"/>
    <w:rsid w:val="00BE2241"/>
    <w:rsid w:val="00C01716"/>
    <w:rsid w:val="00C1174A"/>
    <w:rsid w:val="00C271E8"/>
    <w:rsid w:val="00C35CA4"/>
    <w:rsid w:val="00C37EF0"/>
    <w:rsid w:val="00C416D1"/>
    <w:rsid w:val="00C4721F"/>
    <w:rsid w:val="00C51021"/>
    <w:rsid w:val="00C52E68"/>
    <w:rsid w:val="00C53269"/>
    <w:rsid w:val="00C56D23"/>
    <w:rsid w:val="00C64116"/>
    <w:rsid w:val="00C702F2"/>
    <w:rsid w:val="00C725CE"/>
    <w:rsid w:val="00C75E84"/>
    <w:rsid w:val="00C825FA"/>
    <w:rsid w:val="00CA07A6"/>
    <w:rsid w:val="00CA10C1"/>
    <w:rsid w:val="00CB0ACE"/>
    <w:rsid w:val="00CB3B53"/>
    <w:rsid w:val="00CB6C31"/>
    <w:rsid w:val="00CB7829"/>
    <w:rsid w:val="00CD0FF0"/>
    <w:rsid w:val="00CE4AD3"/>
    <w:rsid w:val="00CE5252"/>
    <w:rsid w:val="00CF0A7A"/>
    <w:rsid w:val="00CF1859"/>
    <w:rsid w:val="00CF6C55"/>
    <w:rsid w:val="00CF71C1"/>
    <w:rsid w:val="00D06832"/>
    <w:rsid w:val="00D0766C"/>
    <w:rsid w:val="00D118C0"/>
    <w:rsid w:val="00D1652C"/>
    <w:rsid w:val="00D268DC"/>
    <w:rsid w:val="00D328A0"/>
    <w:rsid w:val="00D365FF"/>
    <w:rsid w:val="00D439C4"/>
    <w:rsid w:val="00D5770E"/>
    <w:rsid w:val="00D66A8A"/>
    <w:rsid w:val="00D7546F"/>
    <w:rsid w:val="00D760D0"/>
    <w:rsid w:val="00D86375"/>
    <w:rsid w:val="00D950C7"/>
    <w:rsid w:val="00D97F57"/>
    <w:rsid w:val="00DA3833"/>
    <w:rsid w:val="00DA6172"/>
    <w:rsid w:val="00DB4594"/>
    <w:rsid w:val="00DB555F"/>
    <w:rsid w:val="00DC1D36"/>
    <w:rsid w:val="00DC2A17"/>
    <w:rsid w:val="00DC2C7B"/>
    <w:rsid w:val="00DC3259"/>
    <w:rsid w:val="00DC34B4"/>
    <w:rsid w:val="00DC4012"/>
    <w:rsid w:val="00DD07AD"/>
    <w:rsid w:val="00DE112C"/>
    <w:rsid w:val="00DE42E3"/>
    <w:rsid w:val="00DF3A7E"/>
    <w:rsid w:val="00DF64D2"/>
    <w:rsid w:val="00E05011"/>
    <w:rsid w:val="00E050A9"/>
    <w:rsid w:val="00E0594A"/>
    <w:rsid w:val="00E06693"/>
    <w:rsid w:val="00E10610"/>
    <w:rsid w:val="00E11D47"/>
    <w:rsid w:val="00E1729B"/>
    <w:rsid w:val="00E23005"/>
    <w:rsid w:val="00E23DCB"/>
    <w:rsid w:val="00E30AA6"/>
    <w:rsid w:val="00E3497D"/>
    <w:rsid w:val="00E3532B"/>
    <w:rsid w:val="00E4332B"/>
    <w:rsid w:val="00E5030E"/>
    <w:rsid w:val="00E60D62"/>
    <w:rsid w:val="00E65A83"/>
    <w:rsid w:val="00E83C51"/>
    <w:rsid w:val="00E84B95"/>
    <w:rsid w:val="00E910A1"/>
    <w:rsid w:val="00E975D1"/>
    <w:rsid w:val="00EB22C5"/>
    <w:rsid w:val="00EB30F7"/>
    <w:rsid w:val="00ED1E90"/>
    <w:rsid w:val="00ED604C"/>
    <w:rsid w:val="00EE64A9"/>
    <w:rsid w:val="00EE6A1D"/>
    <w:rsid w:val="00EF4F23"/>
    <w:rsid w:val="00EF7E4F"/>
    <w:rsid w:val="00F04402"/>
    <w:rsid w:val="00F04D1A"/>
    <w:rsid w:val="00F074DC"/>
    <w:rsid w:val="00F07B42"/>
    <w:rsid w:val="00F103CD"/>
    <w:rsid w:val="00F138D3"/>
    <w:rsid w:val="00F15A1A"/>
    <w:rsid w:val="00F169FA"/>
    <w:rsid w:val="00F22C81"/>
    <w:rsid w:val="00F40041"/>
    <w:rsid w:val="00F45A57"/>
    <w:rsid w:val="00F53DC5"/>
    <w:rsid w:val="00F61BD8"/>
    <w:rsid w:val="00F63BCF"/>
    <w:rsid w:val="00F73708"/>
    <w:rsid w:val="00F75FA1"/>
    <w:rsid w:val="00F77D63"/>
    <w:rsid w:val="00F80083"/>
    <w:rsid w:val="00F836F2"/>
    <w:rsid w:val="00F85304"/>
    <w:rsid w:val="00FB0D61"/>
    <w:rsid w:val="00FC1558"/>
    <w:rsid w:val="00FC797D"/>
    <w:rsid w:val="00FD2652"/>
    <w:rsid w:val="00FD40AB"/>
    <w:rsid w:val="00FE3676"/>
    <w:rsid w:val="00FE3F00"/>
    <w:rsid w:val="00FE5D00"/>
    <w:rsid w:val="00FF44F5"/>
    <w:rsid w:val="00FF4A2F"/>
    <w:rsid w:val="00FF50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D85"/>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semiHidden/>
    <w:rsid w:val="00DB4594"/>
    <w:rPr>
      <w:sz w:val="20"/>
      <w:szCs w:val="20"/>
    </w:rPr>
  </w:style>
  <w:style w:type="character" w:customStyle="1" w:styleId="CommentTextChar">
    <w:name w:val="Comment Text Char"/>
    <w:link w:val="CommentText"/>
    <w:semiHidden/>
    <w:rsid w:val="00DB4594"/>
    <w:rPr>
      <w:lang w:val="lv-LV" w:eastAsia="lv-LV" w:bidi="ar-SA"/>
    </w:rPr>
  </w:style>
  <w:style w:type="paragraph" w:customStyle="1" w:styleId="Rakstz">
    <w:name w:val="Rakstz."/>
    <w:basedOn w:val="Normal"/>
    <w:semiHidden/>
    <w:rsid w:val="00EF7E4F"/>
    <w:pPr>
      <w:spacing w:after="160" w:line="240" w:lineRule="exact"/>
    </w:pPr>
    <w:rPr>
      <w:rFonts w:ascii="Verdana" w:hAnsi="Verdana"/>
      <w:sz w:val="20"/>
      <w:szCs w:val="20"/>
    </w:rPr>
  </w:style>
  <w:style w:type="paragraph" w:styleId="NormalWeb">
    <w:name w:val="Normal (Web)"/>
    <w:basedOn w:val="Normal"/>
    <w:rsid w:val="00312266"/>
    <w:pPr>
      <w:spacing w:before="75" w:after="75"/>
    </w:pPr>
  </w:style>
  <w:style w:type="character" w:styleId="Hyperlink">
    <w:name w:val="Hyperlink"/>
    <w:rsid w:val="00312266"/>
    <w:rPr>
      <w:color w:val="0000FF"/>
      <w:u w:val="single"/>
    </w:rPr>
  </w:style>
  <w:style w:type="paragraph" w:customStyle="1" w:styleId="naislab">
    <w:name w:val="naislab"/>
    <w:basedOn w:val="Normal"/>
    <w:rsid w:val="00CB3B53"/>
    <w:pPr>
      <w:spacing w:before="75" w:after="75"/>
      <w:jc w:val="right"/>
    </w:pPr>
  </w:style>
  <w:style w:type="character" w:customStyle="1" w:styleId="hps">
    <w:name w:val="hps"/>
    <w:uiPriority w:val="99"/>
    <w:rsid w:val="00194AF6"/>
  </w:style>
  <w:style w:type="character" w:customStyle="1" w:styleId="apple-converted-space">
    <w:name w:val="apple-converted-space"/>
    <w:rsid w:val="00FE3F00"/>
  </w:style>
  <w:style w:type="paragraph" w:customStyle="1" w:styleId="Default">
    <w:name w:val="Default"/>
    <w:rsid w:val="002C6198"/>
    <w:pPr>
      <w:autoSpaceDE w:val="0"/>
      <w:autoSpaceDN w:val="0"/>
      <w:adjustRightInd w:val="0"/>
    </w:pPr>
    <w:rPr>
      <w:color w:val="000000"/>
      <w:sz w:val="24"/>
      <w:szCs w:val="24"/>
    </w:rPr>
  </w:style>
  <w:style w:type="character" w:styleId="CommentReference">
    <w:name w:val="annotation reference"/>
    <w:basedOn w:val="DefaultParagraphFont"/>
    <w:rsid w:val="003C5B84"/>
    <w:rPr>
      <w:sz w:val="16"/>
      <w:szCs w:val="16"/>
    </w:rPr>
  </w:style>
  <w:style w:type="paragraph" w:styleId="CommentSubject">
    <w:name w:val="annotation subject"/>
    <w:basedOn w:val="CommentText"/>
    <w:next w:val="CommentText"/>
    <w:link w:val="CommentSubjectChar"/>
    <w:rsid w:val="003C5B84"/>
    <w:rPr>
      <w:b/>
      <w:bCs/>
    </w:rPr>
  </w:style>
  <w:style w:type="character" w:customStyle="1" w:styleId="CommentSubjectChar">
    <w:name w:val="Comment Subject Char"/>
    <w:basedOn w:val="CommentTextChar"/>
    <w:link w:val="CommentSubject"/>
    <w:rsid w:val="003C5B84"/>
    <w:rPr>
      <w:b/>
      <w:bCs/>
      <w:lang w:val="lv-LV" w:eastAsia="lv-LV" w:bidi="ar-SA"/>
    </w:rPr>
  </w:style>
  <w:style w:type="paragraph" w:styleId="ListParagraph">
    <w:name w:val="List Paragraph"/>
    <w:basedOn w:val="Normal"/>
    <w:uiPriority w:val="34"/>
    <w:qFormat/>
    <w:rsid w:val="00612B4E"/>
    <w:pPr>
      <w:ind w:left="720"/>
      <w:contextualSpacing/>
    </w:pPr>
  </w:style>
  <w:style w:type="paragraph" w:customStyle="1" w:styleId="naisc">
    <w:name w:val="naisc"/>
    <w:basedOn w:val="Normal"/>
    <w:rsid w:val="00AB1F96"/>
    <w:pPr>
      <w:spacing w:before="75" w:after="75"/>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D85"/>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semiHidden/>
    <w:rsid w:val="00DB4594"/>
    <w:rPr>
      <w:sz w:val="20"/>
      <w:szCs w:val="20"/>
    </w:rPr>
  </w:style>
  <w:style w:type="character" w:customStyle="1" w:styleId="CommentTextChar">
    <w:name w:val="Comment Text Char"/>
    <w:link w:val="CommentText"/>
    <w:semiHidden/>
    <w:rsid w:val="00DB4594"/>
    <w:rPr>
      <w:lang w:val="lv-LV" w:eastAsia="lv-LV" w:bidi="ar-SA"/>
    </w:rPr>
  </w:style>
  <w:style w:type="paragraph" w:customStyle="1" w:styleId="Rakstz">
    <w:name w:val="Rakstz."/>
    <w:basedOn w:val="Normal"/>
    <w:semiHidden/>
    <w:rsid w:val="00EF7E4F"/>
    <w:pPr>
      <w:spacing w:after="160" w:line="240" w:lineRule="exact"/>
    </w:pPr>
    <w:rPr>
      <w:rFonts w:ascii="Verdana" w:hAnsi="Verdana"/>
      <w:sz w:val="20"/>
      <w:szCs w:val="20"/>
    </w:rPr>
  </w:style>
  <w:style w:type="paragraph" w:styleId="NormalWeb">
    <w:name w:val="Normal (Web)"/>
    <w:basedOn w:val="Normal"/>
    <w:rsid w:val="00312266"/>
    <w:pPr>
      <w:spacing w:before="75" w:after="75"/>
    </w:pPr>
  </w:style>
  <w:style w:type="character" w:styleId="Hyperlink">
    <w:name w:val="Hyperlink"/>
    <w:rsid w:val="00312266"/>
    <w:rPr>
      <w:color w:val="0000FF"/>
      <w:u w:val="single"/>
    </w:rPr>
  </w:style>
  <w:style w:type="paragraph" w:customStyle="1" w:styleId="naislab">
    <w:name w:val="naislab"/>
    <w:basedOn w:val="Normal"/>
    <w:rsid w:val="00CB3B53"/>
    <w:pPr>
      <w:spacing w:before="75" w:after="75"/>
      <w:jc w:val="right"/>
    </w:pPr>
  </w:style>
  <w:style w:type="character" w:customStyle="1" w:styleId="hps">
    <w:name w:val="hps"/>
    <w:uiPriority w:val="99"/>
    <w:rsid w:val="00194AF6"/>
  </w:style>
  <w:style w:type="character" w:customStyle="1" w:styleId="apple-converted-space">
    <w:name w:val="apple-converted-space"/>
    <w:rsid w:val="00FE3F00"/>
  </w:style>
  <w:style w:type="paragraph" w:customStyle="1" w:styleId="Default">
    <w:name w:val="Default"/>
    <w:rsid w:val="002C6198"/>
    <w:pPr>
      <w:autoSpaceDE w:val="0"/>
      <w:autoSpaceDN w:val="0"/>
      <w:adjustRightInd w:val="0"/>
    </w:pPr>
    <w:rPr>
      <w:color w:val="000000"/>
      <w:sz w:val="24"/>
      <w:szCs w:val="24"/>
    </w:rPr>
  </w:style>
  <w:style w:type="character" w:styleId="CommentReference">
    <w:name w:val="annotation reference"/>
    <w:basedOn w:val="DefaultParagraphFont"/>
    <w:rsid w:val="003C5B84"/>
    <w:rPr>
      <w:sz w:val="16"/>
      <w:szCs w:val="16"/>
    </w:rPr>
  </w:style>
  <w:style w:type="paragraph" w:styleId="CommentSubject">
    <w:name w:val="annotation subject"/>
    <w:basedOn w:val="CommentText"/>
    <w:next w:val="CommentText"/>
    <w:link w:val="CommentSubjectChar"/>
    <w:rsid w:val="003C5B84"/>
    <w:rPr>
      <w:b/>
      <w:bCs/>
    </w:rPr>
  </w:style>
  <w:style w:type="character" w:customStyle="1" w:styleId="CommentSubjectChar">
    <w:name w:val="Comment Subject Char"/>
    <w:basedOn w:val="CommentTextChar"/>
    <w:link w:val="CommentSubject"/>
    <w:rsid w:val="003C5B84"/>
    <w:rPr>
      <w:b/>
      <w:bCs/>
      <w:lang w:val="lv-LV" w:eastAsia="lv-LV" w:bidi="ar-SA"/>
    </w:rPr>
  </w:style>
  <w:style w:type="paragraph" w:styleId="ListParagraph">
    <w:name w:val="List Paragraph"/>
    <w:basedOn w:val="Normal"/>
    <w:uiPriority w:val="34"/>
    <w:qFormat/>
    <w:rsid w:val="00612B4E"/>
    <w:pPr>
      <w:ind w:left="720"/>
      <w:contextualSpacing/>
    </w:pPr>
  </w:style>
  <w:style w:type="paragraph" w:customStyle="1" w:styleId="naisc">
    <w:name w:val="naisc"/>
    <w:basedOn w:val="Normal"/>
    <w:rsid w:val="00AB1F96"/>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1294">
      <w:bodyDiv w:val="1"/>
      <w:marLeft w:val="0"/>
      <w:marRight w:val="0"/>
      <w:marTop w:val="0"/>
      <w:marBottom w:val="0"/>
      <w:divBdr>
        <w:top w:val="none" w:sz="0" w:space="0" w:color="auto"/>
        <w:left w:val="none" w:sz="0" w:space="0" w:color="auto"/>
        <w:bottom w:val="none" w:sz="0" w:space="0" w:color="auto"/>
        <w:right w:val="none" w:sz="0" w:space="0" w:color="auto"/>
      </w:divBdr>
    </w:div>
    <w:div w:id="107286642">
      <w:bodyDiv w:val="1"/>
      <w:marLeft w:val="0"/>
      <w:marRight w:val="0"/>
      <w:marTop w:val="0"/>
      <w:marBottom w:val="0"/>
      <w:divBdr>
        <w:top w:val="none" w:sz="0" w:space="0" w:color="auto"/>
        <w:left w:val="none" w:sz="0" w:space="0" w:color="auto"/>
        <w:bottom w:val="none" w:sz="0" w:space="0" w:color="auto"/>
        <w:right w:val="none" w:sz="0" w:space="0" w:color="auto"/>
      </w:divBdr>
    </w:div>
    <w:div w:id="276915734">
      <w:bodyDiv w:val="1"/>
      <w:marLeft w:val="0"/>
      <w:marRight w:val="0"/>
      <w:marTop w:val="0"/>
      <w:marBottom w:val="0"/>
      <w:divBdr>
        <w:top w:val="none" w:sz="0" w:space="0" w:color="auto"/>
        <w:left w:val="none" w:sz="0" w:space="0" w:color="auto"/>
        <w:bottom w:val="none" w:sz="0" w:space="0" w:color="auto"/>
        <w:right w:val="none" w:sz="0" w:space="0" w:color="auto"/>
      </w:divBdr>
    </w:div>
    <w:div w:id="408891836">
      <w:bodyDiv w:val="1"/>
      <w:marLeft w:val="0"/>
      <w:marRight w:val="0"/>
      <w:marTop w:val="0"/>
      <w:marBottom w:val="0"/>
      <w:divBdr>
        <w:top w:val="none" w:sz="0" w:space="0" w:color="auto"/>
        <w:left w:val="none" w:sz="0" w:space="0" w:color="auto"/>
        <w:bottom w:val="none" w:sz="0" w:space="0" w:color="auto"/>
        <w:right w:val="none" w:sz="0" w:space="0" w:color="auto"/>
      </w:divBdr>
    </w:div>
    <w:div w:id="452135929">
      <w:bodyDiv w:val="1"/>
      <w:marLeft w:val="0"/>
      <w:marRight w:val="0"/>
      <w:marTop w:val="0"/>
      <w:marBottom w:val="0"/>
      <w:divBdr>
        <w:top w:val="none" w:sz="0" w:space="0" w:color="auto"/>
        <w:left w:val="none" w:sz="0" w:space="0" w:color="auto"/>
        <w:bottom w:val="none" w:sz="0" w:space="0" w:color="auto"/>
        <w:right w:val="none" w:sz="0" w:space="0" w:color="auto"/>
      </w:divBdr>
    </w:div>
    <w:div w:id="474373237">
      <w:bodyDiv w:val="1"/>
      <w:marLeft w:val="0"/>
      <w:marRight w:val="0"/>
      <w:marTop w:val="0"/>
      <w:marBottom w:val="0"/>
      <w:divBdr>
        <w:top w:val="none" w:sz="0" w:space="0" w:color="auto"/>
        <w:left w:val="none" w:sz="0" w:space="0" w:color="auto"/>
        <w:bottom w:val="none" w:sz="0" w:space="0" w:color="auto"/>
        <w:right w:val="none" w:sz="0" w:space="0" w:color="auto"/>
      </w:divBdr>
    </w:div>
    <w:div w:id="663779466">
      <w:bodyDiv w:val="1"/>
      <w:marLeft w:val="0"/>
      <w:marRight w:val="0"/>
      <w:marTop w:val="0"/>
      <w:marBottom w:val="0"/>
      <w:divBdr>
        <w:top w:val="none" w:sz="0" w:space="0" w:color="auto"/>
        <w:left w:val="none" w:sz="0" w:space="0" w:color="auto"/>
        <w:bottom w:val="none" w:sz="0" w:space="0" w:color="auto"/>
        <w:right w:val="none" w:sz="0" w:space="0" w:color="auto"/>
      </w:divBdr>
    </w:div>
    <w:div w:id="975331392">
      <w:bodyDiv w:val="1"/>
      <w:marLeft w:val="0"/>
      <w:marRight w:val="0"/>
      <w:marTop w:val="0"/>
      <w:marBottom w:val="0"/>
      <w:divBdr>
        <w:top w:val="none" w:sz="0" w:space="0" w:color="auto"/>
        <w:left w:val="none" w:sz="0" w:space="0" w:color="auto"/>
        <w:bottom w:val="none" w:sz="0" w:space="0" w:color="auto"/>
        <w:right w:val="none" w:sz="0" w:space="0" w:color="auto"/>
      </w:divBdr>
    </w:div>
    <w:div w:id="1362894812">
      <w:bodyDiv w:val="1"/>
      <w:marLeft w:val="0"/>
      <w:marRight w:val="0"/>
      <w:marTop w:val="0"/>
      <w:marBottom w:val="0"/>
      <w:divBdr>
        <w:top w:val="none" w:sz="0" w:space="0" w:color="auto"/>
        <w:left w:val="none" w:sz="0" w:space="0" w:color="auto"/>
        <w:bottom w:val="none" w:sz="0" w:space="0" w:color="auto"/>
        <w:right w:val="none" w:sz="0" w:space="0" w:color="auto"/>
      </w:divBdr>
    </w:div>
    <w:div w:id="1546331746">
      <w:bodyDiv w:val="1"/>
      <w:marLeft w:val="0"/>
      <w:marRight w:val="0"/>
      <w:marTop w:val="0"/>
      <w:marBottom w:val="0"/>
      <w:divBdr>
        <w:top w:val="none" w:sz="0" w:space="0" w:color="auto"/>
        <w:left w:val="none" w:sz="0" w:space="0" w:color="auto"/>
        <w:bottom w:val="none" w:sz="0" w:space="0" w:color="auto"/>
        <w:right w:val="none" w:sz="0" w:space="0" w:color="auto"/>
      </w:divBdr>
    </w:div>
    <w:div w:id="1840150301">
      <w:bodyDiv w:val="1"/>
      <w:marLeft w:val="0"/>
      <w:marRight w:val="0"/>
      <w:marTop w:val="0"/>
      <w:marBottom w:val="0"/>
      <w:divBdr>
        <w:top w:val="none" w:sz="0" w:space="0" w:color="auto"/>
        <w:left w:val="none" w:sz="0" w:space="0" w:color="auto"/>
        <w:bottom w:val="none" w:sz="0" w:space="0" w:color="auto"/>
        <w:right w:val="none" w:sz="0" w:space="0" w:color="auto"/>
      </w:divBdr>
    </w:div>
    <w:div w:id="1886090964">
      <w:bodyDiv w:val="1"/>
      <w:marLeft w:val="0"/>
      <w:marRight w:val="0"/>
      <w:marTop w:val="0"/>
      <w:marBottom w:val="0"/>
      <w:divBdr>
        <w:top w:val="none" w:sz="0" w:space="0" w:color="auto"/>
        <w:left w:val="none" w:sz="0" w:space="0" w:color="auto"/>
        <w:bottom w:val="none" w:sz="0" w:space="0" w:color="auto"/>
        <w:right w:val="none" w:sz="0" w:space="0" w:color="auto"/>
      </w:divBdr>
    </w:div>
    <w:div w:id="194704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uta.pavasar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B0D00-E08C-44D8-A81C-E9AEE644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2742</Words>
  <Characters>20054</Characters>
  <Application>Microsoft Office Word</Application>
  <DocSecurity>0</DocSecurity>
  <Lines>167</Lines>
  <Paragraphs>45</Paragraphs>
  <ScaleCrop>false</ScaleCrop>
  <HeadingPairs>
    <vt:vector size="2" baseType="variant">
      <vt:variant>
        <vt:lpstr>Title</vt:lpstr>
      </vt:variant>
      <vt:variant>
        <vt:i4>1</vt:i4>
      </vt:variant>
    </vt:vector>
  </HeadingPairs>
  <TitlesOfParts>
    <vt:vector size="1" baseType="lpstr">
      <vt:lpstr>Pamatdokumenta virsraksts</vt:lpstr>
    </vt:vector>
  </TitlesOfParts>
  <Company>LM</Company>
  <LinksUpToDate>false</LinksUpToDate>
  <CharactersWithSpaces>22751</CharactersWithSpaces>
  <SharedDoc>false</SharedDoc>
  <HLinks>
    <vt:vector size="6" baseType="variant">
      <vt:variant>
        <vt:i4>1835130</vt:i4>
      </vt:variant>
      <vt:variant>
        <vt:i4>0</vt:i4>
      </vt:variant>
      <vt:variant>
        <vt:i4>0</vt:i4>
      </vt:variant>
      <vt:variant>
        <vt:i4>5</vt:i4>
      </vt:variant>
      <vt:variant>
        <vt:lpwstr>mailto:maruta.pavasare@lm..gov.lv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Pamatdokumenta virsraksts</dc:title>
  <dc:subject>Anotācija</dc:subject>
  <dc:creator>Vārds Uzvārds</dc:creator>
  <cp:lastModifiedBy>Maruta Pavasare</cp:lastModifiedBy>
  <cp:revision>9</cp:revision>
  <cp:lastPrinted>2013-12-19T07:08:00Z</cp:lastPrinted>
  <dcterms:created xsi:type="dcterms:W3CDTF">2014-02-13T15:32:00Z</dcterms:created>
  <dcterms:modified xsi:type="dcterms:W3CDTF">2014-02-14T08:41:00Z</dcterms:modified>
</cp:coreProperties>
</file>