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A3" w:rsidRPr="006A5FDD" w:rsidRDefault="007C39A3" w:rsidP="00C11DAA">
      <w:pPr>
        <w:jc w:val="center"/>
        <w:rPr>
          <w:b/>
          <w:sz w:val="28"/>
          <w:szCs w:val="28"/>
        </w:rPr>
      </w:pPr>
      <w:r w:rsidRPr="006A5FDD">
        <w:rPr>
          <w:b/>
          <w:sz w:val="28"/>
          <w:szCs w:val="28"/>
        </w:rPr>
        <w:t xml:space="preserve">Likumprojekta </w:t>
      </w:r>
      <w:r>
        <w:rPr>
          <w:b/>
          <w:sz w:val="28"/>
          <w:szCs w:val="28"/>
        </w:rPr>
        <w:t>„</w:t>
      </w:r>
      <w:r w:rsidRPr="006A5FDD">
        <w:rPr>
          <w:b/>
          <w:sz w:val="28"/>
          <w:szCs w:val="28"/>
        </w:rPr>
        <w:t xml:space="preserve">Grozījumi </w:t>
      </w:r>
      <w:r>
        <w:rPr>
          <w:b/>
          <w:sz w:val="28"/>
          <w:szCs w:val="28"/>
        </w:rPr>
        <w:t>Valsts fondēto pensiju likumā</w:t>
      </w:r>
      <w:r w:rsidRPr="006A5FDD">
        <w:rPr>
          <w:b/>
          <w:sz w:val="28"/>
          <w:szCs w:val="28"/>
        </w:rPr>
        <w:t>”</w:t>
      </w:r>
    </w:p>
    <w:p w:rsidR="007C39A3" w:rsidRPr="006A5FDD" w:rsidRDefault="007C39A3" w:rsidP="00C11DAA">
      <w:pPr>
        <w:jc w:val="center"/>
        <w:rPr>
          <w:b/>
          <w:sz w:val="28"/>
          <w:szCs w:val="28"/>
        </w:rPr>
      </w:pPr>
      <w:r w:rsidRPr="006A5FDD">
        <w:rPr>
          <w:b/>
          <w:sz w:val="28"/>
          <w:szCs w:val="28"/>
        </w:rPr>
        <w:t xml:space="preserve">sākotnējās ietekmes novērtējuma </w:t>
      </w:r>
      <w:smartTag w:uri="schemas-tilde-lv/tildestengine" w:element="veidnes">
        <w:smartTagPr>
          <w:attr w:name="baseform" w:val="ziņojum|s"/>
          <w:attr w:name="id" w:val="-1"/>
          <w:attr w:name="text" w:val="ziņojums"/>
        </w:smartTagPr>
        <w:r w:rsidRPr="006A5FDD">
          <w:rPr>
            <w:b/>
            <w:sz w:val="28"/>
            <w:szCs w:val="28"/>
          </w:rPr>
          <w:t>ziņojums</w:t>
        </w:r>
      </w:smartTag>
      <w:r w:rsidRPr="006A5FDD">
        <w:rPr>
          <w:b/>
          <w:sz w:val="28"/>
          <w:szCs w:val="28"/>
        </w:rPr>
        <w:t xml:space="preserve"> (anotācija)</w:t>
      </w:r>
    </w:p>
    <w:p w:rsidR="007C39A3" w:rsidRDefault="007C39A3" w:rsidP="00C11DAA">
      <w:pPr>
        <w:jc w:val="center"/>
        <w:rPr>
          <w:b/>
          <w:sz w:val="28"/>
          <w:szCs w:val="28"/>
        </w:rPr>
      </w:pPr>
    </w:p>
    <w:tbl>
      <w:tblPr>
        <w:tblW w:w="9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09"/>
        <w:gridCol w:w="283"/>
        <w:gridCol w:w="6344"/>
        <w:gridCol w:w="28"/>
      </w:tblGrid>
      <w:tr w:rsidR="007C39A3" w:rsidRPr="007F1AF8" w:rsidTr="00481ABC">
        <w:trPr>
          <w:gridAfter w:val="1"/>
          <w:wAfter w:w="28" w:type="dxa"/>
        </w:trPr>
        <w:tc>
          <w:tcPr>
            <w:tcW w:w="9003" w:type="dxa"/>
            <w:gridSpan w:val="4"/>
          </w:tcPr>
          <w:p w:rsidR="007C39A3" w:rsidRPr="007F1AF8" w:rsidRDefault="007C39A3" w:rsidP="00D47344">
            <w:pPr>
              <w:jc w:val="center"/>
              <w:rPr>
                <w:b/>
              </w:rPr>
            </w:pPr>
            <w:r w:rsidRPr="007F1AF8">
              <w:rPr>
                <w:b/>
              </w:rPr>
              <w:t xml:space="preserve">I Tiesību </w:t>
            </w:r>
            <w:smartTag w:uri="schemas-tilde-lv/tildestengine" w:element="veidnes">
              <w:smartTagPr>
                <w:attr w:name="baseform" w:val="akt|s"/>
                <w:attr w:name="id" w:val="-1"/>
                <w:attr w:name="text" w:val="akta"/>
              </w:smartTagPr>
              <w:r w:rsidRPr="007F1AF8">
                <w:rPr>
                  <w:b/>
                </w:rPr>
                <w:t>akta</w:t>
              </w:r>
            </w:smartTag>
            <w:r w:rsidRPr="007F1AF8">
              <w:rPr>
                <w:b/>
              </w:rPr>
              <w:t xml:space="preserve"> projekta izstrādes nepieciešamība</w:t>
            </w:r>
          </w:p>
        </w:tc>
      </w:tr>
      <w:tr w:rsidR="007C39A3" w:rsidRPr="007F1AF8" w:rsidTr="00481ABC">
        <w:trPr>
          <w:gridAfter w:val="1"/>
          <w:wAfter w:w="28" w:type="dxa"/>
        </w:trPr>
        <w:tc>
          <w:tcPr>
            <w:tcW w:w="567" w:type="dxa"/>
          </w:tcPr>
          <w:p w:rsidR="007C39A3" w:rsidRPr="007F1AF8" w:rsidRDefault="007C39A3" w:rsidP="00D47344">
            <w:r w:rsidRPr="007F1AF8">
              <w:t>1.</w:t>
            </w:r>
          </w:p>
        </w:tc>
        <w:tc>
          <w:tcPr>
            <w:tcW w:w="1809" w:type="dxa"/>
          </w:tcPr>
          <w:p w:rsidR="007C39A3" w:rsidRPr="007F1AF8" w:rsidRDefault="007C39A3" w:rsidP="00D47344">
            <w:r w:rsidRPr="007F1AF8">
              <w:t>Pamatojums</w:t>
            </w:r>
          </w:p>
        </w:tc>
        <w:tc>
          <w:tcPr>
            <w:tcW w:w="6627" w:type="dxa"/>
            <w:gridSpan w:val="2"/>
          </w:tcPr>
          <w:p w:rsidR="007C39A3" w:rsidRPr="007F1AF8" w:rsidRDefault="007C39A3" w:rsidP="00470880">
            <w:pPr>
              <w:autoSpaceDE w:val="0"/>
              <w:autoSpaceDN w:val="0"/>
              <w:adjustRightInd w:val="0"/>
              <w:spacing w:after="120"/>
              <w:jc w:val="both"/>
            </w:pPr>
            <w:r w:rsidRPr="007F1AF8">
              <w:t>Pamatojoties uz 2012.gada 9.oktobra Ministru kabineta sēdes protokola Nr.56, 22.</w:t>
            </w:r>
            <w:r w:rsidRPr="007F1AF8">
              <w:rPr>
                <w:rStyle w:val="spelle"/>
              </w:rPr>
              <w:t xml:space="preserve">§ 2.punktā noteikto uzdevumu, </w:t>
            </w:r>
            <w:r w:rsidRPr="007F1AF8">
              <w:rPr>
                <w:color w:val="000000"/>
              </w:rPr>
              <w:t xml:space="preserve">Labklājības ministrijai sadarbībā ar Finanšu ministriju līdz 2013.gada 1.martam (termiņš ar </w:t>
            </w:r>
            <w:r>
              <w:rPr>
                <w:color w:val="000000"/>
              </w:rPr>
              <w:t xml:space="preserve">12.03.2013. </w:t>
            </w:r>
            <w:r w:rsidRPr="007F1AF8">
              <w:rPr>
                <w:color w:val="000000"/>
              </w:rPr>
              <w:t xml:space="preserve">MK </w:t>
            </w:r>
            <w:r>
              <w:rPr>
                <w:color w:val="000000"/>
              </w:rPr>
              <w:t xml:space="preserve">sēdes protokolu Nr.14, </w:t>
            </w:r>
            <w:r>
              <w:rPr>
                <w:rFonts w:ascii="Tms Rmn" w:hAnsi="Tms Rmn" w:cs="Tms Rmn"/>
                <w:color w:val="000000"/>
              </w:rPr>
              <w:t xml:space="preserve">14.§ </w:t>
            </w:r>
            <w:r w:rsidRPr="007F1AF8">
              <w:rPr>
                <w:color w:val="000000"/>
              </w:rPr>
              <w:t>tika pagarināts līdz 1.jūnijam) jāsagatavo un labklājības ministram jāiesniedz noteiktā kārtībā Ministru kabinetā likumprojekts „Grozījumi Valsts fondēto pensiju likumā”, paredzot, ka:</w:t>
            </w:r>
            <w:r w:rsidRPr="007F1AF8">
              <w:rPr>
                <w:color w:val="2A2A2A"/>
              </w:rPr>
              <w:br/>
              <w:t>2.</w:t>
            </w:r>
            <w:r w:rsidRPr="007F1AF8">
              <w:rPr>
                <w:lang w:eastAsia="en-US"/>
              </w:rPr>
              <w:t>1. tiek paplašinātas pensiju plānu investēšanas iespējas Latvijas finanšu tirgū, tai skaitā palielinot īpatsvaru ieguldījumiem vienā fondā;</w:t>
            </w:r>
            <w:r w:rsidRPr="007F1AF8">
              <w:rPr>
                <w:lang w:eastAsia="en-US"/>
              </w:rPr>
              <w:br/>
              <w:t xml:space="preserve">2.2. tiek dota iespēja palielināt ieguldījumu īpatsvaru riska kapitālā un dotas plašākas iespējas ieguldījumiem biržā netirgotās kapitālsabiedrībās; </w:t>
            </w:r>
            <w:r w:rsidRPr="007F1AF8">
              <w:rPr>
                <w:lang w:eastAsia="en-US"/>
              </w:rPr>
              <w:br/>
              <w:t>2.3. tiek paredzēti papildu risku samazināšanas mehānismi valsts fondēto pensiju shēmas dalībnieku interešu aizsardzībai;</w:t>
            </w:r>
            <w:r w:rsidRPr="007F1AF8">
              <w:rPr>
                <w:lang w:eastAsia="en-US"/>
              </w:rPr>
              <w:br/>
              <w:t>2.4. līdzekļu pārvaldītāju komisijas nauda par valsts fondēto pensiju shēmas administrēšanu ir piesaistīt</w:t>
            </w:r>
            <w:r w:rsidR="00CC1AFB">
              <w:rPr>
                <w:lang w:eastAsia="en-US"/>
              </w:rPr>
              <w:t>a ieguldījumu plānu rezultātiem;</w:t>
            </w:r>
            <w:r w:rsidRPr="007F1AF8">
              <w:rPr>
                <w:lang w:eastAsia="en-US"/>
              </w:rPr>
              <w:br/>
            </w:r>
            <w:r w:rsidRPr="007F1AF8">
              <w:t xml:space="preserve">Likumprojekts izstrādāts, ņemot vērā likumprojektu „Grozījumi Valsts fondēto pensiju likumā”, </w:t>
            </w:r>
            <w:r w:rsidRPr="000E43E8">
              <w:t xml:space="preserve">kas </w:t>
            </w:r>
            <w:r w:rsidRPr="00053867">
              <w:t>2013</w:t>
            </w:r>
            <w:r w:rsidR="00CC1AFB">
              <w:t>.gada 20.jūnijā</w:t>
            </w:r>
            <w:r w:rsidRPr="00053867">
              <w:t xml:space="preserve"> pieņemt</w:t>
            </w:r>
            <w:r>
              <w:t>s</w:t>
            </w:r>
            <w:r w:rsidRPr="00053867">
              <w:t xml:space="preserve"> 2.lasījumā</w:t>
            </w:r>
            <w:r w:rsidRPr="000E43E8">
              <w:t>.</w:t>
            </w:r>
          </w:p>
        </w:tc>
      </w:tr>
      <w:tr w:rsidR="007C39A3" w:rsidRPr="007F1AF8" w:rsidTr="00481ABC">
        <w:trPr>
          <w:gridAfter w:val="1"/>
          <w:wAfter w:w="28" w:type="dxa"/>
        </w:trPr>
        <w:tc>
          <w:tcPr>
            <w:tcW w:w="567" w:type="dxa"/>
          </w:tcPr>
          <w:p w:rsidR="007C39A3" w:rsidRPr="007F1AF8" w:rsidRDefault="007C39A3" w:rsidP="00D47344">
            <w:r w:rsidRPr="007F1AF8">
              <w:t xml:space="preserve">2. </w:t>
            </w:r>
          </w:p>
        </w:tc>
        <w:tc>
          <w:tcPr>
            <w:tcW w:w="1809" w:type="dxa"/>
          </w:tcPr>
          <w:p w:rsidR="007C39A3" w:rsidRPr="007F1AF8" w:rsidRDefault="007C39A3" w:rsidP="00D47344">
            <w:r w:rsidRPr="007F1AF8">
              <w:t>Pašreizējā situācija un problēmas</w:t>
            </w:r>
          </w:p>
        </w:tc>
        <w:tc>
          <w:tcPr>
            <w:tcW w:w="6627" w:type="dxa"/>
            <w:gridSpan w:val="2"/>
          </w:tcPr>
          <w:p w:rsidR="007C39A3" w:rsidRPr="007F1AF8" w:rsidRDefault="007C39A3" w:rsidP="00470880">
            <w:pPr>
              <w:spacing w:after="120"/>
              <w:jc w:val="both"/>
              <w:rPr>
                <w:bCs/>
              </w:rPr>
            </w:pPr>
            <w:r w:rsidRPr="007F1AF8">
              <w:t xml:space="preserve">Valsts fondētās pensiju shēmas līdzekļu pārvaldīšanu veic ieguldījumu plāna pārvaldnieks. Pārvaldnieks ir persona, kas veic darījumus ar ieguldījumu plāna līdzekļiem. Pārvaldniekam ir jāievēro ieguldījumu plāna ieguldījumu politika un ieguldījumu ierobežojumi. Veicot ieguldījumus, ieguldījumu plāna pārvaldniekam ir pienākums iegūt pietiekamu informāciju par potenciālajiem vai iegūtajiem ieguldījumu objektiem, kā arī uzraudzīt to personu finansiālo un ekonomisko stāvokli, kuru emitētajos vērtspapīros tiks vai ir tikuši ieguldīti ieguldījumu plāna līdzekļi. Pārvaldniekam ir tiesības brīvi rīkoties ar ieguldījumu plāna līdzekļiem – izvēlēties sadalījumu pa vērtspapīru veidiem un ģeogrāfiskajiem reģioniem, noteikt ieguldījumu objektus un ieguldījumu termiņus, izmantot finanšu instrumentus riska samazināšanai utt. – tiktāl, cik tiek ievērotas Valsts fondēto pensiju </w:t>
            </w:r>
            <w:r w:rsidRPr="007F1AF8">
              <w:rPr>
                <w:bCs/>
              </w:rPr>
              <w:t>likumā un ieguldījumu plāna prospektā noteiktās prasības.</w:t>
            </w:r>
          </w:p>
          <w:p w:rsidR="007C39A3" w:rsidRPr="007F1AF8" w:rsidRDefault="007C39A3" w:rsidP="00470880">
            <w:pPr>
              <w:spacing w:after="120"/>
              <w:jc w:val="both"/>
              <w:rPr>
                <w:bCs/>
              </w:rPr>
            </w:pPr>
            <w:r>
              <w:rPr>
                <w:bCs/>
              </w:rPr>
              <w:t>Valsts f</w:t>
            </w:r>
            <w:r w:rsidRPr="007F1AF8">
              <w:rPr>
                <w:bCs/>
              </w:rPr>
              <w:t xml:space="preserve">ondēto pensiju shēmas līdzekļu pārvaldītājs nodrošina noteikumu ievērošanu attiecībā uz </w:t>
            </w:r>
            <w:r>
              <w:rPr>
                <w:bCs/>
              </w:rPr>
              <w:t xml:space="preserve">valsts </w:t>
            </w:r>
            <w:r w:rsidRPr="007F1AF8">
              <w:rPr>
                <w:bCs/>
              </w:rPr>
              <w:t xml:space="preserve">fondēto pensiju shēmas līdzekļu ieguldījumiem, dod rīkojumus veikt norēķinus ar </w:t>
            </w:r>
            <w:r>
              <w:rPr>
                <w:bCs/>
              </w:rPr>
              <w:t xml:space="preserve">valsts </w:t>
            </w:r>
            <w:r w:rsidRPr="007F1AF8">
              <w:rPr>
                <w:bCs/>
              </w:rPr>
              <w:t xml:space="preserve">fondēto pensiju shēmā iemaksātajiem naudas līdzekļiem, kā arī saņemt un pārvest finanšu instrumentus un veikt citus darījumus ar </w:t>
            </w:r>
            <w:r>
              <w:rPr>
                <w:bCs/>
              </w:rPr>
              <w:t xml:space="preserve">valsts </w:t>
            </w:r>
            <w:r w:rsidRPr="007F1AF8">
              <w:rPr>
                <w:bCs/>
              </w:rPr>
              <w:t>fondēto pensiju shēmas līdzekļiem atbilstoši Valsts fondēto pensiju likuma prasībām un ar V</w:t>
            </w:r>
            <w:r w:rsidR="00CC1AFB">
              <w:rPr>
                <w:bCs/>
              </w:rPr>
              <w:t>alsts sociālās apdrošināšanas aģentūras</w:t>
            </w:r>
            <w:r w:rsidRPr="007F1AF8">
              <w:rPr>
                <w:bCs/>
              </w:rPr>
              <w:t xml:space="preserve"> noslēgtā līguma noteikumiem. </w:t>
            </w:r>
            <w:r>
              <w:rPr>
                <w:bCs/>
              </w:rPr>
              <w:t>Valsts f</w:t>
            </w:r>
            <w:r w:rsidRPr="007F1AF8">
              <w:rPr>
                <w:bCs/>
              </w:rPr>
              <w:t xml:space="preserve">ondēto pensiju shēmas līdzekļu pārvaldītājs pārvaldīšanā esošos </w:t>
            </w:r>
            <w:r w:rsidRPr="007F1AF8">
              <w:rPr>
                <w:bCs/>
              </w:rPr>
              <w:lastRenderedPageBreak/>
              <w:t xml:space="preserve">shēmas līdzekļus iegrāmato un pārvalda šķirti no jebkuras citas </w:t>
            </w:r>
            <w:r>
              <w:rPr>
                <w:bCs/>
              </w:rPr>
              <w:t xml:space="preserve">valsts </w:t>
            </w:r>
            <w:r w:rsidRPr="007F1AF8">
              <w:rPr>
                <w:bCs/>
              </w:rPr>
              <w:t xml:space="preserve">fondēto pensiju shēmas līdzekļu pārvaldītāja un tā pārvaldīšanā esošās mantas. </w:t>
            </w:r>
            <w:r>
              <w:rPr>
                <w:bCs/>
              </w:rPr>
              <w:t>Valsts f</w:t>
            </w:r>
            <w:r w:rsidRPr="007F1AF8">
              <w:rPr>
                <w:bCs/>
              </w:rPr>
              <w:t xml:space="preserve">ondēto pensiju shēmas līdzekļu daļu, kas tiek pārvaldīta saskaņā ar noteiktu ieguldījumu plānu (ieguldījumu plāna līdzekļi), shēmas līdzekļu pārvaldītājs pārvalda šķirti no citiem tā aktīviem un pārējo ieguldījumu plānu līdzekļiem. </w:t>
            </w:r>
          </w:p>
          <w:p w:rsidR="007C39A3" w:rsidRPr="007F1AF8" w:rsidRDefault="007C39A3" w:rsidP="00470880">
            <w:pPr>
              <w:spacing w:after="120"/>
              <w:jc w:val="both"/>
              <w:rPr>
                <w:bCs/>
              </w:rPr>
            </w:pPr>
            <w:r>
              <w:rPr>
                <w:bCs/>
              </w:rPr>
              <w:t>Valsts f</w:t>
            </w:r>
            <w:r w:rsidRPr="007F1AF8">
              <w:rPr>
                <w:bCs/>
              </w:rPr>
              <w:t xml:space="preserve">ondēto pensiju shēmas līdzekļu pārvaldītājs, ieguldot shēmas līdzekļus, rīkojas kā gādīgs un rūpīgs saimnieks, un vienīgi ieguldījumu plāna dalībnieku interesēs, kā arī ievēro piesardzības principus, kas nodrošina riska samazināšanu, ieguldījumu drošību, kvalitāti un likviditāti atbilstoši ieguldījumu plāna noteikumiem, un īsteno tādu ieguldījumu politiku, kas vērsta uz ieguldījumu plāna dalībnieku </w:t>
            </w:r>
            <w:r>
              <w:rPr>
                <w:bCs/>
              </w:rPr>
              <w:t xml:space="preserve">valsts </w:t>
            </w:r>
            <w:r w:rsidRPr="007F1AF8">
              <w:rPr>
                <w:bCs/>
              </w:rPr>
              <w:t xml:space="preserve">fondēto pensiju shēmas līdzekļu pieaugumu. </w:t>
            </w:r>
          </w:p>
          <w:p w:rsidR="007C39A3" w:rsidRPr="007F1AF8" w:rsidRDefault="007C39A3" w:rsidP="00470880">
            <w:pPr>
              <w:pStyle w:val="BodyText"/>
              <w:jc w:val="both"/>
              <w:rPr>
                <w:lang w:val="lv-LV"/>
              </w:rPr>
            </w:pPr>
            <w:r>
              <w:rPr>
                <w:lang w:val="lv-LV"/>
              </w:rPr>
              <w:t>Ieguldījumu plāni</w:t>
            </w:r>
            <w:r w:rsidRPr="007F1AF8">
              <w:rPr>
                <w:lang w:val="lv-LV"/>
              </w:rPr>
              <w:t xml:space="preserve"> var būt, un citur pasaulē arī tradicionāli ir, par vienu no industrializācijai nepieciešamās finansēšanas avotiem, jo tajos ir uzkrāti ievērojami līdzekļi, turklāt šie līdzekļi būs nepieciešami izmantošanai pēc ļoti ilga laika, kas attiecīgi ļauj veikt ilgtermiņa finanšu ieguldījumus.</w:t>
            </w:r>
          </w:p>
          <w:p w:rsidR="007C39A3" w:rsidRPr="007F1AF8" w:rsidRDefault="007C39A3" w:rsidP="00470880">
            <w:pPr>
              <w:spacing w:after="120"/>
              <w:jc w:val="both"/>
            </w:pPr>
            <w:r w:rsidRPr="007F1AF8">
              <w:t xml:space="preserve">Lai stimulētu vietējo ieguldījumu fondu attīstību, nepieciešams paplašināt </w:t>
            </w:r>
            <w:r>
              <w:t>ieguldījumu</w:t>
            </w:r>
            <w:r w:rsidRPr="007F1AF8">
              <w:t xml:space="preserve"> plānu investēšanas iespējas Latvijas finanšu tirgū. Palielinot ieguldījumu limitu alternatīvajos ieguldījumu fondos, dotu lielāku iespēju Latvijā izveidot uz vietējo </w:t>
            </w:r>
            <w:r>
              <w:t>ieguldījumu</w:t>
            </w:r>
            <w:r w:rsidRPr="007F1AF8">
              <w:t xml:space="preserve"> plānu līdzekļiem balstītu alternatīvo ieguldījumu fondu. Šobrīd Latvijā darbojas astoņas ieguldījumu pārvaldes sabiedrības, kas pārvalda valsts fondēto pensiju sistēmas līdzekļus. Tikai četrām sabiedrībām </w:t>
            </w:r>
            <w:r w:rsidRPr="0076718B">
              <w:t>(</w:t>
            </w:r>
            <w:r>
              <w:t>„</w:t>
            </w:r>
            <w:proofErr w:type="spellStart"/>
            <w:r w:rsidRPr="0076718B">
              <w:t>Swedbank</w:t>
            </w:r>
            <w:proofErr w:type="spellEnd"/>
            <w:r>
              <w:t xml:space="preserve"> Ieguldījumu Pārvaldes sabiedrība” AS</w:t>
            </w:r>
            <w:r w:rsidRPr="0076718B">
              <w:t xml:space="preserve">, </w:t>
            </w:r>
            <w:r>
              <w:t>IPAS „</w:t>
            </w:r>
            <w:r w:rsidRPr="0076718B">
              <w:t>SEB</w:t>
            </w:r>
            <w:r>
              <w:t xml:space="preserve"> </w:t>
            </w:r>
            <w:proofErr w:type="spellStart"/>
            <w:r>
              <w:t>Wealth</w:t>
            </w:r>
            <w:proofErr w:type="spellEnd"/>
            <w:r>
              <w:t xml:space="preserve"> </w:t>
            </w:r>
            <w:proofErr w:type="spellStart"/>
            <w:r>
              <w:t>Management</w:t>
            </w:r>
            <w:proofErr w:type="spellEnd"/>
            <w:r>
              <w:t>”</w:t>
            </w:r>
            <w:r w:rsidRPr="0076718B">
              <w:t xml:space="preserve">, </w:t>
            </w:r>
            <w:r>
              <w:t>IPAS „</w:t>
            </w:r>
            <w:r w:rsidRPr="0076718B">
              <w:t>Citadele</w:t>
            </w:r>
            <w:r>
              <w:t xml:space="preserve"> </w:t>
            </w:r>
            <w:proofErr w:type="spellStart"/>
            <w:r>
              <w:t>Asset</w:t>
            </w:r>
            <w:proofErr w:type="spellEnd"/>
            <w:r>
              <w:t xml:space="preserve"> </w:t>
            </w:r>
            <w:proofErr w:type="spellStart"/>
            <w:r>
              <w:t>Management</w:t>
            </w:r>
            <w:proofErr w:type="spellEnd"/>
            <w:r>
              <w:t>”</w:t>
            </w:r>
            <w:r w:rsidRPr="0076718B">
              <w:t xml:space="preserve">, </w:t>
            </w:r>
            <w:r>
              <w:t xml:space="preserve">IPAS </w:t>
            </w:r>
            <w:r w:rsidRPr="0076718B">
              <w:t>D</w:t>
            </w:r>
            <w:r>
              <w:t>N</w:t>
            </w:r>
            <w:r w:rsidRPr="0076718B">
              <w:t>B</w:t>
            </w:r>
            <w:r>
              <w:t xml:space="preserve"> </w:t>
            </w:r>
            <w:proofErr w:type="spellStart"/>
            <w:r>
              <w:t>Asset</w:t>
            </w:r>
            <w:proofErr w:type="spellEnd"/>
            <w:r>
              <w:t xml:space="preserve"> </w:t>
            </w:r>
            <w:proofErr w:type="spellStart"/>
            <w:r>
              <w:t>Management</w:t>
            </w:r>
            <w:proofErr w:type="spellEnd"/>
            <w:r w:rsidRPr="0076718B">
              <w:t xml:space="preserve">) </w:t>
            </w:r>
            <w:r w:rsidRPr="007F1AF8">
              <w:t xml:space="preserve">aktīvo un sabalansēto </w:t>
            </w:r>
            <w:r>
              <w:t>ieguldījumu</w:t>
            </w:r>
            <w:r w:rsidRPr="007F1AF8">
              <w:t xml:space="preserve"> plānu kopsumma pārsniedz 50 milj. latu. Pārējās sabiedrības ir relatīvi mazas, kurām ir grūti uzņemties absolūtā izteiksmē nozīmīgu likviditātes risku. Attiecīgi veidojas būtiska problēma – pie 10% limita (šobrīd noteiktais ieguldījumu limits vienā ieguldījumu fondā no šī fonda aktīviem) ir nepieciešami 10 </w:t>
            </w:r>
            <w:r>
              <w:t>ieguldījumu</w:t>
            </w:r>
            <w:r w:rsidRPr="007F1AF8">
              <w:t xml:space="preserve"> plāni, lai izveidotu uz Latvijas kapitāla balstītu ieguldījumu fondu, kas, piemēram, iegulda Latvijā, kamēr pie 30% limita – pietiek ar četriem </w:t>
            </w:r>
            <w:r>
              <w:t>ieguldījumu plāniem, un iespēja,</w:t>
            </w:r>
            <w:r w:rsidRPr="007F1AF8">
              <w:t xml:space="preserve"> izveidot uz La</w:t>
            </w:r>
            <w:r>
              <w:t xml:space="preserve">tvijas kapitāla balstītu fondu, </w:t>
            </w:r>
            <w:r w:rsidRPr="007F1AF8">
              <w:t xml:space="preserve">ir daudz lielāka. </w:t>
            </w:r>
          </w:p>
          <w:p w:rsidR="007C39A3" w:rsidRPr="007F1AF8" w:rsidRDefault="007C39A3" w:rsidP="00470880">
            <w:pPr>
              <w:spacing w:after="120"/>
              <w:jc w:val="both"/>
            </w:pPr>
            <w:r w:rsidRPr="007F1AF8">
              <w:t xml:space="preserve">Ieguldījumu limitu paaugstināšana rada priekšnoteikumu šādu fondu izveidei nākotnē, piemēram, meža zemju, lauksaimniecības zemju, energoefektivitātes vai citās Latvijai svarīgās jomās, vienlaikus radot labu potenciālu šajās jomās sasniegt adekvātu ienesīgumu - tādu, kas sniedz atbilstošu atdevi </w:t>
            </w:r>
            <w:r>
              <w:t>ieguldījumu</w:t>
            </w:r>
            <w:r w:rsidRPr="007F1AF8">
              <w:t xml:space="preserve"> plānu dalībniekiem. Ieguldījumu fondu risks nav atkarīgs no fonda dalībnieku skaita, bet gan no ieguldījumu aktīvu struktūras un to pārvaldīšanas. Svarīgākais riska pārvaldīšanas veids, ieguldot šāda veida fo</w:t>
            </w:r>
            <w:r>
              <w:t>ndos, ir rūpīgi veikt fonda izpēti</w:t>
            </w:r>
            <w:r w:rsidRPr="007F1AF8">
              <w:t xml:space="preserve"> pirms ieguldīšanas, regulāri sekot fonda darbībai un, nepieciešamības g</w:t>
            </w:r>
            <w:r>
              <w:t xml:space="preserve">adījumā, </w:t>
            </w:r>
            <w:r>
              <w:lastRenderedPageBreak/>
              <w:t>ietekmēt fonda darbību</w:t>
            </w:r>
            <w:r w:rsidRPr="007F1AF8">
              <w:t xml:space="preserve"> gadījumos, kad tas </w:t>
            </w:r>
            <w:r>
              <w:t>ir nepieciešams</w:t>
            </w:r>
            <w:r w:rsidRPr="007F1AF8">
              <w:t xml:space="preserve">. </w:t>
            </w:r>
          </w:p>
          <w:p w:rsidR="007C39A3" w:rsidRPr="007F1AF8" w:rsidRDefault="007C39A3" w:rsidP="00470880">
            <w:pPr>
              <w:tabs>
                <w:tab w:val="left" w:pos="840"/>
              </w:tabs>
              <w:spacing w:after="120"/>
              <w:jc w:val="both"/>
            </w:pPr>
            <w:r w:rsidRPr="007F1AF8">
              <w:t>Būtiski ir arī stimulēt fondu biržas attīstību, sekmējot lielu un labi pār</w:t>
            </w:r>
            <w:r>
              <w:t>valdītu uzņēmumu akciju kotācijas</w:t>
            </w:r>
            <w:r w:rsidRPr="007F1AF8">
              <w:t xml:space="preserve"> uzsākšanu biržā. Lielo uzņēmumu parādīšanās biržā sniegtu papildu investīciju iespējas </w:t>
            </w:r>
            <w:r>
              <w:t>ieguldījumu</w:t>
            </w:r>
            <w:r w:rsidRPr="007F1AF8">
              <w:t xml:space="preserve"> fondiem un sekmētu biržas un kapitāla tirgus kopējo attīstību. Veiksmīga lielo uzņēmumu akciju kotācija sekmētu gan vietējo, gan arī ārvalstu investoru interesi p</w:t>
            </w:r>
            <w:r>
              <w:t>ar Latvijas kapitāla tirgu, kas ar laiku</w:t>
            </w:r>
            <w:r w:rsidRPr="007F1AF8">
              <w:t xml:space="preserve"> ļautu arī vidējiem un mazākiem uzņēmumiem izmantot publisko akciju emisiju kapitāla piesaistei. Fondu biržas darbības attīstība arī sniegtu plašākas iespējas riska kapitāla attīstībai, kad sekmīgi uzņēmumi no riska kapitāla vei</w:t>
            </w:r>
            <w:r>
              <w:t>ktu</w:t>
            </w:r>
            <w:r w:rsidRPr="007F1AF8">
              <w:t xml:space="preserve"> akciju publisko emisiju, piesaistot kapitālu caur publisku akciju emisiju.</w:t>
            </w:r>
          </w:p>
          <w:p w:rsidR="007C39A3" w:rsidRPr="007F1AF8" w:rsidRDefault="007C39A3" w:rsidP="00470880">
            <w:pPr>
              <w:autoSpaceDE w:val="0"/>
              <w:autoSpaceDN w:val="0"/>
              <w:adjustRightInd w:val="0"/>
              <w:spacing w:after="120"/>
              <w:jc w:val="both"/>
            </w:pPr>
            <w:r w:rsidRPr="007F1AF8">
              <w:t>Finanšu tirgos ienesīgums un risks tradicionāli iet kopā. Lai sasniegtu augstāku ienesīgumu, vairumā gadījumu ir jāuz</w:t>
            </w:r>
            <w:r>
              <w:t>ņemas augstāks risks. Taču</w:t>
            </w:r>
            <w:r w:rsidRPr="007F1AF8">
              <w:t xml:space="preserve"> sekmīgi šo risku pārvaldot, ir iespējams panākt, ka īstermiņa svārstības izlīdzinās un ilgākā laika periodā uzņemtais risks samazinās, kamēr ienesīgums pieaug. Piemēram, akciju ieguldījumu risks uz dienas bāzes ir ļoti augsts, un iespēja piedzīvot negatīvu ienesīgumu ir tuva 50%, taču, turot šos ieguldījumus 5, 10 un pat vairāk gadus</w:t>
            </w:r>
            <w:r w:rsidR="00CC1AFB">
              <w:t>,</w:t>
            </w:r>
            <w:r w:rsidRPr="007F1AF8">
              <w:t xml:space="preserve"> un kopējos akciju ieguldījumus diversificējot, kopējais ieguldījumu risks samazinās un varbūtība piedzīvot zaudējumus ievērojami sarūk. Vienlaicīgi šo ieguldījumu ienesīgums saglabājas augsts, kas vēsturiski attīstītajās valstīs ir bijis tuvu 8%, pārspējot gan valsts obligāciju ienesīgumu, gan arī inflāciju. </w:t>
            </w:r>
          </w:p>
          <w:p w:rsidR="007C39A3" w:rsidRPr="007F1AF8" w:rsidRDefault="007C39A3" w:rsidP="00470880">
            <w:pPr>
              <w:spacing w:after="120"/>
              <w:jc w:val="both"/>
            </w:pPr>
            <w:r w:rsidRPr="007F1AF8">
              <w:t xml:space="preserve">Latvijā visiem </w:t>
            </w:r>
            <w:r>
              <w:t>ieguldījumu plānu</w:t>
            </w:r>
            <w:r w:rsidRPr="007F1AF8">
              <w:t xml:space="preserve"> pārvaldītājiem ir, kā minimums, viens konservatīvais ieguldījumu plāns un viens aktīvais ieguldījumu plāns. Konservatīvie ieguldījumu plāni neveic ieguldījumus kapitāla vērtspapīros, tāpēc to risks un plānu vērtības svārstības ir bijušas daudz mazākas. Pat 2008.gadā, kad pasaule piedzīvoja globālu finanšu tirgus krīzi, konservatīvie ieguldījumu plāni vidēji uzrādīja pozitīvu rezultātu. Aktīvie </w:t>
            </w:r>
            <w:r>
              <w:t>ieguldījumu</w:t>
            </w:r>
            <w:r w:rsidRPr="007F1AF8">
              <w:t xml:space="preserve"> plāni, savukārt, uzņēmās augstāku ieguldījumu risku, lai ilgākā laika periodā sasniegtu augstāku ienesīgumu. </w:t>
            </w:r>
            <w:r>
              <w:t>Ieguldījumu</w:t>
            </w:r>
            <w:r w:rsidRPr="007F1AF8">
              <w:t xml:space="preserve"> plānu dalībniekiem ir iespēja izvēlēties, kādā </w:t>
            </w:r>
            <w:r>
              <w:t>ieguldījumu</w:t>
            </w:r>
            <w:r w:rsidRPr="007F1AF8">
              <w:t xml:space="preserve"> plānā piedalīties un kādu </w:t>
            </w:r>
            <w:r>
              <w:t>līdzekļu</w:t>
            </w:r>
            <w:r w:rsidRPr="007F1AF8">
              <w:t xml:space="preserve"> pārvaldītāju izvēlēties.</w:t>
            </w:r>
          </w:p>
          <w:p w:rsidR="007C39A3" w:rsidRPr="007F1AF8" w:rsidRDefault="007C39A3" w:rsidP="00470880">
            <w:pPr>
              <w:spacing w:after="120"/>
              <w:jc w:val="both"/>
            </w:pPr>
            <w:r w:rsidRPr="007F1AF8">
              <w:t>Valsts fondēto pensiju shēmas gadījumā visus ar ieguldījumiem saistītos riskus uzņemas ieguldījumu plānu dalībnieki, līdz ar to paaugstinot limitus augstāka riska ieguldījumiem,</w:t>
            </w:r>
            <w:r>
              <w:t xml:space="preserve"> jāizvērtē papildu</w:t>
            </w:r>
            <w:r w:rsidRPr="007F1AF8">
              <w:t xml:space="preserve"> riski, kas rodas, un jāievieš papildu risku samazināšanas mehānismi dalībnieku interešu aizsardzībai. </w:t>
            </w:r>
          </w:p>
          <w:p w:rsidR="007C39A3" w:rsidRPr="00041D17" w:rsidRDefault="007C39A3" w:rsidP="00470880">
            <w:pPr>
              <w:spacing w:after="120"/>
              <w:jc w:val="both"/>
            </w:pPr>
            <w:r>
              <w:t>Valsts fondēto</w:t>
            </w:r>
            <w:r w:rsidRPr="007F1AF8">
              <w:t xml:space="preserve"> pensiju shēmas līdzekļu pārvaldītājs nodrošina, lai maksimālie maksājumi par ieguldījumu plāna pārvaldi, ietverot līdzekļu pārvaldītājam un līdzekļu turētājam izmaksājamās atlīdzības, kā arī maksājumus trešajām personām, kurus veic no ieguldījumu plāna līdzekļiem, nepārsniedz 2% no ieguldījumu plāna aktīvu vidējās vērtības gadā. Šajos maksājumos neietilpst izdevumi, kas radušies, veicot darījumus ar ieguldījumu plāna aktīvu pārdošanu ar atpirkšanu. Maksimālie maksājumi par ieguldījumu plāna pārvaldi, ko varēja ieturēt līdzekļu pārvaldītāji, </w:t>
            </w:r>
            <w:r w:rsidRPr="007F1AF8">
              <w:lastRenderedPageBreak/>
              <w:t>2012.gadā bija robežās no 1,23%</w:t>
            </w:r>
            <w:r w:rsidR="00CC1AFB">
              <w:t xml:space="preserve"> </w:t>
            </w:r>
            <w:r w:rsidRPr="007F1AF8">
              <w:t>-</w:t>
            </w:r>
            <w:r w:rsidR="00CC1AFB">
              <w:t xml:space="preserve"> </w:t>
            </w:r>
            <w:r w:rsidRPr="007F1AF8">
              <w:t xml:space="preserve">1,69% no ieguldījumu plāna vidējiem neto aktīviem. Atlīdzība par līdzekļu pārvaldīšanu pašlaik nav tiešā veidā saistīta ar sasniegto pārvaldīšanas rezultātu, </w:t>
            </w:r>
            <w:r w:rsidR="00CC1AFB">
              <w:t>lai gan</w:t>
            </w:r>
            <w:r w:rsidRPr="007F1AF8">
              <w:t xml:space="preserve"> atsevišķi ieguldījumu plāni 2008. un 2011.gadā ir strādājuši ar negatīvu rezultātu. </w:t>
            </w:r>
            <w:r w:rsidRPr="00041D17">
              <w:t>Savukārt V</w:t>
            </w:r>
            <w:r w:rsidR="00CC1AFB">
              <w:t>alsts sociālās apdrošināšanas aģentūras</w:t>
            </w:r>
            <w:r w:rsidRPr="00041D17">
              <w:t xml:space="preserve"> administrēšanas izdevumi nedrīkst pārsniegt 2,5% no katra </w:t>
            </w:r>
            <w:r>
              <w:t xml:space="preserve">valsts fondēto pensiju </w:t>
            </w:r>
            <w:r w:rsidRPr="00041D17">
              <w:t>shēmas dalībnieka gada iemaksu summas</w:t>
            </w:r>
            <w:r>
              <w:t>.</w:t>
            </w:r>
            <w:r w:rsidRPr="00041D17">
              <w:t xml:space="preserve"> 2012.gadā</w:t>
            </w:r>
            <w:r>
              <w:t xml:space="preserve"> tie</w:t>
            </w:r>
            <w:r w:rsidRPr="00041D17">
              <w:t xml:space="preserve"> bija </w:t>
            </w:r>
            <w:r>
              <w:t>0,76%.</w:t>
            </w:r>
          </w:p>
          <w:p w:rsidR="007C39A3" w:rsidRPr="007F1AF8" w:rsidRDefault="007C39A3" w:rsidP="00470880">
            <w:pPr>
              <w:spacing w:after="120"/>
              <w:jc w:val="both"/>
            </w:pPr>
            <w:r w:rsidRPr="00041D17">
              <w:t xml:space="preserve">Aktīvu pieaugums </w:t>
            </w:r>
            <w:r>
              <w:t>valsts fondēto pensiju shēmā</w:t>
            </w:r>
            <w:r w:rsidRPr="00041D17">
              <w:t xml:space="preserve"> ir saistīts ar vairākiem faktoriem</w:t>
            </w:r>
            <w:r w:rsidRPr="007F1AF8">
              <w:t xml:space="preserve"> – iemaksu likmes, dalībnieku skaita izmaiņām un nodokļu maksājumu izmai</w:t>
            </w:r>
            <w:r>
              <w:t>ņām. Kopš sistēmas pirmsākumiem</w:t>
            </w:r>
            <w:r w:rsidRPr="007F1AF8">
              <w:t xml:space="preserve"> aktīvu apmērs ir ievērojami pieaudzis. Straujākais aktīvu pieaugums bija tieši laikā no 2007</w:t>
            </w:r>
            <w:r w:rsidR="00CC1AFB">
              <w:t>.</w:t>
            </w:r>
            <w:r w:rsidRPr="007F1AF8">
              <w:t xml:space="preserve">-2009.gadam, kad iemaksu likme pieauga no 2% līdz 8%. Iemaksu likmei samazinoties no 8% uz 2%, attiecīgi saruka arī aktīvu pieauguma tempi. Augot aktīvu apjomiem un dalībnieku skaitam, kāpuši ir arī faktiskie atskaitījumi par ieguldījumu plānu pārvaldi, ko ir ieturējuši līdzekļu pārvaldītāji. Tā kā izdevumi tiek noteikti procentos </w:t>
            </w:r>
            <w:r>
              <w:t>no aktīviem, to kāpums ir bijis lielā mērā</w:t>
            </w:r>
            <w:r w:rsidRPr="007F1AF8">
              <w:t xml:space="preserve"> proporcionāls aktīvu pieaugumam un 2011.gadā bija 13,1 mi</w:t>
            </w:r>
            <w:r>
              <w:t>lj. Ls, savukārt 2012.gadā – 14,</w:t>
            </w:r>
            <w:r w:rsidRPr="007F1AF8">
              <w:t xml:space="preserve">7 milj. Ls.      </w:t>
            </w:r>
          </w:p>
          <w:p w:rsidR="007C39A3" w:rsidRPr="007F1AF8" w:rsidRDefault="007C39A3" w:rsidP="00470880">
            <w:pPr>
              <w:pStyle w:val="BodyText"/>
              <w:jc w:val="both"/>
              <w:rPr>
                <w:lang w:val="lv-LV" w:eastAsia="ar-SA"/>
              </w:rPr>
            </w:pPr>
            <w:r w:rsidRPr="007F1AF8">
              <w:rPr>
                <w:lang w:val="lv-LV" w:eastAsia="ar-SA"/>
              </w:rPr>
              <w:t>Valsts fondēto pensiju likuma 11.</w:t>
            </w:r>
            <w:r w:rsidRPr="007F1AF8">
              <w:rPr>
                <w:vertAlign w:val="superscript"/>
                <w:lang w:val="lv-LV" w:eastAsia="ar-SA"/>
              </w:rPr>
              <w:t>2</w:t>
            </w:r>
            <w:r w:rsidRPr="007F1AF8">
              <w:rPr>
                <w:lang w:val="lv-LV" w:eastAsia="ar-SA"/>
              </w:rPr>
              <w:t>panta pirmā daļa nosaka, ka pakalpojumu deleģēšanas gadījumā līdzekļu pārvaldītājam ir jāievēro Ieguldījumu pārvaldes sabiedrību likumā noteiktā kārtība. Pašreizējais regulējums rada dažādas interpretācijas un neskaidrības tirgus dalībniekiem</w:t>
            </w:r>
            <w:r>
              <w:rPr>
                <w:lang w:val="lv-LV" w:eastAsia="ar-SA"/>
              </w:rPr>
              <w:t>,</w:t>
            </w:r>
            <w:r w:rsidRPr="007F1AF8">
              <w:rPr>
                <w:lang w:val="lv-LV" w:eastAsia="ar-SA"/>
              </w:rPr>
              <w:t xml:space="preserve"> un ir grūti piemērojams neskaidro </w:t>
            </w:r>
            <w:r>
              <w:rPr>
                <w:lang w:val="lv-LV" w:eastAsia="ar-SA"/>
              </w:rPr>
              <w:t>atsauču</w:t>
            </w:r>
            <w:r w:rsidRPr="007F1AF8">
              <w:rPr>
                <w:lang w:val="lv-LV" w:eastAsia="ar-SA"/>
              </w:rPr>
              <w:t xml:space="preserve"> dēļ. Tāpēc ir nepieciešams izstrādāt </w:t>
            </w:r>
            <w:r>
              <w:rPr>
                <w:lang w:val="lv-LV" w:eastAsia="ar-SA"/>
              </w:rPr>
              <w:t>īpašu</w:t>
            </w:r>
            <w:r w:rsidRPr="007F1AF8">
              <w:rPr>
                <w:lang w:val="lv-LV" w:eastAsia="ar-SA"/>
              </w:rPr>
              <w:t xml:space="preserve"> kārtību valsts fondēto pensiju shēmas ieguldījumu plānu pārvaldes pakalpojumu deleģēšanai. </w:t>
            </w:r>
          </w:p>
          <w:p w:rsidR="007C39A3" w:rsidRPr="007F1AF8" w:rsidRDefault="007C39A3" w:rsidP="00470880">
            <w:pPr>
              <w:pStyle w:val="BodyText"/>
              <w:jc w:val="both"/>
              <w:rPr>
                <w:lang w:val="lv-LV" w:eastAsia="ar-SA"/>
              </w:rPr>
            </w:pPr>
            <w:r>
              <w:rPr>
                <w:lang w:val="lv-LV" w:eastAsia="ar-SA"/>
              </w:rPr>
              <w:t>Tā kā likumprojekts paredz precizēt</w:t>
            </w:r>
            <w:r w:rsidRPr="007F1AF8">
              <w:rPr>
                <w:lang w:val="lv-LV" w:eastAsia="ar-SA"/>
              </w:rPr>
              <w:t xml:space="preserve"> likuma </w:t>
            </w:r>
            <w:r>
              <w:rPr>
                <w:lang w:val="lv-LV" w:eastAsia="ar-SA"/>
              </w:rPr>
              <w:t>normu</w:t>
            </w:r>
            <w:r w:rsidRPr="007F1AF8">
              <w:rPr>
                <w:lang w:val="lv-LV" w:eastAsia="ar-SA"/>
              </w:rPr>
              <w:t xml:space="preserve"> par pakalpojumu deleģēšanu, nepieciešams precīzi noteikt, kādi pakalpojumi ietilpst </w:t>
            </w:r>
            <w:r w:rsidRPr="007F1AF8">
              <w:rPr>
                <w:lang w:val="lv-LV"/>
              </w:rPr>
              <w:t xml:space="preserve">ieguldījumu plāna līdzekļu pārvaldīšanā. </w:t>
            </w:r>
          </w:p>
          <w:p w:rsidR="007C39A3" w:rsidRPr="007F1AF8" w:rsidRDefault="007C39A3" w:rsidP="00470880">
            <w:pPr>
              <w:pStyle w:val="BodyText"/>
              <w:jc w:val="both"/>
              <w:rPr>
                <w:color w:val="000000"/>
                <w:lang w:val="lv-LV"/>
              </w:rPr>
            </w:pPr>
            <w:r w:rsidRPr="007F1AF8">
              <w:rPr>
                <w:lang w:val="lv-LV"/>
              </w:rPr>
              <w:t>Likumprojekts piedāvā paplašināt ieguldīšanas iespējas, samazinot diversifikācijas prasības. Līdz ar to ir nepieciešams iestrādāt arī atbilstošus riska mazināšanas mehānismus, kas nodrošinās ieguldījumu plānu dalībnieku interešu aizsardzības saglabāšanu, paplašinot ieguldījumu loku nelikvīdos aktīvos un samazinot diversifikācijas prasības. Likumprojektā ir piedāvāti vairāki riska mazināšanas mehānis</w:t>
            </w:r>
            <w:r>
              <w:rPr>
                <w:lang w:val="lv-LV"/>
              </w:rPr>
              <w:t>mi, tas ir, ieguldītāju papildu</w:t>
            </w:r>
            <w:r w:rsidRPr="007F1AF8">
              <w:rPr>
                <w:lang w:val="lv-LV"/>
              </w:rPr>
              <w:t xml:space="preserve"> informēšana, izstrādājot īpašu dokumentu – dalībniekiem paredzēto pamatinformāciju, kā arī nosakot līdzekļu pārvaldītājiem pienākumu segt zaudējums, kas radās ieguldījumu plāna dalībniekiem ieguldījumu noteikumu pārkāpumu dēļ, ieskaitot pienākumu atpirkt </w:t>
            </w:r>
            <w:r w:rsidRPr="007F1AF8">
              <w:rPr>
                <w:color w:val="000000"/>
                <w:lang w:val="lv-LV"/>
              </w:rPr>
              <w:t xml:space="preserve">minētos ieguldījumus par to patieso vērtību, ja aktīvu realizācija finanšu tirgos nav iespējama. Šo </w:t>
            </w:r>
            <w:r w:rsidRPr="007F1AF8">
              <w:rPr>
                <w:lang w:val="lv-LV"/>
              </w:rPr>
              <w:t xml:space="preserve">mehānismu sekmīgai darbībai ir nepieciešams palielināt līdzekļu pārvaldītājiem noteikto minimālā kapitāla prasību, tādējādi nodrošinot, ka līdzekļu pārvaldītājs spēj pildīt likumā iestrādātās prasības. </w:t>
            </w:r>
          </w:p>
          <w:p w:rsidR="007C39A3" w:rsidRPr="007F1AF8" w:rsidRDefault="007C39A3" w:rsidP="00470880">
            <w:pPr>
              <w:pStyle w:val="BodyText"/>
              <w:jc w:val="both"/>
              <w:rPr>
                <w:lang w:val="lv-LV" w:eastAsia="ar-SA"/>
              </w:rPr>
            </w:pPr>
            <w:r>
              <w:rPr>
                <w:lang w:val="lv-LV" w:eastAsia="ar-SA"/>
              </w:rPr>
              <w:t>Ievērojot</w:t>
            </w:r>
            <w:r w:rsidRPr="007F1AF8">
              <w:rPr>
                <w:lang w:val="lv-LV" w:eastAsia="ar-SA"/>
              </w:rPr>
              <w:t xml:space="preserve">, ka likumprojekts paredz </w:t>
            </w:r>
            <w:r w:rsidRPr="007F1AF8">
              <w:rPr>
                <w:lang w:val="lv-LV"/>
              </w:rPr>
              <w:t xml:space="preserve">palielināt līdzekļu </w:t>
            </w:r>
            <w:r w:rsidRPr="007F1AF8">
              <w:rPr>
                <w:lang w:val="lv-LV"/>
              </w:rPr>
              <w:lastRenderedPageBreak/>
              <w:t>pārvaldītājiem noteiktā minimālā kapitāla apmēru</w:t>
            </w:r>
            <w:r w:rsidRPr="007F1AF8">
              <w:rPr>
                <w:lang w:val="lv-LV" w:eastAsia="ar-SA"/>
              </w:rPr>
              <w:t>, nepieciešams precizēt arī Valsts fondēto pensiju likuma 11.</w:t>
            </w:r>
            <w:r w:rsidRPr="007F1AF8">
              <w:rPr>
                <w:vertAlign w:val="superscript"/>
                <w:lang w:val="lv-LV" w:eastAsia="ar-SA"/>
              </w:rPr>
              <w:t>3</w:t>
            </w:r>
            <w:r w:rsidRPr="007F1AF8">
              <w:rPr>
                <w:lang w:val="lv-LV" w:eastAsia="ar-SA"/>
              </w:rPr>
              <w:t xml:space="preserve">pantu, kas nosaka </w:t>
            </w:r>
            <w:r w:rsidRPr="007F1AF8">
              <w:rPr>
                <w:bCs/>
                <w:lang w:val="lv-LV"/>
              </w:rPr>
              <w:t xml:space="preserve">fondēto pensiju shēmas līdzekļu pārvaldītāju reģistrācijas kārtību. </w:t>
            </w:r>
          </w:p>
          <w:p w:rsidR="007C39A3" w:rsidRPr="007F1AF8" w:rsidRDefault="007C39A3" w:rsidP="00470880">
            <w:pPr>
              <w:spacing w:after="120"/>
              <w:jc w:val="both"/>
            </w:pPr>
            <w:r w:rsidRPr="007F1AF8">
              <w:t xml:space="preserve">Papildus tika izskatīta iespēja </w:t>
            </w:r>
            <w:r>
              <w:t xml:space="preserve">valsts </w:t>
            </w:r>
            <w:r w:rsidRPr="007F1AF8">
              <w:t xml:space="preserve">fondēto pensiju shēmas dalībniekiem, mainot sava uzkrātā pensijas kapitāla līdzekļu pārvaldītāju vai ieguldījumu plānu, izvēlēties novirzīt savas turpmākās iemaksas citam līdzekļu pārvaldītājam vai ieguldījumu plānam, atstājot jau uzkrāto </w:t>
            </w:r>
            <w:r>
              <w:t xml:space="preserve">valsts </w:t>
            </w:r>
            <w:r w:rsidRPr="007F1AF8">
              <w:t xml:space="preserve">fondētās pensijas kapitālu esošajā ieguldījumu plānā. Dalībnieks varētu uzkrāt savu </w:t>
            </w:r>
            <w:r>
              <w:t xml:space="preserve">valsts </w:t>
            </w:r>
            <w:r w:rsidRPr="007F1AF8">
              <w:t xml:space="preserve">fondētās pensijas kapitālu ne vairāk kā trijos ieguldījumu plānos. Šis priekšlikums ļautu dalībniekiem diversificēt savus pensijas uzkrājumus, izvēloties dažādas ieguldījumu stratēģijas. Turklāt šāda sistēma veiksmīgi jau darbojas Igaunijā. Tomēr ņemot vērā, ka šāda priekšlikuma ieviešanai ir nepieciešams ietekmes izvērtējums, tika nolemts minēto jautājumu </w:t>
            </w:r>
            <w:r>
              <w:t>skatīt vēlāk</w:t>
            </w:r>
            <w:r w:rsidRPr="007F1AF8">
              <w:rPr>
                <w:lang w:eastAsia="ar-SA"/>
              </w:rPr>
              <w:t>.</w:t>
            </w:r>
          </w:p>
        </w:tc>
      </w:tr>
      <w:tr w:rsidR="007C39A3" w:rsidRPr="007F1AF8" w:rsidTr="00481ABC">
        <w:trPr>
          <w:gridAfter w:val="1"/>
          <w:wAfter w:w="28" w:type="dxa"/>
        </w:trPr>
        <w:tc>
          <w:tcPr>
            <w:tcW w:w="567" w:type="dxa"/>
          </w:tcPr>
          <w:p w:rsidR="007C39A3" w:rsidRPr="007F1AF8" w:rsidRDefault="007C39A3" w:rsidP="00D47344">
            <w:r w:rsidRPr="007F1AF8">
              <w:lastRenderedPageBreak/>
              <w:t xml:space="preserve">3. </w:t>
            </w:r>
          </w:p>
        </w:tc>
        <w:tc>
          <w:tcPr>
            <w:tcW w:w="1809" w:type="dxa"/>
          </w:tcPr>
          <w:p w:rsidR="007C39A3" w:rsidRPr="007F1AF8" w:rsidRDefault="007C39A3" w:rsidP="00D47344">
            <w:r w:rsidRPr="007F1AF8">
              <w:t>Saistītie politikas ietekmes novērtējumi un pētījumi</w:t>
            </w:r>
          </w:p>
        </w:tc>
        <w:tc>
          <w:tcPr>
            <w:tcW w:w="6627" w:type="dxa"/>
            <w:gridSpan w:val="2"/>
          </w:tcPr>
          <w:p w:rsidR="007C39A3" w:rsidRPr="007F1AF8" w:rsidRDefault="007C39A3" w:rsidP="00BB6847">
            <w:pPr>
              <w:spacing w:after="120"/>
              <w:jc w:val="both"/>
            </w:pPr>
            <w:r w:rsidRPr="007F1AF8">
              <w:t xml:space="preserve">3 mēnešu EURIBOR indekss tika izvēlēts, zinot </w:t>
            </w:r>
            <w:r>
              <w:t>ieguldījumu</w:t>
            </w:r>
            <w:r w:rsidRPr="007F1AF8">
              <w:t xml:space="preserve"> plānu dalībnieku un uzraugošo institūciju fokusu uz absolūto ienesīgumu un zemo negatīva ienesīguma rezultāta toleranci, kas parādās arī </w:t>
            </w:r>
            <w:r>
              <w:t>ieguldījumu</w:t>
            </w:r>
            <w:r w:rsidRPr="007F1AF8">
              <w:t xml:space="preserve"> plānu dalībnieku aptaujas datos (</w:t>
            </w:r>
            <w:proofErr w:type="spellStart"/>
            <w:r w:rsidRPr="007F1AF8">
              <w:t>Swedbank</w:t>
            </w:r>
            <w:proofErr w:type="spellEnd"/>
            <w:r w:rsidRPr="007F1AF8">
              <w:t xml:space="preserve"> </w:t>
            </w:r>
            <w:proofErr w:type="spellStart"/>
            <w:r w:rsidRPr="007F1AF8">
              <w:t>Factum</w:t>
            </w:r>
            <w:proofErr w:type="spellEnd"/>
            <w:r w:rsidRPr="007F1AF8">
              <w:t xml:space="preserve"> 2011.g. pētījums).</w:t>
            </w:r>
          </w:p>
          <w:p w:rsidR="007C39A3" w:rsidRPr="007F1AF8" w:rsidRDefault="007C39A3" w:rsidP="00BB6847">
            <w:pPr>
              <w:spacing w:after="120"/>
              <w:jc w:val="both"/>
            </w:pPr>
            <w:r w:rsidRPr="007F1AF8">
              <w:t xml:space="preserve">Lai no uzkrājumiem gūtu lielāku peļņu, 33,9% Latvijas iedzīvotāji uzskata, ka </w:t>
            </w:r>
            <w:r>
              <w:t>ieguldījumu</w:t>
            </w:r>
            <w:r w:rsidRPr="007F1AF8">
              <w:t xml:space="preserve"> fondiem jāveic lielāki ieguldījumi lauksaimniecības un mežu zemēs Latvijā, 19,3% - vietējo uzņēmumu akcijās (SKDS pētījums, 2012.g. jūl., mērķa grupa – Latvijas patstāvīgie iedzīvotāji vecumā no 18 līdz 61 gadam, kas ir strādājuši algotu darbu).</w:t>
            </w:r>
          </w:p>
          <w:p w:rsidR="007C39A3" w:rsidRPr="007F1AF8" w:rsidRDefault="007C39A3" w:rsidP="00BB6847">
            <w:pPr>
              <w:autoSpaceDE w:val="0"/>
              <w:autoSpaceDN w:val="0"/>
              <w:adjustRightInd w:val="0"/>
              <w:spacing w:after="120"/>
              <w:jc w:val="both"/>
            </w:pPr>
            <w:r w:rsidRPr="007F1AF8">
              <w:t xml:space="preserve">Attiecībā uz riska kapitālu, tas ir viens no instrumentiem, kas ļautu saglabāt lielāku daļu </w:t>
            </w:r>
            <w:r>
              <w:t>valsts fondēto pensiju shēmas</w:t>
            </w:r>
            <w:r w:rsidRPr="007F1AF8">
              <w:t xml:space="preserve"> līdzekļus Latvijā, ko apliecina statistika par trīs aktīvākajiem riska kapitāla fondiem, kuri darbojās laika posmā no 2002.-2012.gadam. Minētajā laika posmā 30 uzņēmumos tika ieguldīti 51 milj. EUR riska kapitāla līdzekļu, kur kopš riska kapitāla investīciju veikšanas:</w:t>
            </w:r>
          </w:p>
          <w:p w:rsidR="007C39A3" w:rsidRPr="007F1AF8" w:rsidRDefault="007C39A3" w:rsidP="00481ABC">
            <w:pPr>
              <w:numPr>
                <w:ilvl w:val="0"/>
                <w:numId w:val="1"/>
              </w:numPr>
              <w:tabs>
                <w:tab w:val="clear" w:pos="1440"/>
                <w:tab w:val="left" w:pos="317"/>
              </w:tabs>
              <w:autoSpaceDE w:val="0"/>
              <w:autoSpaceDN w:val="0"/>
              <w:adjustRightInd w:val="0"/>
              <w:spacing w:after="120"/>
              <w:ind w:left="12" w:firstLine="22"/>
              <w:jc w:val="both"/>
            </w:pPr>
            <w:r w:rsidRPr="007F1AF8">
              <w:t>darbinieku skaits pieauga par 1741, kopumā nodarbinot 4334 darbiniekus;</w:t>
            </w:r>
          </w:p>
          <w:p w:rsidR="007C39A3" w:rsidRPr="007F1AF8" w:rsidRDefault="007C39A3" w:rsidP="00481ABC">
            <w:pPr>
              <w:numPr>
                <w:ilvl w:val="0"/>
                <w:numId w:val="1"/>
              </w:numPr>
              <w:tabs>
                <w:tab w:val="clear" w:pos="1440"/>
                <w:tab w:val="left" w:pos="317"/>
                <w:tab w:val="num" w:pos="960"/>
              </w:tabs>
              <w:autoSpaceDE w:val="0"/>
              <w:autoSpaceDN w:val="0"/>
              <w:adjustRightInd w:val="0"/>
              <w:spacing w:after="120"/>
              <w:ind w:left="0" w:firstLine="22"/>
              <w:jc w:val="both"/>
            </w:pPr>
            <w:r w:rsidRPr="007F1AF8">
              <w:t>uzņēmumu kopējais apgrozījums pieauga par 250 milj. EUR, kopumā veidojot apgrozījumu 377 milj. EUR apmērā:</w:t>
            </w:r>
          </w:p>
          <w:p w:rsidR="007C39A3" w:rsidRPr="007F1AF8" w:rsidRDefault="007C39A3" w:rsidP="00481ABC">
            <w:pPr>
              <w:numPr>
                <w:ilvl w:val="0"/>
                <w:numId w:val="2"/>
              </w:numPr>
              <w:tabs>
                <w:tab w:val="clear" w:pos="1440"/>
                <w:tab w:val="num" w:pos="601"/>
              </w:tabs>
              <w:autoSpaceDE w:val="0"/>
              <w:autoSpaceDN w:val="0"/>
              <w:adjustRightInd w:val="0"/>
              <w:spacing w:after="120"/>
              <w:ind w:left="601" w:hanging="284"/>
              <w:jc w:val="both"/>
            </w:pPr>
            <w:r w:rsidRPr="007F1AF8">
              <w:t>30 tūkst. EUR riska kapitāla ieguldījums trīs ar pus gadu laikā rada vienu jaunu darba vietu;</w:t>
            </w:r>
          </w:p>
          <w:p w:rsidR="007C39A3" w:rsidRPr="007F1AF8" w:rsidRDefault="007C39A3" w:rsidP="00481ABC">
            <w:pPr>
              <w:numPr>
                <w:ilvl w:val="0"/>
                <w:numId w:val="2"/>
              </w:numPr>
              <w:tabs>
                <w:tab w:val="clear" w:pos="1440"/>
                <w:tab w:val="num" w:pos="601"/>
              </w:tabs>
              <w:autoSpaceDE w:val="0"/>
              <w:autoSpaceDN w:val="0"/>
              <w:adjustRightInd w:val="0"/>
              <w:spacing w:after="120"/>
              <w:ind w:left="601" w:hanging="284"/>
              <w:jc w:val="both"/>
            </w:pPr>
            <w:r w:rsidRPr="007F1AF8">
              <w:t>10 tūkst. EUR riska kapitāla ieguldījums veicina uzņēmuma apgrozījuma pieaugumu par 50 tūkst. EUR;</w:t>
            </w:r>
          </w:p>
          <w:p w:rsidR="007C39A3" w:rsidRPr="007F1AF8" w:rsidRDefault="007C39A3" w:rsidP="00481ABC">
            <w:pPr>
              <w:numPr>
                <w:ilvl w:val="0"/>
                <w:numId w:val="1"/>
              </w:numPr>
              <w:tabs>
                <w:tab w:val="clear" w:pos="1440"/>
                <w:tab w:val="num" w:pos="317"/>
              </w:tabs>
              <w:autoSpaceDE w:val="0"/>
              <w:autoSpaceDN w:val="0"/>
              <w:adjustRightInd w:val="0"/>
              <w:spacing w:after="120"/>
              <w:ind w:left="0" w:firstLine="34"/>
              <w:jc w:val="both"/>
            </w:pPr>
            <w:r w:rsidRPr="007F1AF8">
              <w:t>piemēram, Igaunijā ieguldījumiem riska kapitālā noteikts kopējais limits 50% no ieguldījumiem, kas netiek tirgoti reģistrētajā tirgū (piem., slēgtie ieguldījumu fondi), savukārt Lietuvā limits ne-UCITS fondiem - 20% un UCITS IV atļauj ieguldījumus 30% ne-UCITS fondos.</w:t>
            </w:r>
          </w:p>
          <w:p w:rsidR="007C39A3" w:rsidRPr="007F1AF8" w:rsidRDefault="007C39A3" w:rsidP="00BB6847">
            <w:pPr>
              <w:autoSpaceDE w:val="0"/>
              <w:autoSpaceDN w:val="0"/>
              <w:adjustRightInd w:val="0"/>
              <w:spacing w:after="120"/>
              <w:jc w:val="both"/>
            </w:pPr>
            <w:r w:rsidRPr="007F1AF8">
              <w:t xml:space="preserve">Ministru kabinets 25.09.2012. sēdē atbalstīja Latvijas dalību </w:t>
            </w:r>
            <w:r w:rsidRPr="007F1AF8">
              <w:lastRenderedPageBreak/>
              <w:t xml:space="preserve">Baltijas Inovāciju </w:t>
            </w:r>
            <w:r>
              <w:t>f</w:t>
            </w:r>
            <w:r w:rsidRPr="007F1AF8">
              <w:t>ondā, kas veidots, lai veicinātu ieguldījumus Baltijas riska kapitāla fondos, un informatīvajā ziņojumā</w:t>
            </w:r>
            <w:r>
              <w:t xml:space="preserve"> „Par Baltijas Inovācijas fondu” (MK protokols Nr.53, 24.</w:t>
            </w:r>
            <w:r w:rsidRPr="00CC1AFB">
              <w:rPr>
                <w:szCs w:val="28"/>
              </w:rPr>
              <w:t>§)</w:t>
            </w:r>
            <w:r w:rsidRPr="007F1AF8">
              <w:t xml:space="preserve"> uzsvērts, ka tas, cita starpā, veicinās „</w:t>
            </w:r>
            <w:r w:rsidRPr="007F1AF8">
              <w:rPr>
                <w:i/>
              </w:rPr>
              <w:t>pensiju fondu iespējas ieguldīt Baltijas valstu aktīvos, kas līdz šim bijušas visai ierobežotas piemērotu aktīvu trūkuma dēļ.</w:t>
            </w:r>
            <w:r w:rsidRPr="007F1AF8">
              <w:t xml:space="preserve">” Attiecīgi šie grozījumi nepieciešami arī, lai Latvijas </w:t>
            </w:r>
            <w:r>
              <w:t>ieguldījumu</w:t>
            </w:r>
            <w:r w:rsidRPr="007F1AF8">
              <w:t xml:space="preserve"> fondi būtu līdzvērtīgākā pozīcijā ar Lietuvas un Igaunijas pensiju fondiem attiecībā uz šo Baltijas valdību atbalstīto iniciatīvu. </w:t>
            </w:r>
          </w:p>
          <w:p w:rsidR="00BB6847" w:rsidRDefault="007C39A3" w:rsidP="00BB6847">
            <w:pPr>
              <w:autoSpaceDE w:val="0"/>
              <w:autoSpaceDN w:val="0"/>
              <w:adjustRightInd w:val="0"/>
              <w:spacing w:after="120"/>
              <w:jc w:val="both"/>
            </w:pPr>
            <w:r w:rsidRPr="007F1AF8">
              <w:t>http://www.mk.gov.lv/lv/mk/tap/?pid=40262840&amp;mode=mk&amp;date=2012-09-25</w:t>
            </w:r>
          </w:p>
          <w:p w:rsidR="007C39A3" w:rsidRPr="007F1AF8" w:rsidRDefault="007C39A3" w:rsidP="00BB6847">
            <w:pPr>
              <w:autoSpaceDE w:val="0"/>
              <w:autoSpaceDN w:val="0"/>
              <w:adjustRightInd w:val="0"/>
              <w:spacing w:after="120"/>
              <w:jc w:val="both"/>
            </w:pPr>
            <w:r w:rsidRPr="007F1AF8">
              <w:t xml:space="preserve">Valsts ar Eiropas Investīciju Fonda un Latvijas Garantiju aģentūras palīdzību organizētās aktivitātes, veicinot jaunu riska kapitāla fondu veidošanu, veidos pozitīvu sinerģiju ar šiem grozījumiem, radot plašākas izvēles iespējas </w:t>
            </w:r>
            <w:r>
              <w:t>ieguldījumu</w:t>
            </w:r>
            <w:r w:rsidRPr="007F1AF8">
              <w:t xml:space="preserve"> fondu pārvaldniekiem attiecībā uz riska kapitāla fondiem, kuros var ieguldīt, un reizē veicinot šo fondu pieeju investoru kapitālam.</w:t>
            </w:r>
          </w:p>
          <w:p w:rsidR="007C39A3" w:rsidRPr="007F1AF8" w:rsidRDefault="007C39A3" w:rsidP="00EE6AE0">
            <w:pPr>
              <w:autoSpaceDE w:val="0"/>
              <w:autoSpaceDN w:val="0"/>
              <w:adjustRightInd w:val="0"/>
              <w:spacing w:after="120"/>
              <w:jc w:val="both"/>
            </w:pPr>
            <w:r w:rsidRPr="007F1AF8">
              <w:t xml:space="preserve">Rūpīga un gādīga saimnieka pienākumi ietver pienākumu rīkoties apdomīgi un ar pienācīgu rūpību attiecībā uz </w:t>
            </w:r>
            <w:r>
              <w:t>ieguldījumu</w:t>
            </w:r>
            <w:r w:rsidRPr="007F1AF8">
              <w:t xml:space="preserve"> fondu pārvaldību un tā aktīviem; būt lojālam pret </w:t>
            </w:r>
            <w:r>
              <w:t>ieguldījumu</w:t>
            </w:r>
            <w:r w:rsidRPr="007F1AF8">
              <w:t xml:space="preserve"> fondu un tā dalībniekiem; diversifikācijas principa ievērošanu, kas paredz, ka </w:t>
            </w:r>
            <w:r>
              <w:t>ieguldījumu</w:t>
            </w:r>
            <w:r w:rsidRPr="007F1AF8">
              <w:t xml:space="preserve"> fonda ieguldījumu portfelis ir daudzveidīgs un izslēdz nepamatotu risku (OECD pētījums “</w:t>
            </w:r>
            <w:proofErr w:type="spellStart"/>
            <w:r w:rsidRPr="007F1AF8">
              <w:t>Prudent</w:t>
            </w:r>
            <w:proofErr w:type="spellEnd"/>
            <w:r w:rsidRPr="007F1AF8">
              <w:t xml:space="preserve"> </w:t>
            </w:r>
            <w:proofErr w:type="spellStart"/>
            <w:r w:rsidRPr="007F1AF8">
              <w:t>person</w:t>
            </w:r>
            <w:proofErr w:type="spellEnd"/>
            <w:r w:rsidRPr="007F1AF8">
              <w:t xml:space="preserve"> </w:t>
            </w:r>
            <w:proofErr w:type="spellStart"/>
            <w:r w:rsidRPr="007F1AF8">
              <w:t>rule</w:t>
            </w:r>
            <w:proofErr w:type="spellEnd"/>
            <w:r w:rsidRPr="007F1AF8">
              <w:t xml:space="preserve">” </w:t>
            </w:r>
            <w:proofErr w:type="spellStart"/>
            <w:r w:rsidRPr="007F1AF8">
              <w:t>standard</w:t>
            </w:r>
            <w:proofErr w:type="spellEnd"/>
            <w:r w:rsidRPr="007F1AF8">
              <w:t xml:space="preserve"> </w:t>
            </w:r>
            <w:proofErr w:type="spellStart"/>
            <w:r w:rsidRPr="007F1AF8">
              <w:t>for</w:t>
            </w:r>
            <w:proofErr w:type="spellEnd"/>
            <w:r w:rsidRPr="007F1AF8">
              <w:t xml:space="preserve"> </w:t>
            </w:r>
            <w:proofErr w:type="spellStart"/>
            <w:r w:rsidRPr="007F1AF8">
              <w:t>the</w:t>
            </w:r>
            <w:proofErr w:type="spellEnd"/>
            <w:r w:rsidRPr="007F1AF8">
              <w:t xml:space="preserve"> </w:t>
            </w:r>
            <w:proofErr w:type="spellStart"/>
            <w:r w:rsidRPr="007F1AF8">
              <w:t>investment</w:t>
            </w:r>
            <w:proofErr w:type="spellEnd"/>
            <w:r w:rsidRPr="007F1AF8">
              <w:t xml:space="preserve"> </w:t>
            </w:r>
            <w:proofErr w:type="spellStart"/>
            <w:r w:rsidRPr="007F1AF8">
              <w:t>of</w:t>
            </w:r>
            <w:proofErr w:type="spellEnd"/>
            <w:r w:rsidRPr="007F1AF8">
              <w:t xml:space="preserve"> </w:t>
            </w:r>
            <w:proofErr w:type="spellStart"/>
            <w:r w:rsidRPr="007F1AF8">
              <w:t>pension</w:t>
            </w:r>
            <w:proofErr w:type="spellEnd"/>
            <w:r w:rsidRPr="007F1AF8">
              <w:t xml:space="preserve"> </w:t>
            </w:r>
            <w:proofErr w:type="spellStart"/>
            <w:r w:rsidRPr="007F1AF8">
              <w:t>fund</w:t>
            </w:r>
            <w:proofErr w:type="spellEnd"/>
            <w:r w:rsidRPr="007F1AF8">
              <w:t xml:space="preserve"> </w:t>
            </w:r>
            <w:proofErr w:type="spellStart"/>
            <w:r w:rsidRPr="007F1AF8">
              <w:t>assets</w:t>
            </w:r>
            <w:proofErr w:type="spellEnd"/>
            <w:r w:rsidRPr="007F1AF8">
              <w:t xml:space="preserve">”, </w:t>
            </w:r>
            <w:proofErr w:type="spellStart"/>
            <w:r w:rsidRPr="007F1AF8">
              <w:t>Russell</w:t>
            </w:r>
            <w:proofErr w:type="spellEnd"/>
            <w:r w:rsidRPr="007F1AF8">
              <w:t xml:space="preserve"> </w:t>
            </w:r>
            <w:proofErr w:type="spellStart"/>
            <w:r w:rsidRPr="007F1AF8">
              <w:t>Galer</w:t>
            </w:r>
            <w:proofErr w:type="spellEnd"/>
            <w:r w:rsidRPr="007F1AF8">
              <w:t>, 2002.).</w:t>
            </w:r>
          </w:p>
        </w:tc>
      </w:tr>
      <w:tr w:rsidR="007C39A3" w:rsidRPr="007F1AF8" w:rsidTr="00481ABC">
        <w:trPr>
          <w:gridAfter w:val="1"/>
          <w:wAfter w:w="28" w:type="dxa"/>
        </w:trPr>
        <w:tc>
          <w:tcPr>
            <w:tcW w:w="567" w:type="dxa"/>
          </w:tcPr>
          <w:p w:rsidR="007C39A3" w:rsidRPr="007F1AF8" w:rsidRDefault="007C39A3" w:rsidP="00D47344">
            <w:r w:rsidRPr="007F1AF8">
              <w:lastRenderedPageBreak/>
              <w:t>4.</w:t>
            </w:r>
          </w:p>
        </w:tc>
        <w:tc>
          <w:tcPr>
            <w:tcW w:w="1809" w:type="dxa"/>
          </w:tcPr>
          <w:p w:rsidR="007C39A3" w:rsidRPr="007F1AF8" w:rsidRDefault="007C39A3" w:rsidP="00D47344">
            <w:r w:rsidRPr="007F1AF8">
              <w:t>Tiesiskā regulējuma mērķis un būtība</w:t>
            </w:r>
          </w:p>
        </w:tc>
        <w:tc>
          <w:tcPr>
            <w:tcW w:w="6627" w:type="dxa"/>
            <w:gridSpan w:val="2"/>
          </w:tcPr>
          <w:p w:rsidR="007C39A3" w:rsidRPr="007F1AF8" w:rsidRDefault="007C39A3" w:rsidP="00BB6847">
            <w:pPr>
              <w:spacing w:after="120"/>
              <w:jc w:val="both"/>
            </w:pPr>
            <w:r w:rsidRPr="007F1AF8">
              <w:t xml:space="preserve">Likumprojekta mērķis ir paplašināt </w:t>
            </w:r>
            <w:r>
              <w:t>ieguldījumu</w:t>
            </w:r>
            <w:r w:rsidRPr="007F1AF8">
              <w:t xml:space="preserve"> plānu investēšanas iespējas Latvijas finanšu tirgū, vienlaikus nosakot </w:t>
            </w:r>
            <w:r w:rsidRPr="007F1AF8">
              <w:rPr>
                <w:lang w:eastAsia="en-US"/>
              </w:rPr>
              <w:t>papildu risku samazināšanas mehānismus valsts fondēto pensiju shēmas dalībnieku interešu aizsardzībai,</w:t>
            </w:r>
            <w:r w:rsidRPr="007F1AF8">
              <w:t xml:space="preserve"> piesaistīt shēmas administrēšanas izmaksas sasniegtajam pārvaldīšanas rezultātam, kā arī veikt tehniskus precizējumus. </w:t>
            </w:r>
          </w:p>
          <w:p w:rsidR="007C39A3" w:rsidRPr="007F1AF8" w:rsidRDefault="007C39A3" w:rsidP="00BB6847">
            <w:pPr>
              <w:spacing w:after="120"/>
              <w:jc w:val="both"/>
            </w:pPr>
            <w:r w:rsidRPr="007F1AF8">
              <w:t>Likumprojekts paredz:</w:t>
            </w:r>
          </w:p>
          <w:p w:rsidR="007C39A3" w:rsidRPr="007F1AF8" w:rsidRDefault="007C39A3" w:rsidP="00EE6AE0">
            <w:pPr>
              <w:pStyle w:val="ListParagraph"/>
              <w:numPr>
                <w:ilvl w:val="0"/>
                <w:numId w:val="6"/>
              </w:numPr>
              <w:spacing w:after="120"/>
              <w:ind w:left="317" w:hanging="283"/>
              <w:jc w:val="both"/>
            </w:pPr>
            <w:r w:rsidRPr="007F1AF8">
              <w:t>noteikt minimālās pamatkapitāla prasības līdzekļu pārvaldītājiem (likumprojekta 1.pants);</w:t>
            </w:r>
          </w:p>
          <w:p w:rsidR="007C39A3" w:rsidRPr="007F1AF8" w:rsidRDefault="007C39A3" w:rsidP="00EE6AE0">
            <w:pPr>
              <w:pStyle w:val="ListParagraph"/>
              <w:numPr>
                <w:ilvl w:val="0"/>
                <w:numId w:val="6"/>
              </w:numPr>
              <w:spacing w:after="120"/>
              <w:ind w:left="317" w:hanging="283"/>
              <w:jc w:val="both"/>
            </w:pPr>
            <w:r>
              <w:t>deleģējumu</w:t>
            </w:r>
            <w:r w:rsidRPr="007F1AF8">
              <w:t xml:space="preserve"> Finanšu un kapitāla </w:t>
            </w:r>
            <w:r>
              <w:t xml:space="preserve">tirgus </w:t>
            </w:r>
            <w:r w:rsidRPr="007F1AF8">
              <w:t>komisijai izstrādāt detalizētu ieguldītājiem paredzētās pamatinformācijas formātu un saturu, lai shēmas dalībnieki izprastu ieguldījumu būtiskākos aspektus, pārvaldes izmaksas un varētu pieņemt pamatotu lēmumu par piedāvāto ieguldījumu (likumprojekta 1.pants);</w:t>
            </w:r>
          </w:p>
          <w:p w:rsidR="007C39A3" w:rsidRPr="007F1AF8" w:rsidRDefault="007C39A3" w:rsidP="00EE6AE0">
            <w:pPr>
              <w:pStyle w:val="ListParagraph"/>
              <w:numPr>
                <w:ilvl w:val="0"/>
                <w:numId w:val="6"/>
              </w:numPr>
              <w:spacing w:after="120"/>
              <w:ind w:left="317" w:hanging="283"/>
              <w:jc w:val="both"/>
            </w:pPr>
            <w:r w:rsidRPr="007F1AF8">
              <w:t>noteikt administrēšanas maksu l</w:t>
            </w:r>
            <w:r>
              <w:t>īdzekļu pārvaldītājam un deleģējumu</w:t>
            </w:r>
            <w:r w:rsidRPr="007F1AF8">
              <w:t xml:space="preserve"> Ministru kabinetam noteikt </w:t>
            </w:r>
            <w:r w:rsidRPr="007F1AF8">
              <w:rPr>
                <w:lang w:eastAsia="en-US"/>
              </w:rPr>
              <w:t xml:space="preserve">valsts fondēto pensiju shēmas līdzekļu pārvaldītāja maksājumu par ieguldījumu plāna pārvaldi sastāvdaļas, uzskaiti un ieturēšanas kārtību </w:t>
            </w:r>
            <w:r w:rsidRPr="007F1AF8">
              <w:t>(likumprojekta 1.pants);</w:t>
            </w:r>
          </w:p>
          <w:p w:rsidR="007C39A3" w:rsidRPr="007F1AF8" w:rsidRDefault="007C39A3" w:rsidP="00EE6AE0">
            <w:pPr>
              <w:pStyle w:val="ListParagraph"/>
              <w:numPr>
                <w:ilvl w:val="0"/>
                <w:numId w:val="6"/>
              </w:numPr>
              <w:spacing w:after="120"/>
              <w:ind w:left="317" w:hanging="283"/>
              <w:jc w:val="both"/>
            </w:pPr>
            <w:r>
              <w:t>noteikt pakalpojumus, kurus</w:t>
            </w:r>
            <w:r w:rsidRPr="007F1AF8">
              <w:t xml:space="preserve"> ietver </w:t>
            </w:r>
            <w:r w:rsidRPr="007F1AF8">
              <w:rPr>
                <w:lang w:eastAsia="ar-SA"/>
              </w:rPr>
              <w:t xml:space="preserve">valsts fondēto pensiju </w:t>
            </w:r>
            <w:r w:rsidRPr="007F1AF8">
              <w:t>shēmas līdzekļu pārvaldīšana (likumprojekta 1.pants);</w:t>
            </w:r>
          </w:p>
          <w:p w:rsidR="00EE6AE0" w:rsidRDefault="007C39A3" w:rsidP="00EE6AE0">
            <w:pPr>
              <w:pStyle w:val="ListParagraph"/>
              <w:numPr>
                <w:ilvl w:val="0"/>
                <w:numId w:val="6"/>
              </w:numPr>
              <w:spacing w:after="120"/>
              <w:ind w:left="317" w:hanging="283"/>
              <w:jc w:val="both"/>
            </w:pPr>
            <w:r w:rsidRPr="007F1AF8">
              <w:rPr>
                <w:lang w:eastAsia="ar-SA"/>
              </w:rPr>
              <w:t xml:space="preserve">noteikt valsts fondēto pensiju shēmas ieguldījumu plānu pārvaldes pakalpojumu deleģēšanas kārtību </w:t>
            </w:r>
            <w:r w:rsidRPr="007F1AF8">
              <w:t xml:space="preserve">(likumprojekta </w:t>
            </w:r>
            <w:r w:rsidRPr="007F1AF8">
              <w:lastRenderedPageBreak/>
              <w:t>2.pants)</w:t>
            </w:r>
            <w:r w:rsidRPr="007F1AF8">
              <w:rPr>
                <w:lang w:eastAsia="ar-SA"/>
              </w:rPr>
              <w:t>;</w:t>
            </w:r>
          </w:p>
          <w:p w:rsidR="007C39A3" w:rsidRPr="007F1AF8" w:rsidRDefault="007C39A3" w:rsidP="00EE6AE0">
            <w:pPr>
              <w:pStyle w:val="ListParagraph"/>
              <w:numPr>
                <w:ilvl w:val="0"/>
                <w:numId w:val="6"/>
              </w:numPr>
              <w:spacing w:after="120"/>
              <w:ind w:left="317" w:hanging="283"/>
              <w:jc w:val="both"/>
            </w:pPr>
            <w:r w:rsidRPr="007F1AF8">
              <w:t xml:space="preserve">ietvert līdzekļu pārvaldītājiem noteiktās minimālā kapitāla prasības arī </w:t>
            </w:r>
            <w:r w:rsidRPr="007F1AF8">
              <w:rPr>
                <w:lang w:eastAsia="ar-SA"/>
              </w:rPr>
              <w:t>Valsts fondēto pensiju likuma 11.</w:t>
            </w:r>
            <w:r w:rsidRPr="00EE6AE0">
              <w:rPr>
                <w:vertAlign w:val="superscript"/>
                <w:lang w:eastAsia="ar-SA"/>
              </w:rPr>
              <w:t>3</w:t>
            </w:r>
            <w:r w:rsidRPr="007F1AF8">
              <w:rPr>
                <w:lang w:eastAsia="ar-SA"/>
              </w:rPr>
              <w:t xml:space="preserve">pantā, kas nosaka </w:t>
            </w:r>
            <w:r w:rsidRPr="00EE6AE0">
              <w:rPr>
                <w:bCs/>
              </w:rPr>
              <w:t>fondēto pensiju shēmas līdzekļu pārvaldītāju reģistrācijas kārtību (</w:t>
            </w:r>
            <w:r w:rsidRPr="007F1AF8">
              <w:t>likumprojekta 3.pants);</w:t>
            </w:r>
          </w:p>
          <w:p w:rsidR="007C39A3" w:rsidRPr="007F1AF8" w:rsidRDefault="007C39A3" w:rsidP="00EE6AE0">
            <w:pPr>
              <w:pStyle w:val="ListParagraph"/>
              <w:numPr>
                <w:ilvl w:val="0"/>
                <w:numId w:val="6"/>
              </w:numPr>
              <w:spacing w:after="120"/>
              <w:ind w:left="317" w:hanging="283"/>
              <w:jc w:val="both"/>
            </w:pPr>
            <w:r w:rsidRPr="007F1AF8">
              <w:t>palielināt limitu īpatsvaram vienā ieguldījumu fondā un vienā alternatīvo ieguldījumu fondā; palielināt limitu īpatsvaram no ieguldījumu fonda neto aktīviem; palielināt ieguldījumu īpatsvaru riska kapitālā (likumprojekta 4.pants);</w:t>
            </w:r>
          </w:p>
          <w:p w:rsidR="007C39A3" w:rsidRPr="007F1AF8" w:rsidRDefault="007C39A3" w:rsidP="00EE6AE0">
            <w:pPr>
              <w:pStyle w:val="ListParagraph"/>
              <w:numPr>
                <w:ilvl w:val="0"/>
                <w:numId w:val="6"/>
              </w:numPr>
              <w:spacing w:after="120"/>
              <w:ind w:left="317" w:hanging="283"/>
              <w:jc w:val="both"/>
            </w:pPr>
            <w:r w:rsidRPr="007F1AF8">
              <w:t>noteikt prasību līdzekļu pārvaldītājam atlīdzināt ieguldījumu plānu dalībniekiem radītos zaudējumus ieguldījumu noteikumu pārkāpšanas gadījumā un atbilstošas naudas plūsmas nodrošināšanai</w:t>
            </w:r>
            <w:r w:rsidRPr="00EE6AE0">
              <w:rPr>
                <w:sz w:val="28"/>
                <w:szCs w:val="28"/>
              </w:rPr>
              <w:t xml:space="preserve"> </w:t>
            </w:r>
            <w:r w:rsidRPr="007F1AF8">
              <w:t>(likumprojekta 5.pants).</w:t>
            </w:r>
          </w:p>
        </w:tc>
      </w:tr>
      <w:tr w:rsidR="007C39A3" w:rsidRPr="007F1AF8" w:rsidTr="00481ABC">
        <w:trPr>
          <w:gridAfter w:val="1"/>
          <w:wAfter w:w="28" w:type="dxa"/>
        </w:trPr>
        <w:tc>
          <w:tcPr>
            <w:tcW w:w="567" w:type="dxa"/>
          </w:tcPr>
          <w:p w:rsidR="007C39A3" w:rsidRPr="007F1AF8" w:rsidRDefault="007C39A3" w:rsidP="00D47344">
            <w:r w:rsidRPr="007F1AF8">
              <w:lastRenderedPageBreak/>
              <w:t>5.</w:t>
            </w:r>
          </w:p>
        </w:tc>
        <w:tc>
          <w:tcPr>
            <w:tcW w:w="1809" w:type="dxa"/>
          </w:tcPr>
          <w:p w:rsidR="007C39A3" w:rsidRPr="007F1AF8" w:rsidRDefault="007C39A3" w:rsidP="00D47344">
            <w:r w:rsidRPr="007F1AF8">
              <w:t>Projekta izstrādē iesaistītās institūcijas</w:t>
            </w:r>
          </w:p>
        </w:tc>
        <w:tc>
          <w:tcPr>
            <w:tcW w:w="6627" w:type="dxa"/>
            <w:gridSpan w:val="2"/>
          </w:tcPr>
          <w:p w:rsidR="007C39A3" w:rsidRPr="007F1AF8" w:rsidRDefault="007C39A3" w:rsidP="001E375E">
            <w:pPr>
              <w:jc w:val="both"/>
            </w:pPr>
            <w:r w:rsidRPr="007F1AF8">
              <w:rPr>
                <w:iCs/>
              </w:rPr>
              <w:t xml:space="preserve">Projekta izstrādes nodrošināšanai </w:t>
            </w:r>
            <w:r>
              <w:rPr>
                <w:iCs/>
              </w:rPr>
              <w:t xml:space="preserve">ar labklājības ministra 8.11.2012. rīkojumu Nr.70 </w:t>
            </w:r>
            <w:r w:rsidRPr="007F1AF8">
              <w:rPr>
                <w:iCs/>
              </w:rPr>
              <w:t xml:space="preserve">tika izveidota darba grupa, kur tika iekļauti pārstāvji no Labklājības ministrijas, Finanšu ministrijas, Valsts </w:t>
            </w:r>
            <w:r>
              <w:rPr>
                <w:iCs/>
              </w:rPr>
              <w:t>k</w:t>
            </w:r>
            <w:r w:rsidRPr="007F1AF8">
              <w:rPr>
                <w:iCs/>
              </w:rPr>
              <w:t>ases, Ekonomikas ministrijas, Latvijas Komercbanku asociācijas, Finanšu un kapitāla tirgus komisijas, Valsts sociālās apdrošināšanas aģentūras un Latvijas Garantiju aģentūras.</w:t>
            </w:r>
          </w:p>
        </w:tc>
      </w:tr>
      <w:tr w:rsidR="007C39A3" w:rsidRPr="007F1AF8" w:rsidTr="00481ABC">
        <w:trPr>
          <w:gridAfter w:val="1"/>
          <w:wAfter w:w="28" w:type="dxa"/>
        </w:trPr>
        <w:tc>
          <w:tcPr>
            <w:tcW w:w="567" w:type="dxa"/>
          </w:tcPr>
          <w:p w:rsidR="007C39A3" w:rsidRPr="007F1AF8" w:rsidRDefault="007C39A3" w:rsidP="00D47344">
            <w:r w:rsidRPr="007F1AF8">
              <w:t>6.</w:t>
            </w:r>
          </w:p>
        </w:tc>
        <w:tc>
          <w:tcPr>
            <w:tcW w:w="1809" w:type="dxa"/>
          </w:tcPr>
          <w:p w:rsidR="007C39A3" w:rsidRPr="007F1AF8" w:rsidRDefault="007C39A3" w:rsidP="00D47344">
            <w:r w:rsidRPr="007F1AF8">
              <w:t>Iemesli, kādēļ netika nodrošināta sabiedrības līdzdalība</w:t>
            </w:r>
          </w:p>
        </w:tc>
        <w:tc>
          <w:tcPr>
            <w:tcW w:w="6627" w:type="dxa"/>
            <w:gridSpan w:val="2"/>
          </w:tcPr>
          <w:p w:rsidR="007C39A3" w:rsidRPr="00B3242E" w:rsidRDefault="00B3242E" w:rsidP="00B3242E">
            <w:pPr>
              <w:pStyle w:val="naiskr"/>
              <w:spacing w:before="0" w:after="0"/>
              <w:jc w:val="both"/>
            </w:pPr>
            <w:r w:rsidRPr="00470880">
              <w:t xml:space="preserve">Sabiedrības līdzdalība </w:t>
            </w:r>
            <w:r w:rsidR="00EE6AE0">
              <w:t>likum</w:t>
            </w:r>
            <w:r w:rsidRPr="00470880">
              <w:t xml:space="preserve">projekta izstrādē netika nodrošināta, jo </w:t>
            </w:r>
            <w:r w:rsidR="00EE6AE0">
              <w:t>likum</w:t>
            </w:r>
            <w:r w:rsidRPr="00470880">
              <w:t>projekts</w:t>
            </w:r>
            <w:r>
              <w:t xml:space="preserve"> maina nosacījumus attiecībā uz līdzekļu pārvaldītāju rīcību, bet neattiecas uz ieguldījumu plānu dalībniekiem. </w:t>
            </w:r>
          </w:p>
        </w:tc>
      </w:tr>
      <w:tr w:rsidR="007C39A3" w:rsidRPr="007F1AF8" w:rsidTr="00481ABC">
        <w:trPr>
          <w:gridAfter w:val="1"/>
          <w:wAfter w:w="28" w:type="dxa"/>
        </w:trPr>
        <w:tc>
          <w:tcPr>
            <w:tcW w:w="567" w:type="dxa"/>
          </w:tcPr>
          <w:p w:rsidR="007C39A3" w:rsidRPr="007F1AF8" w:rsidRDefault="007C39A3" w:rsidP="00D47344">
            <w:r w:rsidRPr="007F1AF8">
              <w:t xml:space="preserve">7. </w:t>
            </w:r>
          </w:p>
        </w:tc>
        <w:tc>
          <w:tcPr>
            <w:tcW w:w="1809" w:type="dxa"/>
          </w:tcPr>
          <w:p w:rsidR="007C39A3" w:rsidRPr="007F1AF8" w:rsidRDefault="007C39A3" w:rsidP="00D47344">
            <w:r w:rsidRPr="007F1AF8">
              <w:t>Cita informācija</w:t>
            </w:r>
          </w:p>
        </w:tc>
        <w:tc>
          <w:tcPr>
            <w:tcW w:w="6627" w:type="dxa"/>
            <w:gridSpan w:val="2"/>
          </w:tcPr>
          <w:p w:rsidR="007C39A3" w:rsidRDefault="007C39A3" w:rsidP="00BB6847">
            <w:pPr>
              <w:spacing w:after="120"/>
              <w:jc w:val="both"/>
            </w:pPr>
            <w:r>
              <w:t>1)</w:t>
            </w:r>
            <w:r w:rsidR="000233D4">
              <w:t xml:space="preserve"> </w:t>
            </w:r>
            <w:r>
              <w:t>Likumprojekta 1.pant</w:t>
            </w:r>
            <w:r w:rsidR="000233D4">
              <w:t>s</w:t>
            </w:r>
            <w:r>
              <w:t xml:space="preserve"> paredz papildināt likuma 11.pantu ar jaunu 5.</w:t>
            </w:r>
            <w:r w:rsidRPr="00DB2ED9">
              <w:rPr>
                <w:vertAlign w:val="superscript"/>
              </w:rPr>
              <w:t xml:space="preserve">4 </w:t>
            </w:r>
            <w:r>
              <w:t xml:space="preserve">daļu, tiek noteikti tie pakalpojumi, kas ietilpst valsts fondēto pensiju shēmas </w:t>
            </w:r>
            <w:r w:rsidRPr="00E40555">
              <w:t>pārvaldīšanā</w:t>
            </w:r>
            <w:r>
              <w:t xml:space="preserve">. Pārvaldīšanā ietilpstošie pakalpojumi sadalās trīs daļās </w:t>
            </w:r>
            <w:r w:rsidRPr="00DB2ED9">
              <w:rPr>
                <w:i/>
              </w:rPr>
              <w:t>– ieguldījumu plāna līdzekļu ieguldījumu pārvaldīšana</w:t>
            </w:r>
            <w:r>
              <w:t xml:space="preserve">, </w:t>
            </w:r>
            <w:r w:rsidRPr="00DB2ED9">
              <w:rPr>
                <w:i/>
              </w:rPr>
              <w:t>ieguldījumu plāna līdzekļu administratīvā vadība</w:t>
            </w:r>
            <w:r>
              <w:t xml:space="preserve"> un </w:t>
            </w:r>
            <w:r w:rsidRPr="00DB2ED9">
              <w:rPr>
                <w:i/>
              </w:rPr>
              <w:t>mārketings</w:t>
            </w:r>
            <w:r>
              <w:t xml:space="preserve">. Ņemot vērā, ka šo trīs pakalpojumu būtiskums pārvaldnieka darbībā ir atšķirīgs, tiek noteiktas atšķirīgas prasības, kas ir jāievēro pirms šo pakalpojumu deleģēšanas uzsākšanas. Vienā gadījumā </w:t>
            </w:r>
            <w:r w:rsidR="00EE6AE0">
              <w:t>Finanšu un kapitāla tirgus k</w:t>
            </w:r>
            <w:r>
              <w:t>omisija</w:t>
            </w:r>
            <w:r w:rsidR="00EE6AE0">
              <w:t xml:space="preserve"> (turpmāk – FKTK)</w:t>
            </w:r>
            <w:r>
              <w:t xml:space="preserve"> dod atļauju pakalpojumu deleģēšanai pirms uzsākt saņemt šo pakalpojumu, bet otrā gadījumā </w:t>
            </w:r>
            <w:r w:rsidR="00EE6AE0">
              <w:t>FKTK</w:t>
            </w:r>
            <w:r>
              <w:t xml:space="preserve"> tiek informēta pēc fakta jau par notikušu pakalpojuma deleģēšanas uzsākšanu. </w:t>
            </w:r>
          </w:p>
          <w:p w:rsidR="007C39A3" w:rsidRDefault="007C39A3" w:rsidP="00BB6847">
            <w:pPr>
              <w:spacing w:after="120"/>
              <w:jc w:val="both"/>
            </w:pPr>
            <w:r>
              <w:t>Atbilstoši piedāvātajai redakcijai likuma 11.</w:t>
            </w:r>
            <w:r w:rsidRPr="009B6690">
              <w:rPr>
                <w:vertAlign w:val="superscript"/>
              </w:rPr>
              <w:t>2</w:t>
            </w:r>
            <w:r>
              <w:t xml:space="preserve">panta </w:t>
            </w:r>
            <w:r w:rsidRPr="009B6690">
              <w:t>trešajā</w:t>
            </w:r>
            <w:r>
              <w:t xml:space="preserve"> daļā tiek noteiktas kopējas prasības līdzekļu pārvaldītājam, kas tam ir jāievēro, pirms jebkura no šo trīs pakalpojumu nodošanas. Norādītos dokumentus līdzekļu pārvaldnieks var iesniegt pirms reāla deleģēšanas līguma noslēgšanas. Šajā gadījumā tiek pielietots noklusēšanas princips, paredzot, ka 30 dienu laikā pēc procedūru saņemšanas, </w:t>
            </w:r>
            <w:r w:rsidR="00EE6AE0">
              <w:t>FKTK</w:t>
            </w:r>
            <w:r>
              <w:t xml:space="preserve"> ir tiesības celt motivētus iebildumus pret to atbilstību likuma prasībām, bet pēc šā termiņa notecējuma, tirgus dalībnieks ir tiesīgs uzsākt saņemt deleģēšanas pakalpojumus, ievērojot iesniegtajās procedūrās noteikto kārtību.</w:t>
            </w:r>
          </w:p>
          <w:p w:rsidR="007C39A3" w:rsidRDefault="007C39A3" w:rsidP="00BB6847">
            <w:pPr>
              <w:spacing w:after="120"/>
              <w:jc w:val="both"/>
            </w:pPr>
            <w:r>
              <w:t>Likuma 11.</w:t>
            </w:r>
            <w:r w:rsidRPr="009B6690">
              <w:rPr>
                <w:vertAlign w:val="superscript"/>
              </w:rPr>
              <w:t>2</w:t>
            </w:r>
            <w:r>
              <w:t>panta ceturtā daļa nosaka šo dokumentu izskatīšanas termiņus.</w:t>
            </w:r>
          </w:p>
          <w:p w:rsidR="007C39A3" w:rsidRDefault="007C39A3" w:rsidP="00BB6847">
            <w:pPr>
              <w:spacing w:after="120"/>
              <w:jc w:val="both"/>
            </w:pPr>
            <w:r>
              <w:t>Likuma 11.</w:t>
            </w:r>
            <w:r w:rsidRPr="009B6690">
              <w:rPr>
                <w:vertAlign w:val="superscript"/>
              </w:rPr>
              <w:t>2</w:t>
            </w:r>
            <w:r>
              <w:t xml:space="preserve">panta piektā daļa nosaka kārtību gadījumā, ja tiek </w:t>
            </w:r>
            <w:r>
              <w:lastRenderedPageBreak/>
              <w:t xml:space="preserve">deleģēta </w:t>
            </w:r>
            <w:r w:rsidRPr="004B40CE">
              <w:rPr>
                <w:i/>
              </w:rPr>
              <w:t>ieguldījumu plāna līdzekļu ieguldījumu pārvaldīšana</w:t>
            </w:r>
            <w:r>
              <w:t xml:space="preserve"> (būtiskākā pārvaldes procesa sastāvdaļa), kā arī iekšējās kontroles organizēšana vai IT uzturēšana. Ņemot vērā šo procesu būtiskumu, attiecībā uz to deleģēšanu piemēro stingrāku </w:t>
            </w:r>
            <w:r w:rsidR="00EE6AE0">
              <w:t>FKTK</w:t>
            </w:r>
            <w:r>
              <w:t xml:space="preserve"> uzraudzību, kas arī noteikta piektajā daļā.</w:t>
            </w:r>
          </w:p>
          <w:p w:rsidR="007C39A3" w:rsidRDefault="007C39A3" w:rsidP="00BB6847">
            <w:pPr>
              <w:spacing w:after="120"/>
              <w:jc w:val="both"/>
            </w:pPr>
            <w:r>
              <w:t xml:space="preserve">Savukārt, pārējos gadījumos (deleģējot </w:t>
            </w:r>
            <w:r w:rsidRPr="004B40CE">
              <w:rPr>
                <w:i/>
              </w:rPr>
              <w:t>mārketinga</w:t>
            </w:r>
            <w:r>
              <w:t xml:space="preserve"> vai </w:t>
            </w:r>
            <w:r w:rsidRPr="004B40CE">
              <w:rPr>
                <w:i/>
              </w:rPr>
              <w:t>administratīvo vadības</w:t>
            </w:r>
            <w:r>
              <w:t xml:space="preserve"> pakalpojumus), kas norādīti likuma 11.</w:t>
            </w:r>
            <w:r w:rsidRPr="009B6690">
              <w:rPr>
                <w:vertAlign w:val="superscript"/>
              </w:rPr>
              <w:t>2</w:t>
            </w:r>
            <w:r>
              <w:t xml:space="preserve"> panta astotajā daļā, netiek piemērota tik stingra kārtība, tas ir, </w:t>
            </w:r>
            <w:r w:rsidR="00EE6AE0">
              <w:t>FKTK</w:t>
            </w:r>
            <w:r w:rsidR="00EE6AE0">
              <w:t xml:space="preserve"> </w:t>
            </w:r>
            <w:r>
              <w:t>tiek informēta tikai pēc deleģēšanas līguma noslēgšanas, iesniedzot Komisijai deleģēšanas līgumu.</w:t>
            </w:r>
          </w:p>
          <w:p w:rsidR="007C39A3" w:rsidRPr="009C61EF" w:rsidRDefault="007C39A3" w:rsidP="00BB6847">
            <w:pPr>
              <w:spacing w:before="68" w:after="120"/>
              <w:ind w:right="204"/>
              <w:jc w:val="both"/>
            </w:pPr>
            <w:r>
              <w:t xml:space="preserve">Attiecībā uz </w:t>
            </w:r>
            <w:r w:rsidR="00EE6AE0">
              <w:t>11.</w:t>
            </w:r>
            <w:r w:rsidR="00EE6AE0" w:rsidRPr="009B6690">
              <w:rPr>
                <w:vertAlign w:val="superscript"/>
              </w:rPr>
              <w:t>2</w:t>
            </w:r>
            <w:r w:rsidR="00EE6AE0">
              <w:t>pantā</w:t>
            </w:r>
            <w:r>
              <w:t xml:space="preserve"> ietverto kārtību, kur tiek izmantots noklusēšanas princips, šāda pieeja tiek plaši pielietota finanšu jomu regulējošos normatīvos aktos. Kā piemēru var minēt būtiskās līdzdalības iegūšanas kārtību, kur visos finanšu sektora normatīvos aktos ir ieviestas EP</w:t>
            </w:r>
            <w:r w:rsidRPr="00846D32">
              <w:t xml:space="preserve"> un Padomes </w:t>
            </w:r>
            <w:r>
              <w:t>05.09.</w:t>
            </w:r>
            <w:r w:rsidRPr="00846D32">
              <w:t xml:space="preserve">2007. direktīvas </w:t>
            </w:r>
            <w:hyperlink r:id="rId8" w:tgtFrame="_blank" w:history="1">
              <w:r w:rsidRPr="00846D32">
                <w:t>2007/44/EK</w:t>
              </w:r>
            </w:hyperlink>
            <w:r w:rsidRPr="00846D32">
              <w:t xml:space="preserve">, </w:t>
            </w:r>
            <w:r w:rsidRPr="00846D32">
              <w:rPr>
                <w:i/>
              </w:rPr>
              <w:t xml:space="preserve">ar ko groza Padomes direktīvu </w:t>
            </w:r>
            <w:hyperlink r:id="rId9" w:tgtFrame="_blank" w:history="1">
              <w:r w:rsidRPr="00846D32">
                <w:rPr>
                  <w:i/>
                </w:rPr>
                <w:t>92/49/EEK</w:t>
              </w:r>
            </w:hyperlink>
            <w:r w:rsidRPr="00846D32">
              <w:rPr>
                <w:i/>
              </w:rPr>
              <w:t xml:space="preserve"> un direktīvas </w:t>
            </w:r>
            <w:hyperlink r:id="rId10" w:tgtFrame="_blank" w:history="1">
              <w:r w:rsidRPr="00846D32">
                <w:rPr>
                  <w:i/>
                </w:rPr>
                <w:t>2002/83/EK</w:t>
              </w:r>
            </w:hyperlink>
            <w:r w:rsidRPr="00846D32">
              <w:rPr>
                <w:i/>
              </w:rPr>
              <w:t xml:space="preserve">, </w:t>
            </w:r>
            <w:hyperlink r:id="rId11" w:tgtFrame="_blank" w:history="1">
              <w:r w:rsidRPr="00846D32">
                <w:rPr>
                  <w:i/>
                </w:rPr>
                <w:t>2004/39/EK</w:t>
              </w:r>
            </w:hyperlink>
            <w:r w:rsidRPr="00846D32">
              <w:rPr>
                <w:i/>
              </w:rPr>
              <w:t xml:space="preserve">, </w:t>
            </w:r>
            <w:hyperlink r:id="rId12" w:tgtFrame="_blank" w:history="1">
              <w:r w:rsidRPr="00846D32">
                <w:rPr>
                  <w:i/>
                </w:rPr>
                <w:t>2005/68/EK</w:t>
              </w:r>
            </w:hyperlink>
            <w:r w:rsidRPr="00846D32">
              <w:rPr>
                <w:i/>
              </w:rPr>
              <w:t xml:space="preserve"> un </w:t>
            </w:r>
            <w:hyperlink r:id="rId13" w:tgtFrame="_blank" w:history="1">
              <w:r w:rsidRPr="00846D32">
                <w:rPr>
                  <w:i/>
                </w:rPr>
                <w:t>2006/48/EK</w:t>
              </w:r>
            </w:hyperlink>
            <w:r w:rsidRPr="00846D32">
              <w:rPr>
                <w:i/>
              </w:rPr>
              <w:t xml:space="preserve"> attiecībā uz procedūras noteikumiem un vērtēšanas kritērijiem, kas piemērojami, veicot piesardzīgu novērtējumu par līdzdalības iegūšanu un palielināšanu finanšu nozarē</w:t>
            </w:r>
            <w:r>
              <w:t xml:space="preserve">, prasības, kas paredz šo atviegloto režīmu (1.panta 5.punkts), nosakot, </w:t>
            </w:r>
            <w:r w:rsidRPr="00415673">
              <w:t>ka</w:t>
            </w:r>
            <w:r w:rsidRPr="00147D4E">
              <w:t xml:space="preserve"> "</w:t>
            </w:r>
            <w:r w:rsidRPr="009C61EF">
              <w:t>ja kompetentās iestādes vērtēšanas perioda laikā rakstveidā neiebilst pret plānoto līdzdalības iegūšanu, tad to uzskata par apstiprinātu</w:t>
            </w:r>
            <w:r w:rsidRPr="00415673">
              <w:t>".</w:t>
            </w:r>
          </w:p>
          <w:p w:rsidR="007C39A3" w:rsidRDefault="007C39A3" w:rsidP="00BB6847">
            <w:pPr>
              <w:spacing w:after="120"/>
              <w:jc w:val="both"/>
            </w:pPr>
            <w:r>
              <w:t xml:space="preserve">Minētais noklusēšanas princips tiek pielietots arī gadījumā, kad </w:t>
            </w:r>
            <w:r w:rsidR="00EE6AE0">
              <w:t>FKTK</w:t>
            </w:r>
            <w:r w:rsidR="00EE6AE0">
              <w:t xml:space="preserve"> </w:t>
            </w:r>
            <w:r>
              <w:t xml:space="preserve">saskaņo finanšu sektora dalībnieku amatpersonas, kur ir ietverts regulējums, kas nosaka, ka amatpersona ir tiesīga stāties amatā, ja </w:t>
            </w:r>
            <w:r w:rsidR="00EE6AE0">
              <w:t>FKTK</w:t>
            </w:r>
            <w:r>
              <w:t xml:space="preserve"> 30 dienu laikā no visu nepieciešamo dokumentu saņemšanas nav </w:t>
            </w:r>
            <w:r w:rsidRPr="005C3302">
              <w:t>izteikusi motivētus iebildumus attiecībā uz šo personu atbilstību likuma prasībām (Likuma "Par privātajiem pensiju fondiem" 14.panta devītā da</w:t>
            </w:r>
            <w:r>
              <w:t xml:space="preserve">ļa) vai </w:t>
            </w:r>
            <w:r w:rsidR="00EE6AE0">
              <w:t>FKTK</w:t>
            </w:r>
            <w:r w:rsidRPr="005C3302">
              <w:t xml:space="preserve"> 30 dienu laikā no dienas, kad saņemti visi nepieciešamie dokumenti, ir tiesības neatļaut kredītiestādes padomes un valdes locekļiem, iekšējā audita dienesta vadītājam un ārvalsts kredītiestādes filiāles vadītājam sākt pildīt viņu pienākumus, ja minētās personas neatbilst likuma prasībām </w:t>
            </w:r>
            <w:r>
              <w:t>(</w:t>
            </w:r>
            <w:r w:rsidRPr="005C3302">
              <w:t>Kredītiestāžu likuma 57.panta 1.</w:t>
            </w:r>
            <w:r w:rsidRPr="005C3302">
              <w:rPr>
                <w:vertAlign w:val="superscript"/>
              </w:rPr>
              <w:t>3</w:t>
            </w:r>
            <w:r w:rsidRPr="005C3302">
              <w:t>da</w:t>
            </w:r>
            <w:r>
              <w:t>ļa)</w:t>
            </w:r>
            <w:r w:rsidRPr="005C3302">
              <w:t>.</w:t>
            </w:r>
          </w:p>
          <w:p w:rsidR="007C39A3" w:rsidRDefault="007C39A3" w:rsidP="00BB6847">
            <w:pPr>
              <w:spacing w:after="120"/>
              <w:jc w:val="both"/>
            </w:pPr>
            <w:r>
              <w:t xml:space="preserve">2) </w:t>
            </w:r>
            <w:r w:rsidRPr="00DA256A">
              <w:t>Ņemot vērā, ka dalībniekiem paredzētā pamatinformācija (</w:t>
            </w:r>
            <w:r>
              <w:t xml:space="preserve">turpmāk - </w:t>
            </w:r>
            <w:r w:rsidRPr="00DA256A">
              <w:t xml:space="preserve">DPP) ir dokuments, kura izstrādes prasības ietver sarežģītus aprēķinus un kritērijus, </w:t>
            </w:r>
            <w:r>
              <w:t>iekļaujot tos spēkā esošos šo jomu regulējošos normatīvajos aktos</w:t>
            </w:r>
            <w:r w:rsidRPr="00DA256A">
              <w:t xml:space="preserve"> </w:t>
            </w:r>
            <w:r>
              <w:t>(</w:t>
            </w:r>
            <w:r w:rsidRPr="00DA256A">
              <w:t>Valsts fondēto pensiju likum</w:t>
            </w:r>
            <w:r>
              <w:t>s vai 2013.</w:t>
            </w:r>
            <w:r w:rsidR="00EE6AE0">
              <w:t>gada</w:t>
            </w:r>
            <w:r>
              <w:t xml:space="preserve"> </w:t>
            </w:r>
            <w:r w:rsidR="00EE6AE0">
              <w:t xml:space="preserve">27.maija </w:t>
            </w:r>
            <w:r w:rsidRPr="00DA256A">
              <w:t>MK noteikum</w:t>
            </w:r>
            <w:r w:rsidR="00EE6AE0">
              <w:t>i Nr.</w:t>
            </w:r>
            <w:r>
              <w:t>272 „</w:t>
            </w:r>
            <w:r w:rsidRPr="009C61EF">
              <w:t>Noteikumi par valsts fondēto pensiju shēmas darbību”</w:t>
            </w:r>
            <w:r>
              <w:t xml:space="preserve">) </w:t>
            </w:r>
            <w:r w:rsidRPr="00DA256A">
              <w:t>iespējams 100% pārsniegt</w:t>
            </w:r>
            <w:r>
              <w:t>s</w:t>
            </w:r>
            <w:r w:rsidRPr="00DA256A">
              <w:t xml:space="preserve"> </w:t>
            </w:r>
            <w:r>
              <w:t>šo normatīvo aktu</w:t>
            </w:r>
            <w:r w:rsidRPr="00DA256A">
              <w:t xml:space="preserve"> </w:t>
            </w:r>
            <w:r>
              <w:t>apjomu. Tādēļ</w:t>
            </w:r>
            <w:r w:rsidRPr="00DA256A">
              <w:t xml:space="preserve"> </w:t>
            </w:r>
            <w:r>
              <w:t>tiek ierosināts</w:t>
            </w:r>
            <w:r w:rsidRPr="00DA256A">
              <w:t xml:space="preserve"> DPP sagatavošanas noteikumus sagatavot kā </w:t>
            </w:r>
            <w:r w:rsidR="00EE6AE0">
              <w:t>FKTK</w:t>
            </w:r>
            <w:r>
              <w:t xml:space="preserve"> </w:t>
            </w:r>
            <w:r w:rsidRPr="00DA256A">
              <w:t>normatīvos noteikumus. Līdzīga prakse ir izmantota ieguldījumu pārvaldes sabiedrību darbību regulējošajā jomā, kur arī fonda pamatdokumenti (prospekts, nolikums, ieguldītājiem paredzētā pamatinformācija (</w:t>
            </w:r>
            <w:r>
              <w:t xml:space="preserve">turpmāk - </w:t>
            </w:r>
            <w:r w:rsidRPr="00DA256A">
              <w:t xml:space="preserve">IPP)) ir vienāda līmeņa dokumenti, bet prospekta un nolikuma sagatavošanas kārtība ir ietverti Ieguldījumu pārvaldes sabiedrību likumā, </w:t>
            </w:r>
            <w:r>
              <w:t xml:space="preserve">bet IPP sagatavošanas </w:t>
            </w:r>
            <w:r>
              <w:lastRenderedPageBreak/>
              <w:t>kārtība ir ietverta divos Komisijas normatīvos dokumentos:</w:t>
            </w:r>
          </w:p>
          <w:p w:rsidR="007C39A3" w:rsidRPr="00EE6AE0" w:rsidRDefault="00EE6AE0" w:rsidP="00EE6AE0">
            <w:pPr>
              <w:pStyle w:val="ListParagraph"/>
              <w:numPr>
                <w:ilvl w:val="0"/>
                <w:numId w:val="9"/>
              </w:numPr>
              <w:autoSpaceDE w:val="0"/>
              <w:autoSpaceDN w:val="0"/>
              <w:adjustRightInd w:val="0"/>
              <w:spacing w:after="120"/>
              <w:ind w:left="317" w:hanging="283"/>
              <w:jc w:val="both"/>
              <w:rPr>
                <w:rFonts w:eastAsia="TimesNewRoman"/>
              </w:rPr>
            </w:pPr>
            <w:r>
              <w:t>FKTK</w:t>
            </w:r>
            <w:r w:rsidR="007C39A3">
              <w:t xml:space="preserve"> 2011.</w:t>
            </w:r>
            <w:r>
              <w:t>gada</w:t>
            </w:r>
            <w:r w:rsidR="007C39A3">
              <w:t xml:space="preserve"> </w:t>
            </w:r>
            <w:r>
              <w:t xml:space="preserve">11.novembra </w:t>
            </w:r>
            <w:r w:rsidR="007C39A3">
              <w:t>normatīvie noteikumi Nr.240 "</w:t>
            </w:r>
            <w:r w:rsidR="007C39A3" w:rsidRPr="00EE6AE0">
              <w:rPr>
                <w:rFonts w:eastAsia="TimesNewRoman"/>
              </w:rPr>
              <w:t>Ieguldītājiem paredzētās pamatinformācijas sagatavošanas normatīvie noteikumi";</w:t>
            </w:r>
          </w:p>
          <w:p w:rsidR="007C39A3" w:rsidRPr="00B05B6D" w:rsidRDefault="00EE6AE0" w:rsidP="00EE6AE0">
            <w:pPr>
              <w:pStyle w:val="ListParagraph"/>
              <w:numPr>
                <w:ilvl w:val="0"/>
                <w:numId w:val="9"/>
              </w:numPr>
              <w:spacing w:after="120"/>
              <w:ind w:left="317" w:hanging="283"/>
              <w:jc w:val="both"/>
            </w:pPr>
            <w:r>
              <w:t>FKTK</w:t>
            </w:r>
            <w:r w:rsidR="007C39A3">
              <w:t xml:space="preserve"> 2011.</w:t>
            </w:r>
            <w:r>
              <w:t>gada 11.novembra</w:t>
            </w:r>
            <w:r w:rsidR="007C39A3">
              <w:t xml:space="preserve"> ieteikumi Nr.248 "</w:t>
            </w:r>
            <w:r w:rsidR="007C39A3" w:rsidRPr="00EE6AE0">
              <w:rPr>
                <w:rFonts w:eastAsia="TimesNewRoman"/>
              </w:rPr>
              <w:t>Ieguldītājiem paredzētās pamatinformācijas sagatavošanas ieteikumi</w:t>
            </w:r>
            <w:r w:rsidR="007C39A3">
              <w:t>".</w:t>
            </w:r>
          </w:p>
          <w:p w:rsidR="007C39A3" w:rsidRPr="007F1AF8" w:rsidRDefault="00EE6AE0" w:rsidP="00BB6847">
            <w:pPr>
              <w:spacing w:after="120"/>
              <w:jc w:val="both"/>
            </w:pPr>
            <w:r>
              <w:t>FKTK</w:t>
            </w:r>
            <w:r w:rsidR="007C39A3" w:rsidRPr="00DA256A">
              <w:t xml:space="preserve"> normatīv</w:t>
            </w:r>
            <w:r>
              <w:t>aj</w:t>
            </w:r>
            <w:r w:rsidR="007C39A3" w:rsidRPr="00DA256A">
              <w:t xml:space="preserve">os noteikumos jau tiek regulēta valsts fondēto pensiju shēmas ieguldījumu plānu pārskatu sagatavošanas kārtība. </w:t>
            </w:r>
          </w:p>
        </w:tc>
      </w:tr>
      <w:tr w:rsidR="007C39A3" w:rsidRPr="007F1AF8" w:rsidTr="00481ABC">
        <w:tc>
          <w:tcPr>
            <w:tcW w:w="9031" w:type="dxa"/>
            <w:gridSpan w:val="5"/>
          </w:tcPr>
          <w:p w:rsidR="007C39A3" w:rsidRPr="007F1AF8" w:rsidRDefault="007C39A3" w:rsidP="00D47344">
            <w:pPr>
              <w:jc w:val="center"/>
              <w:rPr>
                <w:b/>
              </w:rPr>
            </w:pPr>
            <w:r w:rsidRPr="007F1AF8">
              <w:rPr>
                <w:b/>
              </w:rPr>
              <w:lastRenderedPageBreak/>
              <w:t>II Tiesību akta projekta ietekme uz sabiedrību</w:t>
            </w:r>
          </w:p>
        </w:tc>
      </w:tr>
      <w:tr w:rsidR="007C39A3" w:rsidRPr="007F1AF8" w:rsidTr="00481ABC">
        <w:tc>
          <w:tcPr>
            <w:tcW w:w="567" w:type="dxa"/>
          </w:tcPr>
          <w:p w:rsidR="007C39A3" w:rsidRPr="007F1AF8" w:rsidRDefault="007C39A3" w:rsidP="00D47344">
            <w:r w:rsidRPr="007F1AF8">
              <w:t>1.</w:t>
            </w:r>
          </w:p>
        </w:tc>
        <w:tc>
          <w:tcPr>
            <w:tcW w:w="1809" w:type="dxa"/>
          </w:tcPr>
          <w:p w:rsidR="007C39A3" w:rsidRPr="007F1AF8" w:rsidRDefault="007C39A3" w:rsidP="00D47344">
            <w:r w:rsidRPr="007F1AF8">
              <w:t>Sabiedrības mērķgrupa</w:t>
            </w:r>
          </w:p>
        </w:tc>
        <w:tc>
          <w:tcPr>
            <w:tcW w:w="6655" w:type="dxa"/>
            <w:gridSpan w:val="3"/>
          </w:tcPr>
          <w:p w:rsidR="007C39A3" w:rsidRPr="007F1AF8" w:rsidRDefault="007C39A3" w:rsidP="00E848B6">
            <w:pPr>
              <w:autoSpaceDE w:val="0"/>
              <w:autoSpaceDN w:val="0"/>
              <w:adjustRightInd w:val="0"/>
              <w:spacing w:after="120"/>
              <w:jc w:val="both"/>
            </w:pPr>
            <w:r w:rsidRPr="007F1AF8">
              <w:t xml:space="preserve">Saskaņā ar Valsts fondēto pensiju likuma 3.panta pirmo un otro daļu tiem sociālo iemaksu veicējiem, kas dzimuši pēc 1971.gada 1.jūlija, līdzdalība </w:t>
            </w:r>
            <w:r>
              <w:t>valsts fondēto pensiju shēmā ir noteikta obligāta, savukārt</w:t>
            </w:r>
            <w:r w:rsidRPr="007F1AF8">
              <w:t xml:space="preserve"> tiem, kas dzimuši no 1951.gada 2.jūlija līdz 1971.gada 1.jūlijam (ieskaitot), - brīvprātīga. 2012.gada 31.decembrī valsts fondēto pensiju shēmā bija reģistrēti 1 194 tūkst. dalībnieku, no tiem kā obligātie shēmas dalībnieki bija reģistrēti </w:t>
            </w:r>
            <w:r w:rsidRPr="007F1AF8">
              <w:rPr>
                <w:sz w:val="22"/>
                <w:szCs w:val="22"/>
              </w:rPr>
              <w:t xml:space="preserve">700 </w:t>
            </w:r>
            <w:r w:rsidRPr="007F1AF8">
              <w:t>tūkst. personu un brīvprātīgie - 494</w:t>
            </w:r>
            <w:r w:rsidRPr="007F1AF8">
              <w:rPr>
                <w:sz w:val="22"/>
                <w:szCs w:val="22"/>
              </w:rPr>
              <w:t xml:space="preserve"> </w:t>
            </w:r>
            <w:r w:rsidRPr="007F1AF8">
              <w:t>tūkst. personu.</w:t>
            </w:r>
          </w:p>
        </w:tc>
      </w:tr>
      <w:tr w:rsidR="007C39A3" w:rsidRPr="007F1AF8" w:rsidTr="00481ABC">
        <w:tc>
          <w:tcPr>
            <w:tcW w:w="567" w:type="dxa"/>
          </w:tcPr>
          <w:p w:rsidR="007C39A3" w:rsidRPr="007F1AF8" w:rsidRDefault="007C39A3" w:rsidP="00D47344">
            <w:r w:rsidRPr="007F1AF8">
              <w:t xml:space="preserve">2. </w:t>
            </w:r>
          </w:p>
        </w:tc>
        <w:tc>
          <w:tcPr>
            <w:tcW w:w="1809" w:type="dxa"/>
          </w:tcPr>
          <w:p w:rsidR="007C39A3" w:rsidRPr="007F1AF8" w:rsidRDefault="007C39A3" w:rsidP="007F1AF8">
            <w:pPr>
              <w:jc w:val="both"/>
            </w:pPr>
            <w:r w:rsidRPr="007F1AF8">
              <w:t>Citas sabiedrības grupas (bez mērķgrupas), kuras tiesiskais regulējuma arī ietekmē vai varētu ietekmēt</w:t>
            </w:r>
          </w:p>
        </w:tc>
        <w:tc>
          <w:tcPr>
            <w:tcW w:w="6655" w:type="dxa"/>
            <w:gridSpan w:val="3"/>
          </w:tcPr>
          <w:p w:rsidR="007C39A3" w:rsidRPr="007F1AF8" w:rsidRDefault="007C39A3" w:rsidP="00D47344">
            <w:pPr>
              <w:jc w:val="both"/>
              <w:rPr>
                <w:highlight w:val="yellow"/>
              </w:rPr>
            </w:pPr>
            <w:r w:rsidRPr="007F1AF8">
              <w:t>Likumprojekts šo jomu neskar.</w:t>
            </w:r>
          </w:p>
        </w:tc>
      </w:tr>
      <w:tr w:rsidR="007C39A3" w:rsidRPr="007F1AF8" w:rsidTr="00481ABC">
        <w:tc>
          <w:tcPr>
            <w:tcW w:w="567" w:type="dxa"/>
          </w:tcPr>
          <w:p w:rsidR="007C39A3" w:rsidRPr="007F1AF8" w:rsidRDefault="007C39A3" w:rsidP="00D47344">
            <w:r w:rsidRPr="007F1AF8">
              <w:t xml:space="preserve">3. </w:t>
            </w:r>
          </w:p>
        </w:tc>
        <w:tc>
          <w:tcPr>
            <w:tcW w:w="1809" w:type="dxa"/>
          </w:tcPr>
          <w:p w:rsidR="007C39A3" w:rsidRPr="007F1AF8" w:rsidRDefault="007C39A3" w:rsidP="00D47344">
            <w:pPr>
              <w:jc w:val="both"/>
            </w:pPr>
            <w:r w:rsidRPr="007F1AF8">
              <w:t>Tiesiskā regulējuma finansiālā ietekme</w:t>
            </w:r>
          </w:p>
        </w:tc>
        <w:tc>
          <w:tcPr>
            <w:tcW w:w="6655" w:type="dxa"/>
            <w:gridSpan w:val="3"/>
          </w:tcPr>
          <w:p w:rsidR="007C39A3" w:rsidRPr="007F1AF8" w:rsidRDefault="007C39A3" w:rsidP="00D47344">
            <w:pPr>
              <w:pStyle w:val="BodyText"/>
              <w:jc w:val="both"/>
              <w:rPr>
                <w:lang w:val="lv-LV"/>
              </w:rPr>
            </w:pPr>
            <w:r w:rsidRPr="007F1AF8">
              <w:rPr>
                <w:lang w:val="lv-LV"/>
              </w:rPr>
              <w:t>Izdevumus, kas saistīti ar jaunās metodes tehnisko un praktisko ieviešanu, uzņemsies ieguldījumu pārvaldes sabiedrības, tādējādi pasargājot dalībniekus un valsti no papildus izdevumiem.</w:t>
            </w:r>
          </w:p>
        </w:tc>
      </w:tr>
      <w:tr w:rsidR="007C39A3" w:rsidRPr="007F1AF8" w:rsidTr="00481ABC">
        <w:tc>
          <w:tcPr>
            <w:tcW w:w="567" w:type="dxa"/>
          </w:tcPr>
          <w:p w:rsidR="007C39A3" w:rsidRPr="007F1AF8" w:rsidRDefault="007C39A3" w:rsidP="00D47344">
            <w:r w:rsidRPr="007F1AF8">
              <w:t>4.</w:t>
            </w:r>
          </w:p>
        </w:tc>
        <w:tc>
          <w:tcPr>
            <w:tcW w:w="1809" w:type="dxa"/>
          </w:tcPr>
          <w:p w:rsidR="007C39A3" w:rsidRPr="007F1AF8" w:rsidRDefault="007C39A3" w:rsidP="00D47344">
            <w:r w:rsidRPr="007F1AF8">
              <w:t>Tiesiskā regulējuma nefinansiālā ietekme</w:t>
            </w:r>
          </w:p>
        </w:tc>
        <w:tc>
          <w:tcPr>
            <w:tcW w:w="6655" w:type="dxa"/>
            <w:gridSpan w:val="3"/>
          </w:tcPr>
          <w:p w:rsidR="007C39A3" w:rsidRPr="007F1AF8" w:rsidRDefault="007C39A3" w:rsidP="00D47344">
            <w:pPr>
              <w:jc w:val="both"/>
            </w:pPr>
            <w:r w:rsidRPr="007F1AF8">
              <w:t>Projekts šo jomu neskar.</w:t>
            </w:r>
          </w:p>
        </w:tc>
      </w:tr>
      <w:tr w:rsidR="007C39A3" w:rsidRPr="007F1AF8" w:rsidTr="00481ABC">
        <w:tc>
          <w:tcPr>
            <w:tcW w:w="567" w:type="dxa"/>
          </w:tcPr>
          <w:p w:rsidR="007C39A3" w:rsidRPr="007F1AF8" w:rsidRDefault="007C39A3" w:rsidP="00D47344">
            <w:r w:rsidRPr="007F1AF8">
              <w:t>5.</w:t>
            </w:r>
          </w:p>
        </w:tc>
        <w:tc>
          <w:tcPr>
            <w:tcW w:w="1809" w:type="dxa"/>
          </w:tcPr>
          <w:p w:rsidR="007C39A3" w:rsidRPr="007F1AF8" w:rsidRDefault="007C39A3" w:rsidP="00D47344">
            <w:r w:rsidRPr="007F1AF8">
              <w:t>Administratīvās procedūras raksturojums</w:t>
            </w:r>
          </w:p>
        </w:tc>
        <w:tc>
          <w:tcPr>
            <w:tcW w:w="6655" w:type="dxa"/>
            <w:gridSpan w:val="3"/>
          </w:tcPr>
          <w:p w:rsidR="007C39A3" w:rsidRPr="007F1AF8" w:rsidRDefault="007C39A3" w:rsidP="00BB6847">
            <w:pPr>
              <w:autoSpaceDE w:val="0"/>
              <w:autoSpaceDN w:val="0"/>
              <w:adjustRightInd w:val="0"/>
              <w:spacing w:after="120"/>
              <w:jc w:val="both"/>
            </w:pPr>
            <w:r w:rsidRPr="007F1AF8">
              <w:t xml:space="preserve">Bez kvantitatīvām riska ierobežošanas metodēm un </w:t>
            </w:r>
            <w:r>
              <w:t>normatīvos aktos noteiktiem</w:t>
            </w:r>
            <w:r w:rsidRPr="007F1AF8">
              <w:t xml:space="preserve"> ierobežojumiem, praksē ļoti lielu lomu spēlē kvalitatīvā risku pārvaldīšana. Ir būtiski, lai līdzekļu un risku pārvaldītājs būtu ar augstu kompetenci un ilgstošu pieredzi darbībai Latvijas un pasaules finanšu tirgos, lai pārvaldnieks izprot finanšu tirgu darbību un pilnībā pārzina iegādāto finanšu instrumentu darbību un riskus. Attie</w:t>
            </w:r>
            <w:r>
              <w:t>cībā uz līdzekļu pārvaldītājiem</w:t>
            </w:r>
            <w:r w:rsidRPr="007F1AF8">
              <w:t xml:space="preserve"> jau pašlaik FKTK izvirza prasības attiecībā uz to izglītību, pieredzi un interešu konfliktu novēršanu. </w:t>
            </w:r>
            <w:r>
              <w:t>Valsts f</w:t>
            </w:r>
            <w:r w:rsidRPr="007F1AF8">
              <w:t xml:space="preserve">ondēto pensiju shēmas līdzekļu pārvaldītājs pārvaldīšanā esošos shēmas līdzekļus iegrāmato un pārvalda šķirti no jebkuras citas </w:t>
            </w:r>
            <w:r>
              <w:t xml:space="preserve">valsts </w:t>
            </w:r>
            <w:r w:rsidRPr="007F1AF8">
              <w:t>fondēto pensiju shēmas līdzekļu pārvaldītāja un tā pārvaldīšanā esošās mantas.</w:t>
            </w:r>
          </w:p>
          <w:p w:rsidR="007C39A3" w:rsidRPr="007F1AF8" w:rsidRDefault="007C39A3" w:rsidP="00BB6847">
            <w:pPr>
              <w:autoSpaceDE w:val="0"/>
              <w:autoSpaceDN w:val="0"/>
              <w:adjustRightInd w:val="0"/>
              <w:spacing w:after="120"/>
              <w:jc w:val="both"/>
            </w:pPr>
            <w:r w:rsidRPr="007F1AF8">
              <w:t xml:space="preserve">Praksē ir būtiski saglabāt piesardzību un diversificēt ieguldījumus gan starp dažādām aktīvu klasēm, ieguldījumu veidiem, reģioniem </w:t>
            </w:r>
            <w:r w:rsidRPr="007F1AF8">
              <w:lastRenderedPageBreak/>
              <w:t>un ris</w:t>
            </w:r>
            <w:r>
              <w:t>ku ietekmējošiem faktoriem, lai tādējādi</w:t>
            </w:r>
            <w:r w:rsidRPr="007F1AF8">
              <w:t xml:space="preserve"> mazinātu kopējo riska līmeni, vienlaicīgi saglabājot pievilcīgu ienesīgumu. </w:t>
            </w:r>
          </w:p>
          <w:p w:rsidR="007C39A3" w:rsidRPr="007F1AF8" w:rsidRDefault="007C39A3" w:rsidP="00BB6847">
            <w:pPr>
              <w:autoSpaceDE w:val="0"/>
              <w:autoSpaceDN w:val="0"/>
              <w:adjustRightInd w:val="0"/>
              <w:spacing w:after="120"/>
              <w:jc w:val="both"/>
            </w:pPr>
            <w:r>
              <w:t>Papildu</w:t>
            </w:r>
            <w:r w:rsidRPr="007F1AF8">
              <w:t xml:space="preserve"> riska uzņemšanās, ja tas pienācīgi tiek pārvaldīts un atbilst </w:t>
            </w:r>
            <w:r>
              <w:t>ieguldījumu</w:t>
            </w:r>
            <w:r w:rsidRPr="007F1AF8">
              <w:t xml:space="preserve"> plānu dalībnieku spējai uzņemties risku, nav pretrunā </w:t>
            </w:r>
            <w:r>
              <w:t>ieguldījumu</w:t>
            </w:r>
            <w:r w:rsidRPr="007F1AF8">
              <w:t xml:space="preserve"> plānu dalībnieku in</w:t>
            </w:r>
            <w:r>
              <w:t>teresēm. Tieši pretēji, papildu</w:t>
            </w:r>
            <w:r w:rsidRPr="007F1AF8">
              <w:t xml:space="preserve"> riska uzņemšanās var būt attiecīgo </w:t>
            </w:r>
            <w:r>
              <w:t>ieguldījumu</w:t>
            </w:r>
            <w:r w:rsidRPr="007F1AF8">
              <w:t xml:space="preserve"> plānu dalībnieku labākajās interesēs ilgtermiņā. Tā kā </w:t>
            </w:r>
            <w:r>
              <w:t>ieguldījumu</w:t>
            </w:r>
            <w:r w:rsidRPr="007F1AF8">
              <w:t xml:space="preserve"> plānu līdzekļu pārvaldītājam ir jārīkojas tā, lai veiktā pārvaldīšana ilgtermiņā būtu visizdevīgākā (saglabājot kapitāla vērtību un gūstot iespējami lielākus augļus), tad šādu ieguldījumu veikšana var būt nepieciešama, ja tā piemērota </w:t>
            </w:r>
            <w:r>
              <w:t>ieguldījumu</w:t>
            </w:r>
            <w:r w:rsidRPr="007F1AF8">
              <w:t xml:space="preserve"> plānam. Veicot investīcijas, </w:t>
            </w:r>
            <w:r>
              <w:t>līdzekļu pārvaldītājam</w:t>
            </w:r>
            <w:r w:rsidRPr="007F1AF8">
              <w:t xml:space="preserve"> ir jāizvairās no spekulācijām, neadekvāta riska uzņemšanās un ir jāievēro piesardzības princips. </w:t>
            </w:r>
          </w:p>
          <w:p w:rsidR="007C39A3" w:rsidRPr="007F1AF8" w:rsidRDefault="007C39A3" w:rsidP="00BB6847">
            <w:pPr>
              <w:spacing w:after="120"/>
              <w:jc w:val="both"/>
            </w:pPr>
            <w:r w:rsidRPr="007F1AF8">
              <w:t xml:space="preserve">Īstenojot pasākumus </w:t>
            </w:r>
            <w:r>
              <w:t>ieguldījumu</w:t>
            </w:r>
            <w:r w:rsidRPr="007F1AF8">
              <w:t xml:space="preserve"> </w:t>
            </w:r>
            <w:r>
              <w:t>plānu</w:t>
            </w:r>
            <w:r w:rsidRPr="007F1AF8">
              <w:t xml:space="preserve"> līdzekļu ieguldīšanas palielināšanai tautsaimniecībā, jāņem vērā, ka paliek nemainīta Valsts fondēto pensiju likumā noteiktā šo līdzekļu ieguldīšanas politikas galvenā prasība, ka “līdzekļu pārvaldītājs, ieguldot </w:t>
            </w:r>
            <w:r>
              <w:t xml:space="preserve">valsts </w:t>
            </w:r>
            <w:r w:rsidRPr="007F1AF8">
              <w:t>fondēto pensiju shēmas līdzekļus, rīkojas kā gādīgs un rūpīgs saimnieks</w:t>
            </w:r>
            <w:r>
              <w:t>,</w:t>
            </w:r>
            <w:r w:rsidRPr="007F1AF8">
              <w:t xml:space="preserve"> un vienīgi ieguldījumu plāna dalībnieku interesēs, kā arī ievēro piesardzības principus, kas nodrošina riska samazināšanu, ieguldījumu drošību, kvalitāti un likviditāti</w:t>
            </w:r>
            <w:r>
              <w:t>”</w:t>
            </w:r>
            <w:r w:rsidRPr="007F1AF8">
              <w:t xml:space="preserve">. Ieguldījumiem ir jābūt </w:t>
            </w:r>
            <w:r>
              <w:t>ieguldījumu</w:t>
            </w:r>
            <w:r w:rsidRPr="007F1AF8">
              <w:t xml:space="preserve"> plānu dalībnieku interesēs un ir jānodrošina kapitāla pieaugums nākotnē. Risks ir efektīvi jāpārvalda, ņemot vērā inflāciju, svārstīgumu, likviditāti un iespējamo zaudējumu apmērus, un jāsamazina tik tālu, cik tas neietekmē ienesīgumu un atbilst dalībnieku spējai un vēlmei risku uzņemties. </w:t>
            </w:r>
          </w:p>
          <w:p w:rsidR="007C39A3" w:rsidRPr="007F1AF8" w:rsidRDefault="007C39A3" w:rsidP="00BB6847">
            <w:pPr>
              <w:autoSpaceDE w:val="0"/>
              <w:autoSpaceDN w:val="0"/>
              <w:adjustRightInd w:val="0"/>
              <w:spacing w:after="120"/>
              <w:jc w:val="both"/>
            </w:pPr>
            <w:r w:rsidRPr="007F1AF8">
              <w:t xml:space="preserve">Lai samērotu </w:t>
            </w:r>
            <w:r>
              <w:t xml:space="preserve">valsts fondēto </w:t>
            </w:r>
            <w:r w:rsidRPr="007F1AF8">
              <w:t xml:space="preserve">pensiju shēmas dalībnieku un ieguldījumu pārvaldes sabiedrības intereses, </w:t>
            </w:r>
            <w:r>
              <w:t>nepieciešama</w:t>
            </w:r>
            <w:r w:rsidRPr="007F1AF8">
              <w:t xml:space="preserve"> sistēm</w:t>
            </w:r>
            <w:r>
              <w:t>a</w:t>
            </w:r>
            <w:r w:rsidRPr="007F1AF8">
              <w:t>, kas ir maksimāli godīga pret visiem</w:t>
            </w:r>
            <w:r>
              <w:t xml:space="preserve"> valsts fondēto</w:t>
            </w:r>
            <w:r w:rsidRPr="007F1AF8">
              <w:t xml:space="preserve"> pensiju shēmas dalībniekiem, kā arī samazinātu administrēšanas izmaksas jaunajiem dalībniekiem, līdzekļu pārvaldītāju atlīdzības tiks sasaistītas ar veikto ieguldījumu ienesīgumu, ieviešot jaunu principu – pilnās un daļējās komisijas naudas princips (turpmāk – PDK). Daļējās komisijas tiks ieturētas neatkarīgi no </w:t>
            </w:r>
            <w:r>
              <w:t>ieguldījumu</w:t>
            </w:r>
            <w:r w:rsidRPr="007F1AF8">
              <w:t xml:space="preserve"> plāna rezultāta un tās segs </w:t>
            </w:r>
            <w:r>
              <w:t>ieguldījumu</w:t>
            </w:r>
            <w:r w:rsidRPr="007F1AF8">
              <w:t xml:space="preserve"> plāna administratīvās izmaksas, </w:t>
            </w:r>
            <w:r>
              <w:t>ieguldījumu</w:t>
            </w:r>
            <w:r w:rsidRPr="007F1AF8">
              <w:t xml:space="preserve"> plānu dalībnieku apkalpošanas izmaksas, regulatora prasību izpildes izmaksas u.c. pamatdarbības izmaksas. </w:t>
            </w:r>
            <w:r>
              <w:t>Ieguldījumu</w:t>
            </w:r>
            <w:r w:rsidRPr="007F1AF8">
              <w:t xml:space="preserve"> plānam, uzrādot labus pārvaldīšanas rezultātus, tas ir tiesīgs ieturēt papildus – mainīgās - komisijas, un pilnā komisija (daļējās un mainīgās komisijas summa) jebkurā gadījumā nevar pārsniegt jau pašlaik Valsts fondēto pensiju likumā noteikto maksimālo komisiju – 2% no ieguldījumu plāna aktīvu vidējās vērtības gadā, bet konservatīvajiem ieguldījumu plāniem maksimālo komisiju – 1,5% apmērā (kas ir mazāk nekā pašlaik Valsts fondēto pensiju likumā noteiktie 2%).</w:t>
            </w:r>
          </w:p>
          <w:p w:rsidR="007C39A3" w:rsidRPr="007F1AF8" w:rsidRDefault="007C39A3" w:rsidP="00BB6847">
            <w:pPr>
              <w:pStyle w:val="BodyText"/>
              <w:jc w:val="both"/>
              <w:rPr>
                <w:lang w:val="lv-LV"/>
              </w:rPr>
            </w:pPr>
            <w:r w:rsidRPr="007F1AF8">
              <w:rPr>
                <w:lang w:val="lv-LV"/>
              </w:rPr>
              <w:t xml:space="preserve">Būtiskākā atšķirība, ieviešot PDK, ir komisiju sadalījumā. Ja iepriekš </w:t>
            </w:r>
            <w:r w:rsidRPr="00465E65">
              <w:rPr>
                <w:lang w:val="lv-LV"/>
              </w:rPr>
              <w:t xml:space="preserve">ieguldījumu </w:t>
            </w:r>
            <w:r w:rsidRPr="007F1AF8">
              <w:rPr>
                <w:lang w:val="lv-LV"/>
              </w:rPr>
              <w:t xml:space="preserve">plāni nemainīgi ieturēja vidējo komisiju apmēru, kas nebūtiski svārstījās ceturksni pret ceturksni, tad PDK šajā ziņā ieviesīs būtiskas izmaiņas. Laikā, kad, piemēram, akciju </w:t>
            </w:r>
            <w:r w:rsidRPr="007F1AF8">
              <w:rPr>
                <w:lang w:val="lv-LV"/>
              </w:rPr>
              <w:lastRenderedPageBreak/>
              <w:t xml:space="preserve">cenas strauji kāpj vairāku gadu garumā, </w:t>
            </w:r>
            <w:r w:rsidRPr="00465E65">
              <w:rPr>
                <w:lang w:val="lv-LV"/>
              </w:rPr>
              <w:t xml:space="preserve">ieguldījumu </w:t>
            </w:r>
            <w:r w:rsidRPr="007F1AF8">
              <w:rPr>
                <w:lang w:val="lv-LV"/>
              </w:rPr>
              <w:t xml:space="preserve">plāni pie ļoti laba ienesīguma ieturēs tuvu maksimālajām komisijām. Un otrādi – laikā, kad finanšu tirgos ir kritums, vairāku gadu garumā </w:t>
            </w:r>
            <w:r w:rsidRPr="00465E65">
              <w:rPr>
                <w:lang w:val="lv-LV"/>
              </w:rPr>
              <w:t xml:space="preserve">ieguldījumu </w:t>
            </w:r>
            <w:r w:rsidRPr="007F1AF8">
              <w:rPr>
                <w:lang w:val="lv-LV"/>
              </w:rPr>
              <w:t xml:space="preserve">plāni ieturētu tikai daļējās komisijas. </w:t>
            </w:r>
          </w:p>
          <w:p w:rsidR="007C39A3" w:rsidRPr="007F1AF8" w:rsidRDefault="007C39A3" w:rsidP="00BB6847">
            <w:pPr>
              <w:pStyle w:val="BodyText"/>
              <w:jc w:val="both"/>
              <w:rPr>
                <w:lang w:val="lv-LV"/>
              </w:rPr>
            </w:pPr>
            <w:r w:rsidRPr="007F1AF8">
              <w:rPr>
                <w:lang w:val="lv-LV"/>
              </w:rPr>
              <w:t xml:space="preserve">Galvenie pozitīvie argumenti PDK ieviešanai ir </w:t>
            </w:r>
            <w:r>
              <w:rPr>
                <w:lang w:val="lv-LV"/>
              </w:rPr>
              <w:t>šādi</w:t>
            </w:r>
            <w:r w:rsidRPr="007F1AF8">
              <w:rPr>
                <w:lang w:val="lv-LV"/>
              </w:rPr>
              <w:t>:</w:t>
            </w:r>
          </w:p>
          <w:p w:rsidR="007C39A3" w:rsidRPr="007F1AF8" w:rsidRDefault="007C39A3" w:rsidP="00EE6AE0">
            <w:pPr>
              <w:pStyle w:val="BodyText"/>
              <w:numPr>
                <w:ilvl w:val="0"/>
                <w:numId w:val="11"/>
              </w:numPr>
              <w:ind w:left="318" w:hanging="284"/>
              <w:jc w:val="both"/>
              <w:rPr>
                <w:lang w:val="lv-LV"/>
              </w:rPr>
            </w:pPr>
            <w:r w:rsidRPr="007F1AF8">
              <w:rPr>
                <w:lang w:val="lv-LV"/>
              </w:rPr>
              <w:t>veido tiešu motivāciju starp komisiju apmēru un ienesīgumu;</w:t>
            </w:r>
          </w:p>
          <w:p w:rsidR="007C39A3" w:rsidRPr="007F1AF8" w:rsidRDefault="007C39A3" w:rsidP="00EE6AE0">
            <w:pPr>
              <w:pStyle w:val="BodyText"/>
              <w:numPr>
                <w:ilvl w:val="0"/>
                <w:numId w:val="11"/>
              </w:numPr>
              <w:ind w:left="318" w:hanging="284"/>
              <w:jc w:val="both"/>
              <w:rPr>
                <w:lang w:val="lv-LV"/>
              </w:rPr>
            </w:pPr>
            <w:r w:rsidRPr="007F1AF8">
              <w:rPr>
                <w:lang w:val="lv-LV"/>
              </w:rPr>
              <w:t>slikta ienesīguma gadījumā komisijas sarūk, tādējādi uzlabojot kopējo plāna ienesīgumu (</w:t>
            </w:r>
            <w:r w:rsidR="00EE6AE0" w:rsidRPr="007F1AF8">
              <w:rPr>
                <w:lang w:val="lv-LV"/>
              </w:rPr>
              <w:t>t.i.,</w:t>
            </w:r>
            <w:r w:rsidRPr="007F1AF8">
              <w:rPr>
                <w:lang w:val="lv-LV"/>
              </w:rPr>
              <w:t xml:space="preserve"> uzlabo plāna ienesīgumu pēc komisijām, kas nāk par labu dalībniekiem);</w:t>
            </w:r>
          </w:p>
          <w:p w:rsidR="007C39A3" w:rsidRPr="007F1AF8" w:rsidRDefault="007C39A3" w:rsidP="00EE6AE0">
            <w:pPr>
              <w:pStyle w:val="BodyText"/>
              <w:numPr>
                <w:ilvl w:val="0"/>
                <w:numId w:val="11"/>
              </w:numPr>
              <w:ind w:left="318" w:hanging="284"/>
              <w:jc w:val="both"/>
              <w:rPr>
                <w:lang w:val="lv-LV"/>
              </w:rPr>
            </w:pPr>
            <w:r w:rsidRPr="007F1AF8">
              <w:rPr>
                <w:lang w:val="lv-LV"/>
              </w:rPr>
              <w:t>veido pārvaldniekam papildus motivāciju rūpēties par negatīvu ienesīguma risku ierobežošanu;</w:t>
            </w:r>
          </w:p>
          <w:p w:rsidR="00EE6AE0" w:rsidRDefault="007C39A3" w:rsidP="00EE6AE0">
            <w:pPr>
              <w:pStyle w:val="BodyText"/>
              <w:numPr>
                <w:ilvl w:val="0"/>
                <w:numId w:val="11"/>
              </w:numPr>
              <w:ind w:left="318" w:hanging="284"/>
              <w:jc w:val="both"/>
              <w:rPr>
                <w:lang w:val="lv-LV"/>
              </w:rPr>
            </w:pPr>
            <w:r w:rsidRPr="007F1AF8">
              <w:rPr>
                <w:lang w:val="lv-LV"/>
              </w:rPr>
              <w:t xml:space="preserve">pārvaldnieka fokuss ir daudz vairāk uz absolūtu ienesīgumu, kas sakrīt ar </w:t>
            </w:r>
            <w:r w:rsidRPr="00465E65">
              <w:rPr>
                <w:lang w:val="lv-LV"/>
              </w:rPr>
              <w:t xml:space="preserve">ieguldījumu </w:t>
            </w:r>
            <w:r w:rsidRPr="007F1AF8">
              <w:rPr>
                <w:lang w:val="lv-LV"/>
              </w:rPr>
              <w:t>plāna dalībnieku viedokli;</w:t>
            </w:r>
          </w:p>
          <w:p w:rsidR="007C39A3" w:rsidRPr="00EE6AE0" w:rsidRDefault="007C39A3" w:rsidP="00EE6AE0">
            <w:pPr>
              <w:pStyle w:val="BodyText"/>
              <w:numPr>
                <w:ilvl w:val="0"/>
                <w:numId w:val="11"/>
              </w:numPr>
              <w:ind w:left="318" w:hanging="284"/>
              <w:jc w:val="both"/>
              <w:rPr>
                <w:lang w:val="lv-LV"/>
              </w:rPr>
            </w:pPr>
            <w:r w:rsidRPr="00EE6AE0">
              <w:rPr>
                <w:lang w:val="lv-LV"/>
              </w:rPr>
              <w:t>zinot Latvijas valsts fondēto pensiju shēmas dalībnieku zemo riska toleranci, PDK saskaņo dalībnieku riska toleranci ar komisiju ienākumiem.</w:t>
            </w:r>
          </w:p>
        </w:tc>
      </w:tr>
      <w:tr w:rsidR="007C39A3" w:rsidRPr="007F1AF8" w:rsidTr="00481ABC">
        <w:tc>
          <w:tcPr>
            <w:tcW w:w="567" w:type="dxa"/>
          </w:tcPr>
          <w:p w:rsidR="007C39A3" w:rsidRPr="007F1AF8" w:rsidRDefault="007C39A3" w:rsidP="00D47344">
            <w:r w:rsidRPr="007F1AF8">
              <w:lastRenderedPageBreak/>
              <w:t>6.</w:t>
            </w:r>
          </w:p>
        </w:tc>
        <w:tc>
          <w:tcPr>
            <w:tcW w:w="1809" w:type="dxa"/>
          </w:tcPr>
          <w:p w:rsidR="007C39A3" w:rsidRPr="007F1AF8" w:rsidRDefault="007C39A3" w:rsidP="00D47344">
            <w:r w:rsidRPr="007F1AF8">
              <w:t>Administratīvo izmaksu monetārs novērtējums</w:t>
            </w:r>
          </w:p>
        </w:tc>
        <w:tc>
          <w:tcPr>
            <w:tcW w:w="6655" w:type="dxa"/>
            <w:gridSpan w:val="3"/>
          </w:tcPr>
          <w:p w:rsidR="007C39A3" w:rsidRPr="007F1AF8" w:rsidRDefault="007C39A3" w:rsidP="00BB6847">
            <w:pPr>
              <w:autoSpaceDE w:val="0"/>
              <w:autoSpaceDN w:val="0"/>
              <w:adjustRightInd w:val="0"/>
              <w:spacing w:after="120"/>
              <w:jc w:val="both"/>
              <w:rPr>
                <w:u w:val="single"/>
              </w:rPr>
            </w:pPr>
            <w:r w:rsidRPr="007F1AF8">
              <w:rPr>
                <w:u w:val="single"/>
              </w:rPr>
              <w:t>Daļējās komisijas pamatojums</w:t>
            </w:r>
          </w:p>
          <w:p w:rsidR="007C39A3" w:rsidRPr="007F1AF8" w:rsidRDefault="007C39A3" w:rsidP="00BB6847">
            <w:pPr>
              <w:pStyle w:val="BodyText"/>
              <w:jc w:val="both"/>
              <w:rPr>
                <w:lang w:val="lv-LV"/>
              </w:rPr>
            </w:pPr>
            <w:r w:rsidRPr="007F1AF8">
              <w:rPr>
                <w:lang w:val="lv-LV"/>
              </w:rPr>
              <w:t xml:space="preserve">Daļējā komisija pašlaik tiek noteikta 1% apmērā, kas izriet to </w:t>
            </w:r>
            <w:r w:rsidRPr="00465E65">
              <w:rPr>
                <w:lang w:val="lv-LV"/>
              </w:rPr>
              <w:t xml:space="preserve">ieguldījumu </w:t>
            </w:r>
            <w:r w:rsidRPr="007F1AF8">
              <w:rPr>
                <w:lang w:val="lv-LV"/>
              </w:rPr>
              <w:t xml:space="preserve">plānu pārvaldnieku izmaksām. 2011.gadā </w:t>
            </w:r>
            <w:r w:rsidRPr="00891CBF">
              <w:rPr>
                <w:lang w:val="lv-LV"/>
              </w:rPr>
              <w:t>valsts fondēto pensiju sh</w:t>
            </w:r>
            <w:r>
              <w:rPr>
                <w:lang w:val="lv-LV"/>
              </w:rPr>
              <w:t xml:space="preserve">ēmas </w:t>
            </w:r>
            <w:r w:rsidRPr="007F1AF8">
              <w:rPr>
                <w:lang w:val="lv-LV"/>
              </w:rPr>
              <w:t>pārvaldītāji guva 13</w:t>
            </w:r>
            <w:r w:rsidR="00481ABC">
              <w:rPr>
                <w:lang w:val="lv-LV"/>
              </w:rPr>
              <w:t>,</w:t>
            </w:r>
            <w:r w:rsidRPr="007F1AF8">
              <w:rPr>
                <w:lang w:val="lv-LV"/>
              </w:rPr>
              <w:t xml:space="preserve">08 milj. latu ienākumus par </w:t>
            </w:r>
            <w:r>
              <w:rPr>
                <w:lang w:val="lv-LV"/>
              </w:rPr>
              <w:t xml:space="preserve">shēmas </w:t>
            </w:r>
            <w:r w:rsidRPr="007F1AF8">
              <w:rPr>
                <w:lang w:val="lv-LV"/>
              </w:rPr>
              <w:t>pārvaldīšanu, kas, atņemot izdevumus 2011.gadā pensiju pārvaldītājiem kopumā sniedza 3</w:t>
            </w:r>
            <w:r w:rsidR="00481ABC">
              <w:rPr>
                <w:lang w:val="lv-LV"/>
              </w:rPr>
              <w:t>,</w:t>
            </w:r>
            <w:r w:rsidRPr="007F1AF8">
              <w:rPr>
                <w:lang w:val="lv-LV"/>
              </w:rPr>
              <w:t xml:space="preserve">36 milj. latu peļņu. Lai noskaidrotu, kādiem būtu jābūt </w:t>
            </w:r>
            <w:r w:rsidRPr="00891CBF">
              <w:rPr>
                <w:lang w:val="lv-LV"/>
              </w:rPr>
              <w:t>valsts fondēto pensiju sh</w:t>
            </w:r>
            <w:r>
              <w:rPr>
                <w:lang w:val="lv-LV"/>
              </w:rPr>
              <w:t>ēmas</w:t>
            </w:r>
            <w:r w:rsidRPr="007F1AF8">
              <w:rPr>
                <w:lang w:val="lv-LV"/>
              </w:rPr>
              <w:t xml:space="preserve"> pārvaldītāju ienākumiem, lai peļņa būtu nulle (ekonomiskā peļņa negatīva), ar iterācijas metodes palīdzību</w:t>
            </w:r>
            <w:r w:rsidRPr="007F1AF8">
              <w:rPr>
                <w:rStyle w:val="FootnoteReference"/>
              </w:rPr>
              <w:footnoteReference w:id="1"/>
            </w:r>
            <w:r w:rsidRPr="007F1AF8">
              <w:rPr>
                <w:lang w:val="lv-LV"/>
              </w:rPr>
              <w:t xml:space="preserve"> tika atrasts atbilstošs ienākumu līmenis – 9</w:t>
            </w:r>
            <w:r w:rsidR="00481ABC">
              <w:rPr>
                <w:lang w:val="lv-LV"/>
              </w:rPr>
              <w:t>,</w:t>
            </w:r>
            <w:r w:rsidRPr="007F1AF8">
              <w:rPr>
                <w:lang w:val="lv-LV"/>
              </w:rPr>
              <w:t>31 milj. latu. Pie ienākumi līmeņa 9</w:t>
            </w:r>
            <w:r w:rsidR="00481ABC">
              <w:rPr>
                <w:lang w:val="lv-LV"/>
              </w:rPr>
              <w:t>,</w:t>
            </w:r>
            <w:r w:rsidRPr="007F1AF8">
              <w:rPr>
                <w:lang w:val="lv-LV"/>
              </w:rPr>
              <w:t xml:space="preserve">31 milj. latu, </w:t>
            </w:r>
            <w:r>
              <w:rPr>
                <w:lang w:val="lv-LV"/>
              </w:rPr>
              <w:t>ieguldījumu pārvaldes sabiedrības</w:t>
            </w:r>
            <w:r w:rsidRPr="007F1AF8">
              <w:rPr>
                <w:lang w:val="lv-LV"/>
              </w:rPr>
              <w:t xml:space="preserve"> peļņa būtu vienāda ar nulli – ienākumi segtu tikai izmaksas.</w:t>
            </w:r>
          </w:p>
          <w:p w:rsidR="007C39A3" w:rsidRPr="007F1AF8" w:rsidRDefault="007C39A3" w:rsidP="00BB6847">
            <w:pPr>
              <w:pStyle w:val="BodyText"/>
              <w:jc w:val="both"/>
              <w:rPr>
                <w:lang w:val="lv-LV"/>
              </w:rPr>
            </w:pPr>
            <w:r w:rsidRPr="007F1AF8">
              <w:rPr>
                <w:lang w:val="lv-LV"/>
              </w:rPr>
              <w:t xml:space="preserve">Atbilstoši FKTK apkopotajai informācijai par 2011.gadu, </w:t>
            </w:r>
            <w:r w:rsidRPr="00465E65">
              <w:rPr>
                <w:lang w:val="lv-LV"/>
              </w:rPr>
              <w:t xml:space="preserve">ieguldījumu </w:t>
            </w:r>
            <w:r w:rsidRPr="007F1AF8">
              <w:rPr>
                <w:lang w:val="lv-LV"/>
              </w:rPr>
              <w:t>plāni praksē ieturēja sekojošu</w:t>
            </w:r>
            <w:r w:rsidR="00470880">
              <w:rPr>
                <w:lang w:val="lv-LV"/>
              </w:rPr>
              <w:t>s vidējos komisiju apjomus:</w:t>
            </w:r>
            <w:r w:rsidR="00BB6847">
              <w:rPr>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7"/>
              <w:gridCol w:w="1417"/>
              <w:gridCol w:w="1560"/>
            </w:tblGrid>
            <w:tr w:rsidR="007C39A3" w:rsidRPr="007F1AF8" w:rsidTr="00B47119">
              <w:tc>
                <w:tcPr>
                  <w:tcW w:w="3147" w:type="dxa"/>
                  <w:tcBorders>
                    <w:top w:val="single" w:sz="4" w:space="0" w:color="auto"/>
                    <w:left w:val="single" w:sz="4" w:space="0" w:color="auto"/>
                    <w:bottom w:val="single" w:sz="4" w:space="0" w:color="auto"/>
                    <w:right w:val="single" w:sz="4" w:space="0" w:color="auto"/>
                  </w:tcBorders>
                </w:tcPr>
                <w:p w:rsidR="007C39A3" w:rsidRPr="007F1AF8" w:rsidRDefault="007C39A3" w:rsidP="00BB6847">
                  <w:pPr>
                    <w:pStyle w:val="BodyText"/>
                    <w:jc w:val="both"/>
                    <w:rPr>
                      <w:lang w:val="lv-LV"/>
                    </w:rPr>
                  </w:pPr>
                </w:p>
              </w:tc>
              <w:tc>
                <w:tcPr>
                  <w:tcW w:w="1417" w:type="dxa"/>
                  <w:tcBorders>
                    <w:top w:val="single" w:sz="4" w:space="0" w:color="auto"/>
                    <w:left w:val="single" w:sz="4" w:space="0" w:color="auto"/>
                    <w:bottom w:val="single" w:sz="4" w:space="0" w:color="auto"/>
                    <w:right w:val="single" w:sz="4" w:space="0" w:color="auto"/>
                  </w:tcBorders>
                  <w:vAlign w:val="bottom"/>
                </w:tcPr>
                <w:p w:rsidR="007C39A3" w:rsidRPr="007F1AF8" w:rsidRDefault="007C39A3" w:rsidP="00BB6847">
                  <w:pPr>
                    <w:spacing w:after="120"/>
                    <w:jc w:val="center"/>
                    <w:rPr>
                      <w:b/>
                    </w:rPr>
                  </w:pPr>
                  <w:r w:rsidRPr="007F1AF8">
                    <w:rPr>
                      <w:b/>
                    </w:rPr>
                    <w:t>Vidēji 2011. gadā</w:t>
                  </w:r>
                </w:p>
              </w:tc>
              <w:tc>
                <w:tcPr>
                  <w:tcW w:w="1560" w:type="dxa"/>
                  <w:tcBorders>
                    <w:top w:val="single" w:sz="4" w:space="0" w:color="auto"/>
                    <w:left w:val="single" w:sz="4" w:space="0" w:color="auto"/>
                    <w:bottom w:val="single" w:sz="4" w:space="0" w:color="auto"/>
                    <w:right w:val="single" w:sz="4" w:space="0" w:color="auto"/>
                  </w:tcBorders>
                </w:tcPr>
                <w:p w:rsidR="007C39A3" w:rsidRPr="007F1AF8" w:rsidRDefault="007C39A3" w:rsidP="00BB6847">
                  <w:pPr>
                    <w:spacing w:after="120"/>
                    <w:jc w:val="center"/>
                    <w:rPr>
                      <w:b/>
                    </w:rPr>
                  </w:pPr>
                  <w:r w:rsidRPr="007F1AF8">
                    <w:rPr>
                      <w:b/>
                    </w:rPr>
                    <w:t>Ienākumi</w:t>
                  </w:r>
                </w:p>
              </w:tc>
            </w:tr>
            <w:tr w:rsidR="007C39A3" w:rsidRPr="007F1AF8" w:rsidTr="00B47119">
              <w:tc>
                <w:tcPr>
                  <w:tcW w:w="3147" w:type="dxa"/>
                  <w:tcBorders>
                    <w:top w:val="single" w:sz="4" w:space="0" w:color="auto"/>
                    <w:left w:val="single" w:sz="4" w:space="0" w:color="auto"/>
                    <w:bottom w:val="single" w:sz="4" w:space="0" w:color="auto"/>
                    <w:right w:val="single" w:sz="4" w:space="0" w:color="auto"/>
                  </w:tcBorders>
                  <w:vAlign w:val="bottom"/>
                </w:tcPr>
                <w:p w:rsidR="007C39A3" w:rsidRPr="007F1AF8" w:rsidRDefault="007C39A3" w:rsidP="00BB6847">
                  <w:pPr>
                    <w:spacing w:after="120"/>
                  </w:pPr>
                  <w:r w:rsidRPr="007F1AF8">
                    <w:t>Ieguldījumu plānu pārvaldīšanas izdevumi (faktiskie)</w:t>
                  </w:r>
                </w:p>
              </w:tc>
              <w:tc>
                <w:tcPr>
                  <w:tcW w:w="1417" w:type="dxa"/>
                  <w:tcBorders>
                    <w:top w:val="single" w:sz="4" w:space="0" w:color="auto"/>
                    <w:left w:val="single" w:sz="4" w:space="0" w:color="auto"/>
                    <w:bottom w:val="single" w:sz="4" w:space="0" w:color="auto"/>
                    <w:right w:val="single" w:sz="4" w:space="0" w:color="auto"/>
                  </w:tcBorders>
                  <w:vAlign w:val="bottom"/>
                </w:tcPr>
                <w:p w:rsidR="007C39A3" w:rsidRPr="007F1AF8" w:rsidRDefault="007C39A3" w:rsidP="00481ABC">
                  <w:pPr>
                    <w:spacing w:after="120"/>
                    <w:jc w:val="right"/>
                  </w:pPr>
                  <w:r w:rsidRPr="007F1AF8">
                    <w:t>1</w:t>
                  </w:r>
                  <w:r w:rsidR="00481ABC">
                    <w:t>,</w:t>
                  </w:r>
                  <w:r w:rsidRPr="007F1AF8">
                    <w:t>51%</w:t>
                  </w:r>
                </w:p>
              </w:tc>
              <w:tc>
                <w:tcPr>
                  <w:tcW w:w="1560" w:type="dxa"/>
                  <w:tcBorders>
                    <w:top w:val="single" w:sz="4" w:space="0" w:color="auto"/>
                    <w:left w:val="single" w:sz="4" w:space="0" w:color="auto"/>
                    <w:bottom w:val="single" w:sz="4" w:space="0" w:color="auto"/>
                    <w:right w:val="single" w:sz="4" w:space="0" w:color="auto"/>
                  </w:tcBorders>
                </w:tcPr>
                <w:p w:rsidR="007C39A3" w:rsidRPr="007F1AF8" w:rsidRDefault="007C39A3" w:rsidP="00BB6847">
                  <w:pPr>
                    <w:spacing w:after="120"/>
                    <w:jc w:val="right"/>
                    <w:rPr>
                      <w:bCs/>
                    </w:rPr>
                  </w:pPr>
                </w:p>
                <w:p w:rsidR="007C39A3" w:rsidRPr="007F1AF8" w:rsidRDefault="007C39A3" w:rsidP="00BB6847">
                  <w:pPr>
                    <w:spacing w:after="120"/>
                    <w:jc w:val="right"/>
                    <w:rPr>
                      <w:bCs/>
                    </w:rPr>
                  </w:pPr>
                </w:p>
                <w:p w:rsidR="007C39A3" w:rsidRPr="007F1AF8" w:rsidRDefault="007C39A3" w:rsidP="00BB6847">
                  <w:pPr>
                    <w:spacing w:after="120"/>
                    <w:jc w:val="right"/>
                  </w:pPr>
                  <w:r w:rsidRPr="007F1AF8">
                    <w:rPr>
                      <w:bCs/>
                    </w:rPr>
                    <w:t>13 082 274</w:t>
                  </w:r>
                </w:p>
              </w:tc>
            </w:tr>
            <w:tr w:rsidR="007C39A3" w:rsidRPr="007F1AF8" w:rsidTr="00B47119">
              <w:tc>
                <w:tcPr>
                  <w:tcW w:w="3147" w:type="dxa"/>
                  <w:tcBorders>
                    <w:top w:val="single" w:sz="4" w:space="0" w:color="auto"/>
                    <w:left w:val="single" w:sz="4" w:space="0" w:color="auto"/>
                    <w:bottom w:val="single" w:sz="4" w:space="0" w:color="auto"/>
                    <w:right w:val="single" w:sz="4" w:space="0" w:color="auto"/>
                  </w:tcBorders>
                  <w:vAlign w:val="bottom"/>
                </w:tcPr>
                <w:p w:rsidR="007C39A3" w:rsidRPr="007F1AF8" w:rsidRDefault="007C39A3" w:rsidP="00BB6847">
                  <w:pPr>
                    <w:spacing w:after="120"/>
                  </w:pPr>
                  <w:r w:rsidRPr="007F1AF8">
                    <w:t>Ieguldījumu plānu pārvaldīšanas izdevumi (pie nulles peļņas)</w:t>
                  </w:r>
                </w:p>
              </w:tc>
              <w:tc>
                <w:tcPr>
                  <w:tcW w:w="1417" w:type="dxa"/>
                  <w:tcBorders>
                    <w:top w:val="single" w:sz="4" w:space="0" w:color="auto"/>
                    <w:left w:val="single" w:sz="4" w:space="0" w:color="auto"/>
                    <w:bottom w:val="single" w:sz="4" w:space="0" w:color="auto"/>
                    <w:right w:val="single" w:sz="4" w:space="0" w:color="auto"/>
                  </w:tcBorders>
                  <w:vAlign w:val="bottom"/>
                </w:tcPr>
                <w:p w:rsidR="007C39A3" w:rsidRPr="007F1AF8" w:rsidRDefault="007C39A3" w:rsidP="00481ABC">
                  <w:pPr>
                    <w:spacing w:after="120"/>
                    <w:jc w:val="right"/>
                  </w:pPr>
                  <w:r w:rsidRPr="007F1AF8">
                    <w:t>1</w:t>
                  </w:r>
                  <w:r w:rsidR="00481ABC">
                    <w:t>,</w:t>
                  </w:r>
                  <w:r w:rsidRPr="007F1AF8">
                    <w:t>07%</w:t>
                  </w:r>
                </w:p>
              </w:tc>
              <w:tc>
                <w:tcPr>
                  <w:tcW w:w="1560" w:type="dxa"/>
                  <w:tcBorders>
                    <w:top w:val="single" w:sz="4" w:space="0" w:color="auto"/>
                    <w:left w:val="single" w:sz="4" w:space="0" w:color="auto"/>
                    <w:bottom w:val="single" w:sz="4" w:space="0" w:color="auto"/>
                    <w:right w:val="single" w:sz="4" w:space="0" w:color="auto"/>
                  </w:tcBorders>
                  <w:vAlign w:val="bottom"/>
                </w:tcPr>
                <w:p w:rsidR="007C39A3" w:rsidRPr="007F1AF8" w:rsidRDefault="007C39A3" w:rsidP="00BB6847">
                  <w:pPr>
                    <w:spacing w:after="120"/>
                    <w:jc w:val="right"/>
                    <w:rPr>
                      <w:bCs/>
                    </w:rPr>
                  </w:pPr>
                  <w:r w:rsidRPr="007F1AF8">
                    <w:rPr>
                      <w:bCs/>
                    </w:rPr>
                    <w:t>9 308 105</w:t>
                  </w:r>
                </w:p>
              </w:tc>
            </w:tr>
          </w:tbl>
          <w:p w:rsidR="007C39A3" w:rsidRPr="007F1AF8" w:rsidRDefault="007C39A3" w:rsidP="00BB6847">
            <w:pPr>
              <w:pStyle w:val="BodyText"/>
              <w:jc w:val="both"/>
              <w:rPr>
                <w:lang w:val="lv-LV"/>
              </w:rPr>
            </w:pPr>
            <w:r w:rsidRPr="007F1AF8">
              <w:rPr>
                <w:lang w:val="lv-LV"/>
              </w:rPr>
              <w:t>Zinot, ka 1</w:t>
            </w:r>
            <w:r w:rsidR="00481ABC">
              <w:rPr>
                <w:lang w:val="lv-LV"/>
              </w:rPr>
              <w:t>,</w:t>
            </w:r>
            <w:r w:rsidRPr="007F1AF8">
              <w:rPr>
                <w:lang w:val="lv-LV"/>
              </w:rPr>
              <w:t>51% vidējais komisiju līmenis ģenerē 13</w:t>
            </w:r>
            <w:r w:rsidR="00481ABC">
              <w:rPr>
                <w:lang w:val="lv-LV"/>
              </w:rPr>
              <w:t>,</w:t>
            </w:r>
            <w:r w:rsidRPr="007F1AF8">
              <w:rPr>
                <w:lang w:val="lv-LV"/>
              </w:rPr>
              <w:t>08 milj. latu ienākumus un „nulles” peļņas līmenis ir pie ienākumu līmeņa 9</w:t>
            </w:r>
            <w:r w:rsidR="00481ABC">
              <w:rPr>
                <w:lang w:val="lv-LV"/>
              </w:rPr>
              <w:t>,</w:t>
            </w:r>
            <w:r w:rsidRPr="007F1AF8">
              <w:rPr>
                <w:lang w:val="lv-LV"/>
              </w:rPr>
              <w:t xml:space="preserve">31 milj. latu, iespējams izrēķināt atbilstošo vidējo komisiju līmeni </w:t>
            </w:r>
            <w:r w:rsidR="00481ABC">
              <w:rPr>
                <w:lang w:val="lv-LV"/>
              </w:rPr>
              <w:t>–</w:t>
            </w:r>
            <w:r w:rsidRPr="007F1AF8">
              <w:rPr>
                <w:lang w:val="lv-LV"/>
              </w:rPr>
              <w:t xml:space="preserve"> 1</w:t>
            </w:r>
            <w:r w:rsidR="00481ABC">
              <w:rPr>
                <w:lang w:val="lv-LV"/>
              </w:rPr>
              <w:t>,</w:t>
            </w:r>
            <w:r w:rsidRPr="007F1AF8">
              <w:rPr>
                <w:lang w:val="lv-LV"/>
              </w:rPr>
              <w:t>07% (aprēķins: (1</w:t>
            </w:r>
            <w:r w:rsidR="00481ABC">
              <w:rPr>
                <w:lang w:val="lv-LV"/>
              </w:rPr>
              <w:t>,</w:t>
            </w:r>
            <w:r w:rsidRPr="007F1AF8">
              <w:rPr>
                <w:lang w:val="lv-LV"/>
              </w:rPr>
              <w:t xml:space="preserve">51%*9 308 105)/13 082 274). Tātad, pie </w:t>
            </w:r>
            <w:r w:rsidRPr="007F1AF8">
              <w:rPr>
                <w:lang w:val="lv-LV"/>
              </w:rPr>
              <w:lastRenderedPageBreak/>
              <w:t>vidējā komisiju līmeņa 1</w:t>
            </w:r>
            <w:r w:rsidR="00481ABC">
              <w:rPr>
                <w:lang w:val="lv-LV"/>
              </w:rPr>
              <w:t>,</w:t>
            </w:r>
            <w:r w:rsidRPr="007F1AF8">
              <w:rPr>
                <w:lang w:val="lv-LV"/>
              </w:rPr>
              <w:t>07% tiek ģenerēti ienākumi 9</w:t>
            </w:r>
            <w:r w:rsidR="00481ABC">
              <w:rPr>
                <w:lang w:val="lv-LV"/>
              </w:rPr>
              <w:t>,</w:t>
            </w:r>
            <w:r w:rsidRPr="007F1AF8">
              <w:rPr>
                <w:lang w:val="lv-LV"/>
              </w:rPr>
              <w:t xml:space="preserve">3 milj. latu apmērā. </w:t>
            </w:r>
          </w:p>
          <w:p w:rsidR="007C39A3" w:rsidRPr="007F1AF8" w:rsidRDefault="007C39A3" w:rsidP="00BB6847">
            <w:pPr>
              <w:pStyle w:val="BodyText"/>
              <w:jc w:val="both"/>
              <w:rPr>
                <w:lang w:val="lv-LV"/>
              </w:rPr>
            </w:pPr>
            <w:r w:rsidRPr="007F1AF8">
              <w:rPr>
                <w:lang w:val="lv-LV"/>
              </w:rPr>
              <w:t>Secinājums, ka daļējo komisiju līmenim būtu jābūt tuvu 1</w:t>
            </w:r>
            <w:r w:rsidR="00481ABC">
              <w:rPr>
                <w:lang w:val="lv-LV"/>
              </w:rPr>
              <w:t>,</w:t>
            </w:r>
            <w:r w:rsidRPr="007F1AF8">
              <w:rPr>
                <w:lang w:val="lv-LV"/>
              </w:rPr>
              <w:t xml:space="preserve">07%, lai </w:t>
            </w:r>
            <w:r>
              <w:rPr>
                <w:lang w:val="lv-LV"/>
              </w:rPr>
              <w:t>līdzekļu</w:t>
            </w:r>
            <w:r w:rsidRPr="007F1AF8">
              <w:rPr>
                <w:lang w:val="lv-LV"/>
              </w:rPr>
              <w:t xml:space="preserve"> pārvaldītāji spētu segt savus izdevumus, taču negūtu peļņu. Pie šāda līmeņa pārvaldītāji uzrādītu negatīvu ekonomisko peļņu, jo negūtu ienākumus, lai segtu pamatdarbībā izmantotā kapitāla izmaksas. Lai gūtu ekonomisku peļņu, pārvaldītājiem ir jācenšas iegūt augstākas komisijas, kas ir iespējams sasniedzot augstāku ienesīgumu.</w:t>
            </w:r>
          </w:p>
          <w:p w:rsidR="007C39A3" w:rsidRPr="007F1AF8" w:rsidRDefault="007C39A3" w:rsidP="00BB6847">
            <w:pPr>
              <w:pStyle w:val="BodyText"/>
              <w:jc w:val="both"/>
              <w:rPr>
                <w:u w:val="single"/>
                <w:lang w:val="lv-LV"/>
              </w:rPr>
            </w:pPr>
            <w:r w:rsidRPr="007F1AF8">
              <w:rPr>
                <w:u w:val="single"/>
                <w:lang w:val="lv-LV"/>
              </w:rPr>
              <w:t xml:space="preserve">Mainīgā komisija </w:t>
            </w:r>
            <w:r w:rsidRPr="007F1AF8">
              <w:rPr>
                <w:lang w:val="lv-LV"/>
              </w:rPr>
              <w:t>konkrētajā dienā var būt gan pozitīva, gan negatīva, gan arī 0. Tā var būt pozitīva</w:t>
            </w:r>
            <w:r w:rsidRPr="00481ABC">
              <w:rPr>
                <w:lang w:val="lv-LV"/>
              </w:rPr>
              <w:t>, j</w:t>
            </w:r>
            <w:r w:rsidRPr="007F1AF8">
              <w:rPr>
                <w:lang w:val="lv-LV"/>
              </w:rPr>
              <w:t>a pārvaldītājs uzrādījis pozitīvu pārvaldīšanas rezultātu, kas pēc daļējo komisiju ieturēšanas pārsniedz salīdzinošo indeksu. Ja uzrādītais rezultāts ir sliktāks kā salīdzinošajam indeksam, tad konkrētajā dienā mainīgā komisija var būt negatīva.</w:t>
            </w:r>
          </w:p>
          <w:p w:rsidR="007C39A3" w:rsidRPr="007F1AF8" w:rsidRDefault="007C39A3" w:rsidP="00BB6847">
            <w:pPr>
              <w:spacing w:after="120"/>
              <w:jc w:val="both"/>
            </w:pPr>
            <w:r w:rsidRPr="007F1AF8">
              <w:t xml:space="preserve">Salīdzinošais atskaites indekss visiem </w:t>
            </w:r>
            <w:r>
              <w:t xml:space="preserve">ieguldījumu </w:t>
            </w:r>
            <w:r w:rsidRPr="007F1AF8">
              <w:t xml:space="preserve">plāniem ir 3 mēnešu EURIBOR naudas tirgus indekss. 3 mēnešu EURIBOR indekss ir sabiedrībā zināms, ir vienkāršs un saprotams (“ja pārvaldnieks nenopelna pat EURIBOR, tad PDK nav pelnījis…”). Indeksa ienesīgums, kas atspoguļo īstermiņa starpbanku tirgus procentu likmes Eiropā, ir pozitīvs, līdz ar ko pilno komisiju iespējams saņemt tikai pie pozitīva ienesīguma (ja, piemēram, tiktu izvēlēts akciju indekss, tad pilno komisiju būtu iespējams saņemt arī pie negatīva ienesīguma, </w:t>
            </w:r>
            <w:proofErr w:type="gramStart"/>
            <w:r w:rsidRPr="007F1AF8">
              <w:t>zaudējot mazāk kā</w:t>
            </w:r>
            <w:proofErr w:type="gramEnd"/>
            <w:r w:rsidRPr="007F1AF8">
              <w:t xml:space="preserve"> akciju indekss, ko sabiedrība varētu nesaprast). 3 mēnešu EURIBOR indekss tika izvēlēts, zinot </w:t>
            </w:r>
            <w:r>
              <w:t>ieguldījumu</w:t>
            </w:r>
            <w:r w:rsidRPr="007F1AF8">
              <w:t xml:space="preserve"> plānu dalībnieku un uzraugošo institūciju fokusu uz absolūto ienesīgumu un zemo negatīva ienesīguma rezultāta toleranci, kas parādās arī </w:t>
            </w:r>
            <w:r>
              <w:t>ieguldījumu</w:t>
            </w:r>
            <w:r w:rsidRPr="007F1AF8">
              <w:t xml:space="preserve"> plānu dalībnieku aptauja</w:t>
            </w:r>
            <w:r w:rsidR="00481ABC">
              <w:t>s datos (</w:t>
            </w:r>
            <w:proofErr w:type="spellStart"/>
            <w:r w:rsidR="00481ABC">
              <w:t>Swedbank</w:t>
            </w:r>
            <w:proofErr w:type="spellEnd"/>
            <w:r w:rsidR="00481ABC">
              <w:t xml:space="preserve"> </w:t>
            </w:r>
            <w:proofErr w:type="spellStart"/>
            <w:r w:rsidR="00481ABC">
              <w:t>Factum</w:t>
            </w:r>
            <w:proofErr w:type="spellEnd"/>
            <w:r w:rsidR="00481ABC">
              <w:t xml:space="preserve"> 2011.gada</w:t>
            </w:r>
            <w:r w:rsidRPr="007F1AF8">
              <w:t xml:space="preserve"> pētījums). 3 mēnešu EURIBOR indekss atspoguļo konservatīva īstermiņa ieguldīšanas iespējas investoram eiro valūtā un raksturo vispārējo īstermiņa procentu likmju situāciju finanšu tirgos. Tā kā Latvijas lats ir piesaistīts eiro, Latvijas valdības stratēģiskais</w:t>
            </w:r>
            <w:r w:rsidR="00481ABC">
              <w:t xml:space="preserve"> mērķis ir eiro ieviešana 2014.</w:t>
            </w:r>
            <w:r w:rsidRPr="007F1AF8">
              <w:t>gadā</w:t>
            </w:r>
            <w:r w:rsidR="00481ABC">
              <w:t>,</w:t>
            </w:r>
            <w:r w:rsidRPr="007F1AF8">
              <w:t xml:space="preserve"> un eiro indekss ir daudz mazāk svārstīgs kā latu starpbanku indekss, 3 mēnešu EURIBOR indekss ir piemērots atskaites izvērtēšanas punkts Latvijas </w:t>
            </w:r>
            <w:r>
              <w:t>ieguldījumu</w:t>
            </w:r>
            <w:r w:rsidRPr="007F1AF8">
              <w:t xml:space="preserve"> plāniem.</w:t>
            </w:r>
          </w:p>
          <w:p w:rsidR="007C39A3" w:rsidRPr="007F1AF8" w:rsidRDefault="007C39A3" w:rsidP="00BB6847">
            <w:pPr>
              <w:pStyle w:val="BodyText"/>
              <w:jc w:val="both"/>
              <w:rPr>
                <w:lang w:val="lv-LV"/>
              </w:rPr>
            </w:pPr>
            <w:r w:rsidRPr="007F1AF8">
              <w:rPr>
                <w:lang w:val="lv-LV"/>
              </w:rPr>
              <w:t xml:space="preserve">Pilnā komisija (daļējās un mainīgās komisijas summa), kas tiek rēķināts uz dienas bāzes, tiek uzskaitīta tikai tādā apmērā, kas nodrošina virspeļņu pēdējo 24 mēnešu periodā attiecībā pret salīdzinošā indeksa atdevi. Ja, uzskaitot mainīgo komisiju, virspeļņa pēdējo 24 mēnešu periodā veidojas negatīva, pilno komisiju apmērs tiek samazināts līdz līmenim, kad virspeļņa saglabājas pozitīva (t.i. lielāka par nulli). Katru dienu, atkarībā no sasniegtajiem rezultātiem, </w:t>
            </w:r>
            <w:r w:rsidRPr="00465E65">
              <w:rPr>
                <w:lang w:val="lv-LV"/>
              </w:rPr>
              <w:t xml:space="preserve">ieguldījumu </w:t>
            </w:r>
            <w:r w:rsidRPr="007F1AF8">
              <w:rPr>
                <w:lang w:val="lv-LV"/>
              </w:rPr>
              <w:t xml:space="preserve">plānā tiek reģistrēta, uzskaitīta un uzkrāta peļņa vai zaudējumi attiecībā pret salīdzinošo atskaites indeksu. Mainīgā komisija tiek uzkrāta katru dienu, bet izmaksāta vienreiz gadā pie nosacījuma, ka aizvadītajā gadā un 24 mēnešu griezumā ir gūta virspeļņa. Tādejādi no gada sākuma uzkrātā pilnā komisija var gan pieaugt, gan samazināties. </w:t>
            </w:r>
          </w:p>
          <w:p w:rsidR="007C39A3" w:rsidRPr="007F1AF8" w:rsidRDefault="007C39A3" w:rsidP="00BB6847">
            <w:pPr>
              <w:spacing w:after="120"/>
              <w:jc w:val="both"/>
            </w:pPr>
            <w:r w:rsidRPr="007F1AF8">
              <w:lastRenderedPageBreak/>
              <w:t xml:space="preserve">Aprēķinot mainīgo komisiju apjomu, sākotnēji tiek aprēķināta virspeļņa, </w:t>
            </w:r>
            <w:r w:rsidR="00481ABC" w:rsidRPr="007F1AF8">
              <w:t>t.i.,</w:t>
            </w:r>
            <w:r w:rsidRPr="007F1AF8">
              <w:t xml:space="preserve"> </w:t>
            </w:r>
            <w:r>
              <w:t>līdzekļu</w:t>
            </w:r>
            <w:r w:rsidRPr="007F1AF8">
              <w:t xml:space="preserve"> pārvaldītāja sasniegtā rezultāta pārsvars pār salīdzinošā indeksa (3 mēnešu EURIBOR) pieaugumu pēc daļējo komisiju ieturēšanas. Ja salīdzinošais indekss ir pārspēts un veidojas virspeļņa, </w:t>
            </w:r>
            <w:r>
              <w:t>ieguldījumu</w:t>
            </w:r>
            <w:r w:rsidRPr="007F1AF8">
              <w:t xml:space="preserve"> plāna pārvaldītājs aprēķina un var ieturēt mainīgo komisiju 20% apmērā no sasniegtās dienas virspeļņas. Pilnā komisija (daļējās un mainīgās komisijas summa), rēķinot par pēdējo 12 mēnešu periodu, nedrīkst pārsniegt 1</w:t>
            </w:r>
            <w:r w:rsidR="00481ABC">
              <w:t>,</w:t>
            </w:r>
            <w:r w:rsidRPr="007F1AF8">
              <w:t xml:space="preserve">5% konservatīvajiem </w:t>
            </w:r>
            <w:r>
              <w:t xml:space="preserve">ieguldījumu </w:t>
            </w:r>
            <w:r w:rsidRPr="007F1AF8">
              <w:t xml:space="preserve">plāniem un 2% aktīvajiem </w:t>
            </w:r>
            <w:r>
              <w:t xml:space="preserve">ieguldījumu </w:t>
            </w:r>
            <w:r w:rsidRPr="007F1AF8">
              <w:t>plāniem.</w:t>
            </w:r>
          </w:p>
          <w:p w:rsidR="007C39A3" w:rsidRPr="007F1AF8" w:rsidRDefault="007C39A3" w:rsidP="00BB6847">
            <w:pPr>
              <w:pStyle w:val="BodyText"/>
              <w:jc w:val="both"/>
              <w:rPr>
                <w:lang w:val="lv-LV"/>
              </w:rPr>
            </w:pPr>
            <w:r w:rsidRPr="007F1AF8">
              <w:rPr>
                <w:lang w:val="lv-LV"/>
              </w:rPr>
              <w:t>20% apjoms no virspeļņas</w:t>
            </w:r>
            <w:r w:rsidR="00481ABC">
              <w:rPr>
                <w:lang w:val="lv-LV"/>
              </w:rPr>
              <w:t>,</w:t>
            </w:r>
            <w:r w:rsidRPr="007F1AF8">
              <w:rPr>
                <w:lang w:val="lv-LV"/>
              </w:rPr>
              <w:t xml:space="preserve"> kā standarts</w:t>
            </w:r>
            <w:r w:rsidR="00481ABC">
              <w:rPr>
                <w:lang w:val="lv-LV"/>
              </w:rPr>
              <w:t>,</w:t>
            </w:r>
            <w:r w:rsidRPr="007F1AF8">
              <w:rPr>
                <w:lang w:val="lv-LV"/>
              </w:rPr>
              <w:t xml:space="preserve"> tiek izmantots daudzos starptautiskos ieguldījumu fondos ar absolūta ienesīguma fokusu. 20% apjoms jeb viena piektā daļa no virspeļņas nosaka, ka maksimālu komisijas apjomu aktīvajiem </w:t>
            </w:r>
            <w:r w:rsidRPr="00465E65">
              <w:rPr>
                <w:lang w:val="lv-LV"/>
              </w:rPr>
              <w:t xml:space="preserve">ieguldījumu </w:t>
            </w:r>
            <w:r w:rsidRPr="007F1AF8">
              <w:rPr>
                <w:lang w:val="lv-LV"/>
              </w:rPr>
              <w:t>plāniem ir iespējams iegūt tikai gadījumā, kad salīdzinošais indekss pēc daļējo komisiju ieturēšanas ir pārsniegts par 5 procentu punktiem, pie nosacījuma, ja 24 mēnešu virspeļņa ir vienlaicīgi pozitīva. Ņemot vērā daļējo komisiju apjomu, pārsniegumam ir jābūt 6 procentpunkti.</w:t>
            </w:r>
          </w:p>
          <w:p w:rsidR="007C39A3" w:rsidRPr="007F1AF8" w:rsidRDefault="007C39A3" w:rsidP="00BB6847">
            <w:pPr>
              <w:pStyle w:val="BodyText"/>
              <w:jc w:val="both"/>
              <w:rPr>
                <w:lang w:val="lv-LV"/>
              </w:rPr>
            </w:pPr>
            <w:r w:rsidRPr="007F1AF8">
              <w:rPr>
                <w:lang w:val="lv-LV"/>
              </w:rPr>
              <w:t xml:space="preserve">Maksimālais komisiju apmērs konservatīvajiem </w:t>
            </w:r>
            <w:r w:rsidRPr="00465E65">
              <w:rPr>
                <w:lang w:val="lv-LV"/>
              </w:rPr>
              <w:t xml:space="preserve">ieguldījumu </w:t>
            </w:r>
            <w:r w:rsidRPr="007F1AF8">
              <w:rPr>
                <w:lang w:val="lv-LV"/>
              </w:rPr>
              <w:t>plāniem, kas neiegulda kapitāla vērtspapīros, tiek samazināts no 2% pašlaik uz 1</w:t>
            </w:r>
            <w:r w:rsidR="00481ABC">
              <w:rPr>
                <w:lang w:val="lv-LV"/>
              </w:rPr>
              <w:t>,</w:t>
            </w:r>
            <w:r w:rsidRPr="007F1AF8">
              <w:rPr>
                <w:lang w:val="lv-LV"/>
              </w:rPr>
              <w:t xml:space="preserve">5%. Salīdzinot ar aktīvajiem </w:t>
            </w:r>
            <w:r w:rsidRPr="00465E65">
              <w:rPr>
                <w:lang w:val="lv-LV"/>
              </w:rPr>
              <w:t xml:space="preserve">ieguldījumu </w:t>
            </w:r>
            <w:r w:rsidRPr="007F1AF8">
              <w:rPr>
                <w:lang w:val="lv-LV"/>
              </w:rPr>
              <w:t>plāniem, konservatīvajiem plāniem, kas neiegulda kapitāla vērtspapīros, veidojas mazāka motivācija uzņemties risku, kas sakrīt ar to vērtības saglabāšanas stratēģiju.</w:t>
            </w:r>
          </w:p>
          <w:p w:rsidR="007C39A3" w:rsidRDefault="007C39A3" w:rsidP="00BB6847">
            <w:pPr>
              <w:pStyle w:val="BodyText"/>
              <w:jc w:val="both"/>
              <w:rPr>
                <w:lang w:val="lv-LV"/>
              </w:rPr>
            </w:pPr>
            <w:r w:rsidRPr="007F1AF8">
              <w:rPr>
                <w:lang w:val="lv-LV"/>
              </w:rPr>
              <w:t xml:space="preserve">Aktīvajiem </w:t>
            </w:r>
            <w:r w:rsidRPr="00465E65">
              <w:rPr>
                <w:lang w:val="lv-LV"/>
              </w:rPr>
              <w:t xml:space="preserve">ieguldījumu </w:t>
            </w:r>
            <w:r w:rsidRPr="007F1AF8">
              <w:rPr>
                <w:lang w:val="lv-LV"/>
              </w:rPr>
              <w:t xml:space="preserve">plāniem maksimālais komisiju apmērs tiek saglabāts pašreizējā līmenī. Maksimālo komisiju atšķirības starp konservatīvajiem un aktīvajiem </w:t>
            </w:r>
            <w:r w:rsidRPr="00465E65">
              <w:rPr>
                <w:lang w:val="lv-LV"/>
              </w:rPr>
              <w:t xml:space="preserve">ieguldījumu </w:t>
            </w:r>
            <w:r w:rsidRPr="007F1AF8">
              <w:rPr>
                <w:lang w:val="lv-LV"/>
              </w:rPr>
              <w:t xml:space="preserve">plāniem motivē </w:t>
            </w:r>
            <w:r>
              <w:rPr>
                <w:lang w:val="lv-LV"/>
              </w:rPr>
              <w:t>līdzekļu</w:t>
            </w:r>
            <w:r w:rsidRPr="007F1AF8">
              <w:rPr>
                <w:lang w:val="lv-LV"/>
              </w:rPr>
              <w:t xml:space="preserve"> pārvaldītājus uzņemties augstāku risku, lai sasniegtu augstāku ienesīgumu, kas ir svarīgi ieguldījuma plānu dalībnieku ilgtermiņa kapitāla pieauguma nodrošināšanai. Augstāks komisiju līmenis arī motivē veikt ilgtermiņa ieguldījumus, kas īsā laika periodā var būt svārstīgāki, bet ilgā laika periodā var būt ienesīgāki. Tā kā ilgtermiņa investīcijas ir svarīgas no Latvijas tautsaimniecības attīstības viedokļa, augstāks komisiju līmenis veido motivāciju šādu investīciju veikšanai, neskatoties uz varbūtību īsākā laika periodā piedzīvot negatīvus pārvaldīšanas rezultātus kapitāla vērtspapīru svārstīguma dēļ.</w:t>
            </w:r>
          </w:p>
          <w:p w:rsidR="007C39A3" w:rsidRPr="00B47119" w:rsidRDefault="007C39A3" w:rsidP="00BB6847">
            <w:pPr>
              <w:pStyle w:val="BodyText"/>
              <w:jc w:val="both"/>
              <w:rPr>
                <w:lang w:val="lv-LV"/>
              </w:rPr>
            </w:pPr>
          </w:p>
        </w:tc>
      </w:tr>
      <w:tr w:rsidR="007C39A3" w:rsidRPr="007F1AF8" w:rsidTr="00481ABC">
        <w:tc>
          <w:tcPr>
            <w:tcW w:w="567" w:type="dxa"/>
          </w:tcPr>
          <w:p w:rsidR="007C39A3" w:rsidRPr="007F1AF8" w:rsidRDefault="007C39A3" w:rsidP="00D47344">
            <w:r w:rsidRPr="007F1AF8">
              <w:lastRenderedPageBreak/>
              <w:t xml:space="preserve">7. </w:t>
            </w:r>
          </w:p>
        </w:tc>
        <w:tc>
          <w:tcPr>
            <w:tcW w:w="1809" w:type="dxa"/>
          </w:tcPr>
          <w:p w:rsidR="007C39A3" w:rsidRPr="007F1AF8" w:rsidRDefault="007C39A3" w:rsidP="00D47344">
            <w:r w:rsidRPr="007F1AF8">
              <w:t>Cita informācija</w:t>
            </w:r>
          </w:p>
        </w:tc>
        <w:tc>
          <w:tcPr>
            <w:tcW w:w="6655" w:type="dxa"/>
            <w:gridSpan w:val="3"/>
          </w:tcPr>
          <w:p w:rsidR="007C39A3" w:rsidRPr="007F1AF8" w:rsidRDefault="007C39A3" w:rsidP="00D47344">
            <w:pPr>
              <w:jc w:val="both"/>
            </w:pPr>
            <w:r w:rsidRPr="007F1AF8">
              <w:t>Nav</w:t>
            </w:r>
          </w:p>
        </w:tc>
      </w:tr>
      <w:tr w:rsidR="007C39A3" w:rsidRPr="007F1AF8" w:rsidTr="00481ABC">
        <w:tc>
          <w:tcPr>
            <w:tcW w:w="9031" w:type="dxa"/>
            <w:gridSpan w:val="5"/>
          </w:tcPr>
          <w:p w:rsidR="007C39A3" w:rsidRPr="007F1AF8" w:rsidRDefault="007C39A3" w:rsidP="00D47344">
            <w:pPr>
              <w:jc w:val="center"/>
              <w:rPr>
                <w:b/>
              </w:rPr>
            </w:pPr>
            <w:r w:rsidRPr="007F1AF8">
              <w:rPr>
                <w:b/>
              </w:rPr>
              <w:t>IV. Tiesību akta projekta ietekme uz spēkā esošo tiesību normu sistēmu</w:t>
            </w:r>
          </w:p>
        </w:tc>
      </w:tr>
      <w:tr w:rsidR="007C39A3" w:rsidRPr="00D61E4E" w:rsidTr="00481ABC">
        <w:tc>
          <w:tcPr>
            <w:tcW w:w="9031" w:type="dxa"/>
            <w:gridSpan w:val="5"/>
          </w:tcPr>
          <w:p w:rsidR="007C39A3" w:rsidRDefault="007C39A3" w:rsidP="00BB6847">
            <w:pPr>
              <w:spacing w:after="120"/>
              <w:jc w:val="both"/>
              <w:rPr>
                <w:lang w:eastAsia="en-US"/>
              </w:rPr>
            </w:pPr>
            <w:r>
              <w:rPr>
                <w:lang w:eastAsia="en-US"/>
              </w:rPr>
              <w:t xml:space="preserve">Pēc likumprojekta pieņemšanas 1.lasījumā Labklājības ministrija </w:t>
            </w:r>
            <w:r w:rsidRPr="00D61E4E">
              <w:rPr>
                <w:lang w:eastAsia="en-US"/>
              </w:rPr>
              <w:t xml:space="preserve">izstrādās </w:t>
            </w:r>
            <w:r>
              <w:rPr>
                <w:lang w:eastAsia="en-US"/>
              </w:rPr>
              <w:t>un iesniegs:</w:t>
            </w:r>
          </w:p>
          <w:p w:rsidR="007C39A3" w:rsidRPr="00D61E4E" w:rsidRDefault="007C39A3" w:rsidP="00481ABC">
            <w:pPr>
              <w:pStyle w:val="ListParagraph"/>
              <w:numPr>
                <w:ilvl w:val="0"/>
                <w:numId w:val="13"/>
              </w:numPr>
              <w:spacing w:after="120"/>
              <w:ind w:left="284" w:hanging="284"/>
              <w:jc w:val="both"/>
              <w:rPr>
                <w:lang w:eastAsia="en-US"/>
              </w:rPr>
            </w:pPr>
            <w:r w:rsidRPr="00D61E4E">
              <w:rPr>
                <w:lang w:eastAsia="en-US"/>
              </w:rPr>
              <w:t>MK noteikumu projekt</w:t>
            </w:r>
            <w:r>
              <w:rPr>
                <w:lang w:eastAsia="en-US"/>
              </w:rPr>
              <w:t>u</w:t>
            </w:r>
            <w:r w:rsidRPr="00D61E4E">
              <w:rPr>
                <w:lang w:eastAsia="en-US"/>
              </w:rPr>
              <w:t xml:space="preserve"> par valsts fondēto pensiju shēmas līdzekļu pārvaldītāja maksājumu par ieguldījumu plāna pārvaldi sastāvdaļas, uzskaiti un ieturēšanas kārtību</w:t>
            </w:r>
            <w:r>
              <w:rPr>
                <w:lang w:eastAsia="en-US"/>
              </w:rPr>
              <w:t xml:space="preserve"> (stājas spēkā 2015.gada 1.janvārī);</w:t>
            </w:r>
          </w:p>
          <w:p w:rsidR="007C39A3" w:rsidRPr="00D61E4E" w:rsidRDefault="007C39A3" w:rsidP="00481ABC">
            <w:pPr>
              <w:pStyle w:val="ListParagraph"/>
              <w:numPr>
                <w:ilvl w:val="0"/>
                <w:numId w:val="13"/>
              </w:numPr>
              <w:spacing w:after="120"/>
              <w:ind w:left="284" w:hanging="284"/>
              <w:jc w:val="both"/>
            </w:pPr>
            <w:r w:rsidRPr="00D61E4E">
              <w:rPr>
                <w:lang w:eastAsia="en-US"/>
              </w:rPr>
              <w:t>grozījum</w:t>
            </w:r>
            <w:r>
              <w:rPr>
                <w:lang w:eastAsia="en-US"/>
              </w:rPr>
              <w:t>us</w:t>
            </w:r>
            <w:r w:rsidRPr="00D61E4E">
              <w:rPr>
                <w:lang w:eastAsia="en-US"/>
              </w:rPr>
              <w:t xml:space="preserve"> </w:t>
            </w:r>
            <w:r w:rsidRPr="00D61E4E">
              <w:t>2003.gada 27.maija MK noteikumos Nr.272 „Noteikumi par valsts fondēto pensiju shēmas darbību” attiecībā uz prasībām par fondēto pensiju shēmas līdzekļu pārvaldītāju pienākumu sagatavot dalībniekiem paredzēto pamatinformāciju</w:t>
            </w:r>
            <w:proofErr w:type="gramStart"/>
            <w:r>
              <w:t xml:space="preserve"> </w:t>
            </w:r>
            <w:r>
              <w:rPr>
                <w:lang w:eastAsia="en-US"/>
              </w:rPr>
              <w:t xml:space="preserve"> </w:t>
            </w:r>
            <w:proofErr w:type="gramEnd"/>
            <w:r>
              <w:rPr>
                <w:lang w:eastAsia="en-US"/>
              </w:rPr>
              <w:t>(stājas spēkā 2015.gada 1.janvārī)</w:t>
            </w:r>
            <w:r w:rsidRPr="00D61E4E">
              <w:t>.</w:t>
            </w:r>
          </w:p>
          <w:p w:rsidR="007C39A3" w:rsidRPr="00D61E4E" w:rsidRDefault="007C39A3" w:rsidP="00BB6847">
            <w:pPr>
              <w:spacing w:after="120"/>
              <w:jc w:val="both"/>
            </w:pPr>
            <w:r w:rsidRPr="00D61E4E">
              <w:lastRenderedPageBreak/>
              <w:t>Līdz 2015.gada 1.janvārim Finanšu un kapitāla tirgus komisija izstrādās normatīvos noteikumus par fondēto pensiju shēmas dalībniekiem</w:t>
            </w:r>
            <w:r w:rsidRPr="00D61E4E" w:rsidDel="000B2C1E">
              <w:t xml:space="preserve"> </w:t>
            </w:r>
            <w:r w:rsidRPr="00D61E4E">
              <w:t>paredzētās pamatinformācijas formātu un saturu, kā arī tās sagatavošanas kārtību</w:t>
            </w:r>
            <w:r>
              <w:t>.</w:t>
            </w:r>
          </w:p>
        </w:tc>
      </w:tr>
      <w:tr w:rsidR="00BB6847" w:rsidRPr="007F1AF8" w:rsidTr="00481ABC">
        <w:trPr>
          <w:trHeight w:val="486"/>
        </w:trPr>
        <w:tc>
          <w:tcPr>
            <w:tcW w:w="9031" w:type="dxa"/>
            <w:gridSpan w:val="5"/>
          </w:tcPr>
          <w:p w:rsidR="00BB6847" w:rsidRPr="007F1AF8" w:rsidRDefault="00BB6847" w:rsidP="00D47344">
            <w:pPr>
              <w:jc w:val="center"/>
            </w:pPr>
            <w:r w:rsidRPr="007F1AF8">
              <w:rPr>
                <w:b/>
              </w:rPr>
              <w:lastRenderedPageBreak/>
              <w:t>VI Sabiedrības līdzdalība un šīs līdzdalības rezultāti</w:t>
            </w:r>
          </w:p>
        </w:tc>
      </w:tr>
      <w:tr w:rsidR="007C39A3" w:rsidRPr="007F1AF8" w:rsidTr="00481ABC">
        <w:trPr>
          <w:trHeight w:val="351"/>
        </w:trPr>
        <w:tc>
          <w:tcPr>
            <w:tcW w:w="567" w:type="dxa"/>
          </w:tcPr>
          <w:p w:rsidR="007C39A3" w:rsidRPr="007F1AF8" w:rsidRDefault="007C39A3" w:rsidP="00D47344">
            <w:pPr>
              <w:jc w:val="center"/>
            </w:pPr>
            <w:r w:rsidRPr="007F1AF8">
              <w:t>1.</w:t>
            </w:r>
          </w:p>
        </w:tc>
        <w:tc>
          <w:tcPr>
            <w:tcW w:w="2092" w:type="dxa"/>
            <w:gridSpan w:val="2"/>
          </w:tcPr>
          <w:p w:rsidR="007C39A3" w:rsidRPr="007F1AF8" w:rsidRDefault="007C39A3" w:rsidP="00D47344">
            <w:r w:rsidRPr="007F1AF8">
              <w:t>Sabiedrības informēšana par projekta izstrādes uzsākšanu</w:t>
            </w:r>
          </w:p>
        </w:tc>
        <w:tc>
          <w:tcPr>
            <w:tcW w:w="6372" w:type="dxa"/>
            <w:gridSpan w:val="2"/>
          </w:tcPr>
          <w:p w:rsidR="007C39A3" w:rsidRPr="007F1AF8" w:rsidRDefault="007C39A3" w:rsidP="00D47344">
            <w:pPr>
              <w:autoSpaceDE w:val="0"/>
              <w:autoSpaceDN w:val="0"/>
              <w:adjustRightInd w:val="0"/>
              <w:jc w:val="both"/>
            </w:pPr>
            <w:r w:rsidRPr="007F1AF8">
              <w:t>Projekts šo jomu neskar.</w:t>
            </w:r>
          </w:p>
        </w:tc>
      </w:tr>
      <w:tr w:rsidR="007C39A3" w:rsidRPr="007F1AF8" w:rsidTr="00481ABC">
        <w:trPr>
          <w:trHeight w:val="348"/>
        </w:trPr>
        <w:tc>
          <w:tcPr>
            <w:tcW w:w="567" w:type="dxa"/>
          </w:tcPr>
          <w:p w:rsidR="007C39A3" w:rsidRPr="007F1AF8" w:rsidRDefault="007C39A3" w:rsidP="00D47344">
            <w:pPr>
              <w:jc w:val="center"/>
            </w:pPr>
            <w:r w:rsidRPr="007F1AF8">
              <w:t>2.</w:t>
            </w:r>
          </w:p>
        </w:tc>
        <w:tc>
          <w:tcPr>
            <w:tcW w:w="2092" w:type="dxa"/>
            <w:gridSpan w:val="2"/>
          </w:tcPr>
          <w:p w:rsidR="007C39A3" w:rsidRPr="007F1AF8" w:rsidRDefault="007C39A3" w:rsidP="00D47344">
            <w:r w:rsidRPr="007F1AF8">
              <w:t>Sabiedrības līdzdalība projekta izstrādē</w:t>
            </w:r>
          </w:p>
        </w:tc>
        <w:tc>
          <w:tcPr>
            <w:tcW w:w="6372" w:type="dxa"/>
            <w:gridSpan w:val="2"/>
          </w:tcPr>
          <w:p w:rsidR="007C39A3" w:rsidRPr="007F1AF8" w:rsidRDefault="007C39A3" w:rsidP="00D47344">
            <w:pPr>
              <w:shd w:val="clear" w:color="auto" w:fill="FAFBF7"/>
              <w:spacing w:before="75" w:after="75" w:line="225" w:lineRule="atLeast"/>
              <w:jc w:val="both"/>
            </w:pPr>
            <w:r w:rsidRPr="007F1AF8">
              <w:t>Projekts šo jomu neskar.</w:t>
            </w:r>
          </w:p>
        </w:tc>
      </w:tr>
      <w:tr w:rsidR="007C39A3" w:rsidRPr="007F1AF8" w:rsidTr="00481ABC">
        <w:trPr>
          <w:trHeight w:val="348"/>
        </w:trPr>
        <w:tc>
          <w:tcPr>
            <w:tcW w:w="567" w:type="dxa"/>
          </w:tcPr>
          <w:p w:rsidR="007C39A3" w:rsidRPr="007F1AF8" w:rsidRDefault="007C39A3" w:rsidP="00D47344">
            <w:pPr>
              <w:jc w:val="center"/>
            </w:pPr>
            <w:r w:rsidRPr="007F1AF8">
              <w:t>3.</w:t>
            </w:r>
          </w:p>
        </w:tc>
        <w:tc>
          <w:tcPr>
            <w:tcW w:w="2092" w:type="dxa"/>
            <w:gridSpan w:val="2"/>
          </w:tcPr>
          <w:p w:rsidR="007C39A3" w:rsidRPr="007F1AF8" w:rsidRDefault="007C39A3" w:rsidP="007F1AF8">
            <w:r w:rsidRPr="007F1AF8">
              <w:t>Sabiedrības līdzdalības rezultāti</w:t>
            </w:r>
          </w:p>
        </w:tc>
        <w:tc>
          <w:tcPr>
            <w:tcW w:w="6372" w:type="dxa"/>
            <w:gridSpan w:val="2"/>
          </w:tcPr>
          <w:p w:rsidR="007C39A3" w:rsidRPr="007F1AF8" w:rsidRDefault="007C39A3" w:rsidP="00D47344">
            <w:pPr>
              <w:pStyle w:val="NoSpacing"/>
              <w:ind w:right="-567"/>
              <w:jc w:val="both"/>
              <w:rPr>
                <w:rFonts w:ascii="Times New Roman" w:hAnsi="Times New Roman"/>
                <w:lang w:val="lv-LV"/>
              </w:rPr>
            </w:pPr>
            <w:r w:rsidRPr="007F1AF8">
              <w:rPr>
                <w:rFonts w:ascii="Times New Roman" w:hAnsi="Times New Roman"/>
                <w:sz w:val="24"/>
                <w:szCs w:val="24"/>
                <w:lang w:val="lv-LV" w:eastAsia="lv-LV"/>
              </w:rPr>
              <w:t>Projekts šo jomu neskar.</w:t>
            </w:r>
          </w:p>
        </w:tc>
      </w:tr>
      <w:tr w:rsidR="007C39A3" w:rsidRPr="007F1AF8" w:rsidTr="00481ABC">
        <w:trPr>
          <w:trHeight w:val="348"/>
        </w:trPr>
        <w:tc>
          <w:tcPr>
            <w:tcW w:w="567" w:type="dxa"/>
          </w:tcPr>
          <w:p w:rsidR="007C39A3" w:rsidRPr="007F1AF8" w:rsidRDefault="007C39A3" w:rsidP="00D47344">
            <w:pPr>
              <w:jc w:val="center"/>
            </w:pPr>
            <w:r w:rsidRPr="007F1AF8">
              <w:t>4.</w:t>
            </w:r>
          </w:p>
        </w:tc>
        <w:tc>
          <w:tcPr>
            <w:tcW w:w="2092" w:type="dxa"/>
            <w:gridSpan w:val="2"/>
          </w:tcPr>
          <w:p w:rsidR="007C39A3" w:rsidRPr="007F1AF8" w:rsidRDefault="007C39A3" w:rsidP="007F1AF8">
            <w:r w:rsidRPr="007F1AF8">
              <w:t>Saeimas un ekspertu līdzdalība</w:t>
            </w:r>
          </w:p>
        </w:tc>
        <w:tc>
          <w:tcPr>
            <w:tcW w:w="6372" w:type="dxa"/>
            <w:gridSpan w:val="2"/>
          </w:tcPr>
          <w:p w:rsidR="007C39A3" w:rsidRPr="007F1AF8" w:rsidRDefault="007C39A3" w:rsidP="00D47344">
            <w:pPr>
              <w:spacing w:after="120"/>
              <w:jc w:val="both"/>
            </w:pPr>
            <w:r w:rsidRPr="007F1AF8">
              <w:rPr>
                <w:iCs/>
              </w:rPr>
              <w:t>Jautājums vairākkārt tika skatīts Saeimas Sociālo un darba lietu komisijā</w:t>
            </w:r>
            <w:r>
              <w:rPr>
                <w:iCs/>
              </w:rPr>
              <w:t>,</w:t>
            </w:r>
            <w:r w:rsidRPr="007F1AF8">
              <w:rPr>
                <w:iCs/>
              </w:rPr>
              <w:t xml:space="preserve"> un </w:t>
            </w:r>
            <w:r>
              <w:rPr>
                <w:iCs/>
              </w:rPr>
              <w:t>komisija pauda konceptuālu atbalstu piedāvātajām izmaiņām.</w:t>
            </w:r>
          </w:p>
        </w:tc>
      </w:tr>
      <w:tr w:rsidR="007C39A3" w:rsidRPr="007F1AF8" w:rsidTr="00481ABC">
        <w:trPr>
          <w:trHeight w:val="348"/>
        </w:trPr>
        <w:tc>
          <w:tcPr>
            <w:tcW w:w="567" w:type="dxa"/>
          </w:tcPr>
          <w:p w:rsidR="007C39A3" w:rsidRPr="007F1AF8" w:rsidRDefault="007C39A3" w:rsidP="00D47344">
            <w:pPr>
              <w:jc w:val="center"/>
            </w:pPr>
            <w:r w:rsidRPr="007F1AF8">
              <w:t>5.</w:t>
            </w:r>
          </w:p>
        </w:tc>
        <w:tc>
          <w:tcPr>
            <w:tcW w:w="2092" w:type="dxa"/>
            <w:gridSpan w:val="2"/>
          </w:tcPr>
          <w:p w:rsidR="007C39A3" w:rsidRPr="007F1AF8" w:rsidRDefault="007C39A3" w:rsidP="007F1AF8">
            <w:r w:rsidRPr="007F1AF8">
              <w:t>Cita informācija</w:t>
            </w:r>
          </w:p>
        </w:tc>
        <w:tc>
          <w:tcPr>
            <w:tcW w:w="6372" w:type="dxa"/>
            <w:gridSpan w:val="2"/>
          </w:tcPr>
          <w:p w:rsidR="007C39A3" w:rsidRPr="007F1AF8" w:rsidRDefault="007C39A3" w:rsidP="00D47344">
            <w:r w:rsidRPr="007F1AF8">
              <w:t>Nav</w:t>
            </w:r>
          </w:p>
        </w:tc>
      </w:tr>
    </w:tbl>
    <w:p w:rsidR="007C39A3" w:rsidRDefault="007C39A3" w:rsidP="00C11DAA">
      <w:pPr>
        <w:jc w:val="cente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720"/>
        <w:gridCol w:w="4892"/>
      </w:tblGrid>
      <w:tr w:rsidR="007C39A3" w:rsidRPr="00041D17" w:rsidTr="00481ABC">
        <w:tc>
          <w:tcPr>
            <w:tcW w:w="9179" w:type="dxa"/>
            <w:gridSpan w:val="3"/>
          </w:tcPr>
          <w:p w:rsidR="007C39A3" w:rsidRPr="00041D17" w:rsidRDefault="007C39A3" w:rsidP="00D47344">
            <w:pPr>
              <w:jc w:val="center"/>
              <w:rPr>
                <w:b/>
              </w:rPr>
            </w:pPr>
            <w:r w:rsidRPr="00041D17">
              <w:rPr>
                <w:b/>
              </w:rPr>
              <w:t>VII Tiesību akta projekta izpildes nodrošināšana un tās ietekme uz institūcijām</w:t>
            </w:r>
          </w:p>
        </w:tc>
      </w:tr>
      <w:tr w:rsidR="007C39A3" w:rsidRPr="00B76D85" w:rsidTr="00481ABC">
        <w:tc>
          <w:tcPr>
            <w:tcW w:w="567" w:type="dxa"/>
          </w:tcPr>
          <w:p w:rsidR="007C39A3" w:rsidRPr="00B76D85" w:rsidRDefault="007C39A3" w:rsidP="00D47344">
            <w:r>
              <w:t xml:space="preserve">1. </w:t>
            </w:r>
          </w:p>
        </w:tc>
        <w:tc>
          <w:tcPr>
            <w:tcW w:w="3720" w:type="dxa"/>
          </w:tcPr>
          <w:p w:rsidR="007C39A3" w:rsidRPr="00B76D85" w:rsidRDefault="007C39A3" w:rsidP="00D47344">
            <w:r>
              <w:t>Projekta izpildē iesaistītās institūcijas</w:t>
            </w:r>
          </w:p>
        </w:tc>
        <w:tc>
          <w:tcPr>
            <w:tcW w:w="4892" w:type="dxa"/>
          </w:tcPr>
          <w:p w:rsidR="007C39A3" w:rsidRPr="00BB6847" w:rsidRDefault="007C39A3" w:rsidP="00BB6847">
            <w:pPr>
              <w:pStyle w:val="naisnod"/>
              <w:spacing w:before="0" w:after="120"/>
              <w:jc w:val="both"/>
              <w:rPr>
                <w:b w:val="0"/>
                <w:i/>
                <w:iCs/>
              </w:rPr>
            </w:pPr>
            <w:r w:rsidRPr="00041D17">
              <w:rPr>
                <w:b w:val="0"/>
                <w:iCs/>
              </w:rPr>
              <w:t>Likumprojekta izpildi nodrošinās valsts fondēto pensiju shēmas līdzekļu pārvaldītāji.</w:t>
            </w:r>
            <w:r w:rsidRPr="00041D17">
              <w:rPr>
                <w:b w:val="0"/>
                <w:i/>
                <w:iCs/>
              </w:rPr>
              <w:t xml:space="preserve"> </w:t>
            </w:r>
          </w:p>
        </w:tc>
      </w:tr>
      <w:tr w:rsidR="007C39A3" w:rsidRPr="00B76D85" w:rsidTr="00481ABC">
        <w:tc>
          <w:tcPr>
            <w:tcW w:w="567" w:type="dxa"/>
          </w:tcPr>
          <w:p w:rsidR="007C39A3" w:rsidRPr="00B76D85" w:rsidRDefault="007C39A3" w:rsidP="00D47344">
            <w:r>
              <w:t xml:space="preserve">2. </w:t>
            </w:r>
          </w:p>
        </w:tc>
        <w:tc>
          <w:tcPr>
            <w:tcW w:w="3720" w:type="dxa"/>
          </w:tcPr>
          <w:p w:rsidR="007C39A3" w:rsidRPr="00B76D85" w:rsidRDefault="007C39A3" w:rsidP="00D47344">
            <w:r>
              <w:t>Projekta izpildes ietekme uz pārvaldes funkcijām</w:t>
            </w:r>
          </w:p>
        </w:tc>
        <w:tc>
          <w:tcPr>
            <w:tcW w:w="4892" w:type="dxa"/>
          </w:tcPr>
          <w:p w:rsidR="007C39A3" w:rsidRPr="0094566C" w:rsidRDefault="007C39A3" w:rsidP="00BB6847">
            <w:pPr>
              <w:spacing w:after="120"/>
              <w:jc w:val="both"/>
            </w:pPr>
            <w:r w:rsidRPr="0094566C">
              <w:t>Likumprojekta izpildi līdzekļu pārvaldītāji nodrošinās esošo funkciju ietvaros.</w:t>
            </w:r>
          </w:p>
        </w:tc>
      </w:tr>
      <w:tr w:rsidR="007C39A3" w:rsidRPr="00B76D85" w:rsidTr="00481ABC">
        <w:tc>
          <w:tcPr>
            <w:tcW w:w="567" w:type="dxa"/>
          </w:tcPr>
          <w:p w:rsidR="007C39A3" w:rsidRPr="00B76D85" w:rsidRDefault="007C39A3" w:rsidP="00D47344">
            <w:r>
              <w:t>3.</w:t>
            </w:r>
          </w:p>
        </w:tc>
        <w:tc>
          <w:tcPr>
            <w:tcW w:w="3720" w:type="dxa"/>
          </w:tcPr>
          <w:p w:rsidR="007C39A3" w:rsidRDefault="007C39A3" w:rsidP="00D47344">
            <w:r>
              <w:t>Projekta izpildes ietekme uz pārvaldes institucionālo struktūru.</w:t>
            </w:r>
          </w:p>
          <w:p w:rsidR="007C39A3" w:rsidRPr="00B76D85" w:rsidRDefault="007C39A3" w:rsidP="00D47344">
            <w:r>
              <w:t>Jaunu institūciju izveide.</w:t>
            </w:r>
          </w:p>
        </w:tc>
        <w:tc>
          <w:tcPr>
            <w:tcW w:w="4892" w:type="dxa"/>
          </w:tcPr>
          <w:p w:rsidR="007C39A3" w:rsidRPr="00B76D85" w:rsidRDefault="007C39A3" w:rsidP="00BB6847">
            <w:pPr>
              <w:spacing w:after="120"/>
              <w:jc w:val="both"/>
            </w:pPr>
            <w:r>
              <w:t>Projekts šo jomu neskar.</w:t>
            </w:r>
          </w:p>
        </w:tc>
      </w:tr>
      <w:tr w:rsidR="007C39A3" w:rsidRPr="00B76D85" w:rsidTr="00481ABC">
        <w:tc>
          <w:tcPr>
            <w:tcW w:w="567" w:type="dxa"/>
          </w:tcPr>
          <w:p w:rsidR="007C39A3" w:rsidRPr="00B76D85" w:rsidRDefault="007C39A3" w:rsidP="00D47344">
            <w:r>
              <w:t>4.</w:t>
            </w:r>
          </w:p>
        </w:tc>
        <w:tc>
          <w:tcPr>
            <w:tcW w:w="3720" w:type="dxa"/>
          </w:tcPr>
          <w:p w:rsidR="007C39A3" w:rsidRDefault="007C39A3" w:rsidP="00D47344">
            <w:r>
              <w:t>Projekta izpildes ietekme uz pārvaldes institucionālo struktūru.</w:t>
            </w:r>
          </w:p>
          <w:p w:rsidR="007C39A3" w:rsidRPr="00B76D85" w:rsidRDefault="007C39A3" w:rsidP="00D47344">
            <w:r>
              <w:t>Esošo institūciju likvidācija.</w:t>
            </w:r>
          </w:p>
        </w:tc>
        <w:tc>
          <w:tcPr>
            <w:tcW w:w="4892" w:type="dxa"/>
          </w:tcPr>
          <w:p w:rsidR="007C39A3" w:rsidRPr="00B76D85" w:rsidRDefault="007C39A3" w:rsidP="00BB6847">
            <w:pPr>
              <w:spacing w:after="120"/>
              <w:jc w:val="both"/>
            </w:pPr>
            <w:r>
              <w:t>Projekts šo jomu neskar.</w:t>
            </w:r>
          </w:p>
        </w:tc>
      </w:tr>
      <w:tr w:rsidR="007C39A3" w:rsidRPr="00B76D85" w:rsidTr="00481ABC">
        <w:tc>
          <w:tcPr>
            <w:tcW w:w="567" w:type="dxa"/>
          </w:tcPr>
          <w:p w:rsidR="007C39A3" w:rsidRPr="00B76D85" w:rsidRDefault="007C39A3" w:rsidP="00D47344">
            <w:r>
              <w:t>5.</w:t>
            </w:r>
          </w:p>
        </w:tc>
        <w:tc>
          <w:tcPr>
            <w:tcW w:w="3720" w:type="dxa"/>
          </w:tcPr>
          <w:p w:rsidR="007C39A3" w:rsidRDefault="007C39A3" w:rsidP="00D47344">
            <w:r>
              <w:t>Projekta izpildes ietekme uz pārvaldes institucionālo struktūru.</w:t>
            </w:r>
          </w:p>
          <w:p w:rsidR="007C39A3" w:rsidRPr="00B76D85" w:rsidRDefault="007C39A3" w:rsidP="00D47344">
            <w:r>
              <w:t>Esošo institūciju reorganizācija.</w:t>
            </w:r>
          </w:p>
        </w:tc>
        <w:tc>
          <w:tcPr>
            <w:tcW w:w="4892" w:type="dxa"/>
          </w:tcPr>
          <w:p w:rsidR="007C39A3" w:rsidRPr="00B76D85" w:rsidRDefault="007C39A3" w:rsidP="00D47344">
            <w:pPr>
              <w:jc w:val="both"/>
            </w:pPr>
            <w:r>
              <w:t>Projekts šo jomu neskar.</w:t>
            </w:r>
          </w:p>
        </w:tc>
      </w:tr>
      <w:tr w:rsidR="007C39A3" w:rsidRPr="00B76D85" w:rsidTr="00481ABC">
        <w:tc>
          <w:tcPr>
            <w:tcW w:w="567" w:type="dxa"/>
          </w:tcPr>
          <w:p w:rsidR="007C39A3" w:rsidRDefault="007C39A3" w:rsidP="00D47344">
            <w:r>
              <w:t xml:space="preserve">6. </w:t>
            </w:r>
          </w:p>
        </w:tc>
        <w:tc>
          <w:tcPr>
            <w:tcW w:w="3720" w:type="dxa"/>
          </w:tcPr>
          <w:p w:rsidR="007C39A3" w:rsidRDefault="007C39A3" w:rsidP="00D47344">
            <w:r>
              <w:t>Cita informācija</w:t>
            </w:r>
          </w:p>
        </w:tc>
        <w:tc>
          <w:tcPr>
            <w:tcW w:w="4892" w:type="dxa"/>
          </w:tcPr>
          <w:p w:rsidR="007C39A3" w:rsidRPr="00B76D85" w:rsidRDefault="007C39A3" w:rsidP="00D47344">
            <w:pPr>
              <w:jc w:val="both"/>
            </w:pPr>
            <w:r w:rsidRPr="004E47CF">
              <w:t>Nav</w:t>
            </w:r>
          </w:p>
        </w:tc>
      </w:tr>
    </w:tbl>
    <w:p w:rsidR="007C39A3" w:rsidRDefault="007C39A3" w:rsidP="00C11DAA">
      <w:pPr>
        <w:jc w:val="center"/>
      </w:pPr>
    </w:p>
    <w:p w:rsidR="00BB6847" w:rsidRPr="00D95A84" w:rsidRDefault="00BB6847" w:rsidP="00BB6847">
      <w:pPr>
        <w:jc w:val="both"/>
      </w:pPr>
      <w:r w:rsidRPr="00D95A84">
        <w:rPr>
          <w:i/>
        </w:rPr>
        <w:t xml:space="preserve">Anotācijas </w:t>
      </w:r>
      <w:r>
        <w:rPr>
          <w:i/>
        </w:rPr>
        <w:t xml:space="preserve">III un </w:t>
      </w:r>
      <w:r w:rsidRPr="00D95A84">
        <w:rPr>
          <w:i/>
        </w:rPr>
        <w:t>V</w:t>
      </w:r>
      <w:r>
        <w:rPr>
          <w:i/>
        </w:rPr>
        <w:t xml:space="preserve"> </w:t>
      </w:r>
      <w:r w:rsidRPr="00D95A84">
        <w:rPr>
          <w:i/>
        </w:rPr>
        <w:t>sadaļa – projekts šīs jomas neskar.</w:t>
      </w:r>
    </w:p>
    <w:p w:rsidR="007C39A3" w:rsidRDefault="007C39A3" w:rsidP="00C11DAA">
      <w:pPr>
        <w:jc w:val="center"/>
      </w:pPr>
    </w:p>
    <w:p w:rsidR="007C39A3" w:rsidRDefault="007C39A3" w:rsidP="00C11DAA">
      <w:pPr>
        <w:jc w:val="center"/>
      </w:pPr>
    </w:p>
    <w:p w:rsidR="007C39A3" w:rsidRPr="008207C1" w:rsidRDefault="007C39A3" w:rsidP="00C11DAA">
      <w:pPr>
        <w:rPr>
          <w:sz w:val="28"/>
          <w:szCs w:val="28"/>
        </w:rPr>
      </w:pPr>
      <w:r>
        <w:rPr>
          <w:sz w:val="28"/>
          <w:szCs w:val="28"/>
        </w:rPr>
        <w:tab/>
      </w:r>
      <w:r w:rsidRPr="008207C1">
        <w:rPr>
          <w:sz w:val="28"/>
          <w:szCs w:val="28"/>
        </w:rPr>
        <w:t>Labklājības ministr</w:t>
      </w:r>
      <w:r>
        <w:rPr>
          <w:sz w:val="28"/>
          <w:szCs w:val="28"/>
        </w:rPr>
        <w:t>e</w:t>
      </w:r>
      <w:r w:rsidRPr="008207C1">
        <w:rPr>
          <w:sz w:val="28"/>
          <w:szCs w:val="28"/>
        </w:rPr>
        <w:tab/>
      </w:r>
      <w:r w:rsidRPr="008207C1">
        <w:rPr>
          <w:sz w:val="28"/>
          <w:szCs w:val="28"/>
        </w:rPr>
        <w:tab/>
      </w:r>
      <w:r w:rsidRPr="008207C1">
        <w:rPr>
          <w:sz w:val="28"/>
          <w:szCs w:val="28"/>
        </w:rPr>
        <w:tab/>
      </w:r>
      <w:r>
        <w:rPr>
          <w:sz w:val="28"/>
          <w:szCs w:val="28"/>
        </w:rPr>
        <w:tab/>
        <w:t xml:space="preserve">          </w:t>
      </w:r>
      <w:proofErr w:type="spellStart"/>
      <w:r>
        <w:rPr>
          <w:sz w:val="28"/>
          <w:szCs w:val="28"/>
        </w:rPr>
        <w:t>I</w:t>
      </w:r>
      <w:r w:rsidRPr="008207C1">
        <w:rPr>
          <w:sz w:val="28"/>
          <w:szCs w:val="28"/>
        </w:rPr>
        <w:t>.</w:t>
      </w:r>
      <w:r>
        <w:rPr>
          <w:sz w:val="28"/>
          <w:szCs w:val="28"/>
        </w:rPr>
        <w:t>Viņķele</w:t>
      </w:r>
      <w:proofErr w:type="spellEnd"/>
    </w:p>
    <w:p w:rsidR="007C39A3" w:rsidRDefault="007C39A3" w:rsidP="00C11DAA">
      <w:pPr>
        <w:rPr>
          <w:sz w:val="28"/>
          <w:szCs w:val="28"/>
        </w:rPr>
      </w:pPr>
    </w:p>
    <w:p w:rsidR="00AB7A02" w:rsidRDefault="00AB7A02" w:rsidP="00C11DAA">
      <w:pPr>
        <w:rPr>
          <w:sz w:val="28"/>
          <w:szCs w:val="28"/>
        </w:rPr>
      </w:pPr>
    </w:p>
    <w:p w:rsidR="00481ABC" w:rsidRDefault="00481ABC" w:rsidP="007F1AF8">
      <w:pPr>
        <w:pStyle w:val="Footer"/>
        <w:tabs>
          <w:tab w:val="clear" w:pos="4153"/>
          <w:tab w:val="clear" w:pos="8306"/>
        </w:tabs>
        <w:rPr>
          <w:sz w:val="20"/>
          <w:szCs w:val="20"/>
        </w:rPr>
      </w:pPr>
      <w:r>
        <w:rPr>
          <w:sz w:val="20"/>
          <w:szCs w:val="20"/>
        </w:rPr>
        <w:t>19.07.2013 9:55</w:t>
      </w:r>
    </w:p>
    <w:p w:rsidR="007C39A3" w:rsidRPr="00481ABC" w:rsidRDefault="00BB6847" w:rsidP="007F1AF8">
      <w:pPr>
        <w:pStyle w:val="Footer"/>
        <w:tabs>
          <w:tab w:val="clear" w:pos="4153"/>
          <w:tab w:val="clear" w:pos="8306"/>
        </w:tabs>
        <w:rPr>
          <w:sz w:val="20"/>
          <w:szCs w:val="20"/>
        </w:rPr>
      </w:pPr>
      <w:r w:rsidRPr="00481ABC">
        <w:rPr>
          <w:sz w:val="20"/>
          <w:szCs w:val="20"/>
        </w:rPr>
        <w:t>47</w:t>
      </w:r>
      <w:r w:rsidR="00481ABC">
        <w:rPr>
          <w:sz w:val="20"/>
          <w:szCs w:val="20"/>
        </w:rPr>
        <w:t>61</w:t>
      </w:r>
      <w:bookmarkStart w:id="0" w:name="_GoBack"/>
      <w:bookmarkEnd w:id="0"/>
    </w:p>
    <w:p w:rsidR="007C39A3" w:rsidRPr="00481ABC" w:rsidRDefault="007C39A3" w:rsidP="007F1AF8">
      <w:pPr>
        <w:pStyle w:val="Footer"/>
        <w:tabs>
          <w:tab w:val="clear" w:pos="4153"/>
          <w:tab w:val="clear" w:pos="8306"/>
        </w:tabs>
        <w:rPr>
          <w:sz w:val="20"/>
          <w:szCs w:val="20"/>
        </w:rPr>
      </w:pPr>
      <w:r w:rsidRPr="00481ABC">
        <w:rPr>
          <w:sz w:val="20"/>
          <w:szCs w:val="20"/>
        </w:rPr>
        <w:t>J.Muižniece</w:t>
      </w:r>
    </w:p>
    <w:p w:rsidR="007C39A3" w:rsidRPr="00481ABC" w:rsidRDefault="007C39A3" w:rsidP="007F1AF8">
      <w:pPr>
        <w:rPr>
          <w:sz w:val="20"/>
          <w:szCs w:val="20"/>
        </w:rPr>
      </w:pPr>
      <w:r w:rsidRPr="00481ABC">
        <w:rPr>
          <w:sz w:val="20"/>
          <w:szCs w:val="20"/>
        </w:rPr>
        <w:t>tel.67021550, fax.67021560</w:t>
      </w:r>
    </w:p>
    <w:p w:rsidR="007C39A3" w:rsidRPr="00481ABC" w:rsidRDefault="00481ABC" w:rsidP="007F1AF8">
      <w:pPr>
        <w:rPr>
          <w:sz w:val="20"/>
          <w:szCs w:val="20"/>
        </w:rPr>
      </w:pPr>
      <w:hyperlink r:id="rId14" w:history="1">
        <w:r w:rsidR="007C39A3" w:rsidRPr="00481ABC">
          <w:rPr>
            <w:rStyle w:val="Hyperlink"/>
            <w:sz w:val="20"/>
            <w:szCs w:val="20"/>
          </w:rPr>
          <w:t>Jana.Muizniece@lm.gov.lv</w:t>
        </w:r>
      </w:hyperlink>
    </w:p>
    <w:p w:rsidR="007C39A3" w:rsidRPr="00481ABC" w:rsidRDefault="007C39A3" w:rsidP="007F1AF8">
      <w:pPr>
        <w:rPr>
          <w:sz w:val="20"/>
          <w:szCs w:val="20"/>
        </w:rPr>
      </w:pPr>
    </w:p>
    <w:p w:rsidR="007C39A3" w:rsidRDefault="007C39A3" w:rsidP="00C11DAA">
      <w:pPr>
        <w:rPr>
          <w:sz w:val="28"/>
          <w:szCs w:val="28"/>
        </w:rPr>
      </w:pPr>
    </w:p>
    <w:sectPr w:rsidR="007C39A3" w:rsidSect="00C350E2">
      <w:headerReference w:type="even" r:id="rId15"/>
      <w:headerReference w:type="default" r:id="rId16"/>
      <w:footerReference w:type="default" r:id="rId17"/>
      <w:footerReference w:type="first" r:id="rId18"/>
      <w:pgSz w:w="11906" w:h="16838"/>
      <w:pgMar w:top="1247"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A3" w:rsidRDefault="007C39A3" w:rsidP="00C11DAA">
      <w:r>
        <w:separator/>
      </w:r>
    </w:p>
  </w:endnote>
  <w:endnote w:type="continuationSeparator" w:id="0">
    <w:p w:rsidR="007C39A3" w:rsidRDefault="007C39A3" w:rsidP="00C1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A3" w:rsidRPr="00BB6847" w:rsidRDefault="007C39A3" w:rsidP="00194614">
    <w:pPr>
      <w:pStyle w:val="Footer"/>
      <w:rPr>
        <w:sz w:val="20"/>
        <w:szCs w:val="20"/>
      </w:rPr>
    </w:pPr>
    <w:r w:rsidRPr="00BB6847">
      <w:rPr>
        <w:sz w:val="20"/>
        <w:szCs w:val="20"/>
      </w:rPr>
      <w:t>LManot_</w:t>
    </w:r>
    <w:r w:rsidR="00B3242E">
      <w:rPr>
        <w:sz w:val="20"/>
        <w:szCs w:val="20"/>
      </w:rPr>
      <w:t>1</w:t>
    </w:r>
    <w:r w:rsidR="00481ABC">
      <w:rPr>
        <w:sz w:val="20"/>
        <w:szCs w:val="20"/>
      </w:rPr>
      <w:t>9</w:t>
    </w:r>
    <w:r w:rsidR="00B3242E">
      <w:rPr>
        <w:sz w:val="20"/>
        <w:szCs w:val="20"/>
      </w:rPr>
      <w:t>07</w:t>
    </w:r>
    <w:r w:rsidR="00B3242E" w:rsidRPr="00BB6847">
      <w:rPr>
        <w:sz w:val="20"/>
        <w:szCs w:val="20"/>
      </w:rPr>
      <w:t>13</w:t>
    </w:r>
    <w:r w:rsidRPr="00BB6847">
      <w:rPr>
        <w:sz w:val="20"/>
        <w:szCs w:val="20"/>
      </w:rPr>
      <w:t>_</w:t>
    </w:r>
    <w:r w:rsidR="00BB6847" w:rsidRPr="00BB6847">
      <w:rPr>
        <w:sz w:val="20"/>
        <w:szCs w:val="20"/>
      </w:rPr>
      <w:t>VFPL</w:t>
    </w:r>
    <w:r w:rsidRPr="00BB6847">
      <w:rPr>
        <w:sz w:val="20"/>
        <w:szCs w:val="20"/>
      </w:rPr>
      <w:t>; Grozījumi Valsts fondēto pensiju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47" w:rsidRPr="00BB6847" w:rsidRDefault="00BB6847" w:rsidP="00BB6847">
    <w:pPr>
      <w:pStyle w:val="Footer"/>
      <w:rPr>
        <w:sz w:val="20"/>
        <w:szCs w:val="20"/>
      </w:rPr>
    </w:pPr>
    <w:r w:rsidRPr="00BB6847">
      <w:rPr>
        <w:sz w:val="20"/>
        <w:szCs w:val="20"/>
      </w:rPr>
      <w:t>LManot_</w:t>
    </w:r>
    <w:r w:rsidR="00B3242E">
      <w:rPr>
        <w:sz w:val="20"/>
        <w:szCs w:val="20"/>
      </w:rPr>
      <w:t>1</w:t>
    </w:r>
    <w:r w:rsidR="00481ABC">
      <w:rPr>
        <w:sz w:val="20"/>
        <w:szCs w:val="20"/>
      </w:rPr>
      <w:t>9</w:t>
    </w:r>
    <w:r w:rsidR="00B3242E">
      <w:rPr>
        <w:sz w:val="20"/>
        <w:szCs w:val="20"/>
      </w:rPr>
      <w:t>07</w:t>
    </w:r>
    <w:r w:rsidR="00B3242E" w:rsidRPr="00BB6847">
      <w:rPr>
        <w:sz w:val="20"/>
        <w:szCs w:val="20"/>
      </w:rPr>
      <w:t>13</w:t>
    </w:r>
    <w:r w:rsidRPr="00BB6847">
      <w:rPr>
        <w:sz w:val="20"/>
        <w:szCs w:val="20"/>
      </w:rPr>
      <w:t>_VFPL; Grozījumi Valsts fondēto pensiju likumā</w:t>
    </w:r>
  </w:p>
  <w:p w:rsidR="007C39A3" w:rsidRPr="008B0C87" w:rsidRDefault="007C39A3" w:rsidP="008B0C8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A3" w:rsidRDefault="007C39A3" w:rsidP="00C11DAA">
      <w:r>
        <w:separator/>
      </w:r>
    </w:p>
  </w:footnote>
  <w:footnote w:type="continuationSeparator" w:id="0">
    <w:p w:rsidR="007C39A3" w:rsidRDefault="007C39A3" w:rsidP="00C11DAA">
      <w:r>
        <w:continuationSeparator/>
      </w:r>
    </w:p>
  </w:footnote>
  <w:footnote w:id="1">
    <w:p w:rsidR="007C39A3" w:rsidRDefault="007C39A3" w:rsidP="00C11DAA">
      <w:pPr>
        <w:pStyle w:val="FootnoteText"/>
      </w:pPr>
      <w:r>
        <w:rPr>
          <w:rStyle w:val="FootnoteReference"/>
        </w:rPr>
        <w:footnoteRef/>
      </w:r>
      <w:r>
        <w:t xml:space="preserve"> No tūkstošiem dažādu vērtību tiek meklēts ienākumu līmenis, kas atbilst nulles peļņas līmenim.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A3" w:rsidRDefault="007C39A3"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39A3" w:rsidRDefault="007C3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A3" w:rsidRDefault="007C39A3"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ABC">
      <w:rPr>
        <w:rStyle w:val="PageNumber"/>
        <w:noProof/>
      </w:rPr>
      <w:t>14</w:t>
    </w:r>
    <w:r>
      <w:rPr>
        <w:rStyle w:val="PageNumber"/>
      </w:rPr>
      <w:fldChar w:fldCharType="end"/>
    </w:r>
  </w:p>
  <w:p w:rsidR="007C39A3" w:rsidRDefault="007C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3"/>
    <w:multiLevelType w:val="hybridMultilevel"/>
    <w:tmpl w:val="06C88C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5852D3"/>
    <w:multiLevelType w:val="hybridMultilevel"/>
    <w:tmpl w:val="6B669CD8"/>
    <w:lvl w:ilvl="0" w:tplc="0426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65314F"/>
    <w:multiLevelType w:val="hybridMultilevel"/>
    <w:tmpl w:val="AFCE0B32"/>
    <w:lvl w:ilvl="0" w:tplc="43CA03CC">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980C1B"/>
    <w:multiLevelType w:val="hybridMultilevel"/>
    <w:tmpl w:val="14AA3A0A"/>
    <w:lvl w:ilvl="0" w:tplc="43CA03CC">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F667D3"/>
    <w:multiLevelType w:val="hybridMultilevel"/>
    <w:tmpl w:val="C824AE5A"/>
    <w:lvl w:ilvl="0" w:tplc="04260011">
      <w:start w:val="1"/>
      <w:numFmt w:val="decimal"/>
      <w:lvlText w:val="%1)"/>
      <w:lvlJc w:val="left"/>
      <w:pPr>
        <w:ind w:left="896" w:hanging="360"/>
      </w:p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5">
    <w:nsid w:val="30D3552C"/>
    <w:multiLevelType w:val="hybridMultilevel"/>
    <w:tmpl w:val="8FD689AE"/>
    <w:lvl w:ilvl="0" w:tplc="DA0A6466">
      <w:start w:val="1"/>
      <w:numFmt w:val="decimal"/>
      <w:lvlText w:val="%1)"/>
      <w:lvlJc w:val="left"/>
      <w:pPr>
        <w:ind w:left="776"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C7F5A31"/>
    <w:multiLevelType w:val="hybridMultilevel"/>
    <w:tmpl w:val="2AF07D30"/>
    <w:lvl w:ilvl="0" w:tplc="DA0A6466">
      <w:start w:val="1"/>
      <w:numFmt w:val="decimal"/>
      <w:lvlText w:val="%1)"/>
      <w:lvlJc w:val="left"/>
      <w:pPr>
        <w:ind w:left="776" w:hanging="60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7">
    <w:nsid w:val="5408796F"/>
    <w:multiLevelType w:val="hybridMultilevel"/>
    <w:tmpl w:val="7B40D8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6327931"/>
    <w:multiLevelType w:val="hybridMultilevel"/>
    <w:tmpl w:val="00D43E2E"/>
    <w:lvl w:ilvl="0" w:tplc="43CA03CC">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955620"/>
    <w:multiLevelType w:val="hybridMultilevel"/>
    <w:tmpl w:val="B98001EC"/>
    <w:lvl w:ilvl="0" w:tplc="505087A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E261E51"/>
    <w:multiLevelType w:val="hybridMultilevel"/>
    <w:tmpl w:val="CB3C68D8"/>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7AA41A0"/>
    <w:multiLevelType w:val="hybridMultilevel"/>
    <w:tmpl w:val="617896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7D94D52"/>
    <w:multiLevelType w:val="hybridMultilevel"/>
    <w:tmpl w:val="96746F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12"/>
  </w:num>
  <w:num w:numId="4">
    <w:abstractNumId w:val="7"/>
  </w:num>
  <w:num w:numId="5">
    <w:abstractNumId w:val="0"/>
  </w:num>
  <w:num w:numId="6">
    <w:abstractNumId w:val="8"/>
  </w:num>
  <w:num w:numId="7">
    <w:abstractNumId w:val="3"/>
  </w:num>
  <w:num w:numId="8">
    <w:abstractNumId w:val="2"/>
  </w:num>
  <w:num w:numId="9">
    <w:abstractNumId w:val="10"/>
  </w:num>
  <w:num w:numId="10">
    <w:abstractNumId w:val="4"/>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AA"/>
    <w:rsid w:val="00006D9C"/>
    <w:rsid w:val="0000756E"/>
    <w:rsid w:val="0001284E"/>
    <w:rsid w:val="000179F5"/>
    <w:rsid w:val="000210AA"/>
    <w:rsid w:val="000233D4"/>
    <w:rsid w:val="00025575"/>
    <w:rsid w:val="00041D17"/>
    <w:rsid w:val="00043389"/>
    <w:rsid w:val="00053867"/>
    <w:rsid w:val="00054575"/>
    <w:rsid w:val="00070145"/>
    <w:rsid w:val="000A6031"/>
    <w:rsid w:val="000B2C1E"/>
    <w:rsid w:val="000E3300"/>
    <w:rsid w:val="000E438E"/>
    <w:rsid w:val="000E43E8"/>
    <w:rsid w:val="00147D4E"/>
    <w:rsid w:val="00150A2D"/>
    <w:rsid w:val="00153EAC"/>
    <w:rsid w:val="001753F2"/>
    <w:rsid w:val="00185346"/>
    <w:rsid w:val="00194614"/>
    <w:rsid w:val="001A63AE"/>
    <w:rsid w:val="001C08DC"/>
    <w:rsid w:val="001C35AA"/>
    <w:rsid w:val="001E375E"/>
    <w:rsid w:val="001E4227"/>
    <w:rsid w:val="00206202"/>
    <w:rsid w:val="00235078"/>
    <w:rsid w:val="00242D7D"/>
    <w:rsid w:val="00245B1E"/>
    <w:rsid w:val="00267389"/>
    <w:rsid w:val="002A2739"/>
    <w:rsid w:val="002B4974"/>
    <w:rsid w:val="002C230E"/>
    <w:rsid w:val="002D4348"/>
    <w:rsid w:val="002E0741"/>
    <w:rsid w:val="003166D4"/>
    <w:rsid w:val="00341805"/>
    <w:rsid w:val="003A19BA"/>
    <w:rsid w:val="003A58AA"/>
    <w:rsid w:val="003B1CE4"/>
    <w:rsid w:val="003C45A5"/>
    <w:rsid w:val="004001AE"/>
    <w:rsid w:val="00405B1D"/>
    <w:rsid w:val="004135B8"/>
    <w:rsid w:val="00415673"/>
    <w:rsid w:val="00461B45"/>
    <w:rsid w:val="00465E65"/>
    <w:rsid w:val="00470880"/>
    <w:rsid w:val="00481ABC"/>
    <w:rsid w:val="00491655"/>
    <w:rsid w:val="00495191"/>
    <w:rsid w:val="004B40CE"/>
    <w:rsid w:val="004C0CC1"/>
    <w:rsid w:val="004E47CF"/>
    <w:rsid w:val="004F0AEA"/>
    <w:rsid w:val="00505F98"/>
    <w:rsid w:val="005069A0"/>
    <w:rsid w:val="00514FB6"/>
    <w:rsid w:val="00541430"/>
    <w:rsid w:val="00554511"/>
    <w:rsid w:val="005556B1"/>
    <w:rsid w:val="00557BFA"/>
    <w:rsid w:val="005729BB"/>
    <w:rsid w:val="0058392F"/>
    <w:rsid w:val="00586F47"/>
    <w:rsid w:val="005B164C"/>
    <w:rsid w:val="005C3302"/>
    <w:rsid w:val="005F33DD"/>
    <w:rsid w:val="005F4AEA"/>
    <w:rsid w:val="00602331"/>
    <w:rsid w:val="00623763"/>
    <w:rsid w:val="00630C74"/>
    <w:rsid w:val="00645A3E"/>
    <w:rsid w:val="00646545"/>
    <w:rsid w:val="00673646"/>
    <w:rsid w:val="0069507B"/>
    <w:rsid w:val="006A5FDD"/>
    <w:rsid w:val="006C421D"/>
    <w:rsid w:val="006D4484"/>
    <w:rsid w:val="006F045D"/>
    <w:rsid w:val="006F20B5"/>
    <w:rsid w:val="00705444"/>
    <w:rsid w:val="00711502"/>
    <w:rsid w:val="0071538A"/>
    <w:rsid w:val="007352B0"/>
    <w:rsid w:val="00742DC3"/>
    <w:rsid w:val="0075086A"/>
    <w:rsid w:val="00764764"/>
    <w:rsid w:val="0076718B"/>
    <w:rsid w:val="007724BA"/>
    <w:rsid w:val="007743A0"/>
    <w:rsid w:val="007C39A3"/>
    <w:rsid w:val="007D61BD"/>
    <w:rsid w:val="007D6C17"/>
    <w:rsid w:val="007E69A0"/>
    <w:rsid w:val="007F1AF8"/>
    <w:rsid w:val="008025A7"/>
    <w:rsid w:val="008207C1"/>
    <w:rsid w:val="00846D32"/>
    <w:rsid w:val="00891CBF"/>
    <w:rsid w:val="008A7118"/>
    <w:rsid w:val="008B0C87"/>
    <w:rsid w:val="008B4D6C"/>
    <w:rsid w:val="008C3320"/>
    <w:rsid w:val="008D08D0"/>
    <w:rsid w:val="008F54A3"/>
    <w:rsid w:val="00930162"/>
    <w:rsid w:val="0094566C"/>
    <w:rsid w:val="00954AA5"/>
    <w:rsid w:val="009559CC"/>
    <w:rsid w:val="009611AB"/>
    <w:rsid w:val="00976579"/>
    <w:rsid w:val="00990057"/>
    <w:rsid w:val="009B587E"/>
    <w:rsid w:val="009B6690"/>
    <w:rsid w:val="009C01BD"/>
    <w:rsid w:val="009C10C5"/>
    <w:rsid w:val="009C23B7"/>
    <w:rsid w:val="009C61EF"/>
    <w:rsid w:val="009D4574"/>
    <w:rsid w:val="009D5DA3"/>
    <w:rsid w:val="009D6247"/>
    <w:rsid w:val="009D6EE6"/>
    <w:rsid w:val="00A06166"/>
    <w:rsid w:val="00A25A01"/>
    <w:rsid w:val="00A36739"/>
    <w:rsid w:val="00A554AF"/>
    <w:rsid w:val="00A57F1F"/>
    <w:rsid w:val="00A652E6"/>
    <w:rsid w:val="00A95984"/>
    <w:rsid w:val="00AA6CEE"/>
    <w:rsid w:val="00AB7622"/>
    <w:rsid w:val="00AB7A02"/>
    <w:rsid w:val="00AD5B71"/>
    <w:rsid w:val="00AE4BA2"/>
    <w:rsid w:val="00AE7E67"/>
    <w:rsid w:val="00B05B6D"/>
    <w:rsid w:val="00B11089"/>
    <w:rsid w:val="00B3242E"/>
    <w:rsid w:val="00B37E91"/>
    <w:rsid w:val="00B47119"/>
    <w:rsid w:val="00B52A3E"/>
    <w:rsid w:val="00B560DD"/>
    <w:rsid w:val="00B65273"/>
    <w:rsid w:val="00B75A34"/>
    <w:rsid w:val="00B76D85"/>
    <w:rsid w:val="00B76FCE"/>
    <w:rsid w:val="00B7775C"/>
    <w:rsid w:val="00B92D56"/>
    <w:rsid w:val="00B96115"/>
    <w:rsid w:val="00BB6847"/>
    <w:rsid w:val="00BD57C0"/>
    <w:rsid w:val="00C11DAA"/>
    <w:rsid w:val="00C254D9"/>
    <w:rsid w:val="00C31E24"/>
    <w:rsid w:val="00C350E2"/>
    <w:rsid w:val="00C709F0"/>
    <w:rsid w:val="00C86636"/>
    <w:rsid w:val="00CB088B"/>
    <w:rsid w:val="00CB644E"/>
    <w:rsid w:val="00CC1AFB"/>
    <w:rsid w:val="00CC74D2"/>
    <w:rsid w:val="00CE11AC"/>
    <w:rsid w:val="00CF2C05"/>
    <w:rsid w:val="00D2367E"/>
    <w:rsid w:val="00D47344"/>
    <w:rsid w:val="00D60430"/>
    <w:rsid w:val="00D61E4E"/>
    <w:rsid w:val="00D72606"/>
    <w:rsid w:val="00DA256A"/>
    <w:rsid w:val="00DA3981"/>
    <w:rsid w:val="00DA4B56"/>
    <w:rsid w:val="00DB2ED9"/>
    <w:rsid w:val="00DC2417"/>
    <w:rsid w:val="00DF5F82"/>
    <w:rsid w:val="00E02E97"/>
    <w:rsid w:val="00E21EF2"/>
    <w:rsid w:val="00E3124E"/>
    <w:rsid w:val="00E315DA"/>
    <w:rsid w:val="00E40555"/>
    <w:rsid w:val="00E670BE"/>
    <w:rsid w:val="00E848B6"/>
    <w:rsid w:val="00E85D0B"/>
    <w:rsid w:val="00E94664"/>
    <w:rsid w:val="00E97DC3"/>
    <w:rsid w:val="00EC1F0E"/>
    <w:rsid w:val="00ED2088"/>
    <w:rsid w:val="00EE6AE0"/>
    <w:rsid w:val="00EF5A21"/>
    <w:rsid w:val="00F6512B"/>
    <w:rsid w:val="00F8564C"/>
    <w:rsid w:val="00FB6714"/>
    <w:rsid w:val="00FD3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1D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DAA"/>
    <w:rPr>
      <w:rFonts w:ascii="Tahoma" w:hAnsi="Tahoma" w:cs="Tahoma"/>
      <w:sz w:val="16"/>
      <w:szCs w:val="16"/>
      <w:lang w:eastAsia="lv-LV"/>
    </w:rPr>
  </w:style>
  <w:style w:type="paragraph" w:customStyle="1" w:styleId="naiskr">
    <w:name w:val="naiskr"/>
    <w:basedOn w:val="Normal"/>
    <w:uiPriority w:val="99"/>
    <w:rsid w:val="00C11DAA"/>
    <w:pPr>
      <w:spacing w:before="75" w:after="75"/>
    </w:pPr>
  </w:style>
  <w:style w:type="paragraph" w:styleId="Header">
    <w:name w:val="header"/>
    <w:basedOn w:val="Normal"/>
    <w:link w:val="HeaderChar"/>
    <w:uiPriority w:val="99"/>
    <w:rsid w:val="00C11DAA"/>
    <w:pPr>
      <w:tabs>
        <w:tab w:val="center" w:pos="4153"/>
        <w:tab w:val="right" w:pos="8306"/>
      </w:tabs>
    </w:pPr>
  </w:style>
  <w:style w:type="character" w:customStyle="1" w:styleId="HeaderChar">
    <w:name w:val="Header Char"/>
    <w:basedOn w:val="DefaultParagraphFont"/>
    <w:link w:val="Header"/>
    <w:uiPriority w:val="99"/>
    <w:locked/>
    <w:rsid w:val="00C11DAA"/>
    <w:rPr>
      <w:rFonts w:ascii="Times New Roman" w:hAnsi="Times New Roman" w:cs="Times New Roman"/>
      <w:sz w:val="24"/>
      <w:szCs w:val="24"/>
      <w:lang w:eastAsia="lv-LV"/>
    </w:rPr>
  </w:style>
  <w:style w:type="character" w:styleId="PageNumber">
    <w:name w:val="page number"/>
    <w:basedOn w:val="DefaultParagraphFont"/>
    <w:uiPriority w:val="99"/>
    <w:rsid w:val="00C11DAA"/>
    <w:rPr>
      <w:rFonts w:cs="Times New Roman"/>
    </w:rPr>
  </w:style>
  <w:style w:type="paragraph" w:styleId="Footer">
    <w:name w:val="footer"/>
    <w:basedOn w:val="Normal"/>
    <w:link w:val="FooterChar"/>
    <w:uiPriority w:val="99"/>
    <w:rsid w:val="00C11DAA"/>
    <w:pPr>
      <w:tabs>
        <w:tab w:val="center" w:pos="4153"/>
        <w:tab w:val="right" w:pos="8306"/>
      </w:tabs>
    </w:pPr>
  </w:style>
  <w:style w:type="character" w:customStyle="1" w:styleId="FooterChar">
    <w:name w:val="Footer Char"/>
    <w:basedOn w:val="DefaultParagraphFont"/>
    <w:link w:val="Footer"/>
    <w:uiPriority w:val="99"/>
    <w:locked/>
    <w:rsid w:val="00C11DAA"/>
    <w:rPr>
      <w:rFonts w:ascii="Times New Roman" w:hAnsi="Times New Roman" w:cs="Times New Roman"/>
      <w:sz w:val="24"/>
      <w:szCs w:val="24"/>
      <w:lang w:eastAsia="lv-LV"/>
    </w:rPr>
  </w:style>
  <w:style w:type="paragraph" w:customStyle="1" w:styleId="naisnod">
    <w:name w:val="naisnod"/>
    <w:basedOn w:val="Normal"/>
    <w:uiPriority w:val="99"/>
    <w:rsid w:val="00C11DAA"/>
    <w:pPr>
      <w:spacing w:before="150" w:after="150"/>
      <w:jc w:val="center"/>
    </w:pPr>
    <w:rPr>
      <w:b/>
      <w:bCs/>
    </w:rPr>
  </w:style>
  <w:style w:type="paragraph" w:styleId="FootnoteText">
    <w:name w:val="footnote text"/>
    <w:basedOn w:val="Normal"/>
    <w:link w:val="FootnoteTextChar"/>
    <w:uiPriority w:val="99"/>
    <w:semiHidden/>
    <w:rsid w:val="00C11DAA"/>
    <w:rPr>
      <w:sz w:val="20"/>
      <w:szCs w:val="20"/>
    </w:rPr>
  </w:style>
  <w:style w:type="character" w:customStyle="1" w:styleId="FootnoteTextChar">
    <w:name w:val="Footnote Text Char"/>
    <w:basedOn w:val="DefaultParagraphFont"/>
    <w:link w:val="FootnoteText"/>
    <w:uiPriority w:val="99"/>
    <w:semiHidden/>
    <w:locked/>
    <w:rsid w:val="00C11DAA"/>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C11DAA"/>
    <w:rPr>
      <w:rFonts w:cs="Times New Roman"/>
      <w:vertAlign w:val="superscript"/>
    </w:rPr>
  </w:style>
  <w:style w:type="paragraph" w:styleId="BodyText">
    <w:name w:val="Body Text"/>
    <w:basedOn w:val="Normal"/>
    <w:link w:val="BodyTextChar"/>
    <w:uiPriority w:val="99"/>
    <w:rsid w:val="00C11DAA"/>
    <w:pPr>
      <w:spacing w:after="120"/>
    </w:pPr>
    <w:rPr>
      <w:lang w:val="en-GB" w:eastAsia="en-US"/>
    </w:rPr>
  </w:style>
  <w:style w:type="character" w:customStyle="1" w:styleId="BodyTextChar">
    <w:name w:val="Body Text Char"/>
    <w:basedOn w:val="DefaultParagraphFont"/>
    <w:link w:val="BodyText"/>
    <w:uiPriority w:val="99"/>
    <w:locked/>
    <w:rsid w:val="00C11DAA"/>
    <w:rPr>
      <w:rFonts w:ascii="Times New Roman" w:hAnsi="Times New Roman" w:cs="Times New Roman"/>
      <w:sz w:val="24"/>
      <w:szCs w:val="24"/>
      <w:lang w:val="en-GB"/>
    </w:rPr>
  </w:style>
  <w:style w:type="paragraph" w:styleId="NoSpacing">
    <w:name w:val="No Spacing"/>
    <w:uiPriority w:val="99"/>
    <w:qFormat/>
    <w:rsid w:val="00C11DAA"/>
    <w:rPr>
      <w:lang w:val="en-US" w:eastAsia="en-US"/>
    </w:rPr>
  </w:style>
  <w:style w:type="character" w:customStyle="1" w:styleId="spelle">
    <w:name w:val="spelle"/>
    <w:basedOn w:val="DefaultParagraphFont"/>
    <w:uiPriority w:val="99"/>
    <w:rsid w:val="00C11DAA"/>
    <w:rPr>
      <w:rFonts w:cs="Times New Roman"/>
    </w:rPr>
  </w:style>
  <w:style w:type="character" w:styleId="CommentReference">
    <w:name w:val="annotation reference"/>
    <w:basedOn w:val="DefaultParagraphFont"/>
    <w:uiPriority w:val="99"/>
    <w:semiHidden/>
    <w:rsid w:val="00C11DAA"/>
    <w:rPr>
      <w:rFonts w:cs="Times New Roman"/>
      <w:sz w:val="16"/>
      <w:szCs w:val="16"/>
    </w:rPr>
  </w:style>
  <w:style w:type="paragraph" w:styleId="CommentText">
    <w:name w:val="annotation text"/>
    <w:basedOn w:val="Normal"/>
    <w:link w:val="CommentTextChar"/>
    <w:uiPriority w:val="99"/>
    <w:semiHidden/>
    <w:rsid w:val="00C11DAA"/>
    <w:rPr>
      <w:sz w:val="20"/>
      <w:szCs w:val="20"/>
    </w:rPr>
  </w:style>
  <w:style w:type="character" w:customStyle="1" w:styleId="CommentTextChar">
    <w:name w:val="Comment Text Char"/>
    <w:basedOn w:val="DefaultParagraphFont"/>
    <w:link w:val="CommentText"/>
    <w:uiPriority w:val="99"/>
    <w:semiHidden/>
    <w:locked/>
    <w:rsid w:val="00C11DAA"/>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06D9C"/>
    <w:rPr>
      <w:b/>
      <w:bCs/>
    </w:rPr>
  </w:style>
  <w:style w:type="character" w:customStyle="1" w:styleId="CommentSubjectChar">
    <w:name w:val="Comment Subject Char"/>
    <w:basedOn w:val="CommentTextChar"/>
    <w:link w:val="CommentSubject"/>
    <w:uiPriority w:val="99"/>
    <w:semiHidden/>
    <w:locked/>
    <w:rsid w:val="00006D9C"/>
    <w:rPr>
      <w:rFonts w:ascii="Times New Roman" w:hAnsi="Times New Roman" w:cs="Times New Roman"/>
      <w:b/>
      <w:bCs/>
      <w:sz w:val="20"/>
      <w:szCs w:val="20"/>
      <w:lang w:eastAsia="lv-LV"/>
    </w:rPr>
  </w:style>
  <w:style w:type="character" w:styleId="Hyperlink">
    <w:name w:val="Hyperlink"/>
    <w:basedOn w:val="DefaultParagraphFont"/>
    <w:uiPriority w:val="99"/>
    <w:rsid w:val="007F1AF8"/>
    <w:rPr>
      <w:rFonts w:cs="Times New Roman"/>
      <w:color w:val="0000FF"/>
      <w:u w:val="single"/>
    </w:rPr>
  </w:style>
  <w:style w:type="paragraph" w:styleId="ListParagraph">
    <w:name w:val="List Paragraph"/>
    <w:basedOn w:val="Normal"/>
    <w:uiPriority w:val="99"/>
    <w:qFormat/>
    <w:rsid w:val="00DB2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1D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DAA"/>
    <w:rPr>
      <w:rFonts w:ascii="Tahoma" w:hAnsi="Tahoma" w:cs="Tahoma"/>
      <w:sz w:val="16"/>
      <w:szCs w:val="16"/>
      <w:lang w:eastAsia="lv-LV"/>
    </w:rPr>
  </w:style>
  <w:style w:type="paragraph" w:customStyle="1" w:styleId="naiskr">
    <w:name w:val="naiskr"/>
    <w:basedOn w:val="Normal"/>
    <w:uiPriority w:val="99"/>
    <w:rsid w:val="00C11DAA"/>
    <w:pPr>
      <w:spacing w:before="75" w:after="75"/>
    </w:pPr>
  </w:style>
  <w:style w:type="paragraph" w:styleId="Header">
    <w:name w:val="header"/>
    <w:basedOn w:val="Normal"/>
    <w:link w:val="HeaderChar"/>
    <w:uiPriority w:val="99"/>
    <w:rsid w:val="00C11DAA"/>
    <w:pPr>
      <w:tabs>
        <w:tab w:val="center" w:pos="4153"/>
        <w:tab w:val="right" w:pos="8306"/>
      </w:tabs>
    </w:pPr>
  </w:style>
  <w:style w:type="character" w:customStyle="1" w:styleId="HeaderChar">
    <w:name w:val="Header Char"/>
    <w:basedOn w:val="DefaultParagraphFont"/>
    <w:link w:val="Header"/>
    <w:uiPriority w:val="99"/>
    <w:locked/>
    <w:rsid w:val="00C11DAA"/>
    <w:rPr>
      <w:rFonts w:ascii="Times New Roman" w:hAnsi="Times New Roman" w:cs="Times New Roman"/>
      <w:sz w:val="24"/>
      <w:szCs w:val="24"/>
      <w:lang w:eastAsia="lv-LV"/>
    </w:rPr>
  </w:style>
  <w:style w:type="character" w:styleId="PageNumber">
    <w:name w:val="page number"/>
    <w:basedOn w:val="DefaultParagraphFont"/>
    <w:uiPriority w:val="99"/>
    <w:rsid w:val="00C11DAA"/>
    <w:rPr>
      <w:rFonts w:cs="Times New Roman"/>
    </w:rPr>
  </w:style>
  <w:style w:type="paragraph" w:styleId="Footer">
    <w:name w:val="footer"/>
    <w:basedOn w:val="Normal"/>
    <w:link w:val="FooterChar"/>
    <w:uiPriority w:val="99"/>
    <w:rsid w:val="00C11DAA"/>
    <w:pPr>
      <w:tabs>
        <w:tab w:val="center" w:pos="4153"/>
        <w:tab w:val="right" w:pos="8306"/>
      </w:tabs>
    </w:pPr>
  </w:style>
  <w:style w:type="character" w:customStyle="1" w:styleId="FooterChar">
    <w:name w:val="Footer Char"/>
    <w:basedOn w:val="DefaultParagraphFont"/>
    <w:link w:val="Footer"/>
    <w:uiPriority w:val="99"/>
    <w:locked/>
    <w:rsid w:val="00C11DAA"/>
    <w:rPr>
      <w:rFonts w:ascii="Times New Roman" w:hAnsi="Times New Roman" w:cs="Times New Roman"/>
      <w:sz w:val="24"/>
      <w:szCs w:val="24"/>
      <w:lang w:eastAsia="lv-LV"/>
    </w:rPr>
  </w:style>
  <w:style w:type="paragraph" w:customStyle="1" w:styleId="naisnod">
    <w:name w:val="naisnod"/>
    <w:basedOn w:val="Normal"/>
    <w:uiPriority w:val="99"/>
    <w:rsid w:val="00C11DAA"/>
    <w:pPr>
      <w:spacing w:before="150" w:after="150"/>
      <w:jc w:val="center"/>
    </w:pPr>
    <w:rPr>
      <w:b/>
      <w:bCs/>
    </w:rPr>
  </w:style>
  <w:style w:type="paragraph" w:styleId="FootnoteText">
    <w:name w:val="footnote text"/>
    <w:basedOn w:val="Normal"/>
    <w:link w:val="FootnoteTextChar"/>
    <w:uiPriority w:val="99"/>
    <w:semiHidden/>
    <w:rsid w:val="00C11DAA"/>
    <w:rPr>
      <w:sz w:val="20"/>
      <w:szCs w:val="20"/>
    </w:rPr>
  </w:style>
  <w:style w:type="character" w:customStyle="1" w:styleId="FootnoteTextChar">
    <w:name w:val="Footnote Text Char"/>
    <w:basedOn w:val="DefaultParagraphFont"/>
    <w:link w:val="FootnoteText"/>
    <w:uiPriority w:val="99"/>
    <w:semiHidden/>
    <w:locked/>
    <w:rsid w:val="00C11DAA"/>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C11DAA"/>
    <w:rPr>
      <w:rFonts w:cs="Times New Roman"/>
      <w:vertAlign w:val="superscript"/>
    </w:rPr>
  </w:style>
  <w:style w:type="paragraph" w:styleId="BodyText">
    <w:name w:val="Body Text"/>
    <w:basedOn w:val="Normal"/>
    <w:link w:val="BodyTextChar"/>
    <w:uiPriority w:val="99"/>
    <w:rsid w:val="00C11DAA"/>
    <w:pPr>
      <w:spacing w:after="120"/>
    </w:pPr>
    <w:rPr>
      <w:lang w:val="en-GB" w:eastAsia="en-US"/>
    </w:rPr>
  </w:style>
  <w:style w:type="character" w:customStyle="1" w:styleId="BodyTextChar">
    <w:name w:val="Body Text Char"/>
    <w:basedOn w:val="DefaultParagraphFont"/>
    <w:link w:val="BodyText"/>
    <w:uiPriority w:val="99"/>
    <w:locked/>
    <w:rsid w:val="00C11DAA"/>
    <w:rPr>
      <w:rFonts w:ascii="Times New Roman" w:hAnsi="Times New Roman" w:cs="Times New Roman"/>
      <w:sz w:val="24"/>
      <w:szCs w:val="24"/>
      <w:lang w:val="en-GB"/>
    </w:rPr>
  </w:style>
  <w:style w:type="paragraph" w:styleId="NoSpacing">
    <w:name w:val="No Spacing"/>
    <w:uiPriority w:val="99"/>
    <w:qFormat/>
    <w:rsid w:val="00C11DAA"/>
    <w:rPr>
      <w:lang w:val="en-US" w:eastAsia="en-US"/>
    </w:rPr>
  </w:style>
  <w:style w:type="character" w:customStyle="1" w:styleId="spelle">
    <w:name w:val="spelle"/>
    <w:basedOn w:val="DefaultParagraphFont"/>
    <w:uiPriority w:val="99"/>
    <w:rsid w:val="00C11DAA"/>
    <w:rPr>
      <w:rFonts w:cs="Times New Roman"/>
    </w:rPr>
  </w:style>
  <w:style w:type="character" w:styleId="CommentReference">
    <w:name w:val="annotation reference"/>
    <w:basedOn w:val="DefaultParagraphFont"/>
    <w:uiPriority w:val="99"/>
    <w:semiHidden/>
    <w:rsid w:val="00C11DAA"/>
    <w:rPr>
      <w:rFonts w:cs="Times New Roman"/>
      <w:sz w:val="16"/>
      <w:szCs w:val="16"/>
    </w:rPr>
  </w:style>
  <w:style w:type="paragraph" w:styleId="CommentText">
    <w:name w:val="annotation text"/>
    <w:basedOn w:val="Normal"/>
    <w:link w:val="CommentTextChar"/>
    <w:uiPriority w:val="99"/>
    <w:semiHidden/>
    <w:rsid w:val="00C11DAA"/>
    <w:rPr>
      <w:sz w:val="20"/>
      <w:szCs w:val="20"/>
    </w:rPr>
  </w:style>
  <w:style w:type="character" w:customStyle="1" w:styleId="CommentTextChar">
    <w:name w:val="Comment Text Char"/>
    <w:basedOn w:val="DefaultParagraphFont"/>
    <w:link w:val="CommentText"/>
    <w:uiPriority w:val="99"/>
    <w:semiHidden/>
    <w:locked/>
    <w:rsid w:val="00C11DAA"/>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06D9C"/>
    <w:rPr>
      <w:b/>
      <w:bCs/>
    </w:rPr>
  </w:style>
  <w:style w:type="character" w:customStyle="1" w:styleId="CommentSubjectChar">
    <w:name w:val="Comment Subject Char"/>
    <w:basedOn w:val="CommentTextChar"/>
    <w:link w:val="CommentSubject"/>
    <w:uiPriority w:val="99"/>
    <w:semiHidden/>
    <w:locked/>
    <w:rsid w:val="00006D9C"/>
    <w:rPr>
      <w:rFonts w:ascii="Times New Roman" w:hAnsi="Times New Roman" w:cs="Times New Roman"/>
      <w:b/>
      <w:bCs/>
      <w:sz w:val="20"/>
      <w:szCs w:val="20"/>
      <w:lang w:eastAsia="lv-LV"/>
    </w:rPr>
  </w:style>
  <w:style w:type="character" w:styleId="Hyperlink">
    <w:name w:val="Hyperlink"/>
    <w:basedOn w:val="DefaultParagraphFont"/>
    <w:uiPriority w:val="99"/>
    <w:rsid w:val="007F1AF8"/>
    <w:rPr>
      <w:rFonts w:cs="Times New Roman"/>
      <w:color w:val="0000FF"/>
      <w:u w:val="single"/>
    </w:rPr>
  </w:style>
  <w:style w:type="paragraph" w:styleId="ListParagraph">
    <w:name w:val="List Paragraph"/>
    <w:basedOn w:val="Normal"/>
    <w:uiPriority w:val="99"/>
    <w:qFormat/>
    <w:rsid w:val="00DB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7:247:0001:01:LV:HTML" TargetMode="External"/><Relationship Id="rId13" Type="http://schemas.openxmlformats.org/officeDocument/2006/relationships/hyperlink" Target="http://eur-lex.europa.eu/LexUriServ/LexUriServ.do?uri=CONSLEG:2006L0048:20091030:LV:HTM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ur-lex.europa.eu/LexUriServ/LexUriServ.do?uri=CONSLEG:2005L0068:20080321:LV: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CONSLEG:2004L0039:20080320:LV: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xUriServ/LexUriServ.do?uri=CONSLEG:2002L0083:20080320:LV: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ELEX:31992L0049:LV:HTML" TargetMode="External"/><Relationship Id="rId14" Type="http://schemas.openxmlformats.org/officeDocument/2006/relationships/hyperlink" Target="mailto:Jana.Muizniec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4761</Words>
  <Characters>34313</Characters>
  <Application>Microsoft Office Word</Application>
  <DocSecurity>0</DocSecurity>
  <Lines>797</Lines>
  <Paragraphs>200</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
  <LinksUpToDate>false</LinksUpToDate>
  <CharactersWithSpaces>38874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fondēto pensiju likumā</dc:title>
  <dc:subject>Anotācija</dc:subject>
  <dc:creator>Jana Muižniece</dc:creator>
  <cp:keywords>anotācija</cp:keywords>
  <dc:description>J.Muižniecetālr. 67021550, fakss 67021560jana.muizniece@lm.gov.lv</dc:description>
  <cp:lastModifiedBy>Inese Upite</cp:lastModifiedBy>
  <cp:revision>6</cp:revision>
  <cp:lastPrinted>2013-06-25T11:08:00Z</cp:lastPrinted>
  <dcterms:created xsi:type="dcterms:W3CDTF">2013-07-18T08:41:00Z</dcterms:created>
  <dcterms:modified xsi:type="dcterms:W3CDTF">2013-07-19T06:56:00Z</dcterms:modified>
</cp:coreProperties>
</file>