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1B" w:rsidRPr="00AB4F4C" w:rsidRDefault="0020114B" w:rsidP="0098141B">
      <w:pPr>
        <w:jc w:val="center"/>
        <w:rPr>
          <w:b/>
          <w:sz w:val="28"/>
          <w:szCs w:val="28"/>
        </w:rPr>
      </w:pPr>
      <w:r>
        <w:rPr>
          <w:b/>
          <w:sz w:val="28"/>
          <w:szCs w:val="28"/>
        </w:rPr>
        <w:t xml:space="preserve">Likumprojekta „Grozījums </w:t>
      </w:r>
      <w:r w:rsidR="0098141B" w:rsidRPr="00280239">
        <w:rPr>
          <w:b/>
          <w:sz w:val="28"/>
          <w:szCs w:val="28"/>
        </w:rPr>
        <w:t>likumā „</w:t>
      </w:r>
      <w:r w:rsidR="0098141B">
        <w:rPr>
          <w:b/>
          <w:sz w:val="28"/>
          <w:szCs w:val="28"/>
        </w:rPr>
        <w:t>Par apdrošināšanu bezdarba gadījumam</w:t>
      </w:r>
      <w:r w:rsidR="0098141B" w:rsidRPr="00280239">
        <w:rPr>
          <w:b/>
          <w:sz w:val="28"/>
          <w:szCs w:val="28"/>
        </w:rPr>
        <w:t>”</w:t>
      </w:r>
      <w:r w:rsidR="0098141B">
        <w:rPr>
          <w:b/>
          <w:sz w:val="28"/>
          <w:szCs w:val="28"/>
        </w:rPr>
        <w:t xml:space="preserve">” </w:t>
      </w:r>
      <w:r w:rsidR="0098141B" w:rsidRPr="00AC181D">
        <w:rPr>
          <w:b/>
          <w:bCs/>
          <w:sz w:val="28"/>
          <w:szCs w:val="28"/>
        </w:rPr>
        <w:t>sākotnējās ietekmes novērtējuma ziņojums (anotācija)</w:t>
      </w:r>
    </w:p>
    <w:p w:rsidR="0098141B" w:rsidRDefault="0098141B" w:rsidP="0098141B">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98141B" w:rsidRPr="00B76D85" w:rsidTr="00BD4740">
        <w:tc>
          <w:tcPr>
            <w:tcW w:w="5000" w:type="pct"/>
            <w:gridSpan w:val="3"/>
          </w:tcPr>
          <w:p w:rsidR="0098141B" w:rsidRPr="00B97C36" w:rsidRDefault="0098141B" w:rsidP="00BD4740">
            <w:pPr>
              <w:jc w:val="center"/>
              <w:rPr>
                <w:b/>
                <w:bCs/>
              </w:rPr>
            </w:pPr>
            <w:r w:rsidRPr="00B97C36">
              <w:rPr>
                <w:b/>
                <w:bCs/>
              </w:rPr>
              <w:t>I Tiesību akta projekta izstrādes nepieciešamība</w:t>
            </w:r>
          </w:p>
        </w:tc>
      </w:tr>
      <w:tr w:rsidR="0098141B" w:rsidRPr="003F27FC" w:rsidTr="00BD4740">
        <w:tc>
          <w:tcPr>
            <w:tcW w:w="213" w:type="pct"/>
          </w:tcPr>
          <w:p w:rsidR="0098141B" w:rsidRPr="00716E2F" w:rsidRDefault="0098141B" w:rsidP="00BD4740">
            <w:r w:rsidRPr="00716E2F">
              <w:t>1.</w:t>
            </w:r>
          </w:p>
        </w:tc>
        <w:tc>
          <w:tcPr>
            <w:tcW w:w="1654" w:type="pct"/>
          </w:tcPr>
          <w:p w:rsidR="0098141B" w:rsidRPr="00716E2F" w:rsidRDefault="0098141B" w:rsidP="00BD4740">
            <w:r w:rsidRPr="00716E2F">
              <w:t>Pamatojums</w:t>
            </w:r>
          </w:p>
        </w:tc>
        <w:tc>
          <w:tcPr>
            <w:tcW w:w="3133" w:type="pct"/>
          </w:tcPr>
          <w:p w:rsidR="0098141B" w:rsidRPr="00716E2F" w:rsidRDefault="0098141B" w:rsidP="00BD4740">
            <w:pPr>
              <w:spacing w:line="276" w:lineRule="auto"/>
              <w:jc w:val="both"/>
              <w:rPr>
                <w:lang w:eastAsia="en-US"/>
              </w:rPr>
            </w:pPr>
            <w:proofErr w:type="spellStart"/>
            <w:r>
              <w:rPr>
                <w:i/>
                <w:iCs/>
                <w:lang w:eastAsia="en-US"/>
              </w:rPr>
              <w:t>Euro</w:t>
            </w:r>
            <w:proofErr w:type="spellEnd"/>
            <w:r>
              <w:rPr>
                <w:lang w:eastAsia="en-US"/>
              </w:rPr>
              <w:t xml:space="preserve"> ieviešanas kārtības likuma 30.panta pirmā daļa, Ministru kabineta 2012.gada 27.jūnija rīkojums Nr.282 „Par „Koncepciju par normatīvo aktu sakārtošanu saistībā ar eiro ieviešanu Latvijā”” un Ministru kabineta 2013.gada 29.maija rīkojums Nr.212 „Par tiesību aktu grozījumu virzību saistībā ar </w:t>
            </w:r>
            <w:proofErr w:type="spellStart"/>
            <w:r>
              <w:rPr>
                <w:i/>
                <w:lang w:eastAsia="en-US"/>
              </w:rPr>
              <w:t>euro</w:t>
            </w:r>
            <w:proofErr w:type="spellEnd"/>
            <w:r>
              <w:rPr>
                <w:lang w:eastAsia="en-US"/>
              </w:rPr>
              <w:t xml:space="preserve"> ieviešanu Latvijā” 1.2. apakšpunkts.</w:t>
            </w:r>
          </w:p>
        </w:tc>
      </w:tr>
      <w:tr w:rsidR="0098141B" w:rsidRPr="003F27FC" w:rsidTr="00BD4740">
        <w:tc>
          <w:tcPr>
            <w:tcW w:w="213" w:type="pct"/>
          </w:tcPr>
          <w:p w:rsidR="0098141B" w:rsidRPr="00716E2F" w:rsidRDefault="0098141B" w:rsidP="00BD4740">
            <w:r w:rsidRPr="00716E2F">
              <w:t xml:space="preserve">2. </w:t>
            </w:r>
          </w:p>
        </w:tc>
        <w:tc>
          <w:tcPr>
            <w:tcW w:w="1654" w:type="pct"/>
          </w:tcPr>
          <w:p w:rsidR="0098141B" w:rsidRPr="00716E2F" w:rsidRDefault="0098141B" w:rsidP="00BD4740">
            <w:r w:rsidRPr="00716E2F">
              <w:t>Pašreizējā situācija un problēmas</w:t>
            </w:r>
          </w:p>
        </w:tc>
        <w:tc>
          <w:tcPr>
            <w:tcW w:w="3133" w:type="pct"/>
          </w:tcPr>
          <w:p w:rsidR="004A7B09" w:rsidRPr="003C7762" w:rsidRDefault="0098141B" w:rsidP="004A7B09">
            <w:pPr>
              <w:jc w:val="both"/>
            </w:pPr>
            <w:r w:rsidRPr="003C7762">
              <w:t xml:space="preserve">Ņemot vērā, ka ar 2014.gada 1.janvāri Latvijā plānots ieviest </w:t>
            </w:r>
            <w:proofErr w:type="spellStart"/>
            <w:r w:rsidRPr="003C7762">
              <w:rPr>
                <w:i/>
                <w:iCs/>
              </w:rPr>
              <w:t>euro</w:t>
            </w:r>
            <w:proofErr w:type="spellEnd"/>
            <w:r w:rsidRPr="003C7762">
              <w:t xml:space="preserve">, </w:t>
            </w:r>
            <w:r w:rsidR="0020114B">
              <w:t>ir nepieciešams veikt grozījumu</w:t>
            </w:r>
            <w:r w:rsidRPr="003C7762">
              <w:t xml:space="preserve"> likumā „Par apdrošināšanu bezdarba gadījumam” (turpmāk – likumprojekts</w:t>
            </w:r>
            <w:r w:rsidR="003C7762" w:rsidRPr="003C7762">
              <w:t xml:space="preserve">) atbilstoši normatīvo aktu sakārtošanas prasībām saistībā ar </w:t>
            </w:r>
            <w:proofErr w:type="spellStart"/>
            <w:r w:rsidR="003C7762" w:rsidRPr="003C7762">
              <w:rPr>
                <w:i/>
              </w:rPr>
              <w:t>euro</w:t>
            </w:r>
            <w:proofErr w:type="spellEnd"/>
            <w:r w:rsidR="003C7762" w:rsidRPr="003C7762">
              <w:t xml:space="preserve"> ieviešanu.</w:t>
            </w:r>
          </w:p>
          <w:p w:rsidR="004A7B09" w:rsidRPr="003C7762" w:rsidRDefault="00B80D3D" w:rsidP="004A7B09">
            <w:pPr>
              <w:jc w:val="both"/>
            </w:pPr>
            <w:r w:rsidRPr="003C7762">
              <w:t>Likuma „</w:t>
            </w:r>
            <w:r w:rsidR="004A7B09" w:rsidRPr="003C7762">
              <w:t>Par apdrošināšanu bezdarba gadījumam” 7.panta sestās daļas</w:t>
            </w:r>
            <w:r w:rsidR="00001694">
              <w:t xml:space="preserve"> 2.</w:t>
            </w:r>
            <w:r w:rsidR="004A7B09" w:rsidRPr="003C7762">
              <w:t xml:space="preserve">punkts nosaka, ka bezdarbniekam, kurš pirms bezdarbnieka statusa iegūšanas dienas nav bijis darba ņēmējs un par kuru </w:t>
            </w:r>
            <w:r w:rsidR="00DD1FB4">
              <w:t xml:space="preserve">obligātās sociālās apdrošināšanas iemaksas bezdarba gadījumam (turpmāk - iemaksas bezdarba gadījumam) </w:t>
            </w:r>
            <w:r w:rsidR="004A7B09" w:rsidRPr="003C7762">
              <w:t xml:space="preserve">ir veiktas no valsts sociālās apdrošināšanas speciālā budžeta, bezdarbnieka pabalsta apmēru nosaka </w:t>
            </w:r>
            <w:r w:rsidR="004A7B09" w:rsidRPr="004A7B09">
              <w:t xml:space="preserve">60 procentu apmērā no bezdarbnieka pabalsta pieprasīšanas dienā spēkā esošā valsts sociālā nodrošinājuma pabalsta divkārša apmēra, ja iemaksas veiktas no vecāku pabalsta </w:t>
            </w:r>
            <w:r w:rsidR="004A7B09" w:rsidRPr="00001694">
              <w:rPr>
                <w:i/>
              </w:rPr>
              <w:t>50 latiem</w:t>
            </w:r>
            <w:r w:rsidR="004A7B09" w:rsidRPr="004A7B09">
              <w:t>.</w:t>
            </w:r>
          </w:p>
          <w:p w:rsidR="004A7B09" w:rsidRDefault="004A7B09" w:rsidP="004A7B09">
            <w:pPr>
              <w:jc w:val="both"/>
              <w:rPr>
                <w:bCs/>
              </w:rPr>
            </w:pPr>
            <w:r w:rsidRPr="003C7762">
              <w:t>Saskaņā ar Ministru kabineta 2001.gada 5.jūnija noteikumiem Nr.2</w:t>
            </w:r>
            <w:r w:rsidR="00A00339">
              <w:t>30</w:t>
            </w:r>
            <w:r w:rsidRPr="003C7762">
              <w:t xml:space="preserve"> „</w:t>
            </w:r>
            <w:r w:rsidRPr="003C7762">
              <w:rPr>
                <w:bCs/>
              </w:rPr>
              <w:t>Noteikumi par valsts sociālās apdrošināšanas obligātajām iemaksām no valsts pamatbudžeta un valsts sociālās apdrošināšanas speciālajiem budžetiem”, sākot ar 2013.gada 1.janvāri, par vecāku pabalsta saņēmējiem tiek veiktas</w:t>
            </w:r>
            <w:r w:rsidR="000545A2" w:rsidRPr="003C7762">
              <w:rPr>
                <w:bCs/>
              </w:rPr>
              <w:t xml:space="preserve"> iemaksas bezdarba gadījumam no </w:t>
            </w:r>
            <w:r w:rsidR="000545A2" w:rsidRPr="00001694">
              <w:rPr>
                <w:bCs/>
                <w:i/>
              </w:rPr>
              <w:t>100 latiem</w:t>
            </w:r>
            <w:r w:rsidR="000545A2" w:rsidRPr="003C7762">
              <w:rPr>
                <w:bCs/>
              </w:rPr>
              <w:t>.</w:t>
            </w:r>
          </w:p>
          <w:p w:rsidR="003C7762" w:rsidRDefault="003C7762" w:rsidP="004A7B09">
            <w:pPr>
              <w:jc w:val="both"/>
              <w:rPr>
                <w:bCs/>
              </w:rPr>
            </w:pPr>
            <w:r>
              <w:t xml:space="preserve">Tiesības uz bezdarbnieka pabalstu ir bezdarbniekam, kuram apdrošināšanas stāžs ir ne mazāks par vienu gadu, ja par viņu Latvijas Republikā ir veiktas vai bija jāveic </w:t>
            </w:r>
            <w:r w:rsidR="00DD1FB4">
              <w:t>iemaksas bezdarba gadījumam</w:t>
            </w:r>
            <w:r>
              <w:t xml:space="preserve"> ne mazāk kā deviņus mēnešus pēdējo 12 mēnešu periodā pirms bezdarbnieka statusa iegūšanas dienas.</w:t>
            </w:r>
          </w:p>
          <w:p w:rsidR="0098141B" w:rsidRPr="00001694" w:rsidRDefault="0020114B" w:rsidP="004A7B09">
            <w:pPr>
              <w:jc w:val="both"/>
              <w:rPr>
                <w:bCs/>
              </w:rPr>
            </w:pPr>
            <w:r>
              <w:t>Ņemot vērā, ka v</w:t>
            </w:r>
            <w:r w:rsidR="00DD1FB4" w:rsidRPr="00DD1FB4">
              <w:t>idējo apdrošināšanas iemaksu algu bezdarbnieka pabalsta apmēra noteikšanai aprēķina no apdrošinātās personas apdrošināšanas iemaksu algas par 12 kalendāra mēnešu periodu, šo periodu beidzot divus kalendāra mēnešus pirms mēneša, kurā person</w:t>
            </w:r>
            <w:r>
              <w:t>a ieguvusi bezdarbnieka statusu</w:t>
            </w:r>
            <w:r w:rsidR="006274F0" w:rsidRPr="003C7762">
              <w:rPr>
                <w:bCs/>
              </w:rPr>
              <w:t>, tad izriet, ka var būt situācija, ka bezdarbnieka pabalsta aprēķinā jāskatās periods, kad par vecāku pabalsta saņēmējiem iemaksas veiktas gan no 50 latie</w:t>
            </w:r>
            <w:r w:rsidR="00001694">
              <w:rPr>
                <w:bCs/>
              </w:rPr>
              <w:t>m (līdz 2012.gada 31.decembrim)</w:t>
            </w:r>
            <w:r w:rsidR="006274F0" w:rsidRPr="003C7762">
              <w:rPr>
                <w:bCs/>
              </w:rPr>
              <w:t xml:space="preserve"> gan no 100 latiem </w:t>
            </w:r>
            <w:r w:rsidR="006274F0" w:rsidRPr="003C7762">
              <w:rPr>
                <w:bCs/>
              </w:rPr>
              <w:lastRenderedPageBreak/>
              <w:t xml:space="preserve">(no 2013.gada 1.janvāra). Līdz ar to likuma norma jāizsaka vispārīgi, nenorādot </w:t>
            </w:r>
            <w:r w:rsidR="00DD1FB4">
              <w:rPr>
                <w:bCs/>
              </w:rPr>
              <w:t xml:space="preserve">konkrētu </w:t>
            </w:r>
            <w:r w:rsidR="006274F0" w:rsidRPr="003C7762">
              <w:rPr>
                <w:bCs/>
              </w:rPr>
              <w:t>vecāku pabalsta apmēru.</w:t>
            </w:r>
          </w:p>
        </w:tc>
      </w:tr>
      <w:tr w:rsidR="0098141B" w:rsidRPr="003F27FC" w:rsidTr="00BD4740">
        <w:tc>
          <w:tcPr>
            <w:tcW w:w="213" w:type="pct"/>
          </w:tcPr>
          <w:p w:rsidR="0098141B" w:rsidRPr="00716E2F" w:rsidRDefault="0098141B" w:rsidP="00BD4740">
            <w:r w:rsidRPr="00716E2F">
              <w:lastRenderedPageBreak/>
              <w:t xml:space="preserve">3. </w:t>
            </w:r>
          </w:p>
        </w:tc>
        <w:tc>
          <w:tcPr>
            <w:tcW w:w="1654" w:type="pct"/>
          </w:tcPr>
          <w:p w:rsidR="0098141B" w:rsidRPr="00716E2F" w:rsidRDefault="0098141B" w:rsidP="00BD4740">
            <w:r w:rsidRPr="00716E2F">
              <w:t>Saistītie politikas ietekmes novērtējumi un pētījumi</w:t>
            </w:r>
          </w:p>
        </w:tc>
        <w:tc>
          <w:tcPr>
            <w:tcW w:w="3133" w:type="pct"/>
          </w:tcPr>
          <w:p w:rsidR="0098141B" w:rsidRPr="00716E2F" w:rsidRDefault="0098141B" w:rsidP="00BD4740">
            <w:pPr>
              <w:jc w:val="both"/>
            </w:pPr>
            <w:r w:rsidRPr="00716E2F">
              <w:t>Nav attiecināms.</w:t>
            </w:r>
          </w:p>
        </w:tc>
      </w:tr>
      <w:tr w:rsidR="0098141B" w:rsidRPr="003F27FC" w:rsidTr="00BD4740">
        <w:tc>
          <w:tcPr>
            <w:tcW w:w="213" w:type="pct"/>
          </w:tcPr>
          <w:p w:rsidR="0098141B" w:rsidRPr="00716E2F" w:rsidRDefault="0098141B" w:rsidP="00BD4740">
            <w:r w:rsidRPr="00716E2F">
              <w:t>4.</w:t>
            </w:r>
          </w:p>
        </w:tc>
        <w:tc>
          <w:tcPr>
            <w:tcW w:w="1654" w:type="pct"/>
          </w:tcPr>
          <w:p w:rsidR="0098141B" w:rsidRPr="00716E2F" w:rsidRDefault="0098141B" w:rsidP="00BD4740">
            <w:r w:rsidRPr="00716E2F">
              <w:t>Tiesiskā regulējuma mērķis un būtība</w:t>
            </w:r>
          </w:p>
        </w:tc>
        <w:tc>
          <w:tcPr>
            <w:tcW w:w="3133" w:type="pct"/>
          </w:tcPr>
          <w:p w:rsidR="0098141B" w:rsidRPr="0020114B" w:rsidRDefault="0098141B" w:rsidP="00BD4740">
            <w:pPr>
              <w:jc w:val="both"/>
            </w:pPr>
            <w:r w:rsidRPr="0020114B">
              <w:t xml:space="preserve">Šā projekta mērķis ir </w:t>
            </w:r>
            <w:r w:rsidR="0020114B" w:rsidRPr="0020114B">
              <w:t>pielāgot</w:t>
            </w:r>
            <w:r w:rsidRPr="0020114B">
              <w:t xml:space="preserve"> </w:t>
            </w:r>
            <w:r w:rsidR="0020114B" w:rsidRPr="0020114B">
              <w:t>likumprojektu</w:t>
            </w:r>
            <w:r w:rsidRPr="0020114B">
              <w:t xml:space="preserve"> </w:t>
            </w:r>
            <w:r w:rsidR="0020114B" w:rsidRPr="0020114B">
              <w:t xml:space="preserve">atbilstoši normatīvo aktu sakārtošanas prasībām saistībā ar </w:t>
            </w:r>
            <w:proofErr w:type="spellStart"/>
            <w:r w:rsidR="0020114B" w:rsidRPr="0020114B">
              <w:rPr>
                <w:i/>
              </w:rPr>
              <w:t>euro</w:t>
            </w:r>
            <w:proofErr w:type="spellEnd"/>
            <w:r w:rsidR="0020114B" w:rsidRPr="0020114B">
              <w:t xml:space="preserve"> ieviešanu</w:t>
            </w:r>
            <w:r w:rsidR="00001694">
              <w:t>.</w:t>
            </w:r>
          </w:p>
          <w:p w:rsidR="0020114B" w:rsidRPr="0020114B" w:rsidRDefault="0098141B" w:rsidP="00BD4740">
            <w:pPr>
              <w:jc w:val="both"/>
            </w:pPr>
            <w:r w:rsidRPr="0020114B">
              <w:t xml:space="preserve">Likumprojekts paredz </w:t>
            </w:r>
            <w:r w:rsidR="0020114B" w:rsidRPr="0020114B">
              <w:t>likuma normu izteikt vispārīgi, nenorādot konkrētu vecāku pabalsta apmēru.</w:t>
            </w:r>
          </w:p>
          <w:p w:rsidR="0098141B" w:rsidRPr="0020114B" w:rsidRDefault="0020114B" w:rsidP="00BD4740">
            <w:pPr>
              <w:jc w:val="both"/>
            </w:pPr>
            <w:r>
              <w:t>Grozītā tiesību norma</w:t>
            </w:r>
            <w:r w:rsidR="0098141B" w:rsidRPr="0020114B">
              <w:t xml:space="preserve"> </w:t>
            </w:r>
            <w:r w:rsidR="0000795F">
              <w:t>nav personām nelabvēlīgāka</w:t>
            </w:r>
            <w:r w:rsidR="0098141B" w:rsidRPr="0020114B">
              <w:t xml:space="preserve"> par sākotnējo tiesību normu latos un nerada vērā ņemamu negatīvu ietekmi uz valsts budžetu.</w:t>
            </w:r>
          </w:p>
        </w:tc>
      </w:tr>
      <w:tr w:rsidR="0098141B" w:rsidRPr="003F27FC" w:rsidTr="00BD4740">
        <w:tc>
          <w:tcPr>
            <w:tcW w:w="213" w:type="pct"/>
          </w:tcPr>
          <w:p w:rsidR="0098141B" w:rsidRPr="00716E2F" w:rsidRDefault="0098141B" w:rsidP="00BD4740">
            <w:r w:rsidRPr="00716E2F">
              <w:t>5.</w:t>
            </w:r>
          </w:p>
        </w:tc>
        <w:tc>
          <w:tcPr>
            <w:tcW w:w="1654" w:type="pct"/>
          </w:tcPr>
          <w:p w:rsidR="0098141B" w:rsidRPr="00716E2F" w:rsidRDefault="0098141B" w:rsidP="00BD4740">
            <w:r w:rsidRPr="00716E2F">
              <w:t>Projekta izstrādē iesaistītās institūcijas</w:t>
            </w:r>
          </w:p>
        </w:tc>
        <w:tc>
          <w:tcPr>
            <w:tcW w:w="3133" w:type="pct"/>
          </w:tcPr>
          <w:p w:rsidR="0098141B" w:rsidRPr="008F285C" w:rsidRDefault="0098141B" w:rsidP="00BD4740">
            <w:pPr>
              <w:jc w:val="both"/>
            </w:pPr>
            <w:r w:rsidRPr="00B97C36">
              <w:t>Nav attiecināms.</w:t>
            </w:r>
          </w:p>
        </w:tc>
      </w:tr>
      <w:tr w:rsidR="0098141B" w:rsidRPr="003F27FC" w:rsidTr="00BD4740">
        <w:tc>
          <w:tcPr>
            <w:tcW w:w="213" w:type="pct"/>
          </w:tcPr>
          <w:p w:rsidR="0098141B" w:rsidRPr="00716E2F" w:rsidRDefault="0098141B" w:rsidP="00BD4740">
            <w:r w:rsidRPr="00716E2F">
              <w:t>6.</w:t>
            </w:r>
          </w:p>
        </w:tc>
        <w:tc>
          <w:tcPr>
            <w:tcW w:w="1654" w:type="pct"/>
          </w:tcPr>
          <w:p w:rsidR="0098141B" w:rsidRPr="00716E2F" w:rsidRDefault="0098141B" w:rsidP="00BD4740">
            <w:r w:rsidRPr="00716E2F">
              <w:t>Iemesli, kādēļ netika nodrošināta sabiedrības līdzdalība</w:t>
            </w:r>
          </w:p>
        </w:tc>
        <w:tc>
          <w:tcPr>
            <w:tcW w:w="3133" w:type="pct"/>
          </w:tcPr>
          <w:p w:rsidR="0098141B" w:rsidRDefault="0098141B" w:rsidP="00BD4740">
            <w:pPr>
              <w:jc w:val="both"/>
            </w:pPr>
            <w:r w:rsidRPr="008F285C">
              <w:t>Sabiedrības līdzdalība projekta izstrādē netika nodrošināta, jo projekts nemainīs pastāvošo tiesisko regulējumu pēc būtības.</w:t>
            </w:r>
          </w:p>
          <w:p w:rsidR="0098141B" w:rsidRPr="008F285C" w:rsidRDefault="0098141B" w:rsidP="00BD4740">
            <w:pPr>
              <w:jc w:val="both"/>
            </w:pPr>
          </w:p>
        </w:tc>
      </w:tr>
      <w:tr w:rsidR="0098141B" w:rsidRPr="003F27FC" w:rsidTr="00BD4740">
        <w:tc>
          <w:tcPr>
            <w:tcW w:w="213" w:type="pct"/>
          </w:tcPr>
          <w:p w:rsidR="0098141B" w:rsidRPr="00716E2F" w:rsidRDefault="0098141B" w:rsidP="00BD4740">
            <w:r w:rsidRPr="00716E2F">
              <w:t xml:space="preserve">7. </w:t>
            </w:r>
          </w:p>
        </w:tc>
        <w:tc>
          <w:tcPr>
            <w:tcW w:w="1654" w:type="pct"/>
          </w:tcPr>
          <w:p w:rsidR="0098141B" w:rsidRPr="00716E2F" w:rsidRDefault="0098141B" w:rsidP="00BD4740">
            <w:r w:rsidRPr="00716E2F">
              <w:t>Cita informācija</w:t>
            </w:r>
          </w:p>
        </w:tc>
        <w:tc>
          <w:tcPr>
            <w:tcW w:w="3133" w:type="pct"/>
          </w:tcPr>
          <w:p w:rsidR="0098141B" w:rsidRPr="008D5A39" w:rsidRDefault="00001694" w:rsidP="00BD4740">
            <w:pPr>
              <w:jc w:val="both"/>
            </w:pPr>
            <w:r>
              <w:t>Nav</w:t>
            </w:r>
            <w:r w:rsidR="0098141B" w:rsidRPr="00F837C9">
              <w:t>.</w:t>
            </w:r>
          </w:p>
        </w:tc>
      </w:tr>
    </w:tbl>
    <w:p w:rsidR="0098141B" w:rsidRDefault="0098141B" w:rsidP="0098141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spacing w:line="276" w:lineRule="auto"/>
              <w:jc w:val="center"/>
              <w:rPr>
                <w:b/>
                <w:bCs/>
                <w:lang w:eastAsia="en-US"/>
              </w:rPr>
            </w:pPr>
            <w:r>
              <w:rPr>
                <w:b/>
                <w:bCs/>
                <w:lang w:eastAsia="en-US"/>
              </w:rPr>
              <w:t>II Tiesību akta projekta ietekme uz sabiedrību</w:t>
            </w:r>
          </w:p>
        </w:tc>
      </w:tr>
      <w:tr w:rsidR="00001694" w:rsidTr="00001694">
        <w:tc>
          <w:tcPr>
            <w:tcW w:w="9287" w:type="dxa"/>
            <w:tcBorders>
              <w:top w:val="single" w:sz="4" w:space="0" w:color="auto"/>
              <w:left w:val="single" w:sz="4" w:space="0" w:color="auto"/>
              <w:bottom w:val="single" w:sz="4" w:space="0" w:color="auto"/>
              <w:right w:val="single" w:sz="4" w:space="0" w:color="auto"/>
            </w:tcBorders>
          </w:tcPr>
          <w:p w:rsidR="00001694" w:rsidRDefault="00001694" w:rsidP="000C1FFE">
            <w:pPr>
              <w:pStyle w:val="naiskr"/>
              <w:tabs>
                <w:tab w:val="left" w:pos="2628"/>
              </w:tabs>
              <w:spacing w:before="0" w:after="0" w:line="276" w:lineRule="auto"/>
              <w:jc w:val="both"/>
              <w:rPr>
                <w:lang w:eastAsia="en-US"/>
              </w:rPr>
            </w:pPr>
            <w:r>
              <w:rPr>
                <w:lang w:eastAsia="en-US"/>
              </w:rPr>
              <w:t>Projekts nerada ietekmi uz spēkā esošo tiesību normu sistēmu.</w:t>
            </w:r>
          </w:p>
        </w:tc>
      </w:tr>
    </w:tbl>
    <w:p w:rsidR="00001694" w:rsidRDefault="00001694" w:rsidP="00001694">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spacing w:line="276" w:lineRule="auto"/>
              <w:jc w:val="center"/>
              <w:rPr>
                <w:lang w:eastAsia="en-US"/>
              </w:rPr>
            </w:pPr>
            <w:r>
              <w:br w:type="page"/>
            </w:r>
            <w:r>
              <w:br w:type="page"/>
            </w:r>
            <w:r>
              <w:rPr>
                <w:b/>
                <w:bCs/>
                <w:lang w:eastAsia="en-US"/>
              </w:rPr>
              <w:t>III</w:t>
            </w:r>
            <w:r>
              <w:rPr>
                <w:lang w:eastAsia="en-US"/>
              </w:rPr>
              <w:t xml:space="preserve"> </w:t>
            </w:r>
            <w:r>
              <w:rPr>
                <w:b/>
                <w:bCs/>
                <w:lang w:eastAsia="en-US"/>
              </w:rPr>
              <w:t>Tiesību akta projekta ietekme uz valsts budžetu un pašvaldību budžetiem</w:t>
            </w:r>
          </w:p>
        </w:tc>
      </w:tr>
      <w:tr w:rsidR="00001694" w:rsidTr="004D42FB">
        <w:tc>
          <w:tcPr>
            <w:tcW w:w="9287" w:type="dxa"/>
            <w:tcBorders>
              <w:top w:val="single" w:sz="4" w:space="0" w:color="auto"/>
              <w:left w:val="single" w:sz="4" w:space="0" w:color="auto"/>
              <w:bottom w:val="single" w:sz="4" w:space="0" w:color="auto"/>
              <w:right w:val="single" w:sz="4" w:space="0" w:color="auto"/>
            </w:tcBorders>
          </w:tcPr>
          <w:p w:rsidR="00001694" w:rsidRDefault="00001694" w:rsidP="000C1FFE">
            <w:pPr>
              <w:pStyle w:val="naiskr"/>
              <w:tabs>
                <w:tab w:val="left" w:pos="2628"/>
              </w:tabs>
              <w:spacing w:before="0" w:after="0" w:line="276" w:lineRule="auto"/>
              <w:jc w:val="both"/>
              <w:rPr>
                <w:lang w:eastAsia="en-US"/>
              </w:rPr>
            </w:pPr>
            <w:r>
              <w:rPr>
                <w:lang w:eastAsia="en-US"/>
              </w:rPr>
              <w:t>Projekts nerada ietekmi uz spēkā esošo tiesību normu sistēmu.</w:t>
            </w:r>
          </w:p>
        </w:tc>
      </w:tr>
    </w:tbl>
    <w:p w:rsidR="00001694" w:rsidRDefault="00001694" w:rsidP="00001694">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spacing w:line="276" w:lineRule="auto"/>
              <w:jc w:val="center"/>
              <w:rPr>
                <w:b/>
                <w:bCs/>
                <w:lang w:eastAsia="en-US"/>
              </w:rPr>
            </w:pPr>
            <w:r>
              <w:rPr>
                <w:b/>
                <w:bCs/>
                <w:lang w:eastAsia="en-US"/>
              </w:rPr>
              <w:t>IV Tiesību akta projekta ietekme uz spēkā esošo tiesību normu sistēmu</w:t>
            </w:r>
          </w:p>
        </w:tc>
      </w:tr>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pStyle w:val="naiskr"/>
              <w:tabs>
                <w:tab w:val="left" w:pos="2628"/>
              </w:tabs>
              <w:spacing w:before="0" w:after="0" w:line="276" w:lineRule="auto"/>
              <w:jc w:val="both"/>
              <w:rPr>
                <w:lang w:eastAsia="en-US"/>
              </w:rPr>
            </w:pPr>
            <w:r>
              <w:rPr>
                <w:lang w:eastAsia="en-US"/>
              </w:rPr>
              <w:t>Projekts nerada ietekmi uz spēkā esošo tiesību normu sistēmu.</w:t>
            </w:r>
          </w:p>
        </w:tc>
      </w:tr>
    </w:tbl>
    <w:p w:rsidR="00001694" w:rsidRDefault="00001694" w:rsidP="0000169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spacing w:line="276" w:lineRule="auto"/>
              <w:jc w:val="center"/>
              <w:rPr>
                <w:b/>
                <w:bCs/>
                <w:lang w:eastAsia="en-US"/>
              </w:rPr>
            </w:pPr>
            <w:r>
              <w:rPr>
                <w:b/>
                <w:lang w:eastAsia="en-US"/>
              </w:rPr>
              <w:t>V Tiesību akta projekta atbilstība Latvijas Republikas starptautiskajām saistībām</w:t>
            </w:r>
          </w:p>
        </w:tc>
      </w:tr>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pStyle w:val="naiskr"/>
              <w:tabs>
                <w:tab w:val="left" w:pos="2628"/>
              </w:tabs>
              <w:spacing w:before="0" w:after="0" w:line="276" w:lineRule="auto"/>
              <w:jc w:val="both"/>
              <w:rPr>
                <w:lang w:eastAsia="en-US"/>
              </w:rPr>
            </w:pPr>
            <w:r>
              <w:rPr>
                <w:iCs/>
                <w:lang w:eastAsia="en-US"/>
              </w:rPr>
              <w:t>Projekts šo jomu neskar.</w:t>
            </w:r>
          </w:p>
        </w:tc>
      </w:tr>
    </w:tbl>
    <w:p w:rsidR="00001694" w:rsidRDefault="00001694" w:rsidP="0000169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spacing w:line="276" w:lineRule="auto"/>
              <w:jc w:val="center"/>
              <w:rPr>
                <w:b/>
                <w:bCs/>
                <w:lang w:eastAsia="en-US"/>
              </w:rPr>
            </w:pPr>
            <w:r>
              <w:rPr>
                <w:b/>
                <w:lang w:eastAsia="en-US"/>
              </w:rPr>
              <w:t>VI Sabiedrības līdzdalība un šīs līdzdalības rezultāti</w:t>
            </w:r>
          </w:p>
        </w:tc>
      </w:tr>
      <w:tr w:rsidR="00001694" w:rsidTr="00001694">
        <w:tc>
          <w:tcPr>
            <w:tcW w:w="9287" w:type="dxa"/>
            <w:tcBorders>
              <w:top w:val="single" w:sz="4" w:space="0" w:color="auto"/>
              <w:left w:val="single" w:sz="4" w:space="0" w:color="auto"/>
              <w:bottom w:val="single" w:sz="4" w:space="0" w:color="auto"/>
              <w:right w:val="single" w:sz="4" w:space="0" w:color="auto"/>
            </w:tcBorders>
            <w:hideMark/>
          </w:tcPr>
          <w:p w:rsidR="00001694" w:rsidRDefault="00001694">
            <w:pPr>
              <w:pStyle w:val="naiskr"/>
              <w:tabs>
                <w:tab w:val="left" w:pos="2628"/>
              </w:tabs>
              <w:spacing w:before="0" w:after="0" w:line="276" w:lineRule="auto"/>
              <w:jc w:val="both"/>
              <w:rPr>
                <w:lang w:eastAsia="en-US"/>
              </w:rPr>
            </w:pPr>
            <w:r>
              <w:rPr>
                <w:iCs/>
                <w:lang w:eastAsia="en-US"/>
              </w:rPr>
              <w:t>Projekts šo jomu neskar.</w:t>
            </w:r>
          </w:p>
        </w:tc>
      </w:tr>
    </w:tbl>
    <w:p w:rsidR="00001694" w:rsidRDefault="00001694" w:rsidP="0000169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01694" w:rsidTr="000C1FFE">
        <w:tc>
          <w:tcPr>
            <w:tcW w:w="9287" w:type="dxa"/>
            <w:tcBorders>
              <w:top w:val="single" w:sz="4" w:space="0" w:color="auto"/>
              <w:left w:val="single" w:sz="4" w:space="0" w:color="auto"/>
              <w:bottom w:val="single" w:sz="4" w:space="0" w:color="auto"/>
              <w:right w:val="single" w:sz="4" w:space="0" w:color="auto"/>
            </w:tcBorders>
            <w:hideMark/>
          </w:tcPr>
          <w:p w:rsidR="00001694" w:rsidRDefault="00001694" w:rsidP="000C1FFE">
            <w:pPr>
              <w:spacing w:line="276" w:lineRule="auto"/>
              <w:jc w:val="center"/>
              <w:rPr>
                <w:b/>
                <w:bCs/>
                <w:lang w:eastAsia="en-US"/>
              </w:rPr>
            </w:pPr>
            <w:r>
              <w:rPr>
                <w:b/>
              </w:rPr>
              <w:t>VII Tiesību akta projekta izpildes nodrošināšana un tās ietekme uz institūcijām</w:t>
            </w:r>
          </w:p>
        </w:tc>
      </w:tr>
      <w:tr w:rsidR="00001694" w:rsidTr="000C1FFE">
        <w:tc>
          <w:tcPr>
            <w:tcW w:w="9287" w:type="dxa"/>
            <w:tcBorders>
              <w:top w:val="single" w:sz="4" w:space="0" w:color="auto"/>
              <w:left w:val="single" w:sz="4" w:space="0" w:color="auto"/>
              <w:bottom w:val="single" w:sz="4" w:space="0" w:color="auto"/>
              <w:right w:val="single" w:sz="4" w:space="0" w:color="auto"/>
            </w:tcBorders>
            <w:hideMark/>
          </w:tcPr>
          <w:p w:rsidR="00001694" w:rsidRDefault="00001694" w:rsidP="000C1FFE">
            <w:pPr>
              <w:pStyle w:val="naiskr"/>
              <w:tabs>
                <w:tab w:val="left" w:pos="2628"/>
              </w:tabs>
              <w:spacing w:before="0" w:after="0" w:line="276" w:lineRule="auto"/>
              <w:jc w:val="both"/>
              <w:rPr>
                <w:lang w:eastAsia="en-US"/>
              </w:rPr>
            </w:pPr>
            <w:r>
              <w:rPr>
                <w:iCs/>
                <w:lang w:eastAsia="en-US"/>
              </w:rPr>
              <w:t>Projekts šo jomu neskar.</w:t>
            </w:r>
          </w:p>
        </w:tc>
      </w:tr>
    </w:tbl>
    <w:p w:rsidR="00001694" w:rsidRDefault="00001694" w:rsidP="00001694"/>
    <w:p w:rsidR="0098141B" w:rsidRDefault="0098141B" w:rsidP="0098141B"/>
    <w:p w:rsidR="0098141B" w:rsidRPr="008207C1" w:rsidRDefault="0098141B" w:rsidP="0098141B">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98141B" w:rsidRDefault="0098141B" w:rsidP="0098141B">
      <w:pPr>
        <w:rPr>
          <w:sz w:val="28"/>
          <w:szCs w:val="28"/>
        </w:rPr>
      </w:pPr>
    </w:p>
    <w:p w:rsidR="003C3F84" w:rsidRDefault="003C3F84" w:rsidP="0098141B">
      <w:pPr>
        <w:pStyle w:val="Footer"/>
        <w:tabs>
          <w:tab w:val="clear" w:pos="4153"/>
          <w:tab w:val="clear" w:pos="8306"/>
        </w:tabs>
        <w:rPr>
          <w:sz w:val="20"/>
          <w:szCs w:val="20"/>
        </w:rPr>
      </w:pPr>
      <w:r>
        <w:rPr>
          <w:sz w:val="20"/>
          <w:szCs w:val="20"/>
        </w:rPr>
        <w:t>26.07.2013 11:18</w:t>
      </w:r>
    </w:p>
    <w:p w:rsidR="0098141B" w:rsidRPr="0083656F" w:rsidRDefault="00001694" w:rsidP="0098141B">
      <w:pPr>
        <w:pStyle w:val="Footer"/>
        <w:tabs>
          <w:tab w:val="clear" w:pos="4153"/>
          <w:tab w:val="clear" w:pos="8306"/>
        </w:tabs>
        <w:rPr>
          <w:sz w:val="20"/>
          <w:szCs w:val="20"/>
        </w:rPr>
      </w:pPr>
      <w:r>
        <w:rPr>
          <w:sz w:val="20"/>
          <w:szCs w:val="20"/>
        </w:rPr>
        <w:t>532</w:t>
      </w:r>
    </w:p>
    <w:p w:rsidR="0098141B" w:rsidRPr="002B0373" w:rsidRDefault="0098141B" w:rsidP="0098141B">
      <w:pPr>
        <w:rPr>
          <w:sz w:val="20"/>
          <w:szCs w:val="20"/>
        </w:rPr>
      </w:pPr>
      <w:r>
        <w:rPr>
          <w:sz w:val="20"/>
          <w:szCs w:val="20"/>
        </w:rPr>
        <w:t>I.Salmane</w:t>
      </w:r>
    </w:p>
    <w:p w:rsidR="0098141B" w:rsidRDefault="0098141B" w:rsidP="0098141B">
      <w:pPr>
        <w:rPr>
          <w:sz w:val="20"/>
          <w:szCs w:val="20"/>
        </w:rPr>
      </w:pPr>
      <w:r>
        <w:rPr>
          <w:sz w:val="20"/>
          <w:szCs w:val="20"/>
        </w:rPr>
        <w:t>tālr.67021556</w:t>
      </w:r>
      <w:r w:rsidRPr="002B0373">
        <w:rPr>
          <w:sz w:val="20"/>
          <w:szCs w:val="20"/>
        </w:rPr>
        <w:t xml:space="preserve">, </w:t>
      </w:r>
      <w:r>
        <w:rPr>
          <w:sz w:val="20"/>
          <w:szCs w:val="20"/>
        </w:rPr>
        <w:t>fakss 67021560</w:t>
      </w:r>
    </w:p>
    <w:p w:rsidR="0098141B" w:rsidRPr="00111F0E" w:rsidRDefault="003C3F84" w:rsidP="0098141B">
      <w:pPr>
        <w:rPr>
          <w:rStyle w:val="Hyperlink"/>
          <w:sz w:val="20"/>
          <w:szCs w:val="20"/>
        </w:rPr>
      </w:pPr>
      <w:hyperlink r:id="rId7" w:history="1">
        <w:r w:rsidR="0098141B" w:rsidRPr="004D0986">
          <w:rPr>
            <w:rStyle w:val="Hyperlink"/>
            <w:sz w:val="20"/>
            <w:szCs w:val="20"/>
          </w:rPr>
          <w:t>Irena.Salmane@lm.gov.lv</w:t>
        </w:r>
      </w:hyperlink>
      <w:r w:rsidR="0098141B" w:rsidRPr="00AD2E96">
        <w:rPr>
          <w:sz w:val="20"/>
          <w:szCs w:val="20"/>
        </w:rPr>
        <w:t xml:space="preserve"> </w:t>
      </w:r>
      <w:bookmarkStart w:id="0" w:name="_GoBack"/>
      <w:bookmarkEnd w:id="0"/>
    </w:p>
    <w:p w:rsidR="0098141B" w:rsidRDefault="0098141B" w:rsidP="0098141B"/>
    <w:p w:rsidR="00144F82" w:rsidRDefault="00144F82"/>
    <w:sectPr w:rsidR="00144F82" w:rsidSect="00C325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3D" w:rsidRDefault="00B80D3D" w:rsidP="00B80D3D">
      <w:r>
        <w:separator/>
      </w:r>
    </w:p>
  </w:endnote>
  <w:endnote w:type="continuationSeparator" w:id="0">
    <w:p w:rsidR="00B80D3D" w:rsidRDefault="00B80D3D" w:rsidP="00B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87" w:rsidRPr="000B6B15" w:rsidRDefault="0000795F" w:rsidP="00197B87">
    <w:pPr>
      <w:pStyle w:val="Footer"/>
      <w:jc w:val="both"/>
    </w:pPr>
    <w:r>
      <w:t>LManot</w:t>
    </w:r>
    <w:r w:rsidRPr="000B6B15">
      <w:t>_</w:t>
    </w:r>
    <w:r w:rsidR="00F03171">
      <w:t>2</w:t>
    </w:r>
    <w:r w:rsidR="003C3F84">
      <w:t>6</w:t>
    </w:r>
    <w:r w:rsidR="00B80D3D">
      <w:t>07</w:t>
    </w:r>
    <w:r w:rsidRPr="000B6B15">
      <w:t>13; Grozījum</w:t>
    </w:r>
    <w:r>
      <w:t>s</w:t>
    </w:r>
    <w:r w:rsidRPr="000B6B15">
      <w:t xml:space="preserve"> likumā „Par </w:t>
    </w:r>
    <w:r>
      <w:t>apdrošināšanu bezdarba gadījumam</w:t>
    </w:r>
    <w:r w:rsidRPr="000B6B15">
      <w:t>”</w:t>
    </w:r>
  </w:p>
  <w:p w:rsidR="00A60CAE" w:rsidRPr="00197B87" w:rsidRDefault="003C3F84" w:rsidP="00197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4C" w:rsidRPr="000B6B15" w:rsidRDefault="0000795F" w:rsidP="00AB4F4C">
    <w:pPr>
      <w:pStyle w:val="Footer"/>
      <w:jc w:val="both"/>
    </w:pPr>
    <w:r>
      <w:t>LManot</w:t>
    </w:r>
    <w:r w:rsidRPr="000B6B15">
      <w:t>_</w:t>
    </w:r>
    <w:r w:rsidR="00F03171">
      <w:t>2</w:t>
    </w:r>
    <w:r w:rsidR="003C3F84">
      <w:t>6</w:t>
    </w:r>
    <w:r w:rsidR="00B80D3D">
      <w:t>07</w:t>
    </w:r>
    <w:r>
      <w:t>13; Grozījums</w:t>
    </w:r>
    <w:r w:rsidRPr="000B6B15">
      <w:t xml:space="preserve"> likumā „Par </w:t>
    </w:r>
    <w:r>
      <w:t>apdrošināšanu bezdarba gadījumam</w:t>
    </w:r>
    <w:r w:rsidRPr="000B6B15">
      <w:t>”</w:t>
    </w:r>
  </w:p>
  <w:p w:rsidR="00A60CAE" w:rsidRPr="00AB4F4C" w:rsidRDefault="003C3F84" w:rsidP="00AB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3D" w:rsidRDefault="00B80D3D" w:rsidP="00B80D3D">
      <w:r>
        <w:separator/>
      </w:r>
    </w:p>
  </w:footnote>
  <w:footnote w:type="continuationSeparator" w:id="0">
    <w:p w:rsidR="00B80D3D" w:rsidRDefault="00B80D3D" w:rsidP="00B8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E" w:rsidRDefault="0000795F"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F84">
      <w:rPr>
        <w:rStyle w:val="PageNumber"/>
        <w:noProof/>
      </w:rPr>
      <w:t>2</w:t>
    </w:r>
    <w:r>
      <w:rPr>
        <w:rStyle w:val="PageNumber"/>
      </w:rPr>
      <w:fldChar w:fldCharType="end"/>
    </w:r>
  </w:p>
  <w:p w:rsidR="00A60CAE" w:rsidRDefault="003C3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B"/>
    <w:rsid w:val="00001694"/>
    <w:rsid w:val="0000795F"/>
    <w:rsid w:val="000545A2"/>
    <w:rsid w:val="001170BF"/>
    <w:rsid w:val="00144F82"/>
    <w:rsid w:val="0020114B"/>
    <w:rsid w:val="003C3F84"/>
    <w:rsid w:val="003C7762"/>
    <w:rsid w:val="004A7B09"/>
    <w:rsid w:val="006274F0"/>
    <w:rsid w:val="006734ED"/>
    <w:rsid w:val="0098141B"/>
    <w:rsid w:val="00A00339"/>
    <w:rsid w:val="00B80D3D"/>
    <w:rsid w:val="00DD1FB4"/>
    <w:rsid w:val="00F03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98141B"/>
    <w:pPr>
      <w:spacing w:before="75" w:after="75"/>
    </w:pPr>
  </w:style>
  <w:style w:type="paragraph" w:styleId="Header">
    <w:name w:val="header"/>
    <w:basedOn w:val="Normal"/>
    <w:link w:val="HeaderChar"/>
    <w:uiPriority w:val="99"/>
    <w:rsid w:val="0098141B"/>
    <w:pPr>
      <w:tabs>
        <w:tab w:val="center" w:pos="4153"/>
        <w:tab w:val="right" w:pos="8306"/>
      </w:tabs>
    </w:pPr>
  </w:style>
  <w:style w:type="character" w:customStyle="1" w:styleId="HeaderChar">
    <w:name w:val="Header Char"/>
    <w:basedOn w:val="DefaultParagraphFont"/>
    <w:link w:val="Header"/>
    <w:uiPriority w:val="99"/>
    <w:rsid w:val="0098141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8141B"/>
  </w:style>
  <w:style w:type="paragraph" w:styleId="Footer">
    <w:name w:val="footer"/>
    <w:basedOn w:val="Normal"/>
    <w:link w:val="FooterChar"/>
    <w:rsid w:val="0098141B"/>
    <w:pPr>
      <w:tabs>
        <w:tab w:val="center" w:pos="4153"/>
        <w:tab w:val="right" w:pos="8306"/>
      </w:tabs>
    </w:pPr>
  </w:style>
  <w:style w:type="character" w:customStyle="1" w:styleId="FooterChar">
    <w:name w:val="Footer Char"/>
    <w:basedOn w:val="DefaultParagraphFont"/>
    <w:link w:val="Footer"/>
    <w:rsid w:val="0098141B"/>
    <w:rPr>
      <w:rFonts w:ascii="Times New Roman" w:eastAsia="Times New Roman" w:hAnsi="Times New Roman" w:cs="Times New Roman"/>
      <w:sz w:val="24"/>
      <w:szCs w:val="24"/>
      <w:lang w:eastAsia="lv-LV"/>
    </w:rPr>
  </w:style>
  <w:style w:type="paragraph" w:customStyle="1" w:styleId="naisf">
    <w:name w:val="naisf"/>
    <w:basedOn w:val="Normal"/>
    <w:uiPriority w:val="99"/>
    <w:rsid w:val="0098141B"/>
    <w:pPr>
      <w:spacing w:before="75" w:after="75"/>
      <w:ind w:firstLine="375"/>
      <w:jc w:val="both"/>
    </w:pPr>
  </w:style>
  <w:style w:type="character" w:styleId="Hyperlink">
    <w:name w:val="Hyperlink"/>
    <w:basedOn w:val="DefaultParagraphFont"/>
    <w:uiPriority w:val="99"/>
    <w:rsid w:val="0098141B"/>
    <w:rPr>
      <w:color w:val="0000FF"/>
      <w:u w:val="single"/>
    </w:rPr>
  </w:style>
  <w:style w:type="table" w:styleId="TableGrid">
    <w:name w:val="Table Grid"/>
    <w:basedOn w:val="TableNormal"/>
    <w:rsid w:val="0098141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98141B"/>
    <w:pPr>
      <w:spacing w:before="75" w:after="75"/>
    </w:pPr>
  </w:style>
  <w:style w:type="paragraph" w:styleId="Header">
    <w:name w:val="header"/>
    <w:basedOn w:val="Normal"/>
    <w:link w:val="HeaderChar"/>
    <w:uiPriority w:val="99"/>
    <w:rsid w:val="0098141B"/>
    <w:pPr>
      <w:tabs>
        <w:tab w:val="center" w:pos="4153"/>
        <w:tab w:val="right" w:pos="8306"/>
      </w:tabs>
    </w:pPr>
  </w:style>
  <w:style w:type="character" w:customStyle="1" w:styleId="HeaderChar">
    <w:name w:val="Header Char"/>
    <w:basedOn w:val="DefaultParagraphFont"/>
    <w:link w:val="Header"/>
    <w:uiPriority w:val="99"/>
    <w:rsid w:val="0098141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8141B"/>
  </w:style>
  <w:style w:type="paragraph" w:styleId="Footer">
    <w:name w:val="footer"/>
    <w:basedOn w:val="Normal"/>
    <w:link w:val="FooterChar"/>
    <w:rsid w:val="0098141B"/>
    <w:pPr>
      <w:tabs>
        <w:tab w:val="center" w:pos="4153"/>
        <w:tab w:val="right" w:pos="8306"/>
      </w:tabs>
    </w:pPr>
  </w:style>
  <w:style w:type="character" w:customStyle="1" w:styleId="FooterChar">
    <w:name w:val="Footer Char"/>
    <w:basedOn w:val="DefaultParagraphFont"/>
    <w:link w:val="Footer"/>
    <w:rsid w:val="0098141B"/>
    <w:rPr>
      <w:rFonts w:ascii="Times New Roman" w:eastAsia="Times New Roman" w:hAnsi="Times New Roman" w:cs="Times New Roman"/>
      <w:sz w:val="24"/>
      <w:szCs w:val="24"/>
      <w:lang w:eastAsia="lv-LV"/>
    </w:rPr>
  </w:style>
  <w:style w:type="paragraph" w:customStyle="1" w:styleId="naisf">
    <w:name w:val="naisf"/>
    <w:basedOn w:val="Normal"/>
    <w:uiPriority w:val="99"/>
    <w:rsid w:val="0098141B"/>
    <w:pPr>
      <w:spacing w:before="75" w:after="75"/>
      <w:ind w:firstLine="375"/>
      <w:jc w:val="both"/>
    </w:pPr>
  </w:style>
  <w:style w:type="character" w:styleId="Hyperlink">
    <w:name w:val="Hyperlink"/>
    <w:basedOn w:val="DefaultParagraphFont"/>
    <w:uiPriority w:val="99"/>
    <w:rsid w:val="0098141B"/>
    <w:rPr>
      <w:color w:val="0000FF"/>
      <w:u w:val="single"/>
    </w:rPr>
  </w:style>
  <w:style w:type="table" w:styleId="TableGrid">
    <w:name w:val="Table Grid"/>
    <w:basedOn w:val="TableNormal"/>
    <w:rsid w:val="0098141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0179">
      <w:bodyDiv w:val="1"/>
      <w:marLeft w:val="0"/>
      <w:marRight w:val="0"/>
      <w:marTop w:val="0"/>
      <w:marBottom w:val="0"/>
      <w:divBdr>
        <w:top w:val="none" w:sz="0" w:space="0" w:color="auto"/>
        <w:left w:val="none" w:sz="0" w:space="0" w:color="auto"/>
        <w:bottom w:val="none" w:sz="0" w:space="0" w:color="auto"/>
        <w:right w:val="none" w:sz="0" w:space="0" w:color="auto"/>
      </w:divBdr>
    </w:div>
    <w:div w:id="3748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544</Words>
  <Characters>3686</Characters>
  <Application>Microsoft Office Word</Application>
  <DocSecurity>0</DocSecurity>
  <Lines>118</Lines>
  <Paragraphs>54</Paragraphs>
  <ScaleCrop>false</ScaleCrop>
  <HeadingPairs>
    <vt:vector size="2" baseType="variant">
      <vt:variant>
        <vt:lpstr>Title</vt:lpstr>
      </vt:variant>
      <vt:variant>
        <vt:i4>1</vt:i4>
      </vt:variant>
    </vt:vector>
  </HeadingPairs>
  <TitlesOfParts>
    <vt:vector size="1" baseType="lpstr">
      <vt:lpstr>Grozījums likumā "Par apdrošināšanu bezdarba gadījumam"</vt:lpstr>
    </vt:vector>
  </TitlesOfParts>
  <Company>LM</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apdrošināšanu bezdarba gadījumam"</dc:title>
  <dc:subject>Anotācija</dc:subject>
  <dc:creator>Irēna Salmane</dc:creator>
  <dc:description>I.Salmane_x000d_
tālr. 67021556, fakss 67021560_x000d_
irena.salmane@lm.gov.lv</dc:description>
  <cp:lastModifiedBy>Irena Salmane</cp:lastModifiedBy>
  <cp:revision>7</cp:revision>
  <cp:lastPrinted>2013-07-26T08:18:00Z</cp:lastPrinted>
  <dcterms:created xsi:type="dcterms:W3CDTF">2013-07-19T08:08:00Z</dcterms:created>
  <dcterms:modified xsi:type="dcterms:W3CDTF">2013-07-26T08:18:00Z</dcterms:modified>
</cp:coreProperties>
</file>