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8" w:rsidRPr="00F602AA" w:rsidRDefault="006961A8" w:rsidP="00F602AA">
      <w:pPr>
        <w:jc w:val="center"/>
        <w:rPr>
          <w:b/>
          <w:bCs/>
          <w:sz w:val="28"/>
          <w:szCs w:val="28"/>
        </w:rPr>
      </w:pPr>
      <w:r w:rsidRPr="00F602AA">
        <w:rPr>
          <w:b/>
          <w:bCs/>
          <w:sz w:val="28"/>
          <w:szCs w:val="28"/>
        </w:rPr>
        <w:t>Ministru kabineta noteikumu projekta „Grozījumi Ministru kabineta 2005.gada</w:t>
      </w:r>
      <w:r>
        <w:rPr>
          <w:b/>
          <w:bCs/>
          <w:sz w:val="28"/>
          <w:szCs w:val="28"/>
        </w:rPr>
        <w:t xml:space="preserve"> 15.novembra noteikumos Nr.857 „</w:t>
      </w:r>
      <w:r w:rsidRPr="00F602AA">
        <w:rPr>
          <w:b/>
          <w:bCs/>
          <w:sz w:val="28"/>
          <w:szCs w:val="28"/>
        </w:rPr>
        <w:t>Noteikumi par sociālajām garantijām bārenim un bez vecāku gādības palikušajam bērnam, kurš ir ārpusģimenes aprūpē, kā arī pēc ārpusģimenes aprūpes beigšanās”” sākotnējās ietekmes novērtējuma ziņojums (anotācija)</w:t>
      </w:r>
      <w:r w:rsidRPr="00F602AA">
        <w:rPr>
          <w:b/>
          <w:bCs/>
          <w:sz w:val="28"/>
          <w:szCs w:val="28"/>
        </w:rPr>
        <w:tab/>
      </w:r>
    </w:p>
    <w:p w:rsidR="006961A8" w:rsidRDefault="006961A8" w:rsidP="000864C1">
      <w:pPr>
        <w:jc w:val="center"/>
        <w:rPr>
          <w:b/>
          <w:bCs/>
          <w:sz w:val="28"/>
          <w:szCs w:val="28"/>
        </w:rPr>
      </w:pPr>
    </w:p>
    <w:p w:rsidR="006961A8" w:rsidRDefault="006961A8" w:rsidP="000864C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072"/>
        <w:gridCol w:w="5819"/>
      </w:tblGrid>
      <w:tr w:rsidR="006961A8" w:rsidRPr="00B76D85">
        <w:tc>
          <w:tcPr>
            <w:tcW w:w="5000" w:type="pct"/>
            <w:gridSpan w:val="3"/>
          </w:tcPr>
          <w:p w:rsidR="006961A8" w:rsidRPr="00E10C41" w:rsidRDefault="006961A8" w:rsidP="00E10C41">
            <w:pPr>
              <w:jc w:val="center"/>
              <w:rPr>
                <w:b/>
                <w:bCs/>
              </w:rPr>
            </w:pPr>
            <w:r w:rsidRPr="00E10C41">
              <w:rPr>
                <w:b/>
                <w:bCs/>
              </w:rPr>
              <w:t>I Tiesību akta projekta izstrādes nepieciešamība</w:t>
            </w:r>
          </w:p>
        </w:tc>
      </w:tr>
      <w:tr w:rsidR="006961A8" w:rsidRPr="003F27FC">
        <w:tc>
          <w:tcPr>
            <w:tcW w:w="213" w:type="pct"/>
          </w:tcPr>
          <w:p w:rsidR="006961A8" w:rsidRPr="00716E2F" w:rsidRDefault="006961A8" w:rsidP="00955BA3">
            <w:r w:rsidRPr="00716E2F">
              <w:t>1.</w:t>
            </w:r>
          </w:p>
        </w:tc>
        <w:tc>
          <w:tcPr>
            <w:tcW w:w="1654" w:type="pct"/>
          </w:tcPr>
          <w:p w:rsidR="006961A8" w:rsidRPr="00716E2F" w:rsidRDefault="006961A8" w:rsidP="00955BA3">
            <w:r w:rsidRPr="00716E2F">
              <w:t>Pamatojums</w:t>
            </w:r>
          </w:p>
        </w:tc>
        <w:tc>
          <w:tcPr>
            <w:tcW w:w="3133" w:type="pct"/>
          </w:tcPr>
          <w:p w:rsidR="006961A8" w:rsidRPr="00324392" w:rsidRDefault="006961A8" w:rsidP="00E10C41">
            <w:pPr>
              <w:jc w:val="both"/>
            </w:pPr>
            <w:r w:rsidRPr="00324392">
              <w:rPr>
                <w:i/>
                <w:iCs/>
              </w:rPr>
              <w:t>Euro</w:t>
            </w:r>
            <w:r w:rsidRPr="00324392">
              <w:t xml:space="preserve"> ieviešanas kārtības likuma 30.panta pirmā daļa, Ministru kabineta 2012.gada 27.jūnija rīkojum</w:t>
            </w:r>
            <w:r>
              <w:t>a</w:t>
            </w:r>
            <w:r w:rsidRPr="00324392">
              <w:t xml:space="preserve"> Nr.282 „Par „Koncepciju par normatīvo aktu sakārtošanu saistībā ar eiro ieviešanu Latvijā”” </w:t>
            </w:r>
            <w:r>
              <w:t xml:space="preserve">4.punkts </w:t>
            </w:r>
            <w:r w:rsidRPr="00324392">
              <w:t xml:space="preserve">un Ministru kabineta 2013.gada 29.maija rīkojums Nr.212 (MK 21.05.2013. prot. Nr.30 52.§) „Par tiesību aktu grozījumu virzību saistībā ar </w:t>
            </w:r>
            <w:r w:rsidRPr="00324392">
              <w:rPr>
                <w:i/>
                <w:iCs/>
              </w:rPr>
              <w:t>euro</w:t>
            </w:r>
            <w:r w:rsidRPr="00324392">
              <w:t xml:space="preserve"> ieviešanu Latvijā” 1.5.apakšpunkts.</w:t>
            </w:r>
          </w:p>
        </w:tc>
      </w:tr>
      <w:tr w:rsidR="006961A8" w:rsidRPr="003F27FC">
        <w:tc>
          <w:tcPr>
            <w:tcW w:w="213" w:type="pct"/>
          </w:tcPr>
          <w:p w:rsidR="006961A8" w:rsidRPr="00716E2F" w:rsidRDefault="006961A8" w:rsidP="00955BA3">
            <w:r w:rsidRPr="00716E2F">
              <w:t xml:space="preserve">2. </w:t>
            </w:r>
          </w:p>
        </w:tc>
        <w:tc>
          <w:tcPr>
            <w:tcW w:w="1654" w:type="pct"/>
          </w:tcPr>
          <w:p w:rsidR="006961A8" w:rsidRPr="00716E2F" w:rsidRDefault="006961A8" w:rsidP="00955BA3">
            <w:r w:rsidRPr="00716E2F">
              <w:t>Pašreizējā situācija un problēmas</w:t>
            </w:r>
          </w:p>
        </w:tc>
        <w:tc>
          <w:tcPr>
            <w:tcW w:w="3133" w:type="pct"/>
          </w:tcPr>
          <w:p w:rsidR="006961A8" w:rsidRPr="00716E2F" w:rsidRDefault="006961A8" w:rsidP="00E10C41">
            <w:pPr>
              <w:jc w:val="both"/>
            </w:pPr>
            <w:r w:rsidRPr="00E10C41">
              <w:t xml:space="preserve">Ņemot vērā, ka ar 2014.gada 1.janvāri Latvijā plānots ieviest </w:t>
            </w:r>
            <w:r w:rsidRPr="00E10C41">
              <w:rPr>
                <w:i/>
                <w:iCs/>
              </w:rPr>
              <w:t>euro</w:t>
            </w:r>
            <w:r w:rsidRPr="00E10C41">
              <w:t>, ir nepieciešams veikt grozījumu</w:t>
            </w:r>
            <w:r>
              <w:t>s</w:t>
            </w:r>
            <w:r w:rsidRPr="00E10C41">
              <w:t xml:space="preserve"> Ministru </w:t>
            </w:r>
            <w:r w:rsidRPr="00324392">
              <w:t>kabineta 2005.gada 15.novembra noteikumos Nr.857 “Noteikumi par sociālajām garantijām bārenim un bez vecāku gādības palikušajam bērnam, kurš ir ārpusģimenes aprūpē, kā arī pēc ārpusģimenes aprūpes beigšanās” (turpmāk – MK noteikum</w:t>
            </w:r>
            <w:r>
              <w:t>u projekts</w:t>
            </w:r>
            <w:r w:rsidRPr="00324392">
              <w:t xml:space="preserve">), aizstājot tajā latus ar </w:t>
            </w:r>
            <w:r w:rsidRPr="00324392">
              <w:rPr>
                <w:i/>
                <w:iCs/>
              </w:rPr>
              <w:t>euro</w:t>
            </w:r>
            <w:r w:rsidRPr="00324392">
              <w:t>.</w:t>
            </w:r>
          </w:p>
        </w:tc>
      </w:tr>
      <w:tr w:rsidR="006961A8" w:rsidRPr="003F27FC">
        <w:tc>
          <w:tcPr>
            <w:tcW w:w="213" w:type="pct"/>
          </w:tcPr>
          <w:p w:rsidR="006961A8" w:rsidRPr="00716E2F" w:rsidRDefault="006961A8" w:rsidP="00955BA3">
            <w:r w:rsidRPr="00716E2F">
              <w:t xml:space="preserve">3. </w:t>
            </w:r>
          </w:p>
        </w:tc>
        <w:tc>
          <w:tcPr>
            <w:tcW w:w="1654" w:type="pct"/>
          </w:tcPr>
          <w:p w:rsidR="006961A8" w:rsidRPr="00716E2F" w:rsidRDefault="006961A8" w:rsidP="00955BA3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6961A8" w:rsidRPr="00716E2F" w:rsidRDefault="006961A8" w:rsidP="00E10C41">
            <w:pPr>
              <w:jc w:val="both"/>
            </w:pPr>
            <w:r w:rsidRPr="00716E2F">
              <w:t>Nav attiecināms.</w:t>
            </w:r>
          </w:p>
        </w:tc>
      </w:tr>
      <w:tr w:rsidR="006961A8" w:rsidRPr="003F27FC">
        <w:tc>
          <w:tcPr>
            <w:tcW w:w="213" w:type="pct"/>
          </w:tcPr>
          <w:p w:rsidR="006961A8" w:rsidRPr="00716E2F" w:rsidRDefault="006961A8" w:rsidP="00955BA3">
            <w:r w:rsidRPr="00716E2F">
              <w:t>4.</w:t>
            </w:r>
          </w:p>
        </w:tc>
        <w:tc>
          <w:tcPr>
            <w:tcW w:w="1654" w:type="pct"/>
          </w:tcPr>
          <w:p w:rsidR="006961A8" w:rsidRPr="00716E2F" w:rsidRDefault="006961A8" w:rsidP="00955BA3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6961A8" w:rsidRPr="00E10C41" w:rsidRDefault="006961A8" w:rsidP="00110F9F">
            <w:pPr>
              <w:spacing w:after="120"/>
              <w:jc w:val="both"/>
            </w:pPr>
            <w:r>
              <w:t>MK noteikumu projekta</w:t>
            </w:r>
            <w:r w:rsidRPr="00E10C41">
              <w:t xml:space="preserve"> mērķis ir pielāgot </w:t>
            </w:r>
            <w:r>
              <w:t>spēkā esošo normatīvo regulējumu</w:t>
            </w:r>
            <w:r w:rsidRPr="00E10C41">
              <w:t xml:space="preserve"> </w:t>
            </w:r>
            <w:r w:rsidRPr="00E10C41">
              <w:rPr>
                <w:i/>
                <w:iCs/>
              </w:rPr>
              <w:t>euro</w:t>
            </w:r>
            <w:r w:rsidRPr="00E10C41">
              <w:t xml:space="preserve"> ieviešanai, aizstājot tajā latus ar </w:t>
            </w:r>
            <w:r w:rsidRPr="00E10C41">
              <w:rPr>
                <w:i/>
                <w:iCs/>
              </w:rPr>
              <w:t>euro</w:t>
            </w:r>
            <w:r w:rsidRPr="00E10C41">
              <w:t>.</w:t>
            </w:r>
          </w:p>
          <w:p w:rsidR="006961A8" w:rsidRDefault="006961A8" w:rsidP="00110F9F">
            <w:pPr>
              <w:spacing w:after="120"/>
              <w:jc w:val="both"/>
            </w:pPr>
            <w:r w:rsidRPr="00E10C41">
              <w:t xml:space="preserve">Projekts paredz aizstāt latus ar </w:t>
            </w:r>
            <w:r w:rsidRPr="00E10C41">
              <w:rPr>
                <w:i/>
                <w:iCs/>
              </w:rPr>
              <w:t>euro</w:t>
            </w:r>
            <w:r w:rsidRPr="00E10C41">
              <w:t xml:space="preserve"> atbilstoši </w:t>
            </w:r>
            <w:r w:rsidRPr="00E10C41">
              <w:rPr>
                <w:i/>
                <w:iCs/>
              </w:rPr>
              <w:t>Euro</w:t>
            </w:r>
            <w:r w:rsidRPr="00E10C41">
              <w:t xml:space="preserve"> ieviešana kārtības likuma 6.pantā paredzētajiem principiem.</w:t>
            </w:r>
          </w:p>
          <w:p w:rsidR="006961A8" w:rsidRDefault="006961A8" w:rsidP="00110F9F">
            <w:pPr>
              <w:spacing w:after="120"/>
              <w:jc w:val="both"/>
            </w:pPr>
            <w:r>
              <w:t xml:space="preserve">MK noteikumu projekta 1.2.apakšpunktā minēto sadzīves priekšmetu un mīkstā inventāra minimuma patstāvīgās dzīves uzsākšanai vienas vienības cenu kopsumma (350 lati) pēc konvertācijas </w:t>
            </w:r>
            <w:r>
              <w:rPr>
                <w:i/>
                <w:iCs/>
              </w:rPr>
              <w:t>euro</w:t>
            </w:r>
            <w:r>
              <w:t xml:space="preserve"> sanāk 498,01 </w:t>
            </w:r>
            <w:r>
              <w:rPr>
                <w:i/>
                <w:iCs/>
              </w:rPr>
              <w:t>euro</w:t>
            </w:r>
            <w:r>
              <w:t xml:space="preserve">. Savukārt, pēc pielikumā norādīto vienu vienību cenas </w:t>
            </w:r>
            <w:r>
              <w:rPr>
                <w:i/>
                <w:iCs/>
              </w:rPr>
              <w:t>euro</w:t>
            </w:r>
            <w:r>
              <w:t xml:space="preserve"> matemātiskas saskaitīšanas, kopsumma sanāk 499,42 </w:t>
            </w:r>
            <w:r>
              <w:rPr>
                <w:i/>
                <w:iCs/>
              </w:rPr>
              <w:t>euro</w:t>
            </w:r>
            <w:r>
              <w:t xml:space="preserve">. Ņemot vērā, ka atbilstoši </w:t>
            </w:r>
            <w:r w:rsidRPr="00BE170E">
              <w:rPr>
                <w:i/>
                <w:iCs/>
              </w:rPr>
              <w:t>Euro</w:t>
            </w:r>
            <w:r w:rsidRPr="00BE170E">
              <w:t xml:space="preserve"> ieviešanas kārtības likuma 32.panta otrās daļas 2.punkta a) apakšpunktam, kas paredz, ka tiesību norma, kurā skaitliskā vērtība tiek izteikta </w:t>
            </w:r>
            <w:r w:rsidRPr="00BE170E">
              <w:rPr>
                <w:i/>
                <w:iCs/>
              </w:rPr>
              <w:t>euro</w:t>
            </w:r>
            <w:r w:rsidRPr="00BE170E">
              <w:t>, nav personai nelabvēlīgāka par sākotnējo tiesību normu, kurā skaitliskā</w:t>
            </w:r>
            <w:r>
              <w:t xml:space="preserve"> vērtība ir izteikta latos, MK noteikumu projektā kopsumma ir izteikta, ņemot par pamatu vienas vienības cenas </w:t>
            </w:r>
            <w:r>
              <w:rPr>
                <w:i/>
                <w:iCs/>
              </w:rPr>
              <w:t>euro</w:t>
            </w:r>
            <w:r>
              <w:t xml:space="preserve"> matemātisku saskaitīšanu, kas ir personai labvēlīgāka.</w:t>
            </w:r>
          </w:p>
          <w:p w:rsidR="006961A8" w:rsidRPr="00962F94" w:rsidRDefault="006961A8" w:rsidP="00110F9F">
            <w:pPr>
              <w:spacing w:after="120"/>
              <w:jc w:val="both"/>
            </w:pPr>
            <w:r>
              <w:t xml:space="preserve">Ņemot vērā, ka </w:t>
            </w:r>
            <w:r w:rsidRPr="00324392">
              <w:t>2005.gada 15.novembra noteikum</w:t>
            </w:r>
            <w:r>
              <w:t>u</w:t>
            </w:r>
            <w:r w:rsidRPr="00324392">
              <w:t xml:space="preserve"> Nr.857 “Noteikumi par sociālajām garantijām bārenim un bez vecāku gādības palikušajam bērnam, kurš ir ārpusģimenes aprūpē, kā arī pēc ārpusģimenes aprūpes beigšanās”</w:t>
            </w:r>
            <w:r>
              <w:t xml:space="preserve"> 30.punktā minētais pabalsts sadzīves priekšmetu un mīkstā inventāra iegādei </w:t>
            </w:r>
            <w:r w:rsidRPr="00962F94">
              <w:rPr>
                <w:u w:val="single"/>
              </w:rPr>
              <w:t>ir puse no summas</w:t>
            </w:r>
            <w:r>
              <w:t xml:space="preserve">, kas nepieciešama, lai aprīkotu mājokli ar nepieciešamo sadzīves priekšmetu un mīkstā inventāra minimumu patstāvīgas dzīves uzsākšanai (5.pielikums), MK noteikumu projekta 1.1.apakšpunktā minētā </w:t>
            </w:r>
            <w:r w:rsidRPr="00110F9F">
              <w:rPr>
                <w:i/>
                <w:iCs/>
              </w:rPr>
              <w:t>euro</w:t>
            </w:r>
            <w:r>
              <w:rPr>
                <w:i/>
                <w:iCs/>
              </w:rPr>
              <w:t xml:space="preserve"> </w:t>
            </w:r>
            <w:r>
              <w:t xml:space="preserve">summa tiek noteikta 249,71 </w:t>
            </w:r>
            <w:r>
              <w:rPr>
                <w:i/>
                <w:iCs/>
              </w:rPr>
              <w:t xml:space="preserve">euro </w:t>
            </w:r>
            <w:r>
              <w:t xml:space="preserve">(pēc 175 latu konvertācijas uz </w:t>
            </w:r>
            <w:r>
              <w:rPr>
                <w:i/>
                <w:iCs/>
              </w:rPr>
              <w:t>euro</w:t>
            </w:r>
            <w:r>
              <w:t xml:space="preserve"> sanāktu 249,00 </w:t>
            </w:r>
            <w:r>
              <w:rPr>
                <w:i/>
                <w:iCs/>
              </w:rPr>
              <w:t>euro</w:t>
            </w:r>
            <w:r>
              <w:t>) atbilstoši 1.2.apakšpunktā minētajai sadzīves priekšmetu un mīkstā inventāra minimuma patstāvīgās dzīves uzsākšanai vienas vienības cenu kopsummai.</w:t>
            </w:r>
          </w:p>
          <w:p w:rsidR="006961A8" w:rsidRPr="00716E2F" w:rsidRDefault="006961A8" w:rsidP="00110F9F">
            <w:pPr>
              <w:spacing w:after="120"/>
              <w:jc w:val="both"/>
            </w:pPr>
            <w:r>
              <w:t>Vienlaikus g</w:t>
            </w:r>
            <w:r w:rsidRPr="00E10C41">
              <w:t xml:space="preserve">rozītās tiesību normas </w:t>
            </w:r>
            <w:r w:rsidRPr="00E10C41">
              <w:rPr>
                <w:i/>
                <w:iCs/>
              </w:rPr>
              <w:t>euro</w:t>
            </w:r>
            <w:r w:rsidRPr="00E10C41">
              <w:t xml:space="preserve"> valūtā personām</w:t>
            </w:r>
            <w:r>
              <w:t xml:space="preserve"> ir labvēlīgāka</w:t>
            </w:r>
            <w:r w:rsidRPr="00E10C41">
              <w:t xml:space="preserve"> pa</w:t>
            </w:r>
            <w:r>
              <w:t xml:space="preserve">r sākotnējo tiesību normu latos, tomēr </w:t>
            </w:r>
            <w:r w:rsidRPr="00E10C41">
              <w:t xml:space="preserve">nerada vērā ņemamu negatīvu ietekmi uz </w:t>
            </w:r>
            <w:r>
              <w:t>pašvaldību</w:t>
            </w:r>
            <w:r w:rsidRPr="00E10C41">
              <w:t xml:space="preserve"> budžetu.</w:t>
            </w:r>
          </w:p>
        </w:tc>
      </w:tr>
      <w:tr w:rsidR="006961A8" w:rsidRPr="003F27FC">
        <w:tc>
          <w:tcPr>
            <w:tcW w:w="213" w:type="pct"/>
          </w:tcPr>
          <w:p w:rsidR="006961A8" w:rsidRPr="00716E2F" w:rsidRDefault="006961A8" w:rsidP="00955BA3">
            <w:r w:rsidRPr="00716E2F">
              <w:t>5.</w:t>
            </w:r>
          </w:p>
        </w:tc>
        <w:tc>
          <w:tcPr>
            <w:tcW w:w="1654" w:type="pct"/>
          </w:tcPr>
          <w:p w:rsidR="006961A8" w:rsidRPr="00716E2F" w:rsidRDefault="006961A8" w:rsidP="00955BA3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6961A8" w:rsidRPr="008F285C" w:rsidRDefault="006961A8" w:rsidP="00E10C41">
            <w:pPr>
              <w:jc w:val="both"/>
            </w:pPr>
            <w:r w:rsidRPr="00E10C41">
              <w:t>Nav attiecināms.</w:t>
            </w:r>
          </w:p>
        </w:tc>
      </w:tr>
      <w:tr w:rsidR="006961A8" w:rsidRPr="003F27FC">
        <w:tc>
          <w:tcPr>
            <w:tcW w:w="213" w:type="pct"/>
          </w:tcPr>
          <w:p w:rsidR="006961A8" w:rsidRPr="00716E2F" w:rsidRDefault="006961A8" w:rsidP="00955BA3">
            <w:r w:rsidRPr="00716E2F">
              <w:t>6.</w:t>
            </w:r>
          </w:p>
        </w:tc>
        <w:tc>
          <w:tcPr>
            <w:tcW w:w="1654" w:type="pct"/>
          </w:tcPr>
          <w:p w:rsidR="006961A8" w:rsidRPr="00716E2F" w:rsidRDefault="006961A8" w:rsidP="00955BA3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6961A8" w:rsidRPr="008F285C" w:rsidRDefault="006961A8" w:rsidP="00E10C41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6961A8" w:rsidRPr="003F27FC">
        <w:tc>
          <w:tcPr>
            <w:tcW w:w="213" w:type="pct"/>
          </w:tcPr>
          <w:p w:rsidR="006961A8" w:rsidRPr="00716E2F" w:rsidRDefault="006961A8" w:rsidP="00955BA3">
            <w:r w:rsidRPr="00716E2F">
              <w:t xml:space="preserve">7. </w:t>
            </w:r>
          </w:p>
        </w:tc>
        <w:tc>
          <w:tcPr>
            <w:tcW w:w="1654" w:type="pct"/>
          </w:tcPr>
          <w:p w:rsidR="006961A8" w:rsidRPr="00716E2F" w:rsidRDefault="006961A8" w:rsidP="00955BA3">
            <w:r w:rsidRPr="00716E2F">
              <w:t>Cita informācija</w:t>
            </w:r>
          </w:p>
        </w:tc>
        <w:tc>
          <w:tcPr>
            <w:tcW w:w="3133" w:type="pct"/>
          </w:tcPr>
          <w:p w:rsidR="006961A8" w:rsidRPr="00E10C41" w:rsidRDefault="006961A8" w:rsidP="00E10C41">
            <w:pPr>
              <w:jc w:val="both"/>
              <w:rPr>
                <w:color w:val="FF0000"/>
              </w:rPr>
            </w:pPr>
            <w:r>
              <w:t>Nav</w:t>
            </w:r>
            <w:r w:rsidRPr="00F837C9">
              <w:t>.</w:t>
            </w:r>
          </w:p>
        </w:tc>
      </w:tr>
    </w:tbl>
    <w:p w:rsidR="006961A8" w:rsidRDefault="006961A8" w:rsidP="000864C1">
      <w:pPr>
        <w:jc w:val="center"/>
      </w:pPr>
    </w:p>
    <w:p w:rsidR="006961A8" w:rsidRPr="009C59D1" w:rsidRDefault="006961A8" w:rsidP="0036356C">
      <w:pPr>
        <w:jc w:val="center"/>
        <w:rPr>
          <w:i/>
          <w:iCs/>
        </w:rPr>
      </w:pPr>
      <w:r w:rsidRPr="00A27760">
        <w:rPr>
          <w:i/>
          <w:iCs/>
        </w:rPr>
        <w:t xml:space="preserve">Anotācijas </w:t>
      </w:r>
      <w:r>
        <w:rPr>
          <w:i/>
          <w:iCs/>
        </w:rPr>
        <w:t>II</w:t>
      </w:r>
      <w:r w:rsidRPr="00A27760">
        <w:rPr>
          <w:i/>
          <w:iCs/>
        </w:rPr>
        <w:t xml:space="preserve"> sadaļa - projekts šīs jomas neskar.</w:t>
      </w:r>
    </w:p>
    <w:p w:rsidR="006961A8" w:rsidRDefault="006961A8" w:rsidP="00086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1530"/>
        <w:gridCol w:w="1310"/>
        <w:gridCol w:w="1218"/>
        <w:gridCol w:w="1228"/>
        <w:gridCol w:w="1255"/>
      </w:tblGrid>
      <w:tr w:rsidR="006961A8">
        <w:tc>
          <w:tcPr>
            <w:tcW w:w="9287" w:type="dxa"/>
            <w:gridSpan w:val="6"/>
          </w:tcPr>
          <w:p w:rsidR="006961A8" w:rsidRDefault="006961A8" w:rsidP="00E10C41">
            <w:pPr>
              <w:jc w:val="center"/>
            </w:pPr>
            <w:r>
              <w:br w:type="page"/>
            </w:r>
            <w:r>
              <w:br w:type="page"/>
            </w:r>
            <w:r w:rsidRPr="00E10C41">
              <w:rPr>
                <w:b/>
                <w:bCs/>
              </w:rPr>
              <w:t>III</w:t>
            </w:r>
            <w:r>
              <w:t xml:space="preserve"> </w:t>
            </w:r>
            <w:r w:rsidRPr="00E10C41">
              <w:rPr>
                <w:b/>
                <w:bCs/>
              </w:rPr>
              <w:t>Tiesību akta projekta ietekme uz valsts budžetu un pašvaldību budžetiem</w:t>
            </w:r>
          </w:p>
        </w:tc>
      </w:tr>
      <w:tr w:rsidR="006961A8">
        <w:tc>
          <w:tcPr>
            <w:tcW w:w="5586" w:type="dxa"/>
            <w:gridSpan w:val="3"/>
          </w:tcPr>
          <w:p w:rsidR="006961A8" w:rsidRDefault="006961A8" w:rsidP="00E10C41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6961A8" w:rsidRDefault="006961A8" w:rsidP="00E10C41">
            <w:pPr>
              <w:jc w:val="center"/>
            </w:pPr>
            <w:r w:rsidRPr="00E10C41">
              <w:rPr>
                <w:sz w:val="22"/>
                <w:szCs w:val="22"/>
              </w:rPr>
              <w:t>(tūkst. latu)</w:t>
            </w:r>
          </w:p>
        </w:tc>
      </w:tr>
      <w:tr w:rsidR="006961A8">
        <w:tc>
          <w:tcPr>
            <w:tcW w:w="2746" w:type="dxa"/>
            <w:vMerge w:val="restart"/>
            <w:vAlign w:val="center"/>
          </w:tcPr>
          <w:p w:rsidR="006961A8" w:rsidRDefault="006961A8" w:rsidP="00E10C41">
            <w:pPr>
              <w:jc w:val="center"/>
            </w:pPr>
            <w:r w:rsidRPr="00E10C41">
              <w:rPr>
                <w:b/>
                <w:bCs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6961A8" w:rsidRDefault="006961A8" w:rsidP="00E10C41">
            <w:pPr>
              <w:jc w:val="center"/>
            </w:pPr>
            <w:r w:rsidRPr="00E10C41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3701" w:type="dxa"/>
            <w:gridSpan w:val="3"/>
            <w:vAlign w:val="center"/>
          </w:tcPr>
          <w:p w:rsidR="006961A8" w:rsidRDefault="006961A8" w:rsidP="00E10C41">
            <w:pPr>
              <w:jc w:val="center"/>
            </w:pPr>
            <w:r w:rsidRPr="00E10C41">
              <w:rPr>
                <w:sz w:val="22"/>
                <w:szCs w:val="22"/>
              </w:rPr>
              <w:t>Turpmākie trīs gadi</w:t>
            </w:r>
          </w:p>
        </w:tc>
      </w:tr>
      <w:tr w:rsidR="006961A8">
        <w:tc>
          <w:tcPr>
            <w:tcW w:w="2746" w:type="dxa"/>
            <w:vMerge/>
          </w:tcPr>
          <w:p w:rsidR="006961A8" w:rsidRDefault="006961A8" w:rsidP="00E10C41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6961A8" w:rsidRPr="00E10C41" w:rsidRDefault="006961A8" w:rsidP="00E10C41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bottom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E10C41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28" w:type="dxa"/>
            <w:vAlign w:val="bottom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E10C41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55" w:type="dxa"/>
            <w:vAlign w:val="bottom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E10C41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6961A8" w:rsidRPr="003B629D">
        <w:tc>
          <w:tcPr>
            <w:tcW w:w="2746" w:type="dxa"/>
            <w:vMerge/>
            <w:vAlign w:val="bottom"/>
          </w:tcPr>
          <w:p w:rsidR="006961A8" w:rsidRPr="00E10C41" w:rsidRDefault="006961A8" w:rsidP="00E10C41">
            <w:pPr>
              <w:jc w:val="center"/>
            </w:pPr>
          </w:p>
        </w:tc>
        <w:tc>
          <w:tcPr>
            <w:tcW w:w="1530" w:type="dxa"/>
            <w:vAlign w:val="bottom"/>
          </w:tcPr>
          <w:p w:rsidR="006961A8" w:rsidRPr="00E10C41" w:rsidRDefault="006961A8" w:rsidP="00E10C41">
            <w:pPr>
              <w:jc w:val="center"/>
            </w:pPr>
            <w:r w:rsidRPr="00E10C41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10" w:type="dxa"/>
            <w:vAlign w:val="bottom"/>
          </w:tcPr>
          <w:p w:rsidR="006961A8" w:rsidRPr="00E10C41" w:rsidRDefault="006961A8" w:rsidP="00E10C41">
            <w:pPr>
              <w:jc w:val="center"/>
            </w:pPr>
            <w:r w:rsidRPr="00E10C41">
              <w:rPr>
                <w:sz w:val="22"/>
                <w:szCs w:val="22"/>
              </w:rPr>
              <w:t>Izmaiņas kārtējā gadā salīdzinot ar budžetu kārtējam gadam</w:t>
            </w:r>
          </w:p>
        </w:tc>
        <w:tc>
          <w:tcPr>
            <w:tcW w:w="1218" w:type="dxa"/>
            <w:vAlign w:val="bottom"/>
          </w:tcPr>
          <w:p w:rsidR="006961A8" w:rsidRPr="00E10C41" w:rsidRDefault="006961A8" w:rsidP="00E10C41">
            <w:pPr>
              <w:jc w:val="center"/>
            </w:pPr>
            <w:r w:rsidRPr="00E10C41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28" w:type="dxa"/>
            <w:vAlign w:val="bottom"/>
          </w:tcPr>
          <w:p w:rsidR="006961A8" w:rsidRPr="00E10C41" w:rsidRDefault="006961A8" w:rsidP="00E10C41">
            <w:pPr>
              <w:jc w:val="center"/>
            </w:pPr>
            <w:r w:rsidRPr="00E10C41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55" w:type="dxa"/>
            <w:vAlign w:val="bottom"/>
          </w:tcPr>
          <w:p w:rsidR="006961A8" w:rsidRPr="00E10C41" w:rsidRDefault="006961A8" w:rsidP="00E10C41">
            <w:pPr>
              <w:jc w:val="center"/>
            </w:pPr>
            <w:r w:rsidRPr="00E10C41">
              <w:rPr>
                <w:sz w:val="22"/>
                <w:szCs w:val="22"/>
              </w:rPr>
              <w:t>Izmaiņas salīdzinot ar kārtējo (n) gadu</w:t>
            </w: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E10C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E10C4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E10C4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E10C4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E10C4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E10C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961A8">
        <w:tc>
          <w:tcPr>
            <w:tcW w:w="2746" w:type="dxa"/>
          </w:tcPr>
          <w:p w:rsidR="006961A8" w:rsidRDefault="006961A8" w:rsidP="00955BA3">
            <w:r w:rsidRPr="00E10C41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6961A8" w:rsidRDefault="006961A8" w:rsidP="00955BA3"/>
        </w:tc>
        <w:tc>
          <w:tcPr>
            <w:tcW w:w="1310" w:type="dxa"/>
          </w:tcPr>
          <w:p w:rsidR="006961A8" w:rsidRDefault="006961A8" w:rsidP="00955BA3"/>
        </w:tc>
        <w:tc>
          <w:tcPr>
            <w:tcW w:w="1218" w:type="dxa"/>
          </w:tcPr>
          <w:p w:rsidR="006961A8" w:rsidRDefault="006961A8" w:rsidP="00955BA3"/>
        </w:tc>
        <w:tc>
          <w:tcPr>
            <w:tcW w:w="1228" w:type="dxa"/>
          </w:tcPr>
          <w:p w:rsidR="006961A8" w:rsidRDefault="006961A8" w:rsidP="00955BA3"/>
        </w:tc>
        <w:tc>
          <w:tcPr>
            <w:tcW w:w="1255" w:type="dxa"/>
          </w:tcPr>
          <w:p w:rsidR="006961A8" w:rsidRDefault="006961A8" w:rsidP="00955BA3"/>
        </w:tc>
      </w:tr>
      <w:tr w:rsidR="006961A8" w:rsidRPr="003F27FC">
        <w:tc>
          <w:tcPr>
            <w:tcW w:w="2746" w:type="dxa"/>
          </w:tcPr>
          <w:p w:rsidR="006961A8" w:rsidRPr="00E10C41" w:rsidRDefault="006961A8" w:rsidP="00955BA3">
            <w:r w:rsidRPr="00E10C41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6961A8" w:rsidRPr="00E10C41" w:rsidRDefault="006961A8" w:rsidP="00E10C41">
            <w:pPr>
              <w:jc w:val="center"/>
            </w:pPr>
          </w:p>
        </w:tc>
        <w:tc>
          <w:tcPr>
            <w:tcW w:w="1310" w:type="dxa"/>
            <w:vAlign w:val="center"/>
          </w:tcPr>
          <w:p w:rsidR="006961A8" w:rsidRPr="00E10C41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Pr="00E10C41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Pr="00E10C41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Pr="00E10C41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left"/>
              <w:rPr>
                <w:i/>
                <w:iCs/>
              </w:rPr>
            </w:pPr>
            <w:r w:rsidRPr="00E10C41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1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2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55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6961A8">
        <w:tc>
          <w:tcPr>
            <w:tcW w:w="2746" w:type="dxa"/>
          </w:tcPr>
          <w:p w:rsidR="006961A8" w:rsidRDefault="006961A8" w:rsidP="00955BA3">
            <w:r w:rsidRPr="00E10C41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Default="006961A8" w:rsidP="00955BA3">
            <w:r w:rsidRPr="00E10C41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6961A8" w:rsidRDefault="006961A8" w:rsidP="00955BA3"/>
        </w:tc>
        <w:tc>
          <w:tcPr>
            <w:tcW w:w="1310" w:type="dxa"/>
          </w:tcPr>
          <w:p w:rsidR="006961A8" w:rsidRDefault="006961A8" w:rsidP="00955BA3"/>
        </w:tc>
        <w:tc>
          <w:tcPr>
            <w:tcW w:w="1218" w:type="dxa"/>
          </w:tcPr>
          <w:p w:rsidR="006961A8" w:rsidRDefault="006961A8" w:rsidP="00955BA3"/>
        </w:tc>
        <w:tc>
          <w:tcPr>
            <w:tcW w:w="1228" w:type="dxa"/>
          </w:tcPr>
          <w:p w:rsidR="006961A8" w:rsidRDefault="006961A8" w:rsidP="00955BA3"/>
        </w:tc>
        <w:tc>
          <w:tcPr>
            <w:tcW w:w="1255" w:type="dxa"/>
          </w:tcPr>
          <w:p w:rsidR="006961A8" w:rsidRDefault="006961A8" w:rsidP="00955BA3"/>
        </w:tc>
      </w:tr>
      <w:tr w:rsidR="006961A8">
        <w:tc>
          <w:tcPr>
            <w:tcW w:w="2746" w:type="dxa"/>
          </w:tcPr>
          <w:p w:rsidR="006961A8" w:rsidRPr="00E10C41" w:rsidRDefault="006961A8" w:rsidP="00955BA3">
            <w:r w:rsidRPr="00E10C41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955BA3">
            <w:r w:rsidRPr="00E10C41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153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1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2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55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955BA3">
            <w:r w:rsidRPr="00E10C41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Default="006961A8" w:rsidP="00955BA3">
            <w:r w:rsidRPr="00E10C41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6961A8" w:rsidRDefault="006961A8" w:rsidP="00955BA3"/>
        </w:tc>
        <w:tc>
          <w:tcPr>
            <w:tcW w:w="1310" w:type="dxa"/>
          </w:tcPr>
          <w:p w:rsidR="006961A8" w:rsidRDefault="006961A8" w:rsidP="00955BA3"/>
        </w:tc>
        <w:tc>
          <w:tcPr>
            <w:tcW w:w="1218" w:type="dxa"/>
          </w:tcPr>
          <w:p w:rsidR="006961A8" w:rsidRDefault="006961A8" w:rsidP="00955BA3"/>
        </w:tc>
        <w:tc>
          <w:tcPr>
            <w:tcW w:w="1228" w:type="dxa"/>
          </w:tcPr>
          <w:p w:rsidR="006961A8" w:rsidRDefault="006961A8" w:rsidP="00955BA3"/>
        </w:tc>
        <w:tc>
          <w:tcPr>
            <w:tcW w:w="1255" w:type="dxa"/>
          </w:tcPr>
          <w:p w:rsidR="006961A8" w:rsidRDefault="006961A8" w:rsidP="00955BA3"/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jc w:val="both"/>
            </w:pPr>
            <w:r w:rsidRPr="00E10C41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2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jc w:val="both"/>
            </w:pPr>
            <w:r w:rsidRPr="00E10C41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6961A8" w:rsidRPr="00175494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2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55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jc w:val="both"/>
            </w:pPr>
            <w:r w:rsidRPr="00E10C41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0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28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6961A8" w:rsidRPr="00E10C41" w:rsidRDefault="006961A8" w:rsidP="00E10C41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6961A8">
        <w:tc>
          <w:tcPr>
            <w:tcW w:w="2746" w:type="dxa"/>
          </w:tcPr>
          <w:p w:rsidR="006961A8" w:rsidRDefault="006961A8" w:rsidP="00955BA3">
            <w:r w:rsidRPr="00E10C41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6961A8" w:rsidRPr="00E10C41" w:rsidRDefault="006961A8" w:rsidP="00E10C41">
            <w:pPr>
              <w:jc w:val="center"/>
              <w:rPr>
                <w:b/>
                <w:bCs/>
                <w:sz w:val="40"/>
                <w:szCs w:val="40"/>
              </w:rPr>
            </w:pPr>
            <w:r w:rsidRPr="00E10C41"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Default="006961A8" w:rsidP="00955BA3">
            <w:r w:rsidRPr="00E10C41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6961A8" w:rsidRDefault="006961A8" w:rsidP="00E10C41">
            <w:pPr>
              <w:jc w:val="center"/>
            </w:pPr>
            <w:r w:rsidRPr="00E10C41"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jc w:val="both"/>
            </w:pPr>
            <w:r w:rsidRPr="00E10C41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6961A8" w:rsidRDefault="006961A8" w:rsidP="00E10C41">
            <w:pPr>
              <w:jc w:val="center"/>
            </w:pP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jc w:val="both"/>
            </w:pPr>
            <w:r w:rsidRPr="00E10C41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6961A8" w:rsidRDefault="006961A8" w:rsidP="00E10C41">
            <w:pPr>
              <w:jc w:val="center"/>
            </w:pP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jc w:val="both"/>
            </w:pPr>
            <w:r w:rsidRPr="00E10C41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6961A8" w:rsidRDefault="006961A8" w:rsidP="00E10C41">
            <w:pPr>
              <w:jc w:val="center"/>
            </w:pPr>
          </w:p>
        </w:tc>
        <w:tc>
          <w:tcPr>
            <w:tcW w:w="1310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1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28" w:type="dxa"/>
            <w:vAlign w:val="center"/>
          </w:tcPr>
          <w:p w:rsidR="006961A8" w:rsidRDefault="006961A8" w:rsidP="00E10C41">
            <w:pPr>
              <w:jc w:val="center"/>
            </w:pPr>
          </w:p>
        </w:tc>
        <w:tc>
          <w:tcPr>
            <w:tcW w:w="1255" w:type="dxa"/>
            <w:vAlign w:val="center"/>
          </w:tcPr>
          <w:p w:rsidR="006961A8" w:rsidRDefault="006961A8" w:rsidP="00E10C41">
            <w:pPr>
              <w:jc w:val="center"/>
            </w:pPr>
          </w:p>
        </w:tc>
      </w:tr>
      <w:tr w:rsidR="006961A8">
        <w:tc>
          <w:tcPr>
            <w:tcW w:w="9287" w:type="dxa"/>
            <w:gridSpan w:val="6"/>
          </w:tcPr>
          <w:p w:rsidR="006961A8" w:rsidRDefault="006961A8" w:rsidP="00955BA3">
            <w:r w:rsidRPr="00E10C41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6961A8">
        <w:tc>
          <w:tcPr>
            <w:tcW w:w="2746" w:type="dxa"/>
          </w:tcPr>
          <w:p w:rsidR="006961A8" w:rsidRPr="00E10C41" w:rsidRDefault="006961A8" w:rsidP="00955BA3">
            <w:r w:rsidRPr="00E10C41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6961A8" w:rsidRDefault="006961A8" w:rsidP="00E10C41">
            <w:pPr>
              <w:jc w:val="both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955BA3">
            <w:r w:rsidRPr="00E10C41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6961A8" w:rsidRDefault="006961A8" w:rsidP="00E10C41">
            <w:pPr>
              <w:jc w:val="both"/>
            </w:pPr>
          </w:p>
        </w:tc>
      </w:tr>
      <w:tr w:rsidR="006961A8">
        <w:tc>
          <w:tcPr>
            <w:tcW w:w="2746" w:type="dxa"/>
          </w:tcPr>
          <w:p w:rsidR="006961A8" w:rsidRPr="00E10C41" w:rsidRDefault="006961A8" w:rsidP="00E10C41">
            <w:pPr>
              <w:jc w:val="both"/>
            </w:pPr>
            <w:r w:rsidRPr="00E10C41">
              <w:rPr>
                <w:sz w:val="22"/>
                <w:szCs w:val="22"/>
              </w:rPr>
              <w:t>7. Cita informācija</w:t>
            </w:r>
          </w:p>
        </w:tc>
        <w:tc>
          <w:tcPr>
            <w:tcW w:w="6541" w:type="dxa"/>
            <w:gridSpan w:val="5"/>
          </w:tcPr>
          <w:p w:rsidR="006961A8" w:rsidRPr="00215B93" w:rsidRDefault="006961A8" w:rsidP="00E10C41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6961A8" w:rsidRDefault="006961A8" w:rsidP="000864C1">
      <w:pPr>
        <w:jc w:val="center"/>
      </w:pPr>
    </w:p>
    <w:p w:rsidR="006961A8" w:rsidRDefault="006961A8" w:rsidP="000864C1">
      <w:pPr>
        <w:jc w:val="center"/>
      </w:pPr>
    </w:p>
    <w:p w:rsidR="006961A8" w:rsidRPr="009C59D1" w:rsidRDefault="006961A8" w:rsidP="001F1C49">
      <w:pPr>
        <w:jc w:val="center"/>
        <w:rPr>
          <w:i/>
          <w:iCs/>
        </w:rPr>
      </w:pPr>
      <w:r w:rsidRPr="00A27760">
        <w:rPr>
          <w:i/>
          <w:iCs/>
        </w:rPr>
        <w:t xml:space="preserve">Anotācijas </w:t>
      </w:r>
      <w:r>
        <w:rPr>
          <w:i/>
          <w:iCs/>
        </w:rPr>
        <w:t xml:space="preserve">IV, </w:t>
      </w:r>
      <w:r w:rsidRPr="00A27760">
        <w:rPr>
          <w:i/>
          <w:iCs/>
        </w:rPr>
        <w:t>V, VI un VII sadaļa - projekts šīs jomas neskar.</w:t>
      </w:r>
    </w:p>
    <w:p w:rsidR="006961A8" w:rsidRDefault="006961A8" w:rsidP="000864C1">
      <w:pPr>
        <w:jc w:val="center"/>
      </w:pPr>
    </w:p>
    <w:p w:rsidR="006961A8" w:rsidRDefault="006961A8" w:rsidP="000864C1">
      <w:pPr>
        <w:jc w:val="center"/>
      </w:pPr>
    </w:p>
    <w:p w:rsidR="006961A8" w:rsidRDefault="006961A8" w:rsidP="000864C1">
      <w:pPr>
        <w:jc w:val="center"/>
      </w:pPr>
    </w:p>
    <w:p w:rsidR="006961A8" w:rsidRPr="008207C1" w:rsidRDefault="006961A8" w:rsidP="000864C1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>
        <w:rPr>
          <w:sz w:val="28"/>
          <w:szCs w:val="28"/>
        </w:rPr>
        <w:tab/>
        <w:t>I.Viņķele</w:t>
      </w:r>
    </w:p>
    <w:p w:rsidR="006961A8" w:rsidRDefault="006961A8" w:rsidP="000864C1">
      <w:pPr>
        <w:rPr>
          <w:sz w:val="28"/>
          <w:szCs w:val="28"/>
        </w:rPr>
      </w:pPr>
    </w:p>
    <w:p w:rsidR="006961A8" w:rsidRPr="008207C1" w:rsidRDefault="006961A8" w:rsidP="000864C1">
      <w:pPr>
        <w:rPr>
          <w:sz w:val="28"/>
          <w:szCs w:val="28"/>
        </w:rPr>
      </w:pPr>
    </w:p>
    <w:p w:rsidR="006961A8" w:rsidRDefault="006961A8" w:rsidP="000864C1">
      <w:pPr>
        <w:pStyle w:val="Footer"/>
      </w:pPr>
    </w:p>
    <w:p w:rsidR="006961A8" w:rsidRDefault="006961A8" w:rsidP="000864C1">
      <w:pPr>
        <w:pStyle w:val="Footer"/>
      </w:pPr>
    </w:p>
    <w:p w:rsidR="006961A8" w:rsidRDefault="006961A8" w:rsidP="000864C1">
      <w:pPr>
        <w:pStyle w:val="Footer"/>
      </w:pPr>
    </w:p>
    <w:p w:rsidR="006961A8" w:rsidRDefault="006961A8" w:rsidP="000864C1">
      <w:pPr>
        <w:pStyle w:val="Footer"/>
      </w:pPr>
    </w:p>
    <w:p w:rsidR="006961A8" w:rsidRPr="0083656F" w:rsidRDefault="006961A8" w:rsidP="000864C1">
      <w:pPr>
        <w:pStyle w:val="Footer"/>
      </w:pPr>
    </w:p>
    <w:p w:rsidR="006961A8" w:rsidRPr="0083656F" w:rsidRDefault="006961A8" w:rsidP="000864C1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26.07</w:t>
      </w:r>
      <w:r w:rsidRPr="0083656F">
        <w:rPr>
          <w:sz w:val="20"/>
          <w:szCs w:val="20"/>
        </w:rPr>
        <w:t xml:space="preserve">.2013 </w:t>
      </w:r>
      <w:r>
        <w:rPr>
          <w:sz w:val="20"/>
          <w:szCs w:val="20"/>
        </w:rPr>
        <w:t>15:20</w:t>
      </w:r>
    </w:p>
    <w:p w:rsidR="006961A8" w:rsidRPr="0083656F" w:rsidRDefault="006961A8" w:rsidP="000864C1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659</w:t>
      </w:r>
    </w:p>
    <w:p w:rsidR="006961A8" w:rsidRPr="002B0373" w:rsidRDefault="006961A8" w:rsidP="00753077">
      <w:pPr>
        <w:rPr>
          <w:sz w:val="20"/>
          <w:szCs w:val="20"/>
        </w:rPr>
      </w:pPr>
      <w:r>
        <w:rPr>
          <w:sz w:val="20"/>
          <w:szCs w:val="20"/>
        </w:rPr>
        <w:t>B.Abersone</w:t>
      </w:r>
    </w:p>
    <w:p w:rsidR="006961A8" w:rsidRDefault="006961A8" w:rsidP="00753077">
      <w:pPr>
        <w:rPr>
          <w:sz w:val="20"/>
          <w:szCs w:val="20"/>
        </w:rPr>
      </w:pPr>
      <w:r>
        <w:rPr>
          <w:sz w:val="20"/>
          <w:szCs w:val="20"/>
        </w:rPr>
        <w:t>tālr.67021590</w:t>
      </w:r>
      <w:r w:rsidRPr="002B0373">
        <w:rPr>
          <w:sz w:val="20"/>
          <w:szCs w:val="20"/>
        </w:rPr>
        <w:t xml:space="preserve">, </w:t>
      </w:r>
      <w:r>
        <w:rPr>
          <w:sz w:val="20"/>
          <w:szCs w:val="20"/>
        </w:rPr>
        <w:t>fakss 67021618</w:t>
      </w:r>
    </w:p>
    <w:p w:rsidR="006961A8" w:rsidRPr="00111F0E" w:rsidRDefault="006961A8" w:rsidP="00753077">
      <w:pPr>
        <w:rPr>
          <w:rStyle w:val="Hyperlink"/>
          <w:sz w:val="20"/>
          <w:szCs w:val="20"/>
        </w:rPr>
      </w:pPr>
      <w:hyperlink r:id="rId6" w:history="1">
        <w:r w:rsidRPr="00E97297">
          <w:rPr>
            <w:rStyle w:val="Hyperlink"/>
            <w:sz w:val="20"/>
            <w:szCs w:val="20"/>
          </w:rPr>
          <w:t>baiba.abersone@lm.gov.lv</w:t>
        </w:r>
      </w:hyperlink>
      <w:r w:rsidRPr="00AD2E96">
        <w:rPr>
          <w:sz w:val="20"/>
          <w:szCs w:val="20"/>
        </w:rPr>
        <w:t xml:space="preserve"> </w:t>
      </w:r>
    </w:p>
    <w:p w:rsidR="006961A8" w:rsidRDefault="006961A8"/>
    <w:sectPr w:rsidR="006961A8" w:rsidSect="009C169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A8" w:rsidRDefault="006961A8" w:rsidP="00250284">
      <w:r>
        <w:separator/>
      </w:r>
    </w:p>
  </w:endnote>
  <w:endnote w:type="continuationSeparator" w:id="0">
    <w:p w:rsidR="006961A8" w:rsidRDefault="006961A8" w:rsidP="0025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A8" w:rsidRPr="00324392" w:rsidRDefault="006961A8" w:rsidP="00324392">
    <w:pPr>
      <w:jc w:val="both"/>
      <w:rPr>
        <w:sz w:val="20"/>
        <w:szCs w:val="20"/>
      </w:rPr>
    </w:pPr>
    <w:r w:rsidRPr="00324392">
      <w:rPr>
        <w:sz w:val="20"/>
        <w:szCs w:val="20"/>
      </w:rPr>
      <w:t>LManot_</w:t>
    </w:r>
    <w:r>
      <w:rPr>
        <w:sz w:val="20"/>
        <w:szCs w:val="20"/>
      </w:rPr>
      <w:t>2607</w:t>
    </w:r>
    <w:r w:rsidRPr="00324392">
      <w:rPr>
        <w:sz w:val="20"/>
        <w:szCs w:val="20"/>
      </w:rPr>
      <w:t>13_857_euro; Grozījumi Ministru kabineta 2005.gada 1</w:t>
    </w:r>
    <w:r>
      <w:rPr>
        <w:sz w:val="20"/>
        <w:szCs w:val="20"/>
      </w:rPr>
      <w:t>5</w:t>
    </w:r>
    <w:r w:rsidRPr="00324392">
      <w:rPr>
        <w:sz w:val="20"/>
        <w:szCs w:val="20"/>
      </w:rPr>
      <w:t>.novembra noteikumos Nr.857 “Noteikumi par sociālajām garantijām bārenim un bez vecāku gādības palikušajam bērnam, kurš ir ārpusģimenes aprūpē, kā arī pēc ārpusģimenes aprūpes beigšanās”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A8" w:rsidRPr="00324392" w:rsidRDefault="006961A8" w:rsidP="00324392">
    <w:pPr>
      <w:jc w:val="both"/>
      <w:rPr>
        <w:sz w:val="20"/>
        <w:szCs w:val="20"/>
      </w:rPr>
    </w:pPr>
    <w:r w:rsidRPr="00324392">
      <w:rPr>
        <w:sz w:val="20"/>
        <w:szCs w:val="20"/>
      </w:rPr>
      <w:t>LManot_</w:t>
    </w:r>
    <w:r>
      <w:rPr>
        <w:sz w:val="20"/>
        <w:szCs w:val="20"/>
      </w:rPr>
      <w:t>2607</w:t>
    </w:r>
    <w:r w:rsidRPr="00324392">
      <w:rPr>
        <w:sz w:val="20"/>
        <w:szCs w:val="20"/>
      </w:rPr>
      <w:t>13_857_euro; Grozījumi Ministru kabineta 2005.gada 1</w:t>
    </w:r>
    <w:r>
      <w:rPr>
        <w:sz w:val="20"/>
        <w:szCs w:val="20"/>
      </w:rPr>
      <w:t>5</w:t>
    </w:r>
    <w:r w:rsidRPr="00324392">
      <w:rPr>
        <w:sz w:val="20"/>
        <w:szCs w:val="20"/>
      </w:rPr>
      <w:t>.novembra noteikumos Nr.857 “Noteikumi par sociālajām garantijām bārenim un bez vecāku gādības palikušajam bērnam, kurš ir ārpusģimenes aprūpē, kā arī pēc ārpusģimenes aprūpes beigšanās”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A8" w:rsidRDefault="006961A8" w:rsidP="00250284">
      <w:r>
        <w:separator/>
      </w:r>
    </w:p>
  </w:footnote>
  <w:footnote w:type="continuationSeparator" w:id="0">
    <w:p w:rsidR="006961A8" w:rsidRDefault="006961A8" w:rsidP="0025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A8" w:rsidRDefault="006961A8" w:rsidP="00242D7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961A8" w:rsidRDefault="006961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4C1"/>
    <w:rsid w:val="000170BE"/>
    <w:rsid w:val="00046AC7"/>
    <w:rsid w:val="0005323B"/>
    <w:rsid w:val="000742E6"/>
    <w:rsid w:val="000864C1"/>
    <w:rsid w:val="000946FE"/>
    <w:rsid w:val="000951AE"/>
    <w:rsid w:val="000A1A23"/>
    <w:rsid w:val="000A1A9B"/>
    <w:rsid w:val="000D69A8"/>
    <w:rsid w:val="000F13A8"/>
    <w:rsid w:val="000F2D15"/>
    <w:rsid w:val="00110F9F"/>
    <w:rsid w:val="00111F0E"/>
    <w:rsid w:val="00115437"/>
    <w:rsid w:val="00134C18"/>
    <w:rsid w:val="001442EB"/>
    <w:rsid w:val="00147FA3"/>
    <w:rsid w:val="0015345A"/>
    <w:rsid w:val="00154AB9"/>
    <w:rsid w:val="00163B97"/>
    <w:rsid w:val="00164615"/>
    <w:rsid w:val="00175494"/>
    <w:rsid w:val="00176D0C"/>
    <w:rsid w:val="0018059C"/>
    <w:rsid w:val="001C5A75"/>
    <w:rsid w:val="001E66A5"/>
    <w:rsid w:val="001F1C49"/>
    <w:rsid w:val="00214274"/>
    <w:rsid w:val="00215B93"/>
    <w:rsid w:val="00242D7D"/>
    <w:rsid w:val="00250284"/>
    <w:rsid w:val="00280C58"/>
    <w:rsid w:val="00285683"/>
    <w:rsid w:val="00286A52"/>
    <w:rsid w:val="002B0373"/>
    <w:rsid w:val="002B4ACC"/>
    <w:rsid w:val="002B75C3"/>
    <w:rsid w:val="00300CAA"/>
    <w:rsid w:val="00324392"/>
    <w:rsid w:val="0036356C"/>
    <w:rsid w:val="003A3E1E"/>
    <w:rsid w:val="003B629D"/>
    <w:rsid w:val="003F27FC"/>
    <w:rsid w:val="00496104"/>
    <w:rsid w:val="004A7F8B"/>
    <w:rsid w:val="004B0BB3"/>
    <w:rsid w:val="00535AED"/>
    <w:rsid w:val="005C6E40"/>
    <w:rsid w:val="005C7F02"/>
    <w:rsid w:val="005D07C7"/>
    <w:rsid w:val="005D51C7"/>
    <w:rsid w:val="005F2CFC"/>
    <w:rsid w:val="00614E0A"/>
    <w:rsid w:val="00615E30"/>
    <w:rsid w:val="00620F76"/>
    <w:rsid w:val="00641ECA"/>
    <w:rsid w:val="006670E0"/>
    <w:rsid w:val="006961A8"/>
    <w:rsid w:val="006A6CD9"/>
    <w:rsid w:val="007100E0"/>
    <w:rsid w:val="00716E2F"/>
    <w:rsid w:val="00753077"/>
    <w:rsid w:val="00761F6A"/>
    <w:rsid w:val="00773DFE"/>
    <w:rsid w:val="0078196E"/>
    <w:rsid w:val="007B6860"/>
    <w:rsid w:val="007E1E4F"/>
    <w:rsid w:val="00806E17"/>
    <w:rsid w:val="008207C1"/>
    <w:rsid w:val="00834F31"/>
    <w:rsid w:val="0083656F"/>
    <w:rsid w:val="00877FB1"/>
    <w:rsid w:val="008952EE"/>
    <w:rsid w:val="008C6A15"/>
    <w:rsid w:val="008D14C7"/>
    <w:rsid w:val="008D7523"/>
    <w:rsid w:val="008F285C"/>
    <w:rsid w:val="00907316"/>
    <w:rsid w:val="0094058D"/>
    <w:rsid w:val="00945930"/>
    <w:rsid w:val="009529CF"/>
    <w:rsid w:val="00955BA3"/>
    <w:rsid w:val="00962F94"/>
    <w:rsid w:val="00973322"/>
    <w:rsid w:val="009C1695"/>
    <w:rsid w:val="009C59D1"/>
    <w:rsid w:val="009C72B4"/>
    <w:rsid w:val="00A27760"/>
    <w:rsid w:val="00A426D9"/>
    <w:rsid w:val="00A4745E"/>
    <w:rsid w:val="00AA334D"/>
    <w:rsid w:val="00AB41F0"/>
    <w:rsid w:val="00AC181D"/>
    <w:rsid w:val="00AD2E96"/>
    <w:rsid w:val="00AE5E54"/>
    <w:rsid w:val="00B31CF6"/>
    <w:rsid w:val="00B62672"/>
    <w:rsid w:val="00B76D85"/>
    <w:rsid w:val="00B85BC4"/>
    <w:rsid w:val="00B85E43"/>
    <w:rsid w:val="00B91324"/>
    <w:rsid w:val="00BA6BFB"/>
    <w:rsid w:val="00BC6099"/>
    <w:rsid w:val="00BE170E"/>
    <w:rsid w:val="00C05877"/>
    <w:rsid w:val="00C5738C"/>
    <w:rsid w:val="00C66C95"/>
    <w:rsid w:val="00C8167C"/>
    <w:rsid w:val="00D20320"/>
    <w:rsid w:val="00D23BF7"/>
    <w:rsid w:val="00D27C6F"/>
    <w:rsid w:val="00D668D9"/>
    <w:rsid w:val="00D753ED"/>
    <w:rsid w:val="00D9436B"/>
    <w:rsid w:val="00DB5392"/>
    <w:rsid w:val="00DE6B6E"/>
    <w:rsid w:val="00E07929"/>
    <w:rsid w:val="00E10C41"/>
    <w:rsid w:val="00E81870"/>
    <w:rsid w:val="00E97297"/>
    <w:rsid w:val="00EE77FD"/>
    <w:rsid w:val="00F07FCB"/>
    <w:rsid w:val="00F21D6E"/>
    <w:rsid w:val="00F312BD"/>
    <w:rsid w:val="00F31E69"/>
    <w:rsid w:val="00F602AA"/>
    <w:rsid w:val="00F62D75"/>
    <w:rsid w:val="00F82CD5"/>
    <w:rsid w:val="00F837C9"/>
    <w:rsid w:val="00FB0000"/>
    <w:rsid w:val="00FC797D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4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0864C1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0864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4C1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0864C1"/>
  </w:style>
  <w:style w:type="paragraph" w:styleId="Footer">
    <w:name w:val="footer"/>
    <w:basedOn w:val="Normal"/>
    <w:link w:val="FooterChar"/>
    <w:uiPriority w:val="99"/>
    <w:rsid w:val="000864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4C1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0864C1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0864C1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08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64C1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lab">
    <w:name w:val="naislab"/>
    <w:basedOn w:val="Normal"/>
    <w:uiPriority w:val="99"/>
    <w:rsid w:val="00214274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7530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F1C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C49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ba.abersone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685</Words>
  <Characters>4631</Characters>
  <Application>Microsoft Office Outlook</Application>
  <DocSecurity>0</DocSecurity>
  <Lines>0</Lines>
  <Paragraphs>0</Paragraphs>
  <ScaleCrop>false</ScaleCrop>
  <Company>Labklājības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15.novembra noteikumos Nr.857 “Noteikumi par sociālajām garantijām bārenim un bez vecāku gādības palikušajam bērnam, kurš ir ārpusģimenes aprūpē, kā arī pēc ārpusģimenes aprūpes beigšanās”</dc:title>
  <dc:subject>Anotācija</dc:subject>
  <dc:creator>Baiba Abersone</dc:creator>
  <cp:keywords/>
  <dc:description>baiba.abersone@lm.gov.lv, t.67021590</dc:description>
  <cp:lastModifiedBy>baibaa</cp:lastModifiedBy>
  <cp:revision>6</cp:revision>
  <dcterms:created xsi:type="dcterms:W3CDTF">2013-07-26T06:06:00Z</dcterms:created>
  <dcterms:modified xsi:type="dcterms:W3CDTF">2013-07-26T12:20:00Z</dcterms:modified>
</cp:coreProperties>
</file>