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6" w:rsidRPr="000D0590" w:rsidRDefault="005610D6" w:rsidP="005610D6">
      <w:pPr>
        <w:tabs>
          <w:tab w:val="left" w:pos="7797"/>
        </w:tabs>
        <w:jc w:val="center"/>
        <w:rPr>
          <w:b/>
          <w:bCs/>
          <w:sz w:val="28"/>
          <w:szCs w:val="28"/>
          <w:lang w:eastAsia="en-US"/>
        </w:rPr>
      </w:pPr>
      <w:r>
        <w:rPr>
          <w:b/>
          <w:bCs/>
          <w:sz w:val="28"/>
          <w:szCs w:val="28"/>
          <w:lang w:eastAsia="en-US"/>
        </w:rPr>
        <w:t xml:space="preserve">Ministru kabineta noteikumu projekta „Grozījumi Ministru kabineta </w:t>
      </w:r>
      <w:r w:rsidRPr="00382157">
        <w:rPr>
          <w:b/>
          <w:bCs/>
          <w:sz w:val="28"/>
          <w:szCs w:val="28"/>
          <w:lang w:eastAsia="en-US"/>
        </w:rPr>
        <w:t xml:space="preserve">2006.gada 27.jūnija </w:t>
      </w:r>
      <w:r>
        <w:rPr>
          <w:b/>
          <w:bCs/>
          <w:sz w:val="28"/>
          <w:szCs w:val="28"/>
          <w:lang w:eastAsia="en-US"/>
        </w:rPr>
        <w:t>noteikumos Nr.</w:t>
      </w:r>
      <w:r w:rsidRPr="00382157">
        <w:rPr>
          <w:b/>
          <w:bCs/>
          <w:sz w:val="28"/>
          <w:szCs w:val="28"/>
          <w:lang w:eastAsia="en-US"/>
        </w:rPr>
        <w:t xml:space="preserve">542 „Latvijas Republikā piešķirto valsts pensiju izmaksas kārtība personām pēc </w:t>
      </w:r>
      <w:r>
        <w:rPr>
          <w:b/>
          <w:bCs/>
          <w:sz w:val="28"/>
          <w:szCs w:val="28"/>
          <w:lang w:eastAsia="en-US"/>
        </w:rPr>
        <w:t xml:space="preserve">izbraukšanas uz pastāvīgu dzīvi </w:t>
      </w:r>
      <w:r w:rsidRPr="00382157">
        <w:rPr>
          <w:b/>
          <w:bCs/>
          <w:sz w:val="28"/>
          <w:szCs w:val="28"/>
          <w:lang w:eastAsia="en-US"/>
        </w:rPr>
        <w:t>ārvalstīs”</w:t>
      </w:r>
      <w:r>
        <w:rPr>
          <w:b/>
          <w:bCs/>
          <w:sz w:val="28"/>
          <w:szCs w:val="28"/>
          <w:lang w:eastAsia="en-US"/>
        </w:rPr>
        <w:t xml:space="preserve">” </w:t>
      </w:r>
      <w:r w:rsidRPr="000D0590">
        <w:rPr>
          <w:b/>
          <w:sz w:val="28"/>
          <w:szCs w:val="28"/>
        </w:rPr>
        <w:t>sākotnējās ietekmes novērtējuma ziņojums (anotācija)</w:t>
      </w:r>
    </w:p>
    <w:p w:rsidR="005610D6" w:rsidRPr="00D95A84" w:rsidRDefault="005610D6" w:rsidP="005610D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202"/>
      </w:tblGrid>
      <w:tr w:rsidR="005610D6" w:rsidRPr="00D95A84" w:rsidTr="00C2180D">
        <w:tc>
          <w:tcPr>
            <w:tcW w:w="5000" w:type="pct"/>
            <w:gridSpan w:val="3"/>
            <w:shd w:val="clear" w:color="auto" w:fill="auto"/>
          </w:tcPr>
          <w:p w:rsidR="005610D6" w:rsidRPr="00D95A84" w:rsidRDefault="005610D6" w:rsidP="00C2180D">
            <w:pPr>
              <w:jc w:val="center"/>
              <w:rPr>
                <w:b/>
                <w:sz w:val="24"/>
                <w:szCs w:val="24"/>
              </w:rPr>
            </w:pPr>
            <w:r w:rsidRPr="00D95A84">
              <w:rPr>
                <w:b/>
                <w:sz w:val="24"/>
                <w:szCs w:val="24"/>
              </w:rPr>
              <w:t>I Tiesību akta projekta izstrādes nepieciešamība</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t>1.</w:t>
            </w:r>
          </w:p>
        </w:tc>
        <w:tc>
          <w:tcPr>
            <w:tcW w:w="1448" w:type="pct"/>
            <w:shd w:val="clear" w:color="auto" w:fill="auto"/>
          </w:tcPr>
          <w:p w:rsidR="005610D6" w:rsidRPr="00D95A84" w:rsidRDefault="005610D6" w:rsidP="00C2180D">
            <w:pPr>
              <w:rPr>
                <w:sz w:val="24"/>
                <w:szCs w:val="24"/>
              </w:rPr>
            </w:pPr>
            <w:r w:rsidRPr="00D95A84">
              <w:rPr>
                <w:sz w:val="24"/>
                <w:szCs w:val="24"/>
              </w:rPr>
              <w:t>Pamatojums</w:t>
            </w:r>
          </w:p>
        </w:tc>
        <w:tc>
          <w:tcPr>
            <w:tcW w:w="3339" w:type="pct"/>
            <w:shd w:val="clear" w:color="auto" w:fill="auto"/>
          </w:tcPr>
          <w:p w:rsidR="005610D6" w:rsidRPr="00A4165F" w:rsidRDefault="005610D6" w:rsidP="00C2180D">
            <w:pPr>
              <w:spacing w:after="120"/>
              <w:jc w:val="both"/>
              <w:rPr>
                <w:bCs/>
                <w:sz w:val="24"/>
                <w:szCs w:val="24"/>
                <w:lang w:eastAsia="en-US"/>
              </w:rPr>
            </w:pPr>
            <w:r w:rsidRPr="00A4165F">
              <w:rPr>
                <w:sz w:val="24"/>
                <w:szCs w:val="24"/>
              </w:rPr>
              <w:t xml:space="preserve">Ministru kabineta noteikumu projekts „Grozījumi </w:t>
            </w:r>
            <w:r w:rsidRPr="005A5BC3">
              <w:rPr>
                <w:bCs/>
                <w:sz w:val="24"/>
                <w:szCs w:val="24"/>
                <w:lang w:eastAsia="en-US"/>
              </w:rPr>
              <w:t xml:space="preserve">Ministru kabineta </w:t>
            </w:r>
            <w:r>
              <w:rPr>
                <w:bCs/>
                <w:sz w:val="24"/>
                <w:szCs w:val="24"/>
                <w:lang w:eastAsia="en-US"/>
              </w:rPr>
              <w:t>2006.</w:t>
            </w:r>
            <w:r w:rsidRPr="005A5BC3">
              <w:rPr>
                <w:bCs/>
                <w:sz w:val="24"/>
                <w:szCs w:val="24"/>
                <w:lang w:eastAsia="en-US"/>
              </w:rPr>
              <w:t>gada 2</w:t>
            </w:r>
            <w:r>
              <w:rPr>
                <w:bCs/>
                <w:sz w:val="24"/>
                <w:szCs w:val="24"/>
                <w:lang w:eastAsia="en-US"/>
              </w:rPr>
              <w:t>7</w:t>
            </w:r>
            <w:r w:rsidRPr="005A5BC3">
              <w:rPr>
                <w:bCs/>
                <w:sz w:val="24"/>
                <w:szCs w:val="24"/>
                <w:lang w:eastAsia="en-US"/>
              </w:rPr>
              <w:t xml:space="preserve">.jūnija </w:t>
            </w:r>
            <w:r>
              <w:rPr>
                <w:bCs/>
                <w:sz w:val="24"/>
                <w:szCs w:val="24"/>
                <w:lang w:eastAsia="en-US"/>
              </w:rPr>
              <w:t>noteikumos Nr.</w:t>
            </w:r>
            <w:r w:rsidRPr="0098230C">
              <w:rPr>
                <w:bCs/>
                <w:sz w:val="24"/>
                <w:szCs w:val="24"/>
                <w:lang w:eastAsia="en-US"/>
              </w:rPr>
              <w:t>542 „</w:t>
            </w:r>
            <w:r w:rsidRPr="00382157">
              <w:rPr>
                <w:bCs/>
                <w:sz w:val="24"/>
                <w:szCs w:val="24"/>
                <w:lang w:eastAsia="en-US"/>
              </w:rPr>
              <w:t>Latvijas Republikā piešķirto valsts pensiju izmaksas kārtība personām pēc izbraukšanas uz pastāvīgu dzīvi ārvalstīs</w:t>
            </w:r>
            <w:r w:rsidRPr="0098230C">
              <w:rPr>
                <w:bCs/>
                <w:sz w:val="24"/>
                <w:szCs w:val="24"/>
                <w:lang w:eastAsia="en-US"/>
              </w:rPr>
              <w:t xml:space="preserve">”” (turpmāk – noteikumu projekts) izstrādāts </w:t>
            </w:r>
            <w:r w:rsidRPr="0098230C">
              <w:rPr>
                <w:sz w:val="24"/>
                <w:szCs w:val="24"/>
              </w:rPr>
              <w:t>atbilstoši Ministru kabineta 2012.gada 11.decembra sēdē izskatītajam informatīvajam ziņojumam</w:t>
            </w:r>
            <w:r w:rsidRPr="00957674">
              <w:rPr>
                <w:sz w:val="24"/>
                <w:szCs w:val="24"/>
              </w:rPr>
              <w:t xml:space="preserve"> „Par priekšlikumiem elektroniskā paraksta plaš</w:t>
            </w:r>
            <w:r>
              <w:rPr>
                <w:sz w:val="24"/>
                <w:szCs w:val="24"/>
              </w:rPr>
              <w:t>ākas lietošanas nodrošināšanai”</w:t>
            </w:r>
            <w:r w:rsidRPr="00957674">
              <w:rPr>
                <w:sz w:val="24"/>
                <w:szCs w:val="24"/>
              </w:rPr>
              <w:t xml:space="preserve"> (protokola Nr.70 41.§.), k</w:t>
            </w:r>
            <w:r>
              <w:rPr>
                <w:sz w:val="24"/>
                <w:szCs w:val="24"/>
              </w:rPr>
              <w:t xml:space="preserve">urā </w:t>
            </w:r>
            <w:r w:rsidRPr="00957674">
              <w:rPr>
                <w:sz w:val="24"/>
                <w:szCs w:val="24"/>
              </w:rPr>
              <w:t>Labklājības ministrijai līdz 2013.gada 1.jūnijam uzdot</w:t>
            </w:r>
            <w:r>
              <w:rPr>
                <w:sz w:val="24"/>
                <w:szCs w:val="24"/>
              </w:rPr>
              <w:t>s</w:t>
            </w:r>
            <w:r w:rsidRPr="00957674">
              <w:rPr>
                <w:sz w:val="24"/>
                <w:szCs w:val="24"/>
              </w:rPr>
              <w:t xml:space="preserve"> sagatavot grozījumus informatīvā ziņojuma 3.</w:t>
            </w:r>
            <w:r>
              <w:rPr>
                <w:sz w:val="24"/>
                <w:szCs w:val="24"/>
              </w:rPr>
              <w:t>1</w:t>
            </w:r>
            <w:r w:rsidRPr="00957674">
              <w:rPr>
                <w:sz w:val="24"/>
                <w:szCs w:val="24"/>
              </w:rPr>
              <w:t>.apakšpunkt</w:t>
            </w:r>
            <w:r>
              <w:rPr>
                <w:sz w:val="24"/>
                <w:szCs w:val="24"/>
              </w:rPr>
              <w:t>ā minētajos</w:t>
            </w:r>
            <w:r w:rsidRPr="00957674">
              <w:rPr>
                <w:sz w:val="24"/>
                <w:szCs w:val="24"/>
              </w:rPr>
              <w:t xml:space="preserve"> normatīvajos aktos un iesniegt </w:t>
            </w:r>
            <w:r>
              <w:rPr>
                <w:sz w:val="24"/>
                <w:szCs w:val="24"/>
              </w:rPr>
              <w:t xml:space="preserve">tos </w:t>
            </w:r>
            <w:r w:rsidRPr="00957674">
              <w:rPr>
                <w:sz w:val="24"/>
                <w:szCs w:val="24"/>
              </w:rPr>
              <w:t>noteiktā kārtībā izskatīšanai Ministru kabinetā, lai</w:t>
            </w:r>
            <w:r w:rsidRPr="00957674">
              <w:rPr>
                <w:color w:val="FF0000"/>
                <w:sz w:val="24"/>
                <w:szCs w:val="24"/>
              </w:rPr>
              <w:t xml:space="preserve"> </w:t>
            </w:r>
            <w:r w:rsidRPr="00957674">
              <w:rPr>
                <w:sz w:val="24"/>
                <w:szCs w:val="24"/>
              </w:rPr>
              <w:t>likvidētu šobrīd identificētos šķēršļus normatīvajos aktos, kas neveicina e-paraksta plašāku lietošanu</w:t>
            </w:r>
            <w:r>
              <w:rPr>
                <w:sz w:val="24"/>
                <w:szCs w:val="24"/>
              </w:rPr>
              <w:t>.</w:t>
            </w:r>
          </w:p>
          <w:p w:rsidR="005610D6" w:rsidRPr="00A4165F" w:rsidRDefault="005610D6" w:rsidP="00C2180D">
            <w:pPr>
              <w:spacing w:after="120"/>
              <w:jc w:val="both"/>
              <w:rPr>
                <w:sz w:val="24"/>
                <w:szCs w:val="24"/>
              </w:rPr>
            </w:pPr>
            <w:r>
              <w:rPr>
                <w:sz w:val="24"/>
                <w:szCs w:val="24"/>
              </w:rPr>
              <w:t>Likuma „Par valsts pensijām” 38.pants un pārejas noteikumu 28.punkts.</w:t>
            </w:r>
          </w:p>
        </w:tc>
      </w:tr>
      <w:tr w:rsidR="005610D6" w:rsidRPr="00E77C3A" w:rsidTr="00C2180D">
        <w:tc>
          <w:tcPr>
            <w:tcW w:w="213" w:type="pct"/>
            <w:shd w:val="clear" w:color="auto" w:fill="auto"/>
          </w:tcPr>
          <w:p w:rsidR="005610D6" w:rsidRPr="00D95A84" w:rsidRDefault="005610D6" w:rsidP="00C2180D">
            <w:pPr>
              <w:rPr>
                <w:sz w:val="24"/>
                <w:szCs w:val="24"/>
              </w:rPr>
            </w:pPr>
            <w:r w:rsidRPr="00D95A84">
              <w:rPr>
                <w:sz w:val="24"/>
                <w:szCs w:val="24"/>
              </w:rPr>
              <w:t xml:space="preserve">2. </w:t>
            </w:r>
          </w:p>
        </w:tc>
        <w:tc>
          <w:tcPr>
            <w:tcW w:w="1448" w:type="pct"/>
            <w:shd w:val="clear" w:color="auto" w:fill="auto"/>
          </w:tcPr>
          <w:p w:rsidR="005610D6" w:rsidRPr="00D95A84" w:rsidRDefault="005610D6" w:rsidP="00C2180D">
            <w:pPr>
              <w:rPr>
                <w:sz w:val="24"/>
                <w:szCs w:val="24"/>
              </w:rPr>
            </w:pPr>
            <w:r w:rsidRPr="00D95A84">
              <w:rPr>
                <w:sz w:val="24"/>
                <w:szCs w:val="24"/>
              </w:rPr>
              <w:t>Pašreizējā situācija un problēmas</w:t>
            </w:r>
          </w:p>
        </w:tc>
        <w:tc>
          <w:tcPr>
            <w:tcW w:w="3339" w:type="pct"/>
            <w:shd w:val="clear" w:color="auto" w:fill="auto"/>
          </w:tcPr>
          <w:p w:rsidR="005610D6" w:rsidRPr="00E77C3A" w:rsidRDefault="005610D6" w:rsidP="00C2180D">
            <w:pPr>
              <w:autoSpaceDE w:val="0"/>
              <w:autoSpaceDN w:val="0"/>
              <w:adjustRightInd w:val="0"/>
              <w:spacing w:after="120"/>
              <w:jc w:val="both"/>
              <w:rPr>
                <w:sz w:val="24"/>
                <w:szCs w:val="24"/>
              </w:rPr>
            </w:pPr>
            <w:r w:rsidRPr="00E77C3A">
              <w:rPr>
                <w:bCs/>
                <w:sz w:val="24"/>
                <w:szCs w:val="24"/>
                <w:lang w:eastAsia="en-US"/>
              </w:rPr>
              <w:t>Ministru kabineta 2006.gada 27.jūnija noteikumi Nr.542 „Latvijas Republikā piešķirto valsts pensiju izmaksas kārtība personām pēc izbraukšanas uz pastāvīgu dzīvi ārvalstīs”</w:t>
            </w:r>
            <w:r w:rsidRPr="00E77C3A">
              <w:rPr>
                <w:sz w:val="24"/>
                <w:szCs w:val="24"/>
              </w:rPr>
              <w:t xml:space="preserve"> (turpmāk – MK noteikumi) paredz, ka, lai turpinātu vai atjaunotu pensijas izmaksu, persona, kura izbrauc vai izbraukusi uz pastāvīgu dzīvi ārvalstīs, jebkurā Valsts sociālās apdrošināšanas aģentūras</w:t>
            </w:r>
            <w:r>
              <w:rPr>
                <w:sz w:val="24"/>
                <w:szCs w:val="24"/>
              </w:rPr>
              <w:t xml:space="preserve"> (turpmāk – VSAA)</w:t>
            </w:r>
            <w:r w:rsidRPr="00E77C3A">
              <w:rPr>
                <w:sz w:val="24"/>
                <w:szCs w:val="24"/>
              </w:rPr>
              <w:t xml:space="preserve"> nodaļā iesniedz pieprasījumu par pensijas izmaksas turpināšanu vai atjaunošanu, ierodoties personīgi, uzrādot personu apliecinošu dokumentu un norāda Latvijas Republikas kredītiestādes kontu, kurā ieskaitāma pensija, kā arī jauno dzīvesvietas adresi. Ja minētos dokumentus no ārvalstīm nosūta pa pastu vai iesniedz ar pilnvarotās personas starpniecību, pieprasījumam pievieno notariālu apliecinājumu, ka pensijas pieprasītājs un apgādājamais, kuram ir tiesības uz pensiju, ir dzīvs.</w:t>
            </w:r>
          </w:p>
          <w:p w:rsidR="005610D6" w:rsidRPr="00E77C3A" w:rsidRDefault="005610D6" w:rsidP="00C2180D">
            <w:pPr>
              <w:autoSpaceDE w:val="0"/>
              <w:autoSpaceDN w:val="0"/>
              <w:adjustRightInd w:val="0"/>
              <w:spacing w:after="120"/>
              <w:jc w:val="both"/>
              <w:rPr>
                <w:sz w:val="24"/>
                <w:szCs w:val="24"/>
              </w:rPr>
            </w:pPr>
            <w:r>
              <w:rPr>
                <w:sz w:val="24"/>
                <w:szCs w:val="24"/>
              </w:rPr>
              <w:t xml:space="preserve">1. </w:t>
            </w:r>
            <w:r w:rsidRPr="00E77C3A">
              <w:rPr>
                <w:sz w:val="24"/>
                <w:szCs w:val="24"/>
              </w:rPr>
              <w:t>Tādējādi pašreizējais tiesiskais regulējums nepieļauj iespēju personai, kura izbraukusi uz pastāvīgu dzīvi ārvalstīs, pieprasījumu un attiecīgos dokumentus sūtīt elektroniski, radot pieprasītājiem papildu neērtības.</w:t>
            </w:r>
          </w:p>
          <w:p w:rsidR="005610D6" w:rsidRPr="00E77C3A" w:rsidRDefault="005610D6" w:rsidP="00C2180D">
            <w:pPr>
              <w:autoSpaceDE w:val="0"/>
              <w:autoSpaceDN w:val="0"/>
              <w:adjustRightInd w:val="0"/>
              <w:spacing w:after="120"/>
              <w:jc w:val="both"/>
              <w:rPr>
                <w:sz w:val="24"/>
                <w:szCs w:val="24"/>
              </w:rPr>
            </w:pPr>
            <w:r w:rsidRPr="00E77C3A">
              <w:rPr>
                <w:sz w:val="24"/>
                <w:szCs w:val="24"/>
              </w:rPr>
              <w:t xml:space="preserve">Valsts pārvaldes iekārtas likuma 10.panta astotā daļa paredz, ka valsts pārvaldi organizē pēc iespējas ērti un pieejami privātpersonai. Saskaņā ar Administratīvā procesa likuma 59.panta otro daļu gadījumos, kad iestādei nepieciešamā informācija ir nevis administratīvā procesa dalībnieku, bet </w:t>
            </w:r>
            <w:r w:rsidRPr="00E77C3A">
              <w:rPr>
                <w:sz w:val="24"/>
                <w:szCs w:val="24"/>
              </w:rPr>
              <w:lastRenderedPageBreak/>
              <w:t>gan citas institūcijas rīcībā, iestāde to iegūst pati, nevis pieprasa no administratīvā procesa dalībnieka.</w:t>
            </w:r>
          </w:p>
          <w:p w:rsidR="005610D6" w:rsidRPr="00E77C3A" w:rsidRDefault="005610D6" w:rsidP="00C2180D">
            <w:pPr>
              <w:autoSpaceDE w:val="0"/>
              <w:autoSpaceDN w:val="0"/>
              <w:adjustRightInd w:val="0"/>
              <w:spacing w:after="120"/>
              <w:jc w:val="both"/>
              <w:rPr>
                <w:sz w:val="24"/>
                <w:szCs w:val="24"/>
              </w:rPr>
            </w:pPr>
            <w:r>
              <w:rPr>
                <w:sz w:val="24"/>
                <w:szCs w:val="24"/>
              </w:rPr>
              <w:t>Izbraukušās uz pastāvīgu dzīvi ārvalstīs personas</w:t>
            </w:r>
            <w:r w:rsidRPr="00E77C3A">
              <w:rPr>
                <w:sz w:val="24"/>
                <w:szCs w:val="24"/>
              </w:rPr>
              <w:t xml:space="preserve">, kura pieprasa pensijas izmaksas turpināšanu vai atjaunošanu, identifikāciju VSAA var nodrošināt bez personas klātbūtnes, izmantojot Iedzīvotāju reģistrā iekļauto informāciju un citu VSAA pieejamo informāciju par personu, kā arī balstoties uz personas parakstītu un pa pastu vai elektroniska dokumenta formā atbilstoši normatīvajiem aktiem par elektronisko dokumentu noformēšanu iesniegtu iesniegumu. </w:t>
            </w:r>
          </w:p>
          <w:p w:rsidR="005610D6" w:rsidRPr="00E77C3A" w:rsidRDefault="005610D6" w:rsidP="00C2180D">
            <w:pPr>
              <w:autoSpaceDE w:val="0"/>
              <w:autoSpaceDN w:val="0"/>
              <w:adjustRightInd w:val="0"/>
              <w:spacing w:after="120"/>
              <w:jc w:val="both"/>
              <w:rPr>
                <w:sz w:val="24"/>
                <w:szCs w:val="24"/>
              </w:rPr>
            </w:pPr>
            <w:r w:rsidRPr="00E77C3A">
              <w:rPr>
                <w:sz w:val="24"/>
                <w:szCs w:val="24"/>
              </w:rPr>
              <w:t>Jēdziens „rakstveida (rakstisks) iesniegums” saskaņā ar Elektronisko dokumentu likuma 3.pantu ietver gan papīra, gan elektronisko dokumenta formu. Elektroniskajam dokumentam, ja tas parakstīts ar drošu elektronisko parakstu</w:t>
            </w:r>
            <w:proofErr w:type="gramStart"/>
            <w:r w:rsidRPr="00E77C3A">
              <w:rPr>
                <w:sz w:val="24"/>
                <w:szCs w:val="24"/>
              </w:rPr>
              <w:t xml:space="preserve">  </w:t>
            </w:r>
            <w:proofErr w:type="gramEnd"/>
            <w:r w:rsidRPr="00E77C3A">
              <w:rPr>
                <w:sz w:val="24"/>
                <w:szCs w:val="24"/>
              </w:rPr>
              <w:t>un atbilst normatīvajos aktos noteiktajām prasībām, ir tāds pats juridisks spēks kā papīra dokumentam</w:t>
            </w:r>
            <w:r>
              <w:rPr>
                <w:sz w:val="24"/>
                <w:szCs w:val="24"/>
              </w:rPr>
              <w:t>. I</w:t>
            </w:r>
            <w:r w:rsidRPr="00E77C3A">
              <w:rPr>
                <w:sz w:val="24"/>
                <w:szCs w:val="24"/>
              </w:rPr>
              <w:t xml:space="preserve">evērojot minētā likuma </w:t>
            </w:r>
            <w:r>
              <w:rPr>
                <w:sz w:val="24"/>
                <w:szCs w:val="24"/>
              </w:rPr>
              <w:t>p</w:t>
            </w:r>
            <w:r w:rsidRPr="00E77C3A">
              <w:rPr>
                <w:sz w:val="24"/>
                <w:szCs w:val="24"/>
              </w:rPr>
              <w:t xml:space="preserve">ārejas noteikumu 1.punktu, iestāde nav tiesīga atteikties pieņemt atbilstoši noformētus elektroniskos dokumentus. </w:t>
            </w:r>
          </w:p>
          <w:p w:rsidR="005610D6" w:rsidRPr="00E77C3A" w:rsidRDefault="005610D6" w:rsidP="00C2180D">
            <w:pPr>
              <w:autoSpaceDE w:val="0"/>
              <w:autoSpaceDN w:val="0"/>
              <w:adjustRightInd w:val="0"/>
              <w:spacing w:after="120"/>
              <w:jc w:val="both"/>
              <w:rPr>
                <w:sz w:val="24"/>
                <w:szCs w:val="24"/>
              </w:rPr>
            </w:pPr>
            <w:r w:rsidRPr="00E77C3A">
              <w:rPr>
                <w:sz w:val="24"/>
                <w:szCs w:val="24"/>
              </w:rPr>
              <w:t>Lai turpinātu vai atjaunotu pensijas izmaksu personai, kura izbrauc uz pastāvīgu dzīvi ārvalstīs, VSAA nepieciešams</w:t>
            </w:r>
            <w:proofErr w:type="gramStart"/>
            <w:r w:rsidRPr="00E77C3A">
              <w:rPr>
                <w:sz w:val="24"/>
                <w:szCs w:val="24"/>
              </w:rPr>
              <w:t xml:space="preserve">  </w:t>
            </w:r>
            <w:proofErr w:type="gramEnd"/>
            <w:r w:rsidRPr="00E77C3A">
              <w:rPr>
                <w:sz w:val="24"/>
                <w:szCs w:val="24"/>
              </w:rPr>
              <w:t>personas parakstīts pieprasījums, kurā norādīts Latvijas Republikas kredītiestādes konts, kurā ieskaitāma pensija, kā arī dažāda veida informācija ir pieejama VSAA no citām valsts iestādēm.</w:t>
            </w:r>
          </w:p>
          <w:p w:rsidR="005610D6" w:rsidRPr="00E77C3A" w:rsidRDefault="005610D6" w:rsidP="00C2180D">
            <w:pPr>
              <w:autoSpaceDE w:val="0"/>
              <w:autoSpaceDN w:val="0"/>
              <w:adjustRightInd w:val="0"/>
              <w:spacing w:after="120"/>
              <w:jc w:val="both"/>
              <w:rPr>
                <w:sz w:val="24"/>
                <w:szCs w:val="24"/>
              </w:rPr>
            </w:pPr>
            <w:r w:rsidRPr="00E77C3A">
              <w:rPr>
                <w:sz w:val="24"/>
                <w:szCs w:val="24"/>
              </w:rPr>
              <w:t>Ņemot vērā iepriekš minēto, nepieciešams pilnveidot personām, kuras izbrauc vai izbraukušas uz pastāvīgu dzīvi ārvalstīs, pieprasījumu par pensijas izmaksas turpināšanu vai atjaunošanu iesniegšanas kārtību, nosakot iespēju minētajām personām izvēlēties viņām ērtāko pieprasījuma iesniegšanas veidu, t.i., iesniegt VSAA pieprasījumu personiski, nosūtīt pieprasījumu pa pastu</w:t>
            </w:r>
            <w:r>
              <w:rPr>
                <w:sz w:val="24"/>
                <w:szCs w:val="24"/>
              </w:rPr>
              <w:t>, iesniegt ar pilnvarotās personas starpniecību</w:t>
            </w:r>
            <w:r w:rsidRPr="00E77C3A">
              <w:rPr>
                <w:sz w:val="24"/>
                <w:szCs w:val="24"/>
              </w:rPr>
              <w:t xml:space="preserve"> vai iesniegt elektroniska dokumenta formā.</w:t>
            </w:r>
          </w:p>
          <w:p w:rsidR="005610D6" w:rsidRPr="00E77C3A" w:rsidRDefault="005610D6" w:rsidP="00C2180D">
            <w:pPr>
              <w:spacing w:after="120"/>
              <w:jc w:val="both"/>
              <w:rPr>
                <w:sz w:val="24"/>
                <w:szCs w:val="24"/>
              </w:rPr>
            </w:pPr>
            <w:r w:rsidRPr="00E77C3A">
              <w:rPr>
                <w:sz w:val="24"/>
                <w:szCs w:val="24"/>
              </w:rPr>
              <w:t>Šāda VSAA pakalpojumu pieprasīšanas kārtība jau ir noteikta citiem VSAA izmaksātajiem sociālās apdrošināšanas pabalstiem un valsts sociālajiem pabalstiem, piemēram, maternitātes pabalstam, paternitātes pabalstam, vecāku pabalstam, bērna kopšanas pabalstam, bērna piedzimšanas pabalstam, ģimenes valsts pabalstam, bērna invalīda kopšanas pabalstam u.c.</w:t>
            </w:r>
          </w:p>
          <w:p w:rsidR="005610D6" w:rsidRPr="00E77C3A" w:rsidRDefault="005610D6" w:rsidP="00C2180D">
            <w:pPr>
              <w:jc w:val="both"/>
              <w:rPr>
                <w:sz w:val="24"/>
                <w:szCs w:val="24"/>
              </w:rPr>
            </w:pPr>
            <w:r>
              <w:rPr>
                <w:sz w:val="24"/>
                <w:szCs w:val="24"/>
              </w:rPr>
              <w:t xml:space="preserve">2. </w:t>
            </w:r>
            <w:r w:rsidRPr="00E77C3A">
              <w:rPr>
                <w:sz w:val="24"/>
                <w:szCs w:val="24"/>
              </w:rPr>
              <w:t xml:space="preserve">2010.gada 6.maija likuma „Grozījumi Iedzīvotāju reģistra likumā” (spēkā no 01.07.2010.) 6.panta i) apakšpunkts paredz izslēgt likuma 10.panta pirmās daļas 24.punktu, kas noteica, ka Iedzīvotāju reģistrā par personu iekļaujamas ziņas par izceļošanu no Latvijas uz pastāvīgu dzīvi ārvalstīs. Līdz ar to Iedzīvotāju reģistrs vairs neuzkrāj ziņas par izceļošanu no </w:t>
            </w:r>
            <w:r w:rsidRPr="00E77C3A">
              <w:rPr>
                <w:sz w:val="24"/>
                <w:szCs w:val="24"/>
              </w:rPr>
              <w:lastRenderedPageBreak/>
              <w:t>Latvijas uz pastāvīgu dzīvi ārvalstīs.</w:t>
            </w:r>
          </w:p>
          <w:p w:rsidR="005610D6" w:rsidRPr="00E77C3A" w:rsidRDefault="005610D6" w:rsidP="00C2180D">
            <w:pPr>
              <w:autoSpaceDE w:val="0"/>
              <w:autoSpaceDN w:val="0"/>
              <w:adjustRightInd w:val="0"/>
              <w:jc w:val="both"/>
              <w:rPr>
                <w:color w:val="000000"/>
                <w:sz w:val="24"/>
                <w:szCs w:val="24"/>
              </w:rPr>
            </w:pPr>
            <w:r w:rsidRPr="00E77C3A">
              <w:rPr>
                <w:color w:val="000000"/>
                <w:sz w:val="24"/>
                <w:szCs w:val="24"/>
              </w:rPr>
              <w:t>Iedzīvotāju reģistra likuma 3.pants nosaka, ka Iedzīvotāju reģistra galvenais uzdevums ir nodrošināt Latvijas pilsoņu, Latvijas nepilsoņu, kā arī Latvijā uzturēšanās atļauju, reģistrācijas apliecību vai pastāvīgās uzturēšanās apliecību saņēmušo personu uzskaiti, likumā noteiktajā kārtībā Iedzīvotāju reģistrā iekļaujot un aktualizējot ziņas par šīm personām. Saskaņā ar šī likuma 15.panta otro daļu, ja persona, kurai ir Latvijas valstiskā piederība, uzturas ārpus Latvijas ilgāk par sešiem mēnešiem, tās pienākums ir paziņot Pilsonības un migrācijas lietu pārvaldei savas dzīvesvietas adresi ārvalstīs, kā arī citas izmaiņas Iedzīvotāju reģistrā iekļautajās ziņās par sevi, saviem bērniem, kas jaunāki par 18 gadiem, un par personām, kas atrodas tās aizbildnībā vai aizgādnībā (ar Latvijas konsulārās vai diplomātiskās pārstāvniecības starpniecību), ja šīs izmaiņas izdarītas ārvalstu institūcijās.</w:t>
            </w:r>
          </w:p>
          <w:p w:rsidR="005610D6" w:rsidRPr="00E77C3A" w:rsidRDefault="005610D6" w:rsidP="00C2180D">
            <w:pPr>
              <w:autoSpaceDE w:val="0"/>
              <w:autoSpaceDN w:val="0"/>
              <w:adjustRightInd w:val="0"/>
              <w:jc w:val="both"/>
              <w:rPr>
                <w:color w:val="000000"/>
                <w:sz w:val="24"/>
                <w:szCs w:val="24"/>
              </w:rPr>
            </w:pPr>
          </w:p>
          <w:p w:rsidR="005610D6" w:rsidRDefault="005610D6" w:rsidP="00C2180D">
            <w:pPr>
              <w:autoSpaceDE w:val="0"/>
              <w:autoSpaceDN w:val="0"/>
              <w:adjustRightInd w:val="0"/>
              <w:jc w:val="both"/>
              <w:rPr>
                <w:color w:val="000000"/>
                <w:sz w:val="24"/>
                <w:szCs w:val="24"/>
              </w:rPr>
            </w:pPr>
            <w:r w:rsidRPr="00E77C3A">
              <w:rPr>
                <w:color w:val="000000"/>
                <w:sz w:val="24"/>
                <w:szCs w:val="24"/>
              </w:rPr>
              <w:t>Izdarot grozījumus Iedzīvotāju reģistra likumā ar 2010.gada 1.jūliju, likumprojekta anotācijā ir paskaidrots, kāpēc nav jāuzkrāj ziņas par personas izbraukšanu uz pastāvīgu dzīvi ārvalstīs. Proti, ziņas par izceļošanu no Latvijas uz pastāvīgu dzīvi ārvalstīs nav lietderīgi uzkrāt, jo persona, dodoties uz dzīvi ārvalstīs, norāda savu adresi ārvalstīs, kas arī tiek ievadīta Iedzīvotāju reģistrā un apliecina to, ka persona ir pārcēlusies uz dzīvi ārvalstīs.</w:t>
            </w:r>
          </w:p>
          <w:p w:rsidR="005610D6" w:rsidRPr="00E77C3A" w:rsidRDefault="005610D6" w:rsidP="00C2180D">
            <w:pPr>
              <w:autoSpaceDE w:val="0"/>
              <w:autoSpaceDN w:val="0"/>
              <w:adjustRightInd w:val="0"/>
              <w:jc w:val="both"/>
              <w:rPr>
                <w:color w:val="000000"/>
                <w:sz w:val="24"/>
                <w:szCs w:val="24"/>
              </w:rPr>
            </w:pPr>
            <w:r>
              <w:rPr>
                <w:color w:val="000000"/>
                <w:sz w:val="24"/>
                <w:szCs w:val="24"/>
              </w:rPr>
              <w:t>Tātad</w:t>
            </w:r>
            <w:r w:rsidRPr="00E77C3A">
              <w:rPr>
                <w:color w:val="000000"/>
                <w:sz w:val="24"/>
                <w:szCs w:val="24"/>
              </w:rPr>
              <w:t xml:space="preserve"> Iedzīvotāju reģistrā </w:t>
            </w:r>
            <w:r>
              <w:rPr>
                <w:color w:val="000000"/>
                <w:sz w:val="24"/>
                <w:szCs w:val="24"/>
              </w:rPr>
              <w:t>ir ziņas par personas norādīto dzīvesvietu ārvalstī, kā arī datubāzē ir izdarīts ieraksts par „tiesiskā statusa zaudēšanu Latvijā”</w:t>
            </w:r>
            <w:r w:rsidRPr="00E77C3A">
              <w:rPr>
                <w:color w:val="000000"/>
                <w:sz w:val="24"/>
                <w:szCs w:val="24"/>
              </w:rPr>
              <w:t xml:space="preserve">, bet nav atsevišķa aile - </w:t>
            </w:r>
            <w:r w:rsidRPr="00E77C3A">
              <w:rPr>
                <w:sz w:val="24"/>
                <w:szCs w:val="24"/>
                <w:lang w:eastAsia="en-US"/>
              </w:rPr>
              <w:t>ziņas par izceļošanu no Latvijas uz pastāvīgu dzīvi ārvalstī</w:t>
            </w:r>
            <w:r w:rsidRPr="00E77C3A">
              <w:rPr>
                <w:color w:val="000000"/>
                <w:sz w:val="24"/>
                <w:szCs w:val="24"/>
              </w:rPr>
              <w:t xml:space="preserve">, kurā </w:t>
            </w:r>
            <w:r>
              <w:rPr>
                <w:color w:val="000000"/>
                <w:sz w:val="24"/>
                <w:szCs w:val="24"/>
              </w:rPr>
              <w:t xml:space="preserve">būtu </w:t>
            </w:r>
            <w:r w:rsidRPr="00E77C3A">
              <w:rPr>
                <w:color w:val="000000"/>
                <w:sz w:val="24"/>
                <w:szCs w:val="24"/>
              </w:rPr>
              <w:t xml:space="preserve">norādīts izceļošanas datums, valsts, </w:t>
            </w:r>
            <w:r w:rsidRPr="00E77C3A">
              <w:rPr>
                <w:sz w:val="24"/>
                <w:szCs w:val="24"/>
                <w:lang w:eastAsia="en-US"/>
              </w:rPr>
              <w:t xml:space="preserve">uz kuru persona izceļo, </w:t>
            </w:r>
            <w:r w:rsidRPr="00E77C3A">
              <w:rPr>
                <w:color w:val="000000"/>
                <w:sz w:val="24"/>
                <w:szCs w:val="24"/>
              </w:rPr>
              <w:t xml:space="preserve">un </w:t>
            </w:r>
            <w:r w:rsidRPr="00E77C3A">
              <w:rPr>
                <w:sz w:val="24"/>
                <w:szCs w:val="24"/>
                <w:lang w:eastAsia="en-US"/>
              </w:rPr>
              <w:t>dokumenta, ar kuru persona izceļo, veids, numurs, izdevējvalsts, izdošanas vieta un datums, derīguma termiņš</w:t>
            </w:r>
            <w:r>
              <w:rPr>
                <w:sz w:val="24"/>
                <w:szCs w:val="24"/>
                <w:lang w:eastAsia="en-US"/>
              </w:rPr>
              <w:t>,</w:t>
            </w:r>
            <w:r>
              <w:rPr>
                <w:color w:val="000000"/>
                <w:sz w:val="24"/>
                <w:szCs w:val="24"/>
              </w:rPr>
              <w:t xml:space="preserve"> </w:t>
            </w:r>
          </w:p>
          <w:p w:rsidR="005610D6" w:rsidRPr="00E77C3A" w:rsidRDefault="005610D6" w:rsidP="00C2180D">
            <w:pPr>
              <w:autoSpaceDE w:val="0"/>
              <w:autoSpaceDN w:val="0"/>
              <w:adjustRightInd w:val="0"/>
              <w:jc w:val="both"/>
              <w:rPr>
                <w:color w:val="000000"/>
                <w:sz w:val="24"/>
                <w:szCs w:val="24"/>
              </w:rPr>
            </w:pPr>
            <w:r w:rsidRPr="00E77C3A">
              <w:rPr>
                <w:color w:val="000000"/>
                <w:sz w:val="24"/>
                <w:szCs w:val="24"/>
              </w:rPr>
              <w:t>Tādējādi no 2010.gada 1.jūlija</w:t>
            </w:r>
            <w:r>
              <w:rPr>
                <w:color w:val="000000"/>
                <w:sz w:val="24"/>
                <w:szCs w:val="24"/>
              </w:rPr>
              <w:t xml:space="preserve"> par</w:t>
            </w:r>
            <w:r w:rsidRPr="00E77C3A">
              <w:rPr>
                <w:color w:val="000000"/>
                <w:sz w:val="24"/>
                <w:szCs w:val="24"/>
              </w:rPr>
              <w:t xml:space="preserve"> izbraukšanu uz pastāvīgu dzīvi ārvalstī VSAA jākontrolē </w:t>
            </w:r>
            <w:r>
              <w:rPr>
                <w:color w:val="000000"/>
                <w:sz w:val="24"/>
                <w:szCs w:val="24"/>
              </w:rPr>
              <w:t xml:space="preserve">tikai </w:t>
            </w:r>
            <w:r w:rsidRPr="00E77C3A">
              <w:rPr>
                <w:color w:val="000000"/>
                <w:sz w:val="24"/>
                <w:szCs w:val="24"/>
              </w:rPr>
              <w:t xml:space="preserve">Iedzīvotāju reģistra likuma 10.panta pirmās daļas 10.punktā minētās adreses (valsts) maiņa. </w:t>
            </w:r>
            <w:r>
              <w:rPr>
                <w:color w:val="000000"/>
                <w:sz w:val="24"/>
                <w:szCs w:val="24"/>
              </w:rPr>
              <w:t xml:space="preserve">Attiecīgi ir jāprecizē </w:t>
            </w:r>
            <w:proofErr w:type="gramStart"/>
            <w:r>
              <w:rPr>
                <w:color w:val="000000"/>
                <w:sz w:val="24"/>
                <w:szCs w:val="24"/>
              </w:rPr>
              <w:t>MK noteikumu</w:t>
            </w:r>
            <w:proofErr w:type="gramEnd"/>
            <w:r>
              <w:rPr>
                <w:color w:val="000000"/>
                <w:sz w:val="24"/>
                <w:szCs w:val="24"/>
              </w:rPr>
              <w:t xml:space="preserve"> 5.2.apakšpunkts, 14.punkts</w:t>
            </w:r>
            <w:r w:rsidRPr="00E77C3A">
              <w:rPr>
                <w:sz w:val="24"/>
                <w:szCs w:val="24"/>
                <w:lang w:eastAsia="en-US"/>
              </w:rPr>
              <w:t>.</w:t>
            </w:r>
          </w:p>
          <w:p w:rsidR="005610D6" w:rsidRPr="00E77C3A" w:rsidRDefault="005610D6" w:rsidP="00C2180D">
            <w:pPr>
              <w:jc w:val="both"/>
              <w:rPr>
                <w:sz w:val="24"/>
                <w:szCs w:val="24"/>
              </w:rPr>
            </w:pPr>
          </w:p>
          <w:p w:rsidR="005610D6" w:rsidRDefault="005610D6" w:rsidP="00C2180D">
            <w:pPr>
              <w:jc w:val="both"/>
              <w:rPr>
                <w:sz w:val="24"/>
                <w:szCs w:val="24"/>
              </w:rPr>
            </w:pPr>
            <w:r>
              <w:rPr>
                <w:sz w:val="24"/>
                <w:szCs w:val="24"/>
              </w:rPr>
              <w:t xml:space="preserve">3. </w:t>
            </w:r>
            <w:r w:rsidRPr="00E77C3A">
              <w:rPr>
                <w:sz w:val="24"/>
                <w:szCs w:val="24"/>
              </w:rPr>
              <w:t xml:space="preserve">Ņemot vērā, ka MK noteikumos vēl joprojām saglabājusies norma, ka VSAA izvērtē </w:t>
            </w:r>
            <w:r>
              <w:rPr>
                <w:sz w:val="24"/>
                <w:szCs w:val="24"/>
              </w:rPr>
              <w:t xml:space="preserve">tikai </w:t>
            </w:r>
            <w:r w:rsidRPr="00E77C3A">
              <w:rPr>
                <w:sz w:val="24"/>
                <w:szCs w:val="24"/>
              </w:rPr>
              <w:t>Iedzīvotāju reģistra datus par personas izbraukšanu uz pastāvīgu dzīvi ārv</w:t>
            </w:r>
            <w:r>
              <w:rPr>
                <w:sz w:val="24"/>
                <w:szCs w:val="24"/>
              </w:rPr>
              <w:t>alstīs (5.2.apakšpunkts)</w:t>
            </w:r>
            <w:r w:rsidRPr="00E77C3A">
              <w:rPr>
                <w:sz w:val="24"/>
                <w:szCs w:val="24"/>
              </w:rPr>
              <w:t xml:space="preserve">, </w:t>
            </w:r>
            <w:r>
              <w:rPr>
                <w:sz w:val="24"/>
                <w:szCs w:val="24"/>
              </w:rPr>
              <w:t>bet faktiski</w:t>
            </w:r>
            <w:r w:rsidRPr="00E77C3A">
              <w:rPr>
                <w:rFonts w:ascii="Verdana" w:hAnsi="Verdana"/>
                <w:sz w:val="24"/>
                <w:szCs w:val="24"/>
              </w:rPr>
              <w:t xml:space="preserve"> </w:t>
            </w:r>
            <w:r w:rsidRPr="00E77C3A">
              <w:rPr>
                <w:sz w:val="24"/>
                <w:szCs w:val="24"/>
              </w:rPr>
              <w:t xml:space="preserve">VSAA nodaļa </w:t>
            </w:r>
            <w:r>
              <w:rPr>
                <w:sz w:val="24"/>
                <w:szCs w:val="24"/>
              </w:rPr>
              <w:t xml:space="preserve">arī </w:t>
            </w:r>
            <w:r w:rsidRPr="00E77C3A">
              <w:rPr>
                <w:sz w:val="24"/>
                <w:szCs w:val="24"/>
              </w:rPr>
              <w:t xml:space="preserve">no </w:t>
            </w:r>
            <w:r>
              <w:rPr>
                <w:sz w:val="24"/>
                <w:szCs w:val="24"/>
              </w:rPr>
              <w:t xml:space="preserve">ārvalsts kompetentas institūcijas </w:t>
            </w:r>
            <w:r w:rsidRPr="00E77C3A">
              <w:rPr>
                <w:sz w:val="24"/>
                <w:szCs w:val="24"/>
              </w:rPr>
              <w:t xml:space="preserve">saņem informāciju par personas </w:t>
            </w:r>
            <w:r>
              <w:rPr>
                <w:sz w:val="24"/>
                <w:szCs w:val="24"/>
              </w:rPr>
              <w:t>dzīvesvietu</w:t>
            </w:r>
            <w:r w:rsidRPr="00E77C3A">
              <w:rPr>
                <w:sz w:val="24"/>
                <w:szCs w:val="24"/>
              </w:rPr>
              <w:t xml:space="preserve"> ārvalstī, nepieciešama </w:t>
            </w:r>
            <w:r>
              <w:rPr>
                <w:sz w:val="24"/>
                <w:szCs w:val="24"/>
              </w:rPr>
              <w:t>MK noteikumu 5.punkta papildināšana ar jaunu apakšpunktu un 14.punkta</w:t>
            </w:r>
            <w:r w:rsidRPr="00E77C3A">
              <w:rPr>
                <w:sz w:val="24"/>
                <w:szCs w:val="24"/>
              </w:rPr>
              <w:t xml:space="preserve"> precizēšana</w:t>
            </w:r>
            <w:r>
              <w:rPr>
                <w:sz w:val="24"/>
                <w:szCs w:val="24"/>
              </w:rPr>
              <w:t>.</w:t>
            </w:r>
          </w:p>
          <w:p w:rsidR="005610D6" w:rsidRDefault="005610D6" w:rsidP="00C2180D">
            <w:pPr>
              <w:jc w:val="both"/>
              <w:rPr>
                <w:sz w:val="24"/>
                <w:szCs w:val="24"/>
              </w:rPr>
            </w:pPr>
          </w:p>
          <w:p w:rsidR="005610D6" w:rsidRDefault="005610D6" w:rsidP="00C2180D">
            <w:pPr>
              <w:jc w:val="both"/>
              <w:rPr>
                <w:sz w:val="24"/>
                <w:szCs w:val="24"/>
              </w:rPr>
            </w:pPr>
            <w:r>
              <w:rPr>
                <w:sz w:val="24"/>
                <w:szCs w:val="24"/>
              </w:rPr>
              <w:t>2013.gada 9.maijā Saeima pieņēma grozījumus Iedzīvotāju reģistra likumā</w:t>
            </w:r>
            <w:r w:rsidR="007A080C">
              <w:rPr>
                <w:sz w:val="24"/>
                <w:szCs w:val="24"/>
              </w:rPr>
              <w:t xml:space="preserve"> </w:t>
            </w:r>
            <w:proofErr w:type="gramStart"/>
            <w:r w:rsidR="007A080C">
              <w:rPr>
                <w:sz w:val="24"/>
                <w:szCs w:val="24"/>
              </w:rPr>
              <w:t>(</w:t>
            </w:r>
            <w:proofErr w:type="gramEnd"/>
            <w:r w:rsidR="007A080C">
              <w:rPr>
                <w:sz w:val="24"/>
                <w:szCs w:val="24"/>
              </w:rPr>
              <w:t xml:space="preserve">Nr.525/Lp 11), kas nosaka, ka </w:t>
            </w:r>
            <w:r w:rsidR="009F6B55">
              <w:rPr>
                <w:sz w:val="24"/>
                <w:szCs w:val="24"/>
              </w:rPr>
              <w:t xml:space="preserve">Iedzīvotāju </w:t>
            </w:r>
            <w:r w:rsidR="009F6B55">
              <w:rPr>
                <w:sz w:val="24"/>
                <w:szCs w:val="24"/>
              </w:rPr>
              <w:lastRenderedPageBreak/>
              <w:t>reģistrā par personu</w:t>
            </w:r>
            <w:r w:rsidR="007A080C">
              <w:rPr>
                <w:sz w:val="24"/>
                <w:szCs w:val="24"/>
              </w:rPr>
              <w:t xml:space="preserve"> norāda</w:t>
            </w:r>
            <w:r w:rsidR="009F6B55">
              <w:rPr>
                <w:sz w:val="24"/>
                <w:szCs w:val="24"/>
              </w:rPr>
              <w:t>, ka tai ir pasīvs statuss</w:t>
            </w:r>
            <w:r w:rsidR="007A080C">
              <w:rPr>
                <w:sz w:val="24"/>
                <w:szCs w:val="24"/>
              </w:rPr>
              <w:t>, ja personai Latvijā zudis tiesiskais statuss un jauns statuss nav noteikts. Līdz ar to atbilstoši precizējams 14.punkts.</w:t>
            </w:r>
          </w:p>
          <w:p w:rsidR="007A080C" w:rsidRPr="00E77C3A" w:rsidRDefault="007A080C" w:rsidP="00C2180D">
            <w:pPr>
              <w:jc w:val="both"/>
              <w:rPr>
                <w:sz w:val="24"/>
                <w:szCs w:val="24"/>
              </w:rPr>
            </w:pPr>
          </w:p>
          <w:p w:rsidR="005610D6" w:rsidRPr="00E77C3A" w:rsidRDefault="005610D6" w:rsidP="00C2180D">
            <w:pPr>
              <w:autoSpaceDE w:val="0"/>
              <w:autoSpaceDN w:val="0"/>
              <w:adjustRightInd w:val="0"/>
              <w:spacing w:after="120"/>
              <w:jc w:val="both"/>
              <w:rPr>
                <w:sz w:val="24"/>
                <w:szCs w:val="24"/>
              </w:rPr>
            </w:pPr>
            <w:r>
              <w:rPr>
                <w:sz w:val="24"/>
                <w:szCs w:val="24"/>
              </w:rPr>
              <w:t xml:space="preserve">4. </w:t>
            </w:r>
            <w:r w:rsidRPr="00E77C3A">
              <w:rPr>
                <w:sz w:val="24"/>
                <w:szCs w:val="24"/>
              </w:rPr>
              <w:t xml:space="preserve">Ja MK noteikumu 2.punktā minētos dokumentus </w:t>
            </w:r>
            <w:r>
              <w:rPr>
                <w:sz w:val="24"/>
                <w:szCs w:val="24"/>
              </w:rPr>
              <w:t xml:space="preserve">no ārvalstīm </w:t>
            </w:r>
            <w:r w:rsidRPr="00E77C3A">
              <w:rPr>
                <w:sz w:val="24"/>
                <w:szCs w:val="24"/>
              </w:rPr>
              <w:t xml:space="preserve">nosūta pa pastu vai iesniedz ar pilnvarotās personas starpniecību, </w:t>
            </w:r>
            <w:r>
              <w:rPr>
                <w:sz w:val="24"/>
                <w:szCs w:val="24"/>
              </w:rPr>
              <w:t xml:space="preserve">pieprasījumam </w:t>
            </w:r>
            <w:r w:rsidRPr="00E77C3A">
              <w:rPr>
                <w:sz w:val="24"/>
                <w:szCs w:val="24"/>
              </w:rPr>
              <w:t>jāpievieno notariāls apliecinājums, ka persona ir dzīva, t.i., ka pensijas saņēmējs ir dzīvs</w:t>
            </w:r>
            <w:r>
              <w:rPr>
                <w:sz w:val="24"/>
                <w:szCs w:val="24"/>
              </w:rPr>
              <w:t>. A</w:t>
            </w:r>
            <w:r w:rsidRPr="00E77C3A">
              <w:rPr>
                <w:sz w:val="24"/>
                <w:szCs w:val="24"/>
              </w:rPr>
              <w:t>pgādnieka zaudējuma pensijas saņemšanas gadījumā</w:t>
            </w:r>
            <w:r>
              <w:rPr>
                <w:sz w:val="24"/>
                <w:szCs w:val="24"/>
              </w:rPr>
              <w:t xml:space="preserve"> svarīgs nosacījums ir arī tas, ka</w:t>
            </w:r>
            <w:r w:rsidRPr="00E77C3A">
              <w:rPr>
                <w:sz w:val="24"/>
                <w:szCs w:val="24"/>
              </w:rPr>
              <w:t xml:space="preserve"> dzīvs ir apgādājamais</w:t>
            </w:r>
            <w:r>
              <w:rPr>
                <w:sz w:val="24"/>
                <w:szCs w:val="24"/>
              </w:rPr>
              <w:t>, kuram ir tiesības uz pensiju</w:t>
            </w:r>
            <w:r w:rsidRPr="00E77C3A">
              <w:rPr>
                <w:sz w:val="24"/>
                <w:szCs w:val="24"/>
              </w:rPr>
              <w:t>. Tādējādi nepieciešams MK noteikumos veikt precizējumu</w:t>
            </w:r>
            <w:r>
              <w:rPr>
                <w:sz w:val="24"/>
                <w:szCs w:val="24"/>
              </w:rPr>
              <w:t>s</w:t>
            </w:r>
            <w:r w:rsidRPr="00E77C3A">
              <w:rPr>
                <w:sz w:val="24"/>
                <w:szCs w:val="24"/>
              </w:rPr>
              <w:t xml:space="preserve"> (3.punkts un 7.2. apakšpunkts).</w:t>
            </w:r>
          </w:p>
          <w:p w:rsidR="005610D6" w:rsidRPr="00E77C3A" w:rsidRDefault="005610D6" w:rsidP="00C2180D">
            <w:pPr>
              <w:autoSpaceDE w:val="0"/>
              <w:autoSpaceDN w:val="0"/>
              <w:adjustRightInd w:val="0"/>
              <w:spacing w:after="120"/>
              <w:jc w:val="both"/>
              <w:rPr>
                <w:sz w:val="24"/>
                <w:szCs w:val="24"/>
              </w:rPr>
            </w:pPr>
            <w:r>
              <w:rPr>
                <w:sz w:val="24"/>
                <w:szCs w:val="24"/>
              </w:rPr>
              <w:t xml:space="preserve">5. </w:t>
            </w:r>
            <w:r w:rsidRPr="00E77C3A">
              <w:rPr>
                <w:sz w:val="24"/>
                <w:szCs w:val="24"/>
              </w:rPr>
              <w:t xml:space="preserve">Saskaņā ar 2010.gada 28.oktobra likumu „Grozījums Dokumentu legalizācijas likumā” ir atcelta legalizācijas prasība </w:t>
            </w:r>
            <w:r>
              <w:rPr>
                <w:sz w:val="24"/>
                <w:szCs w:val="24"/>
              </w:rPr>
              <w:t>Eiropas Savienības</w:t>
            </w:r>
            <w:r w:rsidRPr="00E77C3A">
              <w:rPr>
                <w:sz w:val="24"/>
                <w:szCs w:val="24"/>
              </w:rPr>
              <w:t xml:space="preserve"> un </w:t>
            </w:r>
            <w:r>
              <w:rPr>
                <w:sz w:val="24"/>
                <w:szCs w:val="24"/>
              </w:rPr>
              <w:t>Eiropas Ekonomiskās zonas</w:t>
            </w:r>
            <w:r w:rsidRPr="00E77C3A">
              <w:rPr>
                <w:sz w:val="24"/>
                <w:szCs w:val="24"/>
              </w:rPr>
              <w:t xml:space="preserve"> dalībvalstīs un Šveicē izsniegtajiem publiskiem dokumentiem. Līdz ar to juridiskās skaidrības nodrošināšanai nepieciešams precizēt MK noteikumu 9.punktu.</w:t>
            </w:r>
          </w:p>
          <w:p w:rsidR="005610D6" w:rsidRPr="00E77C3A" w:rsidRDefault="005610D6" w:rsidP="00C2180D">
            <w:pPr>
              <w:pStyle w:val="naisf"/>
              <w:tabs>
                <w:tab w:val="left" w:pos="1695"/>
              </w:tabs>
              <w:ind w:firstLine="12"/>
              <w:jc w:val="both"/>
            </w:pPr>
            <w:r>
              <w:t xml:space="preserve">6. </w:t>
            </w:r>
            <w:r w:rsidRPr="00E77C3A">
              <w:t>2010.gada 1.maijā spēkā stājusies 2004.gada 29.aprīlī pieņemtā Eiropas Parlamenta un Padomes Regula (EK) Nr.883/2004 par sociālā nodrošinājuma sistēmu koordinēšanu (turpmāk – Regula Nr.883/2004), aizstājot līdz tam sociālās drošības shēmas koordinējošo Padomes Regulu (EEK) Nr.1408/71 par sociālā nodrošinājuma shēmu piemērošanu darba ņēmējiem, pašnodarbinātajiem un viņu ģimenes locekļiem, kuri pārvietojas Kopienas teritorijā (turpmāk – Regula 1408/71). Ņemot vērā minēto</w:t>
            </w:r>
            <w:r>
              <w:t>,</w:t>
            </w:r>
            <w:r w:rsidRPr="00E77C3A">
              <w:t xml:space="preserve"> ir nepieciešams </w:t>
            </w:r>
            <w:r>
              <w:t xml:space="preserve">MK </w:t>
            </w:r>
            <w:r w:rsidRPr="00E77C3A">
              <w:t>noteikumos aizstāt Regulu 1408/71 ar Regulu Nr.883/2004 (1</w:t>
            </w:r>
            <w:r>
              <w:t>3</w:t>
            </w:r>
            <w:r w:rsidRPr="00E77C3A">
              <w:t>.punkts).</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lastRenderedPageBreak/>
              <w:t xml:space="preserve">3. </w:t>
            </w:r>
          </w:p>
        </w:tc>
        <w:tc>
          <w:tcPr>
            <w:tcW w:w="1448" w:type="pct"/>
            <w:shd w:val="clear" w:color="auto" w:fill="auto"/>
          </w:tcPr>
          <w:p w:rsidR="005610D6" w:rsidRPr="00D95A84" w:rsidRDefault="005610D6" w:rsidP="00C2180D">
            <w:pPr>
              <w:rPr>
                <w:sz w:val="24"/>
                <w:szCs w:val="24"/>
              </w:rPr>
            </w:pPr>
            <w:r w:rsidRPr="00D95A84">
              <w:rPr>
                <w:sz w:val="24"/>
                <w:szCs w:val="24"/>
              </w:rPr>
              <w:t>Saistītie politikas ietekmes novērtējumi un pētījumi</w:t>
            </w:r>
          </w:p>
        </w:tc>
        <w:tc>
          <w:tcPr>
            <w:tcW w:w="3339" w:type="pct"/>
            <w:shd w:val="clear" w:color="auto" w:fill="auto"/>
            <w:vAlign w:val="center"/>
          </w:tcPr>
          <w:p w:rsidR="005610D6" w:rsidRPr="00D95A84" w:rsidRDefault="005610D6" w:rsidP="00C2180D">
            <w:pPr>
              <w:spacing w:after="120"/>
              <w:rPr>
                <w:sz w:val="24"/>
                <w:szCs w:val="24"/>
              </w:rPr>
            </w:pPr>
            <w:r w:rsidRPr="00D95A84">
              <w:rPr>
                <w:sz w:val="24"/>
                <w:szCs w:val="24"/>
              </w:rPr>
              <w:t>Projekts šo jomu neskar.</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t>4.</w:t>
            </w:r>
          </w:p>
        </w:tc>
        <w:tc>
          <w:tcPr>
            <w:tcW w:w="1448" w:type="pct"/>
            <w:shd w:val="clear" w:color="auto" w:fill="auto"/>
          </w:tcPr>
          <w:p w:rsidR="005610D6" w:rsidRPr="00D95A84" w:rsidRDefault="005610D6" w:rsidP="00C2180D">
            <w:pPr>
              <w:rPr>
                <w:sz w:val="24"/>
                <w:szCs w:val="24"/>
              </w:rPr>
            </w:pPr>
            <w:r w:rsidRPr="00D95A84">
              <w:rPr>
                <w:sz w:val="24"/>
                <w:szCs w:val="24"/>
              </w:rPr>
              <w:t>Tiesiskā regulējuma mērķis un būtība</w:t>
            </w:r>
          </w:p>
        </w:tc>
        <w:tc>
          <w:tcPr>
            <w:tcW w:w="3339" w:type="pct"/>
            <w:shd w:val="clear" w:color="auto" w:fill="auto"/>
          </w:tcPr>
          <w:p w:rsidR="005610D6" w:rsidRDefault="005610D6" w:rsidP="00C2180D">
            <w:pPr>
              <w:jc w:val="both"/>
              <w:rPr>
                <w:sz w:val="24"/>
                <w:szCs w:val="24"/>
              </w:rPr>
            </w:pPr>
            <w:r w:rsidRPr="007A4063">
              <w:rPr>
                <w:sz w:val="24"/>
                <w:szCs w:val="24"/>
              </w:rPr>
              <w:t>Noteikumu projekta izstrādāšanas mērķis ir</w:t>
            </w:r>
            <w:r>
              <w:rPr>
                <w:sz w:val="24"/>
                <w:szCs w:val="24"/>
              </w:rPr>
              <w:t xml:space="preserve"> </w:t>
            </w:r>
            <w:r w:rsidRPr="007A4063">
              <w:rPr>
                <w:sz w:val="24"/>
                <w:szCs w:val="24"/>
              </w:rPr>
              <w:t xml:space="preserve">vienkāršot </w:t>
            </w:r>
            <w:r>
              <w:rPr>
                <w:sz w:val="24"/>
                <w:szCs w:val="24"/>
              </w:rPr>
              <w:t xml:space="preserve">un precizēt </w:t>
            </w:r>
            <w:r w:rsidRPr="007A4063">
              <w:rPr>
                <w:sz w:val="24"/>
                <w:szCs w:val="24"/>
              </w:rPr>
              <w:t xml:space="preserve">kārtību, kādā </w:t>
            </w:r>
            <w:r>
              <w:rPr>
                <w:sz w:val="24"/>
                <w:szCs w:val="24"/>
              </w:rPr>
              <w:t>persona, kura izbrauc vai izbraukusi uz pastāvīgu dzīvi ārvalstīs,</w:t>
            </w:r>
            <w:r w:rsidRPr="007A4063">
              <w:rPr>
                <w:sz w:val="24"/>
                <w:szCs w:val="24"/>
              </w:rPr>
              <w:t xml:space="preserve"> var </w:t>
            </w:r>
            <w:r>
              <w:rPr>
                <w:sz w:val="24"/>
                <w:szCs w:val="24"/>
              </w:rPr>
              <w:t>iesniegt pieprasījumu par pensijas izmaksas turpināšanu vai atjaunošanu:</w:t>
            </w:r>
          </w:p>
          <w:p w:rsidR="005610D6" w:rsidRDefault="005610D6" w:rsidP="00C2180D">
            <w:pPr>
              <w:jc w:val="both"/>
              <w:rPr>
                <w:sz w:val="24"/>
                <w:szCs w:val="24"/>
              </w:rPr>
            </w:pPr>
            <w:r>
              <w:rPr>
                <w:sz w:val="24"/>
                <w:szCs w:val="24"/>
              </w:rPr>
              <w:t>1)</w:t>
            </w:r>
            <w:r w:rsidRPr="007A4063">
              <w:rPr>
                <w:sz w:val="24"/>
                <w:szCs w:val="24"/>
              </w:rPr>
              <w:t xml:space="preserve"> paredzot, ka </w:t>
            </w:r>
            <w:r>
              <w:rPr>
                <w:sz w:val="24"/>
                <w:szCs w:val="24"/>
              </w:rPr>
              <w:t>šīs personas</w:t>
            </w:r>
            <w:r w:rsidRPr="007A4063">
              <w:rPr>
                <w:sz w:val="24"/>
                <w:szCs w:val="24"/>
              </w:rPr>
              <w:t xml:space="preserve"> </w:t>
            </w:r>
            <w:r>
              <w:rPr>
                <w:sz w:val="24"/>
                <w:szCs w:val="24"/>
              </w:rPr>
              <w:t>minēto pieprasījumu</w:t>
            </w:r>
            <w:r w:rsidRPr="007A4063">
              <w:rPr>
                <w:sz w:val="24"/>
                <w:szCs w:val="24"/>
              </w:rPr>
              <w:t xml:space="preserve"> var iesniegt arī elektroniska dokument</w:t>
            </w:r>
            <w:r>
              <w:rPr>
                <w:sz w:val="24"/>
                <w:szCs w:val="24"/>
              </w:rPr>
              <w:t>a formā (1.punkts un 4.punkts);</w:t>
            </w:r>
          </w:p>
          <w:p w:rsidR="005610D6" w:rsidRDefault="005610D6" w:rsidP="00C2180D">
            <w:pPr>
              <w:jc w:val="both"/>
              <w:rPr>
                <w:sz w:val="24"/>
                <w:szCs w:val="24"/>
              </w:rPr>
            </w:pPr>
            <w:r>
              <w:rPr>
                <w:sz w:val="24"/>
                <w:szCs w:val="24"/>
              </w:rPr>
              <w:t xml:space="preserve">2) </w:t>
            </w:r>
            <w:r w:rsidRPr="004D0D81">
              <w:rPr>
                <w:sz w:val="24"/>
                <w:szCs w:val="24"/>
              </w:rPr>
              <w:t xml:space="preserve">juridiskās skaidrības </w:t>
            </w:r>
            <w:r>
              <w:rPr>
                <w:sz w:val="24"/>
                <w:szCs w:val="24"/>
              </w:rPr>
              <w:t>nodrošināšanai</w:t>
            </w:r>
            <w:r w:rsidRPr="004D0D81">
              <w:rPr>
                <w:sz w:val="24"/>
                <w:szCs w:val="24"/>
              </w:rPr>
              <w:t xml:space="preserve"> precizēt normu par notariālo apliecinājumu, </w:t>
            </w:r>
            <w:r>
              <w:rPr>
                <w:sz w:val="24"/>
                <w:szCs w:val="24"/>
              </w:rPr>
              <w:t xml:space="preserve">kas apstiprina, </w:t>
            </w:r>
            <w:r w:rsidRPr="004D0D81">
              <w:rPr>
                <w:sz w:val="24"/>
                <w:szCs w:val="24"/>
              </w:rPr>
              <w:t xml:space="preserve">ka apgādnieka pensijas saņemšanas gadījumā dzīvs ir </w:t>
            </w:r>
            <w:r>
              <w:rPr>
                <w:sz w:val="24"/>
                <w:szCs w:val="24"/>
              </w:rPr>
              <w:t xml:space="preserve">gan pensijas saņēmējs, gan apgādājamais </w:t>
            </w:r>
            <w:r w:rsidRPr="004D0D81">
              <w:rPr>
                <w:sz w:val="24"/>
                <w:szCs w:val="24"/>
              </w:rPr>
              <w:t>(</w:t>
            </w:r>
            <w:r>
              <w:rPr>
                <w:sz w:val="24"/>
                <w:szCs w:val="24"/>
              </w:rPr>
              <w:t>1</w:t>
            </w:r>
            <w:r w:rsidRPr="004D0D81">
              <w:rPr>
                <w:sz w:val="24"/>
                <w:szCs w:val="24"/>
              </w:rPr>
              <w:t>.punkts</w:t>
            </w:r>
            <w:r>
              <w:rPr>
                <w:sz w:val="24"/>
                <w:szCs w:val="24"/>
              </w:rPr>
              <w:t xml:space="preserve"> un 4.punkts);</w:t>
            </w:r>
          </w:p>
          <w:p w:rsidR="005610D6" w:rsidRDefault="005610D6" w:rsidP="00C2180D">
            <w:pPr>
              <w:jc w:val="both"/>
              <w:rPr>
                <w:sz w:val="24"/>
                <w:szCs w:val="24"/>
              </w:rPr>
            </w:pPr>
            <w:r>
              <w:rPr>
                <w:sz w:val="24"/>
                <w:szCs w:val="24"/>
              </w:rPr>
              <w:t>3) redakcionāli precizēt normu par Iedzīvotāju reģistrā pieejamo informāciju atbilstoši Iedzīvotāju reģistra likumam (2.punkts, 3.punkts, 6.punkts);</w:t>
            </w:r>
          </w:p>
          <w:p w:rsidR="005610D6" w:rsidRDefault="005610D6" w:rsidP="00C2180D">
            <w:pPr>
              <w:jc w:val="both"/>
              <w:rPr>
                <w:sz w:val="24"/>
                <w:szCs w:val="24"/>
              </w:rPr>
            </w:pPr>
            <w:r>
              <w:rPr>
                <w:sz w:val="24"/>
                <w:szCs w:val="24"/>
              </w:rPr>
              <w:t>4) precizēt normu par dokumentu legalizēšanu atbilstoši 2010.gada 28.oktobra likumam „Grozījums Dokumentu legalizācijas likumā” (5.punkts);</w:t>
            </w:r>
          </w:p>
          <w:p w:rsidR="005610D6" w:rsidRPr="00BB604A" w:rsidRDefault="005610D6" w:rsidP="00C2180D">
            <w:pPr>
              <w:jc w:val="both"/>
              <w:rPr>
                <w:sz w:val="24"/>
                <w:szCs w:val="24"/>
              </w:rPr>
            </w:pPr>
            <w:r>
              <w:rPr>
                <w:sz w:val="24"/>
                <w:szCs w:val="24"/>
              </w:rPr>
              <w:lastRenderedPageBreak/>
              <w:t xml:space="preserve">5) </w:t>
            </w:r>
            <w:r w:rsidRPr="00A10710">
              <w:rPr>
                <w:sz w:val="24"/>
                <w:szCs w:val="24"/>
              </w:rPr>
              <w:t xml:space="preserve">aizstāt </w:t>
            </w:r>
            <w:r>
              <w:rPr>
                <w:sz w:val="24"/>
                <w:szCs w:val="24"/>
              </w:rPr>
              <w:t xml:space="preserve">MK noteikumos norādi uz </w:t>
            </w:r>
            <w:r w:rsidRPr="00A10710">
              <w:rPr>
                <w:sz w:val="24"/>
                <w:szCs w:val="24"/>
              </w:rPr>
              <w:t xml:space="preserve">Regulu 1408/71 ar </w:t>
            </w:r>
            <w:r>
              <w:rPr>
                <w:sz w:val="24"/>
                <w:szCs w:val="24"/>
              </w:rPr>
              <w:t xml:space="preserve">norādi uz </w:t>
            </w:r>
            <w:r w:rsidRPr="00A10710">
              <w:rPr>
                <w:sz w:val="24"/>
                <w:szCs w:val="24"/>
              </w:rPr>
              <w:t>Regulu Nr.883/2004 (</w:t>
            </w:r>
            <w:r>
              <w:rPr>
                <w:sz w:val="24"/>
                <w:szCs w:val="24"/>
              </w:rPr>
              <w:t>6</w:t>
            </w:r>
            <w:r w:rsidRPr="00A10710">
              <w:rPr>
                <w:sz w:val="24"/>
                <w:szCs w:val="24"/>
              </w:rPr>
              <w:t>.punkts).</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lastRenderedPageBreak/>
              <w:t>5.</w:t>
            </w:r>
          </w:p>
        </w:tc>
        <w:tc>
          <w:tcPr>
            <w:tcW w:w="1448" w:type="pct"/>
            <w:shd w:val="clear" w:color="auto" w:fill="auto"/>
          </w:tcPr>
          <w:p w:rsidR="005610D6" w:rsidRPr="00D95A84" w:rsidRDefault="005610D6" w:rsidP="00C2180D">
            <w:pPr>
              <w:rPr>
                <w:sz w:val="24"/>
                <w:szCs w:val="24"/>
              </w:rPr>
            </w:pPr>
            <w:r w:rsidRPr="00D95A84">
              <w:rPr>
                <w:sz w:val="24"/>
                <w:szCs w:val="24"/>
              </w:rPr>
              <w:t>Projekta izstrādē iesaistītās institūcijas</w:t>
            </w:r>
          </w:p>
        </w:tc>
        <w:tc>
          <w:tcPr>
            <w:tcW w:w="3339" w:type="pct"/>
            <w:shd w:val="clear" w:color="auto" w:fill="auto"/>
            <w:vAlign w:val="center"/>
          </w:tcPr>
          <w:p w:rsidR="005610D6" w:rsidRPr="00D95A84" w:rsidRDefault="005610D6" w:rsidP="00C2180D">
            <w:pPr>
              <w:spacing w:after="120"/>
              <w:rPr>
                <w:sz w:val="24"/>
                <w:szCs w:val="24"/>
              </w:rPr>
            </w:pPr>
            <w:r w:rsidRPr="00D95A84">
              <w:rPr>
                <w:sz w:val="24"/>
                <w:szCs w:val="24"/>
              </w:rPr>
              <w:t>VSAA</w:t>
            </w:r>
            <w:r>
              <w:rPr>
                <w:sz w:val="24"/>
                <w:szCs w:val="24"/>
              </w:rPr>
              <w:t>.</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t>6.</w:t>
            </w:r>
          </w:p>
        </w:tc>
        <w:tc>
          <w:tcPr>
            <w:tcW w:w="1448" w:type="pct"/>
            <w:shd w:val="clear" w:color="auto" w:fill="auto"/>
          </w:tcPr>
          <w:p w:rsidR="005610D6" w:rsidRPr="00D95A84" w:rsidRDefault="005610D6" w:rsidP="00C2180D">
            <w:pPr>
              <w:rPr>
                <w:sz w:val="24"/>
                <w:szCs w:val="24"/>
              </w:rPr>
            </w:pPr>
            <w:r w:rsidRPr="00D95A84">
              <w:rPr>
                <w:sz w:val="24"/>
                <w:szCs w:val="24"/>
              </w:rPr>
              <w:t>Iemesli, kādēļ netika nodrošināta sabiedrības līdzdalība</w:t>
            </w:r>
          </w:p>
        </w:tc>
        <w:tc>
          <w:tcPr>
            <w:tcW w:w="3339" w:type="pct"/>
            <w:shd w:val="clear" w:color="auto" w:fill="auto"/>
          </w:tcPr>
          <w:p w:rsidR="005610D6" w:rsidRPr="00D95A84" w:rsidRDefault="005610D6" w:rsidP="00C2180D">
            <w:pPr>
              <w:spacing w:after="120"/>
              <w:jc w:val="both"/>
              <w:rPr>
                <w:sz w:val="24"/>
                <w:szCs w:val="24"/>
              </w:rPr>
            </w:pPr>
            <w:r>
              <w:rPr>
                <w:sz w:val="24"/>
                <w:szCs w:val="24"/>
              </w:rPr>
              <w:t>Sabiedrības informēšana p</w:t>
            </w:r>
            <w:r w:rsidRPr="00D95A84">
              <w:rPr>
                <w:sz w:val="24"/>
                <w:szCs w:val="24"/>
              </w:rPr>
              <w:t>rojekt</w:t>
            </w:r>
            <w:r>
              <w:rPr>
                <w:sz w:val="24"/>
                <w:szCs w:val="24"/>
              </w:rPr>
              <w:t xml:space="preserve">a stadijā nav nepieciešama, jo attiecas uz atsevišķu personu loku un VSAA, kas nodrošina pakalpojumu. Pirms uzsaukšanas Valsts sekretāru sanāksmē Labklājības ministrija informēs sabiedrību par pensijas izmaksas turpināšanas vai atjaunošanas kārtības atvieglošanu personām, kuras izbrauc vai izbraukušas uz pastāvīgu dzīvi ārvalstīs. </w:t>
            </w:r>
          </w:p>
        </w:tc>
      </w:tr>
      <w:tr w:rsidR="005610D6" w:rsidRPr="00D95A84" w:rsidTr="00C2180D">
        <w:tc>
          <w:tcPr>
            <w:tcW w:w="213" w:type="pct"/>
            <w:shd w:val="clear" w:color="auto" w:fill="auto"/>
          </w:tcPr>
          <w:p w:rsidR="005610D6" w:rsidRPr="00D95A84" w:rsidRDefault="005610D6" w:rsidP="00C2180D">
            <w:pPr>
              <w:rPr>
                <w:sz w:val="24"/>
                <w:szCs w:val="24"/>
              </w:rPr>
            </w:pPr>
            <w:r w:rsidRPr="00D95A84">
              <w:rPr>
                <w:sz w:val="24"/>
                <w:szCs w:val="24"/>
              </w:rPr>
              <w:t xml:space="preserve">7. </w:t>
            </w:r>
          </w:p>
        </w:tc>
        <w:tc>
          <w:tcPr>
            <w:tcW w:w="1448" w:type="pct"/>
            <w:shd w:val="clear" w:color="auto" w:fill="auto"/>
          </w:tcPr>
          <w:p w:rsidR="005610D6" w:rsidRPr="00D95A84" w:rsidRDefault="005610D6" w:rsidP="00C2180D">
            <w:pPr>
              <w:rPr>
                <w:sz w:val="24"/>
                <w:szCs w:val="24"/>
              </w:rPr>
            </w:pPr>
            <w:r w:rsidRPr="00D95A84">
              <w:rPr>
                <w:sz w:val="24"/>
                <w:szCs w:val="24"/>
              </w:rPr>
              <w:t>Cita informācija</w:t>
            </w:r>
          </w:p>
        </w:tc>
        <w:tc>
          <w:tcPr>
            <w:tcW w:w="3339" w:type="pct"/>
            <w:shd w:val="clear" w:color="auto" w:fill="auto"/>
          </w:tcPr>
          <w:p w:rsidR="005610D6" w:rsidRPr="00B956B7" w:rsidRDefault="005610D6" w:rsidP="00C2180D">
            <w:pPr>
              <w:autoSpaceDE w:val="0"/>
              <w:autoSpaceDN w:val="0"/>
              <w:adjustRightInd w:val="0"/>
              <w:jc w:val="both"/>
              <w:rPr>
                <w:color w:val="000000"/>
                <w:sz w:val="24"/>
                <w:szCs w:val="24"/>
              </w:rPr>
            </w:pPr>
            <w:r>
              <w:rPr>
                <w:color w:val="000000"/>
                <w:sz w:val="24"/>
                <w:szCs w:val="24"/>
              </w:rPr>
              <w:t>Nav</w:t>
            </w:r>
          </w:p>
        </w:tc>
      </w:tr>
    </w:tbl>
    <w:p w:rsidR="005610D6" w:rsidRDefault="005610D6" w:rsidP="005610D6"/>
    <w:p w:rsidR="005610D6" w:rsidRPr="00D95A84" w:rsidRDefault="005610D6" w:rsidP="005610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5610D6" w:rsidRPr="00D95A84" w:rsidTr="00C2180D">
        <w:tc>
          <w:tcPr>
            <w:tcW w:w="9287" w:type="dxa"/>
            <w:gridSpan w:val="3"/>
            <w:shd w:val="clear" w:color="auto" w:fill="auto"/>
          </w:tcPr>
          <w:p w:rsidR="005610D6" w:rsidRPr="00D95A84" w:rsidRDefault="005610D6" w:rsidP="00C2180D">
            <w:pPr>
              <w:jc w:val="center"/>
              <w:rPr>
                <w:b/>
                <w:sz w:val="24"/>
                <w:szCs w:val="24"/>
              </w:rPr>
            </w:pPr>
            <w:r w:rsidRPr="00D95A84">
              <w:rPr>
                <w:b/>
                <w:sz w:val="24"/>
                <w:szCs w:val="24"/>
              </w:rPr>
              <w:t>II Tiesību akta projekta ietekme uz sabiedrību</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1.</w:t>
            </w:r>
          </w:p>
        </w:tc>
        <w:tc>
          <w:tcPr>
            <w:tcW w:w="3072" w:type="dxa"/>
            <w:shd w:val="clear" w:color="auto" w:fill="auto"/>
          </w:tcPr>
          <w:p w:rsidR="005610D6" w:rsidRPr="00D95A84" w:rsidRDefault="005610D6" w:rsidP="00C2180D">
            <w:pPr>
              <w:rPr>
                <w:sz w:val="24"/>
                <w:szCs w:val="24"/>
              </w:rPr>
            </w:pPr>
            <w:r w:rsidRPr="00D95A84">
              <w:rPr>
                <w:sz w:val="24"/>
                <w:szCs w:val="24"/>
              </w:rPr>
              <w:t>Sabiedrības mērķgrupa</w:t>
            </w:r>
          </w:p>
        </w:tc>
        <w:tc>
          <w:tcPr>
            <w:tcW w:w="5819" w:type="dxa"/>
            <w:shd w:val="clear" w:color="auto" w:fill="auto"/>
          </w:tcPr>
          <w:p w:rsidR="005610D6"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Latvijas Republikā piešķirto valsts pensiju saņēmēji, kuri izbrauc vai izbraukuši uz pastāvīgu dzīvi ārvalstīs.</w:t>
            </w:r>
          </w:p>
          <w:p w:rsidR="005610D6"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2012.gada decembrī, minēto personu skaits, kuras ir VSAA paziņojušas, ka izbrauc uz dzīvi ārvalstīs, ir šāds:</w:t>
            </w:r>
          </w:p>
          <w:p w:rsidR="005610D6"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vecuma pensijas saņēmēji – 3 437</w:t>
            </w:r>
          </w:p>
          <w:p w:rsidR="005610D6"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invaliditātes pensijas saņēmēji – 202</w:t>
            </w:r>
          </w:p>
          <w:p w:rsidR="005610D6"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apgādnieka zaudējuma pensijas saņēmēji – 35</w:t>
            </w:r>
          </w:p>
          <w:p w:rsidR="005610D6" w:rsidRPr="0012053E" w:rsidRDefault="005610D6" w:rsidP="00C2180D">
            <w:pPr>
              <w:pStyle w:val="HTMLPreformatted"/>
              <w:spacing w:after="120"/>
              <w:jc w:val="both"/>
              <w:rPr>
                <w:rFonts w:ascii="Times New Roman" w:hAnsi="Times New Roman" w:cs="Times New Roman"/>
                <w:iCs/>
                <w:sz w:val="24"/>
                <w:szCs w:val="24"/>
              </w:rPr>
            </w:pPr>
            <w:r>
              <w:rPr>
                <w:rFonts w:ascii="Times New Roman" w:hAnsi="Times New Roman" w:cs="Times New Roman"/>
                <w:iCs/>
                <w:sz w:val="24"/>
                <w:szCs w:val="24"/>
              </w:rPr>
              <w:t>izdienas pensijas saņēmēji – 52</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 xml:space="preserve">2. </w:t>
            </w:r>
          </w:p>
        </w:tc>
        <w:tc>
          <w:tcPr>
            <w:tcW w:w="3072" w:type="dxa"/>
            <w:shd w:val="clear" w:color="auto" w:fill="auto"/>
          </w:tcPr>
          <w:p w:rsidR="005610D6" w:rsidRPr="00D95A84" w:rsidRDefault="005610D6" w:rsidP="00C2180D">
            <w:pPr>
              <w:rPr>
                <w:sz w:val="24"/>
                <w:szCs w:val="24"/>
              </w:rPr>
            </w:pPr>
            <w:r w:rsidRPr="00D95A84">
              <w:rPr>
                <w:sz w:val="24"/>
                <w:szCs w:val="24"/>
              </w:rPr>
              <w:t>Citas sabiedrības grupas (bez mērķgrupas), kuras tiesiskais regulējuma arī ietekmē vai varētu ietekmēt</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rPr>
          <w:trHeight w:val="737"/>
        </w:trPr>
        <w:tc>
          <w:tcPr>
            <w:tcW w:w="396" w:type="dxa"/>
            <w:shd w:val="clear" w:color="auto" w:fill="auto"/>
          </w:tcPr>
          <w:p w:rsidR="005610D6" w:rsidRPr="00D95A84" w:rsidRDefault="005610D6" w:rsidP="00C2180D">
            <w:pPr>
              <w:rPr>
                <w:sz w:val="24"/>
                <w:szCs w:val="24"/>
              </w:rPr>
            </w:pPr>
            <w:r w:rsidRPr="00D95A84">
              <w:rPr>
                <w:sz w:val="24"/>
                <w:szCs w:val="24"/>
              </w:rPr>
              <w:t xml:space="preserve">3. </w:t>
            </w:r>
          </w:p>
        </w:tc>
        <w:tc>
          <w:tcPr>
            <w:tcW w:w="3072" w:type="dxa"/>
            <w:shd w:val="clear" w:color="auto" w:fill="auto"/>
          </w:tcPr>
          <w:p w:rsidR="005610D6" w:rsidRPr="00D95A84" w:rsidRDefault="005610D6" w:rsidP="00C2180D">
            <w:pPr>
              <w:rPr>
                <w:sz w:val="24"/>
                <w:szCs w:val="24"/>
              </w:rPr>
            </w:pPr>
            <w:r w:rsidRPr="00D95A84">
              <w:rPr>
                <w:sz w:val="24"/>
                <w:szCs w:val="24"/>
              </w:rPr>
              <w:t>Tiesiskā regulējuma finansiālā ietekme</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4.</w:t>
            </w:r>
          </w:p>
        </w:tc>
        <w:tc>
          <w:tcPr>
            <w:tcW w:w="3072" w:type="dxa"/>
            <w:shd w:val="clear" w:color="auto" w:fill="auto"/>
          </w:tcPr>
          <w:p w:rsidR="005610D6" w:rsidRPr="00D95A84" w:rsidRDefault="005610D6" w:rsidP="00C2180D">
            <w:pPr>
              <w:rPr>
                <w:sz w:val="24"/>
                <w:szCs w:val="24"/>
              </w:rPr>
            </w:pPr>
            <w:r w:rsidRPr="00D95A84">
              <w:rPr>
                <w:sz w:val="24"/>
                <w:szCs w:val="24"/>
              </w:rPr>
              <w:t>Tiesiskā regulējuma nefinansiālā ietekme</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5.</w:t>
            </w:r>
          </w:p>
        </w:tc>
        <w:tc>
          <w:tcPr>
            <w:tcW w:w="3072" w:type="dxa"/>
            <w:shd w:val="clear" w:color="auto" w:fill="auto"/>
          </w:tcPr>
          <w:p w:rsidR="005610D6" w:rsidRPr="00D95A84" w:rsidRDefault="005610D6" w:rsidP="00C2180D">
            <w:pPr>
              <w:rPr>
                <w:sz w:val="24"/>
                <w:szCs w:val="24"/>
              </w:rPr>
            </w:pPr>
            <w:r w:rsidRPr="00D95A84">
              <w:rPr>
                <w:sz w:val="24"/>
                <w:szCs w:val="24"/>
              </w:rPr>
              <w:t>Administratīvās procedūras raksturojums</w:t>
            </w:r>
          </w:p>
        </w:tc>
        <w:tc>
          <w:tcPr>
            <w:tcW w:w="5819" w:type="dxa"/>
            <w:shd w:val="clear" w:color="auto" w:fill="auto"/>
          </w:tcPr>
          <w:p w:rsidR="005610D6" w:rsidRPr="00C34954" w:rsidRDefault="005610D6" w:rsidP="00C2180D">
            <w:pPr>
              <w:spacing w:before="100" w:beforeAutospacing="1" w:after="100" w:afterAutospacing="1"/>
              <w:jc w:val="both"/>
              <w:rPr>
                <w:sz w:val="24"/>
                <w:szCs w:val="24"/>
              </w:rPr>
            </w:pPr>
            <w:bookmarkStart w:id="0" w:name="IntPNpunkt2."/>
            <w:r w:rsidRPr="00C34954">
              <w:rPr>
                <w:sz w:val="24"/>
                <w:szCs w:val="24"/>
              </w:rPr>
              <w:t>Lai turpinātu vai atjaunotu pensijas izmaksu, persona, kura izbrauc vai izbraukusi uz pastāvīgu dzīvi ārvalstīs, jebkurā VSAA nodaļā:</w:t>
            </w:r>
          </w:p>
          <w:p w:rsidR="005610D6" w:rsidRPr="00C34954" w:rsidRDefault="005610D6" w:rsidP="005610D6">
            <w:pPr>
              <w:pStyle w:val="ListParagraph"/>
              <w:numPr>
                <w:ilvl w:val="0"/>
                <w:numId w:val="1"/>
              </w:numPr>
              <w:spacing w:before="100" w:beforeAutospacing="1" w:after="100" w:afterAutospacing="1"/>
              <w:jc w:val="both"/>
              <w:rPr>
                <w:rFonts w:ascii="Times New Roman" w:hAnsi="Times New Roman"/>
                <w:sz w:val="24"/>
                <w:szCs w:val="24"/>
              </w:rPr>
            </w:pPr>
            <w:r w:rsidRPr="00C34954">
              <w:rPr>
                <w:rFonts w:ascii="Times New Roman" w:hAnsi="Times New Roman"/>
                <w:sz w:val="24"/>
                <w:szCs w:val="24"/>
              </w:rPr>
              <w:t>ierodoties personīgi:</w:t>
            </w:r>
          </w:p>
          <w:p w:rsidR="005610D6" w:rsidRPr="00C34954" w:rsidRDefault="005610D6" w:rsidP="005610D6">
            <w:pPr>
              <w:pStyle w:val="ListParagraph"/>
              <w:numPr>
                <w:ilvl w:val="0"/>
                <w:numId w:val="2"/>
              </w:numPr>
              <w:spacing w:before="100" w:beforeAutospacing="1" w:after="100" w:afterAutospacing="1"/>
              <w:jc w:val="both"/>
              <w:rPr>
                <w:rFonts w:ascii="Times New Roman" w:hAnsi="Times New Roman"/>
                <w:sz w:val="24"/>
                <w:szCs w:val="24"/>
              </w:rPr>
            </w:pPr>
            <w:r w:rsidRPr="00C34954">
              <w:rPr>
                <w:rFonts w:ascii="Times New Roman" w:hAnsi="Times New Roman"/>
                <w:sz w:val="24"/>
                <w:szCs w:val="24"/>
              </w:rPr>
              <w:t>uzrāda personu apliecinošu dokumentu;</w:t>
            </w:r>
          </w:p>
          <w:p w:rsidR="005610D6" w:rsidRPr="00C34954" w:rsidRDefault="005610D6" w:rsidP="005610D6">
            <w:pPr>
              <w:pStyle w:val="ListParagraph"/>
              <w:numPr>
                <w:ilvl w:val="0"/>
                <w:numId w:val="2"/>
              </w:numPr>
              <w:spacing w:before="100" w:beforeAutospacing="1" w:after="100" w:afterAutospacing="1"/>
              <w:jc w:val="both"/>
              <w:rPr>
                <w:rFonts w:ascii="Times New Roman" w:hAnsi="Times New Roman"/>
                <w:sz w:val="24"/>
                <w:szCs w:val="24"/>
              </w:rPr>
            </w:pPr>
            <w:r w:rsidRPr="00C34954">
              <w:rPr>
                <w:rFonts w:ascii="Times New Roman" w:hAnsi="Times New Roman"/>
                <w:sz w:val="24"/>
                <w:szCs w:val="24"/>
              </w:rPr>
              <w:t>iesniedz pieprasījumu par pensijas izmaksas turpināšanu vai atjauno</w:t>
            </w:r>
            <w:r w:rsidRPr="00C34954">
              <w:rPr>
                <w:rFonts w:ascii="Times New Roman" w:hAnsi="Times New Roman"/>
                <w:sz w:val="24"/>
                <w:szCs w:val="24"/>
              </w:rPr>
              <w:softHyphen/>
              <w:t xml:space="preserve">šanu; </w:t>
            </w:r>
          </w:p>
          <w:p w:rsidR="005610D6" w:rsidRPr="00C34954" w:rsidRDefault="005610D6" w:rsidP="005610D6">
            <w:pPr>
              <w:pStyle w:val="ListParagraph"/>
              <w:numPr>
                <w:ilvl w:val="0"/>
                <w:numId w:val="2"/>
              </w:numPr>
              <w:spacing w:before="100" w:beforeAutospacing="1" w:after="100" w:afterAutospacing="1"/>
              <w:jc w:val="both"/>
              <w:rPr>
                <w:rFonts w:ascii="Times New Roman" w:hAnsi="Times New Roman"/>
                <w:sz w:val="24"/>
                <w:szCs w:val="24"/>
              </w:rPr>
            </w:pPr>
            <w:r w:rsidRPr="00C34954">
              <w:rPr>
                <w:rFonts w:ascii="Times New Roman" w:hAnsi="Times New Roman"/>
                <w:sz w:val="24"/>
                <w:szCs w:val="24"/>
              </w:rPr>
              <w:t>norāda Latvijas Republikas kredītiestādes kontu, kurā ieskaitāma pensija;</w:t>
            </w:r>
          </w:p>
          <w:p w:rsidR="005610D6" w:rsidRPr="00C34954" w:rsidRDefault="005610D6" w:rsidP="005610D6">
            <w:pPr>
              <w:pStyle w:val="ListParagraph"/>
              <w:numPr>
                <w:ilvl w:val="0"/>
                <w:numId w:val="2"/>
              </w:numPr>
              <w:spacing w:before="100" w:beforeAutospacing="1" w:after="100" w:afterAutospacing="1"/>
              <w:jc w:val="both"/>
              <w:rPr>
                <w:rFonts w:ascii="Times New Roman" w:hAnsi="Times New Roman"/>
                <w:sz w:val="24"/>
                <w:szCs w:val="24"/>
              </w:rPr>
            </w:pPr>
            <w:r w:rsidRPr="00C34954">
              <w:rPr>
                <w:rFonts w:ascii="Times New Roman" w:hAnsi="Times New Roman"/>
                <w:sz w:val="24"/>
                <w:szCs w:val="24"/>
              </w:rPr>
              <w:t>norāda jauno dzīvesvietas adresi.</w:t>
            </w:r>
          </w:p>
          <w:p w:rsidR="005610D6" w:rsidRPr="00C34954" w:rsidRDefault="005610D6" w:rsidP="00C2180D">
            <w:pPr>
              <w:pStyle w:val="ListParagraph"/>
              <w:spacing w:before="100" w:beforeAutospacing="1" w:after="100" w:afterAutospacing="1"/>
              <w:jc w:val="both"/>
              <w:rPr>
                <w:rFonts w:ascii="Times New Roman" w:hAnsi="Times New Roman"/>
                <w:sz w:val="24"/>
                <w:szCs w:val="24"/>
              </w:rPr>
            </w:pPr>
          </w:p>
          <w:bookmarkEnd w:id="0"/>
          <w:p w:rsidR="005610D6" w:rsidRPr="00C34954" w:rsidRDefault="005610D6" w:rsidP="005610D6">
            <w:pPr>
              <w:pStyle w:val="ListParagraph"/>
              <w:numPr>
                <w:ilvl w:val="0"/>
                <w:numId w:val="1"/>
              </w:numPr>
              <w:spacing w:after="120"/>
              <w:jc w:val="both"/>
              <w:rPr>
                <w:rFonts w:ascii="Times New Roman" w:hAnsi="Times New Roman"/>
                <w:sz w:val="24"/>
                <w:szCs w:val="24"/>
              </w:rPr>
            </w:pPr>
            <w:r w:rsidRPr="00C34954">
              <w:rPr>
                <w:rFonts w:ascii="Times New Roman" w:hAnsi="Times New Roman"/>
                <w:sz w:val="24"/>
                <w:szCs w:val="24"/>
              </w:rPr>
              <w:t xml:space="preserve">ja dokumenti no ārvalstīm tiek sūtīti </w:t>
            </w:r>
          </w:p>
          <w:p w:rsidR="005610D6" w:rsidRPr="00C34954" w:rsidRDefault="005610D6" w:rsidP="005610D6">
            <w:pPr>
              <w:pStyle w:val="ListParagraph"/>
              <w:numPr>
                <w:ilvl w:val="0"/>
                <w:numId w:val="2"/>
              </w:numPr>
              <w:spacing w:after="120"/>
              <w:jc w:val="both"/>
              <w:rPr>
                <w:rFonts w:ascii="Times New Roman" w:hAnsi="Times New Roman"/>
                <w:sz w:val="24"/>
                <w:szCs w:val="24"/>
              </w:rPr>
            </w:pPr>
            <w:r w:rsidRPr="00C34954">
              <w:rPr>
                <w:rFonts w:ascii="Times New Roman" w:hAnsi="Times New Roman"/>
                <w:sz w:val="24"/>
                <w:szCs w:val="24"/>
              </w:rPr>
              <w:lastRenderedPageBreak/>
              <w:t xml:space="preserve">pa pastu; </w:t>
            </w:r>
          </w:p>
          <w:p w:rsidR="005610D6" w:rsidRPr="00C34954" w:rsidRDefault="005610D6" w:rsidP="005610D6">
            <w:pPr>
              <w:pStyle w:val="ListParagraph"/>
              <w:numPr>
                <w:ilvl w:val="0"/>
                <w:numId w:val="2"/>
              </w:numPr>
              <w:spacing w:after="120"/>
              <w:jc w:val="both"/>
              <w:rPr>
                <w:rFonts w:ascii="Times New Roman" w:hAnsi="Times New Roman"/>
                <w:sz w:val="24"/>
                <w:szCs w:val="24"/>
              </w:rPr>
            </w:pPr>
            <w:r w:rsidRPr="00C34954">
              <w:rPr>
                <w:rFonts w:ascii="Times New Roman" w:hAnsi="Times New Roman"/>
                <w:sz w:val="24"/>
                <w:szCs w:val="24"/>
              </w:rPr>
              <w:t>iesniegti ar pilnvarotās personas starpniecību;</w:t>
            </w:r>
          </w:p>
          <w:p w:rsidR="005610D6" w:rsidRPr="00C34954" w:rsidRDefault="005610D6" w:rsidP="005610D6">
            <w:pPr>
              <w:pStyle w:val="ListParagraph"/>
              <w:numPr>
                <w:ilvl w:val="0"/>
                <w:numId w:val="2"/>
              </w:numPr>
              <w:spacing w:after="120"/>
              <w:jc w:val="both"/>
              <w:rPr>
                <w:rFonts w:ascii="Times New Roman" w:hAnsi="Times New Roman"/>
                <w:sz w:val="24"/>
                <w:szCs w:val="24"/>
              </w:rPr>
            </w:pPr>
            <w:r w:rsidRPr="00C34954">
              <w:rPr>
                <w:rFonts w:ascii="Times New Roman" w:hAnsi="Times New Roman"/>
                <w:sz w:val="24"/>
                <w:szCs w:val="24"/>
              </w:rPr>
              <w:t xml:space="preserve">iesniegti elektroniska dokumenta formā, </w:t>
            </w:r>
          </w:p>
          <w:p w:rsidR="005610D6" w:rsidRPr="00C34954" w:rsidRDefault="005610D6" w:rsidP="00C2180D">
            <w:pPr>
              <w:pStyle w:val="ListParagraph"/>
              <w:spacing w:after="120"/>
              <w:jc w:val="both"/>
              <w:rPr>
                <w:rFonts w:ascii="Times New Roman" w:hAnsi="Times New Roman"/>
                <w:sz w:val="24"/>
                <w:szCs w:val="24"/>
              </w:rPr>
            </w:pPr>
            <w:r w:rsidRPr="00C34954">
              <w:rPr>
                <w:rFonts w:ascii="Times New Roman" w:hAnsi="Times New Roman"/>
                <w:sz w:val="24"/>
                <w:szCs w:val="24"/>
              </w:rPr>
              <w:t>tad jāpievieno notariāls apliecinājums, ka pensijas pieprasītājs un apgādājamais, kuram ir tiesības uz pensiju, ir dzīvi.</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lastRenderedPageBreak/>
              <w:t>6.</w:t>
            </w:r>
          </w:p>
        </w:tc>
        <w:tc>
          <w:tcPr>
            <w:tcW w:w="3072" w:type="dxa"/>
            <w:shd w:val="clear" w:color="auto" w:fill="auto"/>
          </w:tcPr>
          <w:p w:rsidR="005610D6" w:rsidRPr="00D95A84" w:rsidRDefault="005610D6" w:rsidP="00C2180D">
            <w:pPr>
              <w:rPr>
                <w:sz w:val="24"/>
                <w:szCs w:val="24"/>
              </w:rPr>
            </w:pPr>
            <w:r w:rsidRPr="00D95A84">
              <w:rPr>
                <w:sz w:val="24"/>
                <w:szCs w:val="24"/>
              </w:rPr>
              <w:t>Administratīvo izmaksu monetārs novērtējums</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r>
              <w:rPr>
                <w:sz w:val="24"/>
                <w:szCs w:val="24"/>
              </w:rPr>
              <w:t>.</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 xml:space="preserve">7. </w:t>
            </w:r>
          </w:p>
        </w:tc>
        <w:tc>
          <w:tcPr>
            <w:tcW w:w="3072" w:type="dxa"/>
            <w:shd w:val="clear" w:color="auto" w:fill="auto"/>
          </w:tcPr>
          <w:p w:rsidR="005610D6" w:rsidRPr="00D95A84" w:rsidRDefault="005610D6" w:rsidP="00C2180D">
            <w:pPr>
              <w:rPr>
                <w:sz w:val="24"/>
                <w:szCs w:val="24"/>
              </w:rPr>
            </w:pPr>
            <w:r w:rsidRPr="00D95A84">
              <w:rPr>
                <w:sz w:val="24"/>
                <w:szCs w:val="24"/>
              </w:rPr>
              <w:t>Cita informācija</w:t>
            </w:r>
          </w:p>
        </w:tc>
        <w:tc>
          <w:tcPr>
            <w:tcW w:w="5819" w:type="dxa"/>
            <w:shd w:val="clear" w:color="auto" w:fill="auto"/>
          </w:tcPr>
          <w:p w:rsidR="005610D6" w:rsidRPr="00D95A84" w:rsidRDefault="005610D6" w:rsidP="00C2180D">
            <w:pPr>
              <w:jc w:val="both"/>
              <w:rPr>
                <w:sz w:val="24"/>
                <w:szCs w:val="24"/>
              </w:rPr>
            </w:pPr>
            <w:r w:rsidRPr="00D95A84">
              <w:rPr>
                <w:sz w:val="24"/>
                <w:szCs w:val="24"/>
              </w:rPr>
              <w:t>Nav</w:t>
            </w:r>
          </w:p>
        </w:tc>
      </w:tr>
    </w:tbl>
    <w:p w:rsidR="005610D6" w:rsidRPr="00D95A84" w:rsidRDefault="005610D6" w:rsidP="005610D6">
      <w:pPr>
        <w:pStyle w:val="naiskr"/>
        <w:tabs>
          <w:tab w:val="left" w:pos="2628"/>
        </w:tabs>
        <w:spacing w:before="0" w:after="0"/>
        <w:ind w:right="-1"/>
        <w:jc w:val="both"/>
      </w:pPr>
    </w:p>
    <w:p w:rsidR="005610D6" w:rsidRPr="00D95A84" w:rsidRDefault="005610D6" w:rsidP="005610D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5610D6" w:rsidRPr="00D95A84" w:rsidTr="00C2180D">
        <w:tc>
          <w:tcPr>
            <w:tcW w:w="9287" w:type="dxa"/>
            <w:gridSpan w:val="3"/>
            <w:shd w:val="clear" w:color="auto" w:fill="auto"/>
          </w:tcPr>
          <w:p w:rsidR="005610D6" w:rsidRPr="00D95A84" w:rsidRDefault="005610D6" w:rsidP="00C2180D">
            <w:pPr>
              <w:jc w:val="center"/>
              <w:rPr>
                <w:b/>
                <w:sz w:val="24"/>
                <w:szCs w:val="24"/>
              </w:rPr>
            </w:pPr>
            <w:r w:rsidRPr="00D95A84">
              <w:rPr>
                <w:b/>
                <w:sz w:val="24"/>
                <w:szCs w:val="24"/>
              </w:rPr>
              <w:t>VII Tiesību akta projekta izpildes nodrošināšana un tās ietekme uz institūcijām</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 xml:space="preserve">1. </w:t>
            </w:r>
          </w:p>
        </w:tc>
        <w:tc>
          <w:tcPr>
            <w:tcW w:w="3072" w:type="dxa"/>
            <w:shd w:val="clear" w:color="auto" w:fill="auto"/>
          </w:tcPr>
          <w:p w:rsidR="005610D6" w:rsidRPr="00D95A84" w:rsidRDefault="005610D6" w:rsidP="00C2180D">
            <w:pPr>
              <w:rPr>
                <w:sz w:val="24"/>
                <w:szCs w:val="24"/>
              </w:rPr>
            </w:pPr>
            <w:r w:rsidRPr="00D95A84">
              <w:rPr>
                <w:sz w:val="24"/>
                <w:szCs w:val="24"/>
              </w:rPr>
              <w:t>Projekta izpildē iesaistītās institūcijas</w:t>
            </w:r>
          </w:p>
        </w:tc>
        <w:tc>
          <w:tcPr>
            <w:tcW w:w="5819" w:type="dxa"/>
            <w:shd w:val="clear" w:color="auto" w:fill="auto"/>
            <w:vAlign w:val="center"/>
          </w:tcPr>
          <w:p w:rsidR="005610D6" w:rsidRPr="00D95A84" w:rsidRDefault="005610D6" w:rsidP="00C2180D">
            <w:pPr>
              <w:rPr>
                <w:sz w:val="24"/>
                <w:szCs w:val="24"/>
              </w:rPr>
            </w:pPr>
            <w:r>
              <w:rPr>
                <w:iCs/>
                <w:sz w:val="24"/>
                <w:szCs w:val="24"/>
              </w:rPr>
              <w:t>VSAA</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 xml:space="preserve">2. </w:t>
            </w:r>
          </w:p>
        </w:tc>
        <w:tc>
          <w:tcPr>
            <w:tcW w:w="3072" w:type="dxa"/>
            <w:shd w:val="clear" w:color="auto" w:fill="auto"/>
          </w:tcPr>
          <w:p w:rsidR="005610D6" w:rsidRPr="00D95A84" w:rsidRDefault="005610D6" w:rsidP="00C2180D">
            <w:pPr>
              <w:rPr>
                <w:sz w:val="24"/>
                <w:szCs w:val="24"/>
              </w:rPr>
            </w:pPr>
            <w:r w:rsidRPr="00D95A84">
              <w:rPr>
                <w:sz w:val="24"/>
                <w:szCs w:val="24"/>
              </w:rPr>
              <w:t>Projekta izpildes ietekme uz pārvaldes funkcijām</w:t>
            </w:r>
          </w:p>
        </w:tc>
        <w:tc>
          <w:tcPr>
            <w:tcW w:w="5819" w:type="dxa"/>
            <w:shd w:val="clear" w:color="auto" w:fill="auto"/>
            <w:vAlign w:val="center"/>
          </w:tcPr>
          <w:p w:rsidR="005610D6" w:rsidRPr="00D95A84" w:rsidRDefault="005610D6" w:rsidP="00C2180D">
            <w:pPr>
              <w:rPr>
                <w:sz w:val="24"/>
                <w:szCs w:val="24"/>
              </w:rPr>
            </w:pPr>
            <w:r w:rsidRPr="00D95A84">
              <w:rPr>
                <w:iCs/>
                <w:sz w:val="24"/>
                <w:szCs w:val="24"/>
              </w:rPr>
              <w:t>Noteikumu projekta izpildi VSAA nodrošinās esošo funkciju ietvaros.</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3.</w:t>
            </w:r>
          </w:p>
        </w:tc>
        <w:tc>
          <w:tcPr>
            <w:tcW w:w="3072" w:type="dxa"/>
            <w:shd w:val="clear" w:color="auto" w:fill="auto"/>
          </w:tcPr>
          <w:p w:rsidR="005610D6" w:rsidRPr="00D95A84" w:rsidRDefault="005610D6" w:rsidP="00C2180D">
            <w:pPr>
              <w:rPr>
                <w:sz w:val="24"/>
                <w:szCs w:val="24"/>
              </w:rPr>
            </w:pPr>
            <w:r w:rsidRPr="00D95A84">
              <w:rPr>
                <w:sz w:val="24"/>
                <w:szCs w:val="24"/>
              </w:rPr>
              <w:t>Projekta izpildes ietekme uz pārvaldes institucionālo struktūru.</w:t>
            </w:r>
          </w:p>
          <w:p w:rsidR="005610D6" w:rsidRPr="00D95A84" w:rsidRDefault="005610D6" w:rsidP="00C2180D">
            <w:pPr>
              <w:rPr>
                <w:sz w:val="24"/>
                <w:szCs w:val="24"/>
              </w:rPr>
            </w:pPr>
            <w:r w:rsidRPr="00D95A84">
              <w:rPr>
                <w:sz w:val="24"/>
                <w:szCs w:val="24"/>
              </w:rPr>
              <w:t>Jaunu institūciju izveide.</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4.</w:t>
            </w:r>
          </w:p>
        </w:tc>
        <w:tc>
          <w:tcPr>
            <w:tcW w:w="3072" w:type="dxa"/>
            <w:shd w:val="clear" w:color="auto" w:fill="auto"/>
          </w:tcPr>
          <w:p w:rsidR="005610D6" w:rsidRPr="00D95A84" w:rsidRDefault="005610D6" w:rsidP="00C2180D">
            <w:pPr>
              <w:rPr>
                <w:sz w:val="24"/>
                <w:szCs w:val="24"/>
              </w:rPr>
            </w:pPr>
            <w:r w:rsidRPr="00D95A84">
              <w:rPr>
                <w:sz w:val="24"/>
                <w:szCs w:val="24"/>
              </w:rPr>
              <w:t>Projekta izpildes ietekme uz pārvaldes institucionālo struktūru.</w:t>
            </w:r>
          </w:p>
          <w:p w:rsidR="005610D6" w:rsidRPr="00D95A84" w:rsidRDefault="005610D6" w:rsidP="00C2180D">
            <w:pPr>
              <w:rPr>
                <w:sz w:val="24"/>
                <w:szCs w:val="24"/>
              </w:rPr>
            </w:pPr>
            <w:r w:rsidRPr="00D95A84">
              <w:rPr>
                <w:sz w:val="24"/>
                <w:szCs w:val="24"/>
              </w:rPr>
              <w:t>Esošo institūciju likvidācija.</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5.</w:t>
            </w:r>
          </w:p>
        </w:tc>
        <w:tc>
          <w:tcPr>
            <w:tcW w:w="3072" w:type="dxa"/>
            <w:shd w:val="clear" w:color="auto" w:fill="auto"/>
          </w:tcPr>
          <w:p w:rsidR="005610D6" w:rsidRPr="00D95A84" w:rsidRDefault="005610D6" w:rsidP="00C2180D">
            <w:pPr>
              <w:rPr>
                <w:sz w:val="24"/>
                <w:szCs w:val="24"/>
              </w:rPr>
            </w:pPr>
            <w:r w:rsidRPr="00D95A84">
              <w:rPr>
                <w:sz w:val="24"/>
                <w:szCs w:val="24"/>
              </w:rPr>
              <w:t>Projekta izpildes ietekme uz pārvaldes institucionālo struktūru.</w:t>
            </w:r>
          </w:p>
          <w:p w:rsidR="005610D6" w:rsidRPr="00D95A84" w:rsidRDefault="005610D6" w:rsidP="00C2180D">
            <w:pPr>
              <w:rPr>
                <w:sz w:val="24"/>
                <w:szCs w:val="24"/>
              </w:rPr>
            </w:pPr>
            <w:r w:rsidRPr="00D95A84">
              <w:rPr>
                <w:sz w:val="24"/>
                <w:szCs w:val="24"/>
              </w:rPr>
              <w:t>Esošo institūciju reorganizācija.</w:t>
            </w:r>
          </w:p>
        </w:tc>
        <w:tc>
          <w:tcPr>
            <w:tcW w:w="5819" w:type="dxa"/>
            <w:shd w:val="clear" w:color="auto" w:fill="auto"/>
            <w:vAlign w:val="center"/>
          </w:tcPr>
          <w:p w:rsidR="005610D6" w:rsidRPr="00D95A84" w:rsidRDefault="005610D6" w:rsidP="00C2180D">
            <w:pPr>
              <w:rPr>
                <w:sz w:val="24"/>
                <w:szCs w:val="24"/>
              </w:rPr>
            </w:pPr>
            <w:r w:rsidRPr="00D95A84">
              <w:rPr>
                <w:sz w:val="24"/>
                <w:szCs w:val="24"/>
              </w:rPr>
              <w:t>Projekts šo jomu neskar.</w:t>
            </w:r>
          </w:p>
        </w:tc>
      </w:tr>
      <w:tr w:rsidR="005610D6" w:rsidRPr="00D95A84" w:rsidTr="00C2180D">
        <w:tc>
          <w:tcPr>
            <w:tcW w:w="396" w:type="dxa"/>
            <w:shd w:val="clear" w:color="auto" w:fill="auto"/>
          </w:tcPr>
          <w:p w:rsidR="005610D6" w:rsidRPr="00D95A84" w:rsidRDefault="005610D6" w:rsidP="00C2180D">
            <w:pPr>
              <w:rPr>
                <w:sz w:val="24"/>
                <w:szCs w:val="24"/>
              </w:rPr>
            </w:pPr>
            <w:r w:rsidRPr="00D95A84">
              <w:rPr>
                <w:sz w:val="24"/>
                <w:szCs w:val="24"/>
              </w:rPr>
              <w:t xml:space="preserve">6. </w:t>
            </w:r>
          </w:p>
        </w:tc>
        <w:tc>
          <w:tcPr>
            <w:tcW w:w="3072" w:type="dxa"/>
            <w:shd w:val="clear" w:color="auto" w:fill="auto"/>
          </w:tcPr>
          <w:p w:rsidR="005610D6" w:rsidRPr="00D95A84" w:rsidRDefault="005610D6" w:rsidP="00C2180D">
            <w:pPr>
              <w:rPr>
                <w:sz w:val="24"/>
                <w:szCs w:val="24"/>
              </w:rPr>
            </w:pPr>
            <w:r w:rsidRPr="00D95A84">
              <w:rPr>
                <w:sz w:val="24"/>
                <w:szCs w:val="24"/>
              </w:rPr>
              <w:t>Cita informācija</w:t>
            </w:r>
          </w:p>
        </w:tc>
        <w:tc>
          <w:tcPr>
            <w:tcW w:w="5819" w:type="dxa"/>
            <w:shd w:val="clear" w:color="auto" w:fill="auto"/>
          </w:tcPr>
          <w:p w:rsidR="005610D6" w:rsidRPr="00D95A84" w:rsidRDefault="005610D6" w:rsidP="00C2180D">
            <w:pPr>
              <w:jc w:val="both"/>
              <w:rPr>
                <w:sz w:val="24"/>
                <w:szCs w:val="24"/>
              </w:rPr>
            </w:pPr>
            <w:r w:rsidRPr="00D95A84">
              <w:rPr>
                <w:sz w:val="24"/>
                <w:szCs w:val="24"/>
              </w:rPr>
              <w:t>Nav</w:t>
            </w:r>
          </w:p>
        </w:tc>
      </w:tr>
    </w:tbl>
    <w:p w:rsidR="005610D6" w:rsidRPr="00D95A84" w:rsidRDefault="005610D6" w:rsidP="005610D6">
      <w:pPr>
        <w:jc w:val="both"/>
        <w:rPr>
          <w:i/>
        </w:rPr>
      </w:pPr>
    </w:p>
    <w:p w:rsidR="005610D6" w:rsidRPr="00D95A84" w:rsidRDefault="005610D6" w:rsidP="005610D6">
      <w:pPr>
        <w:jc w:val="both"/>
        <w:rPr>
          <w:sz w:val="24"/>
          <w:szCs w:val="24"/>
        </w:rPr>
      </w:pPr>
      <w:r w:rsidRPr="00D95A84">
        <w:rPr>
          <w:i/>
          <w:sz w:val="24"/>
          <w:szCs w:val="24"/>
        </w:rPr>
        <w:t xml:space="preserve">Anotācijas </w:t>
      </w:r>
      <w:r>
        <w:rPr>
          <w:i/>
          <w:sz w:val="24"/>
          <w:szCs w:val="24"/>
        </w:rPr>
        <w:t xml:space="preserve">III, </w:t>
      </w:r>
      <w:r w:rsidRPr="00D95A84">
        <w:rPr>
          <w:i/>
          <w:sz w:val="24"/>
          <w:szCs w:val="24"/>
        </w:rPr>
        <w:t>IV</w:t>
      </w:r>
      <w:r>
        <w:rPr>
          <w:i/>
          <w:sz w:val="24"/>
          <w:szCs w:val="24"/>
        </w:rPr>
        <w:t>,</w:t>
      </w:r>
      <w:r w:rsidRPr="00D95A84">
        <w:rPr>
          <w:i/>
          <w:sz w:val="24"/>
          <w:szCs w:val="24"/>
        </w:rPr>
        <w:t xml:space="preserve"> V</w:t>
      </w:r>
      <w:r>
        <w:rPr>
          <w:i/>
          <w:sz w:val="24"/>
          <w:szCs w:val="24"/>
        </w:rPr>
        <w:t xml:space="preserve"> un VI</w:t>
      </w:r>
      <w:r w:rsidRPr="00D95A84">
        <w:rPr>
          <w:i/>
          <w:sz w:val="24"/>
          <w:szCs w:val="24"/>
        </w:rPr>
        <w:t xml:space="preserve"> sadaļa – projekts šīs jomas neskar.</w:t>
      </w:r>
    </w:p>
    <w:p w:rsidR="005610D6" w:rsidRPr="00D95A84" w:rsidRDefault="005610D6" w:rsidP="005610D6">
      <w:pPr>
        <w:jc w:val="center"/>
      </w:pPr>
    </w:p>
    <w:p w:rsidR="005610D6" w:rsidRPr="00D95A84" w:rsidRDefault="005610D6" w:rsidP="005610D6">
      <w:pPr>
        <w:jc w:val="center"/>
      </w:pPr>
    </w:p>
    <w:p w:rsidR="005610D6" w:rsidRPr="00D95A84" w:rsidRDefault="005610D6" w:rsidP="005610D6">
      <w:pPr>
        <w:rPr>
          <w:sz w:val="28"/>
          <w:szCs w:val="28"/>
        </w:rPr>
      </w:pPr>
      <w:r w:rsidRPr="00D95A84">
        <w:rPr>
          <w:sz w:val="28"/>
          <w:szCs w:val="28"/>
        </w:rPr>
        <w:t>Labklājības ministre</w:t>
      </w:r>
      <w:r w:rsidRPr="00D95A84">
        <w:rPr>
          <w:sz w:val="28"/>
          <w:szCs w:val="28"/>
        </w:rPr>
        <w:tab/>
      </w:r>
      <w:r w:rsidRPr="00D95A84">
        <w:rPr>
          <w:sz w:val="28"/>
          <w:szCs w:val="28"/>
        </w:rPr>
        <w:tab/>
      </w:r>
      <w:r w:rsidRPr="00D95A84">
        <w:rPr>
          <w:sz w:val="28"/>
          <w:szCs w:val="28"/>
        </w:rPr>
        <w:tab/>
      </w:r>
      <w:r w:rsidRPr="00D95A84">
        <w:rPr>
          <w:sz w:val="28"/>
          <w:szCs w:val="28"/>
        </w:rPr>
        <w:tab/>
      </w:r>
      <w:r w:rsidRPr="00D95A84">
        <w:rPr>
          <w:sz w:val="28"/>
          <w:szCs w:val="28"/>
        </w:rPr>
        <w:tab/>
      </w:r>
      <w:r w:rsidRPr="00D95A84">
        <w:rPr>
          <w:sz w:val="28"/>
          <w:szCs w:val="28"/>
        </w:rPr>
        <w:tab/>
      </w:r>
      <w:proofErr w:type="spellStart"/>
      <w:r w:rsidRPr="00D95A84">
        <w:rPr>
          <w:sz w:val="28"/>
          <w:szCs w:val="28"/>
        </w:rPr>
        <w:t>I.Viņķele</w:t>
      </w:r>
      <w:proofErr w:type="spellEnd"/>
    </w:p>
    <w:p w:rsidR="005610D6" w:rsidRPr="00D95A84" w:rsidRDefault="005610D6" w:rsidP="005610D6">
      <w:pPr>
        <w:rPr>
          <w:sz w:val="28"/>
          <w:szCs w:val="28"/>
        </w:rPr>
      </w:pPr>
    </w:p>
    <w:p w:rsidR="005610D6" w:rsidRPr="005D33D5" w:rsidRDefault="005610D6" w:rsidP="005610D6">
      <w:pPr>
        <w:pStyle w:val="Footer"/>
        <w:rPr>
          <w:sz w:val="24"/>
          <w:szCs w:val="24"/>
        </w:rPr>
      </w:pPr>
    </w:p>
    <w:p w:rsidR="00653A0B" w:rsidRDefault="00653A0B" w:rsidP="005610D6">
      <w:pPr>
        <w:rPr>
          <w:snapToGrid w:val="0"/>
          <w:sz w:val="24"/>
          <w:szCs w:val="24"/>
        </w:rPr>
      </w:pPr>
      <w:r>
        <w:rPr>
          <w:snapToGrid w:val="0"/>
          <w:sz w:val="24"/>
          <w:szCs w:val="24"/>
        </w:rPr>
        <w:t>27.05.2013 12:00</w:t>
      </w:r>
    </w:p>
    <w:p w:rsidR="005610D6" w:rsidRPr="005D33D5" w:rsidRDefault="007A080C" w:rsidP="005610D6">
      <w:pPr>
        <w:rPr>
          <w:sz w:val="24"/>
          <w:szCs w:val="24"/>
        </w:rPr>
      </w:pPr>
      <w:r>
        <w:rPr>
          <w:sz w:val="24"/>
          <w:szCs w:val="24"/>
        </w:rPr>
        <w:t>16</w:t>
      </w:r>
      <w:r w:rsidR="009F6B55">
        <w:rPr>
          <w:sz w:val="24"/>
          <w:szCs w:val="24"/>
        </w:rPr>
        <w:t>24</w:t>
      </w:r>
    </w:p>
    <w:p w:rsidR="005610D6" w:rsidRPr="005D33D5" w:rsidRDefault="005610D6" w:rsidP="005610D6">
      <w:pPr>
        <w:rPr>
          <w:sz w:val="24"/>
          <w:szCs w:val="24"/>
        </w:rPr>
      </w:pPr>
      <w:r>
        <w:rPr>
          <w:sz w:val="24"/>
          <w:szCs w:val="24"/>
        </w:rPr>
        <w:t>I.Salmane</w:t>
      </w:r>
      <w:r w:rsidRPr="005D33D5">
        <w:rPr>
          <w:sz w:val="24"/>
          <w:szCs w:val="24"/>
        </w:rPr>
        <w:t>, 67021</w:t>
      </w:r>
      <w:r>
        <w:rPr>
          <w:sz w:val="24"/>
          <w:szCs w:val="24"/>
        </w:rPr>
        <w:t>556</w:t>
      </w:r>
    </w:p>
    <w:p w:rsidR="005610D6" w:rsidRPr="008E6EB7" w:rsidRDefault="00653A0B" w:rsidP="005610D6">
      <w:pPr>
        <w:rPr>
          <w:i/>
          <w:sz w:val="24"/>
          <w:szCs w:val="24"/>
        </w:rPr>
      </w:pPr>
      <w:hyperlink r:id="rId8" w:history="1">
        <w:r w:rsidR="005610D6" w:rsidRPr="001D400A">
          <w:rPr>
            <w:rStyle w:val="Hyperlink"/>
            <w:sz w:val="24"/>
            <w:szCs w:val="24"/>
          </w:rPr>
          <w:t>Irena.Salmane@lm.gov.lv</w:t>
        </w:r>
      </w:hyperlink>
    </w:p>
    <w:p w:rsidR="004C3C45" w:rsidRDefault="004C3C45">
      <w:bookmarkStart w:id="1" w:name="_GoBack"/>
      <w:bookmarkEnd w:id="1"/>
    </w:p>
    <w:sectPr w:rsidR="004C3C45">
      <w:headerReference w:type="even" r:id="rId9"/>
      <w:headerReference w:type="default" r:id="rId10"/>
      <w:footerReference w:type="even" r:id="rId11"/>
      <w:footerReference w:type="default" r:id="rId12"/>
      <w:footerReference w:type="first" r:id="rId13"/>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C" w:rsidRDefault="007A080C" w:rsidP="007A080C">
      <w:r>
        <w:separator/>
      </w:r>
    </w:p>
  </w:endnote>
  <w:endnote w:type="continuationSeparator" w:id="0">
    <w:p w:rsidR="007A080C" w:rsidRDefault="007A080C" w:rsidP="007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F8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65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Pr="00982B0A" w:rsidRDefault="00653A0B" w:rsidP="005811BF">
    <w:pPr>
      <w:pStyle w:val="Footer"/>
      <w:rPr>
        <w:rFonts w:ascii="Times New Roman" w:hAnsi="Times New Roman"/>
        <w:sz w:val="20"/>
      </w:rPr>
    </w:pPr>
  </w:p>
  <w:p w:rsidR="00382157" w:rsidRPr="00382157" w:rsidRDefault="00F856C0" w:rsidP="00382157">
    <w:pPr>
      <w:jc w:val="both"/>
      <w:rPr>
        <w:bCs/>
        <w:lang w:eastAsia="en-US"/>
      </w:rPr>
    </w:pPr>
    <w:r w:rsidRPr="00382157">
      <w:rPr>
        <w:rFonts w:eastAsiaTheme="minorHAnsi"/>
        <w:lang w:eastAsia="en-US"/>
      </w:rPr>
      <w:t>LM</w:t>
    </w:r>
    <w:r>
      <w:rPr>
        <w:rFonts w:eastAsiaTheme="minorHAnsi"/>
        <w:lang w:eastAsia="en-US"/>
      </w:rPr>
      <w:t>ano</w:t>
    </w:r>
    <w:r w:rsidRPr="00382157">
      <w:rPr>
        <w:rFonts w:eastAsiaTheme="minorHAnsi"/>
        <w:lang w:eastAsia="en-US"/>
      </w:rPr>
      <w:t>t_</w:t>
    </w:r>
    <w:r w:rsidR="00653A0B">
      <w:rPr>
        <w:rFonts w:eastAsiaTheme="minorHAnsi"/>
        <w:lang w:eastAsia="en-US"/>
      </w:rPr>
      <w:t>27</w:t>
    </w:r>
    <w:r w:rsidR="007A080C">
      <w:rPr>
        <w:rFonts w:eastAsiaTheme="minorHAnsi"/>
        <w:lang w:eastAsia="en-US"/>
      </w:rPr>
      <w:t>05</w:t>
    </w:r>
    <w:r w:rsidRPr="00382157">
      <w:rPr>
        <w:rFonts w:eastAsiaTheme="minorHAnsi"/>
        <w:lang w:eastAsia="en-US"/>
      </w:rPr>
      <w:t xml:space="preserve">13; </w:t>
    </w:r>
    <w:r w:rsidRPr="00382157">
      <w:rPr>
        <w:bCs/>
        <w:lang w:eastAsia="en-US"/>
      </w:rPr>
      <w:t>Grozījumi Ministru kabineta 200</w:t>
    </w:r>
    <w:r>
      <w:rPr>
        <w:bCs/>
        <w:lang w:eastAsia="en-US"/>
      </w:rPr>
      <w:t>6.gada 27.jūnija noteikumos Nr.</w:t>
    </w:r>
    <w:r w:rsidRPr="00382157">
      <w:rPr>
        <w:bCs/>
        <w:lang w:eastAsia="en-US"/>
      </w:rPr>
      <w:t>542 „Latvijas Republikā piešķirto valsts pensiju izmaksas kārtība personām pēc izbraukšanas uz pastāvīgu dzīvi ārvalstīs”</w:t>
    </w:r>
  </w:p>
  <w:p w:rsidR="00D07E1A" w:rsidRDefault="00653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57" w:rsidRPr="00382157" w:rsidRDefault="00F856C0" w:rsidP="00382157">
    <w:pPr>
      <w:jc w:val="both"/>
      <w:rPr>
        <w:bCs/>
        <w:lang w:eastAsia="en-US"/>
      </w:rPr>
    </w:pPr>
    <w:r w:rsidRPr="00382157">
      <w:rPr>
        <w:rFonts w:eastAsiaTheme="minorHAnsi"/>
        <w:lang w:eastAsia="en-US"/>
      </w:rPr>
      <w:t>LM</w:t>
    </w:r>
    <w:r>
      <w:rPr>
        <w:rFonts w:eastAsiaTheme="minorHAnsi"/>
        <w:lang w:eastAsia="en-US"/>
      </w:rPr>
      <w:t>anot</w:t>
    </w:r>
    <w:r w:rsidRPr="00382157">
      <w:rPr>
        <w:rFonts w:eastAsiaTheme="minorHAnsi"/>
        <w:lang w:eastAsia="en-US"/>
      </w:rPr>
      <w:t>_</w:t>
    </w:r>
    <w:r w:rsidR="00653A0B">
      <w:rPr>
        <w:rFonts w:eastAsiaTheme="minorHAnsi"/>
        <w:lang w:eastAsia="en-US"/>
      </w:rPr>
      <w:t>27</w:t>
    </w:r>
    <w:r w:rsidR="007A080C">
      <w:rPr>
        <w:rFonts w:eastAsiaTheme="minorHAnsi"/>
        <w:lang w:eastAsia="en-US"/>
      </w:rPr>
      <w:t>05</w:t>
    </w:r>
    <w:r w:rsidRPr="00382157">
      <w:rPr>
        <w:rFonts w:eastAsiaTheme="minorHAnsi"/>
        <w:lang w:eastAsia="en-US"/>
      </w:rPr>
      <w:t xml:space="preserve">13; </w:t>
    </w:r>
    <w:r w:rsidRPr="00382157">
      <w:rPr>
        <w:bCs/>
        <w:lang w:eastAsia="en-US"/>
      </w:rPr>
      <w:t>Grozījumi Ministru kabineta 200</w:t>
    </w:r>
    <w:r>
      <w:rPr>
        <w:bCs/>
        <w:lang w:eastAsia="en-US"/>
      </w:rPr>
      <w:t>6.gada 27.jūnija noteikumos Nr.</w:t>
    </w:r>
    <w:r w:rsidRPr="00382157">
      <w:rPr>
        <w:bCs/>
        <w:lang w:eastAsia="en-US"/>
      </w:rPr>
      <w:t>542 „Latvijas Republikā piešķirto valsts pensiju izmaksas kārtība personām pēc izbraukšanas uz pastāvīgu dzīvi ārvalstīs”</w:t>
    </w:r>
  </w:p>
  <w:p w:rsidR="00D07E1A" w:rsidRPr="00382157" w:rsidRDefault="00653A0B" w:rsidP="0038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C" w:rsidRDefault="007A080C" w:rsidP="007A080C">
      <w:r>
        <w:separator/>
      </w:r>
    </w:p>
  </w:footnote>
  <w:footnote w:type="continuationSeparator" w:id="0">
    <w:p w:rsidR="007A080C" w:rsidRDefault="007A080C" w:rsidP="007A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F856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653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F856C0">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53A0B">
      <w:rPr>
        <w:rStyle w:val="PageNumber"/>
        <w:noProof/>
        <w:sz w:val="24"/>
      </w:rPr>
      <w:t>6</w:t>
    </w:r>
    <w:r>
      <w:rPr>
        <w:rStyle w:val="PageNumber"/>
        <w:sz w:val="24"/>
      </w:rPr>
      <w:fldChar w:fldCharType="end"/>
    </w:r>
  </w:p>
  <w:p w:rsidR="00D07E1A" w:rsidRDefault="0065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124"/>
    <w:multiLevelType w:val="hybridMultilevel"/>
    <w:tmpl w:val="A7D2AD22"/>
    <w:lvl w:ilvl="0" w:tplc="80F80D4C">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35217F"/>
    <w:multiLevelType w:val="hybridMultilevel"/>
    <w:tmpl w:val="5C9E71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6"/>
    <w:rsid w:val="00236F66"/>
    <w:rsid w:val="003A3097"/>
    <w:rsid w:val="004C3C45"/>
    <w:rsid w:val="005610D6"/>
    <w:rsid w:val="00653A0B"/>
    <w:rsid w:val="007A080C"/>
    <w:rsid w:val="009F6B55"/>
    <w:rsid w:val="00F85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10D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5610D6"/>
    <w:rPr>
      <w:rFonts w:ascii="RimTimes" w:eastAsia="Times New Roman" w:hAnsi="RimTimes" w:cs="Times New Roman"/>
      <w:snapToGrid w:val="0"/>
      <w:sz w:val="28"/>
      <w:szCs w:val="20"/>
      <w:lang w:eastAsia="lv-LV"/>
    </w:rPr>
  </w:style>
  <w:style w:type="character" w:styleId="PageNumber">
    <w:name w:val="page number"/>
    <w:basedOn w:val="DefaultParagraphFont"/>
    <w:rsid w:val="005610D6"/>
  </w:style>
  <w:style w:type="paragraph" w:styleId="Header">
    <w:name w:val="header"/>
    <w:basedOn w:val="Normal"/>
    <w:link w:val="HeaderChar1"/>
    <w:rsid w:val="005610D6"/>
    <w:pPr>
      <w:tabs>
        <w:tab w:val="center" w:pos="4153"/>
        <w:tab w:val="right" w:pos="8306"/>
      </w:tabs>
    </w:pPr>
    <w:rPr>
      <w:sz w:val="28"/>
    </w:rPr>
  </w:style>
  <w:style w:type="character" w:customStyle="1" w:styleId="HeaderChar">
    <w:name w:val="Header Char"/>
    <w:basedOn w:val="DefaultParagraphFont"/>
    <w:uiPriority w:val="99"/>
    <w:semiHidden/>
    <w:rsid w:val="005610D6"/>
    <w:rPr>
      <w:rFonts w:ascii="Times New Roman" w:eastAsia="Times New Roman" w:hAnsi="Times New Roman" w:cs="Times New Roman"/>
      <w:sz w:val="20"/>
      <w:szCs w:val="20"/>
      <w:lang w:eastAsia="lv-LV"/>
    </w:rPr>
  </w:style>
  <w:style w:type="character" w:styleId="Hyperlink">
    <w:name w:val="Hyperlink"/>
    <w:rsid w:val="005610D6"/>
    <w:rPr>
      <w:color w:val="0000FF"/>
      <w:u w:val="single"/>
    </w:rPr>
  </w:style>
  <w:style w:type="paragraph" w:customStyle="1" w:styleId="naiskr">
    <w:name w:val="naiskr"/>
    <w:basedOn w:val="Normal"/>
    <w:rsid w:val="005610D6"/>
    <w:pPr>
      <w:spacing w:before="75" w:after="75"/>
    </w:pPr>
    <w:rPr>
      <w:sz w:val="24"/>
      <w:szCs w:val="24"/>
    </w:rPr>
  </w:style>
  <w:style w:type="paragraph" w:styleId="HTMLPreformatted">
    <w:name w:val="HTML Preformatted"/>
    <w:basedOn w:val="Normal"/>
    <w:link w:val="HTMLPreformattedChar"/>
    <w:uiPriority w:val="99"/>
    <w:unhideWhenUsed/>
    <w:rsid w:val="0056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610D6"/>
    <w:rPr>
      <w:rFonts w:ascii="Courier New" w:eastAsia="Times New Roman" w:hAnsi="Courier New" w:cs="Courier New"/>
      <w:sz w:val="20"/>
      <w:szCs w:val="20"/>
      <w:lang w:eastAsia="lv-LV"/>
    </w:rPr>
  </w:style>
  <w:style w:type="character" w:customStyle="1" w:styleId="HeaderChar1">
    <w:name w:val="Header Char1"/>
    <w:link w:val="Header"/>
    <w:locked/>
    <w:rsid w:val="005610D6"/>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5610D6"/>
    <w:pPr>
      <w:spacing w:after="200" w:line="276" w:lineRule="auto"/>
      <w:ind w:left="720"/>
      <w:contextualSpacing/>
    </w:pPr>
    <w:rPr>
      <w:rFonts w:ascii="Calibri" w:eastAsia="Calibri" w:hAnsi="Calibri"/>
      <w:sz w:val="22"/>
      <w:szCs w:val="22"/>
      <w:lang w:eastAsia="en-US"/>
    </w:rPr>
  </w:style>
  <w:style w:type="character" w:customStyle="1" w:styleId="naisfChar">
    <w:name w:val="naisf Char"/>
    <w:basedOn w:val="DefaultParagraphFont"/>
    <w:link w:val="naisf"/>
    <w:locked/>
    <w:rsid w:val="005610D6"/>
    <w:rPr>
      <w:rFonts w:ascii="Times New Roman" w:eastAsia="Times New Roman" w:hAnsi="Times New Roman" w:cs="Times New Roman"/>
      <w:sz w:val="24"/>
      <w:szCs w:val="24"/>
    </w:rPr>
  </w:style>
  <w:style w:type="paragraph" w:customStyle="1" w:styleId="naisf">
    <w:name w:val="naisf"/>
    <w:basedOn w:val="Normal"/>
    <w:link w:val="naisfChar"/>
    <w:rsid w:val="005610D6"/>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10D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5610D6"/>
    <w:rPr>
      <w:rFonts w:ascii="RimTimes" w:eastAsia="Times New Roman" w:hAnsi="RimTimes" w:cs="Times New Roman"/>
      <w:snapToGrid w:val="0"/>
      <w:sz w:val="28"/>
      <w:szCs w:val="20"/>
      <w:lang w:eastAsia="lv-LV"/>
    </w:rPr>
  </w:style>
  <w:style w:type="character" w:styleId="PageNumber">
    <w:name w:val="page number"/>
    <w:basedOn w:val="DefaultParagraphFont"/>
    <w:rsid w:val="005610D6"/>
  </w:style>
  <w:style w:type="paragraph" w:styleId="Header">
    <w:name w:val="header"/>
    <w:basedOn w:val="Normal"/>
    <w:link w:val="HeaderChar1"/>
    <w:rsid w:val="005610D6"/>
    <w:pPr>
      <w:tabs>
        <w:tab w:val="center" w:pos="4153"/>
        <w:tab w:val="right" w:pos="8306"/>
      </w:tabs>
    </w:pPr>
    <w:rPr>
      <w:sz w:val="28"/>
    </w:rPr>
  </w:style>
  <w:style w:type="character" w:customStyle="1" w:styleId="HeaderChar">
    <w:name w:val="Header Char"/>
    <w:basedOn w:val="DefaultParagraphFont"/>
    <w:uiPriority w:val="99"/>
    <w:semiHidden/>
    <w:rsid w:val="005610D6"/>
    <w:rPr>
      <w:rFonts w:ascii="Times New Roman" w:eastAsia="Times New Roman" w:hAnsi="Times New Roman" w:cs="Times New Roman"/>
      <w:sz w:val="20"/>
      <w:szCs w:val="20"/>
      <w:lang w:eastAsia="lv-LV"/>
    </w:rPr>
  </w:style>
  <w:style w:type="character" w:styleId="Hyperlink">
    <w:name w:val="Hyperlink"/>
    <w:rsid w:val="005610D6"/>
    <w:rPr>
      <w:color w:val="0000FF"/>
      <w:u w:val="single"/>
    </w:rPr>
  </w:style>
  <w:style w:type="paragraph" w:customStyle="1" w:styleId="naiskr">
    <w:name w:val="naiskr"/>
    <w:basedOn w:val="Normal"/>
    <w:rsid w:val="005610D6"/>
    <w:pPr>
      <w:spacing w:before="75" w:after="75"/>
    </w:pPr>
    <w:rPr>
      <w:sz w:val="24"/>
      <w:szCs w:val="24"/>
    </w:rPr>
  </w:style>
  <w:style w:type="paragraph" w:styleId="HTMLPreformatted">
    <w:name w:val="HTML Preformatted"/>
    <w:basedOn w:val="Normal"/>
    <w:link w:val="HTMLPreformattedChar"/>
    <w:uiPriority w:val="99"/>
    <w:unhideWhenUsed/>
    <w:rsid w:val="00561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610D6"/>
    <w:rPr>
      <w:rFonts w:ascii="Courier New" w:eastAsia="Times New Roman" w:hAnsi="Courier New" w:cs="Courier New"/>
      <w:sz w:val="20"/>
      <w:szCs w:val="20"/>
      <w:lang w:eastAsia="lv-LV"/>
    </w:rPr>
  </w:style>
  <w:style w:type="character" w:customStyle="1" w:styleId="HeaderChar1">
    <w:name w:val="Header Char1"/>
    <w:link w:val="Header"/>
    <w:locked/>
    <w:rsid w:val="005610D6"/>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5610D6"/>
    <w:pPr>
      <w:spacing w:after="200" w:line="276" w:lineRule="auto"/>
      <w:ind w:left="720"/>
      <w:contextualSpacing/>
    </w:pPr>
    <w:rPr>
      <w:rFonts w:ascii="Calibri" w:eastAsia="Calibri" w:hAnsi="Calibri"/>
      <w:sz w:val="22"/>
      <w:szCs w:val="22"/>
      <w:lang w:eastAsia="en-US"/>
    </w:rPr>
  </w:style>
  <w:style w:type="character" w:customStyle="1" w:styleId="naisfChar">
    <w:name w:val="naisf Char"/>
    <w:basedOn w:val="DefaultParagraphFont"/>
    <w:link w:val="naisf"/>
    <w:locked/>
    <w:rsid w:val="005610D6"/>
    <w:rPr>
      <w:rFonts w:ascii="Times New Roman" w:eastAsia="Times New Roman" w:hAnsi="Times New Roman" w:cs="Times New Roman"/>
      <w:sz w:val="24"/>
      <w:szCs w:val="24"/>
    </w:rPr>
  </w:style>
  <w:style w:type="paragraph" w:customStyle="1" w:styleId="naisf">
    <w:name w:val="naisf"/>
    <w:basedOn w:val="Normal"/>
    <w:link w:val="naisfChar"/>
    <w:rsid w:val="005610D6"/>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1638</Words>
  <Characters>11567</Characters>
  <Application>Microsoft Office Word</Application>
  <DocSecurity>0</DocSecurity>
  <Lines>330</Lines>
  <Paragraphs>126</Paragraphs>
  <ScaleCrop>false</ScaleCrop>
  <HeadingPairs>
    <vt:vector size="2" baseType="variant">
      <vt:variant>
        <vt:lpstr>Title</vt:lpstr>
      </vt:variant>
      <vt:variant>
        <vt:i4>1</vt:i4>
      </vt:variant>
    </vt:vector>
  </HeadingPairs>
  <TitlesOfParts>
    <vt:vector size="1" baseType="lpstr">
      <vt:lpstr>Grozījumi Ministru kabineta 2006.gada 27.jūnija noteikumos Nr.542 "Latvijas Republikā piešķirto valsts pensiju izmaksas kārtība personām pēc izbraukšanas uz pastāvīgu dzīvi ārvalstīs"</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27.jūnija noteikumos Nr.542 "Latvijas Republikā piešķirto valsts pensiju izmaksas kārtība personām pēc izbraukšanas uz pastāvīgu dzīvi ārvalstīs"</dc:title>
  <dc:subject>Anotācija</dc:subject>
  <dc:creator>Irēna Salmane</dc:creator>
  <dc:description>I.Salmane_x000d_
tālr. 67021556, fakss: 67021560_x000d_
irena.salmane@lm.gov.lv</dc:description>
  <cp:lastModifiedBy>Irena Salmane</cp:lastModifiedBy>
  <cp:revision>5</cp:revision>
  <cp:lastPrinted>2013-05-10T10:24:00Z</cp:lastPrinted>
  <dcterms:created xsi:type="dcterms:W3CDTF">2013-05-10T08:11:00Z</dcterms:created>
  <dcterms:modified xsi:type="dcterms:W3CDTF">2013-05-27T09:00:00Z</dcterms:modified>
</cp:coreProperties>
</file>