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A6" w:rsidRPr="00831338" w:rsidRDefault="00831338" w:rsidP="00831338">
      <w:pPr>
        <w:jc w:val="center"/>
        <w:rPr>
          <w:b/>
          <w:sz w:val="28"/>
          <w:szCs w:val="28"/>
        </w:rPr>
      </w:pPr>
      <w:r w:rsidRPr="00831338">
        <w:rPr>
          <w:b/>
          <w:sz w:val="28"/>
          <w:szCs w:val="28"/>
        </w:rPr>
        <w:t>G</w:t>
      </w:r>
      <w:r w:rsidR="00A26D80">
        <w:rPr>
          <w:b/>
          <w:sz w:val="28"/>
          <w:szCs w:val="28"/>
        </w:rPr>
        <w:t>rozījuma</w:t>
      </w:r>
      <w:r w:rsidRPr="00831338">
        <w:rPr>
          <w:b/>
          <w:sz w:val="28"/>
          <w:szCs w:val="28"/>
        </w:rPr>
        <w:t xml:space="preserve"> Ministru kabineta 2010.gada 21.decembra noteikumos Nr.1158 „Kārtība, kādā piešķir un izmaksā prokuroru izdienas pensijas”</w:t>
      </w:r>
      <w:r w:rsidR="00DB45A6" w:rsidRPr="000D0590">
        <w:rPr>
          <w:b/>
          <w:sz w:val="28"/>
          <w:szCs w:val="28"/>
        </w:rPr>
        <w:t xml:space="preserve"> sākotnējās ietekmes novērtējuma </w:t>
      </w:r>
      <w:smartTag w:uri="schemas-tilde-lv/tildestengine" w:element="veidnes">
        <w:smartTagPr>
          <w:attr w:name="text" w:val="ziņojums"/>
          <w:attr w:name="id" w:val="-1"/>
          <w:attr w:name="baseform" w:val="ziņojum|s"/>
        </w:smartTagPr>
        <w:r w:rsidR="00DB45A6" w:rsidRPr="000D0590">
          <w:rPr>
            <w:b/>
            <w:sz w:val="28"/>
            <w:szCs w:val="28"/>
          </w:rPr>
          <w:t>ziņojums</w:t>
        </w:r>
      </w:smartTag>
      <w:r w:rsidR="00DB45A6" w:rsidRPr="000D0590">
        <w:rPr>
          <w:b/>
          <w:sz w:val="28"/>
          <w:szCs w:val="28"/>
        </w:rPr>
        <w:t xml:space="preserve"> (anotācija)</w:t>
      </w:r>
    </w:p>
    <w:p w:rsidR="00DB45A6" w:rsidRPr="00D95A84" w:rsidRDefault="00DB45A6" w:rsidP="00DB45A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74"/>
        <w:gridCol w:w="6187"/>
      </w:tblGrid>
      <w:tr w:rsidR="00DB45A6" w:rsidRPr="0047770C" w:rsidTr="00A571D0">
        <w:trPr>
          <w:trHeight w:val="400"/>
        </w:trPr>
        <w:tc>
          <w:tcPr>
            <w:tcW w:w="5000" w:type="pct"/>
            <w:gridSpan w:val="3"/>
            <w:shd w:val="clear" w:color="auto" w:fill="auto"/>
          </w:tcPr>
          <w:p w:rsidR="00DB45A6" w:rsidRPr="0047770C" w:rsidRDefault="00DB45A6" w:rsidP="00A571D0">
            <w:pPr>
              <w:jc w:val="center"/>
              <w:rPr>
                <w:b/>
                <w:sz w:val="28"/>
                <w:szCs w:val="28"/>
              </w:rPr>
            </w:pPr>
            <w:r w:rsidRPr="0047770C">
              <w:rPr>
                <w:b/>
                <w:sz w:val="28"/>
                <w:szCs w:val="28"/>
              </w:rPr>
              <w:t xml:space="preserve">I Tiesību </w:t>
            </w:r>
            <w:smartTag w:uri="schemas-tilde-lv/tildestengine" w:element="veidnes">
              <w:smartTagPr>
                <w:attr w:name="baseform" w:val="akt|s"/>
                <w:attr w:name="id" w:val="-1"/>
                <w:attr w:name="text" w:val="akta"/>
              </w:smartTagPr>
              <w:r w:rsidRPr="0047770C">
                <w:rPr>
                  <w:b/>
                  <w:sz w:val="28"/>
                  <w:szCs w:val="28"/>
                </w:rPr>
                <w:t>akta</w:t>
              </w:r>
            </w:smartTag>
            <w:r w:rsidRPr="0047770C">
              <w:rPr>
                <w:b/>
                <w:sz w:val="28"/>
                <w:szCs w:val="28"/>
              </w:rPr>
              <w:t xml:space="preserve"> projekta izstrādes nepieciešamība</w:t>
            </w:r>
          </w:p>
        </w:tc>
      </w:tr>
      <w:tr w:rsidR="007920E3" w:rsidRPr="0047770C" w:rsidTr="007920E3">
        <w:tc>
          <w:tcPr>
            <w:tcW w:w="229" w:type="pct"/>
            <w:shd w:val="clear" w:color="auto" w:fill="auto"/>
          </w:tcPr>
          <w:p w:rsidR="007920E3" w:rsidRPr="0047770C" w:rsidRDefault="007920E3" w:rsidP="00A571D0">
            <w:pPr>
              <w:rPr>
                <w:sz w:val="28"/>
                <w:szCs w:val="28"/>
              </w:rPr>
            </w:pPr>
            <w:r w:rsidRPr="0047770C">
              <w:rPr>
                <w:sz w:val="28"/>
                <w:szCs w:val="28"/>
              </w:rPr>
              <w:t>1.</w:t>
            </w:r>
          </w:p>
        </w:tc>
        <w:tc>
          <w:tcPr>
            <w:tcW w:w="1440" w:type="pct"/>
            <w:shd w:val="clear" w:color="auto" w:fill="auto"/>
          </w:tcPr>
          <w:p w:rsidR="007920E3" w:rsidRPr="0047770C" w:rsidRDefault="007920E3" w:rsidP="00A571D0">
            <w:pPr>
              <w:rPr>
                <w:sz w:val="28"/>
                <w:szCs w:val="28"/>
              </w:rPr>
            </w:pPr>
            <w:r w:rsidRPr="0047770C">
              <w:rPr>
                <w:sz w:val="28"/>
                <w:szCs w:val="28"/>
              </w:rPr>
              <w:t>Pamatojums</w:t>
            </w:r>
          </w:p>
        </w:tc>
        <w:tc>
          <w:tcPr>
            <w:tcW w:w="3331" w:type="pct"/>
            <w:shd w:val="clear" w:color="auto" w:fill="auto"/>
          </w:tcPr>
          <w:p w:rsidR="007920E3" w:rsidRPr="0017711D" w:rsidRDefault="007920E3" w:rsidP="00F163D7">
            <w:pPr>
              <w:spacing w:after="120"/>
              <w:jc w:val="both"/>
              <w:rPr>
                <w:sz w:val="28"/>
                <w:szCs w:val="28"/>
              </w:rPr>
            </w:pPr>
            <w:proofErr w:type="spellStart"/>
            <w:r w:rsidRPr="00A26D80">
              <w:rPr>
                <w:i/>
                <w:sz w:val="28"/>
                <w:szCs w:val="28"/>
              </w:rPr>
              <w:t>Euro</w:t>
            </w:r>
            <w:proofErr w:type="spellEnd"/>
            <w:r w:rsidRPr="0017711D">
              <w:rPr>
                <w:sz w:val="28"/>
                <w:szCs w:val="28"/>
              </w:rPr>
              <w:t xml:space="preserve"> ieviešanas kārtības likuma 30.panta pirmā daļa </w:t>
            </w:r>
            <w:r w:rsidRPr="0017711D">
              <w:rPr>
                <w:bCs/>
                <w:sz w:val="28"/>
                <w:szCs w:val="28"/>
              </w:rPr>
              <w:t xml:space="preserve">un Ministra kabineta 2013. gada 29. maija rīkojums Nr.212 „Par tiesību aktu virzību saistībā ar </w:t>
            </w:r>
            <w:proofErr w:type="spellStart"/>
            <w:r w:rsidRPr="00A26D80">
              <w:rPr>
                <w:bCs/>
                <w:i/>
                <w:sz w:val="28"/>
                <w:szCs w:val="28"/>
              </w:rPr>
              <w:t>euro</w:t>
            </w:r>
            <w:proofErr w:type="spellEnd"/>
            <w:r w:rsidRPr="0017711D">
              <w:rPr>
                <w:bCs/>
                <w:sz w:val="28"/>
                <w:szCs w:val="28"/>
              </w:rPr>
              <w:t xml:space="preserve"> ieviešanu Latvijā” 1.</w:t>
            </w:r>
            <w:r w:rsidR="00F163D7">
              <w:rPr>
                <w:bCs/>
                <w:sz w:val="28"/>
                <w:szCs w:val="28"/>
              </w:rPr>
              <w:t>7</w:t>
            </w:r>
            <w:r w:rsidRPr="0017711D">
              <w:rPr>
                <w:bCs/>
                <w:sz w:val="28"/>
                <w:szCs w:val="28"/>
              </w:rPr>
              <w:t>. apakšpunktu.</w:t>
            </w:r>
          </w:p>
        </w:tc>
      </w:tr>
      <w:tr w:rsidR="007920E3" w:rsidRPr="0047770C" w:rsidTr="007920E3">
        <w:tc>
          <w:tcPr>
            <w:tcW w:w="229" w:type="pct"/>
            <w:shd w:val="clear" w:color="auto" w:fill="auto"/>
          </w:tcPr>
          <w:p w:rsidR="007920E3" w:rsidRPr="0047770C" w:rsidRDefault="007920E3" w:rsidP="00A571D0">
            <w:pPr>
              <w:rPr>
                <w:sz w:val="28"/>
                <w:szCs w:val="28"/>
              </w:rPr>
            </w:pPr>
            <w:r w:rsidRPr="0047770C">
              <w:rPr>
                <w:sz w:val="28"/>
                <w:szCs w:val="28"/>
              </w:rPr>
              <w:t xml:space="preserve">2. </w:t>
            </w:r>
          </w:p>
        </w:tc>
        <w:tc>
          <w:tcPr>
            <w:tcW w:w="1440" w:type="pct"/>
            <w:shd w:val="clear" w:color="auto" w:fill="auto"/>
          </w:tcPr>
          <w:p w:rsidR="007920E3" w:rsidRPr="0047770C" w:rsidRDefault="007920E3" w:rsidP="00A571D0">
            <w:pPr>
              <w:rPr>
                <w:sz w:val="28"/>
                <w:szCs w:val="28"/>
              </w:rPr>
            </w:pPr>
            <w:r w:rsidRPr="0047770C">
              <w:rPr>
                <w:sz w:val="28"/>
                <w:szCs w:val="28"/>
              </w:rPr>
              <w:t>Pašreizējā situācija un problēmas</w:t>
            </w:r>
          </w:p>
        </w:tc>
        <w:tc>
          <w:tcPr>
            <w:tcW w:w="3331" w:type="pct"/>
            <w:shd w:val="clear" w:color="auto" w:fill="auto"/>
          </w:tcPr>
          <w:p w:rsidR="007920E3" w:rsidRPr="0017711D" w:rsidRDefault="007920E3" w:rsidP="007920E3">
            <w:pPr>
              <w:spacing w:after="120"/>
              <w:jc w:val="both"/>
              <w:rPr>
                <w:sz w:val="28"/>
                <w:szCs w:val="28"/>
                <w:lang w:eastAsia="en-US"/>
              </w:rPr>
            </w:pPr>
            <w:r w:rsidRPr="0017711D">
              <w:rPr>
                <w:iCs/>
                <w:sz w:val="28"/>
                <w:szCs w:val="28"/>
              </w:rPr>
              <w:t xml:space="preserve">Ņemot vērā, ka ar 2014.gada 1.janvāri Latvijā plānots ieviest </w:t>
            </w:r>
            <w:proofErr w:type="spellStart"/>
            <w:r w:rsidRPr="00A26D80">
              <w:rPr>
                <w:i/>
                <w:iCs/>
                <w:sz w:val="28"/>
                <w:szCs w:val="28"/>
              </w:rPr>
              <w:t>euro</w:t>
            </w:r>
            <w:proofErr w:type="spellEnd"/>
            <w:r w:rsidRPr="0017711D">
              <w:rPr>
                <w:iCs/>
                <w:sz w:val="28"/>
                <w:szCs w:val="28"/>
              </w:rPr>
              <w:t xml:space="preserve">, </w:t>
            </w:r>
            <w:r w:rsidR="00A26D80">
              <w:rPr>
                <w:iCs/>
                <w:sz w:val="28"/>
                <w:szCs w:val="28"/>
              </w:rPr>
              <w:t>ir nepieciešams veikt grozījumu</w:t>
            </w:r>
            <w:r w:rsidRPr="0017711D">
              <w:rPr>
                <w:iCs/>
                <w:sz w:val="28"/>
                <w:szCs w:val="28"/>
              </w:rPr>
              <w:t xml:space="preserve"> Ministru kabineta</w:t>
            </w:r>
            <w:r w:rsidRPr="0017711D">
              <w:rPr>
                <w:sz w:val="28"/>
                <w:szCs w:val="28"/>
                <w:lang w:eastAsia="en-US"/>
              </w:rPr>
              <w:t xml:space="preserve"> </w:t>
            </w:r>
            <w:r w:rsidRPr="0017711D">
              <w:rPr>
                <w:sz w:val="28"/>
                <w:szCs w:val="28"/>
              </w:rPr>
              <w:t>2010.gada 21.decembra noteikumos Nr.115</w:t>
            </w:r>
            <w:r>
              <w:rPr>
                <w:sz w:val="28"/>
                <w:szCs w:val="28"/>
              </w:rPr>
              <w:t>8</w:t>
            </w:r>
            <w:r w:rsidRPr="0017711D">
              <w:rPr>
                <w:sz w:val="28"/>
                <w:szCs w:val="28"/>
              </w:rPr>
              <w:t xml:space="preserve"> „Kārtība, kādā piešķir un izmaksā </w:t>
            </w:r>
            <w:r>
              <w:rPr>
                <w:sz w:val="28"/>
                <w:szCs w:val="28"/>
              </w:rPr>
              <w:t xml:space="preserve">prokuroru </w:t>
            </w:r>
            <w:r w:rsidRPr="0017711D">
              <w:rPr>
                <w:sz w:val="28"/>
                <w:szCs w:val="28"/>
              </w:rPr>
              <w:t>izdienas pensijas”</w:t>
            </w:r>
            <w:r w:rsidRPr="0017711D">
              <w:rPr>
                <w:sz w:val="28"/>
                <w:szCs w:val="28"/>
                <w:lang w:eastAsia="en-US"/>
              </w:rPr>
              <w:t xml:space="preserve"> (turpmāk – MK noteikumi), kur ir paredzēts, ka </w:t>
            </w:r>
            <w:r>
              <w:rPr>
                <w:sz w:val="28"/>
                <w:szCs w:val="28"/>
                <w:lang w:eastAsia="en-US"/>
              </w:rPr>
              <w:t>Ģenerālprokuratūra</w:t>
            </w:r>
            <w:r w:rsidRPr="0017711D">
              <w:rPr>
                <w:sz w:val="28"/>
                <w:szCs w:val="28"/>
                <w:lang w:eastAsia="en-US"/>
              </w:rPr>
              <w:t xml:space="preserve"> 10 darba dienu laikā nosūta Valsts sociālās apdrošināšanas aģentūrai darba devēja izziņa par vidējo mēneša darba samaksu. Minētajā izziņā (MK noteikumu 2.pielikums) aprēķinātā vidējā mēneša darba samaksa pirms izdienas pensijas pieprasītāja atbrīvošanas no </w:t>
            </w:r>
            <w:r>
              <w:rPr>
                <w:sz w:val="28"/>
                <w:szCs w:val="28"/>
                <w:lang w:eastAsia="en-US"/>
              </w:rPr>
              <w:t xml:space="preserve">prokurora </w:t>
            </w:r>
            <w:r w:rsidRPr="0017711D">
              <w:rPr>
                <w:sz w:val="28"/>
                <w:szCs w:val="28"/>
                <w:lang w:eastAsia="en-US"/>
              </w:rPr>
              <w:t xml:space="preserve">amata ir norādīta latos un santīmos. Līdz ar to </w:t>
            </w:r>
            <w:r w:rsidR="0033264E">
              <w:rPr>
                <w:sz w:val="28"/>
                <w:szCs w:val="28"/>
                <w:lang w:eastAsia="en-US"/>
              </w:rPr>
              <w:t>ir nepieciešams veikt grozījumu</w:t>
            </w:r>
            <w:r w:rsidRPr="0017711D">
              <w:rPr>
                <w:sz w:val="28"/>
                <w:szCs w:val="28"/>
                <w:lang w:eastAsia="en-US"/>
              </w:rPr>
              <w:t xml:space="preserve"> MK noteikumu 2.pielikumā, aizstā</w:t>
            </w:r>
            <w:r w:rsidR="00A26D80">
              <w:rPr>
                <w:sz w:val="28"/>
                <w:szCs w:val="28"/>
                <w:lang w:eastAsia="en-US"/>
              </w:rPr>
              <w:t xml:space="preserve">jot tajā latus un santīmus ar </w:t>
            </w:r>
            <w:proofErr w:type="spellStart"/>
            <w:r w:rsidR="00A26D80" w:rsidRPr="00A26D80">
              <w:rPr>
                <w:i/>
                <w:sz w:val="28"/>
                <w:szCs w:val="28"/>
                <w:lang w:eastAsia="en-US"/>
              </w:rPr>
              <w:t>eu</w:t>
            </w:r>
            <w:r w:rsidRPr="00A26D80">
              <w:rPr>
                <w:i/>
                <w:sz w:val="28"/>
                <w:szCs w:val="28"/>
                <w:lang w:eastAsia="en-US"/>
              </w:rPr>
              <w:t>ro</w:t>
            </w:r>
            <w:proofErr w:type="spellEnd"/>
            <w:r w:rsidRPr="0017711D">
              <w:rPr>
                <w:sz w:val="28"/>
                <w:szCs w:val="28"/>
                <w:lang w:eastAsia="en-US"/>
              </w:rPr>
              <w:t xml:space="preserve"> un centiem.</w:t>
            </w:r>
          </w:p>
        </w:tc>
      </w:tr>
      <w:tr w:rsidR="00DB45A6" w:rsidRPr="0047770C" w:rsidTr="007920E3">
        <w:tc>
          <w:tcPr>
            <w:tcW w:w="229" w:type="pct"/>
            <w:shd w:val="clear" w:color="auto" w:fill="auto"/>
          </w:tcPr>
          <w:p w:rsidR="00DB45A6" w:rsidRPr="0047770C" w:rsidRDefault="00DB45A6" w:rsidP="00A571D0">
            <w:pPr>
              <w:rPr>
                <w:sz w:val="28"/>
                <w:szCs w:val="28"/>
              </w:rPr>
            </w:pPr>
            <w:r w:rsidRPr="0047770C">
              <w:rPr>
                <w:sz w:val="28"/>
                <w:szCs w:val="28"/>
              </w:rPr>
              <w:t xml:space="preserve">3. </w:t>
            </w:r>
          </w:p>
        </w:tc>
        <w:tc>
          <w:tcPr>
            <w:tcW w:w="1440" w:type="pct"/>
            <w:shd w:val="clear" w:color="auto" w:fill="auto"/>
          </w:tcPr>
          <w:p w:rsidR="00DB45A6" w:rsidRPr="0047770C" w:rsidRDefault="00DB45A6" w:rsidP="00A571D0">
            <w:pPr>
              <w:rPr>
                <w:sz w:val="28"/>
                <w:szCs w:val="28"/>
              </w:rPr>
            </w:pPr>
            <w:r w:rsidRPr="0047770C">
              <w:rPr>
                <w:sz w:val="28"/>
                <w:szCs w:val="28"/>
              </w:rPr>
              <w:t>Saistītie politikas ietekmes novērtējumi un pētījumi</w:t>
            </w:r>
          </w:p>
        </w:tc>
        <w:tc>
          <w:tcPr>
            <w:tcW w:w="3331" w:type="pct"/>
            <w:shd w:val="clear" w:color="auto" w:fill="auto"/>
          </w:tcPr>
          <w:p w:rsidR="00DB45A6" w:rsidRPr="0047770C" w:rsidRDefault="00DB45A6" w:rsidP="00A571D0">
            <w:pPr>
              <w:spacing w:after="120"/>
              <w:jc w:val="both"/>
              <w:rPr>
                <w:sz w:val="28"/>
                <w:szCs w:val="28"/>
              </w:rPr>
            </w:pPr>
            <w:r w:rsidRPr="0047770C">
              <w:rPr>
                <w:sz w:val="28"/>
                <w:szCs w:val="28"/>
              </w:rPr>
              <w:t>Projekts šo jomu neskar.</w:t>
            </w:r>
          </w:p>
        </w:tc>
      </w:tr>
      <w:tr w:rsidR="007920E3" w:rsidRPr="0047770C" w:rsidTr="007920E3">
        <w:tc>
          <w:tcPr>
            <w:tcW w:w="229" w:type="pct"/>
            <w:shd w:val="clear" w:color="auto" w:fill="auto"/>
          </w:tcPr>
          <w:p w:rsidR="007920E3" w:rsidRPr="0047770C" w:rsidRDefault="007920E3" w:rsidP="00A571D0">
            <w:pPr>
              <w:rPr>
                <w:sz w:val="28"/>
                <w:szCs w:val="28"/>
              </w:rPr>
            </w:pPr>
            <w:r w:rsidRPr="0047770C">
              <w:rPr>
                <w:sz w:val="28"/>
                <w:szCs w:val="28"/>
              </w:rPr>
              <w:t>4.</w:t>
            </w:r>
          </w:p>
        </w:tc>
        <w:tc>
          <w:tcPr>
            <w:tcW w:w="1440" w:type="pct"/>
            <w:shd w:val="clear" w:color="auto" w:fill="auto"/>
          </w:tcPr>
          <w:p w:rsidR="007920E3" w:rsidRPr="0047770C" w:rsidRDefault="007920E3" w:rsidP="00A571D0">
            <w:pPr>
              <w:rPr>
                <w:sz w:val="28"/>
                <w:szCs w:val="28"/>
              </w:rPr>
            </w:pPr>
            <w:r w:rsidRPr="0047770C">
              <w:rPr>
                <w:sz w:val="28"/>
                <w:szCs w:val="28"/>
              </w:rPr>
              <w:t>Tiesiskā regulējuma mērķis un būtība</w:t>
            </w:r>
          </w:p>
        </w:tc>
        <w:tc>
          <w:tcPr>
            <w:tcW w:w="3331" w:type="pct"/>
            <w:shd w:val="clear" w:color="auto" w:fill="auto"/>
          </w:tcPr>
          <w:p w:rsidR="007920E3" w:rsidRPr="00540926" w:rsidRDefault="007920E3" w:rsidP="002E69C7">
            <w:pPr>
              <w:spacing w:after="120"/>
              <w:ind w:left="45"/>
              <w:jc w:val="both"/>
              <w:rPr>
                <w:color w:val="000000"/>
                <w:sz w:val="28"/>
                <w:szCs w:val="28"/>
              </w:rPr>
            </w:pPr>
            <w:r w:rsidRPr="00540926">
              <w:rPr>
                <w:color w:val="000000"/>
                <w:sz w:val="28"/>
                <w:szCs w:val="28"/>
              </w:rPr>
              <w:t xml:space="preserve">MK noteikumu projekts paredz, ka darba devēja izsniegtajā izziņā aprēķinātā vidējā mēneša darba samaksa pirms izdienas pensijas pieprasītāja atbrīvošanas no </w:t>
            </w:r>
            <w:r>
              <w:rPr>
                <w:color w:val="000000"/>
                <w:sz w:val="28"/>
                <w:szCs w:val="28"/>
              </w:rPr>
              <w:t xml:space="preserve">prokurora </w:t>
            </w:r>
            <w:r w:rsidRPr="00540926">
              <w:rPr>
                <w:color w:val="000000"/>
                <w:sz w:val="28"/>
                <w:szCs w:val="28"/>
              </w:rPr>
              <w:t xml:space="preserve">amata būs norādīta </w:t>
            </w:r>
            <w:proofErr w:type="spellStart"/>
            <w:r w:rsidRPr="00A26D80">
              <w:rPr>
                <w:i/>
                <w:color w:val="000000"/>
                <w:sz w:val="28"/>
                <w:szCs w:val="28"/>
              </w:rPr>
              <w:t>euro</w:t>
            </w:r>
            <w:proofErr w:type="spellEnd"/>
            <w:r w:rsidRPr="00540926">
              <w:rPr>
                <w:color w:val="000000"/>
                <w:sz w:val="28"/>
                <w:szCs w:val="28"/>
              </w:rPr>
              <w:t xml:space="preserve"> un centos. </w:t>
            </w:r>
          </w:p>
          <w:p w:rsidR="007920E3" w:rsidRPr="00540926" w:rsidRDefault="00A26D80" w:rsidP="002E69C7">
            <w:pPr>
              <w:spacing w:after="120"/>
              <w:jc w:val="both"/>
              <w:rPr>
                <w:sz w:val="28"/>
                <w:szCs w:val="28"/>
              </w:rPr>
            </w:pPr>
            <w:r>
              <w:rPr>
                <w:sz w:val="28"/>
                <w:szCs w:val="28"/>
              </w:rPr>
              <w:t>Grozījums sagatavots</w:t>
            </w:r>
            <w:r w:rsidR="007920E3" w:rsidRPr="00540926">
              <w:rPr>
                <w:sz w:val="28"/>
                <w:szCs w:val="28"/>
              </w:rPr>
              <w:t xml:space="preserve"> atbilstoši </w:t>
            </w:r>
            <w:proofErr w:type="spellStart"/>
            <w:r w:rsidR="007920E3" w:rsidRPr="00A26D80">
              <w:rPr>
                <w:i/>
                <w:sz w:val="28"/>
                <w:szCs w:val="28"/>
              </w:rPr>
              <w:t>Euro</w:t>
            </w:r>
            <w:proofErr w:type="spellEnd"/>
            <w:r w:rsidR="007920E3" w:rsidRPr="00540926">
              <w:rPr>
                <w:sz w:val="28"/>
                <w:szCs w:val="28"/>
              </w:rPr>
              <w:t xml:space="preserve"> ieviešanas kārtības likuma 30.panta otrajai daļai.</w:t>
            </w:r>
          </w:p>
        </w:tc>
      </w:tr>
      <w:tr w:rsidR="00DB45A6" w:rsidRPr="0047770C" w:rsidTr="007920E3">
        <w:tc>
          <w:tcPr>
            <w:tcW w:w="229" w:type="pct"/>
            <w:shd w:val="clear" w:color="auto" w:fill="auto"/>
          </w:tcPr>
          <w:p w:rsidR="00DB45A6" w:rsidRPr="0047770C" w:rsidRDefault="00DB45A6" w:rsidP="00A571D0">
            <w:pPr>
              <w:rPr>
                <w:sz w:val="28"/>
                <w:szCs w:val="28"/>
              </w:rPr>
            </w:pPr>
            <w:r w:rsidRPr="0047770C">
              <w:rPr>
                <w:sz w:val="28"/>
                <w:szCs w:val="28"/>
              </w:rPr>
              <w:t>5.</w:t>
            </w:r>
          </w:p>
        </w:tc>
        <w:tc>
          <w:tcPr>
            <w:tcW w:w="1440" w:type="pct"/>
            <w:shd w:val="clear" w:color="auto" w:fill="auto"/>
          </w:tcPr>
          <w:p w:rsidR="00DB45A6" w:rsidRPr="0047770C" w:rsidRDefault="00DB45A6" w:rsidP="00A571D0">
            <w:pPr>
              <w:rPr>
                <w:sz w:val="28"/>
                <w:szCs w:val="28"/>
              </w:rPr>
            </w:pPr>
            <w:r w:rsidRPr="0047770C">
              <w:rPr>
                <w:sz w:val="28"/>
                <w:szCs w:val="28"/>
              </w:rPr>
              <w:t>Projekta izstrādē iesaistītās institūcijas</w:t>
            </w:r>
          </w:p>
        </w:tc>
        <w:tc>
          <w:tcPr>
            <w:tcW w:w="3331" w:type="pct"/>
            <w:shd w:val="clear" w:color="auto" w:fill="auto"/>
          </w:tcPr>
          <w:p w:rsidR="00DB45A6" w:rsidRPr="0047770C" w:rsidRDefault="00DB45A6" w:rsidP="00A571D0">
            <w:pPr>
              <w:spacing w:after="120"/>
              <w:jc w:val="both"/>
              <w:rPr>
                <w:sz w:val="28"/>
                <w:szCs w:val="28"/>
              </w:rPr>
            </w:pPr>
            <w:r w:rsidRPr="0047770C">
              <w:rPr>
                <w:sz w:val="28"/>
                <w:szCs w:val="28"/>
              </w:rPr>
              <w:t>Projekts šo jomu neskar.</w:t>
            </w:r>
          </w:p>
        </w:tc>
      </w:tr>
      <w:tr w:rsidR="00DB45A6" w:rsidRPr="0047770C" w:rsidTr="007920E3">
        <w:tc>
          <w:tcPr>
            <w:tcW w:w="229" w:type="pct"/>
            <w:shd w:val="clear" w:color="auto" w:fill="auto"/>
          </w:tcPr>
          <w:p w:rsidR="00DB45A6" w:rsidRPr="0047770C" w:rsidRDefault="00DB45A6" w:rsidP="00A571D0">
            <w:pPr>
              <w:rPr>
                <w:sz w:val="28"/>
                <w:szCs w:val="28"/>
              </w:rPr>
            </w:pPr>
            <w:r w:rsidRPr="0047770C">
              <w:rPr>
                <w:sz w:val="28"/>
                <w:szCs w:val="28"/>
              </w:rPr>
              <w:t>6.</w:t>
            </w:r>
          </w:p>
        </w:tc>
        <w:tc>
          <w:tcPr>
            <w:tcW w:w="1440" w:type="pct"/>
            <w:shd w:val="clear" w:color="auto" w:fill="auto"/>
          </w:tcPr>
          <w:p w:rsidR="00DB45A6" w:rsidRPr="0047770C" w:rsidRDefault="00DB45A6" w:rsidP="00A571D0">
            <w:pPr>
              <w:rPr>
                <w:sz w:val="28"/>
                <w:szCs w:val="28"/>
              </w:rPr>
            </w:pPr>
            <w:r w:rsidRPr="0047770C">
              <w:rPr>
                <w:sz w:val="28"/>
                <w:szCs w:val="28"/>
              </w:rPr>
              <w:t>Iemesli, kādēļ netika nodrošināta sabiedrības līdzdalība</w:t>
            </w:r>
          </w:p>
        </w:tc>
        <w:tc>
          <w:tcPr>
            <w:tcW w:w="3331" w:type="pct"/>
            <w:shd w:val="clear" w:color="auto" w:fill="auto"/>
          </w:tcPr>
          <w:p w:rsidR="00DB45A6" w:rsidRPr="0047770C" w:rsidRDefault="00DB45A6" w:rsidP="00A571D0">
            <w:pPr>
              <w:spacing w:after="120"/>
              <w:jc w:val="both"/>
              <w:rPr>
                <w:sz w:val="28"/>
                <w:szCs w:val="28"/>
              </w:rPr>
            </w:pPr>
            <w:r w:rsidRPr="0047770C">
              <w:rPr>
                <w:sz w:val="28"/>
                <w:szCs w:val="28"/>
              </w:rPr>
              <w:t>Sabiedrības līdzdalība projekta izstrādē netika nodrošināta, jo projekts nemaina pastāvošo tiesisko regulējumu pēc būtības.</w:t>
            </w:r>
          </w:p>
        </w:tc>
      </w:tr>
      <w:tr w:rsidR="00DB45A6" w:rsidRPr="0047770C" w:rsidTr="007920E3">
        <w:tc>
          <w:tcPr>
            <w:tcW w:w="229" w:type="pct"/>
            <w:shd w:val="clear" w:color="auto" w:fill="auto"/>
          </w:tcPr>
          <w:p w:rsidR="00DB45A6" w:rsidRPr="0047770C" w:rsidRDefault="00DB45A6" w:rsidP="00A571D0">
            <w:pPr>
              <w:rPr>
                <w:sz w:val="28"/>
                <w:szCs w:val="28"/>
              </w:rPr>
            </w:pPr>
            <w:r w:rsidRPr="0047770C">
              <w:rPr>
                <w:sz w:val="28"/>
                <w:szCs w:val="28"/>
              </w:rPr>
              <w:lastRenderedPageBreak/>
              <w:t xml:space="preserve">7. </w:t>
            </w:r>
          </w:p>
        </w:tc>
        <w:tc>
          <w:tcPr>
            <w:tcW w:w="1440" w:type="pct"/>
            <w:shd w:val="clear" w:color="auto" w:fill="auto"/>
          </w:tcPr>
          <w:p w:rsidR="00DB45A6" w:rsidRPr="0047770C" w:rsidRDefault="00DB45A6" w:rsidP="00A571D0">
            <w:pPr>
              <w:rPr>
                <w:sz w:val="28"/>
                <w:szCs w:val="28"/>
              </w:rPr>
            </w:pPr>
            <w:r w:rsidRPr="0047770C">
              <w:rPr>
                <w:sz w:val="28"/>
                <w:szCs w:val="28"/>
              </w:rPr>
              <w:t>Cita informācija</w:t>
            </w:r>
          </w:p>
        </w:tc>
        <w:tc>
          <w:tcPr>
            <w:tcW w:w="3331" w:type="pct"/>
            <w:shd w:val="clear" w:color="auto" w:fill="auto"/>
          </w:tcPr>
          <w:p w:rsidR="00DB45A6" w:rsidRPr="0047770C" w:rsidRDefault="007920E3" w:rsidP="00A571D0">
            <w:pPr>
              <w:tabs>
                <w:tab w:val="left" w:pos="5279"/>
              </w:tabs>
              <w:ind w:left="34" w:right="31"/>
              <w:jc w:val="both"/>
              <w:rPr>
                <w:sz w:val="28"/>
                <w:szCs w:val="28"/>
                <w:highlight w:val="yellow"/>
              </w:rPr>
            </w:pPr>
            <w:r w:rsidRPr="007920E3">
              <w:rPr>
                <w:color w:val="000000"/>
                <w:sz w:val="28"/>
                <w:szCs w:val="28"/>
              </w:rPr>
              <w:t xml:space="preserve">Nav </w:t>
            </w:r>
          </w:p>
        </w:tc>
      </w:tr>
    </w:tbl>
    <w:p w:rsidR="00DB45A6" w:rsidRDefault="00DB45A6" w:rsidP="00DB45A6">
      <w:pPr>
        <w:spacing w:after="200" w:line="276" w:lineRule="auto"/>
        <w:rPr>
          <w:sz w:val="28"/>
          <w:szCs w:val="28"/>
        </w:rPr>
      </w:pPr>
    </w:p>
    <w:p w:rsidR="00DB45A6" w:rsidRPr="00BA5E65" w:rsidRDefault="00DB45A6" w:rsidP="00DB45A6">
      <w:pPr>
        <w:rPr>
          <w:sz w:val="28"/>
          <w:szCs w:val="28"/>
        </w:rPr>
      </w:pPr>
      <w:r w:rsidRPr="00BA5E65">
        <w:rPr>
          <w:sz w:val="28"/>
          <w:szCs w:val="28"/>
        </w:rPr>
        <w:t>Anotācijas</w:t>
      </w:r>
      <w:r>
        <w:rPr>
          <w:sz w:val="28"/>
          <w:szCs w:val="28"/>
        </w:rPr>
        <w:t xml:space="preserve"> II, </w:t>
      </w:r>
      <w:r w:rsidRPr="00BA5E65">
        <w:rPr>
          <w:sz w:val="28"/>
          <w:szCs w:val="28"/>
        </w:rPr>
        <w:t>III, IV, V</w:t>
      </w:r>
      <w:r>
        <w:rPr>
          <w:sz w:val="28"/>
          <w:szCs w:val="28"/>
        </w:rPr>
        <w:t xml:space="preserve">, </w:t>
      </w:r>
      <w:r w:rsidRPr="00BA5E65">
        <w:rPr>
          <w:sz w:val="28"/>
          <w:szCs w:val="28"/>
        </w:rPr>
        <w:t>VI</w:t>
      </w:r>
      <w:r>
        <w:rPr>
          <w:sz w:val="28"/>
          <w:szCs w:val="28"/>
        </w:rPr>
        <w:t xml:space="preserve"> un VII</w:t>
      </w:r>
      <w:r w:rsidRPr="00BA5E65">
        <w:rPr>
          <w:sz w:val="28"/>
          <w:szCs w:val="28"/>
        </w:rPr>
        <w:t xml:space="preserve"> sadaļa –projekts šīs jomas neskar. </w:t>
      </w:r>
    </w:p>
    <w:p w:rsidR="00DB45A6" w:rsidRPr="0047770C" w:rsidRDefault="00DB45A6" w:rsidP="00DB45A6">
      <w:pPr>
        <w:jc w:val="center"/>
        <w:rPr>
          <w:sz w:val="28"/>
          <w:szCs w:val="28"/>
        </w:rPr>
      </w:pPr>
    </w:p>
    <w:p w:rsidR="00DB45A6" w:rsidRDefault="00DB45A6" w:rsidP="00DB45A6">
      <w:pPr>
        <w:rPr>
          <w:sz w:val="28"/>
          <w:szCs w:val="28"/>
        </w:rPr>
      </w:pPr>
    </w:p>
    <w:p w:rsidR="00DB45A6" w:rsidRPr="0047770C" w:rsidRDefault="00DB45A6" w:rsidP="00DB45A6">
      <w:pPr>
        <w:rPr>
          <w:sz w:val="28"/>
          <w:szCs w:val="28"/>
        </w:rPr>
      </w:pPr>
    </w:p>
    <w:p w:rsidR="00DB45A6" w:rsidRPr="0047770C" w:rsidRDefault="00DB45A6" w:rsidP="00DB45A6">
      <w:pPr>
        <w:rPr>
          <w:sz w:val="28"/>
          <w:szCs w:val="28"/>
        </w:rPr>
      </w:pPr>
      <w:r w:rsidRPr="0047770C">
        <w:rPr>
          <w:sz w:val="28"/>
          <w:szCs w:val="28"/>
        </w:rPr>
        <w:t>Labklājības ministre</w:t>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proofErr w:type="spellStart"/>
      <w:r w:rsidRPr="0047770C">
        <w:rPr>
          <w:sz w:val="28"/>
          <w:szCs w:val="28"/>
        </w:rPr>
        <w:t>I.Viņķele</w:t>
      </w:r>
      <w:proofErr w:type="spellEnd"/>
    </w:p>
    <w:p w:rsidR="00DB45A6" w:rsidRPr="0047770C" w:rsidRDefault="00DB45A6" w:rsidP="00DB45A6">
      <w:pPr>
        <w:rPr>
          <w:sz w:val="28"/>
          <w:szCs w:val="28"/>
        </w:rPr>
      </w:pPr>
    </w:p>
    <w:p w:rsidR="00DB45A6" w:rsidRPr="005D33D5" w:rsidRDefault="00DB45A6" w:rsidP="00DB45A6">
      <w:pPr>
        <w:pStyle w:val="Footer"/>
        <w:rPr>
          <w:sz w:val="24"/>
          <w:szCs w:val="24"/>
        </w:rPr>
      </w:pPr>
    </w:p>
    <w:p w:rsidR="003A70CE" w:rsidRDefault="003A70CE" w:rsidP="00DB45A6">
      <w:pPr>
        <w:rPr>
          <w:snapToGrid w:val="0"/>
          <w:sz w:val="24"/>
          <w:szCs w:val="24"/>
        </w:rPr>
      </w:pPr>
      <w:r>
        <w:rPr>
          <w:snapToGrid w:val="0"/>
          <w:sz w:val="24"/>
          <w:szCs w:val="24"/>
        </w:rPr>
        <w:t>27.06.2013 16:11</w:t>
      </w:r>
    </w:p>
    <w:p w:rsidR="00DB45A6" w:rsidRPr="005D33D5" w:rsidRDefault="00DB45A6" w:rsidP="00DB45A6">
      <w:pPr>
        <w:rPr>
          <w:sz w:val="24"/>
          <w:szCs w:val="24"/>
        </w:rPr>
      </w:pPr>
      <w:bookmarkStart w:id="0" w:name="_GoBack"/>
      <w:bookmarkEnd w:id="0"/>
      <w:r>
        <w:rPr>
          <w:sz w:val="24"/>
          <w:szCs w:val="24"/>
        </w:rPr>
        <w:t>2</w:t>
      </w:r>
      <w:r w:rsidR="007920E3">
        <w:rPr>
          <w:sz w:val="24"/>
          <w:szCs w:val="24"/>
        </w:rPr>
        <w:t>65</w:t>
      </w:r>
    </w:p>
    <w:p w:rsidR="00DB45A6" w:rsidRPr="005D33D5" w:rsidRDefault="00DB45A6" w:rsidP="00DB45A6">
      <w:pPr>
        <w:rPr>
          <w:sz w:val="24"/>
          <w:szCs w:val="24"/>
        </w:rPr>
      </w:pPr>
      <w:r>
        <w:rPr>
          <w:sz w:val="24"/>
          <w:szCs w:val="24"/>
        </w:rPr>
        <w:t>I</w:t>
      </w:r>
      <w:r w:rsidRPr="005D33D5">
        <w:rPr>
          <w:sz w:val="24"/>
          <w:szCs w:val="24"/>
        </w:rPr>
        <w:t>.</w:t>
      </w:r>
      <w:r>
        <w:rPr>
          <w:sz w:val="24"/>
          <w:szCs w:val="24"/>
        </w:rPr>
        <w:t>Upīte</w:t>
      </w:r>
      <w:r w:rsidRPr="005D33D5">
        <w:rPr>
          <w:sz w:val="24"/>
          <w:szCs w:val="24"/>
        </w:rPr>
        <w:t>, 67021</w:t>
      </w:r>
      <w:r>
        <w:rPr>
          <w:sz w:val="24"/>
          <w:szCs w:val="24"/>
        </w:rPr>
        <w:t>556</w:t>
      </w:r>
    </w:p>
    <w:p w:rsidR="00DB45A6" w:rsidRPr="005D33D5" w:rsidRDefault="003A70CE" w:rsidP="00DB45A6">
      <w:pPr>
        <w:rPr>
          <w:i/>
          <w:sz w:val="24"/>
          <w:szCs w:val="24"/>
        </w:rPr>
      </w:pPr>
      <w:hyperlink r:id="rId7" w:history="1">
        <w:r w:rsidR="00DB45A6" w:rsidRPr="00D93D5B">
          <w:rPr>
            <w:rStyle w:val="Hyperlink"/>
            <w:sz w:val="24"/>
            <w:szCs w:val="24"/>
          </w:rPr>
          <w:t>Inese.Upite@lm.gov.lv</w:t>
        </w:r>
      </w:hyperlink>
    </w:p>
    <w:p w:rsidR="00502F3F" w:rsidRDefault="00502F3F"/>
    <w:sectPr w:rsidR="00502F3F">
      <w:headerReference w:type="even" r:id="rId8"/>
      <w:headerReference w:type="default" r:id="rId9"/>
      <w:footerReference w:type="even" r:id="rId10"/>
      <w:footerReference w:type="default" r:id="rId11"/>
      <w:footerReference w:type="first" r:id="rId12"/>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AB" w:rsidRDefault="00A771C5">
      <w:r>
        <w:separator/>
      </w:r>
    </w:p>
  </w:endnote>
  <w:endnote w:type="continuationSeparator" w:id="0">
    <w:p w:rsidR="00CE03AB" w:rsidRDefault="00A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3A7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C5" w:rsidRPr="00A771C5" w:rsidRDefault="00A771C5" w:rsidP="00A771C5">
    <w:pPr>
      <w:jc w:val="both"/>
    </w:pPr>
    <w:r w:rsidRPr="00A771C5">
      <w:t>LManot_</w:t>
    </w:r>
    <w:r w:rsidR="00A26D80">
      <w:t>27</w:t>
    </w:r>
    <w:r w:rsidR="007920E3">
      <w:t>06</w:t>
    </w:r>
    <w:r w:rsidRPr="00A771C5">
      <w:t>13_prok;</w:t>
    </w:r>
    <w:r w:rsidRPr="00A771C5">
      <w:rPr>
        <w:rFonts w:eastAsia="Calibri"/>
        <w:lang w:eastAsia="en-US"/>
      </w:rPr>
      <w:t xml:space="preserve"> </w:t>
    </w:r>
    <w:r w:rsidR="00A26D80">
      <w:t>Grozījums</w:t>
    </w:r>
    <w:r w:rsidRPr="00A771C5">
      <w:t xml:space="preserve"> Ministru kabineta 2010.gada 21.decembra noteikumosNr.1158 „Kārtība, kādā piešķir un izmaksā prokuroru izdienas pensijas”</w:t>
    </w:r>
  </w:p>
  <w:p w:rsidR="00A771C5" w:rsidRPr="00A771C5" w:rsidRDefault="00A771C5" w:rsidP="00A771C5">
    <w:pPr>
      <w:jc w:val="both"/>
      <w:rPr>
        <w:lang w:eastAsia="en-US"/>
      </w:rPr>
    </w:pPr>
  </w:p>
  <w:p w:rsidR="00D07E1A" w:rsidRDefault="003A7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C5" w:rsidRPr="00A771C5" w:rsidRDefault="00A771C5" w:rsidP="00A771C5">
    <w:pPr>
      <w:jc w:val="both"/>
    </w:pPr>
    <w:r w:rsidRPr="00A771C5">
      <w:t>LManot_</w:t>
    </w:r>
    <w:r w:rsidR="00A26D80">
      <w:t>27</w:t>
    </w:r>
    <w:r w:rsidR="007920E3">
      <w:t>06</w:t>
    </w:r>
    <w:r w:rsidRPr="00A771C5">
      <w:t>13_prok;</w:t>
    </w:r>
    <w:r w:rsidRPr="00A771C5">
      <w:rPr>
        <w:rFonts w:eastAsia="Calibri"/>
        <w:lang w:eastAsia="en-US"/>
      </w:rPr>
      <w:t xml:space="preserve"> </w:t>
    </w:r>
    <w:r w:rsidR="00A26D80">
      <w:t>Grozījums</w:t>
    </w:r>
    <w:r w:rsidRPr="00A771C5">
      <w:t xml:space="preserve"> Ministru kabineta 2010.gada 21.decembra noteikumosNr.1158 „Kārtība, kādā piešķir un izmaksā prokuroru izdienas pensijas”</w:t>
    </w:r>
  </w:p>
  <w:p w:rsidR="00A771C5" w:rsidRPr="00A771C5" w:rsidRDefault="00A771C5" w:rsidP="00A771C5">
    <w:pPr>
      <w:jc w:val="both"/>
      <w:rPr>
        <w:lang w:eastAsia="en-US"/>
      </w:rPr>
    </w:pPr>
  </w:p>
  <w:p w:rsidR="00D07E1A" w:rsidRPr="00A771C5" w:rsidRDefault="003A70CE" w:rsidP="00A7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AB" w:rsidRDefault="00A771C5">
      <w:r>
        <w:separator/>
      </w:r>
    </w:p>
  </w:footnote>
  <w:footnote w:type="continuationSeparator" w:id="0">
    <w:p w:rsidR="00CE03AB" w:rsidRDefault="00A7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3A7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3A70CE">
      <w:rPr>
        <w:rStyle w:val="PageNumber"/>
        <w:noProof/>
        <w:sz w:val="24"/>
      </w:rPr>
      <w:t>2</w:t>
    </w:r>
    <w:r>
      <w:rPr>
        <w:rStyle w:val="PageNumber"/>
        <w:sz w:val="24"/>
      </w:rPr>
      <w:fldChar w:fldCharType="end"/>
    </w:r>
  </w:p>
  <w:p w:rsidR="00D07E1A" w:rsidRDefault="003A7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6"/>
    <w:rsid w:val="000650ED"/>
    <w:rsid w:val="0033264E"/>
    <w:rsid w:val="00381E21"/>
    <w:rsid w:val="003A70CE"/>
    <w:rsid w:val="003D0B4A"/>
    <w:rsid w:val="00502F3F"/>
    <w:rsid w:val="00535586"/>
    <w:rsid w:val="007920E3"/>
    <w:rsid w:val="00831338"/>
    <w:rsid w:val="008F49EA"/>
    <w:rsid w:val="009331A6"/>
    <w:rsid w:val="00A26D80"/>
    <w:rsid w:val="00A771C5"/>
    <w:rsid w:val="00CE03AB"/>
    <w:rsid w:val="00DB45A6"/>
    <w:rsid w:val="00F16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Upite@lm.gov.lv"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2010.gada 21.decembra noteikumosNr.1158 „Kārtība, kādā piešķir un izmaksā prokuroru izdienas pensijas”</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21.decembra noteikumosNr.1158 „Kārtība, kādā piešķir un izmaksā prokuroru izdienas pensijas”</dc:title>
  <dc:creator>Inese Upite;inese.upite@lm.gov.lv;67021556</dc:creator>
  <cp:keywords>anotācija</cp:keywords>
  <cp:lastModifiedBy>Inese Upite</cp:lastModifiedBy>
  <cp:revision>6</cp:revision>
  <dcterms:created xsi:type="dcterms:W3CDTF">2013-06-27T10:40:00Z</dcterms:created>
  <dcterms:modified xsi:type="dcterms:W3CDTF">2013-06-27T13:11:00Z</dcterms:modified>
</cp:coreProperties>
</file>