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D3" w:rsidRDefault="004137D3" w:rsidP="004137D3">
      <w:pPr>
        <w:pStyle w:val="Title"/>
        <w:jc w:val="left"/>
        <w:rPr>
          <w:b w:val="0"/>
          <w:sz w:val="26"/>
          <w:szCs w:val="26"/>
        </w:rPr>
      </w:pPr>
      <w:bookmarkStart w:id="0" w:name="_GoBack"/>
      <w:bookmarkEnd w:id="0"/>
      <w:r>
        <w:rPr>
          <w:b w:val="0"/>
          <w:sz w:val="26"/>
          <w:szCs w:val="26"/>
        </w:rPr>
        <w:t>Budžeta un finanšu (nodokļu) komisija</w:t>
      </w:r>
    </w:p>
    <w:p w:rsidR="004137D3" w:rsidRDefault="004137D3" w:rsidP="004137D3">
      <w:pPr>
        <w:pStyle w:val="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Likumprojekts </w:t>
      </w:r>
      <w:r w:rsidR="005A5DFF">
        <w:rPr>
          <w:b w:val="0"/>
          <w:sz w:val="26"/>
          <w:szCs w:val="26"/>
        </w:rPr>
        <w:t xml:space="preserve">(steidzams) </w:t>
      </w:r>
      <w:r>
        <w:rPr>
          <w:b w:val="0"/>
          <w:sz w:val="26"/>
          <w:szCs w:val="26"/>
        </w:rPr>
        <w:t>otrajam lasījumam</w:t>
      </w:r>
    </w:p>
    <w:p w:rsidR="001B01A3" w:rsidRPr="001C6DD3" w:rsidRDefault="00CE14FE" w:rsidP="001B01A3">
      <w:pPr>
        <w:jc w:val="center"/>
        <w:rPr>
          <w:sz w:val="26"/>
          <w:szCs w:val="26"/>
          <w:lang w:val="lv-LV"/>
        </w:rPr>
      </w:pPr>
      <w:r w:rsidRPr="00CE14FE">
        <w:rPr>
          <w:b/>
          <w:sz w:val="26"/>
          <w:szCs w:val="26"/>
          <w:lang w:val="lv-LV"/>
        </w:rPr>
        <w:t>Grozījumi likumā "Par palīdzību dzīvokļa jautājumu risināšanā"</w:t>
      </w:r>
      <w:r w:rsidR="00FF3585" w:rsidRPr="001C6DD3">
        <w:rPr>
          <w:sz w:val="26"/>
          <w:szCs w:val="26"/>
          <w:lang w:val="lv-LV"/>
        </w:rPr>
        <w:t xml:space="preserve"> </w:t>
      </w:r>
      <w:r w:rsidR="004A7DE9" w:rsidRPr="001C6DD3">
        <w:rPr>
          <w:sz w:val="26"/>
          <w:szCs w:val="26"/>
          <w:lang w:val="lv-LV"/>
        </w:rPr>
        <w:t>(Nr</w:t>
      </w:r>
      <w:r>
        <w:rPr>
          <w:sz w:val="26"/>
          <w:szCs w:val="26"/>
          <w:lang w:val="lv-LV"/>
        </w:rPr>
        <w:t>.938</w:t>
      </w:r>
      <w:r w:rsidR="001B01A3" w:rsidRPr="001C6DD3">
        <w:rPr>
          <w:sz w:val="26"/>
          <w:szCs w:val="26"/>
          <w:lang w:val="lv-LV"/>
        </w:rPr>
        <w:t>/Lp</w:t>
      </w:r>
      <w:r w:rsidR="00843EE9" w:rsidRPr="001C6DD3">
        <w:rPr>
          <w:sz w:val="26"/>
          <w:szCs w:val="26"/>
          <w:lang w:val="lv-LV"/>
        </w:rPr>
        <w:t>1</w:t>
      </w:r>
      <w:r w:rsidR="001C6DD3" w:rsidRPr="001C6DD3">
        <w:rPr>
          <w:sz w:val="26"/>
          <w:szCs w:val="26"/>
          <w:lang w:val="lv-LV"/>
        </w:rPr>
        <w:t>1</w:t>
      </w:r>
      <w:r w:rsidR="001B01A3" w:rsidRPr="001C6DD3">
        <w:rPr>
          <w:sz w:val="26"/>
          <w:szCs w:val="26"/>
          <w:lang w:val="lv-LV"/>
        </w:rPr>
        <w:t>)</w:t>
      </w:r>
    </w:p>
    <w:p w:rsidR="004137D3" w:rsidRDefault="004137D3" w:rsidP="002B2358">
      <w:pPr>
        <w:pStyle w:val="Title"/>
        <w:jc w:val="left"/>
        <w:rPr>
          <w:sz w:val="26"/>
          <w:szCs w:val="26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271"/>
        <w:gridCol w:w="558"/>
        <w:gridCol w:w="3872"/>
        <w:gridCol w:w="1424"/>
        <w:gridCol w:w="1424"/>
      </w:tblGrid>
      <w:tr w:rsidR="004137D3" w:rsidTr="009E0FF5">
        <w:tc>
          <w:tcPr>
            <w:tcW w:w="3227" w:type="dxa"/>
          </w:tcPr>
          <w:p w:rsidR="004137D3" w:rsidRDefault="004137D3" w:rsidP="00063C85">
            <w:pPr>
              <w:jc w:val="center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 xml:space="preserve">Spēkā esošā </w:t>
            </w:r>
            <w:r w:rsidR="0033195D">
              <w:rPr>
                <w:b/>
                <w:bCs/>
                <w:iCs/>
                <w:lang w:val="lv-LV"/>
              </w:rPr>
              <w:t xml:space="preserve">likuma </w:t>
            </w:r>
            <w:r>
              <w:rPr>
                <w:b/>
                <w:bCs/>
                <w:iCs/>
                <w:lang w:val="lv-LV"/>
              </w:rPr>
              <w:t>redakcija</w:t>
            </w:r>
          </w:p>
        </w:tc>
        <w:tc>
          <w:tcPr>
            <w:tcW w:w="4253" w:type="dxa"/>
          </w:tcPr>
          <w:p w:rsidR="004137D3" w:rsidRDefault="004137D3" w:rsidP="004137D3">
            <w:pPr>
              <w:pStyle w:val="Heading1"/>
            </w:pPr>
            <w:r>
              <w:t>Pirmā lasījuma redakcija</w:t>
            </w:r>
          </w:p>
        </w:tc>
        <w:tc>
          <w:tcPr>
            <w:tcW w:w="556" w:type="dxa"/>
          </w:tcPr>
          <w:p w:rsidR="004137D3" w:rsidRPr="001C14B1" w:rsidRDefault="004137D3" w:rsidP="001C14B1">
            <w:pPr>
              <w:jc w:val="center"/>
              <w:rPr>
                <w:b/>
                <w:bCs/>
                <w:iCs/>
                <w:lang w:val="lv-LV"/>
              </w:rPr>
            </w:pPr>
            <w:proofErr w:type="spellStart"/>
            <w:r w:rsidRPr="001C14B1">
              <w:rPr>
                <w:b/>
                <w:bCs/>
                <w:iCs/>
                <w:lang w:val="lv-LV"/>
              </w:rPr>
              <w:t>Nr</w:t>
            </w:r>
            <w:proofErr w:type="spellEnd"/>
            <w:r w:rsidRPr="001C14B1">
              <w:rPr>
                <w:b/>
                <w:bCs/>
                <w:iCs/>
                <w:lang w:val="lv-LV"/>
              </w:rPr>
              <w:t>.</w:t>
            </w:r>
          </w:p>
        </w:tc>
        <w:tc>
          <w:tcPr>
            <w:tcW w:w="3856" w:type="dxa"/>
          </w:tcPr>
          <w:p w:rsidR="004137D3" w:rsidRDefault="004137D3" w:rsidP="004137D3">
            <w:pPr>
              <w:ind w:firstLine="10"/>
              <w:jc w:val="center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Priekšlikumi</w:t>
            </w:r>
          </w:p>
          <w:p w:rsidR="004137D3" w:rsidRDefault="001B01A3" w:rsidP="00F85D4D">
            <w:pPr>
              <w:jc w:val="center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(</w:t>
            </w:r>
            <w:r w:rsidR="005152D5">
              <w:rPr>
                <w:b/>
                <w:bCs/>
                <w:iCs/>
                <w:lang w:val="lv-LV"/>
              </w:rPr>
              <w:t>4</w:t>
            </w:r>
            <w:r w:rsidR="00E0539F">
              <w:rPr>
                <w:b/>
                <w:bCs/>
                <w:iCs/>
                <w:lang w:val="lv-LV"/>
              </w:rPr>
              <w:t>)</w:t>
            </w:r>
          </w:p>
        </w:tc>
        <w:tc>
          <w:tcPr>
            <w:tcW w:w="1418" w:type="dxa"/>
          </w:tcPr>
          <w:p w:rsidR="004137D3" w:rsidRDefault="004137D3" w:rsidP="004137D3">
            <w:pPr>
              <w:jc w:val="center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Ministru kabineta atzinums</w:t>
            </w:r>
          </w:p>
        </w:tc>
        <w:tc>
          <w:tcPr>
            <w:tcW w:w="1418" w:type="dxa"/>
          </w:tcPr>
          <w:p w:rsidR="004137D3" w:rsidRDefault="004137D3" w:rsidP="004137D3">
            <w:pPr>
              <w:jc w:val="center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Komisijas atzinums</w:t>
            </w:r>
          </w:p>
        </w:tc>
      </w:tr>
      <w:tr w:rsidR="004137D3" w:rsidRPr="003849F5" w:rsidTr="009E0FF5">
        <w:tc>
          <w:tcPr>
            <w:tcW w:w="3227" w:type="dxa"/>
          </w:tcPr>
          <w:p w:rsidR="004C3651" w:rsidRPr="00452ECC" w:rsidRDefault="004C3651" w:rsidP="0033658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253" w:type="dxa"/>
          </w:tcPr>
          <w:p w:rsidR="004839D7" w:rsidRPr="006B5019" w:rsidRDefault="005901BE" w:rsidP="0033658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  <w:r w:rsidRPr="005901BE">
              <w:rPr>
                <w:sz w:val="22"/>
                <w:szCs w:val="22"/>
                <w:lang w:val="lv-LV"/>
              </w:rPr>
              <w:t>Izdarīt likumā "Par palīdzību dzīvokļa jautājumu risināšanā" (Latvijas Republikas Saeimas un Ministru Kabineta Ziņotājs, 2002, 2.nr.; 2003, 20.nr.; 2005, 9.nr.; 2007, 12., 24.nr.; 2009, 12.nr.; Latvijas Vēstnesis, 2009, 196.nr.; 2010, 157.nr.) šādus grozījumus:</w:t>
            </w:r>
          </w:p>
        </w:tc>
        <w:tc>
          <w:tcPr>
            <w:tcW w:w="556" w:type="dxa"/>
          </w:tcPr>
          <w:p w:rsidR="004137D3" w:rsidRPr="006F0875" w:rsidRDefault="004137D3" w:rsidP="0033658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856" w:type="dxa"/>
          </w:tcPr>
          <w:p w:rsidR="004137D3" w:rsidRPr="00E24DFD" w:rsidRDefault="004137D3" w:rsidP="0033658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4137D3" w:rsidRPr="00E24DFD" w:rsidRDefault="004137D3" w:rsidP="0033658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4137D3" w:rsidRPr="00E24DFD" w:rsidRDefault="004137D3" w:rsidP="0033658E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AD03E9" w:rsidRPr="003849F5" w:rsidTr="009E0FF5">
        <w:tc>
          <w:tcPr>
            <w:tcW w:w="3227" w:type="dxa"/>
          </w:tcPr>
          <w:p w:rsidR="00AD03E9" w:rsidRPr="00E24DFD" w:rsidRDefault="00AD03E9" w:rsidP="0033658E">
            <w:pPr>
              <w:ind w:firstLine="454"/>
              <w:jc w:val="both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4253" w:type="dxa"/>
          </w:tcPr>
          <w:p w:rsidR="005901BE" w:rsidRPr="005901BE" w:rsidRDefault="005901BE" w:rsidP="005901B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  <w:r w:rsidRPr="005901BE">
              <w:rPr>
                <w:sz w:val="22"/>
                <w:szCs w:val="22"/>
                <w:lang w:val="lv-LV"/>
              </w:rPr>
              <w:t>Papildināt likumu ar 25.</w:t>
            </w:r>
            <w:r w:rsidRPr="005901BE">
              <w:rPr>
                <w:sz w:val="22"/>
                <w:szCs w:val="22"/>
                <w:vertAlign w:val="superscript"/>
                <w:lang w:val="lv-LV"/>
              </w:rPr>
              <w:t>1</w:t>
            </w:r>
            <w:r w:rsidRPr="005901BE">
              <w:rPr>
                <w:sz w:val="22"/>
                <w:szCs w:val="22"/>
                <w:lang w:val="lv-LV"/>
              </w:rPr>
              <w:t xml:space="preserve"> pantu šādā redakcijā: </w:t>
            </w:r>
          </w:p>
          <w:p w:rsidR="005901BE" w:rsidRPr="005901BE" w:rsidRDefault="005901BE" w:rsidP="005901B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  <w:r w:rsidRPr="005901BE">
              <w:rPr>
                <w:sz w:val="22"/>
                <w:szCs w:val="22"/>
                <w:lang w:val="lv-LV"/>
              </w:rPr>
              <w:t>"</w:t>
            </w:r>
            <w:r w:rsidRPr="005901BE">
              <w:rPr>
                <w:b/>
                <w:sz w:val="22"/>
                <w:szCs w:val="22"/>
                <w:lang w:val="lv-LV"/>
              </w:rPr>
              <w:t>25.</w:t>
            </w:r>
            <w:r w:rsidRPr="005901BE">
              <w:rPr>
                <w:b/>
                <w:sz w:val="22"/>
                <w:szCs w:val="22"/>
                <w:vertAlign w:val="superscript"/>
                <w:lang w:val="lv-LV"/>
              </w:rPr>
              <w:t>1</w:t>
            </w:r>
            <w:r w:rsidRPr="005901BE">
              <w:rPr>
                <w:b/>
                <w:sz w:val="22"/>
                <w:szCs w:val="22"/>
                <w:lang w:val="lv-LV"/>
              </w:rPr>
              <w:t xml:space="preserve"> pants.</w:t>
            </w:r>
            <w:r w:rsidRPr="005901BE">
              <w:rPr>
                <w:sz w:val="22"/>
                <w:szCs w:val="22"/>
                <w:lang w:val="lv-LV"/>
              </w:rPr>
              <w:t xml:space="preserve"> Valsts palīdzība dzīvokļa pabalsta segšanai</w:t>
            </w:r>
          </w:p>
          <w:p w:rsidR="005901BE" w:rsidRPr="005901BE" w:rsidRDefault="005901BE" w:rsidP="005901B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  <w:r w:rsidRPr="005901BE">
              <w:rPr>
                <w:sz w:val="22"/>
                <w:szCs w:val="22"/>
                <w:lang w:val="lv-LV"/>
              </w:rPr>
              <w:t xml:space="preserve">(1) No 2014.gada 1.aprīļa līdz 2017.gada 31.decembrim valsts piešķir mērķdotāciju pašvaldībām Ministru kabineta noteiktajā </w:t>
            </w:r>
            <w:r w:rsidRPr="00803BAC">
              <w:rPr>
                <w:sz w:val="22"/>
                <w:szCs w:val="22"/>
                <w:u w:val="single"/>
                <w:lang w:val="lv-LV"/>
              </w:rPr>
              <w:t>apmērā un</w:t>
            </w:r>
            <w:r w:rsidRPr="005901BE">
              <w:rPr>
                <w:sz w:val="22"/>
                <w:szCs w:val="22"/>
                <w:lang w:val="lv-LV"/>
              </w:rPr>
              <w:t xml:space="preserve"> kārtībā dzīvokļa pabalsta izmaksu nodrošināšanai iedzīvotājiem atbilstoši gadskārtējā valsts budžeta likumā piešķirtajiem līdzekļiem.</w:t>
            </w:r>
          </w:p>
          <w:p w:rsidR="004839D7" w:rsidRPr="00313C96" w:rsidRDefault="005901BE" w:rsidP="005901B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  <w:r w:rsidRPr="005901BE">
              <w:rPr>
                <w:sz w:val="22"/>
                <w:szCs w:val="22"/>
                <w:lang w:val="lv-LV"/>
              </w:rPr>
              <w:t xml:space="preserve">(2) Šā panta pirmajā daļā paredzēto mērķdotāciju pašvaldībām valsts piešķir, veicot </w:t>
            </w:r>
            <w:proofErr w:type="spellStart"/>
            <w:r w:rsidRPr="005901BE">
              <w:rPr>
                <w:sz w:val="22"/>
                <w:szCs w:val="22"/>
                <w:lang w:val="lv-LV"/>
              </w:rPr>
              <w:t>līdzmaksājumu</w:t>
            </w:r>
            <w:proofErr w:type="spellEnd"/>
            <w:r w:rsidRPr="005901BE">
              <w:rPr>
                <w:sz w:val="22"/>
                <w:szCs w:val="22"/>
                <w:lang w:val="lv-LV"/>
              </w:rPr>
              <w:t xml:space="preserve"> par faktiskajiem izdevumiem dzīvokļa pabalsta izmaksu nodrošināšanai periodā no 2014.gada 1.aprīļa līdz 2017.gada 31.decembrim. Minēto mērķdotāciju nepiešķir par pašvaldību maksājumiem, kas veikti, lai nodrošinātu dzīvokļa pabalstu izmaksu pēc 2018.gada 1.janvāra."</w:t>
            </w:r>
          </w:p>
        </w:tc>
        <w:tc>
          <w:tcPr>
            <w:tcW w:w="556" w:type="dxa"/>
          </w:tcPr>
          <w:p w:rsidR="00AD03E9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</w:t>
            </w: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lastRenderedPageBreak/>
              <w:t>2</w:t>
            </w: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433E5" w:rsidRPr="005960AD" w:rsidRDefault="00B433E5" w:rsidP="00B433E5">
            <w:pPr>
              <w:tabs>
                <w:tab w:val="left" w:pos="340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856" w:type="dxa"/>
          </w:tcPr>
          <w:p w:rsidR="00AD03E9" w:rsidRPr="005901BE" w:rsidRDefault="005901BE" w:rsidP="005901BE">
            <w:pPr>
              <w:jc w:val="center"/>
              <w:rPr>
                <w:b/>
                <w:sz w:val="22"/>
                <w:szCs w:val="22"/>
                <w:u w:val="single"/>
                <w:lang w:val="lv-LV"/>
              </w:rPr>
            </w:pPr>
            <w:r w:rsidRPr="005901BE">
              <w:rPr>
                <w:b/>
                <w:sz w:val="22"/>
                <w:szCs w:val="22"/>
                <w:u w:val="single"/>
                <w:lang w:val="lv-LV"/>
              </w:rPr>
              <w:lastRenderedPageBreak/>
              <w:t>Juridiskais birojs</w:t>
            </w:r>
          </w:p>
          <w:p w:rsidR="005901BE" w:rsidRPr="005901BE" w:rsidRDefault="005901BE" w:rsidP="005901B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  <w:r w:rsidRPr="005901BE">
              <w:rPr>
                <w:sz w:val="22"/>
                <w:szCs w:val="22"/>
                <w:lang w:val="lv-LV"/>
              </w:rPr>
              <w:t>Izteikt likumprojektā paredzēto 25.</w:t>
            </w:r>
            <w:r w:rsidRPr="005901BE">
              <w:rPr>
                <w:sz w:val="22"/>
                <w:szCs w:val="22"/>
                <w:vertAlign w:val="superscript"/>
                <w:lang w:val="lv-LV"/>
              </w:rPr>
              <w:t>1</w:t>
            </w:r>
            <w:r w:rsidRPr="005901BE">
              <w:rPr>
                <w:sz w:val="22"/>
                <w:szCs w:val="22"/>
                <w:lang w:val="lv-LV"/>
              </w:rPr>
              <w:t xml:space="preserve"> pantu šādā redakcijā:</w:t>
            </w:r>
          </w:p>
          <w:p w:rsidR="005901BE" w:rsidRPr="005901BE" w:rsidRDefault="005901BE" w:rsidP="005901B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  <w:r w:rsidRPr="005901BE">
              <w:rPr>
                <w:sz w:val="22"/>
                <w:szCs w:val="22"/>
                <w:lang w:val="lv-LV"/>
              </w:rPr>
              <w:t>„</w:t>
            </w:r>
            <w:r w:rsidRPr="005901BE">
              <w:rPr>
                <w:b/>
                <w:sz w:val="22"/>
                <w:szCs w:val="22"/>
                <w:lang w:val="lv-LV"/>
              </w:rPr>
              <w:t>25.</w:t>
            </w:r>
            <w:r w:rsidRPr="005901BE">
              <w:rPr>
                <w:b/>
                <w:sz w:val="22"/>
                <w:szCs w:val="22"/>
                <w:vertAlign w:val="superscript"/>
                <w:lang w:val="lv-LV"/>
              </w:rPr>
              <w:t>1</w:t>
            </w:r>
            <w:r w:rsidRPr="005901BE">
              <w:rPr>
                <w:b/>
                <w:sz w:val="22"/>
                <w:szCs w:val="22"/>
                <w:lang w:val="lv-LV"/>
              </w:rPr>
              <w:t xml:space="preserve"> pants.</w:t>
            </w:r>
            <w:r w:rsidRPr="005901BE">
              <w:rPr>
                <w:sz w:val="22"/>
                <w:szCs w:val="22"/>
                <w:lang w:val="lv-LV"/>
              </w:rPr>
              <w:t xml:space="preserve"> Valsts piedalīšanās dzīvokļa pabalsta finansiālajā nodrošināšanā</w:t>
            </w:r>
          </w:p>
          <w:p w:rsidR="005901BE" w:rsidRPr="005901BE" w:rsidRDefault="005901BE" w:rsidP="005901B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  <w:r w:rsidRPr="005901BE">
              <w:rPr>
                <w:sz w:val="22"/>
                <w:szCs w:val="22"/>
                <w:lang w:val="lv-LV"/>
              </w:rPr>
              <w:t xml:space="preserve">(1) No 2014. gada 1. aprīļa līdz 2017. gada 31. decembrim valsts piešķir mērķdotāciju pašvaldībām </w:t>
            </w:r>
            <w:r w:rsidRPr="00803BAC">
              <w:rPr>
                <w:sz w:val="22"/>
                <w:szCs w:val="22"/>
                <w:u w:val="single"/>
                <w:lang w:val="lv-LV"/>
              </w:rPr>
              <w:t xml:space="preserve">dzīvokļa pabalsta izmaksu nodrošināšanai atbilstoši gadskārtējā valsts budžeta likumā paredzētajiem līdzekļiem. Mērķdotācija pašvaldībām tiek piešķirta, veicot </w:t>
            </w:r>
            <w:proofErr w:type="spellStart"/>
            <w:r w:rsidRPr="00803BAC">
              <w:rPr>
                <w:sz w:val="22"/>
                <w:szCs w:val="22"/>
                <w:u w:val="single"/>
                <w:lang w:val="lv-LV"/>
              </w:rPr>
              <w:t>līdzmaksājumu</w:t>
            </w:r>
            <w:proofErr w:type="spellEnd"/>
            <w:r w:rsidRPr="00803BAC">
              <w:rPr>
                <w:sz w:val="22"/>
                <w:szCs w:val="22"/>
                <w:u w:val="single"/>
                <w:lang w:val="lv-LV"/>
              </w:rPr>
              <w:t xml:space="preserve"> par tās faktiskajiem izdevumiem dzīvokļa pabalsta izmaksu nodrošināšanai.</w:t>
            </w:r>
          </w:p>
          <w:p w:rsidR="005901BE" w:rsidRDefault="005901BE" w:rsidP="005901B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  <w:r w:rsidRPr="005901BE">
              <w:rPr>
                <w:sz w:val="22"/>
                <w:szCs w:val="22"/>
                <w:lang w:val="lv-LV"/>
              </w:rPr>
              <w:t xml:space="preserve">(2) </w:t>
            </w:r>
            <w:r w:rsidRPr="007E4AA6">
              <w:rPr>
                <w:sz w:val="22"/>
                <w:szCs w:val="22"/>
                <w:u w:val="single"/>
                <w:lang w:val="lv-LV"/>
              </w:rPr>
              <w:t>Kārtību, kādā valsts piešķir pašvaldībām mērķdotāciju dzīvokļa pabalsta izmaksu nodrošināšanai nosaka Ministru kabinets.</w:t>
            </w:r>
            <w:r w:rsidRPr="005901BE">
              <w:rPr>
                <w:sz w:val="22"/>
                <w:szCs w:val="22"/>
                <w:lang w:val="lv-LV"/>
              </w:rPr>
              <w:t>”</w:t>
            </w:r>
          </w:p>
          <w:p w:rsidR="00803BAC" w:rsidRDefault="00803BAC" w:rsidP="005901B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</w:p>
          <w:p w:rsidR="00803BAC" w:rsidRPr="00803BAC" w:rsidRDefault="00803BAC" w:rsidP="00803BAC">
            <w:pPr>
              <w:jc w:val="both"/>
              <w:rPr>
                <w:b/>
                <w:sz w:val="22"/>
                <w:szCs w:val="22"/>
                <w:u w:val="single"/>
                <w:lang w:val="lv-LV"/>
              </w:rPr>
            </w:pPr>
            <w:r w:rsidRPr="00803BAC">
              <w:rPr>
                <w:b/>
                <w:sz w:val="22"/>
                <w:szCs w:val="22"/>
                <w:u w:val="single"/>
                <w:lang w:val="lv-LV"/>
              </w:rPr>
              <w:lastRenderedPageBreak/>
              <w:t>Valsts pārvaldes un pašvaldības komisija</w:t>
            </w:r>
          </w:p>
          <w:p w:rsidR="00803BAC" w:rsidRDefault="00803BAC" w:rsidP="005901B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  <w:r w:rsidRPr="00803BAC">
              <w:rPr>
                <w:sz w:val="22"/>
                <w:szCs w:val="22"/>
                <w:lang w:val="lv-LV"/>
              </w:rPr>
              <w:t>Izslēgt likumprojekta 1.panta pirmajā daļā vārdus "</w:t>
            </w:r>
            <w:r w:rsidRPr="00803BAC">
              <w:rPr>
                <w:sz w:val="22"/>
                <w:szCs w:val="22"/>
                <w:u w:val="single"/>
                <w:lang w:val="lv-LV"/>
              </w:rPr>
              <w:t>apmērā un</w:t>
            </w:r>
            <w:r w:rsidRPr="00803BAC">
              <w:rPr>
                <w:sz w:val="22"/>
                <w:szCs w:val="22"/>
                <w:lang w:val="lv-LV"/>
              </w:rPr>
              <w:t>"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9E0FF5" w:rsidRPr="00803BAC" w:rsidRDefault="009E0FF5" w:rsidP="005901BE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AD03E9" w:rsidRPr="00E24DFD" w:rsidRDefault="00AD03E9" w:rsidP="0033658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AD03E9" w:rsidRPr="00E24DFD" w:rsidRDefault="00AD03E9" w:rsidP="0033658E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E65EA" w:rsidRPr="003849F5" w:rsidTr="009E0FF5">
        <w:tc>
          <w:tcPr>
            <w:tcW w:w="3227" w:type="dxa"/>
          </w:tcPr>
          <w:p w:rsidR="00DE65EA" w:rsidRPr="00E24DFD" w:rsidRDefault="00DE65EA" w:rsidP="0033658E">
            <w:pPr>
              <w:ind w:firstLine="454"/>
              <w:jc w:val="both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4253" w:type="dxa"/>
          </w:tcPr>
          <w:p w:rsidR="00DE65EA" w:rsidRPr="00DE65EA" w:rsidRDefault="00DE65EA" w:rsidP="00DE65EA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  <w:r w:rsidRPr="00DE65EA">
              <w:rPr>
                <w:sz w:val="22"/>
                <w:szCs w:val="22"/>
                <w:lang w:val="lv-LV"/>
              </w:rPr>
              <w:t>Papildināt pārejas noteikumus ar 10.punktu šādā redakcijā:</w:t>
            </w:r>
          </w:p>
          <w:p w:rsidR="00DE65EA" w:rsidRPr="005901BE" w:rsidRDefault="00DE65EA" w:rsidP="00DE65EA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"10. </w:t>
            </w:r>
            <w:r w:rsidRPr="00DE65EA">
              <w:rPr>
                <w:sz w:val="22"/>
                <w:szCs w:val="22"/>
                <w:lang w:val="lv-LV"/>
              </w:rPr>
              <w:t xml:space="preserve">Ministru kabinets līdz 2014.gada </w:t>
            </w:r>
            <w:r w:rsidRPr="00DC25C5">
              <w:rPr>
                <w:sz w:val="22"/>
                <w:szCs w:val="22"/>
                <w:u w:val="single"/>
                <w:lang w:val="lv-LV"/>
              </w:rPr>
              <w:t>1.martam</w:t>
            </w:r>
            <w:r w:rsidRPr="00DE65EA">
              <w:rPr>
                <w:sz w:val="22"/>
                <w:szCs w:val="22"/>
                <w:lang w:val="lv-LV"/>
              </w:rPr>
              <w:t xml:space="preserve"> izdod šā likuma 25.</w:t>
            </w:r>
            <w:r w:rsidRPr="00DE65EA">
              <w:rPr>
                <w:sz w:val="22"/>
                <w:szCs w:val="22"/>
                <w:vertAlign w:val="superscript"/>
                <w:lang w:val="lv-LV"/>
              </w:rPr>
              <w:t>1</w:t>
            </w:r>
            <w:r w:rsidRPr="00DE65EA">
              <w:rPr>
                <w:sz w:val="22"/>
                <w:szCs w:val="22"/>
                <w:lang w:val="lv-LV"/>
              </w:rPr>
              <w:t xml:space="preserve"> panta </w:t>
            </w:r>
            <w:r w:rsidRPr="00DE65EA">
              <w:rPr>
                <w:sz w:val="22"/>
                <w:szCs w:val="22"/>
                <w:u w:val="single"/>
                <w:lang w:val="lv-LV"/>
              </w:rPr>
              <w:t>pirmajā daļā</w:t>
            </w:r>
            <w:r w:rsidRPr="00DE65EA">
              <w:rPr>
                <w:sz w:val="22"/>
                <w:szCs w:val="22"/>
                <w:lang w:val="lv-LV"/>
              </w:rPr>
              <w:t xml:space="preserve"> minētos noteikumus."</w:t>
            </w:r>
          </w:p>
        </w:tc>
        <w:tc>
          <w:tcPr>
            <w:tcW w:w="556" w:type="dxa"/>
          </w:tcPr>
          <w:p w:rsidR="00DE65EA" w:rsidRDefault="00B433E5" w:rsidP="00B433E5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3</w:t>
            </w:r>
          </w:p>
          <w:p w:rsidR="00DC25C5" w:rsidRDefault="00DC25C5" w:rsidP="00B433E5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DC25C5" w:rsidRDefault="00DC25C5" w:rsidP="00B433E5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DC25C5" w:rsidRDefault="00DC25C5" w:rsidP="00B433E5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DC25C5" w:rsidRDefault="00DC25C5" w:rsidP="00B433E5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DC25C5" w:rsidRDefault="00DC25C5" w:rsidP="00B433E5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DC25C5" w:rsidRDefault="00DC25C5" w:rsidP="00B433E5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4</w:t>
            </w:r>
          </w:p>
          <w:p w:rsidR="00DC25C5" w:rsidRPr="005960AD" w:rsidRDefault="00DC25C5" w:rsidP="00B433E5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856" w:type="dxa"/>
          </w:tcPr>
          <w:p w:rsidR="00DC25C5" w:rsidRPr="003849F5" w:rsidRDefault="00DC25C5" w:rsidP="00DC25C5">
            <w:pPr>
              <w:jc w:val="both"/>
              <w:rPr>
                <w:sz w:val="22"/>
                <w:szCs w:val="22"/>
                <w:lang w:val="lv-LV"/>
              </w:rPr>
            </w:pPr>
            <w:r w:rsidRPr="003849F5">
              <w:rPr>
                <w:b/>
                <w:sz w:val="22"/>
                <w:szCs w:val="22"/>
                <w:u w:val="single"/>
                <w:lang w:val="lv-LV"/>
              </w:rPr>
              <w:t>Valsts pārvaldes un pašvaldības komisija</w:t>
            </w:r>
          </w:p>
          <w:p w:rsidR="00DC25C5" w:rsidRPr="003849F5" w:rsidRDefault="00DC25C5" w:rsidP="00DC25C5">
            <w:pPr>
              <w:ind w:firstLine="493"/>
              <w:jc w:val="both"/>
              <w:rPr>
                <w:b/>
                <w:sz w:val="22"/>
                <w:szCs w:val="22"/>
                <w:u w:val="single"/>
                <w:lang w:val="lv-LV"/>
              </w:rPr>
            </w:pPr>
            <w:r w:rsidRPr="003849F5">
              <w:rPr>
                <w:bCs/>
                <w:sz w:val="22"/>
                <w:szCs w:val="22"/>
                <w:lang w:val="lv-LV"/>
              </w:rPr>
              <w:t>Aizstāt likumprojekta 2.pantā skaitli un vārdu "1.martam" ar skaitli un vārdu "</w:t>
            </w:r>
            <w:r w:rsidRPr="003849F5">
              <w:rPr>
                <w:bCs/>
                <w:sz w:val="22"/>
                <w:szCs w:val="22"/>
                <w:u w:val="single"/>
                <w:lang w:val="lv-LV"/>
              </w:rPr>
              <w:t>15.janvārim</w:t>
            </w:r>
            <w:r w:rsidRPr="003849F5">
              <w:rPr>
                <w:bCs/>
                <w:sz w:val="22"/>
                <w:szCs w:val="22"/>
                <w:lang w:val="lv-LV"/>
              </w:rPr>
              <w:t>".</w:t>
            </w:r>
          </w:p>
          <w:p w:rsidR="00DC25C5" w:rsidRDefault="00DC25C5" w:rsidP="005901BE">
            <w:pPr>
              <w:jc w:val="center"/>
              <w:rPr>
                <w:b/>
                <w:sz w:val="22"/>
                <w:szCs w:val="22"/>
                <w:u w:val="single"/>
                <w:lang w:val="lv-LV"/>
              </w:rPr>
            </w:pPr>
          </w:p>
          <w:p w:rsidR="00DE65EA" w:rsidRDefault="00DE65EA" w:rsidP="005901BE">
            <w:pPr>
              <w:jc w:val="center"/>
              <w:rPr>
                <w:b/>
                <w:sz w:val="22"/>
                <w:szCs w:val="22"/>
                <w:u w:val="single"/>
                <w:lang w:val="lv-LV"/>
              </w:rPr>
            </w:pPr>
            <w:r w:rsidRPr="005901BE">
              <w:rPr>
                <w:b/>
                <w:sz w:val="22"/>
                <w:szCs w:val="22"/>
                <w:u w:val="single"/>
                <w:lang w:val="lv-LV"/>
              </w:rPr>
              <w:t>Juridiskais birojs</w:t>
            </w:r>
          </w:p>
          <w:p w:rsidR="00DC25C5" w:rsidRPr="00DC25C5" w:rsidRDefault="00DE65EA" w:rsidP="00DC25C5">
            <w:pPr>
              <w:ind w:firstLine="493"/>
              <w:jc w:val="both"/>
              <w:rPr>
                <w:sz w:val="22"/>
                <w:szCs w:val="22"/>
                <w:lang w:val="lv-LV"/>
              </w:rPr>
            </w:pPr>
            <w:r w:rsidRPr="00DE65EA">
              <w:rPr>
                <w:sz w:val="22"/>
                <w:szCs w:val="22"/>
                <w:lang w:val="lv-LV"/>
              </w:rPr>
              <w:t>Aizstāt likumprojekta 2. pantā vārdus „pirmajā daļā” ar vārdiem „</w:t>
            </w:r>
            <w:r w:rsidRPr="00DE65EA">
              <w:rPr>
                <w:sz w:val="22"/>
                <w:szCs w:val="22"/>
                <w:u w:val="single"/>
                <w:lang w:val="lv-LV"/>
              </w:rPr>
              <w:t>otrajā daļā</w:t>
            </w:r>
            <w:r w:rsidRPr="00DE65EA">
              <w:rPr>
                <w:sz w:val="22"/>
                <w:szCs w:val="22"/>
                <w:lang w:val="lv-LV"/>
              </w:rPr>
              <w:t>”.</w:t>
            </w:r>
          </w:p>
        </w:tc>
        <w:tc>
          <w:tcPr>
            <w:tcW w:w="1418" w:type="dxa"/>
          </w:tcPr>
          <w:p w:rsidR="00DE65EA" w:rsidRPr="00E24DFD" w:rsidRDefault="00DE65EA" w:rsidP="0033658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DE65EA" w:rsidRPr="00E24DFD" w:rsidRDefault="00DE65EA" w:rsidP="0033658E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03BAC" w:rsidRPr="003849F5" w:rsidTr="009E0FF5">
        <w:tc>
          <w:tcPr>
            <w:tcW w:w="3227" w:type="dxa"/>
          </w:tcPr>
          <w:p w:rsidR="00803BAC" w:rsidRPr="00E24DFD" w:rsidRDefault="00803BAC" w:rsidP="0033658E">
            <w:pPr>
              <w:ind w:firstLine="454"/>
              <w:jc w:val="both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4253" w:type="dxa"/>
          </w:tcPr>
          <w:p w:rsidR="00803BAC" w:rsidRPr="00803BAC" w:rsidRDefault="00803BAC" w:rsidP="00DE65EA">
            <w:pPr>
              <w:ind w:firstLine="454"/>
              <w:jc w:val="both"/>
              <w:rPr>
                <w:sz w:val="22"/>
                <w:szCs w:val="22"/>
                <w:lang w:val="lv-LV"/>
              </w:rPr>
            </w:pPr>
            <w:r w:rsidRPr="00803BAC">
              <w:rPr>
                <w:sz w:val="22"/>
                <w:szCs w:val="22"/>
                <w:lang w:val="lv-LV"/>
              </w:rPr>
              <w:t>Likums stājas spēkā 2014.gada 1.janvārī.</w:t>
            </w:r>
          </w:p>
        </w:tc>
        <w:tc>
          <w:tcPr>
            <w:tcW w:w="556" w:type="dxa"/>
          </w:tcPr>
          <w:p w:rsidR="00803BAC" w:rsidRPr="005960AD" w:rsidRDefault="00803BAC" w:rsidP="0033658E">
            <w:pPr>
              <w:ind w:left="-578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856" w:type="dxa"/>
          </w:tcPr>
          <w:p w:rsidR="00803BAC" w:rsidRPr="005901BE" w:rsidRDefault="00803BAC" w:rsidP="005901BE">
            <w:pPr>
              <w:jc w:val="center"/>
              <w:rPr>
                <w:b/>
                <w:sz w:val="22"/>
                <w:szCs w:val="22"/>
                <w:u w:val="single"/>
                <w:lang w:val="lv-LV"/>
              </w:rPr>
            </w:pPr>
          </w:p>
        </w:tc>
        <w:tc>
          <w:tcPr>
            <w:tcW w:w="1418" w:type="dxa"/>
          </w:tcPr>
          <w:p w:rsidR="00803BAC" w:rsidRPr="00E24DFD" w:rsidRDefault="00803BAC" w:rsidP="0033658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803BAC" w:rsidRPr="00E24DFD" w:rsidRDefault="00803BAC" w:rsidP="0033658E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B16BAA" w:rsidRPr="004137D3" w:rsidRDefault="00B16BAA">
      <w:pPr>
        <w:rPr>
          <w:lang w:val="lv-LV"/>
        </w:rPr>
      </w:pPr>
    </w:p>
    <w:sectPr w:rsidR="00B16BAA" w:rsidRPr="004137D3" w:rsidSect="004137D3">
      <w:footerReference w:type="even" r:id="rId7"/>
      <w:footerReference w:type="default" r:id="rId8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4C" w:rsidRDefault="00874E4C">
      <w:r>
        <w:separator/>
      </w:r>
    </w:p>
  </w:endnote>
  <w:endnote w:type="continuationSeparator" w:id="0">
    <w:p w:rsidR="00874E4C" w:rsidRDefault="008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46" w:rsidRDefault="00D03446" w:rsidP="00413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446" w:rsidRDefault="00D03446" w:rsidP="004137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46" w:rsidRDefault="00D03446" w:rsidP="00413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C30">
      <w:rPr>
        <w:rStyle w:val="PageNumber"/>
        <w:noProof/>
      </w:rPr>
      <w:t>2</w:t>
    </w:r>
    <w:r>
      <w:rPr>
        <w:rStyle w:val="PageNumber"/>
      </w:rPr>
      <w:fldChar w:fldCharType="end"/>
    </w:r>
  </w:p>
  <w:p w:rsidR="00D03446" w:rsidRDefault="00D03446" w:rsidP="004137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4C" w:rsidRDefault="00874E4C">
      <w:r>
        <w:separator/>
      </w:r>
    </w:p>
  </w:footnote>
  <w:footnote w:type="continuationSeparator" w:id="0">
    <w:p w:rsidR="00874E4C" w:rsidRDefault="0087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D3"/>
    <w:rsid w:val="0002756E"/>
    <w:rsid w:val="00063C85"/>
    <w:rsid w:val="000A2D06"/>
    <w:rsid w:val="001215D8"/>
    <w:rsid w:val="001322B4"/>
    <w:rsid w:val="001633C8"/>
    <w:rsid w:val="001B01A3"/>
    <w:rsid w:val="001B6AFC"/>
    <w:rsid w:val="001C14B1"/>
    <w:rsid w:val="001C6DD3"/>
    <w:rsid w:val="001E3234"/>
    <w:rsid w:val="001F0FE8"/>
    <w:rsid w:val="00205478"/>
    <w:rsid w:val="002058E4"/>
    <w:rsid w:val="00286478"/>
    <w:rsid w:val="00292D3C"/>
    <w:rsid w:val="002B2358"/>
    <w:rsid w:val="002C64F6"/>
    <w:rsid w:val="00313C96"/>
    <w:rsid w:val="00320D73"/>
    <w:rsid w:val="0033195D"/>
    <w:rsid w:val="0033658E"/>
    <w:rsid w:val="00342E68"/>
    <w:rsid w:val="00350322"/>
    <w:rsid w:val="003747F2"/>
    <w:rsid w:val="00380FE9"/>
    <w:rsid w:val="003849F5"/>
    <w:rsid w:val="003B7FD2"/>
    <w:rsid w:val="003E64AD"/>
    <w:rsid w:val="003F0345"/>
    <w:rsid w:val="004137D3"/>
    <w:rsid w:val="0042397E"/>
    <w:rsid w:val="00452ECC"/>
    <w:rsid w:val="00473E79"/>
    <w:rsid w:val="004839D7"/>
    <w:rsid w:val="004A7DE9"/>
    <w:rsid w:val="004B0AB6"/>
    <w:rsid w:val="004C3651"/>
    <w:rsid w:val="00510639"/>
    <w:rsid w:val="005152D5"/>
    <w:rsid w:val="00535F33"/>
    <w:rsid w:val="00574E84"/>
    <w:rsid w:val="005901BE"/>
    <w:rsid w:val="00593C84"/>
    <w:rsid w:val="005960AD"/>
    <w:rsid w:val="0059621D"/>
    <w:rsid w:val="005A5DFF"/>
    <w:rsid w:val="005D294E"/>
    <w:rsid w:val="005E2475"/>
    <w:rsid w:val="005F5A7A"/>
    <w:rsid w:val="006056E0"/>
    <w:rsid w:val="00607D07"/>
    <w:rsid w:val="006412D8"/>
    <w:rsid w:val="00642884"/>
    <w:rsid w:val="0064646B"/>
    <w:rsid w:val="006569AC"/>
    <w:rsid w:val="0068343E"/>
    <w:rsid w:val="006B3705"/>
    <w:rsid w:val="006B5019"/>
    <w:rsid w:val="006F0875"/>
    <w:rsid w:val="00730814"/>
    <w:rsid w:val="00746827"/>
    <w:rsid w:val="00761735"/>
    <w:rsid w:val="00762B87"/>
    <w:rsid w:val="00767BD9"/>
    <w:rsid w:val="00790E32"/>
    <w:rsid w:val="0079274E"/>
    <w:rsid w:val="007E4A71"/>
    <w:rsid w:val="007E4AA6"/>
    <w:rsid w:val="007F2BC1"/>
    <w:rsid w:val="00803BAC"/>
    <w:rsid w:val="00812845"/>
    <w:rsid w:val="008411BC"/>
    <w:rsid w:val="00843EE9"/>
    <w:rsid w:val="008709BB"/>
    <w:rsid w:val="008744C7"/>
    <w:rsid w:val="00874E4C"/>
    <w:rsid w:val="008756A4"/>
    <w:rsid w:val="00901483"/>
    <w:rsid w:val="00942889"/>
    <w:rsid w:val="00942A1C"/>
    <w:rsid w:val="00970F44"/>
    <w:rsid w:val="00990028"/>
    <w:rsid w:val="009D130E"/>
    <w:rsid w:val="009E0FF5"/>
    <w:rsid w:val="009E21DF"/>
    <w:rsid w:val="009E7F24"/>
    <w:rsid w:val="00A008A7"/>
    <w:rsid w:val="00A4071B"/>
    <w:rsid w:val="00A93186"/>
    <w:rsid w:val="00AC0C79"/>
    <w:rsid w:val="00AC5477"/>
    <w:rsid w:val="00AD03E9"/>
    <w:rsid w:val="00AD24B6"/>
    <w:rsid w:val="00AD5EE6"/>
    <w:rsid w:val="00B16BAA"/>
    <w:rsid w:val="00B433E5"/>
    <w:rsid w:val="00B61542"/>
    <w:rsid w:val="00B70969"/>
    <w:rsid w:val="00B8678D"/>
    <w:rsid w:val="00BF5071"/>
    <w:rsid w:val="00C40C06"/>
    <w:rsid w:val="00C41616"/>
    <w:rsid w:val="00CE14FE"/>
    <w:rsid w:val="00CE74CD"/>
    <w:rsid w:val="00D03446"/>
    <w:rsid w:val="00D07956"/>
    <w:rsid w:val="00D1184B"/>
    <w:rsid w:val="00D34F9B"/>
    <w:rsid w:val="00D6417F"/>
    <w:rsid w:val="00D75027"/>
    <w:rsid w:val="00D843C1"/>
    <w:rsid w:val="00DC25C5"/>
    <w:rsid w:val="00DE65EA"/>
    <w:rsid w:val="00E0539F"/>
    <w:rsid w:val="00E24DFD"/>
    <w:rsid w:val="00E447E4"/>
    <w:rsid w:val="00E849DF"/>
    <w:rsid w:val="00EB30B0"/>
    <w:rsid w:val="00EB59D1"/>
    <w:rsid w:val="00EC7DC4"/>
    <w:rsid w:val="00EF1F3E"/>
    <w:rsid w:val="00F074C8"/>
    <w:rsid w:val="00F1218F"/>
    <w:rsid w:val="00F14EEE"/>
    <w:rsid w:val="00F85D4D"/>
    <w:rsid w:val="00F95DCA"/>
    <w:rsid w:val="00FA0622"/>
    <w:rsid w:val="00FA1C30"/>
    <w:rsid w:val="00FA6BCF"/>
    <w:rsid w:val="00FC626C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7D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137D3"/>
    <w:pPr>
      <w:keepNext/>
      <w:jc w:val="center"/>
      <w:outlineLvl w:val="0"/>
    </w:pPr>
    <w:rPr>
      <w:b/>
      <w:bCs/>
      <w:iCs/>
      <w:lang w:val="lv-LV"/>
    </w:rPr>
  </w:style>
  <w:style w:type="paragraph" w:styleId="Heading2">
    <w:name w:val="heading 2"/>
    <w:basedOn w:val="Normal"/>
    <w:next w:val="Normal"/>
    <w:qFormat/>
    <w:rsid w:val="00510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24D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37D3"/>
    <w:pPr>
      <w:jc w:val="center"/>
    </w:pPr>
    <w:rPr>
      <w:b/>
      <w:szCs w:val="20"/>
      <w:lang w:val="lv-LV"/>
    </w:rPr>
  </w:style>
  <w:style w:type="paragraph" w:styleId="BodyText">
    <w:name w:val="Body Text"/>
    <w:basedOn w:val="Normal"/>
    <w:rsid w:val="004137D3"/>
    <w:pPr>
      <w:spacing w:before="100" w:beforeAutospacing="1" w:after="100" w:afterAutospacing="1"/>
    </w:pPr>
    <w:rPr>
      <w:lang w:val="lv-LV" w:eastAsia="lv-LV"/>
    </w:rPr>
  </w:style>
  <w:style w:type="paragraph" w:styleId="Caption">
    <w:name w:val="caption"/>
    <w:basedOn w:val="Normal"/>
    <w:next w:val="Normal"/>
    <w:qFormat/>
    <w:rsid w:val="004137D3"/>
    <w:rPr>
      <w:b/>
      <w:bCs/>
      <w:sz w:val="20"/>
      <w:szCs w:val="20"/>
    </w:rPr>
  </w:style>
  <w:style w:type="paragraph" w:styleId="Footer">
    <w:name w:val="footer"/>
    <w:basedOn w:val="Normal"/>
    <w:rsid w:val="004137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37D3"/>
  </w:style>
  <w:style w:type="paragraph" w:styleId="NormalWeb">
    <w:name w:val="Normal (Web)"/>
    <w:basedOn w:val="Normal"/>
    <w:rsid w:val="00E24DFD"/>
    <w:pPr>
      <w:spacing w:before="109" w:after="109"/>
      <w:ind w:firstLine="545"/>
      <w:jc w:val="both"/>
    </w:pPr>
    <w:rPr>
      <w:lang w:val="lv-LV" w:eastAsia="lv-LV"/>
    </w:rPr>
  </w:style>
  <w:style w:type="paragraph" w:styleId="BodyTextIndent">
    <w:name w:val="Body Text Indent"/>
    <w:basedOn w:val="Normal"/>
    <w:rsid w:val="001B01A3"/>
    <w:pPr>
      <w:spacing w:after="120"/>
      <w:ind w:left="283"/>
    </w:pPr>
  </w:style>
  <w:style w:type="paragraph" w:customStyle="1" w:styleId="naisf">
    <w:name w:val="naisf"/>
    <w:basedOn w:val="Normal"/>
    <w:rsid w:val="00AC0C79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nod">
    <w:name w:val="naisnod"/>
    <w:basedOn w:val="Normal"/>
    <w:rsid w:val="008744C7"/>
    <w:pPr>
      <w:spacing w:before="450" w:after="225"/>
      <w:jc w:val="center"/>
    </w:pPr>
    <w:rPr>
      <w:b/>
      <w:bCs/>
      <w:sz w:val="26"/>
      <w:szCs w:val="26"/>
      <w:lang w:val="lv-LV" w:eastAsia="lv-LV"/>
    </w:rPr>
  </w:style>
  <w:style w:type="paragraph" w:customStyle="1" w:styleId="naispant">
    <w:name w:val="naispant"/>
    <w:basedOn w:val="Normal"/>
    <w:rsid w:val="00BF5071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rsid w:val="00EF1F3E"/>
    <w:rPr>
      <w:color w:val="0000FF"/>
      <w:u w:val="single"/>
    </w:rPr>
  </w:style>
  <w:style w:type="paragraph" w:styleId="FootnoteText">
    <w:name w:val="footnote text"/>
    <w:basedOn w:val="Normal"/>
    <w:semiHidden/>
    <w:rsid w:val="00AD5EE6"/>
    <w:rPr>
      <w:sz w:val="20"/>
      <w:szCs w:val="20"/>
    </w:rPr>
  </w:style>
  <w:style w:type="character" w:styleId="FootnoteReference">
    <w:name w:val="footnote reference"/>
    <w:semiHidden/>
    <w:rsid w:val="00AD5EE6"/>
    <w:rPr>
      <w:vertAlign w:val="superscript"/>
    </w:rPr>
  </w:style>
  <w:style w:type="paragraph" w:styleId="BalloonText">
    <w:name w:val="Balloon Text"/>
    <w:basedOn w:val="Normal"/>
    <w:semiHidden/>
    <w:rsid w:val="005F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7D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137D3"/>
    <w:pPr>
      <w:keepNext/>
      <w:jc w:val="center"/>
      <w:outlineLvl w:val="0"/>
    </w:pPr>
    <w:rPr>
      <w:b/>
      <w:bCs/>
      <w:iCs/>
      <w:lang w:val="lv-LV"/>
    </w:rPr>
  </w:style>
  <w:style w:type="paragraph" w:styleId="Heading2">
    <w:name w:val="heading 2"/>
    <w:basedOn w:val="Normal"/>
    <w:next w:val="Normal"/>
    <w:qFormat/>
    <w:rsid w:val="00510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24D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37D3"/>
    <w:pPr>
      <w:jc w:val="center"/>
    </w:pPr>
    <w:rPr>
      <w:b/>
      <w:szCs w:val="20"/>
      <w:lang w:val="lv-LV"/>
    </w:rPr>
  </w:style>
  <w:style w:type="paragraph" w:styleId="BodyText">
    <w:name w:val="Body Text"/>
    <w:basedOn w:val="Normal"/>
    <w:rsid w:val="004137D3"/>
    <w:pPr>
      <w:spacing w:before="100" w:beforeAutospacing="1" w:after="100" w:afterAutospacing="1"/>
    </w:pPr>
    <w:rPr>
      <w:lang w:val="lv-LV" w:eastAsia="lv-LV"/>
    </w:rPr>
  </w:style>
  <w:style w:type="paragraph" w:styleId="Caption">
    <w:name w:val="caption"/>
    <w:basedOn w:val="Normal"/>
    <w:next w:val="Normal"/>
    <w:qFormat/>
    <w:rsid w:val="004137D3"/>
    <w:rPr>
      <w:b/>
      <w:bCs/>
      <w:sz w:val="20"/>
      <w:szCs w:val="20"/>
    </w:rPr>
  </w:style>
  <w:style w:type="paragraph" w:styleId="Footer">
    <w:name w:val="footer"/>
    <w:basedOn w:val="Normal"/>
    <w:rsid w:val="004137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37D3"/>
  </w:style>
  <w:style w:type="paragraph" w:styleId="NormalWeb">
    <w:name w:val="Normal (Web)"/>
    <w:basedOn w:val="Normal"/>
    <w:rsid w:val="00E24DFD"/>
    <w:pPr>
      <w:spacing w:before="109" w:after="109"/>
      <w:ind w:firstLine="545"/>
      <w:jc w:val="both"/>
    </w:pPr>
    <w:rPr>
      <w:lang w:val="lv-LV" w:eastAsia="lv-LV"/>
    </w:rPr>
  </w:style>
  <w:style w:type="paragraph" w:styleId="BodyTextIndent">
    <w:name w:val="Body Text Indent"/>
    <w:basedOn w:val="Normal"/>
    <w:rsid w:val="001B01A3"/>
    <w:pPr>
      <w:spacing w:after="120"/>
      <w:ind w:left="283"/>
    </w:pPr>
  </w:style>
  <w:style w:type="paragraph" w:customStyle="1" w:styleId="naisf">
    <w:name w:val="naisf"/>
    <w:basedOn w:val="Normal"/>
    <w:rsid w:val="00AC0C79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nod">
    <w:name w:val="naisnod"/>
    <w:basedOn w:val="Normal"/>
    <w:rsid w:val="008744C7"/>
    <w:pPr>
      <w:spacing w:before="450" w:after="225"/>
      <w:jc w:val="center"/>
    </w:pPr>
    <w:rPr>
      <w:b/>
      <w:bCs/>
      <w:sz w:val="26"/>
      <w:szCs w:val="26"/>
      <w:lang w:val="lv-LV" w:eastAsia="lv-LV"/>
    </w:rPr>
  </w:style>
  <w:style w:type="paragraph" w:customStyle="1" w:styleId="naispant">
    <w:name w:val="naispant"/>
    <w:basedOn w:val="Normal"/>
    <w:rsid w:val="00BF5071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rsid w:val="00EF1F3E"/>
    <w:rPr>
      <w:color w:val="0000FF"/>
      <w:u w:val="single"/>
    </w:rPr>
  </w:style>
  <w:style w:type="paragraph" w:styleId="FootnoteText">
    <w:name w:val="footnote text"/>
    <w:basedOn w:val="Normal"/>
    <w:semiHidden/>
    <w:rsid w:val="00AD5EE6"/>
    <w:rPr>
      <w:sz w:val="20"/>
      <w:szCs w:val="20"/>
    </w:rPr>
  </w:style>
  <w:style w:type="character" w:styleId="FootnoteReference">
    <w:name w:val="footnote reference"/>
    <w:semiHidden/>
    <w:rsid w:val="00AD5EE6"/>
    <w:rPr>
      <w:vertAlign w:val="superscript"/>
    </w:rPr>
  </w:style>
  <w:style w:type="paragraph" w:styleId="BalloonText">
    <w:name w:val="Balloon Text"/>
    <w:basedOn w:val="Normal"/>
    <w:semiHidden/>
    <w:rsid w:val="005F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Budžeta un finanšu (nodokļu) komisija</vt:lpstr>
    </vt:vector>
  </TitlesOfParts>
  <Company>Saeima</Company>
  <LinksUpToDate>false</LinksUpToDate>
  <CharactersWithSpaces>2510</CharactersWithSpaces>
  <SharedDoc>false</SharedDoc>
  <HLinks>
    <vt:vector size="12" baseType="variant">
      <vt:variant>
        <vt:i4>7995494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http://www.likumi.lv/doc.php?id=50759</vt:lpwstr>
      </vt:variant>
      <vt:variant>
        <vt:lpwstr>p50</vt:lpwstr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http://www.likumi.lv/doc.php?id=49096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Budžeta un finanšu (nodokļu) komisija</dc:title>
  <dc:creator>B-018</dc:creator>
  <cp:lastModifiedBy>B-460</cp:lastModifiedBy>
  <cp:revision>2</cp:revision>
  <cp:lastPrinted>2008-11-06T09:50:00Z</cp:lastPrinted>
  <dcterms:created xsi:type="dcterms:W3CDTF">2013-10-23T08:32:00Z</dcterms:created>
  <dcterms:modified xsi:type="dcterms:W3CDTF">2013-10-23T08:32:00Z</dcterms:modified>
</cp:coreProperties>
</file>