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7D3" w:rsidRDefault="004137D3" w:rsidP="004137D3">
      <w:pPr>
        <w:pStyle w:val="Title"/>
        <w:jc w:val="left"/>
        <w:rPr>
          <w:b w:val="0"/>
          <w:sz w:val="26"/>
          <w:szCs w:val="26"/>
        </w:rPr>
      </w:pPr>
      <w:bookmarkStart w:id="0" w:name="_GoBack"/>
      <w:bookmarkEnd w:id="0"/>
      <w:r>
        <w:rPr>
          <w:b w:val="0"/>
          <w:sz w:val="26"/>
          <w:szCs w:val="26"/>
        </w:rPr>
        <w:t>Budžeta un finanšu (nodokļu) komisija</w:t>
      </w:r>
    </w:p>
    <w:p w:rsidR="004137D3" w:rsidRDefault="004137D3" w:rsidP="004137D3">
      <w:pPr>
        <w:pStyle w:val="Title"/>
        <w:jc w:val="right"/>
        <w:rPr>
          <w:b w:val="0"/>
          <w:sz w:val="26"/>
          <w:szCs w:val="26"/>
        </w:rPr>
      </w:pPr>
      <w:r>
        <w:rPr>
          <w:b w:val="0"/>
          <w:sz w:val="26"/>
          <w:szCs w:val="26"/>
        </w:rPr>
        <w:tab/>
        <w:t xml:space="preserve">Likumprojekts </w:t>
      </w:r>
      <w:r w:rsidR="005A5DFF">
        <w:rPr>
          <w:b w:val="0"/>
          <w:sz w:val="26"/>
          <w:szCs w:val="26"/>
        </w:rPr>
        <w:t xml:space="preserve">(steidzams) </w:t>
      </w:r>
      <w:r>
        <w:rPr>
          <w:b w:val="0"/>
          <w:sz w:val="26"/>
          <w:szCs w:val="26"/>
        </w:rPr>
        <w:t>otrajam lasījumam</w:t>
      </w:r>
    </w:p>
    <w:p w:rsidR="008A190E" w:rsidRDefault="008A190E" w:rsidP="004137D3">
      <w:pPr>
        <w:pStyle w:val="Title"/>
        <w:jc w:val="right"/>
        <w:rPr>
          <w:b w:val="0"/>
          <w:sz w:val="26"/>
          <w:szCs w:val="26"/>
        </w:rPr>
      </w:pPr>
    </w:p>
    <w:p w:rsidR="001B01A3" w:rsidRPr="008A190E" w:rsidRDefault="008A190E" w:rsidP="008A190E">
      <w:pPr>
        <w:jc w:val="center"/>
        <w:rPr>
          <w:sz w:val="26"/>
          <w:szCs w:val="26"/>
          <w:lang w:val="lv-LV"/>
        </w:rPr>
      </w:pPr>
      <w:r w:rsidRPr="008A190E">
        <w:rPr>
          <w:b/>
          <w:sz w:val="26"/>
          <w:szCs w:val="26"/>
          <w:lang w:val="lv-LV"/>
        </w:rPr>
        <w:t>Grozījumi Valsts un pašvaldību institūciju amatpersonu un darbinieku atlīdzības likumā</w:t>
      </w:r>
      <w:r w:rsidR="00FF3585" w:rsidRPr="008A190E">
        <w:rPr>
          <w:sz w:val="26"/>
          <w:szCs w:val="26"/>
          <w:lang w:val="lv-LV"/>
        </w:rPr>
        <w:t xml:space="preserve"> </w:t>
      </w:r>
      <w:r w:rsidR="004A7DE9" w:rsidRPr="008A190E">
        <w:rPr>
          <w:sz w:val="26"/>
          <w:szCs w:val="26"/>
          <w:lang w:val="lv-LV"/>
        </w:rPr>
        <w:t>(Nr</w:t>
      </w:r>
      <w:r w:rsidRPr="008A190E">
        <w:rPr>
          <w:sz w:val="26"/>
          <w:szCs w:val="26"/>
          <w:lang w:val="lv-LV"/>
        </w:rPr>
        <w:t>.939</w:t>
      </w:r>
      <w:r w:rsidR="001B01A3" w:rsidRPr="008A190E">
        <w:rPr>
          <w:sz w:val="26"/>
          <w:szCs w:val="26"/>
          <w:lang w:val="lv-LV"/>
        </w:rPr>
        <w:t>/Lp</w:t>
      </w:r>
      <w:r w:rsidR="00843EE9" w:rsidRPr="008A190E">
        <w:rPr>
          <w:sz w:val="26"/>
          <w:szCs w:val="26"/>
          <w:lang w:val="lv-LV"/>
        </w:rPr>
        <w:t>1</w:t>
      </w:r>
      <w:r w:rsidR="001C6DD3" w:rsidRPr="008A190E">
        <w:rPr>
          <w:sz w:val="26"/>
          <w:szCs w:val="26"/>
          <w:lang w:val="lv-LV"/>
        </w:rPr>
        <w:t>1</w:t>
      </w:r>
      <w:r w:rsidR="001B01A3" w:rsidRPr="008A190E">
        <w:rPr>
          <w:sz w:val="26"/>
          <w:szCs w:val="26"/>
          <w:lang w:val="lv-LV"/>
        </w:rPr>
        <w:t>)</w:t>
      </w:r>
    </w:p>
    <w:p w:rsidR="004137D3" w:rsidRDefault="004137D3" w:rsidP="002B2358">
      <w:pPr>
        <w:pStyle w:val="Title"/>
        <w:jc w:val="left"/>
        <w:rPr>
          <w:sz w:val="26"/>
          <w:szCs w:val="26"/>
        </w:rPr>
      </w:pPr>
    </w:p>
    <w:tbl>
      <w:tblPr>
        <w:tblW w:w="14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9"/>
        <w:gridCol w:w="3799"/>
        <w:gridCol w:w="556"/>
        <w:gridCol w:w="3799"/>
        <w:gridCol w:w="1418"/>
        <w:gridCol w:w="1418"/>
      </w:tblGrid>
      <w:tr w:rsidR="004137D3" w:rsidTr="004137D3">
        <w:tc>
          <w:tcPr>
            <w:tcW w:w="3799" w:type="dxa"/>
          </w:tcPr>
          <w:p w:rsidR="004137D3" w:rsidRPr="00836A8B" w:rsidRDefault="004137D3" w:rsidP="00836A8B">
            <w:pPr>
              <w:jc w:val="center"/>
              <w:rPr>
                <w:b/>
                <w:bCs/>
                <w:iCs/>
                <w:lang w:val="lv-LV"/>
              </w:rPr>
            </w:pPr>
            <w:r w:rsidRPr="00836A8B">
              <w:rPr>
                <w:b/>
                <w:bCs/>
                <w:iCs/>
                <w:lang w:val="lv-LV"/>
              </w:rPr>
              <w:t xml:space="preserve">Spēkā esošā </w:t>
            </w:r>
            <w:r w:rsidR="0033195D" w:rsidRPr="00836A8B">
              <w:rPr>
                <w:b/>
                <w:bCs/>
                <w:iCs/>
                <w:lang w:val="lv-LV"/>
              </w:rPr>
              <w:t xml:space="preserve">likuma </w:t>
            </w:r>
            <w:r w:rsidRPr="00836A8B">
              <w:rPr>
                <w:b/>
                <w:bCs/>
                <w:iCs/>
                <w:lang w:val="lv-LV"/>
              </w:rPr>
              <w:t>redakcija</w:t>
            </w:r>
          </w:p>
        </w:tc>
        <w:tc>
          <w:tcPr>
            <w:tcW w:w="3799" w:type="dxa"/>
          </w:tcPr>
          <w:p w:rsidR="004137D3" w:rsidRDefault="004137D3" w:rsidP="00CB589F">
            <w:pPr>
              <w:pStyle w:val="Heading1"/>
              <w:ind w:firstLine="29"/>
            </w:pPr>
            <w:r>
              <w:t>Pirmā lasījuma redakcija</w:t>
            </w:r>
          </w:p>
        </w:tc>
        <w:tc>
          <w:tcPr>
            <w:tcW w:w="556" w:type="dxa"/>
          </w:tcPr>
          <w:p w:rsidR="004137D3" w:rsidRPr="001C14B1" w:rsidRDefault="004137D3" w:rsidP="001C14B1">
            <w:pPr>
              <w:jc w:val="center"/>
              <w:rPr>
                <w:b/>
                <w:bCs/>
                <w:iCs/>
                <w:lang w:val="lv-LV"/>
              </w:rPr>
            </w:pPr>
            <w:r w:rsidRPr="001C14B1">
              <w:rPr>
                <w:b/>
                <w:bCs/>
                <w:iCs/>
                <w:lang w:val="lv-LV"/>
              </w:rPr>
              <w:t>Nr.</w:t>
            </w:r>
          </w:p>
        </w:tc>
        <w:tc>
          <w:tcPr>
            <w:tcW w:w="3799" w:type="dxa"/>
          </w:tcPr>
          <w:p w:rsidR="004137D3" w:rsidRDefault="004137D3" w:rsidP="004137D3">
            <w:pPr>
              <w:ind w:firstLine="10"/>
              <w:jc w:val="center"/>
              <w:rPr>
                <w:b/>
                <w:bCs/>
                <w:iCs/>
                <w:lang w:val="lv-LV"/>
              </w:rPr>
            </w:pPr>
            <w:r>
              <w:rPr>
                <w:b/>
                <w:bCs/>
                <w:iCs/>
                <w:lang w:val="lv-LV"/>
              </w:rPr>
              <w:t>Priekšlikumi</w:t>
            </w:r>
          </w:p>
          <w:p w:rsidR="004137D3" w:rsidRDefault="001B01A3" w:rsidP="004F3B57">
            <w:pPr>
              <w:jc w:val="center"/>
              <w:rPr>
                <w:b/>
                <w:bCs/>
                <w:iCs/>
                <w:lang w:val="lv-LV"/>
              </w:rPr>
            </w:pPr>
            <w:r>
              <w:rPr>
                <w:b/>
                <w:bCs/>
                <w:iCs/>
                <w:lang w:val="lv-LV"/>
              </w:rPr>
              <w:t>(</w:t>
            </w:r>
            <w:r w:rsidR="004F3B57">
              <w:rPr>
                <w:b/>
                <w:bCs/>
                <w:iCs/>
                <w:lang w:val="lv-LV"/>
              </w:rPr>
              <w:t>7</w:t>
            </w:r>
            <w:r w:rsidR="00E0539F">
              <w:rPr>
                <w:b/>
                <w:bCs/>
                <w:iCs/>
                <w:lang w:val="lv-LV"/>
              </w:rPr>
              <w:t>)</w:t>
            </w:r>
          </w:p>
        </w:tc>
        <w:tc>
          <w:tcPr>
            <w:tcW w:w="1418" w:type="dxa"/>
          </w:tcPr>
          <w:p w:rsidR="004137D3" w:rsidRDefault="004137D3" w:rsidP="004137D3">
            <w:pPr>
              <w:jc w:val="center"/>
              <w:rPr>
                <w:b/>
                <w:bCs/>
                <w:iCs/>
                <w:lang w:val="lv-LV"/>
              </w:rPr>
            </w:pPr>
            <w:r>
              <w:rPr>
                <w:b/>
                <w:bCs/>
                <w:iCs/>
                <w:lang w:val="lv-LV"/>
              </w:rPr>
              <w:t>Ministru kabineta atzinums</w:t>
            </w:r>
          </w:p>
        </w:tc>
        <w:tc>
          <w:tcPr>
            <w:tcW w:w="1418" w:type="dxa"/>
          </w:tcPr>
          <w:p w:rsidR="004137D3" w:rsidRDefault="004137D3" w:rsidP="004137D3">
            <w:pPr>
              <w:jc w:val="center"/>
              <w:rPr>
                <w:b/>
                <w:bCs/>
                <w:iCs/>
                <w:lang w:val="lv-LV"/>
              </w:rPr>
            </w:pPr>
            <w:r>
              <w:rPr>
                <w:b/>
                <w:bCs/>
                <w:iCs/>
                <w:lang w:val="lv-LV"/>
              </w:rPr>
              <w:t>Komisijas atzinums</w:t>
            </w:r>
          </w:p>
        </w:tc>
      </w:tr>
      <w:tr w:rsidR="004137D3" w:rsidRPr="005F449C" w:rsidTr="004137D3">
        <w:tc>
          <w:tcPr>
            <w:tcW w:w="3799" w:type="dxa"/>
          </w:tcPr>
          <w:p w:rsidR="004C3651" w:rsidRPr="005F449C" w:rsidRDefault="004C3651" w:rsidP="00836A8B">
            <w:pPr>
              <w:jc w:val="both"/>
              <w:rPr>
                <w:sz w:val="22"/>
                <w:szCs w:val="22"/>
                <w:lang w:val="lv-LV"/>
              </w:rPr>
            </w:pPr>
          </w:p>
        </w:tc>
        <w:tc>
          <w:tcPr>
            <w:tcW w:w="3799" w:type="dxa"/>
          </w:tcPr>
          <w:p w:rsidR="004839D7" w:rsidRPr="005F449C" w:rsidRDefault="002668A4" w:rsidP="00CB589F">
            <w:pPr>
              <w:ind w:firstLine="596"/>
              <w:jc w:val="both"/>
              <w:rPr>
                <w:sz w:val="22"/>
                <w:szCs w:val="22"/>
                <w:lang w:val="lv-LV"/>
              </w:rPr>
            </w:pPr>
            <w:r w:rsidRPr="005F449C">
              <w:rPr>
                <w:sz w:val="22"/>
                <w:szCs w:val="22"/>
                <w:lang w:val="lv-LV"/>
              </w:rPr>
              <w:t>Izdarīt Valsts un pašvaldību institūciju amatpersonu un darbinieku atlīdzības likumā (Latvijas Vēstnesis, 2009, 199., 200.nr.; 2010, 12., 66., 99., 174., 206.nr.; 2011, 103., 204.nr.; 2012, 190., 203.nr.; 2013, 51.nr.) šādus grozījumus:</w:t>
            </w:r>
          </w:p>
        </w:tc>
        <w:tc>
          <w:tcPr>
            <w:tcW w:w="556" w:type="dxa"/>
          </w:tcPr>
          <w:p w:rsidR="006F0875" w:rsidRPr="005F449C" w:rsidRDefault="006F0875" w:rsidP="00970F44">
            <w:pPr>
              <w:tabs>
                <w:tab w:val="left" w:pos="-85"/>
                <w:tab w:val="left" w:pos="340"/>
              </w:tabs>
              <w:ind w:left="-85" w:firstLine="652"/>
              <w:jc w:val="center"/>
              <w:rPr>
                <w:sz w:val="22"/>
                <w:szCs w:val="22"/>
                <w:lang w:val="lv-LV"/>
              </w:rPr>
            </w:pPr>
            <w:r w:rsidRPr="005F449C">
              <w:rPr>
                <w:sz w:val="22"/>
                <w:szCs w:val="22"/>
                <w:lang w:val="lv-LV"/>
              </w:rPr>
              <w:t>1</w:t>
            </w:r>
          </w:p>
          <w:p w:rsidR="004137D3" w:rsidRPr="005F449C" w:rsidRDefault="004137D3" w:rsidP="008A190E">
            <w:pPr>
              <w:jc w:val="center"/>
              <w:rPr>
                <w:sz w:val="22"/>
                <w:szCs w:val="22"/>
                <w:lang w:val="lv-LV"/>
              </w:rPr>
            </w:pPr>
          </w:p>
        </w:tc>
        <w:tc>
          <w:tcPr>
            <w:tcW w:w="3799" w:type="dxa"/>
          </w:tcPr>
          <w:p w:rsidR="004137D3" w:rsidRPr="005F449C" w:rsidRDefault="004137D3" w:rsidP="008A190E">
            <w:pPr>
              <w:jc w:val="both"/>
              <w:rPr>
                <w:sz w:val="22"/>
                <w:szCs w:val="22"/>
                <w:lang w:val="lv-LV"/>
              </w:rPr>
            </w:pPr>
          </w:p>
        </w:tc>
        <w:tc>
          <w:tcPr>
            <w:tcW w:w="1418" w:type="dxa"/>
          </w:tcPr>
          <w:p w:rsidR="004137D3" w:rsidRPr="005F449C" w:rsidRDefault="004137D3" w:rsidP="00E24DFD">
            <w:pPr>
              <w:ind w:firstLine="567"/>
              <w:jc w:val="both"/>
              <w:rPr>
                <w:sz w:val="22"/>
                <w:szCs w:val="22"/>
                <w:lang w:val="lv-LV"/>
              </w:rPr>
            </w:pPr>
          </w:p>
        </w:tc>
        <w:tc>
          <w:tcPr>
            <w:tcW w:w="1418" w:type="dxa"/>
          </w:tcPr>
          <w:p w:rsidR="004137D3" w:rsidRPr="005F449C" w:rsidRDefault="004137D3" w:rsidP="00E24DFD">
            <w:pPr>
              <w:ind w:firstLine="567"/>
              <w:jc w:val="both"/>
              <w:rPr>
                <w:sz w:val="22"/>
                <w:szCs w:val="22"/>
                <w:lang w:val="lv-LV"/>
              </w:rPr>
            </w:pPr>
          </w:p>
        </w:tc>
      </w:tr>
      <w:tr w:rsidR="00AD03E9" w:rsidRPr="009D28E9" w:rsidTr="004137D3">
        <w:tc>
          <w:tcPr>
            <w:tcW w:w="3799" w:type="dxa"/>
          </w:tcPr>
          <w:p w:rsidR="00AD03E9" w:rsidRPr="009D28E9" w:rsidRDefault="00F44802" w:rsidP="00836A8B">
            <w:pPr>
              <w:ind w:firstLine="567"/>
              <w:jc w:val="both"/>
              <w:rPr>
                <w:b/>
                <w:bCs/>
                <w:sz w:val="22"/>
                <w:szCs w:val="22"/>
                <w:lang w:val="lv-LV"/>
              </w:rPr>
            </w:pPr>
            <w:r w:rsidRPr="009D28E9">
              <w:rPr>
                <w:b/>
                <w:bCs/>
                <w:sz w:val="22"/>
                <w:szCs w:val="22"/>
                <w:lang w:val="lv-LV"/>
              </w:rPr>
              <w:t>3.</w:t>
            </w:r>
            <w:r w:rsidRPr="009D28E9">
              <w:rPr>
                <w:b/>
                <w:bCs/>
                <w:sz w:val="22"/>
                <w:szCs w:val="22"/>
                <w:vertAlign w:val="superscript"/>
                <w:lang w:val="lv-LV"/>
              </w:rPr>
              <w:t>1</w:t>
            </w:r>
            <w:r w:rsidRPr="009D28E9">
              <w:rPr>
                <w:b/>
                <w:bCs/>
                <w:sz w:val="22"/>
                <w:szCs w:val="22"/>
                <w:lang w:val="lv-LV"/>
              </w:rPr>
              <w:t xml:space="preserve"> pants. Vidējā izpeļņa</w:t>
            </w:r>
          </w:p>
          <w:p w:rsidR="00836A8B" w:rsidRPr="009D28E9" w:rsidRDefault="00836A8B" w:rsidP="00836A8B">
            <w:pPr>
              <w:ind w:firstLine="567"/>
              <w:jc w:val="both"/>
              <w:rPr>
                <w:sz w:val="22"/>
                <w:szCs w:val="22"/>
                <w:lang w:val="lv-LV"/>
              </w:rPr>
            </w:pPr>
          </w:p>
          <w:p w:rsidR="00836A8B" w:rsidRPr="009D28E9" w:rsidRDefault="00836A8B" w:rsidP="00836A8B">
            <w:pPr>
              <w:ind w:firstLine="567"/>
              <w:jc w:val="both"/>
              <w:rPr>
                <w:sz w:val="22"/>
                <w:szCs w:val="22"/>
                <w:lang w:val="lv-LV"/>
              </w:rPr>
            </w:pPr>
          </w:p>
          <w:p w:rsidR="00F44802" w:rsidRPr="005F449C" w:rsidRDefault="00F44802" w:rsidP="00836A8B">
            <w:pPr>
              <w:ind w:firstLine="567"/>
              <w:jc w:val="both"/>
              <w:rPr>
                <w:sz w:val="22"/>
                <w:szCs w:val="22"/>
                <w:lang w:val="lv-LV" w:eastAsia="lv-LV"/>
              </w:rPr>
            </w:pPr>
            <w:r w:rsidRPr="009D28E9">
              <w:rPr>
                <w:sz w:val="22"/>
                <w:szCs w:val="22"/>
                <w:lang w:val="lv-LV"/>
              </w:rPr>
              <w:t xml:space="preserve">(7) Nostrādāto dienu skaitā neietilpst pārejošas darbnespējas dienas, atvaļinājuma dienas, dienas, kad amatpersona (darbinieks) nav pildījusi amata (dienesta, darba) pienākumus šā likuma </w:t>
            </w:r>
            <w:hyperlink r:id="rId9" w:anchor="p3" w:history="1">
              <w:r w:rsidRPr="009D28E9">
                <w:rPr>
                  <w:sz w:val="22"/>
                  <w:szCs w:val="22"/>
                  <w:lang w:val="lv-LV"/>
                </w:rPr>
                <w:t>3.panta</w:t>
              </w:r>
            </w:hyperlink>
            <w:r w:rsidRPr="009D28E9">
              <w:rPr>
                <w:sz w:val="22"/>
                <w:szCs w:val="22"/>
                <w:lang w:val="lv-LV"/>
              </w:rPr>
              <w:t xml:space="preserve"> ceturtajā daļā, piektās daļas 6. un 7.punktā un 26.panta pirmajā daļā minētajos gadījumos un </w:t>
            </w:r>
            <w:hyperlink r:id="rId10" w:tgtFrame="_blank" w:history="1">
              <w:r w:rsidRPr="009D28E9">
                <w:rPr>
                  <w:sz w:val="22"/>
                  <w:szCs w:val="22"/>
                  <w:lang w:val="lv-LV"/>
                </w:rPr>
                <w:t>Darba likuma</w:t>
              </w:r>
            </w:hyperlink>
            <w:r w:rsidRPr="009D28E9">
              <w:rPr>
                <w:sz w:val="22"/>
                <w:szCs w:val="22"/>
                <w:lang w:val="lv-LV"/>
              </w:rPr>
              <w:t xml:space="preserve"> 74.panta pirmajā, otrajā un sestajā daļā minētajos gadījumos, un citos ārējos normatīvajos aktos noteiktos attaisnotas prombūtnes gadījumos. Darba samaksā, no kuras aprēķina vidējo izpeļņu, neieskaita darba devēja izmaksāto slimības naudu, atvaļinājuma apmaksu, atlīdzību šā likuma </w:t>
            </w:r>
            <w:hyperlink r:id="rId11" w:anchor="p3" w:history="1">
              <w:r w:rsidRPr="009D28E9">
                <w:rPr>
                  <w:sz w:val="22"/>
                  <w:szCs w:val="22"/>
                  <w:lang w:val="lv-LV"/>
                </w:rPr>
                <w:t>3.panta</w:t>
              </w:r>
            </w:hyperlink>
            <w:r w:rsidRPr="009D28E9">
              <w:rPr>
                <w:sz w:val="22"/>
                <w:szCs w:val="22"/>
                <w:lang w:val="lv-LV"/>
              </w:rPr>
              <w:t xml:space="preserve"> </w:t>
            </w:r>
            <w:r w:rsidRPr="009D28E9">
              <w:rPr>
                <w:sz w:val="22"/>
                <w:szCs w:val="22"/>
                <w:lang w:val="lv-LV"/>
              </w:rPr>
              <w:lastRenderedPageBreak/>
              <w:t xml:space="preserve">ceturtajā daļā, piektās daļas 6. un 7.punktā un 26.panta pirmajā daļā minētajos gadījumos un </w:t>
            </w:r>
            <w:hyperlink r:id="rId12" w:tgtFrame="_blank" w:history="1">
              <w:r w:rsidRPr="009D28E9">
                <w:rPr>
                  <w:sz w:val="22"/>
                  <w:szCs w:val="22"/>
                  <w:lang w:val="lv-LV"/>
                </w:rPr>
                <w:t>Darba likuma</w:t>
              </w:r>
            </w:hyperlink>
            <w:r w:rsidRPr="009D28E9">
              <w:rPr>
                <w:sz w:val="22"/>
                <w:szCs w:val="22"/>
                <w:lang w:val="lv-LV"/>
              </w:rPr>
              <w:t xml:space="preserve"> 74.panta pirmajā, otrajā un sestajā daļā minētajos gadījumos, un citos ārējos normatīvajos aktos noteiktos attaisnotas prombūtnes gadījumos.</w:t>
            </w:r>
          </w:p>
        </w:tc>
        <w:tc>
          <w:tcPr>
            <w:tcW w:w="3799" w:type="dxa"/>
          </w:tcPr>
          <w:p w:rsidR="004D7013" w:rsidRPr="005F449C" w:rsidRDefault="004D7013" w:rsidP="00CB589F">
            <w:pPr>
              <w:ind w:firstLine="596"/>
              <w:jc w:val="both"/>
              <w:rPr>
                <w:sz w:val="22"/>
                <w:szCs w:val="22"/>
                <w:lang w:val="lv-LV"/>
              </w:rPr>
            </w:pPr>
            <w:r w:rsidRPr="005F449C">
              <w:rPr>
                <w:sz w:val="22"/>
                <w:szCs w:val="22"/>
                <w:lang w:val="lv-LV"/>
              </w:rPr>
              <w:lastRenderedPageBreak/>
              <w:t>1. Izteikt 3.</w:t>
            </w:r>
            <w:r w:rsidRPr="005F449C">
              <w:rPr>
                <w:sz w:val="22"/>
                <w:szCs w:val="22"/>
                <w:vertAlign w:val="superscript"/>
                <w:lang w:val="lv-LV"/>
              </w:rPr>
              <w:t>1</w:t>
            </w:r>
            <w:r w:rsidRPr="005F449C">
              <w:rPr>
                <w:sz w:val="22"/>
                <w:szCs w:val="22"/>
                <w:lang w:val="lv-LV"/>
              </w:rPr>
              <w:t xml:space="preserve"> panta septīto daļu šādā redakcijā:</w:t>
            </w:r>
          </w:p>
          <w:p w:rsidR="004D7013" w:rsidRPr="005F449C" w:rsidRDefault="004D7013" w:rsidP="00CB589F">
            <w:pPr>
              <w:ind w:firstLine="596"/>
              <w:jc w:val="both"/>
              <w:rPr>
                <w:sz w:val="22"/>
                <w:szCs w:val="22"/>
                <w:lang w:val="lv-LV"/>
              </w:rPr>
            </w:pPr>
          </w:p>
          <w:p w:rsidR="004839D7" w:rsidRPr="005F449C" w:rsidRDefault="004D7013" w:rsidP="00CB589F">
            <w:pPr>
              <w:ind w:firstLine="596"/>
              <w:jc w:val="both"/>
              <w:rPr>
                <w:sz w:val="22"/>
                <w:szCs w:val="22"/>
                <w:lang w:val="lv-LV"/>
              </w:rPr>
            </w:pPr>
            <w:r w:rsidRPr="005F449C">
              <w:rPr>
                <w:sz w:val="22"/>
                <w:szCs w:val="22"/>
                <w:lang w:val="lv-LV"/>
              </w:rPr>
              <w:t xml:space="preserve">"(7) Nostrādāto dienu skaitā neietilpst pārejošas darbnespējas dienas, atvaļinājuma dienas, dienas, kad amatpersona (darbinieks) nav pildījusi amata (dienesta, darba) pienākumus šā likuma 3.panta ceturtās daļas 2., 3. un 4.punktā, piektās daļas 6. un 7.punktā un 26.panta pirmajā daļā minētajos gadījumos un Darba likuma 74.panta pirmajā, otrajā un sestajā daļā minētajos gadījumos, un citos ārējos normatīvajos aktos noteiktos attaisnotas prombūtnes gadījumos. Darba samaksā, no kuras aprēķina vidējo izpeļņu, neieskaita darba devēja izmaksāto slimības naudu, atvaļinājuma apmaksu, atlīdzību šā </w:t>
            </w:r>
            <w:r w:rsidRPr="005F449C">
              <w:rPr>
                <w:sz w:val="22"/>
                <w:szCs w:val="22"/>
                <w:lang w:val="lv-LV"/>
              </w:rPr>
              <w:lastRenderedPageBreak/>
              <w:t>likuma 3.panta ceturtās daļas 2., 3., 4., 7. un 8.punktā, piektās daļas 6., un 7.punktā un 26.panta pirmajā daļā minētajos gadījumos un Darba likuma 74.panta pirmajā, otrajā un sestajā daļā minētajos gadījumos, un citos ārējos normatīvajos aktos noteiktos attaisnotas prombūtnes gadījumos."</w:t>
            </w:r>
          </w:p>
        </w:tc>
        <w:tc>
          <w:tcPr>
            <w:tcW w:w="556" w:type="dxa"/>
          </w:tcPr>
          <w:p w:rsidR="00AD03E9" w:rsidRPr="005F449C" w:rsidRDefault="00AD03E9" w:rsidP="005960AD">
            <w:pPr>
              <w:ind w:left="-578" w:firstLine="567"/>
              <w:jc w:val="center"/>
              <w:rPr>
                <w:b/>
                <w:sz w:val="22"/>
                <w:szCs w:val="22"/>
                <w:lang w:val="lv-LV"/>
              </w:rPr>
            </w:pPr>
          </w:p>
        </w:tc>
        <w:tc>
          <w:tcPr>
            <w:tcW w:w="3799" w:type="dxa"/>
          </w:tcPr>
          <w:p w:rsidR="00AD03E9" w:rsidRPr="005F449C" w:rsidRDefault="00AD03E9" w:rsidP="006F0875">
            <w:pPr>
              <w:jc w:val="both"/>
              <w:rPr>
                <w:sz w:val="22"/>
                <w:szCs w:val="22"/>
                <w:lang w:val="lv-LV"/>
              </w:rPr>
            </w:pPr>
          </w:p>
        </w:tc>
        <w:tc>
          <w:tcPr>
            <w:tcW w:w="1418" w:type="dxa"/>
          </w:tcPr>
          <w:p w:rsidR="00AD03E9" w:rsidRPr="005F449C" w:rsidRDefault="00AD03E9" w:rsidP="00E24DFD">
            <w:pPr>
              <w:ind w:firstLine="567"/>
              <w:jc w:val="both"/>
              <w:rPr>
                <w:sz w:val="22"/>
                <w:szCs w:val="22"/>
                <w:lang w:val="lv-LV"/>
              </w:rPr>
            </w:pPr>
          </w:p>
        </w:tc>
        <w:tc>
          <w:tcPr>
            <w:tcW w:w="1418" w:type="dxa"/>
          </w:tcPr>
          <w:p w:rsidR="00AD03E9" w:rsidRPr="005F449C" w:rsidRDefault="00AD03E9" w:rsidP="00E24DFD">
            <w:pPr>
              <w:ind w:firstLine="567"/>
              <w:jc w:val="both"/>
              <w:rPr>
                <w:sz w:val="22"/>
                <w:szCs w:val="22"/>
                <w:lang w:val="lv-LV"/>
              </w:rPr>
            </w:pPr>
          </w:p>
        </w:tc>
      </w:tr>
      <w:tr w:rsidR="003450B3" w:rsidRPr="009D28E9" w:rsidTr="004137D3">
        <w:tc>
          <w:tcPr>
            <w:tcW w:w="3799" w:type="dxa"/>
          </w:tcPr>
          <w:p w:rsidR="004F33C6" w:rsidRPr="004F33C6" w:rsidRDefault="004F33C6" w:rsidP="004F33C6">
            <w:pPr>
              <w:pStyle w:val="tv2131"/>
              <w:spacing w:line="240" w:lineRule="auto"/>
              <w:ind w:firstLine="567"/>
              <w:jc w:val="both"/>
              <w:rPr>
                <w:color w:val="auto"/>
                <w:sz w:val="22"/>
                <w:szCs w:val="22"/>
              </w:rPr>
            </w:pPr>
            <w:r w:rsidRPr="004F33C6">
              <w:rPr>
                <w:b/>
                <w:bCs/>
                <w:color w:val="auto"/>
                <w:sz w:val="22"/>
                <w:szCs w:val="22"/>
              </w:rPr>
              <w:lastRenderedPageBreak/>
              <w:t>6.pants. Saeimas ievēlēto, apstiprināto un iecelto amatpersonu, izņemot Korupcijas novēršanas un apkarošanas biroja priekšnieku, mēnešalga</w:t>
            </w:r>
          </w:p>
          <w:p w:rsidR="004F33C6" w:rsidRPr="004F33C6" w:rsidRDefault="004F33C6" w:rsidP="004F33C6">
            <w:pPr>
              <w:pStyle w:val="tv2131"/>
              <w:spacing w:line="240" w:lineRule="auto"/>
              <w:ind w:firstLine="567"/>
              <w:jc w:val="both"/>
              <w:rPr>
                <w:color w:val="auto"/>
                <w:sz w:val="22"/>
                <w:szCs w:val="22"/>
              </w:rPr>
            </w:pPr>
            <w:r w:rsidRPr="004F33C6">
              <w:rPr>
                <w:color w:val="auto"/>
                <w:sz w:val="22"/>
                <w:szCs w:val="22"/>
              </w:rPr>
              <w:t>(1) Ministru kabineta locekļiem un parlamentārajiem sekretāriem mēnešalgu nosaka, mēneša vidējās darba samaksas apmēram, kas noapaļots pilnos latos</w:t>
            </w:r>
            <w:r w:rsidR="00195D9A">
              <w:rPr>
                <w:rStyle w:val="FootnoteReference"/>
                <w:color w:val="auto"/>
                <w:sz w:val="22"/>
                <w:szCs w:val="22"/>
              </w:rPr>
              <w:footnoteReference w:id="1"/>
            </w:r>
            <w:r w:rsidRPr="004F33C6">
              <w:rPr>
                <w:color w:val="auto"/>
                <w:sz w:val="22"/>
                <w:szCs w:val="22"/>
              </w:rPr>
              <w:t>, piemērojot šādu koeficientu:</w:t>
            </w:r>
          </w:p>
          <w:p w:rsidR="004F33C6" w:rsidRPr="004F33C6" w:rsidRDefault="004F33C6" w:rsidP="004F33C6">
            <w:pPr>
              <w:pStyle w:val="tv2131"/>
              <w:spacing w:line="240" w:lineRule="auto"/>
              <w:ind w:firstLine="567"/>
              <w:jc w:val="both"/>
              <w:rPr>
                <w:color w:val="auto"/>
                <w:sz w:val="22"/>
                <w:szCs w:val="22"/>
              </w:rPr>
            </w:pPr>
            <w:r w:rsidRPr="004F33C6">
              <w:rPr>
                <w:color w:val="auto"/>
                <w:sz w:val="22"/>
                <w:szCs w:val="22"/>
              </w:rPr>
              <w:t xml:space="preserve">1) Ministru prezidentam — </w:t>
            </w:r>
            <w:r w:rsidRPr="004F33C6">
              <w:rPr>
                <w:color w:val="auto"/>
                <w:sz w:val="22"/>
                <w:szCs w:val="22"/>
                <w:u w:val="single"/>
              </w:rPr>
              <w:t>4,05</w:t>
            </w:r>
            <w:r w:rsidRPr="004F33C6">
              <w:rPr>
                <w:color w:val="auto"/>
                <w:sz w:val="22"/>
                <w:szCs w:val="22"/>
              </w:rPr>
              <w:t>;</w:t>
            </w:r>
          </w:p>
          <w:p w:rsidR="004F33C6" w:rsidRPr="004F33C6" w:rsidRDefault="004F33C6" w:rsidP="004F33C6">
            <w:pPr>
              <w:pStyle w:val="tv2131"/>
              <w:spacing w:line="240" w:lineRule="auto"/>
              <w:ind w:firstLine="567"/>
              <w:jc w:val="both"/>
              <w:rPr>
                <w:color w:val="auto"/>
                <w:sz w:val="22"/>
                <w:szCs w:val="22"/>
              </w:rPr>
            </w:pPr>
            <w:r w:rsidRPr="004F33C6">
              <w:rPr>
                <w:color w:val="auto"/>
                <w:sz w:val="22"/>
                <w:szCs w:val="22"/>
              </w:rPr>
              <w:t>2) Ministru prezidenta biedram — 3,85;</w:t>
            </w:r>
          </w:p>
          <w:p w:rsidR="004F33C6" w:rsidRPr="004F33C6" w:rsidRDefault="004F33C6" w:rsidP="004F33C6">
            <w:pPr>
              <w:pStyle w:val="tv2131"/>
              <w:spacing w:line="240" w:lineRule="auto"/>
              <w:ind w:firstLine="567"/>
              <w:jc w:val="both"/>
              <w:rPr>
                <w:color w:val="auto"/>
                <w:sz w:val="22"/>
                <w:szCs w:val="22"/>
              </w:rPr>
            </w:pPr>
            <w:r w:rsidRPr="004F33C6">
              <w:rPr>
                <w:color w:val="auto"/>
                <w:sz w:val="22"/>
                <w:szCs w:val="22"/>
              </w:rPr>
              <w:t xml:space="preserve">3) ministram, īpašu uzdevumu ministram — </w:t>
            </w:r>
            <w:r w:rsidRPr="004F33C6">
              <w:rPr>
                <w:color w:val="auto"/>
                <w:sz w:val="22"/>
                <w:szCs w:val="22"/>
                <w:u w:val="single"/>
              </w:rPr>
              <w:t>3,648</w:t>
            </w:r>
            <w:r w:rsidRPr="004F33C6">
              <w:rPr>
                <w:color w:val="auto"/>
                <w:sz w:val="22"/>
                <w:szCs w:val="22"/>
              </w:rPr>
              <w:t>;</w:t>
            </w:r>
          </w:p>
          <w:p w:rsidR="003450B3" w:rsidRPr="005F449C" w:rsidRDefault="004F33C6" w:rsidP="004F33C6">
            <w:pPr>
              <w:pStyle w:val="tv2131"/>
              <w:spacing w:line="240" w:lineRule="auto"/>
              <w:ind w:firstLine="567"/>
              <w:jc w:val="both"/>
              <w:rPr>
                <w:b/>
                <w:bCs/>
                <w:sz w:val="22"/>
                <w:szCs w:val="22"/>
              </w:rPr>
            </w:pPr>
            <w:r w:rsidRPr="004F33C6">
              <w:rPr>
                <w:color w:val="auto"/>
                <w:sz w:val="22"/>
                <w:szCs w:val="22"/>
              </w:rPr>
              <w:t>4) parlamentārajam sekretāram — 2,837.</w:t>
            </w:r>
          </w:p>
        </w:tc>
        <w:tc>
          <w:tcPr>
            <w:tcW w:w="3799" w:type="dxa"/>
          </w:tcPr>
          <w:p w:rsidR="003450B3" w:rsidRPr="005F449C" w:rsidRDefault="003450B3" w:rsidP="00836A8B">
            <w:pPr>
              <w:ind w:firstLine="596"/>
              <w:jc w:val="both"/>
              <w:rPr>
                <w:sz w:val="22"/>
                <w:szCs w:val="22"/>
                <w:lang w:val="lv-LV"/>
              </w:rPr>
            </w:pPr>
          </w:p>
        </w:tc>
        <w:tc>
          <w:tcPr>
            <w:tcW w:w="556" w:type="dxa"/>
          </w:tcPr>
          <w:p w:rsidR="003450B3" w:rsidRPr="004F3B57" w:rsidRDefault="003450B3" w:rsidP="005960AD">
            <w:pPr>
              <w:ind w:left="-578" w:firstLine="567"/>
              <w:jc w:val="center"/>
              <w:rPr>
                <w:b/>
                <w:sz w:val="22"/>
                <w:szCs w:val="22"/>
                <w:lang w:val="lv-LV"/>
              </w:rPr>
            </w:pPr>
          </w:p>
          <w:p w:rsidR="004F3B57" w:rsidRPr="004F3B57" w:rsidRDefault="004F3B57" w:rsidP="005960AD">
            <w:pPr>
              <w:ind w:left="-578" w:firstLine="567"/>
              <w:jc w:val="center"/>
              <w:rPr>
                <w:b/>
                <w:sz w:val="22"/>
                <w:szCs w:val="22"/>
                <w:lang w:val="lv-LV"/>
              </w:rPr>
            </w:pPr>
          </w:p>
          <w:p w:rsidR="004F3B57" w:rsidRPr="004F3B57" w:rsidRDefault="004F3B57" w:rsidP="005960AD">
            <w:pPr>
              <w:ind w:left="-578" w:firstLine="567"/>
              <w:jc w:val="center"/>
              <w:rPr>
                <w:b/>
                <w:sz w:val="22"/>
                <w:szCs w:val="22"/>
                <w:lang w:val="lv-LV"/>
              </w:rPr>
            </w:pPr>
          </w:p>
          <w:p w:rsidR="004F3B57" w:rsidRPr="004F3B57" w:rsidRDefault="004F3B57" w:rsidP="005960AD">
            <w:pPr>
              <w:ind w:left="-578" w:firstLine="567"/>
              <w:jc w:val="center"/>
              <w:rPr>
                <w:b/>
                <w:sz w:val="22"/>
                <w:szCs w:val="22"/>
                <w:lang w:val="lv-LV"/>
              </w:rPr>
            </w:pPr>
          </w:p>
          <w:p w:rsidR="004F3B57" w:rsidRPr="004F3B57" w:rsidRDefault="004F3B57" w:rsidP="005960AD">
            <w:pPr>
              <w:ind w:left="-578" w:firstLine="567"/>
              <w:jc w:val="center"/>
              <w:rPr>
                <w:b/>
                <w:sz w:val="22"/>
                <w:szCs w:val="22"/>
                <w:lang w:val="lv-LV"/>
              </w:rPr>
            </w:pPr>
          </w:p>
          <w:p w:rsidR="004F3B57" w:rsidRDefault="004F3B57" w:rsidP="005960AD">
            <w:pPr>
              <w:ind w:left="-578" w:firstLine="567"/>
              <w:jc w:val="center"/>
              <w:rPr>
                <w:b/>
                <w:sz w:val="22"/>
                <w:szCs w:val="22"/>
                <w:lang w:val="lv-LV"/>
              </w:rPr>
            </w:pPr>
          </w:p>
          <w:p w:rsidR="004F3B57" w:rsidRPr="004F3B57" w:rsidRDefault="004F3B57" w:rsidP="005960AD">
            <w:pPr>
              <w:ind w:left="-578" w:firstLine="567"/>
              <w:jc w:val="center"/>
              <w:rPr>
                <w:b/>
                <w:sz w:val="22"/>
                <w:szCs w:val="22"/>
                <w:lang w:val="lv-LV"/>
              </w:rPr>
            </w:pPr>
          </w:p>
          <w:p w:rsidR="004F3B57" w:rsidRDefault="004F3B57" w:rsidP="005960AD">
            <w:pPr>
              <w:ind w:left="-578" w:firstLine="567"/>
              <w:jc w:val="center"/>
              <w:rPr>
                <w:b/>
                <w:sz w:val="22"/>
                <w:szCs w:val="22"/>
                <w:lang w:val="lv-LV"/>
              </w:rPr>
            </w:pPr>
          </w:p>
          <w:p w:rsidR="004F3B57" w:rsidRDefault="004F3B57" w:rsidP="005960AD">
            <w:pPr>
              <w:ind w:left="-578" w:firstLine="567"/>
              <w:jc w:val="center"/>
              <w:rPr>
                <w:b/>
                <w:sz w:val="22"/>
                <w:szCs w:val="22"/>
                <w:lang w:val="lv-LV"/>
              </w:rPr>
            </w:pPr>
            <w:r w:rsidRPr="004F3B57">
              <w:rPr>
                <w:b/>
                <w:sz w:val="22"/>
                <w:szCs w:val="22"/>
                <w:lang w:val="lv-LV"/>
              </w:rPr>
              <w:t>1</w:t>
            </w:r>
          </w:p>
          <w:p w:rsidR="004F3B57" w:rsidRDefault="004F3B57" w:rsidP="005960AD">
            <w:pPr>
              <w:ind w:left="-578" w:firstLine="567"/>
              <w:jc w:val="center"/>
              <w:rPr>
                <w:b/>
                <w:sz w:val="22"/>
                <w:szCs w:val="22"/>
                <w:lang w:val="lv-LV"/>
              </w:rPr>
            </w:pPr>
          </w:p>
          <w:p w:rsidR="004F3B57" w:rsidRDefault="004F3B57" w:rsidP="005960AD">
            <w:pPr>
              <w:ind w:left="-578" w:firstLine="567"/>
              <w:jc w:val="center"/>
              <w:rPr>
                <w:b/>
                <w:sz w:val="22"/>
                <w:szCs w:val="22"/>
                <w:lang w:val="lv-LV"/>
              </w:rPr>
            </w:pPr>
          </w:p>
          <w:p w:rsidR="004F3B57" w:rsidRDefault="004F3B57" w:rsidP="005960AD">
            <w:pPr>
              <w:ind w:left="-578" w:firstLine="567"/>
              <w:jc w:val="center"/>
              <w:rPr>
                <w:b/>
                <w:sz w:val="22"/>
                <w:szCs w:val="22"/>
                <w:lang w:val="lv-LV"/>
              </w:rPr>
            </w:pPr>
          </w:p>
          <w:p w:rsidR="004F3B57" w:rsidRDefault="004F3B57" w:rsidP="005960AD">
            <w:pPr>
              <w:ind w:left="-578" w:firstLine="567"/>
              <w:jc w:val="center"/>
              <w:rPr>
                <w:b/>
                <w:sz w:val="22"/>
                <w:szCs w:val="22"/>
                <w:lang w:val="lv-LV"/>
              </w:rPr>
            </w:pPr>
          </w:p>
          <w:p w:rsidR="004F3B57" w:rsidRPr="004F3B57" w:rsidRDefault="004F3B57" w:rsidP="005960AD">
            <w:pPr>
              <w:ind w:left="-578" w:firstLine="567"/>
              <w:jc w:val="center"/>
              <w:rPr>
                <w:b/>
                <w:sz w:val="22"/>
                <w:szCs w:val="22"/>
                <w:lang w:val="lv-LV"/>
              </w:rPr>
            </w:pPr>
            <w:r>
              <w:rPr>
                <w:b/>
                <w:sz w:val="22"/>
                <w:szCs w:val="22"/>
                <w:lang w:val="lv-LV"/>
              </w:rPr>
              <w:t>2</w:t>
            </w:r>
          </w:p>
        </w:tc>
        <w:tc>
          <w:tcPr>
            <w:tcW w:w="3799" w:type="dxa"/>
          </w:tcPr>
          <w:p w:rsidR="004F33C6" w:rsidRPr="004F3B57" w:rsidRDefault="004F33C6" w:rsidP="003450B3">
            <w:pPr>
              <w:jc w:val="center"/>
              <w:rPr>
                <w:rFonts w:cs="Calibri"/>
                <w:b/>
                <w:sz w:val="22"/>
                <w:szCs w:val="22"/>
                <w:u w:val="single"/>
                <w:lang w:val="lv-LV"/>
              </w:rPr>
            </w:pPr>
          </w:p>
          <w:p w:rsidR="004F33C6" w:rsidRPr="004F3B57" w:rsidRDefault="004F33C6" w:rsidP="003450B3">
            <w:pPr>
              <w:jc w:val="center"/>
              <w:rPr>
                <w:rFonts w:cs="Calibri"/>
                <w:b/>
                <w:sz w:val="22"/>
                <w:szCs w:val="22"/>
                <w:u w:val="single"/>
                <w:lang w:val="lv-LV"/>
              </w:rPr>
            </w:pPr>
          </w:p>
          <w:p w:rsidR="004F33C6" w:rsidRPr="004F3B57" w:rsidRDefault="004F33C6" w:rsidP="003450B3">
            <w:pPr>
              <w:jc w:val="center"/>
              <w:rPr>
                <w:rFonts w:cs="Calibri"/>
                <w:b/>
                <w:sz w:val="22"/>
                <w:szCs w:val="22"/>
                <w:u w:val="single"/>
                <w:lang w:val="lv-LV"/>
              </w:rPr>
            </w:pPr>
          </w:p>
          <w:p w:rsidR="004F33C6" w:rsidRPr="004F3B57" w:rsidRDefault="004F33C6" w:rsidP="003450B3">
            <w:pPr>
              <w:jc w:val="center"/>
              <w:rPr>
                <w:rFonts w:cs="Calibri"/>
                <w:b/>
                <w:sz w:val="22"/>
                <w:szCs w:val="22"/>
                <w:u w:val="single"/>
                <w:lang w:val="lv-LV"/>
              </w:rPr>
            </w:pPr>
          </w:p>
          <w:p w:rsidR="004F3B57" w:rsidRPr="004F3B57" w:rsidRDefault="004F3B57" w:rsidP="003450B3">
            <w:pPr>
              <w:jc w:val="center"/>
              <w:rPr>
                <w:rFonts w:cs="Calibri"/>
                <w:b/>
                <w:sz w:val="22"/>
                <w:szCs w:val="22"/>
                <w:u w:val="single"/>
                <w:lang w:val="lv-LV"/>
              </w:rPr>
            </w:pPr>
          </w:p>
          <w:p w:rsidR="004F3B57" w:rsidRDefault="004F3B57" w:rsidP="003450B3">
            <w:pPr>
              <w:jc w:val="center"/>
              <w:rPr>
                <w:rFonts w:cs="Calibri"/>
                <w:b/>
                <w:sz w:val="22"/>
                <w:szCs w:val="22"/>
                <w:u w:val="single"/>
                <w:lang w:val="lv-LV"/>
              </w:rPr>
            </w:pPr>
          </w:p>
          <w:p w:rsidR="004F3B57" w:rsidRPr="004F3B57" w:rsidRDefault="004F3B57" w:rsidP="003450B3">
            <w:pPr>
              <w:jc w:val="center"/>
              <w:rPr>
                <w:rFonts w:cs="Calibri"/>
                <w:b/>
                <w:sz w:val="22"/>
                <w:szCs w:val="22"/>
                <w:u w:val="single"/>
                <w:lang w:val="lv-LV"/>
              </w:rPr>
            </w:pPr>
          </w:p>
          <w:p w:rsidR="004F33C6" w:rsidRPr="004F3B57" w:rsidRDefault="004F33C6" w:rsidP="003450B3">
            <w:pPr>
              <w:jc w:val="center"/>
              <w:rPr>
                <w:rFonts w:cs="Calibri"/>
                <w:b/>
                <w:sz w:val="22"/>
                <w:szCs w:val="22"/>
                <w:u w:val="single"/>
                <w:lang w:val="lv-LV"/>
              </w:rPr>
            </w:pPr>
          </w:p>
          <w:p w:rsidR="003450B3" w:rsidRPr="004F3B57" w:rsidRDefault="003450B3" w:rsidP="004F3B57">
            <w:pPr>
              <w:ind w:firstLine="493"/>
              <w:jc w:val="center"/>
              <w:rPr>
                <w:rFonts w:cs="Calibri"/>
                <w:b/>
                <w:sz w:val="22"/>
                <w:szCs w:val="22"/>
                <w:u w:val="single"/>
                <w:lang w:val="lv-LV"/>
              </w:rPr>
            </w:pPr>
            <w:r w:rsidRPr="004F3B57">
              <w:rPr>
                <w:rFonts w:cs="Calibri"/>
                <w:b/>
                <w:sz w:val="22"/>
                <w:szCs w:val="22"/>
                <w:u w:val="single"/>
                <w:lang w:val="lv-LV"/>
              </w:rPr>
              <w:t>Deputāte E.Siliņa</w:t>
            </w:r>
          </w:p>
          <w:p w:rsidR="003450B3" w:rsidRPr="004F3B57" w:rsidRDefault="003450B3" w:rsidP="004F3B57">
            <w:pPr>
              <w:ind w:firstLine="493"/>
              <w:jc w:val="both"/>
              <w:rPr>
                <w:rFonts w:cs="Calibri"/>
                <w:sz w:val="22"/>
                <w:szCs w:val="22"/>
                <w:lang w:val="lv-LV"/>
              </w:rPr>
            </w:pPr>
            <w:r w:rsidRPr="004F3B57">
              <w:rPr>
                <w:rFonts w:cs="Calibri"/>
                <w:sz w:val="22"/>
                <w:szCs w:val="22"/>
                <w:lang w:val="lv-LV"/>
              </w:rPr>
              <w:t>Aizstāt likuma 6.panta pirmās daļas 1.punktā skaitli „4,05” ar skaitli „</w:t>
            </w:r>
            <w:r w:rsidRPr="004F3B57">
              <w:rPr>
                <w:rFonts w:cs="Calibri"/>
                <w:sz w:val="22"/>
                <w:szCs w:val="22"/>
                <w:u w:val="single"/>
                <w:lang w:val="lv-LV"/>
              </w:rPr>
              <w:t>4,50</w:t>
            </w:r>
            <w:r w:rsidRPr="004F3B57">
              <w:rPr>
                <w:rFonts w:cs="Calibri"/>
                <w:sz w:val="22"/>
                <w:szCs w:val="22"/>
                <w:lang w:val="lv-LV"/>
              </w:rPr>
              <w:t>”.</w:t>
            </w:r>
          </w:p>
          <w:p w:rsidR="004F3B57" w:rsidRDefault="004F3B57" w:rsidP="004F3B57">
            <w:pPr>
              <w:ind w:firstLine="493"/>
              <w:jc w:val="center"/>
              <w:rPr>
                <w:rFonts w:cs="Calibri"/>
                <w:b/>
                <w:sz w:val="22"/>
                <w:szCs w:val="22"/>
                <w:u w:val="single"/>
                <w:lang w:val="lv-LV"/>
              </w:rPr>
            </w:pPr>
          </w:p>
          <w:p w:rsidR="003450B3" w:rsidRPr="004F3B57" w:rsidRDefault="003450B3" w:rsidP="004F3B57">
            <w:pPr>
              <w:ind w:firstLine="493"/>
              <w:jc w:val="center"/>
              <w:rPr>
                <w:rFonts w:cs="Calibri"/>
                <w:b/>
                <w:sz w:val="22"/>
                <w:szCs w:val="22"/>
                <w:u w:val="single"/>
                <w:lang w:val="lv-LV"/>
              </w:rPr>
            </w:pPr>
            <w:r w:rsidRPr="004F3B57">
              <w:rPr>
                <w:rFonts w:cs="Calibri"/>
                <w:b/>
                <w:sz w:val="22"/>
                <w:szCs w:val="22"/>
                <w:u w:val="single"/>
                <w:lang w:val="lv-LV"/>
              </w:rPr>
              <w:t>Deputāte E.Siliņa</w:t>
            </w:r>
          </w:p>
          <w:p w:rsidR="003450B3" w:rsidRPr="004F3B57" w:rsidRDefault="003450B3" w:rsidP="004F3B57">
            <w:pPr>
              <w:ind w:firstLine="493"/>
              <w:jc w:val="both"/>
              <w:rPr>
                <w:sz w:val="22"/>
                <w:szCs w:val="22"/>
                <w:lang w:val="lv-LV"/>
              </w:rPr>
            </w:pPr>
            <w:r w:rsidRPr="004F3B57">
              <w:rPr>
                <w:rFonts w:cs="Calibri"/>
                <w:sz w:val="22"/>
                <w:szCs w:val="22"/>
                <w:lang w:val="lv-LV"/>
              </w:rPr>
              <w:t>Aizstāt likuma 6.panta pirmās daļas 3.punktā skaitli „3,648” ar skaitli „</w:t>
            </w:r>
            <w:r w:rsidRPr="004F3B57">
              <w:rPr>
                <w:rFonts w:cs="Calibri"/>
                <w:sz w:val="22"/>
                <w:szCs w:val="22"/>
                <w:u w:val="single"/>
                <w:lang w:val="lv-LV"/>
              </w:rPr>
              <w:t>4,00</w:t>
            </w:r>
            <w:r w:rsidRPr="004F3B57">
              <w:rPr>
                <w:rFonts w:cs="Calibri"/>
                <w:sz w:val="22"/>
                <w:szCs w:val="22"/>
                <w:lang w:val="lv-LV"/>
              </w:rPr>
              <w:t>”.</w:t>
            </w:r>
          </w:p>
        </w:tc>
        <w:tc>
          <w:tcPr>
            <w:tcW w:w="1418" w:type="dxa"/>
          </w:tcPr>
          <w:p w:rsidR="003450B3" w:rsidRPr="005F449C" w:rsidRDefault="003450B3" w:rsidP="00E24DFD">
            <w:pPr>
              <w:ind w:firstLine="567"/>
              <w:jc w:val="both"/>
              <w:rPr>
                <w:sz w:val="22"/>
                <w:szCs w:val="22"/>
                <w:lang w:val="lv-LV"/>
              </w:rPr>
            </w:pPr>
          </w:p>
        </w:tc>
        <w:tc>
          <w:tcPr>
            <w:tcW w:w="1418" w:type="dxa"/>
          </w:tcPr>
          <w:p w:rsidR="003450B3" w:rsidRPr="005F449C" w:rsidRDefault="003450B3" w:rsidP="00E24DFD">
            <w:pPr>
              <w:ind w:firstLine="567"/>
              <w:jc w:val="both"/>
              <w:rPr>
                <w:sz w:val="22"/>
                <w:szCs w:val="22"/>
                <w:lang w:val="lv-LV"/>
              </w:rPr>
            </w:pPr>
          </w:p>
        </w:tc>
      </w:tr>
      <w:tr w:rsidR="00C00213" w:rsidRPr="009D28E9" w:rsidTr="004137D3">
        <w:tc>
          <w:tcPr>
            <w:tcW w:w="3799" w:type="dxa"/>
          </w:tcPr>
          <w:p w:rsidR="00C00213" w:rsidRPr="005F449C" w:rsidRDefault="00C00213" w:rsidP="00C00213">
            <w:pPr>
              <w:ind w:firstLine="567"/>
              <w:jc w:val="both"/>
              <w:rPr>
                <w:b/>
                <w:bCs/>
                <w:sz w:val="22"/>
                <w:szCs w:val="22"/>
                <w:lang w:val="lv-LV"/>
              </w:rPr>
            </w:pPr>
            <w:r w:rsidRPr="005F449C">
              <w:rPr>
                <w:b/>
                <w:bCs/>
                <w:sz w:val="22"/>
                <w:szCs w:val="22"/>
                <w:lang w:val="lv-LV"/>
              </w:rPr>
              <w:t>14.pants. Vispārējās piemaksas</w:t>
            </w:r>
          </w:p>
          <w:p w:rsidR="00C00213" w:rsidRDefault="00C00213" w:rsidP="00C00213">
            <w:pPr>
              <w:ind w:firstLine="567"/>
              <w:jc w:val="both"/>
              <w:rPr>
                <w:sz w:val="22"/>
                <w:szCs w:val="22"/>
                <w:lang w:val="lv-LV"/>
              </w:rPr>
            </w:pPr>
            <w:r w:rsidRPr="00C00213">
              <w:rPr>
                <w:sz w:val="22"/>
                <w:szCs w:val="22"/>
                <w:lang w:val="lv-LV"/>
              </w:rPr>
              <w:t>(8) Amatpersonai (darbiniekam), kam noteikts normālais nedēļas darba laiks, virsstundu darbu apmaksā par katru kalendāra mēnesi saskaņā ar darba laika uzskaites datiem.</w:t>
            </w:r>
          </w:p>
          <w:p w:rsidR="00C00213" w:rsidRPr="005F449C" w:rsidRDefault="00C00213" w:rsidP="00C00213">
            <w:pPr>
              <w:ind w:firstLine="567"/>
              <w:jc w:val="both"/>
              <w:rPr>
                <w:b/>
                <w:bCs/>
                <w:sz w:val="22"/>
                <w:szCs w:val="22"/>
                <w:lang w:val="lv-LV"/>
              </w:rPr>
            </w:pPr>
          </w:p>
        </w:tc>
        <w:tc>
          <w:tcPr>
            <w:tcW w:w="3799" w:type="dxa"/>
          </w:tcPr>
          <w:p w:rsidR="00C00213" w:rsidRPr="005F449C" w:rsidRDefault="00C00213" w:rsidP="00836A8B">
            <w:pPr>
              <w:ind w:firstLine="596"/>
              <w:jc w:val="both"/>
              <w:rPr>
                <w:sz w:val="22"/>
                <w:szCs w:val="22"/>
                <w:lang w:val="lv-LV"/>
              </w:rPr>
            </w:pPr>
          </w:p>
        </w:tc>
        <w:tc>
          <w:tcPr>
            <w:tcW w:w="556" w:type="dxa"/>
          </w:tcPr>
          <w:p w:rsidR="00C00213" w:rsidRPr="005F449C" w:rsidRDefault="00C00213" w:rsidP="005960AD">
            <w:pPr>
              <w:ind w:left="-578" w:firstLine="567"/>
              <w:jc w:val="center"/>
              <w:rPr>
                <w:b/>
                <w:sz w:val="22"/>
                <w:szCs w:val="22"/>
                <w:lang w:val="lv-LV"/>
              </w:rPr>
            </w:pPr>
          </w:p>
        </w:tc>
        <w:tc>
          <w:tcPr>
            <w:tcW w:w="3799" w:type="dxa"/>
          </w:tcPr>
          <w:p w:rsidR="00C00213" w:rsidRPr="005F449C" w:rsidRDefault="00C00213" w:rsidP="006F0875">
            <w:pPr>
              <w:jc w:val="both"/>
              <w:rPr>
                <w:sz w:val="22"/>
                <w:szCs w:val="22"/>
                <w:lang w:val="lv-LV"/>
              </w:rPr>
            </w:pPr>
          </w:p>
        </w:tc>
        <w:tc>
          <w:tcPr>
            <w:tcW w:w="1418" w:type="dxa"/>
          </w:tcPr>
          <w:p w:rsidR="00C00213" w:rsidRPr="005F449C" w:rsidRDefault="00C00213" w:rsidP="00E24DFD">
            <w:pPr>
              <w:ind w:firstLine="567"/>
              <w:jc w:val="both"/>
              <w:rPr>
                <w:sz w:val="22"/>
                <w:szCs w:val="22"/>
                <w:lang w:val="lv-LV"/>
              </w:rPr>
            </w:pPr>
          </w:p>
        </w:tc>
        <w:tc>
          <w:tcPr>
            <w:tcW w:w="1418" w:type="dxa"/>
          </w:tcPr>
          <w:p w:rsidR="00C00213" w:rsidRPr="005F449C" w:rsidRDefault="00C00213" w:rsidP="00E24DFD">
            <w:pPr>
              <w:ind w:firstLine="567"/>
              <w:jc w:val="both"/>
              <w:rPr>
                <w:sz w:val="22"/>
                <w:szCs w:val="22"/>
                <w:lang w:val="lv-LV"/>
              </w:rPr>
            </w:pPr>
          </w:p>
        </w:tc>
      </w:tr>
      <w:tr w:rsidR="00CB589F" w:rsidRPr="009D28E9" w:rsidTr="004137D3">
        <w:tc>
          <w:tcPr>
            <w:tcW w:w="3799" w:type="dxa"/>
          </w:tcPr>
          <w:p w:rsidR="00F44802" w:rsidRPr="005F449C" w:rsidRDefault="00C00213" w:rsidP="00836A8B">
            <w:pPr>
              <w:ind w:firstLine="567"/>
              <w:jc w:val="both"/>
              <w:rPr>
                <w:sz w:val="22"/>
                <w:szCs w:val="22"/>
                <w:lang w:val="lv-LV" w:eastAsia="lv-LV"/>
              </w:rPr>
            </w:pPr>
            <w:r w:rsidRPr="005F449C">
              <w:rPr>
                <w:sz w:val="22"/>
                <w:szCs w:val="22"/>
                <w:lang w:val="lv-LV"/>
              </w:rPr>
              <w:lastRenderedPageBreak/>
              <w:t xml:space="preserve"> </w:t>
            </w:r>
            <w:r w:rsidR="00F44802" w:rsidRPr="005F449C">
              <w:rPr>
                <w:sz w:val="22"/>
                <w:szCs w:val="22"/>
                <w:lang w:val="lv-LV"/>
              </w:rPr>
              <w:t>(9) Amatpersonai (darbiniekam), kam noteikts summētais darba laiks, tā atskaites periods ir četri mēneši, ja normatīvajos aktos vai darba koplīgumā nav noteikts cits atskaites periods. Apmaksā virsstundas, kas četru kalendāra mēnešu laikā nostrādātas virs normālā darba laika stundu kopsummas. Normālā darba laika stundu kopsummā neieskaita laiku, kad darbs nav veikts attaisnojošu iemeslu dēļ.</w:t>
            </w:r>
          </w:p>
        </w:tc>
        <w:tc>
          <w:tcPr>
            <w:tcW w:w="3799" w:type="dxa"/>
          </w:tcPr>
          <w:p w:rsidR="00CB589F" w:rsidRPr="005F449C" w:rsidRDefault="00CB589F" w:rsidP="00836A8B">
            <w:pPr>
              <w:ind w:firstLine="596"/>
              <w:jc w:val="both"/>
              <w:rPr>
                <w:sz w:val="22"/>
                <w:szCs w:val="22"/>
                <w:lang w:val="lv-LV"/>
              </w:rPr>
            </w:pPr>
            <w:r w:rsidRPr="005F449C">
              <w:rPr>
                <w:sz w:val="22"/>
                <w:szCs w:val="22"/>
                <w:lang w:val="lv-LV"/>
              </w:rPr>
              <w:t>2. 14.pantā:</w:t>
            </w:r>
          </w:p>
          <w:p w:rsidR="00CB589F" w:rsidRPr="005F449C" w:rsidRDefault="00CB589F" w:rsidP="00836A8B">
            <w:pPr>
              <w:pStyle w:val="NormalWeb"/>
              <w:spacing w:before="0" w:after="0"/>
              <w:ind w:firstLine="596"/>
              <w:rPr>
                <w:sz w:val="22"/>
                <w:szCs w:val="22"/>
              </w:rPr>
            </w:pPr>
            <w:r w:rsidRPr="005F449C">
              <w:rPr>
                <w:sz w:val="22"/>
                <w:szCs w:val="22"/>
              </w:rPr>
              <w:t>izteikt devītās daļas otro teikumu šādā redakcijā:</w:t>
            </w:r>
          </w:p>
          <w:p w:rsidR="00CB589F" w:rsidRPr="005F449C" w:rsidRDefault="00CB589F" w:rsidP="00836A8B">
            <w:pPr>
              <w:ind w:firstLine="596"/>
              <w:jc w:val="both"/>
              <w:rPr>
                <w:sz w:val="22"/>
                <w:szCs w:val="22"/>
                <w:lang w:val="lv-LV"/>
              </w:rPr>
            </w:pPr>
          </w:p>
          <w:p w:rsidR="00CB589F" w:rsidRPr="005F449C" w:rsidRDefault="00CB589F" w:rsidP="004F3B57">
            <w:pPr>
              <w:ind w:firstLine="596"/>
              <w:jc w:val="both"/>
              <w:rPr>
                <w:sz w:val="22"/>
                <w:szCs w:val="22"/>
                <w:lang w:val="lv-LV"/>
              </w:rPr>
            </w:pPr>
            <w:r w:rsidRPr="005F449C">
              <w:rPr>
                <w:sz w:val="22"/>
                <w:szCs w:val="22"/>
                <w:lang w:val="lv-LV"/>
              </w:rPr>
              <w:t>"Apmaksā vai ar apmaksātu atpūtas laiku kompensē virsstundas, kas četru kalendāra mēnešu laikā vai normatīvajos aktos vai darba koplīgumā noteiktajā atskaites periodā nostrādātas virs normālā darba laika stundu kopsummas.";</w:t>
            </w:r>
          </w:p>
        </w:tc>
        <w:tc>
          <w:tcPr>
            <w:tcW w:w="556" w:type="dxa"/>
          </w:tcPr>
          <w:p w:rsidR="00CB589F" w:rsidRPr="005F449C" w:rsidRDefault="004F3B57" w:rsidP="005960AD">
            <w:pPr>
              <w:ind w:left="-578" w:firstLine="567"/>
              <w:jc w:val="center"/>
              <w:rPr>
                <w:b/>
                <w:sz w:val="22"/>
                <w:szCs w:val="22"/>
                <w:lang w:val="lv-LV"/>
              </w:rPr>
            </w:pPr>
            <w:r>
              <w:rPr>
                <w:b/>
                <w:sz w:val="22"/>
                <w:szCs w:val="22"/>
                <w:lang w:val="lv-LV"/>
              </w:rPr>
              <w:t>3</w:t>
            </w:r>
          </w:p>
        </w:tc>
        <w:tc>
          <w:tcPr>
            <w:tcW w:w="3799" w:type="dxa"/>
          </w:tcPr>
          <w:p w:rsidR="00CB589F" w:rsidRPr="004F3B57" w:rsidRDefault="004F3B57" w:rsidP="004F3B57">
            <w:pPr>
              <w:ind w:firstLine="635"/>
              <w:jc w:val="both"/>
              <w:rPr>
                <w:b/>
                <w:sz w:val="22"/>
                <w:szCs w:val="22"/>
                <w:u w:val="single"/>
                <w:lang w:val="lv-LV"/>
              </w:rPr>
            </w:pPr>
            <w:r w:rsidRPr="004F3B57">
              <w:rPr>
                <w:b/>
                <w:sz w:val="22"/>
                <w:szCs w:val="22"/>
                <w:u w:val="single"/>
                <w:lang w:val="lv-LV"/>
              </w:rPr>
              <w:t xml:space="preserve">Juridiskais birojs </w:t>
            </w:r>
          </w:p>
          <w:p w:rsidR="004F3B57" w:rsidRPr="005F449C" w:rsidRDefault="004F3B57" w:rsidP="004F3B57">
            <w:pPr>
              <w:ind w:firstLine="635"/>
              <w:jc w:val="both"/>
              <w:rPr>
                <w:sz w:val="22"/>
                <w:szCs w:val="22"/>
                <w:lang w:val="lv-LV"/>
              </w:rPr>
            </w:pPr>
            <w:r>
              <w:rPr>
                <w:rFonts w:eastAsia="Calibri"/>
                <w:sz w:val="22"/>
                <w:szCs w:val="22"/>
                <w:lang w:val="lv-LV" w:eastAsia="lv-LV"/>
              </w:rPr>
              <w:t>V</w:t>
            </w:r>
            <w:r w:rsidRPr="004F3B57">
              <w:rPr>
                <w:rFonts w:eastAsia="Calibri"/>
                <w:sz w:val="22"/>
                <w:szCs w:val="22"/>
                <w:lang w:val="lv-LV" w:eastAsia="lv-LV"/>
              </w:rPr>
              <w:t>ērš</w:t>
            </w:r>
            <w:r>
              <w:rPr>
                <w:rFonts w:eastAsia="Calibri"/>
                <w:sz w:val="22"/>
                <w:szCs w:val="22"/>
                <w:lang w:val="lv-LV" w:eastAsia="lv-LV"/>
              </w:rPr>
              <w:t>am</w:t>
            </w:r>
            <w:r w:rsidRPr="004F3B57">
              <w:rPr>
                <w:rFonts w:eastAsia="Calibri"/>
                <w:sz w:val="22"/>
                <w:szCs w:val="22"/>
                <w:lang w:val="lv-LV" w:eastAsia="lv-LV"/>
              </w:rPr>
              <w:t xml:space="preserve"> uzmanību, ka likumprojekta 2.pantā paredzētais grozījums likuma 14.panta devītajā daļā prasa precizēt arī likuma 14.panta astoto daļu</w:t>
            </w:r>
            <w:r>
              <w:rPr>
                <w:rFonts w:eastAsia="Calibri"/>
                <w:sz w:val="22"/>
                <w:szCs w:val="22"/>
                <w:lang w:val="lv-LV" w:eastAsia="lv-LV"/>
              </w:rPr>
              <w:t>.</w:t>
            </w:r>
            <w:r>
              <w:rPr>
                <w:rStyle w:val="FootnoteReference"/>
                <w:sz w:val="22"/>
                <w:szCs w:val="22"/>
                <w:lang w:val="lv-LV"/>
              </w:rPr>
              <w:t xml:space="preserve"> </w:t>
            </w:r>
            <w:r>
              <w:rPr>
                <w:rStyle w:val="FootnoteReference"/>
                <w:sz w:val="22"/>
                <w:szCs w:val="22"/>
                <w:lang w:val="lv-LV"/>
              </w:rPr>
              <w:footnoteReference w:id="2"/>
            </w:r>
          </w:p>
        </w:tc>
        <w:tc>
          <w:tcPr>
            <w:tcW w:w="1418" w:type="dxa"/>
          </w:tcPr>
          <w:p w:rsidR="00CB589F" w:rsidRPr="005F449C" w:rsidRDefault="00CB589F" w:rsidP="00E24DFD">
            <w:pPr>
              <w:ind w:firstLine="567"/>
              <w:jc w:val="both"/>
              <w:rPr>
                <w:sz w:val="22"/>
                <w:szCs w:val="22"/>
                <w:lang w:val="lv-LV"/>
              </w:rPr>
            </w:pPr>
          </w:p>
        </w:tc>
        <w:tc>
          <w:tcPr>
            <w:tcW w:w="1418" w:type="dxa"/>
          </w:tcPr>
          <w:p w:rsidR="00CB589F" w:rsidRPr="005F449C" w:rsidRDefault="00CB589F" w:rsidP="00E24DFD">
            <w:pPr>
              <w:ind w:firstLine="567"/>
              <w:jc w:val="both"/>
              <w:rPr>
                <w:sz w:val="22"/>
                <w:szCs w:val="22"/>
                <w:lang w:val="lv-LV"/>
              </w:rPr>
            </w:pPr>
          </w:p>
        </w:tc>
      </w:tr>
      <w:tr w:rsidR="002668A4" w:rsidRPr="009D28E9" w:rsidTr="004137D3">
        <w:tc>
          <w:tcPr>
            <w:tcW w:w="3799" w:type="dxa"/>
          </w:tcPr>
          <w:p w:rsidR="002668A4" w:rsidRPr="005F449C" w:rsidRDefault="002668A4" w:rsidP="00836A8B">
            <w:pPr>
              <w:ind w:firstLine="567"/>
              <w:jc w:val="both"/>
              <w:rPr>
                <w:sz w:val="22"/>
                <w:szCs w:val="22"/>
                <w:lang w:val="lv-LV" w:eastAsia="lv-LV"/>
              </w:rPr>
            </w:pPr>
          </w:p>
        </w:tc>
        <w:tc>
          <w:tcPr>
            <w:tcW w:w="3799" w:type="dxa"/>
          </w:tcPr>
          <w:p w:rsidR="004D7013" w:rsidRPr="009D28E9" w:rsidRDefault="004D7013" w:rsidP="00836A8B">
            <w:pPr>
              <w:ind w:firstLine="596"/>
              <w:jc w:val="both"/>
              <w:rPr>
                <w:sz w:val="22"/>
                <w:szCs w:val="22"/>
                <w:lang w:val="lv-LV"/>
              </w:rPr>
            </w:pPr>
            <w:r w:rsidRPr="009D28E9">
              <w:rPr>
                <w:sz w:val="22"/>
                <w:szCs w:val="22"/>
                <w:lang w:val="lv-LV"/>
              </w:rPr>
              <w:t>papildināt pantu ar 10.</w:t>
            </w:r>
            <w:r w:rsidRPr="009D28E9">
              <w:rPr>
                <w:sz w:val="22"/>
                <w:szCs w:val="22"/>
                <w:vertAlign w:val="superscript"/>
                <w:lang w:val="lv-LV"/>
              </w:rPr>
              <w:t>1 </w:t>
            </w:r>
            <w:r w:rsidRPr="009D28E9">
              <w:rPr>
                <w:sz w:val="22"/>
                <w:szCs w:val="22"/>
                <w:lang w:val="lv-LV"/>
              </w:rPr>
              <w:t>daļu šādā redakcijā:</w:t>
            </w:r>
          </w:p>
          <w:p w:rsidR="002668A4" w:rsidRDefault="004D7013" w:rsidP="00836A8B">
            <w:pPr>
              <w:pStyle w:val="NormalWeb"/>
              <w:spacing w:before="0" w:after="0"/>
              <w:ind w:firstLine="596"/>
              <w:rPr>
                <w:sz w:val="22"/>
                <w:szCs w:val="22"/>
              </w:rPr>
            </w:pPr>
            <w:r w:rsidRPr="005F449C">
              <w:rPr>
                <w:sz w:val="22"/>
                <w:szCs w:val="22"/>
              </w:rPr>
              <w:t>"(10</w:t>
            </w:r>
            <w:r w:rsidRPr="005F449C">
              <w:rPr>
                <w:sz w:val="22"/>
                <w:szCs w:val="22"/>
                <w:vertAlign w:val="superscript"/>
              </w:rPr>
              <w:t>1</w:t>
            </w:r>
            <w:r w:rsidRPr="005F449C">
              <w:rPr>
                <w:sz w:val="22"/>
                <w:szCs w:val="22"/>
              </w:rPr>
              <w:t xml:space="preserve">) Iekšlietu ministrijas sistēmas iestādes vai Ieslodzījuma vietu pārvaldes amatpersonai ar speciālo dienesta pakāpi nosaka šā panta desmitajā daļā minēto samaksu, ja amatpersonu saskaņā ar iestādes vadītāja vai viņa pilnvarotas amatpersonas lēmumu iesaista dienesta pienākumu pildīšanā papildus noteiktajam dienesta pienākumu izpildes laikam, lai nodrošinātu nepārtrauktu vai </w:t>
            </w:r>
            <w:r w:rsidRPr="005F449C">
              <w:rPr>
                <w:bCs/>
                <w:sz w:val="22"/>
                <w:szCs w:val="22"/>
              </w:rPr>
              <w:t>steidzamu, iepriekš neparedzētu</w:t>
            </w:r>
            <w:r w:rsidRPr="005F449C">
              <w:rPr>
                <w:sz w:val="22"/>
                <w:szCs w:val="22"/>
              </w:rPr>
              <w:t xml:space="preserve"> uzdevumu veikšanu."</w:t>
            </w:r>
          </w:p>
          <w:p w:rsidR="00C00213" w:rsidRDefault="00C00213" w:rsidP="00836A8B">
            <w:pPr>
              <w:pStyle w:val="NormalWeb"/>
              <w:spacing w:before="0" w:after="0"/>
              <w:ind w:firstLine="596"/>
              <w:rPr>
                <w:sz w:val="22"/>
                <w:szCs w:val="22"/>
              </w:rPr>
            </w:pPr>
          </w:p>
          <w:p w:rsidR="00C00213" w:rsidRPr="005F449C" w:rsidRDefault="00C00213" w:rsidP="00836A8B">
            <w:pPr>
              <w:pStyle w:val="NormalWeb"/>
              <w:spacing w:before="0" w:after="0"/>
              <w:ind w:firstLine="596"/>
              <w:rPr>
                <w:sz w:val="22"/>
                <w:szCs w:val="22"/>
              </w:rPr>
            </w:pPr>
          </w:p>
        </w:tc>
        <w:tc>
          <w:tcPr>
            <w:tcW w:w="556" w:type="dxa"/>
          </w:tcPr>
          <w:p w:rsidR="002668A4" w:rsidRPr="005F449C" w:rsidRDefault="002668A4" w:rsidP="005960AD">
            <w:pPr>
              <w:ind w:left="-578" w:firstLine="567"/>
              <w:jc w:val="center"/>
              <w:rPr>
                <w:b/>
                <w:sz w:val="22"/>
                <w:szCs w:val="22"/>
                <w:lang w:val="lv-LV"/>
              </w:rPr>
            </w:pPr>
          </w:p>
        </w:tc>
        <w:tc>
          <w:tcPr>
            <w:tcW w:w="3799" w:type="dxa"/>
          </w:tcPr>
          <w:p w:rsidR="002668A4" w:rsidRPr="005F449C" w:rsidRDefault="002668A4" w:rsidP="006F0875">
            <w:pPr>
              <w:jc w:val="both"/>
              <w:rPr>
                <w:sz w:val="22"/>
                <w:szCs w:val="22"/>
                <w:lang w:val="lv-LV"/>
              </w:rPr>
            </w:pPr>
          </w:p>
        </w:tc>
        <w:tc>
          <w:tcPr>
            <w:tcW w:w="1418" w:type="dxa"/>
          </w:tcPr>
          <w:p w:rsidR="002668A4" w:rsidRPr="005F449C" w:rsidRDefault="002668A4" w:rsidP="00E24DFD">
            <w:pPr>
              <w:ind w:firstLine="567"/>
              <w:jc w:val="both"/>
              <w:rPr>
                <w:sz w:val="22"/>
                <w:szCs w:val="22"/>
                <w:lang w:val="lv-LV"/>
              </w:rPr>
            </w:pPr>
          </w:p>
        </w:tc>
        <w:tc>
          <w:tcPr>
            <w:tcW w:w="1418" w:type="dxa"/>
          </w:tcPr>
          <w:p w:rsidR="002668A4" w:rsidRPr="005F449C" w:rsidRDefault="002668A4" w:rsidP="00E24DFD">
            <w:pPr>
              <w:ind w:firstLine="567"/>
              <w:jc w:val="both"/>
              <w:rPr>
                <w:sz w:val="22"/>
                <w:szCs w:val="22"/>
                <w:lang w:val="lv-LV"/>
              </w:rPr>
            </w:pPr>
          </w:p>
        </w:tc>
      </w:tr>
      <w:tr w:rsidR="002668A4" w:rsidRPr="005F449C" w:rsidTr="004137D3">
        <w:tc>
          <w:tcPr>
            <w:tcW w:w="3799" w:type="dxa"/>
          </w:tcPr>
          <w:p w:rsidR="002668A4" w:rsidRPr="005F449C" w:rsidRDefault="00F44802" w:rsidP="005F449C">
            <w:pPr>
              <w:ind w:firstLine="567"/>
              <w:jc w:val="both"/>
              <w:rPr>
                <w:b/>
                <w:bCs/>
                <w:sz w:val="22"/>
                <w:szCs w:val="22"/>
                <w:lang w:val="lv-LV"/>
              </w:rPr>
            </w:pPr>
            <w:r w:rsidRPr="005F449C">
              <w:rPr>
                <w:b/>
                <w:bCs/>
                <w:sz w:val="22"/>
                <w:szCs w:val="22"/>
                <w:lang w:val="lv-LV"/>
              </w:rPr>
              <w:lastRenderedPageBreak/>
              <w:t>19.pants. Amatpersonu (darbinieku), izņemot karavīrus, ievainojuma, sakropļojuma vai citāda veselības bojājuma gadījumā vai nāves gadījumā izmaksājamais pabalsts</w:t>
            </w:r>
          </w:p>
          <w:p w:rsidR="00F44802" w:rsidRPr="005F449C" w:rsidRDefault="00F44802" w:rsidP="005F449C">
            <w:pPr>
              <w:pStyle w:val="tv2131"/>
              <w:spacing w:line="240" w:lineRule="auto"/>
              <w:jc w:val="both"/>
              <w:rPr>
                <w:color w:val="auto"/>
                <w:sz w:val="22"/>
                <w:szCs w:val="22"/>
              </w:rPr>
            </w:pPr>
            <w:r w:rsidRPr="005F449C">
              <w:rPr>
                <w:color w:val="auto"/>
                <w:sz w:val="22"/>
                <w:szCs w:val="22"/>
              </w:rPr>
              <w:t>(5) Šā panta trešajā un ceturtajā daļā minētos pabalstus Iekšlietu ministrijas sistēmas iestādes vai Ieslodzījuma vietu pārvaldes amatpersonai ar speciālo dienesta pakāpi piešķir, ja amatpersona cietusi:</w:t>
            </w:r>
          </w:p>
          <w:p w:rsidR="00F44802" w:rsidRPr="005F449C" w:rsidRDefault="00F44802" w:rsidP="005F449C">
            <w:pPr>
              <w:pStyle w:val="tv2131"/>
              <w:spacing w:line="240" w:lineRule="auto"/>
              <w:jc w:val="both"/>
              <w:rPr>
                <w:color w:val="auto"/>
                <w:sz w:val="22"/>
                <w:szCs w:val="22"/>
              </w:rPr>
            </w:pPr>
            <w:r w:rsidRPr="005F449C">
              <w:rPr>
                <w:color w:val="auto"/>
                <w:sz w:val="22"/>
                <w:szCs w:val="22"/>
              </w:rPr>
              <w:t>1) aizsargājot citu personu dzīvību, veselību, tiesības un brīvības, īpašumu, sabiedrības vai valsts intereses no noziedzīgiem un citādiem prettiesiskiem apdraudējumiem;</w:t>
            </w:r>
          </w:p>
          <w:p w:rsidR="00F44802" w:rsidRPr="005F449C" w:rsidRDefault="00F44802" w:rsidP="005F449C">
            <w:pPr>
              <w:pStyle w:val="tv2131"/>
              <w:spacing w:line="240" w:lineRule="auto"/>
              <w:jc w:val="both"/>
              <w:rPr>
                <w:color w:val="auto"/>
                <w:sz w:val="22"/>
                <w:szCs w:val="22"/>
              </w:rPr>
            </w:pPr>
            <w:r w:rsidRPr="005F449C">
              <w:rPr>
                <w:color w:val="auto"/>
                <w:sz w:val="22"/>
                <w:szCs w:val="22"/>
              </w:rPr>
              <w:t>2) veicot ugunsgrēka dzēšanas darbus, glābšanas darbus vai zemūdens meklēšanas darbus;</w:t>
            </w:r>
          </w:p>
          <w:p w:rsidR="00F44802" w:rsidRPr="005F449C" w:rsidRDefault="00F44802" w:rsidP="005F449C">
            <w:pPr>
              <w:pStyle w:val="tv2131"/>
              <w:spacing w:line="240" w:lineRule="auto"/>
              <w:jc w:val="both"/>
              <w:rPr>
                <w:color w:val="auto"/>
                <w:sz w:val="22"/>
                <w:szCs w:val="22"/>
              </w:rPr>
            </w:pPr>
            <w:r w:rsidRPr="005F449C">
              <w:rPr>
                <w:color w:val="auto"/>
                <w:sz w:val="22"/>
                <w:szCs w:val="22"/>
              </w:rPr>
              <w:t>3) veicot tiešas robežkontroles funkcijas, kā arī tieši kontrolējot ārzemnieku ieceļošanas, uzturēšanās, tranzīta un izceļošanas nosacījumu izpildi un atbilstoši tiem turot ārzemniekus apsardzībā, pavadot apsardzes uzraudzībā vai izraidot;</w:t>
            </w:r>
          </w:p>
          <w:p w:rsidR="00F44802" w:rsidRPr="005F449C" w:rsidRDefault="00F44802" w:rsidP="005F449C">
            <w:pPr>
              <w:pStyle w:val="tv2131"/>
              <w:spacing w:line="240" w:lineRule="auto"/>
              <w:jc w:val="both"/>
              <w:rPr>
                <w:color w:val="auto"/>
                <w:sz w:val="22"/>
                <w:szCs w:val="22"/>
              </w:rPr>
            </w:pPr>
            <w:r w:rsidRPr="005F449C">
              <w:rPr>
                <w:color w:val="auto"/>
                <w:sz w:val="22"/>
                <w:szCs w:val="22"/>
              </w:rPr>
              <w:t>4) veicot ārkārtas situāciju novēršanas un to seku likvidēšanas pasākumus;</w:t>
            </w:r>
          </w:p>
          <w:p w:rsidR="00F44802" w:rsidRPr="005F449C" w:rsidRDefault="00F44802" w:rsidP="005F449C">
            <w:pPr>
              <w:pStyle w:val="tv2131"/>
              <w:spacing w:line="240" w:lineRule="auto"/>
              <w:jc w:val="both"/>
              <w:rPr>
                <w:color w:val="auto"/>
                <w:sz w:val="22"/>
                <w:szCs w:val="22"/>
              </w:rPr>
            </w:pPr>
            <w:r w:rsidRPr="005F449C">
              <w:rPr>
                <w:color w:val="auto"/>
                <w:sz w:val="22"/>
                <w:szCs w:val="22"/>
              </w:rPr>
              <w:t>5) tieši nodrošinot drošības līdzekļa — apcietinājuma — vai kriminālsoda — brīvības atņemšanas — izpildi;</w:t>
            </w:r>
          </w:p>
          <w:p w:rsidR="00F44802" w:rsidRDefault="00F44802" w:rsidP="005F449C">
            <w:pPr>
              <w:pStyle w:val="tv2131"/>
              <w:spacing w:line="240" w:lineRule="auto"/>
              <w:jc w:val="both"/>
              <w:rPr>
                <w:color w:val="auto"/>
                <w:sz w:val="22"/>
                <w:szCs w:val="22"/>
              </w:rPr>
            </w:pPr>
            <w:r w:rsidRPr="005F449C">
              <w:rPr>
                <w:color w:val="auto"/>
                <w:sz w:val="22"/>
                <w:szCs w:val="22"/>
              </w:rPr>
              <w:t>6) piedaloties speciālajā apmācībā.</w:t>
            </w:r>
          </w:p>
          <w:p w:rsidR="005F449C" w:rsidRPr="005F449C" w:rsidRDefault="005F449C" w:rsidP="005F449C">
            <w:pPr>
              <w:pStyle w:val="tv2131"/>
              <w:spacing w:line="240" w:lineRule="auto"/>
              <w:jc w:val="both"/>
              <w:rPr>
                <w:color w:val="auto"/>
                <w:sz w:val="22"/>
                <w:szCs w:val="22"/>
              </w:rPr>
            </w:pPr>
          </w:p>
        </w:tc>
        <w:tc>
          <w:tcPr>
            <w:tcW w:w="3799" w:type="dxa"/>
          </w:tcPr>
          <w:p w:rsidR="00195D9A" w:rsidRDefault="00195D9A" w:rsidP="00CB589F">
            <w:pPr>
              <w:ind w:firstLine="596"/>
              <w:jc w:val="both"/>
              <w:rPr>
                <w:sz w:val="22"/>
                <w:szCs w:val="22"/>
              </w:rPr>
            </w:pPr>
          </w:p>
          <w:p w:rsidR="00195D9A" w:rsidRDefault="00195D9A" w:rsidP="00CB589F">
            <w:pPr>
              <w:ind w:firstLine="596"/>
              <w:jc w:val="both"/>
              <w:rPr>
                <w:sz w:val="22"/>
                <w:szCs w:val="22"/>
              </w:rPr>
            </w:pPr>
          </w:p>
          <w:p w:rsidR="00195D9A" w:rsidRDefault="00195D9A" w:rsidP="00CB589F">
            <w:pPr>
              <w:ind w:firstLine="596"/>
              <w:jc w:val="both"/>
              <w:rPr>
                <w:sz w:val="22"/>
                <w:szCs w:val="22"/>
              </w:rPr>
            </w:pPr>
          </w:p>
          <w:p w:rsidR="00195D9A" w:rsidRDefault="00195D9A" w:rsidP="00CB589F">
            <w:pPr>
              <w:ind w:firstLine="596"/>
              <w:jc w:val="both"/>
              <w:rPr>
                <w:sz w:val="22"/>
                <w:szCs w:val="22"/>
              </w:rPr>
            </w:pPr>
          </w:p>
          <w:p w:rsidR="00195D9A" w:rsidRDefault="00195D9A" w:rsidP="00CB589F">
            <w:pPr>
              <w:ind w:firstLine="596"/>
              <w:jc w:val="both"/>
              <w:rPr>
                <w:sz w:val="22"/>
                <w:szCs w:val="22"/>
              </w:rPr>
            </w:pPr>
          </w:p>
          <w:p w:rsidR="00195D9A" w:rsidRDefault="00195D9A" w:rsidP="00CB589F">
            <w:pPr>
              <w:ind w:firstLine="596"/>
              <w:jc w:val="both"/>
              <w:rPr>
                <w:sz w:val="22"/>
                <w:szCs w:val="22"/>
              </w:rPr>
            </w:pPr>
          </w:p>
          <w:p w:rsidR="004D7013" w:rsidRPr="005F449C" w:rsidRDefault="004D7013" w:rsidP="00CB589F">
            <w:pPr>
              <w:ind w:firstLine="596"/>
              <w:jc w:val="both"/>
              <w:rPr>
                <w:sz w:val="22"/>
                <w:szCs w:val="22"/>
              </w:rPr>
            </w:pPr>
            <w:r w:rsidRPr="005F449C">
              <w:rPr>
                <w:sz w:val="22"/>
                <w:szCs w:val="22"/>
              </w:rPr>
              <w:t>3. Izslēgt 19.panta piekto daļu.</w:t>
            </w:r>
          </w:p>
          <w:p w:rsidR="002668A4" w:rsidRPr="005F449C" w:rsidRDefault="002668A4" w:rsidP="00CB589F">
            <w:pPr>
              <w:ind w:firstLine="596"/>
              <w:jc w:val="both"/>
              <w:rPr>
                <w:sz w:val="22"/>
                <w:szCs w:val="22"/>
                <w:lang w:val="lv-LV"/>
              </w:rPr>
            </w:pPr>
          </w:p>
        </w:tc>
        <w:tc>
          <w:tcPr>
            <w:tcW w:w="556" w:type="dxa"/>
          </w:tcPr>
          <w:p w:rsidR="002668A4" w:rsidRPr="005F449C" w:rsidRDefault="002668A4" w:rsidP="005960AD">
            <w:pPr>
              <w:ind w:left="-578" w:firstLine="567"/>
              <w:jc w:val="center"/>
              <w:rPr>
                <w:b/>
                <w:sz w:val="22"/>
                <w:szCs w:val="22"/>
                <w:lang w:val="lv-LV"/>
              </w:rPr>
            </w:pPr>
          </w:p>
        </w:tc>
        <w:tc>
          <w:tcPr>
            <w:tcW w:w="3799" w:type="dxa"/>
          </w:tcPr>
          <w:p w:rsidR="002668A4" w:rsidRPr="005F449C" w:rsidRDefault="002668A4" w:rsidP="006F0875">
            <w:pPr>
              <w:jc w:val="both"/>
              <w:rPr>
                <w:sz w:val="22"/>
                <w:szCs w:val="22"/>
                <w:lang w:val="lv-LV"/>
              </w:rPr>
            </w:pPr>
          </w:p>
        </w:tc>
        <w:tc>
          <w:tcPr>
            <w:tcW w:w="1418" w:type="dxa"/>
          </w:tcPr>
          <w:p w:rsidR="002668A4" w:rsidRPr="005F449C" w:rsidRDefault="002668A4" w:rsidP="00E24DFD">
            <w:pPr>
              <w:ind w:firstLine="567"/>
              <w:jc w:val="both"/>
              <w:rPr>
                <w:sz w:val="22"/>
                <w:szCs w:val="22"/>
                <w:lang w:val="lv-LV"/>
              </w:rPr>
            </w:pPr>
          </w:p>
        </w:tc>
        <w:tc>
          <w:tcPr>
            <w:tcW w:w="1418" w:type="dxa"/>
          </w:tcPr>
          <w:p w:rsidR="002668A4" w:rsidRPr="005F449C" w:rsidRDefault="002668A4" w:rsidP="00E24DFD">
            <w:pPr>
              <w:ind w:firstLine="567"/>
              <w:jc w:val="both"/>
              <w:rPr>
                <w:sz w:val="22"/>
                <w:szCs w:val="22"/>
                <w:lang w:val="lv-LV"/>
              </w:rPr>
            </w:pPr>
          </w:p>
        </w:tc>
      </w:tr>
      <w:tr w:rsidR="002668A4" w:rsidRPr="009D28E9" w:rsidTr="004137D3">
        <w:tc>
          <w:tcPr>
            <w:tcW w:w="3799" w:type="dxa"/>
          </w:tcPr>
          <w:p w:rsidR="00F44802" w:rsidRPr="00C00213" w:rsidRDefault="00F44802" w:rsidP="00C00213">
            <w:pPr>
              <w:pStyle w:val="tv2131"/>
              <w:spacing w:line="240" w:lineRule="auto"/>
              <w:jc w:val="both"/>
              <w:rPr>
                <w:color w:val="auto"/>
                <w:sz w:val="22"/>
                <w:szCs w:val="22"/>
              </w:rPr>
            </w:pPr>
            <w:r w:rsidRPr="00C00213">
              <w:rPr>
                <w:b/>
                <w:bCs/>
                <w:color w:val="auto"/>
                <w:sz w:val="22"/>
                <w:szCs w:val="22"/>
              </w:rPr>
              <w:lastRenderedPageBreak/>
              <w:t>21.pants. Karavīra ievainojuma, sakropļojuma vai citāda veselības bojājuma vai nāves gadījumā izmaksājamie pabalsti</w:t>
            </w:r>
          </w:p>
          <w:p w:rsidR="00F44802" w:rsidRPr="00C00213" w:rsidRDefault="00F44802" w:rsidP="00C00213">
            <w:pPr>
              <w:pStyle w:val="tv2131"/>
              <w:spacing w:line="240" w:lineRule="auto"/>
              <w:jc w:val="both"/>
              <w:rPr>
                <w:color w:val="auto"/>
                <w:sz w:val="22"/>
                <w:szCs w:val="22"/>
              </w:rPr>
            </w:pPr>
            <w:r w:rsidRPr="00C00213">
              <w:rPr>
                <w:color w:val="auto"/>
                <w:sz w:val="22"/>
                <w:szCs w:val="22"/>
              </w:rPr>
              <w:t>(1) Ja karavīram aktīvā dienesta laikā vai gada laikā pēc atvaļināšanas no aktīvā dienesta noteikta invaliditāte dienesta laikā, pildot dienesta pienākumus, gūta ievainojuma (sakropļojuma, kontūzijas) dēļ vai tādas slimības dēļ, kuras cēlonis saistīts ar militārā dienesta izpildi (arodslimība), viņam izmaksā vienreizēju pabalstu:</w:t>
            </w:r>
          </w:p>
          <w:p w:rsidR="00F44802" w:rsidRPr="00C00213" w:rsidRDefault="00F44802" w:rsidP="00C00213">
            <w:pPr>
              <w:pStyle w:val="tv2131"/>
              <w:spacing w:line="240" w:lineRule="auto"/>
              <w:jc w:val="both"/>
              <w:rPr>
                <w:color w:val="auto"/>
                <w:sz w:val="22"/>
                <w:szCs w:val="22"/>
              </w:rPr>
            </w:pPr>
            <w:r w:rsidRPr="00C00213">
              <w:rPr>
                <w:color w:val="auto"/>
                <w:sz w:val="22"/>
                <w:szCs w:val="22"/>
              </w:rPr>
              <w:t>1) I grupas invalīdam — 50 mēnešalgu apmērā, bet ne vairāk kā 30 000 latu;</w:t>
            </w:r>
          </w:p>
          <w:p w:rsidR="00F44802" w:rsidRPr="00C00213" w:rsidRDefault="00F44802" w:rsidP="00C00213">
            <w:pPr>
              <w:pStyle w:val="tv2131"/>
              <w:spacing w:line="240" w:lineRule="auto"/>
              <w:jc w:val="both"/>
              <w:rPr>
                <w:color w:val="auto"/>
                <w:sz w:val="22"/>
                <w:szCs w:val="22"/>
              </w:rPr>
            </w:pPr>
            <w:r w:rsidRPr="00C00213">
              <w:rPr>
                <w:color w:val="auto"/>
                <w:sz w:val="22"/>
                <w:szCs w:val="22"/>
              </w:rPr>
              <w:t>2) II grupas invalīdam — 40 mēnešalgu apmērā, bet ne vairāk kā 20 000 latu;</w:t>
            </w:r>
          </w:p>
          <w:p w:rsidR="002668A4" w:rsidRPr="00C00213" w:rsidRDefault="00F44802" w:rsidP="00C00213">
            <w:pPr>
              <w:pStyle w:val="tv2131"/>
              <w:spacing w:line="240" w:lineRule="auto"/>
              <w:jc w:val="both"/>
              <w:rPr>
                <w:color w:val="auto"/>
                <w:sz w:val="22"/>
                <w:szCs w:val="22"/>
              </w:rPr>
            </w:pPr>
            <w:r w:rsidRPr="00C00213">
              <w:rPr>
                <w:color w:val="auto"/>
                <w:sz w:val="22"/>
                <w:szCs w:val="22"/>
              </w:rPr>
              <w:t>3) III grupas invalīdam — 20 mēnešalgu apmērā, bet ne vairāk kā 10 000 latu.</w:t>
            </w:r>
            <w:r w:rsidR="00C61BF3" w:rsidRPr="00C00213">
              <w:rPr>
                <w:rStyle w:val="FootnoteReference"/>
                <w:color w:val="auto"/>
                <w:sz w:val="22"/>
                <w:szCs w:val="22"/>
              </w:rPr>
              <w:footnoteReference w:id="3"/>
            </w:r>
          </w:p>
          <w:p w:rsidR="005F449C" w:rsidRDefault="005F449C" w:rsidP="00836A8B">
            <w:pPr>
              <w:pStyle w:val="tv2131"/>
              <w:spacing w:line="240" w:lineRule="auto"/>
              <w:rPr>
                <w:color w:val="auto"/>
                <w:sz w:val="22"/>
                <w:szCs w:val="22"/>
              </w:rPr>
            </w:pPr>
          </w:p>
          <w:p w:rsidR="005F449C" w:rsidRDefault="005F449C" w:rsidP="00836A8B">
            <w:pPr>
              <w:pStyle w:val="tv2131"/>
              <w:spacing w:line="240" w:lineRule="auto"/>
              <w:rPr>
                <w:color w:val="auto"/>
                <w:sz w:val="22"/>
                <w:szCs w:val="22"/>
              </w:rPr>
            </w:pPr>
          </w:p>
          <w:p w:rsidR="005F449C" w:rsidRDefault="005F449C" w:rsidP="00836A8B">
            <w:pPr>
              <w:pStyle w:val="tv2131"/>
              <w:spacing w:line="240" w:lineRule="auto"/>
              <w:rPr>
                <w:color w:val="auto"/>
                <w:sz w:val="22"/>
                <w:szCs w:val="22"/>
              </w:rPr>
            </w:pPr>
          </w:p>
          <w:p w:rsidR="005F449C" w:rsidRDefault="005F449C" w:rsidP="00836A8B">
            <w:pPr>
              <w:pStyle w:val="tv2131"/>
              <w:spacing w:line="240" w:lineRule="auto"/>
              <w:rPr>
                <w:color w:val="auto"/>
                <w:sz w:val="22"/>
                <w:szCs w:val="22"/>
              </w:rPr>
            </w:pPr>
          </w:p>
          <w:p w:rsidR="005F449C" w:rsidRDefault="005F449C" w:rsidP="00836A8B">
            <w:pPr>
              <w:pStyle w:val="tv2131"/>
              <w:spacing w:line="240" w:lineRule="auto"/>
              <w:rPr>
                <w:color w:val="auto"/>
                <w:sz w:val="22"/>
                <w:szCs w:val="22"/>
              </w:rPr>
            </w:pPr>
          </w:p>
          <w:p w:rsidR="005F449C" w:rsidRDefault="005F449C" w:rsidP="00836A8B">
            <w:pPr>
              <w:pStyle w:val="tv2131"/>
              <w:spacing w:line="240" w:lineRule="auto"/>
              <w:rPr>
                <w:color w:val="auto"/>
                <w:sz w:val="22"/>
                <w:szCs w:val="22"/>
              </w:rPr>
            </w:pPr>
          </w:p>
          <w:p w:rsidR="005F449C" w:rsidRPr="005F449C" w:rsidRDefault="005F449C" w:rsidP="00836A8B">
            <w:pPr>
              <w:pStyle w:val="tv2131"/>
              <w:spacing w:line="240" w:lineRule="auto"/>
              <w:rPr>
                <w:color w:val="auto"/>
                <w:sz w:val="22"/>
                <w:szCs w:val="22"/>
              </w:rPr>
            </w:pPr>
          </w:p>
        </w:tc>
        <w:tc>
          <w:tcPr>
            <w:tcW w:w="3799" w:type="dxa"/>
          </w:tcPr>
          <w:p w:rsidR="00E05547" w:rsidRDefault="00E05547" w:rsidP="00CB589F">
            <w:pPr>
              <w:ind w:firstLine="596"/>
              <w:jc w:val="both"/>
              <w:rPr>
                <w:sz w:val="22"/>
                <w:szCs w:val="22"/>
                <w:lang w:val="lv-LV"/>
              </w:rPr>
            </w:pPr>
          </w:p>
          <w:p w:rsidR="00E05547" w:rsidRDefault="00E05547" w:rsidP="00CB589F">
            <w:pPr>
              <w:ind w:firstLine="596"/>
              <w:jc w:val="both"/>
              <w:rPr>
                <w:sz w:val="22"/>
                <w:szCs w:val="22"/>
                <w:lang w:val="lv-LV"/>
              </w:rPr>
            </w:pPr>
          </w:p>
          <w:p w:rsidR="00E05547" w:rsidRDefault="00E05547" w:rsidP="00CB589F">
            <w:pPr>
              <w:ind w:firstLine="596"/>
              <w:jc w:val="both"/>
              <w:rPr>
                <w:sz w:val="22"/>
                <w:szCs w:val="22"/>
                <w:lang w:val="lv-LV"/>
              </w:rPr>
            </w:pPr>
          </w:p>
          <w:p w:rsidR="00E05547" w:rsidRDefault="00E05547" w:rsidP="00CB589F">
            <w:pPr>
              <w:ind w:firstLine="596"/>
              <w:jc w:val="both"/>
              <w:rPr>
                <w:sz w:val="22"/>
                <w:szCs w:val="22"/>
                <w:lang w:val="lv-LV"/>
              </w:rPr>
            </w:pPr>
          </w:p>
          <w:p w:rsidR="00E05547" w:rsidRDefault="00E05547" w:rsidP="00CB589F">
            <w:pPr>
              <w:ind w:firstLine="596"/>
              <w:jc w:val="both"/>
              <w:rPr>
                <w:sz w:val="22"/>
                <w:szCs w:val="22"/>
                <w:lang w:val="lv-LV"/>
              </w:rPr>
            </w:pPr>
          </w:p>
          <w:p w:rsidR="00E05547" w:rsidRDefault="00E05547" w:rsidP="00CB589F">
            <w:pPr>
              <w:ind w:firstLine="596"/>
              <w:jc w:val="both"/>
              <w:rPr>
                <w:sz w:val="22"/>
                <w:szCs w:val="22"/>
                <w:lang w:val="lv-LV"/>
              </w:rPr>
            </w:pPr>
          </w:p>
          <w:p w:rsidR="00E05547" w:rsidRDefault="00E05547" w:rsidP="00CB589F">
            <w:pPr>
              <w:ind w:firstLine="596"/>
              <w:jc w:val="both"/>
              <w:rPr>
                <w:sz w:val="22"/>
                <w:szCs w:val="22"/>
                <w:lang w:val="lv-LV"/>
              </w:rPr>
            </w:pPr>
          </w:p>
          <w:p w:rsidR="00E05547" w:rsidRDefault="00E05547" w:rsidP="00CB589F">
            <w:pPr>
              <w:ind w:firstLine="596"/>
              <w:jc w:val="both"/>
              <w:rPr>
                <w:sz w:val="22"/>
                <w:szCs w:val="22"/>
                <w:lang w:val="lv-LV"/>
              </w:rPr>
            </w:pPr>
          </w:p>
          <w:p w:rsidR="00E05547" w:rsidRDefault="00E05547" w:rsidP="00CB589F">
            <w:pPr>
              <w:ind w:firstLine="596"/>
              <w:jc w:val="both"/>
              <w:rPr>
                <w:sz w:val="22"/>
                <w:szCs w:val="22"/>
                <w:lang w:val="lv-LV"/>
              </w:rPr>
            </w:pPr>
          </w:p>
          <w:p w:rsidR="00E05547" w:rsidRDefault="00E05547" w:rsidP="00CB589F">
            <w:pPr>
              <w:ind w:firstLine="596"/>
              <w:jc w:val="both"/>
              <w:rPr>
                <w:sz w:val="22"/>
                <w:szCs w:val="22"/>
                <w:lang w:val="lv-LV"/>
              </w:rPr>
            </w:pPr>
          </w:p>
          <w:p w:rsidR="004D7013" w:rsidRPr="005F449C" w:rsidRDefault="004D7013" w:rsidP="00CB589F">
            <w:pPr>
              <w:ind w:firstLine="596"/>
              <w:jc w:val="both"/>
              <w:rPr>
                <w:sz w:val="22"/>
                <w:szCs w:val="22"/>
                <w:lang w:val="lv-LV"/>
              </w:rPr>
            </w:pPr>
            <w:r w:rsidRPr="005F449C">
              <w:rPr>
                <w:sz w:val="22"/>
                <w:szCs w:val="22"/>
                <w:lang w:val="lv-LV"/>
              </w:rPr>
              <w:t>4. Izteikt 21.panta pirmās daļas 1., 2. un 3.punktu šādā redakcijā:</w:t>
            </w:r>
          </w:p>
          <w:p w:rsidR="004D7013" w:rsidRPr="005F449C" w:rsidRDefault="004D7013" w:rsidP="00CB589F">
            <w:pPr>
              <w:ind w:firstLine="596"/>
              <w:jc w:val="both"/>
              <w:rPr>
                <w:sz w:val="22"/>
                <w:szCs w:val="22"/>
                <w:lang w:val="lv-LV"/>
              </w:rPr>
            </w:pPr>
          </w:p>
          <w:p w:rsidR="004D7013" w:rsidRPr="009D28E9" w:rsidRDefault="004D7013" w:rsidP="00CB589F">
            <w:pPr>
              <w:ind w:firstLine="596"/>
              <w:jc w:val="both"/>
              <w:rPr>
                <w:sz w:val="22"/>
                <w:szCs w:val="22"/>
                <w:lang w:val="lv-LV"/>
              </w:rPr>
            </w:pPr>
            <w:r w:rsidRPr="009D28E9">
              <w:rPr>
                <w:sz w:val="22"/>
                <w:szCs w:val="22"/>
                <w:lang w:val="lv-LV"/>
              </w:rPr>
              <w:t xml:space="preserve">"1) personai ar I grupas invaliditāti – 71145 </w:t>
            </w:r>
            <w:r w:rsidRPr="009D28E9">
              <w:rPr>
                <w:i/>
                <w:sz w:val="22"/>
                <w:szCs w:val="22"/>
                <w:lang w:val="lv-LV"/>
              </w:rPr>
              <w:t>euro;</w:t>
            </w:r>
          </w:p>
          <w:p w:rsidR="004D7013" w:rsidRPr="009D28E9" w:rsidRDefault="004D7013" w:rsidP="00CB589F">
            <w:pPr>
              <w:ind w:firstLine="596"/>
              <w:jc w:val="both"/>
              <w:rPr>
                <w:sz w:val="22"/>
                <w:szCs w:val="22"/>
                <w:lang w:val="lv-LV"/>
              </w:rPr>
            </w:pPr>
            <w:r w:rsidRPr="009D28E9">
              <w:rPr>
                <w:sz w:val="22"/>
                <w:szCs w:val="22"/>
                <w:lang w:val="lv-LV"/>
              </w:rPr>
              <w:t xml:space="preserve">2) personai ar II grupas invaliditāti – 28458 </w:t>
            </w:r>
            <w:r w:rsidRPr="009D28E9">
              <w:rPr>
                <w:i/>
                <w:sz w:val="22"/>
                <w:szCs w:val="22"/>
                <w:lang w:val="lv-LV"/>
              </w:rPr>
              <w:t>euro</w:t>
            </w:r>
            <w:r w:rsidRPr="009D28E9">
              <w:rPr>
                <w:sz w:val="22"/>
                <w:szCs w:val="22"/>
                <w:lang w:val="lv-LV"/>
              </w:rPr>
              <w:t>;</w:t>
            </w:r>
          </w:p>
          <w:p w:rsidR="002668A4" w:rsidRPr="009D28E9" w:rsidRDefault="004D7013" w:rsidP="00CB589F">
            <w:pPr>
              <w:ind w:firstLine="596"/>
              <w:jc w:val="both"/>
              <w:rPr>
                <w:sz w:val="22"/>
                <w:szCs w:val="22"/>
                <w:lang w:val="lv-LV"/>
              </w:rPr>
            </w:pPr>
            <w:r w:rsidRPr="009D28E9">
              <w:rPr>
                <w:sz w:val="22"/>
                <w:szCs w:val="22"/>
                <w:lang w:val="lv-LV"/>
              </w:rPr>
              <w:t xml:space="preserve">3) personai ar III grupas invaliditāti – 14229 </w:t>
            </w:r>
            <w:r w:rsidRPr="009D28E9">
              <w:rPr>
                <w:i/>
                <w:sz w:val="22"/>
                <w:szCs w:val="22"/>
                <w:lang w:val="lv-LV"/>
              </w:rPr>
              <w:t>euro</w:t>
            </w:r>
            <w:r w:rsidRPr="009D28E9">
              <w:rPr>
                <w:sz w:val="22"/>
                <w:szCs w:val="22"/>
                <w:lang w:val="lv-LV"/>
              </w:rPr>
              <w:t>."</w:t>
            </w:r>
          </w:p>
        </w:tc>
        <w:tc>
          <w:tcPr>
            <w:tcW w:w="556" w:type="dxa"/>
          </w:tcPr>
          <w:p w:rsidR="002668A4" w:rsidRPr="005F449C" w:rsidRDefault="002668A4" w:rsidP="005960AD">
            <w:pPr>
              <w:ind w:left="-578" w:firstLine="567"/>
              <w:jc w:val="center"/>
              <w:rPr>
                <w:b/>
                <w:sz w:val="22"/>
                <w:szCs w:val="22"/>
                <w:lang w:val="lv-LV"/>
              </w:rPr>
            </w:pPr>
          </w:p>
        </w:tc>
        <w:tc>
          <w:tcPr>
            <w:tcW w:w="3799" w:type="dxa"/>
          </w:tcPr>
          <w:p w:rsidR="002668A4" w:rsidRPr="005F449C" w:rsidRDefault="002668A4" w:rsidP="006F0875">
            <w:pPr>
              <w:jc w:val="both"/>
              <w:rPr>
                <w:sz w:val="22"/>
                <w:szCs w:val="22"/>
                <w:lang w:val="lv-LV"/>
              </w:rPr>
            </w:pPr>
          </w:p>
        </w:tc>
        <w:tc>
          <w:tcPr>
            <w:tcW w:w="1418" w:type="dxa"/>
          </w:tcPr>
          <w:p w:rsidR="002668A4" w:rsidRPr="005F449C" w:rsidRDefault="002668A4" w:rsidP="00E24DFD">
            <w:pPr>
              <w:ind w:firstLine="567"/>
              <w:jc w:val="both"/>
              <w:rPr>
                <w:sz w:val="22"/>
                <w:szCs w:val="22"/>
                <w:lang w:val="lv-LV"/>
              </w:rPr>
            </w:pPr>
          </w:p>
        </w:tc>
        <w:tc>
          <w:tcPr>
            <w:tcW w:w="1418" w:type="dxa"/>
          </w:tcPr>
          <w:p w:rsidR="002668A4" w:rsidRPr="005F449C" w:rsidRDefault="002668A4" w:rsidP="00E24DFD">
            <w:pPr>
              <w:ind w:firstLine="567"/>
              <w:jc w:val="both"/>
              <w:rPr>
                <w:sz w:val="22"/>
                <w:szCs w:val="22"/>
                <w:lang w:val="lv-LV"/>
              </w:rPr>
            </w:pPr>
          </w:p>
        </w:tc>
      </w:tr>
      <w:tr w:rsidR="002668A4" w:rsidRPr="009D28E9" w:rsidTr="004137D3">
        <w:tc>
          <w:tcPr>
            <w:tcW w:w="3799" w:type="dxa"/>
          </w:tcPr>
          <w:p w:rsidR="002668A4" w:rsidRPr="009D28E9" w:rsidRDefault="00F44802" w:rsidP="00C00213">
            <w:pPr>
              <w:ind w:firstLine="567"/>
              <w:jc w:val="both"/>
              <w:rPr>
                <w:b/>
                <w:bCs/>
                <w:sz w:val="22"/>
                <w:szCs w:val="22"/>
                <w:lang w:val="lv-LV"/>
              </w:rPr>
            </w:pPr>
            <w:r w:rsidRPr="009D28E9">
              <w:rPr>
                <w:b/>
                <w:bCs/>
                <w:sz w:val="22"/>
                <w:szCs w:val="22"/>
                <w:lang w:val="lv-LV"/>
              </w:rPr>
              <w:lastRenderedPageBreak/>
              <w:t>22.pants. Amatpersonas (darbinieka) ievainojuma, sakropļojuma vai citāda ar dalību starptautiskajā operācijā saistīta vai komandējumā uz starptautiskās operācijas rajonu gūta veselības bojājuma gadījumā izmaksājamais pabalsts</w:t>
            </w:r>
          </w:p>
          <w:p w:rsidR="00F44802" w:rsidRPr="005F449C" w:rsidRDefault="00F44802" w:rsidP="00C00213">
            <w:pPr>
              <w:pStyle w:val="tv2131"/>
              <w:spacing w:line="240" w:lineRule="auto"/>
              <w:jc w:val="both"/>
              <w:rPr>
                <w:color w:val="auto"/>
                <w:sz w:val="22"/>
                <w:szCs w:val="22"/>
              </w:rPr>
            </w:pPr>
            <w:r w:rsidRPr="005F449C">
              <w:rPr>
                <w:color w:val="auto"/>
                <w:sz w:val="22"/>
                <w:szCs w:val="22"/>
              </w:rPr>
              <w:t>(2) Amatpersonai (darbiniekam), kura piedalās starptautiskajā operācijā vai nosūtīta komandējumā uz starptautiskās operācijas rajonu, pildot amata (dienesta, darba) pienākumus, cietusi nelaimes gadījumā un guvusi sakropļojumu vai citādu veselības bojājumu un kurai noteikta invaliditāte, izmaksā vienreizēju pabalstu:</w:t>
            </w:r>
          </w:p>
          <w:p w:rsidR="00F44802" w:rsidRPr="005F449C" w:rsidRDefault="00F44802" w:rsidP="00C00213">
            <w:pPr>
              <w:pStyle w:val="tv2131"/>
              <w:spacing w:line="240" w:lineRule="auto"/>
              <w:jc w:val="both"/>
              <w:rPr>
                <w:color w:val="auto"/>
                <w:sz w:val="22"/>
                <w:szCs w:val="22"/>
              </w:rPr>
            </w:pPr>
            <w:r w:rsidRPr="005F449C">
              <w:rPr>
                <w:color w:val="auto"/>
                <w:sz w:val="22"/>
                <w:szCs w:val="22"/>
              </w:rPr>
              <w:t>1) I grupas invalīdam — 20 mēnešalgu apmērā, bet ne vairāk kā 30 000 latu;</w:t>
            </w:r>
          </w:p>
          <w:p w:rsidR="00F44802" w:rsidRPr="005F449C" w:rsidRDefault="00F44802" w:rsidP="00C00213">
            <w:pPr>
              <w:pStyle w:val="tv2131"/>
              <w:spacing w:line="240" w:lineRule="auto"/>
              <w:jc w:val="both"/>
              <w:rPr>
                <w:color w:val="auto"/>
                <w:sz w:val="22"/>
                <w:szCs w:val="22"/>
              </w:rPr>
            </w:pPr>
            <w:r w:rsidRPr="005F449C">
              <w:rPr>
                <w:color w:val="auto"/>
                <w:sz w:val="22"/>
                <w:szCs w:val="22"/>
              </w:rPr>
              <w:t>2) II grupas invalīdam — 15 mēnešalgu apmērā, bet ne vairāk kā 20 000 latu;</w:t>
            </w:r>
          </w:p>
          <w:p w:rsidR="00F44802" w:rsidRDefault="00F44802" w:rsidP="00C00213">
            <w:pPr>
              <w:pStyle w:val="tv2131"/>
              <w:spacing w:line="240" w:lineRule="auto"/>
              <w:jc w:val="both"/>
              <w:rPr>
                <w:color w:val="auto"/>
                <w:sz w:val="22"/>
                <w:szCs w:val="22"/>
              </w:rPr>
            </w:pPr>
            <w:r w:rsidRPr="005F449C">
              <w:rPr>
                <w:color w:val="auto"/>
                <w:sz w:val="22"/>
                <w:szCs w:val="22"/>
              </w:rPr>
              <w:t>3) III grupas invalīdam — 10 mēnešalgu apmērā, bet ne vairāk kā 10 000 latu.</w:t>
            </w:r>
            <w:r w:rsidR="00FB0DE9" w:rsidRPr="005F449C">
              <w:rPr>
                <w:rStyle w:val="FootnoteReference"/>
                <w:color w:val="auto"/>
                <w:sz w:val="22"/>
                <w:szCs w:val="22"/>
              </w:rPr>
              <w:footnoteReference w:id="4"/>
            </w:r>
          </w:p>
          <w:p w:rsidR="005F449C" w:rsidRDefault="005F449C" w:rsidP="00836A8B">
            <w:pPr>
              <w:pStyle w:val="tv2131"/>
              <w:spacing w:line="240" w:lineRule="auto"/>
              <w:rPr>
                <w:color w:val="auto"/>
                <w:sz w:val="22"/>
                <w:szCs w:val="22"/>
              </w:rPr>
            </w:pPr>
          </w:p>
          <w:p w:rsidR="005F449C" w:rsidRDefault="005F449C" w:rsidP="00836A8B">
            <w:pPr>
              <w:pStyle w:val="tv2131"/>
              <w:spacing w:line="240" w:lineRule="auto"/>
              <w:rPr>
                <w:color w:val="auto"/>
                <w:sz w:val="22"/>
                <w:szCs w:val="22"/>
              </w:rPr>
            </w:pPr>
          </w:p>
          <w:p w:rsidR="005F449C" w:rsidRPr="005F449C" w:rsidRDefault="005F449C" w:rsidP="00836A8B">
            <w:pPr>
              <w:pStyle w:val="tv2131"/>
              <w:spacing w:line="240" w:lineRule="auto"/>
              <w:rPr>
                <w:color w:val="auto"/>
                <w:sz w:val="22"/>
                <w:szCs w:val="22"/>
              </w:rPr>
            </w:pPr>
          </w:p>
        </w:tc>
        <w:tc>
          <w:tcPr>
            <w:tcW w:w="3799" w:type="dxa"/>
          </w:tcPr>
          <w:p w:rsidR="00E05547" w:rsidRDefault="00E05547" w:rsidP="00CB589F">
            <w:pPr>
              <w:ind w:firstLine="596"/>
              <w:jc w:val="both"/>
              <w:rPr>
                <w:sz w:val="22"/>
                <w:szCs w:val="22"/>
                <w:lang w:val="lv-LV"/>
              </w:rPr>
            </w:pPr>
          </w:p>
          <w:p w:rsidR="00E05547" w:rsidRDefault="00E05547" w:rsidP="00CB589F">
            <w:pPr>
              <w:ind w:firstLine="596"/>
              <w:jc w:val="both"/>
              <w:rPr>
                <w:sz w:val="22"/>
                <w:szCs w:val="22"/>
                <w:lang w:val="lv-LV"/>
              </w:rPr>
            </w:pPr>
          </w:p>
          <w:p w:rsidR="00E05547" w:rsidRDefault="00E05547" w:rsidP="00CB589F">
            <w:pPr>
              <w:ind w:firstLine="596"/>
              <w:jc w:val="both"/>
              <w:rPr>
                <w:sz w:val="22"/>
                <w:szCs w:val="22"/>
                <w:lang w:val="lv-LV"/>
              </w:rPr>
            </w:pPr>
          </w:p>
          <w:p w:rsidR="00E05547" w:rsidRDefault="00E05547" w:rsidP="00CB589F">
            <w:pPr>
              <w:ind w:firstLine="596"/>
              <w:jc w:val="both"/>
              <w:rPr>
                <w:sz w:val="22"/>
                <w:szCs w:val="22"/>
                <w:lang w:val="lv-LV"/>
              </w:rPr>
            </w:pPr>
          </w:p>
          <w:p w:rsidR="00E05547" w:rsidRDefault="00E05547" w:rsidP="00CB589F">
            <w:pPr>
              <w:ind w:firstLine="596"/>
              <w:jc w:val="both"/>
              <w:rPr>
                <w:sz w:val="22"/>
                <w:szCs w:val="22"/>
                <w:lang w:val="lv-LV"/>
              </w:rPr>
            </w:pPr>
          </w:p>
          <w:p w:rsidR="00E05547" w:rsidRDefault="00E05547" w:rsidP="00CB589F">
            <w:pPr>
              <w:ind w:firstLine="596"/>
              <w:jc w:val="both"/>
              <w:rPr>
                <w:sz w:val="22"/>
                <w:szCs w:val="22"/>
                <w:lang w:val="lv-LV"/>
              </w:rPr>
            </w:pPr>
          </w:p>
          <w:p w:rsidR="00E05547" w:rsidRDefault="00E05547" w:rsidP="00CB589F">
            <w:pPr>
              <w:ind w:firstLine="596"/>
              <w:jc w:val="both"/>
              <w:rPr>
                <w:sz w:val="22"/>
                <w:szCs w:val="22"/>
                <w:lang w:val="lv-LV"/>
              </w:rPr>
            </w:pPr>
          </w:p>
          <w:p w:rsidR="00E05547" w:rsidRDefault="00E05547" w:rsidP="00CB589F">
            <w:pPr>
              <w:ind w:firstLine="596"/>
              <w:jc w:val="both"/>
              <w:rPr>
                <w:sz w:val="22"/>
                <w:szCs w:val="22"/>
                <w:lang w:val="lv-LV"/>
              </w:rPr>
            </w:pPr>
          </w:p>
          <w:p w:rsidR="00E05547" w:rsidRDefault="00E05547" w:rsidP="00CB589F">
            <w:pPr>
              <w:ind w:firstLine="596"/>
              <w:jc w:val="both"/>
              <w:rPr>
                <w:sz w:val="22"/>
                <w:szCs w:val="22"/>
                <w:lang w:val="lv-LV"/>
              </w:rPr>
            </w:pPr>
          </w:p>
          <w:p w:rsidR="00E05547" w:rsidRDefault="00E05547" w:rsidP="00CB589F">
            <w:pPr>
              <w:ind w:firstLine="596"/>
              <w:jc w:val="both"/>
              <w:rPr>
                <w:sz w:val="22"/>
                <w:szCs w:val="22"/>
                <w:lang w:val="lv-LV"/>
              </w:rPr>
            </w:pPr>
          </w:p>
          <w:p w:rsidR="00E05547" w:rsidRDefault="00E05547" w:rsidP="00CB589F">
            <w:pPr>
              <w:ind w:firstLine="596"/>
              <w:jc w:val="both"/>
              <w:rPr>
                <w:sz w:val="22"/>
                <w:szCs w:val="22"/>
                <w:lang w:val="lv-LV"/>
              </w:rPr>
            </w:pPr>
          </w:p>
          <w:p w:rsidR="00E05547" w:rsidRDefault="00E05547" w:rsidP="00CB589F">
            <w:pPr>
              <w:ind w:firstLine="596"/>
              <w:jc w:val="both"/>
              <w:rPr>
                <w:sz w:val="22"/>
                <w:szCs w:val="22"/>
                <w:lang w:val="lv-LV"/>
              </w:rPr>
            </w:pPr>
          </w:p>
          <w:p w:rsidR="00E05547" w:rsidRDefault="00E05547" w:rsidP="00CB589F">
            <w:pPr>
              <w:ind w:firstLine="596"/>
              <w:jc w:val="both"/>
              <w:rPr>
                <w:sz w:val="22"/>
                <w:szCs w:val="22"/>
                <w:lang w:val="lv-LV"/>
              </w:rPr>
            </w:pPr>
          </w:p>
          <w:p w:rsidR="00E05547" w:rsidRDefault="00E05547" w:rsidP="00E05547">
            <w:pPr>
              <w:ind w:firstLine="596"/>
              <w:jc w:val="both"/>
              <w:rPr>
                <w:sz w:val="22"/>
                <w:szCs w:val="22"/>
                <w:lang w:val="lv-LV"/>
              </w:rPr>
            </w:pPr>
          </w:p>
          <w:p w:rsidR="004D7013" w:rsidRPr="005F449C" w:rsidRDefault="004D7013" w:rsidP="00E05547">
            <w:pPr>
              <w:ind w:firstLine="596"/>
              <w:jc w:val="both"/>
              <w:rPr>
                <w:sz w:val="22"/>
                <w:szCs w:val="22"/>
                <w:lang w:val="lv-LV"/>
              </w:rPr>
            </w:pPr>
            <w:r w:rsidRPr="005F449C">
              <w:rPr>
                <w:sz w:val="22"/>
                <w:szCs w:val="22"/>
                <w:lang w:val="lv-LV"/>
              </w:rPr>
              <w:t>5. Izteikt 22.panta otrās daļas 1., 2. un 3.punktu šādā redakcijā:</w:t>
            </w:r>
          </w:p>
          <w:p w:rsidR="004D7013" w:rsidRPr="005F449C" w:rsidRDefault="004D7013" w:rsidP="00CB589F">
            <w:pPr>
              <w:ind w:firstLine="596"/>
              <w:jc w:val="both"/>
              <w:rPr>
                <w:sz w:val="22"/>
                <w:szCs w:val="22"/>
                <w:lang w:val="lv-LV"/>
              </w:rPr>
            </w:pPr>
          </w:p>
          <w:p w:rsidR="004D7013" w:rsidRPr="009D28E9" w:rsidRDefault="004D7013" w:rsidP="00CB589F">
            <w:pPr>
              <w:ind w:firstLine="596"/>
              <w:jc w:val="both"/>
              <w:rPr>
                <w:sz w:val="22"/>
                <w:szCs w:val="22"/>
                <w:lang w:val="lv-LV"/>
              </w:rPr>
            </w:pPr>
            <w:r w:rsidRPr="009D28E9">
              <w:rPr>
                <w:sz w:val="22"/>
                <w:szCs w:val="22"/>
                <w:lang w:val="lv-LV"/>
              </w:rPr>
              <w:t xml:space="preserve">"1) personai ar I grupas invaliditāti – 71145 </w:t>
            </w:r>
            <w:r w:rsidRPr="009D28E9">
              <w:rPr>
                <w:i/>
                <w:sz w:val="22"/>
                <w:szCs w:val="22"/>
                <w:lang w:val="lv-LV"/>
              </w:rPr>
              <w:t>euro</w:t>
            </w:r>
            <w:r w:rsidRPr="009D28E9">
              <w:rPr>
                <w:sz w:val="22"/>
                <w:szCs w:val="22"/>
                <w:lang w:val="lv-LV"/>
              </w:rPr>
              <w:t>;</w:t>
            </w:r>
          </w:p>
          <w:p w:rsidR="004D7013" w:rsidRPr="009D28E9" w:rsidRDefault="004D7013" w:rsidP="00CB589F">
            <w:pPr>
              <w:ind w:firstLine="596"/>
              <w:jc w:val="both"/>
              <w:rPr>
                <w:sz w:val="22"/>
                <w:szCs w:val="22"/>
                <w:lang w:val="lv-LV"/>
              </w:rPr>
            </w:pPr>
            <w:r w:rsidRPr="009D28E9">
              <w:rPr>
                <w:sz w:val="22"/>
                <w:szCs w:val="22"/>
                <w:lang w:val="lv-LV"/>
              </w:rPr>
              <w:t xml:space="preserve">2) personai ar II grupas invaliditāti – 28458 </w:t>
            </w:r>
            <w:r w:rsidRPr="009D28E9">
              <w:rPr>
                <w:i/>
                <w:sz w:val="22"/>
                <w:szCs w:val="22"/>
                <w:lang w:val="lv-LV"/>
              </w:rPr>
              <w:t>euro</w:t>
            </w:r>
            <w:r w:rsidRPr="009D28E9">
              <w:rPr>
                <w:sz w:val="22"/>
                <w:szCs w:val="22"/>
                <w:lang w:val="lv-LV"/>
              </w:rPr>
              <w:t>;</w:t>
            </w:r>
          </w:p>
          <w:p w:rsidR="004D7013" w:rsidRPr="009D28E9" w:rsidRDefault="004D7013" w:rsidP="00CB589F">
            <w:pPr>
              <w:ind w:firstLine="596"/>
              <w:jc w:val="both"/>
              <w:rPr>
                <w:sz w:val="22"/>
                <w:szCs w:val="22"/>
                <w:lang w:val="lv-LV"/>
              </w:rPr>
            </w:pPr>
            <w:r w:rsidRPr="009D28E9">
              <w:rPr>
                <w:sz w:val="22"/>
                <w:szCs w:val="22"/>
                <w:lang w:val="lv-LV"/>
              </w:rPr>
              <w:t xml:space="preserve">3) personai ar III grupas invaliditāti – 14229 </w:t>
            </w:r>
            <w:r w:rsidRPr="009D28E9">
              <w:rPr>
                <w:i/>
                <w:sz w:val="22"/>
                <w:szCs w:val="22"/>
                <w:lang w:val="lv-LV"/>
              </w:rPr>
              <w:t>euro</w:t>
            </w:r>
            <w:r w:rsidRPr="009D28E9">
              <w:rPr>
                <w:sz w:val="22"/>
                <w:szCs w:val="22"/>
                <w:lang w:val="lv-LV"/>
              </w:rPr>
              <w:t>."</w:t>
            </w:r>
          </w:p>
          <w:p w:rsidR="002668A4" w:rsidRPr="009D28E9" w:rsidRDefault="002668A4" w:rsidP="00CB589F">
            <w:pPr>
              <w:ind w:firstLine="596"/>
              <w:jc w:val="both"/>
              <w:rPr>
                <w:sz w:val="22"/>
                <w:szCs w:val="22"/>
                <w:lang w:val="lv-LV"/>
              </w:rPr>
            </w:pPr>
          </w:p>
        </w:tc>
        <w:tc>
          <w:tcPr>
            <w:tcW w:w="556" w:type="dxa"/>
          </w:tcPr>
          <w:p w:rsidR="002668A4" w:rsidRPr="005F449C" w:rsidRDefault="002668A4" w:rsidP="005960AD">
            <w:pPr>
              <w:ind w:left="-578" w:firstLine="567"/>
              <w:jc w:val="center"/>
              <w:rPr>
                <w:b/>
                <w:sz w:val="22"/>
                <w:szCs w:val="22"/>
                <w:lang w:val="lv-LV"/>
              </w:rPr>
            </w:pPr>
          </w:p>
        </w:tc>
        <w:tc>
          <w:tcPr>
            <w:tcW w:w="3799" w:type="dxa"/>
          </w:tcPr>
          <w:p w:rsidR="002668A4" w:rsidRPr="005F449C" w:rsidRDefault="002668A4" w:rsidP="006F0875">
            <w:pPr>
              <w:jc w:val="both"/>
              <w:rPr>
                <w:sz w:val="22"/>
                <w:szCs w:val="22"/>
                <w:lang w:val="lv-LV"/>
              </w:rPr>
            </w:pPr>
          </w:p>
        </w:tc>
        <w:tc>
          <w:tcPr>
            <w:tcW w:w="1418" w:type="dxa"/>
          </w:tcPr>
          <w:p w:rsidR="002668A4" w:rsidRPr="005F449C" w:rsidRDefault="002668A4" w:rsidP="00E24DFD">
            <w:pPr>
              <w:ind w:firstLine="567"/>
              <w:jc w:val="both"/>
              <w:rPr>
                <w:sz w:val="22"/>
                <w:szCs w:val="22"/>
                <w:lang w:val="lv-LV"/>
              </w:rPr>
            </w:pPr>
          </w:p>
        </w:tc>
        <w:tc>
          <w:tcPr>
            <w:tcW w:w="1418" w:type="dxa"/>
          </w:tcPr>
          <w:p w:rsidR="002668A4" w:rsidRPr="005F449C" w:rsidRDefault="002668A4" w:rsidP="00E24DFD">
            <w:pPr>
              <w:ind w:firstLine="567"/>
              <w:jc w:val="both"/>
              <w:rPr>
                <w:sz w:val="22"/>
                <w:szCs w:val="22"/>
                <w:lang w:val="lv-LV"/>
              </w:rPr>
            </w:pPr>
          </w:p>
        </w:tc>
      </w:tr>
      <w:tr w:rsidR="00CB589F" w:rsidRPr="005F449C" w:rsidTr="004137D3">
        <w:tc>
          <w:tcPr>
            <w:tcW w:w="3799" w:type="dxa"/>
          </w:tcPr>
          <w:p w:rsidR="00370D6A" w:rsidRPr="009D28E9" w:rsidRDefault="00370D6A" w:rsidP="00836A8B">
            <w:pPr>
              <w:ind w:firstLine="567"/>
              <w:jc w:val="both"/>
              <w:rPr>
                <w:b/>
                <w:bCs/>
                <w:sz w:val="22"/>
                <w:szCs w:val="22"/>
                <w:lang w:val="lv-LV"/>
              </w:rPr>
            </w:pPr>
          </w:p>
          <w:p w:rsidR="00370D6A" w:rsidRPr="009D28E9" w:rsidRDefault="00370D6A" w:rsidP="00836A8B">
            <w:pPr>
              <w:ind w:firstLine="567"/>
              <w:jc w:val="both"/>
              <w:rPr>
                <w:b/>
                <w:bCs/>
                <w:sz w:val="22"/>
                <w:szCs w:val="22"/>
                <w:lang w:val="lv-LV"/>
              </w:rPr>
            </w:pPr>
          </w:p>
          <w:p w:rsidR="00CB589F" w:rsidRPr="005F449C" w:rsidRDefault="00F44802" w:rsidP="00836A8B">
            <w:pPr>
              <w:ind w:firstLine="567"/>
              <w:jc w:val="both"/>
              <w:rPr>
                <w:sz w:val="22"/>
                <w:szCs w:val="22"/>
                <w:lang w:val="lv-LV" w:eastAsia="lv-LV"/>
              </w:rPr>
            </w:pPr>
            <w:r w:rsidRPr="000C4302">
              <w:rPr>
                <w:b/>
                <w:bCs/>
                <w:sz w:val="22"/>
                <w:szCs w:val="22"/>
                <w:lang w:val="lv-LV"/>
              </w:rPr>
              <w:t>25.pants. Karavīram izmaksājamais izdienas pabalsts</w:t>
            </w:r>
          </w:p>
        </w:tc>
        <w:tc>
          <w:tcPr>
            <w:tcW w:w="3799" w:type="dxa"/>
          </w:tcPr>
          <w:p w:rsidR="00CB589F" w:rsidRPr="005F449C" w:rsidRDefault="00CB589F" w:rsidP="00CB589F">
            <w:pPr>
              <w:pStyle w:val="NormalWeb"/>
              <w:spacing w:before="0" w:after="0"/>
              <w:ind w:firstLine="596"/>
              <w:rPr>
                <w:sz w:val="22"/>
                <w:szCs w:val="22"/>
              </w:rPr>
            </w:pPr>
            <w:r w:rsidRPr="005F449C">
              <w:rPr>
                <w:sz w:val="22"/>
                <w:szCs w:val="22"/>
              </w:rPr>
              <w:t>6. 25.pantā:</w:t>
            </w:r>
          </w:p>
          <w:p w:rsidR="00CB589F" w:rsidRPr="005F449C" w:rsidRDefault="00CB589F" w:rsidP="00CB589F">
            <w:pPr>
              <w:pStyle w:val="NormalWeb"/>
              <w:spacing w:before="0" w:after="0"/>
              <w:ind w:firstLine="596"/>
              <w:rPr>
                <w:sz w:val="22"/>
                <w:szCs w:val="22"/>
              </w:rPr>
            </w:pPr>
            <w:r w:rsidRPr="005F449C">
              <w:rPr>
                <w:sz w:val="22"/>
                <w:szCs w:val="22"/>
              </w:rPr>
              <w:t>izteikt panta nosaukumu šādā redakcijā:</w:t>
            </w:r>
          </w:p>
          <w:p w:rsidR="00CB589F" w:rsidRPr="005F449C" w:rsidRDefault="00CB589F" w:rsidP="00CB589F">
            <w:pPr>
              <w:pStyle w:val="NormalWeb"/>
              <w:spacing w:before="0" w:after="0"/>
              <w:ind w:firstLine="596"/>
              <w:rPr>
                <w:sz w:val="22"/>
                <w:szCs w:val="22"/>
              </w:rPr>
            </w:pPr>
            <w:r w:rsidRPr="005F449C">
              <w:rPr>
                <w:sz w:val="22"/>
                <w:szCs w:val="22"/>
              </w:rPr>
              <w:t>"</w:t>
            </w:r>
            <w:r w:rsidRPr="005F449C">
              <w:rPr>
                <w:b/>
                <w:sz w:val="22"/>
                <w:szCs w:val="22"/>
              </w:rPr>
              <w:t>25.pants. Izdienas pabalsts</w:t>
            </w:r>
            <w:r w:rsidRPr="005F449C">
              <w:rPr>
                <w:sz w:val="22"/>
                <w:szCs w:val="22"/>
              </w:rPr>
              <w:t>";</w:t>
            </w:r>
          </w:p>
        </w:tc>
        <w:tc>
          <w:tcPr>
            <w:tcW w:w="556" w:type="dxa"/>
          </w:tcPr>
          <w:p w:rsidR="00CB589F" w:rsidRPr="005F449C" w:rsidRDefault="00CB589F" w:rsidP="005960AD">
            <w:pPr>
              <w:ind w:left="-578" w:firstLine="567"/>
              <w:jc w:val="center"/>
              <w:rPr>
                <w:b/>
                <w:sz w:val="22"/>
                <w:szCs w:val="22"/>
                <w:lang w:val="lv-LV"/>
              </w:rPr>
            </w:pPr>
          </w:p>
        </w:tc>
        <w:tc>
          <w:tcPr>
            <w:tcW w:w="3799" w:type="dxa"/>
          </w:tcPr>
          <w:p w:rsidR="00CB589F" w:rsidRPr="005F449C" w:rsidRDefault="00CB589F" w:rsidP="006F0875">
            <w:pPr>
              <w:jc w:val="both"/>
              <w:rPr>
                <w:sz w:val="22"/>
                <w:szCs w:val="22"/>
                <w:lang w:val="lv-LV"/>
              </w:rPr>
            </w:pPr>
          </w:p>
        </w:tc>
        <w:tc>
          <w:tcPr>
            <w:tcW w:w="1418" w:type="dxa"/>
          </w:tcPr>
          <w:p w:rsidR="00CB589F" w:rsidRPr="005F449C" w:rsidRDefault="00CB589F" w:rsidP="00E24DFD">
            <w:pPr>
              <w:ind w:firstLine="567"/>
              <w:jc w:val="both"/>
              <w:rPr>
                <w:sz w:val="22"/>
                <w:szCs w:val="22"/>
                <w:lang w:val="lv-LV"/>
              </w:rPr>
            </w:pPr>
          </w:p>
        </w:tc>
        <w:tc>
          <w:tcPr>
            <w:tcW w:w="1418" w:type="dxa"/>
          </w:tcPr>
          <w:p w:rsidR="00CB589F" w:rsidRPr="005F449C" w:rsidRDefault="00CB589F" w:rsidP="00E24DFD">
            <w:pPr>
              <w:ind w:firstLine="567"/>
              <w:jc w:val="both"/>
              <w:rPr>
                <w:sz w:val="22"/>
                <w:szCs w:val="22"/>
                <w:lang w:val="lv-LV"/>
              </w:rPr>
            </w:pPr>
          </w:p>
        </w:tc>
      </w:tr>
      <w:tr w:rsidR="002668A4" w:rsidRPr="009D28E9" w:rsidTr="004137D3">
        <w:tc>
          <w:tcPr>
            <w:tcW w:w="3799" w:type="dxa"/>
          </w:tcPr>
          <w:p w:rsidR="002668A4" w:rsidRPr="005F449C" w:rsidRDefault="002668A4" w:rsidP="00836A8B">
            <w:pPr>
              <w:ind w:firstLine="567"/>
              <w:jc w:val="both"/>
              <w:rPr>
                <w:sz w:val="22"/>
                <w:szCs w:val="22"/>
                <w:lang w:val="lv-LV" w:eastAsia="lv-LV"/>
              </w:rPr>
            </w:pPr>
          </w:p>
        </w:tc>
        <w:tc>
          <w:tcPr>
            <w:tcW w:w="3799" w:type="dxa"/>
          </w:tcPr>
          <w:p w:rsidR="004D7013" w:rsidRPr="005F449C" w:rsidRDefault="004D7013" w:rsidP="00CB589F">
            <w:pPr>
              <w:pStyle w:val="NormalWeb"/>
              <w:spacing w:before="0" w:after="0"/>
              <w:ind w:firstLine="596"/>
              <w:rPr>
                <w:sz w:val="22"/>
                <w:szCs w:val="22"/>
              </w:rPr>
            </w:pPr>
            <w:r w:rsidRPr="005F449C">
              <w:rPr>
                <w:sz w:val="22"/>
                <w:szCs w:val="22"/>
              </w:rPr>
              <w:t>papildināt pantu ar ceturto daļu šādā redakcijā:</w:t>
            </w:r>
          </w:p>
          <w:p w:rsidR="002668A4" w:rsidRPr="005F449C" w:rsidRDefault="004D7013" w:rsidP="00CB589F">
            <w:pPr>
              <w:ind w:firstLine="596"/>
              <w:jc w:val="both"/>
              <w:rPr>
                <w:sz w:val="22"/>
                <w:szCs w:val="22"/>
                <w:lang w:val="lv-LV"/>
              </w:rPr>
            </w:pPr>
            <w:r w:rsidRPr="005F449C">
              <w:rPr>
                <w:sz w:val="22"/>
                <w:szCs w:val="22"/>
                <w:lang w:val="lv-LV"/>
              </w:rPr>
              <w:t>"(4) Iekšlietu ministrijas sistēmas iestāžu un Ieslodzījuma vietu pārvaldes amatpersona ar speciālo dienesta pakāpi pēc katriem pieciem nepārtrauktas izdienas gadiem Iekšlietu ministrijas sistēmā vai Ieslodzījuma vietu pārvaldē saņem vienreizēju pabalstu triju mēnešalgu apmērā atbilstoši pēdējam amatam."</w:t>
            </w:r>
          </w:p>
        </w:tc>
        <w:tc>
          <w:tcPr>
            <w:tcW w:w="556" w:type="dxa"/>
          </w:tcPr>
          <w:p w:rsidR="002668A4" w:rsidRPr="005F449C" w:rsidRDefault="002668A4" w:rsidP="005960AD">
            <w:pPr>
              <w:ind w:left="-578" w:firstLine="567"/>
              <w:jc w:val="center"/>
              <w:rPr>
                <w:b/>
                <w:sz w:val="22"/>
                <w:szCs w:val="22"/>
                <w:lang w:val="lv-LV"/>
              </w:rPr>
            </w:pPr>
          </w:p>
        </w:tc>
        <w:tc>
          <w:tcPr>
            <w:tcW w:w="3799" w:type="dxa"/>
          </w:tcPr>
          <w:p w:rsidR="002668A4" w:rsidRPr="005F449C" w:rsidRDefault="002668A4" w:rsidP="006F0875">
            <w:pPr>
              <w:jc w:val="both"/>
              <w:rPr>
                <w:sz w:val="22"/>
                <w:szCs w:val="22"/>
                <w:lang w:val="lv-LV"/>
              </w:rPr>
            </w:pPr>
          </w:p>
        </w:tc>
        <w:tc>
          <w:tcPr>
            <w:tcW w:w="1418" w:type="dxa"/>
          </w:tcPr>
          <w:p w:rsidR="002668A4" w:rsidRPr="005F449C" w:rsidRDefault="002668A4" w:rsidP="00E24DFD">
            <w:pPr>
              <w:ind w:firstLine="567"/>
              <w:jc w:val="both"/>
              <w:rPr>
                <w:sz w:val="22"/>
                <w:szCs w:val="22"/>
                <w:lang w:val="lv-LV"/>
              </w:rPr>
            </w:pPr>
          </w:p>
        </w:tc>
        <w:tc>
          <w:tcPr>
            <w:tcW w:w="1418" w:type="dxa"/>
          </w:tcPr>
          <w:p w:rsidR="002668A4" w:rsidRPr="005F449C" w:rsidRDefault="002668A4" w:rsidP="00E24DFD">
            <w:pPr>
              <w:ind w:firstLine="567"/>
              <w:jc w:val="both"/>
              <w:rPr>
                <w:sz w:val="22"/>
                <w:szCs w:val="22"/>
                <w:lang w:val="lv-LV"/>
              </w:rPr>
            </w:pPr>
          </w:p>
        </w:tc>
      </w:tr>
      <w:tr w:rsidR="00BA6155" w:rsidRPr="009D28E9" w:rsidTr="004137D3">
        <w:tc>
          <w:tcPr>
            <w:tcW w:w="3799" w:type="dxa"/>
          </w:tcPr>
          <w:p w:rsidR="00BA6155" w:rsidRPr="004174C6" w:rsidRDefault="00BA6155" w:rsidP="00BA6155">
            <w:pPr>
              <w:ind w:firstLine="567"/>
              <w:jc w:val="both"/>
              <w:rPr>
                <w:b/>
                <w:bCs/>
                <w:sz w:val="22"/>
                <w:szCs w:val="22"/>
                <w:lang w:val="fr-FR"/>
              </w:rPr>
            </w:pPr>
            <w:r w:rsidRPr="004174C6">
              <w:rPr>
                <w:b/>
                <w:bCs/>
                <w:sz w:val="22"/>
                <w:szCs w:val="22"/>
                <w:lang w:val="fr-FR"/>
              </w:rPr>
              <w:t>36.pants. Pabalsti un kompensācijas par dienestu ārvalstīs</w:t>
            </w:r>
          </w:p>
          <w:p w:rsidR="00BA6155" w:rsidRPr="00BA6155" w:rsidRDefault="00BA6155" w:rsidP="00BA6155">
            <w:pPr>
              <w:pStyle w:val="tv2131"/>
              <w:spacing w:line="240" w:lineRule="auto"/>
              <w:jc w:val="both"/>
              <w:rPr>
                <w:color w:val="auto"/>
                <w:sz w:val="22"/>
                <w:szCs w:val="22"/>
              </w:rPr>
            </w:pPr>
            <w:r w:rsidRPr="00BA6155">
              <w:rPr>
                <w:color w:val="auto"/>
                <w:sz w:val="22"/>
                <w:szCs w:val="22"/>
              </w:rPr>
              <w:t>(1) Diplomātam, diplomātiskā un konsulārā dienesta amatpersonai (darbiniekam), specializētajam atašejam, prokuroram, sakaru virsniekam, karavīram, valsts tiešās pārvaldes amatpersonai (darbiniekam) vai valsts drošības iestādes amatpersonai (darbiniekam) laikā, kad tā pilda dienestu ārvalstī, tiek noteikti šādi pabalsti:</w:t>
            </w:r>
          </w:p>
          <w:p w:rsidR="00BA6155" w:rsidRPr="00BA6155" w:rsidRDefault="00BA6155" w:rsidP="00BA6155">
            <w:pPr>
              <w:pStyle w:val="tv2131"/>
              <w:spacing w:line="240" w:lineRule="auto"/>
              <w:jc w:val="both"/>
              <w:rPr>
                <w:color w:val="auto"/>
                <w:sz w:val="22"/>
                <w:szCs w:val="22"/>
              </w:rPr>
            </w:pPr>
            <w:r w:rsidRPr="00BA6155">
              <w:rPr>
                <w:color w:val="auto"/>
                <w:sz w:val="22"/>
                <w:szCs w:val="22"/>
              </w:rPr>
              <w:t>1) algas pabalsts par dienestu ārvalstī;</w:t>
            </w:r>
          </w:p>
          <w:p w:rsidR="00BA6155" w:rsidRPr="00BA6155" w:rsidRDefault="00BA6155" w:rsidP="00BA6155">
            <w:pPr>
              <w:pStyle w:val="tv2131"/>
              <w:spacing w:line="240" w:lineRule="auto"/>
              <w:jc w:val="both"/>
              <w:rPr>
                <w:color w:val="auto"/>
                <w:sz w:val="22"/>
                <w:szCs w:val="22"/>
              </w:rPr>
            </w:pPr>
            <w:r w:rsidRPr="00BA6155">
              <w:rPr>
                <w:color w:val="auto"/>
                <w:sz w:val="22"/>
                <w:szCs w:val="22"/>
              </w:rPr>
              <w:t>2) pabalsts par laulātā uzturēšanos ārvalstī, ja laulātais nav nodarbināts algotā darbā;</w:t>
            </w:r>
          </w:p>
          <w:p w:rsidR="00BA6155" w:rsidRPr="00BA6155" w:rsidRDefault="00BA6155" w:rsidP="00BA6155">
            <w:pPr>
              <w:pStyle w:val="tv2131"/>
              <w:spacing w:line="240" w:lineRule="auto"/>
              <w:jc w:val="both"/>
              <w:rPr>
                <w:color w:val="auto"/>
                <w:sz w:val="22"/>
                <w:szCs w:val="22"/>
              </w:rPr>
            </w:pPr>
            <w:r w:rsidRPr="00BA6155">
              <w:rPr>
                <w:color w:val="auto"/>
                <w:sz w:val="22"/>
                <w:szCs w:val="22"/>
              </w:rPr>
              <w:t>3) pabalsts par bērnu uzturēšanos ārvalstī;</w:t>
            </w:r>
          </w:p>
          <w:p w:rsidR="00BA6155" w:rsidRPr="00BA6155" w:rsidRDefault="00BA6155" w:rsidP="00BA6155">
            <w:pPr>
              <w:pStyle w:val="tv2131"/>
              <w:spacing w:line="240" w:lineRule="auto"/>
              <w:jc w:val="both"/>
              <w:rPr>
                <w:color w:val="auto"/>
                <w:sz w:val="22"/>
                <w:szCs w:val="22"/>
              </w:rPr>
            </w:pPr>
            <w:r w:rsidRPr="00BA6155">
              <w:rPr>
                <w:color w:val="auto"/>
                <w:sz w:val="22"/>
                <w:szCs w:val="22"/>
              </w:rPr>
              <w:t xml:space="preserve">4) pabalsts mājsaimniecības </w:t>
            </w:r>
            <w:r w:rsidRPr="00BA6155">
              <w:rPr>
                <w:color w:val="auto"/>
                <w:sz w:val="22"/>
                <w:szCs w:val="22"/>
              </w:rPr>
              <w:lastRenderedPageBreak/>
              <w:t>inventāra iegādei, pārceļoties uz dienesta vietu ārvalstī;</w:t>
            </w:r>
          </w:p>
          <w:p w:rsidR="00BA6155" w:rsidRPr="00BA6155" w:rsidRDefault="00BA6155" w:rsidP="00BA6155">
            <w:pPr>
              <w:pStyle w:val="tv2131"/>
              <w:spacing w:line="240" w:lineRule="auto"/>
              <w:jc w:val="both"/>
              <w:rPr>
                <w:b/>
                <w:bCs/>
                <w:sz w:val="22"/>
                <w:szCs w:val="22"/>
              </w:rPr>
            </w:pPr>
            <w:r w:rsidRPr="00BA6155">
              <w:rPr>
                <w:color w:val="auto"/>
                <w:sz w:val="22"/>
                <w:szCs w:val="22"/>
              </w:rPr>
              <w:t>5) pabalsts dienesta vajadzībām izmantojamā transporta izdevumu segšanai.</w:t>
            </w:r>
          </w:p>
        </w:tc>
        <w:tc>
          <w:tcPr>
            <w:tcW w:w="3799" w:type="dxa"/>
          </w:tcPr>
          <w:p w:rsidR="00BA6155" w:rsidRPr="005F449C" w:rsidRDefault="00BA6155" w:rsidP="00F44802">
            <w:pPr>
              <w:pStyle w:val="NormalWeb"/>
              <w:spacing w:before="0" w:after="0"/>
              <w:ind w:firstLine="596"/>
              <w:rPr>
                <w:sz w:val="22"/>
                <w:szCs w:val="22"/>
              </w:rPr>
            </w:pPr>
          </w:p>
        </w:tc>
        <w:tc>
          <w:tcPr>
            <w:tcW w:w="556" w:type="dxa"/>
          </w:tcPr>
          <w:p w:rsidR="00BA6155" w:rsidRDefault="00BA6155" w:rsidP="005960AD">
            <w:pPr>
              <w:ind w:left="-578" w:firstLine="567"/>
              <w:jc w:val="center"/>
              <w:rPr>
                <w:b/>
                <w:sz w:val="22"/>
                <w:szCs w:val="22"/>
                <w:lang w:val="lv-LV"/>
              </w:rPr>
            </w:pPr>
          </w:p>
          <w:p w:rsidR="004F3B57" w:rsidRDefault="004F3B57" w:rsidP="005960AD">
            <w:pPr>
              <w:ind w:left="-578" w:firstLine="567"/>
              <w:jc w:val="center"/>
              <w:rPr>
                <w:b/>
                <w:sz w:val="22"/>
                <w:szCs w:val="22"/>
                <w:lang w:val="lv-LV"/>
              </w:rPr>
            </w:pPr>
          </w:p>
          <w:p w:rsidR="004F3B57" w:rsidRDefault="004F3B57" w:rsidP="005960AD">
            <w:pPr>
              <w:ind w:left="-578" w:firstLine="567"/>
              <w:jc w:val="center"/>
              <w:rPr>
                <w:b/>
                <w:sz w:val="22"/>
                <w:szCs w:val="22"/>
                <w:lang w:val="lv-LV"/>
              </w:rPr>
            </w:pPr>
          </w:p>
          <w:p w:rsidR="004F3B57" w:rsidRDefault="004F3B57" w:rsidP="005960AD">
            <w:pPr>
              <w:ind w:left="-578" w:firstLine="567"/>
              <w:jc w:val="center"/>
              <w:rPr>
                <w:b/>
                <w:sz w:val="22"/>
                <w:szCs w:val="22"/>
                <w:lang w:val="lv-LV"/>
              </w:rPr>
            </w:pPr>
          </w:p>
          <w:p w:rsidR="004F3B57" w:rsidRDefault="004F3B57" w:rsidP="005960AD">
            <w:pPr>
              <w:ind w:left="-578" w:firstLine="567"/>
              <w:jc w:val="center"/>
              <w:rPr>
                <w:b/>
                <w:sz w:val="22"/>
                <w:szCs w:val="22"/>
                <w:lang w:val="lv-LV"/>
              </w:rPr>
            </w:pPr>
          </w:p>
          <w:p w:rsidR="004F3B57" w:rsidRDefault="004F3B57" w:rsidP="005960AD">
            <w:pPr>
              <w:ind w:left="-578" w:firstLine="567"/>
              <w:jc w:val="center"/>
              <w:rPr>
                <w:b/>
                <w:sz w:val="22"/>
                <w:szCs w:val="22"/>
                <w:lang w:val="lv-LV"/>
              </w:rPr>
            </w:pPr>
          </w:p>
          <w:p w:rsidR="004F3B57" w:rsidRDefault="004F3B57" w:rsidP="005960AD">
            <w:pPr>
              <w:ind w:left="-578" w:firstLine="567"/>
              <w:jc w:val="center"/>
              <w:rPr>
                <w:b/>
                <w:sz w:val="22"/>
                <w:szCs w:val="22"/>
                <w:lang w:val="lv-LV"/>
              </w:rPr>
            </w:pPr>
          </w:p>
          <w:p w:rsidR="004F3B57" w:rsidRDefault="004F3B57" w:rsidP="005960AD">
            <w:pPr>
              <w:ind w:left="-578" w:firstLine="567"/>
              <w:jc w:val="center"/>
              <w:rPr>
                <w:b/>
                <w:sz w:val="22"/>
                <w:szCs w:val="22"/>
                <w:lang w:val="lv-LV"/>
              </w:rPr>
            </w:pPr>
          </w:p>
          <w:p w:rsidR="004F3B57" w:rsidRDefault="004F3B57" w:rsidP="005960AD">
            <w:pPr>
              <w:ind w:left="-578" w:firstLine="567"/>
              <w:jc w:val="center"/>
              <w:rPr>
                <w:b/>
                <w:sz w:val="22"/>
                <w:szCs w:val="22"/>
                <w:lang w:val="lv-LV"/>
              </w:rPr>
            </w:pPr>
          </w:p>
          <w:p w:rsidR="004F3B57" w:rsidRDefault="004F3B57" w:rsidP="005960AD">
            <w:pPr>
              <w:ind w:left="-578" w:firstLine="567"/>
              <w:jc w:val="center"/>
              <w:rPr>
                <w:b/>
                <w:sz w:val="22"/>
                <w:szCs w:val="22"/>
                <w:lang w:val="lv-LV"/>
              </w:rPr>
            </w:pPr>
          </w:p>
          <w:p w:rsidR="004F3B57" w:rsidRDefault="004F3B57" w:rsidP="005960AD">
            <w:pPr>
              <w:ind w:left="-578" w:firstLine="567"/>
              <w:jc w:val="center"/>
              <w:rPr>
                <w:b/>
                <w:sz w:val="22"/>
                <w:szCs w:val="22"/>
                <w:lang w:val="lv-LV"/>
              </w:rPr>
            </w:pPr>
          </w:p>
          <w:p w:rsidR="004F3B57" w:rsidRPr="005F449C" w:rsidRDefault="004F3B57" w:rsidP="005960AD">
            <w:pPr>
              <w:ind w:left="-578" w:firstLine="567"/>
              <w:jc w:val="center"/>
              <w:rPr>
                <w:b/>
                <w:sz w:val="22"/>
                <w:szCs w:val="22"/>
                <w:lang w:val="lv-LV"/>
              </w:rPr>
            </w:pPr>
            <w:r>
              <w:rPr>
                <w:b/>
                <w:sz w:val="22"/>
                <w:szCs w:val="22"/>
                <w:lang w:val="lv-LV"/>
              </w:rPr>
              <w:t>4</w:t>
            </w:r>
          </w:p>
        </w:tc>
        <w:tc>
          <w:tcPr>
            <w:tcW w:w="3799" w:type="dxa"/>
          </w:tcPr>
          <w:p w:rsidR="00BA6155" w:rsidRDefault="00BA6155" w:rsidP="00BA6155">
            <w:pPr>
              <w:ind w:firstLine="635"/>
              <w:jc w:val="both"/>
              <w:rPr>
                <w:b/>
                <w:sz w:val="22"/>
                <w:szCs w:val="22"/>
                <w:u w:val="single"/>
                <w:lang w:val="lv-LV"/>
              </w:rPr>
            </w:pPr>
          </w:p>
          <w:p w:rsidR="00BA6155" w:rsidRDefault="00BA6155" w:rsidP="00BA6155">
            <w:pPr>
              <w:ind w:firstLine="635"/>
              <w:jc w:val="both"/>
              <w:rPr>
                <w:b/>
                <w:sz w:val="22"/>
                <w:szCs w:val="22"/>
                <w:u w:val="single"/>
                <w:lang w:val="lv-LV"/>
              </w:rPr>
            </w:pPr>
          </w:p>
          <w:p w:rsidR="00BA6155" w:rsidRDefault="00BA6155" w:rsidP="00BA6155">
            <w:pPr>
              <w:ind w:firstLine="635"/>
              <w:jc w:val="both"/>
              <w:rPr>
                <w:b/>
                <w:sz w:val="22"/>
                <w:szCs w:val="22"/>
                <w:u w:val="single"/>
                <w:lang w:val="lv-LV"/>
              </w:rPr>
            </w:pPr>
          </w:p>
          <w:p w:rsidR="00BA6155" w:rsidRDefault="00BA6155" w:rsidP="00BA6155">
            <w:pPr>
              <w:ind w:firstLine="635"/>
              <w:jc w:val="both"/>
              <w:rPr>
                <w:b/>
                <w:sz w:val="22"/>
                <w:szCs w:val="22"/>
                <w:u w:val="single"/>
                <w:lang w:val="lv-LV"/>
              </w:rPr>
            </w:pPr>
          </w:p>
          <w:p w:rsidR="00BA6155" w:rsidRDefault="00BA6155" w:rsidP="00BA6155">
            <w:pPr>
              <w:ind w:firstLine="635"/>
              <w:jc w:val="both"/>
              <w:rPr>
                <w:b/>
                <w:sz w:val="22"/>
                <w:szCs w:val="22"/>
                <w:u w:val="single"/>
                <w:lang w:val="lv-LV"/>
              </w:rPr>
            </w:pPr>
          </w:p>
          <w:p w:rsidR="00BA6155" w:rsidRDefault="00BA6155" w:rsidP="00BA6155">
            <w:pPr>
              <w:ind w:firstLine="635"/>
              <w:jc w:val="both"/>
              <w:rPr>
                <w:b/>
                <w:sz w:val="22"/>
                <w:szCs w:val="22"/>
                <w:u w:val="single"/>
                <w:lang w:val="lv-LV"/>
              </w:rPr>
            </w:pPr>
          </w:p>
          <w:p w:rsidR="00BA6155" w:rsidRDefault="00BA6155" w:rsidP="00BA6155">
            <w:pPr>
              <w:ind w:firstLine="635"/>
              <w:jc w:val="both"/>
              <w:rPr>
                <w:b/>
                <w:sz w:val="22"/>
                <w:szCs w:val="22"/>
                <w:u w:val="single"/>
                <w:lang w:val="lv-LV"/>
              </w:rPr>
            </w:pPr>
          </w:p>
          <w:p w:rsidR="00BA6155" w:rsidRDefault="00BA6155" w:rsidP="00BA6155">
            <w:pPr>
              <w:ind w:firstLine="635"/>
              <w:jc w:val="both"/>
              <w:rPr>
                <w:b/>
                <w:sz w:val="22"/>
                <w:szCs w:val="22"/>
                <w:u w:val="single"/>
                <w:lang w:val="lv-LV"/>
              </w:rPr>
            </w:pPr>
          </w:p>
          <w:p w:rsidR="00BA6155" w:rsidRDefault="00BA6155" w:rsidP="00BA6155">
            <w:pPr>
              <w:ind w:firstLine="635"/>
              <w:jc w:val="both"/>
              <w:rPr>
                <w:b/>
                <w:sz w:val="22"/>
                <w:szCs w:val="22"/>
                <w:u w:val="single"/>
                <w:lang w:val="lv-LV"/>
              </w:rPr>
            </w:pPr>
          </w:p>
          <w:p w:rsidR="00BA6155" w:rsidRDefault="00BA6155" w:rsidP="00BA6155">
            <w:pPr>
              <w:ind w:firstLine="635"/>
              <w:jc w:val="both"/>
              <w:rPr>
                <w:b/>
                <w:sz w:val="22"/>
                <w:szCs w:val="22"/>
                <w:u w:val="single"/>
                <w:lang w:val="lv-LV"/>
              </w:rPr>
            </w:pPr>
          </w:p>
          <w:p w:rsidR="00BA6155" w:rsidRDefault="00BA6155" w:rsidP="00BA6155">
            <w:pPr>
              <w:ind w:firstLine="635"/>
              <w:jc w:val="both"/>
              <w:rPr>
                <w:b/>
                <w:sz w:val="22"/>
                <w:szCs w:val="22"/>
                <w:u w:val="single"/>
                <w:lang w:val="lv-LV"/>
              </w:rPr>
            </w:pPr>
          </w:p>
          <w:p w:rsidR="00BA6155" w:rsidRPr="00BA6155" w:rsidRDefault="00BA6155" w:rsidP="00BA6155">
            <w:pPr>
              <w:ind w:firstLine="635"/>
              <w:jc w:val="both"/>
              <w:rPr>
                <w:b/>
                <w:sz w:val="22"/>
                <w:szCs w:val="22"/>
                <w:u w:val="single"/>
                <w:lang w:val="lv-LV"/>
              </w:rPr>
            </w:pPr>
            <w:r w:rsidRPr="00BA6155">
              <w:rPr>
                <w:b/>
                <w:sz w:val="22"/>
                <w:szCs w:val="22"/>
                <w:u w:val="single"/>
                <w:lang w:val="lv-LV"/>
              </w:rPr>
              <w:t>Ārlietu ministrs E.Rinkēvičs</w:t>
            </w:r>
          </w:p>
          <w:p w:rsidR="00BA6155" w:rsidRPr="00BA6155" w:rsidRDefault="00BA6155" w:rsidP="00BA6155">
            <w:pPr>
              <w:ind w:firstLine="635"/>
              <w:jc w:val="both"/>
              <w:rPr>
                <w:sz w:val="22"/>
                <w:szCs w:val="22"/>
                <w:lang w:val="lv-LV"/>
              </w:rPr>
            </w:pPr>
            <w:r w:rsidRPr="00BA6155">
              <w:rPr>
                <w:sz w:val="22"/>
                <w:szCs w:val="22"/>
                <w:lang w:val="lv-LV"/>
              </w:rPr>
              <w:t xml:space="preserve">Izteikt 36.panta pirmās daļas 2.punktu šādā redakcijā: </w:t>
            </w:r>
          </w:p>
          <w:p w:rsidR="00BA6155" w:rsidRPr="00BA6155" w:rsidRDefault="00BA6155" w:rsidP="00BA6155">
            <w:pPr>
              <w:pStyle w:val="tv2131"/>
              <w:spacing w:line="240" w:lineRule="auto"/>
              <w:jc w:val="both"/>
              <w:rPr>
                <w:color w:val="auto"/>
                <w:sz w:val="22"/>
                <w:szCs w:val="22"/>
              </w:rPr>
            </w:pPr>
            <w:r w:rsidRPr="00BA6155">
              <w:rPr>
                <w:sz w:val="22"/>
                <w:szCs w:val="22"/>
              </w:rPr>
              <w:t>„</w:t>
            </w:r>
            <w:r w:rsidRPr="00BA6155">
              <w:rPr>
                <w:color w:val="auto"/>
                <w:sz w:val="22"/>
                <w:szCs w:val="22"/>
              </w:rPr>
              <w:t>2) pabalsts par laulātā uzturēšanos ārvalstī, ja laulātais nav nodarbināts algotā darbā</w:t>
            </w:r>
            <w:r w:rsidRPr="00BA6155">
              <w:rPr>
                <w:color w:val="auto"/>
                <w:sz w:val="22"/>
                <w:szCs w:val="22"/>
                <w:u w:val="single"/>
              </w:rPr>
              <w:t>, saglabājot diplomātisko rangu, vai kā Latvijas Republikas diplomātiskās vai konsulārās pārstāvniecības ierēdnis vai darbinieks</w:t>
            </w:r>
            <w:r w:rsidRPr="00BA6155">
              <w:rPr>
                <w:color w:val="auto"/>
                <w:sz w:val="22"/>
                <w:szCs w:val="22"/>
              </w:rPr>
              <w:t>;</w:t>
            </w:r>
            <w:r>
              <w:rPr>
                <w:color w:val="auto"/>
                <w:sz w:val="22"/>
                <w:szCs w:val="22"/>
              </w:rPr>
              <w:t>”</w:t>
            </w:r>
          </w:p>
          <w:p w:rsidR="00BA6155" w:rsidRPr="00BA6155" w:rsidRDefault="00BA6155" w:rsidP="00BA6155">
            <w:pPr>
              <w:ind w:firstLine="635"/>
              <w:jc w:val="both"/>
              <w:rPr>
                <w:b/>
                <w:sz w:val="22"/>
                <w:szCs w:val="22"/>
                <w:lang w:val="lv-LV"/>
              </w:rPr>
            </w:pPr>
          </w:p>
        </w:tc>
        <w:tc>
          <w:tcPr>
            <w:tcW w:w="1418" w:type="dxa"/>
          </w:tcPr>
          <w:p w:rsidR="00BA6155" w:rsidRPr="005F449C" w:rsidRDefault="00BA6155" w:rsidP="00E24DFD">
            <w:pPr>
              <w:ind w:firstLine="567"/>
              <w:jc w:val="both"/>
              <w:rPr>
                <w:sz w:val="22"/>
                <w:szCs w:val="22"/>
                <w:lang w:val="lv-LV"/>
              </w:rPr>
            </w:pPr>
          </w:p>
        </w:tc>
        <w:tc>
          <w:tcPr>
            <w:tcW w:w="1418" w:type="dxa"/>
          </w:tcPr>
          <w:p w:rsidR="00BA6155" w:rsidRPr="005F449C" w:rsidRDefault="00BA6155" w:rsidP="00E24DFD">
            <w:pPr>
              <w:ind w:firstLine="567"/>
              <w:jc w:val="both"/>
              <w:rPr>
                <w:sz w:val="22"/>
                <w:szCs w:val="22"/>
                <w:lang w:val="lv-LV"/>
              </w:rPr>
            </w:pPr>
          </w:p>
        </w:tc>
      </w:tr>
      <w:tr w:rsidR="00F44802" w:rsidRPr="009D28E9" w:rsidTr="004137D3">
        <w:tc>
          <w:tcPr>
            <w:tcW w:w="3799" w:type="dxa"/>
          </w:tcPr>
          <w:p w:rsidR="00F44802" w:rsidRPr="009D28E9" w:rsidRDefault="00F44802" w:rsidP="00836A8B">
            <w:pPr>
              <w:ind w:firstLine="567"/>
              <w:jc w:val="both"/>
              <w:rPr>
                <w:b/>
                <w:bCs/>
                <w:sz w:val="22"/>
                <w:szCs w:val="22"/>
                <w:lang w:val="lv-LV"/>
              </w:rPr>
            </w:pPr>
            <w:r w:rsidRPr="009D28E9">
              <w:rPr>
                <w:b/>
                <w:bCs/>
                <w:sz w:val="22"/>
                <w:szCs w:val="22"/>
                <w:lang w:val="lv-LV"/>
              </w:rPr>
              <w:lastRenderedPageBreak/>
              <w:t>37.pants. Veselības apdrošināšana un apdrošināšana pret nelaimes gadījumiem</w:t>
            </w:r>
          </w:p>
          <w:p w:rsidR="00F44802" w:rsidRPr="009D28E9" w:rsidRDefault="00F44802" w:rsidP="00836A8B">
            <w:pPr>
              <w:ind w:firstLine="567"/>
              <w:jc w:val="both"/>
              <w:rPr>
                <w:sz w:val="22"/>
                <w:szCs w:val="22"/>
                <w:lang w:val="lv-LV"/>
              </w:rPr>
            </w:pPr>
            <w:r w:rsidRPr="009D28E9">
              <w:rPr>
                <w:sz w:val="22"/>
                <w:szCs w:val="22"/>
                <w:lang w:val="lv-LV"/>
              </w:rPr>
              <w:t>(2) Amatpersonas (darbinieka) veselības apdrošināšanas polises cena nedrīkst pārsniegt normatīvajos aktos par iedzīvotāju ienākuma nodokli noteikto apmēru. Šā panta trešajā, 3.</w:t>
            </w:r>
            <w:r w:rsidRPr="009D28E9">
              <w:rPr>
                <w:sz w:val="22"/>
                <w:szCs w:val="22"/>
                <w:vertAlign w:val="superscript"/>
                <w:lang w:val="lv-LV"/>
              </w:rPr>
              <w:t>1</w:t>
            </w:r>
            <w:r w:rsidRPr="009D28E9">
              <w:rPr>
                <w:sz w:val="22"/>
                <w:szCs w:val="22"/>
                <w:lang w:val="lv-LV"/>
              </w:rPr>
              <w:t>, 3.</w:t>
            </w:r>
            <w:r w:rsidRPr="009D28E9">
              <w:rPr>
                <w:sz w:val="22"/>
                <w:szCs w:val="22"/>
                <w:vertAlign w:val="superscript"/>
                <w:lang w:val="lv-LV"/>
              </w:rPr>
              <w:t>2</w:t>
            </w:r>
            <w:r w:rsidRPr="009D28E9">
              <w:rPr>
                <w:sz w:val="22"/>
                <w:szCs w:val="22"/>
                <w:lang w:val="lv-LV"/>
              </w:rPr>
              <w:t>, ceturtajā, piektajā, sestajā vai septītajā daļā neminētas amatpersonas (darbinieka) veselības apdrošināšanas polises cena nedrīkst pārsniegt pusi no normatīvajos aktos par iedzīvotāju ienākuma nodokli noteiktā apmēra. Ja apdrošināšanas polises cena pārsniedz minēto apmēru, amatpersona (darbinieks) sedz cenu starpību.</w:t>
            </w:r>
          </w:p>
          <w:p w:rsidR="005F449C" w:rsidRPr="005F449C" w:rsidRDefault="005F449C" w:rsidP="00836A8B">
            <w:pPr>
              <w:ind w:firstLine="567"/>
              <w:jc w:val="both"/>
              <w:rPr>
                <w:sz w:val="22"/>
                <w:szCs w:val="22"/>
                <w:lang w:val="lv-LV" w:eastAsia="lv-LV"/>
              </w:rPr>
            </w:pPr>
          </w:p>
        </w:tc>
        <w:tc>
          <w:tcPr>
            <w:tcW w:w="3799" w:type="dxa"/>
          </w:tcPr>
          <w:p w:rsidR="00370D6A" w:rsidRDefault="00370D6A" w:rsidP="00F44802">
            <w:pPr>
              <w:pStyle w:val="NormalWeb"/>
              <w:spacing w:before="0" w:after="0"/>
              <w:ind w:firstLine="596"/>
              <w:rPr>
                <w:sz w:val="22"/>
                <w:szCs w:val="22"/>
              </w:rPr>
            </w:pPr>
          </w:p>
          <w:p w:rsidR="00370D6A" w:rsidRDefault="00370D6A" w:rsidP="00F44802">
            <w:pPr>
              <w:pStyle w:val="NormalWeb"/>
              <w:spacing w:before="0" w:after="0"/>
              <w:ind w:firstLine="596"/>
              <w:rPr>
                <w:sz w:val="22"/>
                <w:szCs w:val="22"/>
              </w:rPr>
            </w:pPr>
          </w:p>
          <w:p w:rsidR="00370D6A" w:rsidRDefault="00370D6A" w:rsidP="00F44802">
            <w:pPr>
              <w:pStyle w:val="NormalWeb"/>
              <w:spacing w:before="0" w:after="0"/>
              <w:ind w:firstLine="596"/>
              <w:rPr>
                <w:sz w:val="22"/>
                <w:szCs w:val="22"/>
              </w:rPr>
            </w:pPr>
          </w:p>
          <w:p w:rsidR="00F44802" w:rsidRPr="005F449C" w:rsidRDefault="00F44802" w:rsidP="00F44802">
            <w:pPr>
              <w:pStyle w:val="NormalWeb"/>
              <w:spacing w:before="0" w:after="0"/>
              <w:ind w:firstLine="596"/>
              <w:rPr>
                <w:sz w:val="22"/>
                <w:szCs w:val="22"/>
              </w:rPr>
            </w:pPr>
            <w:r w:rsidRPr="005F449C">
              <w:rPr>
                <w:sz w:val="22"/>
                <w:szCs w:val="22"/>
              </w:rPr>
              <w:t>7. 37.pantā:</w:t>
            </w:r>
          </w:p>
          <w:p w:rsidR="00F44802" w:rsidRPr="005F449C" w:rsidRDefault="00F44802" w:rsidP="00F44802">
            <w:pPr>
              <w:ind w:firstLine="596"/>
              <w:jc w:val="both"/>
              <w:rPr>
                <w:sz w:val="22"/>
                <w:szCs w:val="22"/>
                <w:lang w:val="lv-LV"/>
              </w:rPr>
            </w:pPr>
            <w:r w:rsidRPr="005F449C">
              <w:rPr>
                <w:sz w:val="22"/>
                <w:szCs w:val="22"/>
                <w:lang w:val="lv-LV"/>
              </w:rPr>
              <w:t>izteikt otrās daļas otro teikumu šādā redakcijā:</w:t>
            </w:r>
          </w:p>
          <w:p w:rsidR="00F44802" w:rsidRPr="005F449C" w:rsidRDefault="00F44802" w:rsidP="00F44802">
            <w:pPr>
              <w:ind w:firstLine="596"/>
              <w:jc w:val="both"/>
              <w:rPr>
                <w:sz w:val="22"/>
                <w:szCs w:val="22"/>
                <w:lang w:val="lv-LV"/>
              </w:rPr>
            </w:pPr>
          </w:p>
          <w:p w:rsidR="00F44802" w:rsidRPr="005F449C" w:rsidRDefault="00F44802" w:rsidP="00F44802">
            <w:pPr>
              <w:ind w:firstLine="596"/>
              <w:jc w:val="both"/>
              <w:rPr>
                <w:sz w:val="22"/>
                <w:szCs w:val="22"/>
                <w:lang w:val="lv-LV"/>
              </w:rPr>
            </w:pPr>
            <w:r w:rsidRPr="005F449C">
              <w:rPr>
                <w:sz w:val="22"/>
                <w:szCs w:val="22"/>
                <w:lang w:val="lv-LV"/>
              </w:rPr>
              <w:t>"Šā panta trešajā, 3.</w:t>
            </w:r>
            <w:r w:rsidRPr="005F449C">
              <w:rPr>
                <w:sz w:val="22"/>
                <w:szCs w:val="22"/>
                <w:vertAlign w:val="superscript"/>
                <w:lang w:val="lv-LV"/>
              </w:rPr>
              <w:t>1</w:t>
            </w:r>
            <w:r w:rsidRPr="005F449C">
              <w:rPr>
                <w:sz w:val="22"/>
                <w:szCs w:val="22"/>
                <w:lang w:val="lv-LV"/>
              </w:rPr>
              <w:t>, 3.</w:t>
            </w:r>
            <w:r w:rsidRPr="005F449C">
              <w:rPr>
                <w:sz w:val="22"/>
                <w:szCs w:val="22"/>
                <w:vertAlign w:val="superscript"/>
                <w:lang w:val="lv-LV"/>
              </w:rPr>
              <w:t>2</w:t>
            </w:r>
            <w:r w:rsidRPr="005F449C">
              <w:rPr>
                <w:sz w:val="22"/>
                <w:szCs w:val="22"/>
                <w:lang w:val="lv-LV"/>
              </w:rPr>
              <w:t>, 3.</w:t>
            </w:r>
            <w:r w:rsidRPr="005F449C">
              <w:rPr>
                <w:sz w:val="22"/>
                <w:szCs w:val="22"/>
                <w:vertAlign w:val="superscript"/>
                <w:lang w:val="lv-LV"/>
              </w:rPr>
              <w:t>3</w:t>
            </w:r>
            <w:r w:rsidRPr="005F449C">
              <w:rPr>
                <w:sz w:val="22"/>
                <w:szCs w:val="22"/>
                <w:lang w:val="lv-LV"/>
              </w:rPr>
              <w:t>, ceturtajā, piektajā, sestajā vai septītajā daļā neminētas amatpersonas (darbinieka) veselības apdrošināšanas polises cena nedrīkst pārsniegt pusi no normatīvajos aktos par iedzīvotāju ienākuma nodokli noteiktā apmēra.";</w:t>
            </w:r>
          </w:p>
        </w:tc>
        <w:tc>
          <w:tcPr>
            <w:tcW w:w="556" w:type="dxa"/>
          </w:tcPr>
          <w:p w:rsidR="00F44802" w:rsidRPr="005F449C" w:rsidRDefault="00F44802" w:rsidP="005960AD">
            <w:pPr>
              <w:ind w:left="-578" w:firstLine="567"/>
              <w:jc w:val="center"/>
              <w:rPr>
                <w:b/>
                <w:sz w:val="22"/>
                <w:szCs w:val="22"/>
                <w:lang w:val="lv-LV"/>
              </w:rPr>
            </w:pPr>
          </w:p>
        </w:tc>
        <w:tc>
          <w:tcPr>
            <w:tcW w:w="3799" w:type="dxa"/>
          </w:tcPr>
          <w:p w:rsidR="00F44802" w:rsidRPr="00BA6155" w:rsidRDefault="00F44802" w:rsidP="00BA6155">
            <w:pPr>
              <w:ind w:firstLine="635"/>
              <w:jc w:val="both"/>
              <w:rPr>
                <w:b/>
                <w:sz w:val="22"/>
                <w:szCs w:val="22"/>
                <w:lang w:val="lv-LV"/>
              </w:rPr>
            </w:pPr>
          </w:p>
        </w:tc>
        <w:tc>
          <w:tcPr>
            <w:tcW w:w="1418" w:type="dxa"/>
          </w:tcPr>
          <w:p w:rsidR="00F44802" w:rsidRPr="005F449C" w:rsidRDefault="00F44802" w:rsidP="00E24DFD">
            <w:pPr>
              <w:ind w:firstLine="567"/>
              <w:jc w:val="both"/>
              <w:rPr>
                <w:sz w:val="22"/>
                <w:szCs w:val="22"/>
                <w:lang w:val="lv-LV"/>
              </w:rPr>
            </w:pPr>
          </w:p>
        </w:tc>
        <w:tc>
          <w:tcPr>
            <w:tcW w:w="1418" w:type="dxa"/>
          </w:tcPr>
          <w:p w:rsidR="00F44802" w:rsidRPr="005F449C" w:rsidRDefault="00F44802" w:rsidP="00E24DFD">
            <w:pPr>
              <w:ind w:firstLine="567"/>
              <w:jc w:val="both"/>
              <w:rPr>
                <w:sz w:val="22"/>
                <w:szCs w:val="22"/>
                <w:lang w:val="lv-LV"/>
              </w:rPr>
            </w:pPr>
          </w:p>
        </w:tc>
      </w:tr>
      <w:tr w:rsidR="002668A4" w:rsidRPr="009D28E9" w:rsidTr="004137D3">
        <w:tc>
          <w:tcPr>
            <w:tcW w:w="3799" w:type="dxa"/>
          </w:tcPr>
          <w:p w:rsidR="002668A4" w:rsidRPr="005F449C" w:rsidRDefault="002668A4" w:rsidP="00836A8B">
            <w:pPr>
              <w:ind w:firstLine="567"/>
              <w:jc w:val="both"/>
              <w:rPr>
                <w:sz w:val="22"/>
                <w:szCs w:val="22"/>
                <w:lang w:val="lv-LV" w:eastAsia="lv-LV"/>
              </w:rPr>
            </w:pPr>
          </w:p>
        </w:tc>
        <w:tc>
          <w:tcPr>
            <w:tcW w:w="3799" w:type="dxa"/>
          </w:tcPr>
          <w:p w:rsidR="004D7013" w:rsidRPr="009D28E9" w:rsidRDefault="004D7013" w:rsidP="00CB589F">
            <w:pPr>
              <w:ind w:firstLine="596"/>
              <w:jc w:val="both"/>
              <w:rPr>
                <w:sz w:val="22"/>
                <w:szCs w:val="22"/>
                <w:lang w:val="lv-LV"/>
              </w:rPr>
            </w:pPr>
            <w:r w:rsidRPr="009D28E9">
              <w:rPr>
                <w:sz w:val="22"/>
                <w:szCs w:val="22"/>
                <w:lang w:val="lv-LV"/>
              </w:rPr>
              <w:t>papildināt pantu ar 3.</w:t>
            </w:r>
            <w:r w:rsidRPr="009D28E9">
              <w:rPr>
                <w:sz w:val="22"/>
                <w:szCs w:val="22"/>
                <w:vertAlign w:val="superscript"/>
                <w:lang w:val="lv-LV"/>
              </w:rPr>
              <w:t>3</w:t>
            </w:r>
            <w:r w:rsidRPr="009D28E9">
              <w:rPr>
                <w:sz w:val="22"/>
                <w:szCs w:val="22"/>
                <w:lang w:val="lv-LV"/>
              </w:rPr>
              <w:t> daļu šāda redakcijā:</w:t>
            </w:r>
          </w:p>
          <w:p w:rsidR="00D51256" w:rsidRPr="009D28E9" w:rsidRDefault="00D51256" w:rsidP="00CB589F">
            <w:pPr>
              <w:ind w:firstLine="596"/>
              <w:jc w:val="both"/>
              <w:rPr>
                <w:sz w:val="22"/>
                <w:szCs w:val="22"/>
                <w:lang w:val="lv-LV"/>
              </w:rPr>
            </w:pPr>
          </w:p>
          <w:p w:rsidR="002668A4" w:rsidRPr="005F449C" w:rsidRDefault="004D7013" w:rsidP="00CB589F">
            <w:pPr>
              <w:ind w:firstLine="596"/>
              <w:jc w:val="both"/>
              <w:rPr>
                <w:sz w:val="22"/>
                <w:szCs w:val="22"/>
                <w:lang w:val="lv-LV"/>
              </w:rPr>
            </w:pPr>
            <w:r w:rsidRPr="009D28E9">
              <w:rPr>
                <w:sz w:val="22"/>
                <w:szCs w:val="22"/>
                <w:lang w:val="lv-LV"/>
              </w:rPr>
              <w:t>"(3</w:t>
            </w:r>
            <w:r w:rsidRPr="009D28E9">
              <w:rPr>
                <w:sz w:val="22"/>
                <w:szCs w:val="22"/>
                <w:vertAlign w:val="superscript"/>
                <w:lang w:val="lv-LV"/>
              </w:rPr>
              <w:t>3</w:t>
            </w:r>
            <w:r w:rsidRPr="009D28E9">
              <w:rPr>
                <w:sz w:val="22"/>
                <w:szCs w:val="22"/>
                <w:lang w:val="lv-LV"/>
              </w:rPr>
              <w:t>) Valsts institūcija apdrošina to Valsts ieņēmumu dienesta Muitas kriminālpārvaldes, Muitas pārvaldes un Finanšu policijas pārvaldes amatpersonu (darbinieku) veselību, kuras ir pakļautas reālam dzīvības vai veselības apdraudējumam (riskam), veicot izmeklēšanu, operatīvo darbību un kontroli."</w:t>
            </w:r>
          </w:p>
        </w:tc>
        <w:tc>
          <w:tcPr>
            <w:tcW w:w="556" w:type="dxa"/>
          </w:tcPr>
          <w:p w:rsidR="002668A4" w:rsidRPr="005F449C" w:rsidRDefault="002668A4" w:rsidP="005960AD">
            <w:pPr>
              <w:ind w:left="-578" w:firstLine="567"/>
              <w:jc w:val="center"/>
              <w:rPr>
                <w:b/>
                <w:sz w:val="22"/>
                <w:szCs w:val="22"/>
                <w:lang w:val="lv-LV"/>
              </w:rPr>
            </w:pPr>
          </w:p>
        </w:tc>
        <w:tc>
          <w:tcPr>
            <w:tcW w:w="3799" w:type="dxa"/>
          </w:tcPr>
          <w:p w:rsidR="002668A4" w:rsidRPr="005F449C" w:rsidRDefault="002668A4" w:rsidP="006F0875">
            <w:pPr>
              <w:jc w:val="both"/>
              <w:rPr>
                <w:sz w:val="22"/>
                <w:szCs w:val="22"/>
                <w:lang w:val="lv-LV"/>
              </w:rPr>
            </w:pPr>
          </w:p>
        </w:tc>
        <w:tc>
          <w:tcPr>
            <w:tcW w:w="1418" w:type="dxa"/>
          </w:tcPr>
          <w:p w:rsidR="002668A4" w:rsidRPr="005F449C" w:rsidRDefault="002668A4" w:rsidP="00E24DFD">
            <w:pPr>
              <w:ind w:firstLine="567"/>
              <w:jc w:val="both"/>
              <w:rPr>
                <w:sz w:val="22"/>
                <w:szCs w:val="22"/>
                <w:lang w:val="lv-LV"/>
              </w:rPr>
            </w:pPr>
          </w:p>
        </w:tc>
        <w:tc>
          <w:tcPr>
            <w:tcW w:w="1418" w:type="dxa"/>
          </w:tcPr>
          <w:p w:rsidR="002668A4" w:rsidRPr="005F449C" w:rsidRDefault="002668A4" w:rsidP="00E24DFD">
            <w:pPr>
              <w:ind w:firstLine="567"/>
              <w:jc w:val="both"/>
              <w:rPr>
                <w:sz w:val="22"/>
                <w:szCs w:val="22"/>
                <w:lang w:val="lv-LV"/>
              </w:rPr>
            </w:pPr>
          </w:p>
        </w:tc>
      </w:tr>
      <w:tr w:rsidR="00CB589F" w:rsidRPr="005F449C" w:rsidTr="004137D3">
        <w:tc>
          <w:tcPr>
            <w:tcW w:w="3799" w:type="dxa"/>
          </w:tcPr>
          <w:p w:rsidR="00CB589F" w:rsidRPr="005F449C" w:rsidRDefault="00F44802" w:rsidP="00836A8B">
            <w:pPr>
              <w:ind w:firstLine="567"/>
              <w:jc w:val="both"/>
              <w:rPr>
                <w:sz w:val="22"/>
                <w:szCs w:val="22"/>
                <w:lang w:val="lv-LV" w:eastAsia="lv-LV"/>
              </w:rPr>
            </w:pPr>
            <w:bookmarkStart w:id="1" w:name="317219"/>
            <w:bookmarkEnd w:id="1"/>
            <w:r w:rsidRPr="005F449C">
              <w:rPr>
                <w:b/>
                <w:bCs/>
                <w:sz w:val="22"/>
                <w:szCs w:val="22"/>
              </w:rPr>
              <w:lastRenderedPageBreak/>
              <w:t>Pārejas noteikumi</w:t>
            </w:r>
          </w:p>
        </w:tc>
        <w:tc>
          <w:tcPr>
            <w:tcW w:w="3799" w:type="dxa"/>
          </w:tcPr>
          <w:p w:rsidR="00D51256" w:rsidRDefault="00CB589F" w:rsidP="004F3B57">
            <w:pPr>
              <w:ind w:firstLine="596"/>
              <w:jc w:val="both"/>
              <w:rPr>
                <w:sz w:val="22"/>
                <w:szCs w:val="22"/>
                <w:lang w:val="lv-LV"/>
              </w:rPr>
            </w:pPr>
            <w:r w:rsidRPr="005F449C">
              <w:rPr>
                <w:sz w:val="22"/>
                <w:szCs w:val="22"/>
                <w:lang w:val="lv-LV"/>
              </w:rPr>
              <w:t>8. Pārejas noteikumos:</w:t>
            </w:r>
          </w:p>
          <w:p w:rsidR="004F3B57" w:rsidRPr="005F449C" w:rsidRDefault="004F3B57" w:rsidP="004F3B57">
            <w:pPr>
              <w:ind w:firstLine="596"/>
              <w:jc w:val="both"/>
              <w:rPr>
                <w:sz w:val="22"/>
                <w:szCs w:val="22"/>
                <w:lang w:val="lv-LV"/>
              </w:rPr>
            </w:pPr>
          </w:p>
        </w:tc>
        <w:tc>
          <w:tcPr>
            <w:tcW w:w="556" w:type="dxa"/>
          </w:tcPr>
          <w:p w:rsidR="00CB589F" w:rsidRPr="005F449C" w:rsidRDefault="00CB589F" w:rsidP="005960AD">
            <w:pPr>
              <w:ind w:left="-578" w:firstLine="567"/>
              <w:jc w:val="center"/>
              <w:rPr>
                <w:b/>
                <w:sz w:val="22"/>
                <w:szCs w:val="22"/>
                <w:lang w:val="lv-LV"/>
              </w:rPr>
            </w:pPr>
          </w:p>
        </w:tc>
        <w:tc>
          <w:tcPr>
            <w:tcW w:w="3799" w:type="dxa"/>
          </w:tcPr>
          <w:p w:rsidR="00CB589F" w:rsidRPr="005F449C" w:rsidRDefault="00CB589F" w:rsidP="006F0875">
            <w:pPr>
              <w:jc w:val="both"/>
              <w:rPr>
                <w:sz w:val="22"/>
                <w:szCs w:val="22"/>
                <w:lang w:val="lv-LV"/>
              </w:rPr>
            </w:pPr>
          </w:p>
        </w:tc>
        <w:tc>
          <w:tcPr>
            <w:tcW w:w="1418" w:type="dxa"/>
          </w:tcPr>
          <w:p w:rsidR="00CB589F" w:rsidRPr="005F449C" w:rsidRDefault="00CB589F" w:rsidP="00E24DFD">
            <w:pPr>
              <w:ind w:firstLine="567"/>
              <w:jc w:val="both"/>
              <w:rPr>
                <w:sz w:val="22"/>
                <w:szCs w:val="22"/>
                <w:lang w:val="lv-LV"/>
              </w:rPr>
            </w:pPr>
          </w:p>
        </w:tc>
        <w:tc>
          <w:tcPr>
            <w:tcW w:w="1418" w:type="dxa"/>
          </w:tcPr>
          <w:p w:rsidR="00CB589F" w:rsidRPr="005F449C" w:rsidRDefault="00CB589F" w:rsidP="00E24DFD">
            <w:pPr>
              <w:ind w:firstLine="567"/>
              <w:jc w:val="both"/>
              <w:rPr>
                <w:sz w:val="22"/>
                <w:szCs w:val="22"/>
                <w:lang w:val="lv-LV"/>
              </w:rPr>
            </w:pPr>
          </w:p>
        </w:tc>
      </w:tr>
      <w:tr w:rsidR="00CB589F" w:rsidRPr="009D28E9" w:rsidTr="004137D3">
        <w:tc>
          <w:tcPr>
            <w:tcW w:w="3799" w:type="dxa"/>
          </w:tcPr>
          <w:p w:rsidR="00CB589F" w:rsidRPr="005F449C" w:rsidRDefault="00F44802" w:rsidP="00836A8B">
            <w:pPr>
              <w:ind w:firstLine="567"/>
              <w:jc w:val="both"/>
              <w:rPr>
                <w:sz w:val="22"/>
                <w:szCs w:val="22"/>
                <w:lang w:val="lv-LV" w:eastAsia="lv-LV"/>
              </w:rPr>
            </w:pPr>
            <w:r w:rsidRPr="005F449C">
              <w:rPr>
                <w:sz w:val="22"/>
                <w:szCs w:val="22"/>
                <w:lang w:val="lv-LV"/>
              </w:rPr>
              <w:t xml:space="preserve">6. Šā likuma </w:t>
            </w:r>
            <w:hyperlink r:id="rId13" w:anchor="p25" w:history="1">
              <w:r w:rsidRPr="005F449C">
                <w:rPr>
                  <w:sz w:val="22"/>
                  <w:szCs w:val="22"/>
                  <w:lang w:val="lv-LV"/>
                </w:rPr>
                <w:t>25.pantā</w:t>
              </w:r>
            </w:hyperlink>
            <w:r w:rsidRPr="005F449C">
              <w:rPr>
                <w:sz w:val="22"/>
                <w:szCs w:val="22"/>
                <w:lang w:val="lv-LV"/>
              </w:rPr>
              <w:t xml:space="preserve"> noteikto pabalstu izmaksā, sākot ar 2012.gada 1.janvāri. Ja karavīrs saņēmis šo pārejas noteikumu </w:t>
            </w:r>
            <w:hyperlink r:id="rId14" w:anchor="pn5" w:history="1">
              <w:r w:rsidRPr="005F449C">
                <w:rPr>
                  <w:sz w:val="22"/>
                  <w:szCs w:val="22"/>
                  <w:lang w:val="lv-LV"/>
                </w:rPr>
                <w:t>5.punktā</w:t>
              </w:r>
            </w:hyperlink>
            <w:r w:rsidRPr="005F449C">
              <w:rPr>
                <w:sz w:val="22"/>
                <w:szCs w:val="22"/>
                <w:lang w:val="lv-LV"/>
              </w:rPr>
              <w:t xml:space="preserve"> paredzēto vienreizējā pabalsta daļu, viņam, izmaksājot šā likuma </w:t>
            </w:r>
            <w:hyperlink r:id="rId15" w:anchor="p25" w:history="1">
              <w:r w:rsidRPr="005F449C">
                <w:rPr>
                  <w:sz w:val="22"/>
                  <w:szCs w:val="22"/>
                  <w:lang w:val="lv-LV"/>
                </w:rPr>
                <w:t>25.pantā</w:t>
              </w:r>
            </w:hyperlink>
            <w:r w:rsidRPr="005F449C">
              <w:rPr>
                <w:sz w:val="22"/>
                <w:szCs w:val="22"/>
                <w:lang w:val="lv-LV"/>
              </w:rPr>
              <w:t xml:space="preserve"> noteikto vienreizējo pabalstu, to samazina par izmaksāto summu.</w:t>
            </w:r>
          </w:p>
        </w:tc>
        <w:tc>
          <w:tcPr>
            <w:tcW w:w="3799" w:type="dxa"/>
          </w:tcPr>
          <w:p w:rsidR="00CB589F" w:rsidRPr="005F449C" w:rsidRDefault="00CB589F" w:rsidP="00CB589F">
            <w:pPr>
              <w:pStyle w:val="NormalWeb"/>
              <w:spacing w:before="0" w:after="0"/>
              <w:ind w:firstLine="596"/>
              <w:rPr>
                <w:sz w:val="22"/>
                <w:szCs w:val="22"/>
              </w:rPr>
            </w:pPr>
            <w:r w:rsidRPr="005F449C">
              <w:rPr>
                <w:sz w:val="22"/>
                <w:szCs w:val="22"/>
              </w:rPr>
              <w:t>papildināt 6.punkta pirmo teikumu aiz vārda "pabalstu" ar vārdu "karavīram";</w:t>
            </w:r>
          </w:p>
        </w:tc>
        <w:tc>
          <w:tcPr>
            <w:tcW w:w="556" w:type="dxa"/>
          </w:tcPr>
          <w:p w:rsidR="00CB589F" w:rsidRPr="005F449C" w:rsidRDefault="00CB589F" w:rsidP="005960AD">
            <w:pPr>
              <w:ind w:left="-578" w:firstLine="567"/>
              <w:jc w:val="center"/>
              <w:rPr>
                <w:b/>
                <w:sz w:val="22"/>
                <w:szCs w:val="22"/>
                <w:lang w:val="lv-LV"/>
              </w:rPr>
            </w:pPr>
          </w:p>
        </w:tc>
        <w:tc>
          <w:tcPr>
            <w:tcW w:w="3799" w:type="dxa"/>
          </w:tcPr>
          <w:p w:rsidR="00CB589F" w:rsidRPr="005F449C" w:rsidRDefault="00CB589F" w:rsidP="006F0875">
            <w:pPr>
              <w:jc w:val="both"/>
              <w:rPr>
                <w:sz w:val="22"/>
                <w:szCs w:val="22"/>
                <w:lang w:val="lv-LV"/>
              </w:rPr>
            </w:pPr>
          </w:p>
        </w:tc>
        <w:tc>
          <w:tcPr>
            <w:tcW w:w="1418" w:type="dxa"/>
          </w:tcPr>
          <w:p w:rsidR="00CB589F" w:rsidRPr="005F449C" w:rsidRDefault="00CB589F" w:rsidP="00E24DFD">
            <w:pPr>
              <w:ind w:firstLine="567"/>
              <w:jc w:val="both"/>
              <w:rPr>
                <w:sz w:val="22"/>
                <w:szCs w:val="22"/>
                <w:lang w:val="lv-LV"/>
              </w:rPr>
            </w:pPr>
          </w:p>
        </w:tc>
        <w:tc>
          <w:tcPr>
            <w:tcW w:w="1418" w:type="dxa"/>
          </w:tcPr>
          <w:p w:rsidR="00CB589F" w:rsidRPr="005F449C" w:rsidRDefault="00CB589F" w:rsidP="00E24DFD">
            <w:pPr>
              <w:ind w:firstLine="567"/>
              <w:jc w:val="both"/>
              <w:rPr>
                <w:sz w:val="22"/>
                <w:szCs w:val="22"/>
                <w:lang w:val="lv-LV"/>
              </w:rPr>
            </w:pPr>
          </w:p>
        </w:tc>
      </w:tr>
      <w:tr w:rsidR="00CB589F" w:rsidRPr="009D28E9" w:rsidTr="004137D3">
        <w:tc>
          <w:tcPr>
            <w:tcW w:w="3799" w:type="dxa"/>
          </w:tcPr>
          <w:p w:rsidR="00CB589F" w:rsidRPr="00C00213" w:rsidRDefault="00CB589F" w:rsidP="00C00213">
            <w:pPr>
              <w:ind w:firstLine="567"/>
              <w:jc w:val="both"/>
              <w:rPr>
                <w:sz w:val="22"/>
                <w:szCs w:val="22"/>
                <w:lang w:val="lv-LV" w:eastAsia="lv-LV"/>
              </w:rPr>
            </w:pPr>
          </w:p>
        </w:tc>
        <w:tc>
          <w:tcPr>
            <w:tcW w:w="3799" w:type="dxa"/>
          </w:tcPr>
          <w:p w:rsidR="00CB589F" w:rsidRDefault="00CB589F" w:rsidP="00CB589F">
            <w:pPr>
              <w:pStyle w:val="NormalWeb"/>
              <w:spacing w:before="0" w:after="0"/>
              <w:ind w:firstLine="596"/>
              <w:rPr>
                <w:sz w:val="22"/>
                <w:szCs w:val="22"/>
              </w:rPr>
            </w:pPr>
            <w:r w:rsidRPr="005F449C">
              <w:rPr>
                <w:sz w:val="22"/>
                <w:szCs w:val="22"/>
              </w:rPr>
              <w:t>papildināt pārejas noteikumus ar 6.</w:t>
            </w:r>
            <w:r w:rsidRPr="005F449C">
              <w:rPr>
                <w:sz w:val="22"/>
                <w:szCs w:val="22"/>
                <w:vertAlign w:val="superscript"/>
              </w:rPr>
              <w:t>1</w:t>
            </w:r>
            <w:r w:rsidRPr="005F449C">
              <w:rPr>
                <w:sz w:val="22"/>
                <w:szCs w:val="22"/>
              </w:rPr>
              <w:t xml:space="preserve"> punktu šādā redakcijā:</w:t>
            </w:r>
          </w:p>
          <w:p w:rsidR="004F3B57" w:rsidRPr="005F449C" w:rsidRDefault="004F3B57" w:rsidP="00CB589F">
            <w:pPr>
              <w:pStyle w:val="NormalWeb"/>
              <w:spacing w:before="0" w:after="0"/>
              <w:ind w:firstLine="596"/>
              <w:rPr>
                <w:sz w:val="22"/>
                <w:szCs w:val="22"/>
              </w:rPr>
            </w:pPr>
          </w:p>
          <w:p w:rsidR="00D51256" w:rsidRPr="005F449C" w:rsidRDefault="00CB589F" w:rsidP="004F3B57">
            <w:pPr>
              <w:pStyle w:val="NormalWeb"/>
              <w:spacing w:before="0" w:after="0"/>
              <w:ind w:firstLine="596"/>
              <w:rPr>
                <w:sz w:val="22"/>
                <w:szCs w:val="22"/>
              </w:rPr>
            </w:pPr>
            <w:r w:rsidRPr="005F449C">
              <w:rPr>
                <w:sz w:val="22"/>
                <w:szCs w:val="22"/>
              </w:rPr>
              <w:t>"6.</w:t>
            </w:r>
            <w:r w:rsidRPr="005F449C">
              <w:rPr>
                <w:sz w:val="22"/>
                <w:szCs w:val="22"/>
                <w:vertAlign w:val="superscript"/>
              </w:rPr>
              <w:t xml:space="preserve">1 </w:t>
            </w:r>
            <w:r w:rsidRPr="005F449C">
              <w:rPr>
                <w:sz w:val="22"/>
                <w:szCs w:val="22"/>
              </w:rPr>
              <w:t>Izdienu Iekšlietu ministrijas sistēmā vai Ieslodzījuma vietu pārvaldē šā likuma 25.panta ceturtajā daļā minētā pabalsta saņemšanai sāk skaitīt no 2014.gada 1.janvāra un šo pabalstu izmaksā, sākot ar 2019.gada 1.janvāri.";</w:t>
            </w:r>
          </w:p>
        </w:tc>
        <w:tc>
          <w:tcPr>
            <w:tcW w:w="556" w:type="dxa"/>
          </w:tcPr>
          <w:p w:rsidR="00CB589F" w:rsidRPr="005F449C" w:rsidRDefault="00CB589F" w:rsidP="005960AD">
            <w:pPr>
              <w:ind w:left="-578" w:firstLine="567"/>
              <w:jc w:val="center"/>
              <w:rPr>
                <w:b/>
                <w:sz w:val="22"/>
                <w:szCs w:val="22"/>
                <w:lang w:val="lv-LV"/>
              </w:rPr>
            </w:pPr>
          </w:p>
        </w:tc>
        <w:tc>
          <w:tcPr>
            <w:tcW w:w="3799" w:type="dxa"/>
          </w:tcPr>
          <w:p w:rsidR="00CB589F" w:rsidRPr="005F449C" w:rsidRDefault="00CB589F" w:rsidP="006F0875">
            <w:pPr>
              <w:jc w:val="both"/>
              <w:rPr>
                <w:sz w:val="22"/>
                <w:szCs w:val="22"/>
                <w:lang w:val="lv-LV"/>
              </w:rPr>
            </w:pPr>
          </w:p>
        </w:tc>
        <w:tc>
          <w:tcPr>
            <w:tcW w:w="1418" w:type="dxa"/>
          </w:tcPr>
          <w:p w:rsidR="00CB589F" w:rsidRPr="005F449C" w:rsidRDefault="00CB589F" w:rsidP="00E24DFD">
            <w:pPr>
              <w:ind w:firstLine="567"/>
              <w:jc w:val="both"/>
              <w:rPr>
                <w:sz w:val="22"/>
                <w:szCs w:val="22"/>
                <w:lang w:val="lv-LV"/>
              </w:rPr>
            </w:pPr>
          </w:p>
        </w:tc>
        <w:tc>
          <w:tcPr>
            <w:tcW w:w="1418" w:type="dxa"/>
          </w:tcPr>
          <w:p w:rsidR="00CB589F" w:rsidRPr="005F449C" w:rsidRDefault="00CB589F" w:rsidP="00E24DFD">
            <w:pPr>
              <w:ind w:firstLine="567"/>
              <w:jc w:val="both"/>
              <w:rPr>
                <w:sz w:val="22"/>
                <w:szCs w:val="22"/>
                <w:lang w:val="lv-LV"/>
              </w:rPr>
            </w:pPr>
          </w:p>
        </w:tc>
      </w:tr>
      <w:tr w:rsidR="00C00213" w:rsidRPr="009D28E9" w:rsidTr="004137D3">
        <w:tc>
          <w:tcPr>
            <w:tcW w:w="3799" w:type="dxa"/>
          </w:tcPr>
          <w:p w:rsidR="00C00213" w:rsidRPr="00C00213" w:rsidRDefault="00C00213" w:rsidP="00C00213">
            <w:pPr>
              <w:pStyle w:val="tv2131"/>
              <w:spacing w:line="240" w:lineRule="auto"/>
              <w:jc w:val="both"/>
              <w:rPr>
                <w:color w:val="auto"/>
                <w:sz w:val="22"/>
                <w:szCs w:val="22"/>
              </w:rPr>
            </w:pPr>
            <w:r w:rsidRPr="00C00213">
              <w:rPr>
                <w:color w:val="auto"/>
                <w:sz w:val="22"/>
                <w:szCs w:val="22"/>
              </w:rPr>
              <w:t>8.</w:t>
            </w:r>
            <w:r w:rsidRPr="00C00213">
              <w:rPr>
                <w:color w:val="auto"/>
                <w:sz w:val="22"/>
                <w:szCs w:val="22"/>
                <w:vertAlign w:val="superscript"/>
              </w:rPr>
              <w:t>11</w:t>
            </w:r>
            <w:r w:rsidRPr="00C00213">
              <w:rPr>
                <w:color w:val="auto"/>
                <w:sz w:val="22"/>
                <w:szCs w:val="22"/>
              </w:rPr>
              <w:t xml:space="preserve"> </w:t>
            </w:r>
            <w:r w:rsidRPr="00331510">
              <w:rPr>
                <w:color w:val="auto"/>
                <w:sz w:val="22"/>
                <w:szCs w:val="22"/>
                <w:u w:val="single"/>
              </w:rPr>
              <w:t>2013.gadā no 1.jūlija</w:t>
            </w:r>
            <w:r w:rsidRPr="00C00213">
              <w:rPr>
                <w:color w:val="auto"/>
                <w:sz w:val="22"/>
                <w:szCs w:val="22"/>
              </w:rPr>
              <w:t xml:space="preserve"> amatpersona (darbinieks) var saņemt šā likuma </w:t>
            </w:r>
            <w:hyperlink r:id="rId16" w:anchor="p14" w:history="1">
              <w:r w:rsidRPr="00C00213">
                <w:rPr>
                  <w:color w:val="auto"/>
                  <w:sz w:val="22"/>
                  <w:szCs w:val="22"/>
                </w:rPr>
                <w:t>14.panta</w:t>
              </w:r>
            </w:hyperlink>
            <w:r w:rsidRPr="00C00213">
              <w:rPr>
                <w:color w:val="auto"/>
                <w:sz w:val="22"/>
                <w:szCs w:val="22"/>
              </w:rPr>
              <w:t xml:space="preserve"> pirmajā daļā noteikto piemaksu, ja papildus saviem tiešajiem amata (dienesta, darba) pienākumiem tā pilda pienākumus, kas saistīti ar Latvijas prezidentūras Eiropas Savienības Padomē 2015.gadā sagatavošanas nodrošināšanu.</w:t>
            </w:r>
          </w:p>
        </w:tc>
        <w:tc>
          <w:tcPr>
            <w:tcW w:w="3799" w:type="dxa"/>
          </w:tcPr>
          <w:p w:rsidR="00C00213" w:rsidRPr="005F449C" w:rsidRDefault="00C00213" w:rsidP="00CB589F">
            <w:pPr>
              <w:ind w:firstLine="596"/>
              <w:jc w:val="both"/>
              <w:rPr>
                <w:sz w:val="22"/>
                <w:szCs w:val="22"/>
                <w:lang w:val="lv-LV"/>
              </w:rPr>
            </w:pPr>
          </w:p>
        </w:tc>
        <w:tc>
          <w:tcPr>
            <w:tcW w:w="556" w:type="dxa"/>
          </w:tcPr>
          <w:p w:rsidR="00C00213" w:rsidRDefault="004F3B57" w:rsidP="005960AD">
            <w:pPr>
              <w:ind w:left="-578" w:firstLine="567"/>
              <w:jc w:val="center"/>
              <w:rPr>
                <w:b/>
                <w:sz w:val="22"/>
                <w:szCs w:val="22"/>
                <w:lang w:val="lv-LV"/>
              </w:rPr>
            </w:pPr>
            <w:r>
              <w:rPr>
                <w:b/>
                <w:sz w:val="22"/>
                <w:szCs w:val="22"/>
                <w:lang w:val="lv-LV"/>
              </w:rPr>
              <w:t>5</w:t>
            </w:r>
          </w:p>
          <w:p w:rsidR="004F3B57" w:rsidRDefault="004F3B57" w:rsidP="005960AD">
            <w:pPr>
              <w:ind w:left="-578" w:firstLine="567"/>
              <w:jc w:val="center"/>
              <w:rPr>
                <w:b/>
                <w:sz w:val="22"/>
                <w:szCs w:val="22"/>
                <w:lang w:val="lv-LV"/>
              </w:rPr>
            </w:pPr>
          </w:p>
          <w:p w:rsidR="004F3B57" w:rsidRDefault="004F3B57" w:rsidP="005960AD">
            <w:pPr>
              <w:ind w:left="-578" w:firstLine="567"/>
              <w:jc w:val="center"/>
              <w:rPr>
                <w:b/>
                <w:sz w:val="22"/>
                <w:szCs w:val="22"/>
                <w:lang w:val="lv-LV"/>
              </w:rPr>
            </w:pPr>
          </w:p>
          <w:p w:rsidR="004F3B57" w:rsidRDefault="004F3B57" w:rsidP="005960AD">
            <w:pPr>
              <w:ind w:left="-578" w:firstLine="567"/>
              <w:jc w:val="center"/>
              <w:rPr>
                <w:b/>
                <w:sz w:val="22"/>
                <w:szCs w:val="22"/>
                <w:lang w:val="lv-LV"/>
              </w:rPr>
            </w:pPr>
          </w:p>
          <w:p w:rsidR="004F3B57" w:rsidRDefault="004F3B57" w:rsidP="005960AD">
            <w:pPr>
              <w:ind w:left="-578" w:firstLine="567"/>
              <w:jc w:val="center"/>
              <w:rPr>
                <w:b/>
                <w:sz w:val="22"/>
                <w:szCs w:val="22"/>
                <w:lang w:val="lv-LV"/>
              </w:rPr>
            </w:pPr>
          </w:p>
          <w:p w:rsidR="004F3B57" w:rsidRDefault="004F3B57" w:rsidP="005960AD">
            <w:pPr>
              <w:ind w:left="-578" w:firstLine="567"/>
              <w:jc w:val="center"/>
              <w:rPr>
                <w:b/>
                <w:sz w:val="22"/>
                <w:szCs w:val="22"/>
                <w:lang w:val="lv-LV"/>
              </w:rPr>
            </w:pPr>
          </w:p>
          <w:p w:rsidR="004F3B57" w:rsidRDefault="004F3B57" w:rsidP="005960AD">
            <w:pPr>
              <w:ind w:left="-578" w:firstLine="567"/>
              <w:jc w:val="center"/>
              <w:rPr>
                <w:b/>
                <w:sz w:val="22"/>
                <w:szCs w:val="22"/>
                <w:lang w:val="lv-LV"/>
              </w:rPr>
            </w:pPr>
          </w:p>
          <w:p w:rsidR="004F3B57" w:rsidRPr="005F449C" w:rsidRDefault="004F3B57" w:rsidP="005960AD">
            <w:pPr>
              <w:ind w:left="-578" w:firstLine="567"/>
              <w:jc w:val="center"/>
              <w:rPr>
                <w:b/>
                <w:sz w:val="22"/>
                <w:szCs w:val="22"/>
                <w:lang w:val="lv-LV"/>
              </w:rPr>
            </w:pPr>
            <w:r>
              <w:rPr>
                <w:b/>
                <w:sz w:val="22"/>
                <w:szCs w:val="22"/>
                <w:lang w:val="lv-LV"/>
              </w:rPr>
              <w:t>6</w:t>
            </w:r>
          </w:p>
        </w:tc>
        <w:tc>
          <w:tcPr>
            <w:tcW w:w="3799" w:type="dxa"/>
          </w:tcPr>
          <w:p w:rsidR="00331510" w:rsidRPr="00D51256" w:rsidRDefault="00331510" w:rsidP="00D51256">
            <w:pPr>
              <w:ind w:firstLine="635"/>
              <w:jc w:val="both"/>
              <w:rPr>
                <w:b/>
                <w:sz w:val="22"/>
                <w:szCs w:val="22"/>
                <w:u w:val="single"/>
                <w:lang w:val="lv-LV"/>
              </w:rPr>
            </w:pPr>
            <w:r w:rsidRPr="00D51256">
              <w:rPr>
                <w:b/>
                <w:sz w:val="22"/>
                <w:szCs w:val="22"/>
                <w:u w:val="single"/>
                <w:lang w:val="lv-LV"/>
              </w:rPr>
              <w:t xml:space="preserve">Juridiskais birojs </w:t>
            </w:r>
          </w:p>
          <w:p w:rsidR="00C00213" w:rsidRDefault="00D51256" w:rsidP="00D51256">
            <w:pPr>
              <w:ind w:firstLine="635"/>
              <w:jc w:val="both"/>
              <w:rPr>
                <w:sz w:val="22"/>
                <w:szCs w:val="22"/>
                <w:lang w:val="lv-LV"/>
              </w:rPr>
            </w:pPr>
            <w:r w:rsidRPr="00D51256">
              <w:rPr>
                <w:sz w:val="22"/>
                <w:szCs w:val="22"/>
                <w:lang w:val="lv-LV"/>
              </w:rPr>
              <w:t>I</w:t>
            </w:r>
            <w:r w:rsidR="00331510" w:rsidRPr="00D51256">
              <w:rPr>
                <w:sz w:val="22"/>
                <w:szCs w:val="22"/>
                <w:lang w:val="lv-LV"/>
              </w:rPr>
              <w:t>erosinām aizstāt 8.</w:t>
            </w:r>
            <w:r w:rsidR="00331510" w:rsidRPr="00D51256">
              <w:rPr>
                <w:sz w:val="22"/>
                <w:szCs w:val="22"/>
                <w:vertAlign w:val="superscript"/>
                <w:lang w:val="lv-LV"/>
              </w:rPr>
              <w:t>11</w:t>
            </w:r>
            <w:r w:rsidR="00331510" w:rsidRPr="00D51256">
              <w:rPr>
                <w:sz w:val="22"/>
                <w:szCs w:val="22"/>
                <w:lang w:val="lv-LV"/>
              </w:rPr>
              <w:t xml:space="preserve"> punktā skaitļus un vārdus „2013.gadā no 1.jūlija” ar skaitļiem un vārdiem </w:t>
            </w:r>
            <w:r w:rsidR="00331510" w:rsidRPr="00D51256">
              <w:rPr>
                <w:sz w:val="22"/>
                <w:szCs w:val="22"/>
                <w:u w:val="single"/>
                <w:lang w:val="lv-LV"/>
              </w:rPr>
              <w:t>„No 2013.gada 1.jūlija līdz 2014.gada 30.jūnijam</w:t>
            </w:r>
            <w:r w:rsidR="00331510" w:rsidRPr="00D51256">
              <w:rPr>
                <w:sz w:val="22"/>
                <w:szCs w:val="22"/>
                <w:lang w:val="lv-LV"/>
              </w:rPr>
              <w:t>”.</w:t>
            </w:r>
            <w:r w:rsidRPr="00D51256">
              <w:rPr>
                <w:rStyle w:val="FootnoteReference"/>
                <w:sz w:val="22"/>
                <w:szCs w:val="22"/>
                <w:lang w:val="lv-LV"/>
              </w:rPr>
              <w:footnoteReference w:id="5"/>
            </w:r>
          </w:p>
          <w:p w:rsidR="00D51256" w:rsidRDefault="00D51256" w:rsidP="00D51256">
            <w:pPr>
              <w:ind w:firstLine="635"/>
              <w:jc w:val="both"/>
              <w:rPr>
                <w:sz w:val="22"/>
                <w:szCs w:val="22"/>
                <w:lang w:val="lv-LV"/>
              </w:rPr>
            </w:pPr>
          </w:p>
          <w:p w:rsidR="00D51256" w:rsidRDefault="00D51256" w:rsidP="00D51256">
            <w:pPr>
              <w:ind w:firstLine="635"/>
              <w:jc w:val="both"/>
              <w:rPr>
                <w:b/>
                <w:sz w:val="22"/>
                <w:szCs w:val="22"/>
                <w:u w:val="single"/>
                <w:lang w:val="lv-LV"/>
              </w:rPr>
            </w:pPr>
            <w:r w:rsidRPr="00BA6155">
              <w:rPr>
                <w:b/>
                <w:sz w:val="22"/>
                <w:szCs w:val="22"/>
                <w:u w:val="single"/>
                <w:lang w:val="lv-LV"/>
              </w:rPr>
              <w:t>Ārlietu ministrs E.Rinkēvičs</w:t>
            </w:r>
          </w:p>
          <w:p w:rsidR="004F3B57" w:rsidRDefault="00BA6155" w:rsidP="004F3B57">
            <w:pPr>
              <w:ind w:firstLine="635"/>
              <w:jc w:val="both"/>
              <w:rPr>
                <w:sz w:val="22"/>
                <w:szCs w:val="22"/>
                <w:lang w:val="lv-LV"/>
              </w:rPr>
            </w:pPr>
            <w:r>
              <w:rPr>
                <w:sz w:val="22"/>
                <w:szCs w:val="22"/>
                <w:lang w:val="lv-LV"/>
              </w:rPr>
              <w:t>A</w:t>
            </w:r>
            <w:r w:rsidRPr="00D51256">
              <w:rPr>
                <w:sz w:val="22"/>
                <w:szCs w:val="22"/>
                <w:lang w:val="lv-LV"/>
              </w:rPr>
              <w:t>izstāt 8.</w:t>
            </w:r>
            <w:r w:rsidRPr="00D51256">
              <w:rPr>
                <w:sz w:val="22"/>
                <w:szCs w:val="22"/>
                <w:vertAlign w:val="superscript"/>
                <w:lang w:val="lv-LV"/>
              </w:rPr>
              <w:t>11</w:t>
            </w:r>
            <w:r w:rsidRPr="00D51256">
              <w:rPr>
                <w:sz w:val="22"/>
                <w:szCs w:val="22"/>
                <w:lang w:val="lv-LV"/>
              </w:rPr>
              <w:t xml:space="preserve"> punktā skaitļus un vārdus „2013.gadā no 1.jūlija” ar skaitļiem un vārdiem </w:t>
            </w:r>
            <w:r w:rsidRPr="00D51256">
              <w:rPr>
                <w:sz w:val="22"/>
                <w:szCs w:val="22"/>
                <w:u w:val="single"/>
                <w:lang w:val="lv-LV"/>
              </w:rPr>
              <w:t>„No 2013.gada 1.jūlija</w:t>
            </w:r>
            <w:r w:rsidRPr="00D51256">
              <w:rPr>
                <w:sz w:val="22"/>
                <w:szCs w:val="22"/>
                <w:lang w:val="lv-LV"/>
              </w:rPr>
              <w:t>”</w:t>
            </w:r>
            <w:r>
              <w:rPr>
                <w:sz w:val="22"/>
                <w:szCs w:val="22"/>
                <w:lang w:val="lv-LV"/>
              </w:rPr>
              <w:t>.</w:t>
            </w:r>
          </w:p>
          <w:p w:rsidR="004F3B57" w:rsidRDefault="004F3B57" w:rsidP="004F3B57">
            <w:pPr>
              <w:ind w:firstLine="635"/>
              <w:jc w:val="both"/>
              <w:rPr>
                <w:sz w:val="22"/>
                <w:szCs w:val="22"/>
                <w:lang w:val="lv-LV"/>
              </w:rPr>
            </w:pPr>
          </w:p>
          <w:p w:rsidR="004F3B57" w:rsidRDefault="004F3B57" w:rsidP="004F3B57">
            <w:pPr>
              <w:ind w:firstLine="635"/>
              <w:jc w:val="both"/>
              <w:rPr>
                <w:sz w:val="22"/>
                <w:szCs w:val="22"/>
                <w:lang w:val="lv-LV"/>
              </w:rPr>
            </w:pPr>
          </w:p>
        </w:tc>
        <w:tc>
          <w:tcPr>
            <w:tcW w:w="1418" w:type="dxa"/>
          </w:tcPr>
          <w:p w:rsidR="00C00213" w:rsidRPr="005F449C" w:rsidRDefault="00C00213" w:rsidP="00E24DFD">
            <w:pPr>
              <w:ind w:firstLine="567"/>
              <w:jc w:val="both"/>
              <w:rPr>
                <w:sz w:val="22"/>
                <w:szCs w:val="22"/>
                <w:lang w:val="lv-LV"/>
              </w:rPr>
            </w:pPr>
          </w:p>
        </w:tc>
        <w:tc>
          <w:tcPr>
            <w:tcW w:w="1418" w:type="dxa"/>
          </w:tcPr>
          <w:p w:rsidR="00C00213" w:rsidRPr="005F449C" w:rsidRDefault="00C00213" w:rsidP="00E24DFD">
            <w:pPr>
              <w:ind w:firstLine="567"/>
              <w:jc w:val="both"/>
              <w:rPr>
                <w:sz w:val="22"/>
                <w:szCs w:val="22"/>
                <w:lang w:val="lv-LV"/>
              </w:rPr>
            </w:pPr>
          </w:p>
        </w:tc>
      </w:tr>
      <w:tr w:rsidR="00C00213" w:rsidRPr="009D28E9" w:rsidTr="004137D3">
        <w:trPr>
          <w:hidden/>
        </w:trPr>
        <w:tc>
          <w:tcPr>
            <w:tcW w:w="3799" w:type="dxa"/>
          </w:tcPr>
          <w:p w:rsidR="00C00213" w:rsidRPr="00BA6155" w:rsidRDefault="00C00213" w:rsidP="00C00213">
            <w:pPr>
              <w:jc w:val="both"/>
              <w:rPr>
                <w:vanish/>
                <w:sz w:val="22"/>
                <w:szCs w:val="22"/>
              </w:rPr>
            </w:pPr>
            <w:bookmarkStart w:id="2" w:name="p-455583"/>
            <w:bookmarkStart w:id="3" w:name="pn8.11"/>
            <w:bookmarkEnd w:id="2"/>
            <w:bookmarkEnd w:id="3"/>
            <w:r w:rsidRPr="00BA6155">
              <w:rPr>
                <w:vanish/>
                <w:sz w:val="22"/>
                <w:szCs w:val="22"/>
              </w:rPr>
              <w:lastRenderedPageBreak/>
              <w:t>90</w:t>
            </w:r>
          </w:p>
          <w:p w:rsidR="00C00213" w:rsidRPr="00BA6155" w:rsidRDefault="00C00213" w:rsidP="00C00213">
            <w:pPr>
              <w:pStyle w:val="tv2131"/>
              <w:spacing w:line="240" w:lineRule="auto"/>
              <w:jc w:val="both"/>
              <w:rPr>
                <w:color w:val="auto"/>
                <w:sz w:val="22"/>
                <w:szCs w:val="22"/>
              </w:rPr>
            </w:pPr>
            <w:bookmarkStart w:id="4" w:name="p-455512"/>
            <w:bookmarkStart w:id="5" w:name="pn8.12"/>
            <w:bookmarkEnd w:id="4"/>
            <w:bookmarkEnd w:id="5"/>
            <w:r w:rsidRPr="00BA6155">
              <w:rPr>
                <w:color w:val="auto"/>
                <w:sz w:val="22"/>
                <w:szCs w:val="22"/>
              </w:rPr>
              <w:t>8.</w:t>
            </w:r>
            <w:r w:rsidRPr="00BA6155">
              <w:rPr>
                <w:color w:val="auto"/>
                <w:sz w:val="22"/>
                <w:szCs w:val="22"/>
                <w:vertAlign w:val="superscript"/>
              </w:rPr>
              <w:t>12</w:t>
            </w:r>
            <w:r w:rsidRPr="00BA6155">
              <w:rPr>
                <w:color w:val="auto"/>
                <w:sz w:val="22"/>
                <w:szCs w:val="22"/>
              </w:rPr>
              <w:t xml:space="preserve"> Amatpersonai (darbiniekam), kura iesaistīta Latvijas prezidentūras Eiropas Savienības Padomē 2015.gadā sagatavošanā un norisē, var noteikt šādu papildu atlīdzību:</w:t>
            </w:r>
          </w:p>
          <w:p w:rsidR="00C00213" w:rsidRPr="00BA6155" w:rsidRDefault="00C00213" w:rsidP="00C00213">
            <w:pPr>
              <w:pStyle w:val="tv2131"/>
              <w:spacing w:line="240" w:lineRule="auto"/>
              <w:jc w:val="both"/>
              <w:rPr>
                <w:color w:val="auto"/>
                <w:sz w:val="22"/>
                <w:szCs w:val="22"/>
              </w:rPr>
            </w:pPr>
            <w:r w:rsidRPr="00BA6155">
              <w:rPr>
                <w:color w:val="auto"/>
                <w:sz w:val="22"/>
                <w:szCs w:val="22"/>
              </w:rPr>
              <w:t>1) piemaksu par darbu Latvijas prezidentūras Eiropas Savienības Padomē sagatavošanā un norisē no 2014.gada 1.jūlija līdz 2015.gada 30.jūnijam;</w:t>
            </w:r>
          </w:p>
          <w:p w:rsidR="00C00213" w:rsidRPr="00BA6155" w:rsidRDefault="00C00213" w:rsidP="00C00213">
            <w:pPr>
              <w:pStyle w:val="tv2131"/>
              <w:spacing w:line="240" w:lineRule="auto"/>
              <w:jc w:val="both"/>
              <w:rPr>
                <w:color w:val="auto"/>
                <w:sz w:val="22"/>
                <w:szCs w:val="22"/>
              </w:rPr>
            </w:pPr>
            <w:r w:rsidRPr="00BA6155">
              <w:rPr>
                <w:color w:val="auto"/>
                <w:sz w:val="22"/>
                <w:szCs w:val="22"/>
              </w:rPr>
              <w:t>2) vienreizēju prēmiju, kas nepārsniedz amatpersonas (darbinieka) divu mēnešalgu apmēru, par ieguldījumu Latvijas prezidentūras Eiropas Savienības Padomē 2015.gadā sagatavošanā un norisē, kuru izmaksā no 2015.gada 1.jūlija līdz 2015.gada 31.decembrim;</w:t>
            </w:r>
          </w:p>
          <w:p w:rsidR="004F3B57" w:rsidRDefault="00C00213" w:rsidP="00052245">
            <w:pPr>
              <w:pStyle w:val="tv2131"/>
              <w:spacing w:line="240" w:lineRule="auto"/>
              <w:jc w:val="both"/>
              <w:rPr>
                <w:color w:val="auto"/>
                <w:sz w:val="22"/>
                <w:szCs w:val="22"/>
              </w:rPr>
            </w:pPr>
            <w:r w:rsidRPr="00BA6155">
              <w:rPr>
                <w:color w:val="auto"/>
                <w:sz w:val="22"/>
                <w:szCs w:val="22"/>
              </w:rPr>
              <w:t>3) papildatvaļinājumu, kurš nepārsniedz 20 darbdienas, ņemot vērā amatpersonas (darbinieka) darba intensitāti Latvijas prezidentūras Eiropas Savienības Padomē laikā, un kuru var piešķirt no 2015.gada 1.jūlija, un kurš izmantojams līdz 2015.gada 31.decembrim.</w:t>
            </w:r>
          </w:p>
          <w:p w:rsidR="00052245" w:rsidRDefault="00052245" w:rsidP="00052245">
            <w:pPr>
              <w:pStyle w:val="tv2131"/>
              <w:spacing w:line="240" w:lineRule="auto"/>
              <w:jc w:val="both"/>
              <w:rPr>
                <w:color w:val="auto"/>
                <w:sz w:val="22"/>
                <w:szCs w:val="22"/>
              </w:rPr>
            </w:pPr>
          </w:p>
          <w:p w:rsidR="00052245" w:rsidRDefault="00052245" w:rsidP="00052245">
            <w:pPr>
              <w:pStyle w:val="tv2131"/>
              <w:spacing w:line="240" w:lineRule="auto"/>
              <w:jc w:val="both"/>
              <w:rPr>
                <w:color w:val="auto"/>
                <w:sz w:val="22"/>
                <w:szCs w:val="22"/>
              </w:rPr>
            </w:pPr>
          </w:p>
          <w:p w:rsidR="00052245" w:rsidRDefault="00052245" w:rsidP="00052245">
            <w:pPr>
              <w:pStyle w:val="tv2131"/>
              <w:spacing w:line="240" w:lineRule="auto"/>
              <w:jc w:val="both"/>
              <w:rPr>
                <w:color w:val="auto"/>
                <w:sz w:val="22"/>
                <w:szCs w:val="22"/>
              </w:rPr>
            </w:pPr>
          </w:p>
          <w:p w:rsidR="00052245" w:rsidRDefault="00052245" w:rsidP="00052245">
            <w:pPr>
              <w:pStyle w:val="tv2131"/>
              <w:spacing w:line="240" w:lineRule="auto"/>
              <w:jc w:val="both"/>
              <w:rPr>
                <w:color w:val="auto"/>
                <w:sz w:val="22"/>
                <w:szCs w:val="22"/>
              </w:rPr>
            </w:pPr>
          </w:p>
          <w:p w:rsidR="00052245" w:rsidRDefault="00052245" w:rsidP="00052245">
            <w:pPr>
              <w:pStyle w:val="tv2131"/>
              <w:spacing w:line="240" w:lineRule="auto"/>
              <w:jc w:val="both"/>
              <w:rPr>
                <w:color w:val="auto"/>
                <w:sz w:val="22"/>
                <w:szCs w:val="22"/>
              </w:rPr>
            </w:pPr>
          </w:p>
          <w:p w:rsidR="00052245" w:rsidRDefault="00052245" w:rsidP="00052245">
            <w:pPr>
              <w:pStyle w:val="tv2131"/>
              <w:spacing w:line="240" w:lineRule="auto"/>
              <w:jc w:val="both"/>
              <w:rPr>
                <w:color w:val="auto"/>
                <w:sz w:val="22"/>
                <w:szCs w:val="22"/>
              </w:rPr>
            </w:pPr>
          </w:p>
          <w:p w:rsidR="00052245" w:rsidRDefault="00052245" w:rsidP="00052245">
            <w:pPr>
              <w:pStyle w:val="tv2131"/>
              <w:spacing w:line="240" w:lineRule="auto"/>
              <w:jc w:val="both"/>
              <w:rPr>
                <w:color w:val="auto"/>
                <w:sz w:val="22"/>
                <w:szCs w:val="22"/>
              </w:rPr>
            </w:pPr>
          </w:p>
          <w:p w:rsidR="00052245" w:rsidRDefault="00052245" w:rsidP="00052245">
            <w:pPr>
              <w:pStyle w:val="tv2131"/>
              <w:spacing w:line="240" w:lineRule="auto"/>
              <w:jc w:val="both"/>
              <w:rPr>
                <w:color w:val="auto"/>
                <w:sz w:val="22"/>
                <w:szCs w:val="22"/>
              </w:rPr>
            </w:pPr>
          </w:p>
          <w:p w:rsidR="00052245" w:rsidRPr="00C00213" w:rsidRDefault="00052245" w:rsidP="00052245">
            <w:pPr>
              <w:pStyle w:val="tv2131"/>
              <w:spacing w:line="240" w:lineRule="auto"/>
              <w:jc w:val="both"/>
              <w:rPr>
                <w:color w:val="auto"/>
                <w:sz w:val="22"/>
                <w:szCs w:val="22"/>
              </w:rPr>
            </w:pPr>
          </w:p>
        </w:tc>
        <w:tc>
          <w:tcPr>
            <w:tcW w:w="3799" w:type="dxa"/>
          </w:tcPr>
          <w:p w:rsidR="00C00213" w:rsidRPr="005F449C" w:rsidRDefault="00C00213" w:rsidP="00CB589F">
            <w:pPr>
              <w:ind w:firstLine="596"/>
              <w:jc w:val="both"/>
              <w:rPr>
                <w:sz w:val="22"/>
                <w:szCs w:val="22"/>
                <w:lang w:val="lv-LV"/>
              </w:rPr>
            </w:pPr>
          </w:p>
        </w:tc>
        <w:tc>
          <w:tcPr>
            <w:tcW w:w="556" w:type="dxa"/>
          </w:tcPr>
          <w:p w:rsidR="00C00213" w:rsidRPr="005F449C" w:rsidRDefault="00C00213" w:rsidP="005960AD">
            <w:pPr>
              <w:ind w:left="-578" w:firstLine="567"/>
              <w:jc w:val="center"/>
              <w:rPr>
                <w:b/>
                <w:sz w:val="22"/>
                <w:szCs w:val="22"/>
                <w:lang w:val="lv-LV"/>
              </w:rPr>
            </w:pPr>
          </w:p>
        </w:tc>
        <w:tc>
          <w:tcPr>
            <w:tcW w:w="3799" w:type="dxa"/>
          </w:tcPr>
          <w:p w:rsidR="00C00213" w:rsidRPr="00331510" w:rsidRDefault="00C00213" w:rsidP="00D51256">
            <w:pPr>
              <w:ind w:firstLine="720"/>
              <w:jc w:val="both"/>
              <w:rPr>
                <w:sz w:val="22"/>
                <w:szCs w:val="22"/>
                <w:lang w:val="lv-LV"/>
              </w:rPr>
            </w:pPr>
          </w:p>
        </w:tc>
        <w:tc>
          <w:tcPr>
            <w:tcW w:w="1418" w:type="dxa"/>
          </w:tcPr>
          <w:p w:rsidR="00C00213" w:rsidRPr="005F449C" w:rsidRDefault="00C00213" w:rsidP="00E24DFD">
            <w:pPr>
              <w:ind w:firstLine="567"/>
              <w:jc w:val="both"/>
              <w:rPr>
                <w:sz w:val="22"/>
                <w:szCs w:val="22"/>
                <w:lang w:val="lv-LV"/>
              </w:rPr>
            </w:pPr>
          </w:p>
        </w:tc>
        <w:tc>
          <w:tcPr>
            <w:tcW w:w="1418" w:type="dxa"/>
          </w:tcPr>
          <w:p w:rsidR="00C00213" w:rsidRPr="005F449C" w:rsidRDefault="00C00213" w:rsidP="00E24DFD">
            <w:pPr>
              <w:ind w:firstLine="567"/>
              <w:jc w:val="both"/>
              <w:rPr>
                <w:sz w:val="22"/>
                <w:szCs w:val="22"/>
                <w:lang w:val="lv-LV"/>
              </w:rPr>
            </w:pPr>
          </w:p>
        </w:tc>
      </w:tr>
      <w:tr w:rsidR="00CB589F" w:rsidRPr="009D28E9" w:rsidTr="004137D3">
        <w:tc>
          <w:tcPr>
            <w:tcW w:w="3799" w:type="dxa"/>
          </w:tcPr>
          <w:p w:rsidR="00CB589F" w:rsidRPr="005F449C" w:rsidRDefault="00BC2DAA" w:rsidP="00836A8B">
            <w:pPr>
              <w:ind w:firstLine="567"/>
              <w:jc w:val="both"/>
              <w:rPr>
                <w:sz w:val="22"/>
                <w:szCs w:val="22"/>
                <w:lang w:val="lv-LV" w:eastAsia="lv-LV"/>
              </w:rPr>
            </w:pPr>
            <w:r w:rsidRPr="005F449C">
              <w:rPr>
                <w:sz w:val="22"/>
                <w:szCs w:val="22"/>
                <w:lang w:val="lv-LV"/>
              </w:rPr>
              <w:lastRenderedPageBreak/>
              <w:t>8.</w:t>
            </w:r>
            <w:r w:rsidRPr="005F449C">
              <w:rPr>
                <w:sz w:val="22"/>
                <w:szCs w:val="22"/>
                <w:vertAlign w:val="superscript"/>
                <w:lang w:val="lv-LV"/>
              </w:rPr>
              <w:t>13</w:t>
            </w:r>
            <w:r w:rsidRPr="005F449C">
              <w:rPr>
                <w:sz w:val="22"/>
                <w:szCs w:val="22"/>
                <w:lang w:val="lv-LV"/>
              </w:rPr>
              <w:t xml:space="preserve"> Amatpersona (darbinieks), kurai ir noteikta šā likuma pārejas noteikumu </w:t>
            </w:r>
            <w:hyperlink r:id="rId17" w:anchor="pn8.12" w:history="1">
              <w:r w:rsidRPr="005F449C">
                <w:rPr>
                  <w:sz w:val="22"/>
                  <w:szCs w:val="22"/>
                  <w:lang w:val="lv-LV"/>
                </w:rPr>
                <w:t>8.</w:t>
              </w:r>
              <w:r w:rsidRPr="005F449C">
                <w:rPr>
                  <w:sz w:val="22"/>
                  <w:szCs w:val="22"/>
                  <w:vertAlign w:val="superscript"/>
                  <w:lang w:val="lv-LV"/>
                </w:rPr>
                <w:t>12</w:t>
              </w:r>
              <w:r w:rsidRPr="005F449C">
                <w:rPr>
                  <w:sz w:val="22"/>
                  <w:szCs w:val="22"/>
                  <w:lang w:val="lv-LV"/>
                </w:rPr>
                <w:t xml:space="preserve"> punkta</w:t>
              </w:r>
            </w:hyperlink>
            <w:r w:rsidRPr="005F449C">
              <w:rPr>
                <w:sz w:val="22"/>
                <w:szCs w:val="22"/>
                <w:lang w:val="lv-LV"/>
              </w:rPr>
              <w:t xml:space="preserve"> 1.apakšpunktā minētā piemaksa, par to pašu pienākumu veikšanu nevar saņemt arī šā likuma </w:t>
            </w:r>
            <w:hyperlink r:id="rId18" w:anchor="p14" w:history="1">
              <w:r w:rsidRPr="005F449C">
                <w:rPr>
                  <w:sz w:val="22"/>
                  <w:szCs w:val="22"/>
                  <w:lang w:val="lv-LV"/>
                </w:rPr>
                <w:t>14.panta</w:t>
              </w:r>
            </w:hyperlink>
            <w:r w:rsidRPr="005F449C">
              <w:rPr>
                <w:sz w:val="22"/>
                <w:szCs w:val="22"/>
                <w:lang w:val="lv-LV"/>
              </w:rPr>
              <w:t xml:space="preserve"> pirmajā un divpadsmitajā daļā minētās piemaksas. Amatpersonai (darbiniekam), kurai ir piešķirta šā likuma pārejas noteikumu </w:t>
            </w:r>
            <w:hyperlink r:id="rId19" w:anchor="pn8.12" w:history="1">
              <w:r w:rsidRPr="005F449C">
                <w:rPr>
                  <w:sz w:val="22"/>
                  <w:szCs w:val="22"/>
                  <w:lang w:val="lv-LV"/>
                </w:rPr>
                <w:t>8.</w:t>
              </w:r>
              <w:r w:rsidRPr="005F449C">
                <w:rPr>
                  <w:sz w:val="22"/>
                  <w:szCs w:val="22"/>
                  <w:vertAlign w:val="superscript"/>
                  <w:lang w:val="lv-LV"/>
                </w:rPr>
                <w:t>12</w:t>
              </w:r>
              <w:r w:rsidRPr="005F449C">
                <w:rPr>
                  <w:sz w:val="22"/>
                  <w:szCs w:val="22"/>
                  <w:lang w:val="lv-LV"/>
                </w:rPr>
                <w:t xml:space="preserve"> punkta</w:t>
              </w:r>
            </w:hyperlink>
            <w:r w:rsidRPr="005F449C">
              <w:rPr>
                <w:sz w:val="22"/>
                <w:szCs w:val="22"/>
                <w:lang w:val="lv-LV"/>
              </w:rPr>
              <w:t xml:space="preserve"> 2.apakšpunktā minētā prēmija, par to pašu pienākumu veikšanu nevar piešķirt arī šā likuma </w:t>
            </w:r>
            <w:hyperlink r:id="rId20" w:anchor="p3" w:history="1">
              <w:r w:rsidRPr="005F449C">
                <w:rPr>
                  <w:sz w:val="22"/>
                  <w:szCs w:val="22"/>
                  <w:lang w:val="lv-LV"/>
                </w:rPr>
                <w:t>3.panta</w:t>
              </w:r>
            </w:hyperlink>
            <w:r w:rsidRPr="005F449C">
              <w:rPr>
                <w:sz w:val="22"/>
                <w:szCs w:val="22"/>
                <w:lang w:val="lv-LV"/>
              </w:rPr>
              <w:t xml:space="preserve"> ceturtās daļas 5.punktā minēto atlīdzību.</w:t>
            </w:r>
          </w:p>
        </w:tc>
        <w:tc>
          <w:tcPr>
            <w:tcW w:w="3799" w:type="dxa"/>
          </w:tcPr>
          <w:p w:rsidR="00CB589F" w:rsidRPr="00D51256" w:rsidRDefault="00CB589F" w:rsidP="00052245">
            <w:pPr>
              <w:ind w:firstLine="454"/>
              <w:jc w:val="both"/>
              <w:rPr>
                <w:sz w:val="22"/>
                <w:szCs w:val="22"/>
                <w:u w:val="single"/>
                <w:lang w:val="lv-LV"/>
              </w:rPr>
            </w:pPr>
            <w:r w:rsidRPr="00D51256">
              <w:rPr>
                <w:sz w:val="22"/>
                <w:szCs w:val="22"/>
                <w:u w:val="single"/>
                <w:lang w:val="lv-LV"/>
              </w:rPr>
              <w:t>izteikt 8.</w:t>
            </w:r>
            <w:r w:rsidRPr="00D51256">
              <w:rPr>
                <w:sz w:val="22"/>
                <w:szCs w:val="22"/>
                <w:u w:val="single"/>
                <w:vertAlign w:val="superscript"/>
                <w:lang w:val="lv-LV"/>
              </w:rPr>
              <w:t>13</w:t>
            </w:r>
            <w:r w:rsidRPr="00D51256">
              <w:rPr>
                <w:sz w:val="22"/>
                <w:szCs w:val="22"/>
                <w:u w:val="single"/>
                <w:lang w:val="lv-LV"/>
              </w:rPr>
              <w:t xml:space="preserve"> punkta pirmo teikumu šādā redakcijā:</w:t>
            </w:r>
          </w:p>
          <w:p w:rsidR="00CB589F" w:rsidRPr="00D51256" w:rsidRDefault="00CB589F" w:rsidP="00052245">
            <w:pPr>
              <w:ind w:firstLine="454"/>
              <w:jc w:val="both"/>
              <w:rPr>
                <w:sz w:val="22"/>
                <w:szCs w:val="22"/>
                <w:u w:val="single"/>
                <w:lang w:val="lv-LV"/>
              </w:rPr>
            </w:pPr>
          </w:p>
          <w:p w:rsidR="00CB589F" w:rsidRPr="005F449C" w:rsidRDefault="00CB589F" w:rsidP="00052245">
            <w:pPr>
              <w:ind w:firstLine="454"/>
              <w:jc w:val="both"/>
              <w:rPr>
                <w:sz w:val="22"/>
                <w:szCs w:val="22"/>
                <w:lang w:val="lv-LV"/>
              </w:rPr>
            </w:pPr>
            <w:r w:rsidRPr="00D51256">
              <w:rPr>
                <w:sz w:val="22"/>
                <w:szCs w:val="22"/>
                <w:u w:val="single"/>
                <w:lang w:val="lv-LV"/>
              </w:rPr>
              <w:t>"Amatpersonai (darbiniekam), kurai ir noteikta šā likuma pārejas noteikumu 8.</w:t>
            </w:r>
            <w:r w:rsidRPr="00D51256">
              <w:rPr>
                <w:sz w:val="22"/>
                <w:szCs w:val="22"/>
                <w:u w:val="single"/>
                <w:vertAlign w:val="superscript"/>
                <w:lang w:val="lv-LV"/>
              </w:rPr>
              <w:t>12</w:t>
            </w:r>
            <w:r w:rsidRPr="00D51256">
              <w:rPr>
                <w:sz w:val="22"/>
                <w:szCs w:val="22"/>
                <w:u w:val="single"/>
                <w:lang w:val="lv-LV"/>
              </w:rPr>
              <w:t xml:space="preserve"> punkta 1.apakšpunktā minētā piemaksa, nevar noteikt arī šā likuma 14.panta pirmajā daļā minēto piemaksu par citu pienākumu pildīšanu papildus amata aprakstā noteiktajam un 14.panta divpadsmitajā daļā minēto piemaksu.";</w:t>
            </w:r>
          </w:p>
        </w:tc>
        <w:tc>
          <w:tcPr>
            <w:tcW w:w="556" w:type="dxa"/>
          </w:tcPr>
          <w:p w:rsidR="00CB589F" w:rsidRPr="005F449C" w:rsidRDefault="004F3B57" w:rsidP="005960AD">
            <w:pPr>
              <w:ind w:left="-578" w:firstLine="567"/>
              <w:jc w:val="center"/>
              <w:rPr>
                <w:b/>
                <w:sz w:val="22"/>
                <w:szCs w:val="22"/>
                <w:lang w:val="lv-LV"/>
              </w:rPr>
            </w:pPr>
            <w:r>
              <w:rPr>
                <w:b/>
                <w:sz w:val="22"/>
                <w:szCs w:val="22"/>
                <w:lang w:val="lv-LV"/>
              </w:rPr>
              <w:t>7</w:t>
            </w:r>
          </w:p>
        </w:tc>
        <w:tc>
          <w:tcPr>
            <w:tcW w:w="3799" w:type="dxa"/>
          </w:tcPr>
          <w:p w:rsidR="00D51256" w:rsidRDefault="00D51256" w:rsidP="00052245">
            <w:pPr>
              <w:ind w:firstLine="635"/>
              <w:jc w:val="both"/>
              <w:rPr>
                <w:rFonts w:eastAsia="Calibri"/>
                <w:sz w:val="22"/>
                <w:szCs w:val="22"/>
                <w:lang w:val="lv-LV" w:eastAsia="lv-LV"/>
              </w:rPr>
            </w:pPr>
            <w:r w:rsidRPr="00D51256">
              <w:rPr>
                <w:rFonts w:eastAsia="Calibri"/>
                <w:b/>
                <w:sz w:val="22"/>
                <w:szCs w:val="22"/>
                <w:u w:val="single"/>
                <w:lang w:val="lv-LV" w:eastAsia="lv-LV"/>
              </w:rPr>
              <w:t>Juridiskais birojs</w:t>
            </w:r>
            <w:r w:rsidRPr="00D51256">
              <w:rPr>
                <w:rFonts w:eastAsia="Calibri"/>
                <w:sz w:val="22"/>
                <w:szCs w:val="22"/>
                <w:lang w:val="lv-LV" w:eastAsia="lv-LV"/>
              </w:rPr>
              <w:t xml:space="preserve">  </w:t>
            </w:r>
          </w:p>
          <w:p w:rsidR="00D51256" w:rsidRDefault="00D51256" w:rsidP="00052245">
            <w:pPr>
              <w:ind w:firstLine="635"/>
              <w:jc w:val="both"/>
              <w:rPr>
                <w:rFonts w:eastAsia="Calibri"/>
                <w:sz w:val="22"/>
                <w:szCs w:val="22"/>
                <w:lang w:val="lv-LV" w:eastAsia="lv-LV"/>
              </w:rPr>
            </w:pPr>
            <w:r>
              <w:rPr>
                <w:rFonts w:eastAsia="Calibri"/>
                <w:sz w:val="22"/>
                <w:szCs w:val="22"/>
                <w:lang w:val="lv-LV" w:eastAsia="lv-LV"/>
              </w:rPr>
              <w:t>I</w:t>
            </w:r>
            <w:r w:rsidRPr="00D51256">
              <w:rPr>
                <w:rFonts w:eastAsia="Calibri"/>
                <w:sz w:val="22"/>
                <w:szCs w:val="22"/>
                <w:lang w:val="lv-LV" w:eastAsia="lv-LV"/>
              </w:rPr>
              <w:t>zslēgt likumprojekta 8.panta trešajā daļā piedāvāto par 8.</w:t>
            </w:r>
            <w:r w:rsidRPr="00D51256">
              <w:rPr>
                <w:rFonts w:eastAsia="Calibri"/>
                <w:sz w:val="22"/>
                <w:szCs w:val="22"/>
                <w:vertAlign w:val="superscript"/>
                <w:lang w:val="lv-LV" w:eastAsia="lv-LV"/>
              </w:rPr>
              <w:t>13</w:t>
            </w:r>
            <w:r w:rsidRPr="00D51256">
              <w:rPr>
                <w:rFonts w:eastAsia="Calibri"/>
                <w:sz w:val="22"/>
                <w:szCs w:val="22"/>
                <w:lang w:val="lv-LV" w:eastAsia="lv-LV"/>
              </w:rPr>
              <w:t xml:space="preserve"> punkta izteikšanu jaunā redakcijā un papildināt 8.</w:t>
            </w:r>
            <w:r w:rsidRPr="00D51256">
              <w:rPr>
                <w:rFonts w:eastAsia="Calibri"/>
                <w:sz w:val="22"/>
                <w:szCs w:val="22"/>
                <w:vertAlign w:val="superscript"/>
                <w:lang w:val="lv-LV" w:eastAsia="lv-LV"/>
              </w:rPr>
              <w:t>13</w:t>
            </w:r>
            <w:r w:rsidRPr="00D51256">
              <w:rPr>
                <w:rFonts w:eastAsia="Calibri"/>
                <w:sz w:val="22"/>
                <w:szCs w:val="22"/>
                <w:lang w:val="lv-LV" w:eastAsia="lv-LV"/>
              </w:rPr>
              <w:t xml:space="preserve"> punktu ar jaunu otro teikumu šādā redakcijā:</w:t>
            </w:r>
          </w:p>
          <w:p w:rsidR="00CB589F" w:rsidRPr="005F449C" w:rsidRDefault="00D51256" w:rsidP="00052245">
            <w:pPr>
              <w:ind w:firstLine="635"/>
              <w:jc w:val="both"/>
              <w:rPr>
                <w:sz w:val="22"/>
                <w:szCs w:val="22"/>
                <w:lang w:val="lv-LV"/>
              </w:rPr>
            </w:pPr>
            <w:r w:rsidRPr="00D51256">
              <w:rPr>
                <w:rFonts w:eastAsia="Calibri"/>
                <w:sz w:val="22"/>
                <w:szCs w:val="22"/>
                <w:lang w:val="lv-LV" w:eastAsia="lv-LV"/>
              </w:rPr>
              <w:t>„Amatpersonai (darbiniekam), kurai ir piešķirta šā likuma pārejas noteikumu 8.</w:t>
            </w:r>
            <w:r w:rsidRPr="00D51256">
              <w:rPr>
                <w:rFonts w:eastAsia="Calibri"/>
                <w:sz w:val="22"/>
                <w:szCs w:val="22"/>
                <w:vertAlign w:val="superscript"/>
                <w:lang w:val="lv-LV" w:eastAsia="lv-LV"/>
              </w:rPr>
              <w:t>12</w:t>
            </w:r>
            <w:r w:rsidRPr="00D51256">
              <w:rPr>
                <w:rFonts w:eastAsia="Calibri"/>
                <w:sz w:val="22"/>
                <w:szCs w:val="22"/>
                <w:lang w:val="lv-LV" w:eastAsia="lv-LV"/>
              </w:rPr>
              <w:t xml:space="preserve"> punkta 1.apakšpunktā minētā piemaksa un, ievērojot šā punkta pirmajā teikumā noteikto ierobežojumu, arī šā likuma 14.panta pirmajā vai divpadsmitajā daļā noteiktās piemaksas, to kopsumma nedrīkst pārsniegt ____ procentus no amatpersonai (darbiniekam) noteiktās mēnešalgas.”</w:t>
            </w:r>
            <w:r>
              <w:rPr>
                <w:rStyle w:val="FootnoteReference"/>
                <w:rFonts w:eastAsia="Calibri"/>
                <w:sz w:val="22"/>
                <w:szCs w:val="22"/>
                <w:lang w:val="lv-LV" w:eastAsia="lv-LV"/>
              </w:rPr>
              <w:footnoteReference w:id="6"/>
            </w:r>
          </w:p>
        </w:tc>
        <w:tc>
          <w:tcPr>
            <w:tcW w:w="1418" w:type="dxa"/>
          </w:tcPr>
          <w:p w:rsidR="00CB589F" w:rsidRPr="005F449C" w:rsidRDefault="00CB589F" w:rsidP="00E24DFD">
            <w:pPr>
              <w:ind w:firstLine="567"/>
              <w:jc w:val="both"/>
              <w:rPr>
                <w:sz w:val="22"/>
                <w:szCs w:val="22"/>
                <w:lang w:val="lv-LV"/>
              </w:rPr>
            </w:pPr>
          </w:p>
        </w:tc>
        <w:tc>
          <w:tcPr>
            <w:tcW w:w="1418" w:type="dxa"/>
          </w:tcPr>
          <w:p w:rsidR="00CB589F" w:rsidRPr="005F449C" w:rsidRDefault="00CB589F" w:rsidP="00E24DFD">
            <w:pPr>
              <w:ind w:firstLine="567"/>
              <w:jc w:val="both"/>
              <w:rPr>
                <w:sz w:val="22"/>
                <w:szCs w:val="22"/>
                <w:lang w:val="lv-LV"/>
              </w:rPr>
            </w:pPr>
          </w:p>
        </w:tc>
      </w:tr>
      <w:tr w:rsidR="002668A4" w:rsidRPr="009D28E9" w:rsidTr="004137D3">
        <w:tc>
          <w:tcPr>
            <w:tcW w:w="3799" w:type="dxa"/>
          </w:tcPr>
          <w:p w:rsidR="002668A4" w:rsidRPr="005F449C" w:rsidRDefault="002668A4" w:rsidP="00836A8B">
            <w:pPr>
              <w:ind w:firstLine="567"/>
              <w:jc w:val="both"/>
              <w:rPr>
                <w:sz w:val="22"/>
                <w:szCs w:val="22"/>
                <w:lang w:val="lv-LV" w:eastAsia="lv-LV"/>
              </w:rPr>
            </w:pPr>
          </w:p>
        </w:tc>
        <w:tc>
          <w:tcPr>
            <w:tcW w:w="3799" w:type="dxa"/>
          </w:tcPr>
          <w:p w:rsidR="004D7013" w:rsidRPr="00052245" w:rsidRDefault="004D7013" w:rsidP="00052245">
            <w:pPr>
              <w:ind w:firstLine="454"/>
              <w:jc w:val="both"/>
              <w:rPr>
                <w:sz w:val="22"/>
                <w:szCs w:val="22"/>
                <w:lang w:val="lv-LV"/>
              </w:rPr>
            </w:pPr>
            <w:r w:rsidRPr="00052245">
              <w:rPr>
                <w:sz w:val="22"/>
                <w:szCs w:val="22"/>
                <w:lang w:val="lv-LV"/>
              </w:rPr>
              <w:t>papildināt pārejas noteikumus ar 8.</w:t>
            </w:r>
            <w:r w:rsidRPr="00052245">
              <w:rPr>
                <w:sz w:val="22"/>
                <w:szCs w:val="22"/>
                <w:vertAlign w:val="superscript"/>
                <w:lang w:val="lv-LV"/>
              </w:rPr>
              <w:t>15</w:t>
            </w:r>
            <w:r w:rsidRPr="00052245">
              <w:rPr>
                <w:sz w:val="22"/>
                <w:szCs w:val="22"/>
                <w:lang w:val="lv-LV"/>
              </w:rPr>
              <w:t xml:space="preserve"> punktu šādā redakcijā:</w:t>
            </w:r>
          </w:p>
          <w:p w:rsidR="004D7013" w:rsidRPr="00052245" w:rsidRDefault="004D7013" w:rsidP="00052245">
            <w:pPr>
              <w:ind w:firstLine="454"/>
              <w:jc w:val="both"/>
              <w:rPr>
                <w:sz w:val="22"/>
                <w:szCs w:val="22"/>
                <w:lang w:val="lv-LV"/>
              </w:rPr>
            </w:pPr>
            <w:r w:rsidRPr="00052245">
              <w:rPr>
                <w:sz w:val="22"/>
                <w:szCs w:val="22"/>
                <w:lang w:val="lv-LV"/>
              </w:rPr>
              <w:t>"8.</w:t>
            </w:r>
            <w:r w:rsidRPr="00052245">
              <w:rPr>
                <w:sz w:val="22"/>
                <w:szCs w:val="22"/>
                <w:vertAlign w:val="superscript"/>
                <w:lang w:val="lv-LV"/>
              </w:rPr>
              <w:t xml:space="preserve">15 </w:t>
            </w:r>
            <w:r w:rsidRPr="00052245">
              <w:rPr>
                <w:sz w:val="22"/>
                <w:szCs w:val="22"/>
                <w:lang w:val="lv-LV"/>
              </w:rPr>
              <w:t>2014. un 2015.gadā atbilstoši institūcijā noteiktajai prēmēšanas kārtībai un kritērijiem papildus šā likuma 16.pantā noteiktajam var prēmēt:</w:t>
            </w:r>
          </w:p>
          <w:p w:rsidR="004D7013" w:rsidRPr="00052245" w:rsidRDefault="004D7013" w:rsidP="00052245">
            <w:pPr>
              <w:ind w:firstLine="454"/>
              <w:jc w:val="both"/>
              <w:rPr>
                <w:sz w:val="22"/>
                <w:szCs w:val="22"/>
                <w:lang w:val="lv-LV"/>
              </w:rPr>
            </w:pPr>
            <w:r w:rsidRPr="00052245">
              <w:rPr>
                <w:sz w:val="22"/>
                <w:szCs w:val="22"/>
                <w:lang w:val="lv-LV"/>
              </w:rPr>
              <w:t xml:space="preserve">1) Valsts ieņēmumu dienesta un Noziedzīgi iegūtu līdzekļu legalizācijas novēršanas dienesta amatpersonas (darbiniekus), kuru tiešas darbības rezultātā atklāti un novērsti noziedzīgi nodarījumi valsts ieņēmumu un nodokļu administrēšanas jomā, aizturētas kontrabandas kravas un novērsta konvencionāli aizliegtu priekšmetu </w:t>
            </w:r>
            <w:r w:rsidRPr="00052245">
              <w:rPr>
                <w:sz w:val="22"/>
                <w:szCs w:val="22"/>
                <w:lang w:val="lv-LV"/>
              </w:rPr>
              <w:lastRenderedPageBreak/>
              <w:t>ievešana un izvešana, novērsta noziedzīgi iegūtu līdzekļu legalizācija un tā rezultātā ir palielinājies vai tiek prognozēts būtisks valsts budžeta ieņēmumu palielinājums. Prēmijas apmērs nedrīkst pārsniegt amatpersonas (darbinieka) 12 mēnešalgu apmēru. Lēmumu par Valsts ieņēmumu dienesta un Noziedzīgi iegūtu līdzekļu legalizācijas novēršanas dienesta amatpersonu (darbinieku) prēmēšanu pieņem Ministru kabinets, pamatojoties uz Finanšu ministrijas, kā arī Ģenerālprokuratūras sniegto informāciju;</w:t>
            </w:r>
          </w:p>
          <w:p w:rsidR="004D7013" w:rsidRPr="00052245" w:rsidRDefault="004D7013" w:rsidP="00052245">
            <w:pPr>
              <w:ind w:firstLine="454"/>
              <w:jc w:val="both"/>
              <w:rPr>
                <w:sz w:val="22"/>
                <w:szCs w:val="22"/>
                <w:lang w:val="lv-LV"/>
              </w:rPr>
            </w:pPr>
            <w:r w:rsidRPr="00052245">
              <w:rPr>
                <w:sz w:val="22"/>
                <w:szCs w:val="22"/>
                <w:lang w:val="lv-LV"/>
              </w:rPr>
              <w:t>2) Valsts ieņēmumu dienesta amatpersonas (darbiniekus) par ieguldījumu nodokļu iekasēšanas un darbības izpildes rādītāju uzlabošanā un muitas politikas īstenošanā, kas sekmējusi ēnu ekonomikas mazināšanos un veicinājusi godīgu konkurenci. Lēmumu par Valsts ieņēmumu dienesta amatpersonu (darbinieku) prēmēšanu pieņem Ministru kabinets, pamatojoties uz Finanšu ministrijas sniegto informāciju par nodokļu iekasēšanas plāna izpildi;</w:t>
            </w:r>
          </w:p>
          <w:p w:rsidR="004D7013" w:rsidRPr="00052245" w:rsidRDefault="004D7013" w:rsidP="00052245">
            <w:pPr>
              <w:ind w:firstLine="454"/>
              <w:jc w:val="both"/>
              <w:rPr>
                <w:sz w:val="22"/>
                <w:szCs w:val="22"/>
                <w:lang w:val="lv-LV"/>
              </w:rPr>
            </w:pPr>
            <w:r w:rsidRPr="00052245">
              <w:rPr>
                <w:sz w:val="22"/>
                <w:szCs w:val="22"/>
                <w:lang w:val="lv-LV"/>
              </w:rPr>
              <w:t xml:space="preserve">3) Valsts policijas, Valsts robežsardzes, Valsts darba inspekcijas, Pārtikas un veterinārā dienesta, Valsts meža dienesta, Valsts augu aizsardzības dienesta, Noziedzīgi iegūtu līdzekļu legalizācijas novēršanas dienesta amatpersonas (darbiniekus), ja viņu </w:t>
            </w:r>
            <w:r w:rsidRPr="00052245">
              <w:rPr>
                <w:sz w:val="22"/>
                <w:szCs w:val="22"/>
                <w:lang w:val="lv-LV"/>
              </w:rPr>
              <w:lastRenderedPageBreak/>
              <w:t>darbības rezultātā ir būtiski uzlabota situācija ēnu ekonomikas apkarošanā un godīgas konkurences veicināšanā. Lēmumu par attiecīgo institūciju amatpersonu (darbinieku) prēmēšanu pieņem Ministru kabinets, pamatojoties uz atbildīgās nozares ministrijas, kā arī prokuratūras sniegto informāciju;</w:t>
            </w:r>
          </w:p>
          <w:p w:rsidR="004D7013" w:rsidRPr="00052245" w:rsidRDefault="004D7013" w:rsidP="00052245">
            <w:pPr>
              <w:ind w:firstLine="454"/>
              <w:jc w:val="both"/>
              <w:rPr>
                <w:sz w:val="22"/>
                <w:szCs w:val="22"/>
                <w:lang w:val="lv-LV"/>
              </w:rPr>
            </w:pPr>
            <w:r w:rsidRPr="00052245">
              <w:rPr>
                <w:sz w:val="22"/>
                <w:szCs w:val="22"/>
                <w:lang w:val="lv-LV"/>
              </w:rPr>
              <w:t>4) Valsts kases amatpersonas (darbiniekus) par ieguldījumu valsts budžeta izdevumu samazināšanā, nodrošinot efektīvu valsts parāda vadību. Lēmumu par Valsts kases amatpersonu (darbinieku) prēmēšanu pieņem Ministru kabinets, pamatojoties uz Finanšu ministrijas sniegto informāciju par veiktajiem pasākumiem valsts parāda vadības efektivizēšanai;</w:t>
            </w:r>
          </w:p>
          <w:p w:rsidR="00736328" w:rsidRPr="00052245" w:rsidRDefault="004D7013" w:rsidP="00052245">
            <w:pPr>
              <w:ind w:firstLine="454"/>
              <w:jc w:val="both"/>
              <w:rPr>
                <w:sz w:val="21"/>
                <w:szCs w:val="21"/>
                <w:lang w:val="lv-LV"/>
              </w:rPr>
            </w:pPr>
            <w:r w:rsidRPr="00052245">
              <w:rPr>
                <w:iCs/>
                <w:sz w:val="22"/>
                <w:szCs w:val="22"/>
                <w:lang w:val="lv-LV"/>
              </w:rPr>
              <w:t xml:space="preserve">5) </w:t>
            </w:r>
            <w:r w:rsidRPr="00052245">
              <w:rPr>
                <w:sz w:val="22"/>
                <w:szCs w:val="22"/>
                <w:lang w:val="lv-LV"/>
              </w:rPr>
              <w:t xml:space="preserve">Valsts un pašvaldību institūciju amatpersonas (darbiniekus) atbilstoši institūcijā noteiktajai prēmēšanas kārtībai un kritērijiem, ja šo amatpersonu (darbinieku) darbības rezultātā ir nodrošināta valsts vai pašvaldību budžeta izdevumu samazināšana vai izdevumu ekonomija, kā arī uzlaboti attiecīgās institūcijas darbības izpildes rādītāji. Lēmumu par valsts institūciju amatpersonu (darbinieku) prēmēšanu pieņem Ministru kabinets par 2014.gada pirmo deviņu mēnešu faktisko izpildi, pamatojoties uz atbildīgā nozares ministra vai Ministru prezidenta sniegto informāciju. Par pašvaldības institūciju </w:t>
            </w:r>
            <w:r w:rsidRPr="00052245">
              <w:rPr>
                <w:sz w:val="22"/>
                <w:szCs w:val="22"/>
                <w:lang w:val="lv-LV"/>
              </w:rPr>
              <w:lastRenderedPageBreak/>
              <w:t>amatpersonu (darbinieku) prēmēšanu lēmumu pieņem pašvaldības dome par 2014.gada pirmo deviņu mēnešu faktisko izpildi. Prēmiju izmaksai valsts institūcijas var izmantot ne vairāk kā piecus procentus no gadskārtējā valsts budžeta likumā atlīdzībai paredzētā līdzekļu apjoma, savukārt pašvaldību institūcijas – ne vairāk kā piecus procentus no pašvaldības budžetā atlīdzībai paredzētā līdzekļu apjoma."</w:t>
            </w:r>
          </w:p>
        </w:tc>
        <w:tc>
          <w:tcPr>
            <w:tcW w:w="556" w:type="dxa"/>
          </w:tcPr>
          <w:p w:rsidR="002668A4" w:rsidRPr="005F449C" w:rsidRDefault="002668A4" w:rsidP="005960AD">
            <w:pPr>
              <w:ind w:left="-578" w:firstLine="567"/>
              <w:jc w:val="center"/>
              <w:rPr>
                <w:b/>
                <w:sz w:val="22"/>
                <w:szCs w:val="22"/>
                <w:lang w:val="lv-LV"/>
              </w:rPr>
            </w:pPr>
          </w:p>
        </w:tc>
        <w:tc>
          <w:tcPr>
            <w:tcW w:w="3799" w:type="dxa"/>
          </w:tcPr>
          <w:p w:rsidR="002668A4" w:rsidRPr="005F449C" w:rsidRDefault="002668A4" w:rsidP="006F0875">
            <w:pPr>
              <w:jc w:val="both"/>
              <w:rPr>
                <w:sz w:val="22"/>
                <w:szCs w:val="22"/>
                <w:lang w:val="lv-LV"/>
              </w:rPr>
            </w:pPr>
          </w:p>
        </w:tc>
        <w:tc>
          <w:tcPr>
            <w:tcW w:w="1418" w:type="dxa"/>
          </w:tcPr>
          <w:p w:rsidR="002668A4" w:rsidRPr="005F449C" w:rsidRDefault="002668A4" w:rsidP="00E24DFD">
            <w:pPr>
              <w:ind w:firstLine="567"/>
              <w:jc w:val="both"/>
              <w:rPr>
                <w:sz w:val="22"/>
                <w:szCs w:val="22"/>
                <w:lang w:val="lv-LV"/>
              </w:rPr>
            </w:pPr>
          </w:p>
        </w:tc>
        <w:tc>
          <w:tcPr>
            <w:tcW w:w="1418" w:type="dxa"/>
          </w:tcPr>
          <w:p w:rsidR="002668A4" w:rsidRPr="005F449C" w:rsidRDefault="002668A4" w:rsidP="00E24DFD">
            <w:pPr>
              <w:ind w:firstLine="567"/>
              <w:jc w:val="both"/>
              <w:rPr>
                <w:sz w:val="22"/>
                <w:szCs w:val="22"/>
                <w:lang w:val="lv-LV"/>
              </w:rPr>
            </w:pPr>
          </w:p>
        </w:tc>
      </w:tr>
      <w:tr w:rsidR="002668A4" w:rsidRPr="009D28E9" w:rsidTr="004137D3">
        <w:tc>
          <w:tcPr>
            <w:tcW w:w="3799" w:type="dxa"/>
          </w:tcPr>
          <w:p w:rsidR="00736328" w:rsidRPr="00E05547" w:rsidRDefault="00736328" w:rsidP="005F449C">
            <w:pPr>
              <w:jc w:val="right"/>
              <w:rPr>
                <w:sz w:val="22"/>
                <w:szCs w:val="22"/>
                <w:lang w:val="lv-LV" w:eastAsia="lv-LV"/>
              </w:rPr>
            </w:pPr>
          </w:p>
          <w:p w:rsidR="003C22D9" w:rsidRPr="009D28E9" w:rsidRDefault="003C22D9" w:rsidP="005F449C">
            <w:pPr>
              <w:jc w:val="right"/>
              <w:rPr>
                <w:sz w:val="22"/>
                <w:szCs w:val="22"/>
                <w:lang w:val="lv-LV" w:eastAsia="lv-LV"/>
              </w:rPr>
            </w:pPr>
            <w:r w:rsidRPr="009D28E9">
              <w:rPr>
                <w:sz w:val="22"/>
                <w:szCs w:val="22"/>
                <w:lang w:val="lv-LV" w:eastAsia="lv-LV"/>
              </w:rPr>
              <w:t>Valsts un pašvaldību institūciju amatpersonu un</w:t>
            </w:r>
            <w:r w:rsidR="00736328" w:rsidRPr="009D28E9">
              <w:rPr>
                <w:sz w:val="22"/>
                <w:szCs w:val="22"/>
                <w:lang w:val="lv-LV" w:eastAsia="lv-LV"/>
              </w:rPr>
              <w:t xml:space="preserve"> </w:t>
            </w:r>
            <w:r w:rsidRPr="009D28E9">
              <w:rPr>
                <w:sz w:val="22"/>
                <w:szCs w:val="22"/>
                <w:lang w:val="lv-LV" w:eastAsia="lv-LV"/>
              </w:rPr>
              <w:t xml:space="preserve">darbinieku atlīdzības likuma </w:t>
            </w:r>
            <w:r w:rsidRPr="009D28E9">
              <w:rPr>
                <w:sz w:val="22"/>
                <w:szCs w:val="22"/>
                <w:lang w:val="lv-LV" w:eastAsia="lv-LV"/>
              </w:rPr>
              <w:br/>
            </w:r>
            <w:bookmarkStart w:id="6" w:name="piel3"/>
            <w:bookmarkEnd w:id="6"/>
            <w:r w:rsidRPr="009D28E9">
              <w:rPr>
                <w:sz w:val="22"/>
                <w:szCs w:val="22"/>
                <w:lang w:val="lv-LV" w:eastAsia="lv-LV"/>
              </w:rPr>
              <w:t>3.pielikums</w:t>
            </w:r>
          </w:p>
          <w:p w:rsidR="002668A4" w:rsidRPr="009D28E9" w:rsidRDefault="003C22D9" w:rsidP="005F449C">
            <w:pPr>
              <w:jc w:val="center"/>
              <w:rPr>
                <w:sz w:val="22"/>
                <w:szCs w:val="22"/>
                <w:lang w:val="lv-LV" w:eastAsia="lv-LV"/>
              </w:rPr>
            </w:pPr>
            <w:bookmarkStart w:id="7" w:name="374076"/>
            <w:bookmarkEnd w:id="7"/>
            <w:r w:rsidRPr="009D28E9">
              <w:rPr>
                <w:b/>
                <w:bCs/>
                <w:sz w:val="22"/>
                <w:szCs w:val="22"/>
                <w:lang w:val="lv-LV" w:eastAsia="lv-LV"/>
              </w:rPr>
              <w:t>Mēnešalgu grupas un to maksimālās mēnešalgas</w:t>
            </w:r>
          </w:p>
        </w:tc>
        <w:tc>
          <w:tcPr>
            <w:tcW w:w="3799" w:type="dxa"/>
          </w:tcPr>
          <w:p w:rsidR="004D7013" w:rsidRPr="00736328" w:rsidRDefault="004D7013" w:rsidP="005F449C">
            <w:pPr>
              <w:ind w:firstLine="312"/>
              <w:jc w:val="both"/>
              <w:rPr>
                <w:sz w:val="22"/>
                <w:szCs w:val="22"/>
                <w:lang w:val="lv-LV"/>
              </w:rPr>
            </w:pPr>
            <w:r w:rsidRPr="00736328">
              <w:rPr>
                <w:sz w:val="22"/>
                <w:szCs w:val="22"/>
                <w:lang w:val="lv-LV"/>
              </w:rPr>
              <w:t>9. Izteikt 3.pielikumu šādā redakcijā:</w:t>
            </w:r>
          </w:p>
          <w:p w:rsidR="00736328" w:rsidRPr="00736328" w:rsidRDefault="004D7013" w:rsidP="005F449C">
            <w:pPr>
              <w:ind w:firstLine="312"/>
              <w:jc w:val="right"/>
              <w:rPr>
                <w:sz w:val="22"/>
                <w:szCs w:val="22"/>
                <w:lang w:val="lv-LV"/>
              </w:rPr>
            </w:pPr>
            <w:r w:rsidRPr="00736328">
              <w:rPr>
                <w:sz w:val="22"/>
                <w:szCs w:val="22"/>
                <w:lang w:val="lv-LV"/>
              </w:rPr>
              <w:t>"Valsts un pašvaldību institūciju amatpersonu un</w:t>
            </w:r>
            <w:r w:rsidR="00736328" w:rsidRPr="00736328">
              <w:rPr>
                <w:sz w:val="22"/>
                <w:szCs w:val="22"/>
                <w:lang w:val="lv-LV"/>
              </w:rPr>
              <w:t xml:space="preserve"> </w:t>
            </w:r>
            <w:r w:rsidRPr="00736328">
              <w:rPr>
                <w:sz w:val="22"/>
                <w:szCs w:val="22"/>
                <w:lang w:val="lv-LV"/>
              </w:rPr>
              <w:t>darbinieku atlīdzības likuma</w:t>
            </w:r>
            <w:r w:rsidR="00736328" w:rsidRPr="00736328">
              <w:rPr>
                <w:sz w:val="22"/>
                <w:szCs w:val="22"/>
                <w:lang w:val="lv-LV"/>
              </w:rPr>
              <w:t xml:space="preserve"> </w:t>
            </w:r>
          </w:p>
          <w:p w:rsidR="004D7013" w:rsidRPr="00736328" w:rsidRDefault="004D7013" w:rsidP="005F449C">
            <w:pPr>
              <w:ind w:firstLine="312"/>
              <w:jc w:val="right"/>
              <w:rPr>
                <w:sz w:val="22"/>
                <w:szCs w:val="22"/>
                <w:lang w:val="lv-LV"/>
              </w:rPr>
            </w:pPr>
            <w:r w:rsidRPr="00736328">
              <w:rPr>
                <w:sz w:val="22"/>
                <w:szCs w:val="22"/>
                <w:lang w:val="lv-LV"/>
              </w:rPr>
              <w:t>3.pielikums</w:t>
            </w:r>
          </w:p>
          <w:p w:rsidR="002668A4" w:rsidRPr="009D28E9" w:rsidRDefault="004D7013" w:rsidP="005F449C">
            <w:pPr>
              <w:ind w:firstLine="29"/>
              <w:jc w:val="center"/>
              <w:outlineLvl w:val="3"/>
              <w:rPr>
                <w:sz w:val="22"/>
                <w:szCs w:val="22"/>
                <w:lang w:val="lv-LV"/>
              </w:rPr>
            </w:pPr>
            <w:r w:rsidRPr="009D28E9">
              <w:rPr>
                <w:b/>
                <w:bCs/>
                <w:sz w:val="22"/>
                <w:szCs w:val="22"/>
                <w:lang w:val="lv-LV"/>
              </w:rPr>
              <w:t>Mēnešalgu grupas un to maksimālās mēnešalgas</w:t>
            </w:r>
          </w:p>
        </w:tc>
        <w:tc>
          <w:tcPr>
            <w:tcW w:w="556" w:type="dxa"/>
          </w:tcPr>
          <w:p w:rsidR="002668A4" w:rsidRPr="00736328" w:rsidRDefault="002668A4" w:rsidP="005960AD">
            <w:pPr>
              <w:ind w:left="-578" w:firstLine="567"/>
              <w:jc w:val="center"/>
              <w:rPr>
                <w:b/>
                <w:sz w:val="21"/>
                <w:szCs w:val="21"/>
                <w:lang w:val="lv-LV"/>
              </w:rPr>
            </w:pPr>
          </w:p>
        </w:tc>
        <w:tc>
          <w:tcPr>
            <w:tcW w:w="3799" w:type="dxa"/>
          </w:tcPr>
          <w:p w:rsidR="002668A4" w:rsidRPr="00736328" w:rsidRDefault="002668A4" w:rsidP="006F0875">
            <w:pPr>
              <w:jc w:val="both"/>
              <w:rPr>
                <w:sz w:val="21"/>
                <w:szCs w:val="21"/>
                <w:lang w:val="lv-LV"/>
              </w:rPr>
            </w:pPr>
          </w:p>
        </w:tc>
        <w:tc>
          <w:tcPr>
            <w:tcW w:w="1418" w:type="dxa"/>
          </w:tcPr>
          <w:p w:rsidR="002668A4" w:rsidRPr="00736328" w:rsidRDefault="002668A4" w:rsidP="00E24DFD">
            <w:pPr>
              <w:ind w:firstLine="567"/>
              <w:jc w:val="both"/>
              <w:rPr>
                <w:sz w:val="21"/>
                <w:szCs w:val="21"/>
                <w:lang w:val="lv-LV"/>
              </w:rPr>
            </w:pPr>
          </w:p>
        </w:tc>
        <w:tc>
          <w:tcPr>
            <w:tcW w:w="1418" w:type="dxa"/>
          </w:tcPr>
          <w:p w:rsidR="002668A4" w:rsidRPr="00736328" w:rsidRDefault="002668A4" w:rsidP="00E24DFD">
            <w:pPr>
              <w:ind w:firstLine="567"/>
              <w:jc w:val="both"/>
              <w:rPr>
                <w:sz w:val="21"/>
                <w:szCs w:val="21"/>
                <w:lang w:val="lv-LV"/>
              </w:rPr>
            </w:pPr>
          </w:p>
        </w:tc>
      </w:tr>
      <w:tr w:rsidR="002668A4" w:rsidRPr="00736328" w:rsidTr="004137D3">
        <w:tc>
          <w:tcPr>
            <w:tcW w:w="3799" w:type="dxa"/>
          </w:tcPr>
          <w:tbl>
            <w:tblPr>
              <w:tblW w:w="475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1412"/>
              <w:gridCol w:w="1987"/>
            </w:tblGrid>
            <w:tr w:rsidR="00836A8B" w:rsidRPr="00052245" w:rsidTr="003C22D9">
              <w:trPr>
                <w:tblCellSpacing w:w="15" w:type="dxa"/>
              </w:trPr>
              <w:tc>
                <w:tcPr>
                  <w:tcW w:w="1365" w:type="dxa"/>
                  <w:vAlign w:val="center"/>
                  <w:hideMark/>
                </w:tcPr>
                <w:p w:rsidR="003C22D9" w:rsidRPr="009D28E9" w:rsidRDefault="003C22D9" w:rsidP="00836A8B">
                  <w:pPr>
                    <w:rPr>
                      <w:b/>
                      <w:sz w:val="19"/>
                      <w:szCs w:val="19"/>
                      <w:lang w:val="lv-LV"/>
                    </w:rPr>
                  </w:pPr>
                  <w:r w:rsidRPr="009D28E9">
                    <w:rPr>
                      <w:b/>
                      <w:sz w:val="19"/>
                      <w:szCs w:val="19"/>
                      <w:lang w:val="lv-LV"/>
                    </w:rPr>
                    <w:t>Mēnešalgu grupa</w:t>
                  </w:r>
                </w:p>
              </w:tc>
              <w:tc>
                <w:tcPr>
                  <w:tcW w:w="1939" w:type="dxa"/>
                  <w:vAlign w:val="center"/>
                  <w:hideMark/>
                </w:tcPr>
                <w:p w:rsidR="003C22D9" w:rsidRPr="009D28E9" w:rsidRDefault="003C22D9" w:rsidP="00836A8B">
                  <w:pPr>
                    <w:rPr>
                      <w:b/>
                      <w:sz w:val="19"/>
                      <w:szCs w:val="19"/>
                      <w:lang w:val="lv-LV"/>
                    </w:rPr>
                  </w:pPr>
                  <w:r w:rsidRPr="009D28E9">
                    <w:rPr>
                      <w:b/>
                      <w:sz w:val="19"/>
                      <w:szCs w:val="19"/>
                      <w:lang w:val="lv-LV"/>
                    </w:rPr>
                    <w:t>Mēnešalgas maksimālais apmērs (latos)</w:t>
                  </w:r>
                </w:p>
              </w:tc>
            </w:tr>
            <w:tr w:rsidR="00836A8B" w:rsidRPr="00736328" w:rsidTr="003C22D9">
              <w:trPr>
                <w:tblCellSpacing w:w="15" w:type="dxa"/>
              </w:trPr>
              <w:tc>
                <w:tcPr>
                  <w:tcW w:w="1365" w:type="dxa"/>
                  <w:vAlign w:val="bottom"/>
                  <w:hideMark/>
                </w:tcPr>
                <w:p w:rsidR="003C22D9" w:rsidRPr="009D28E9" w:rsidRDefault="003C22D9" w:rsidP="00836A8B">
                  <w:pPr>
                    <w:rPr>
                      <w:sz w:val="20"/>
                      <w:szCs w:val="20"/>
                      <w:lang w:val="lv-LV"/>
                    </w:rPr>
                  </w:pPr>
                  <w:r w:rsidRPr="009D28E9">
                    <w:rPr>
                      <w:sz w:val="20"/>
                      <w:szCs w:val="20"/>
                      <w:lang w:val="lv-LV"/>
                    </w:rPr>
                    <w:t>16</w:t>
                  </w:r>
                </w:p>
              </w:tc>
              <w:tc>
                <w:tcPr>
                  <w:tcW w:w="1939" w:type="dxa"/>
                  <w:vAlign w:val="bottom"/>
                  <w:hideMark/>
                </w:tcPr>
                <w:p w:rsidR="003C22D9" w:rsidRPr="009D28E9" w:rsidRDefault="003C22D9" w:rsidP="00836A8B">
                  <w:pPr>
                    <w:rPr>
                      <w:sz w:val="20"/>
                      <w:szCs w:val="20"/>
                      <w:lang w:val="lv-LV"/>
                    </w:rPr>
                  </w:pPr>
                  <w:r w:rsidRPr="009D28E9">
                    <w:rPr>
                      <w:sz w:val="20"/>
                      <w:szCs w:val="20"/>
                      <w:lang w:val="lv-LV"/>
                    </w:rPr>
                    <w:t>ne vairāk par 1715</w:t>
                  </w:r>
                </w:p>
              </w:tc>
            </w:tr>
            <w:tr w:rsidR="00836A8B" w:rsidRPr="00736328" w:rsidTr="003C22D9">
              <w:trPr>
                <w:tblCellSpacing w:w="15" w:type="dxa"/>
              </w:trPr>
              <w:tc>
                <w:tcPr>
                  <w:tcW w:w="1365" w:type="dxa"/>
                  <w:vAlign w:val="bottom"/>
                  <w:hideMark/>
                </w:tcPr>
                <w:p w:rsidR="003C22D9" w:rsidRPr="009D28E9" w:rsidRDefault="003C22D9" w:rsidP="00836A8B">
                  <w:pPr>
                    <w:rPr>
                      <w:sz w:val="20"/>
                      <w:szCs w:val="20"/>
                      <w:lang w:val="lv-LV"/>
                    </w:rPr>
                  </w:pPr>
                  <w:r w:rsidRPr="009D28E9">
                    <w:rPr>
                      <w:sz w:val="20"/>
                      <w:szCs w:val="20"/>
                      <w:lang w:val="lv-LV"/>
                    </w:rPr>
                    <w:t>15</w:t>
                  </w:r>
                </w:p>
              </w:tc>
              <w:tc>
                <w:tcPr>
                  <w:tcW w:w="1939" w:type="dxa"/>
                  <w:vAlign w:val="bottom"/>
                  <w:hideMark/>
                </w:tcPr>
                <w:p w:rsidR="003C22D9" w:rsidRPr="009D28E9" w:rsidRDefault="003C22D9" w:rsidP="00836A8B">
                  <w:pPr>
                    <w:rPr>
                      <w:sz w:val="20"/>
                      <w:szCs w:val="20"/>
                      <w:lang w:val="lv-LV"/>
                    </w:rPr>
                  </w:pPr>
                  <w:r w:rsidRPr="009D28E9">
                    <w:rPr>
                      <w:sz w:val="20"/>
                      <w:szCs w:val="20"/>
                      <w:lang w:val="lv-LV"/>
                    </w:rPr>
                    <w:t>ne vairāk par 1653</w:t>
                  </w:r>
                </w:p>
              </w:tc>
            </w:tr>
            <w:tr w:rsidR="00836A8B" w:rsidRPr="00736328" w:rsidTr="003C22D9">
              <w:trPr>
                <w:tblCellSpacing w:w="15" w:type="dxa"/>
              </w:trPr>
              <w:tc>
                <w:tcPr>
                  <w:tcW w:w="1365" w:type="dxa"/>
                  <w:vAlign w:val="bottom"/>
                  <w:hideMark/>
                </w:tcPr>
                <w:p w:rsidR="003C22D9" w:rsidRPr="009D28E9" w:rsidRDefault="003C22D9" w:rsidP="00836A8B">
                  <w:pPr>
                    <w:rPr>
                      <w:sz w:val="20"/>
                      <w:szCs w:val="20"/>
                      <w:lang w:val="lv-LV"/>
                    </w:rPr>
                  </w:pPr>
                  <w:r w:rsidRPr="009D28E9">
                    <w:rPr>
                      <w:sz w:val="20"/>
                      <w:szCs w:val="20"/>
                      <w:lang w:val="lv-LV"/>
                    </w:rPr>
                    <w:t>14</w:t>
                  </w:r>
                </w:p>
              </w:tc>
              <w:tc>
                <w:tcPr>
                  <w:tcW w:w="1939" w:type="dxa"/>
                  <w:vAlign w:val="bottom"/>
                  <w:hideMark/>
                </w:tcPr>
                <w:p w:rsidR="003C22D9" w:rsidRPr="009D28E9" w:rsidRDefault="003C22D9" w:rsidP="00836A8B">
                  <w:pPr>
                    <w:rPr>
                      <w:sz w:val="20"/>
                      <w:szCs w:val="20"/>
                      <w:lang w:val="lv-LV"/>
                    </w:rPr>
                  </w:pPr>
                  <w:r w:rsidRPr="009D28E9">
                    <w:rPr>
                      <w:sz w:val="20"/>
                      <w:szCs w:val="20"/>
                      <w:lang w:val="lv-LV"/>
                    </w:rPr>
                    <w:t>ne vairāk par 1591</w:t>
                  </w:r>
                </w:p>
              </w:tc>
            </w:tr>
            <w:tr w:rsidR="00836A8B" w:rsidRPr="00736328" w:rsidTr="003C22D9">
              <w:trPr>
                <w:tblCellSpacing w:w="15" w:type="dxa"/>
              </w:trPr>
              <w:tc>
                <w:tcPr>
                  <w:tcW w:w="1365" w:type="dxa"/>
                  <w:vAlign w:val="bottom"/>
                  <w:hideMark/>
                </w:tcPr>
                <w:p w:rsidR="003C22D9" w:rsidRPr="009D28E9" w:rsidRDefault="003C22D9" w:rsidP="00836A8B">
                  <w:pPr>
                    <w:rPr>
                      <w:sz w:val="20"/>
                      <w:szCs w:val="20"/>
                      <w:lang w:val="lv-LV"/>
                    </w:rPr>
                  </w:pPr>
                  <w:r w:rsidRPr="009D28E9">
                    <w:rPr>
                      <w:sz w:val="20"/>
                      <w:szCs w:val="20"/>
                      <w:lang w:val="lv-LV"/>
                    </w:rPr>
                    <w:t>13</w:t>
                  </w:r>
                </w:p>
              </w:tc>
              <w:tc>
                <w:tcPr>
                  <w:tcW w:w="1939" w:type="dxa"/>
                  <w:vAlign w:val="bottom"/>
                  <w:hideMark/>
                </w:tcPr>
                <w:p w:rsidR="003C22D9" w:rsidRPr="009D28E9" w:rsidRDefault="003C22D9" w:rsidP="00836A8B">
                  <w:pPr>
                    <w:rPr>
                      <w:sz w:val="20"/>
                      <w:szCs w:val="20"/>
                      <w:lang w:val="lv-LV"/>
                    </w:rPr>
                  </w:pPr>
                  <w:r w:rsidRPr="009D28E9">
                    <w:rPr>
                      <w:sz w:val="20"/>
                      <w:szCs w:val="20"/>
                      <w:lang w:val="lv-LV"/>
                    </w:rPr>
                    <w:t>ne vairāk par 1347</w:t>
                  </w:r>
                </w:p>
              </w:tc>
            </w:tr>
            <w:tr w:rsidR="00836A8B" w:rsidRPr="00736328" w:rsidTr="003C22D9">
              <w:trPr>
                <w:tblCellSpacing w:w="15" w:type="dxa"/>
              </w:trPr>
              <w:tc>
                <w:tcPr>
                  <w:tcW w:w="1365" w:type="dxa"/>
                  <w:vAlign w:val="bottom"/>
                  <w:hideMark/>
                </w:tcPr>
                <w:p w:rsidR="003C22D9" w:rsidRPr="009D28E9" w:rsidRDefault="003C22D9" w:rsidP="00836A8B">
                  <w:pPr>
                    <w:rPr>
                      <w:sz w:val="20"/>
                      <w:szCs w:val="20"/>
                      <w:lang w:val="lv-LV"/>
                    </w:rPr>
                  </w:pPr>
                  <w:r w:rsidRPr="009D28E9">
                    <w:rPr>
                      <w:sz w:val="20"/>
                      <w:szCs w:val="20"/>
                      <w:lang w:val="lv-LV"/>
                    </w:rPr>
                    <w:t>12</w:t>
                  </w:r>
                </w:p>
              </w:tc>
              <w:tc>
                <w:tcPr>
                  <w:tcW w:w="1939" w:type="dxa"/>
                  <w:vAlign w:val="bottom"/>
                  <w:hideMark/>
                </w:tcPr>
                <w:p w:rsidR="003C22D9" w:rsidRPr="009D28E9" w:rsidRDefault="003C22D9" w:rsidP="00836A8B">
                  <w:pPr>
                    <w:rPr>
                      <w:sz w:val="20"/>
                      <w:szCs w:val="20"/>
                      <w:lang w:val="lv-LV"/>
                    </w:rPr>
                  </w:pPr>
                  <w:r w:rsidRPr="009D28E9">
                    <w:rPr>
                      <w:sz w:val="20"/>
                      <w:szCs w:val="20"/>
                      <w:lang w:val="lv-LV"/>
                    </w:rPr>
                    <w:t>ne vairāk par 1157</w:t>
                  </w:r>
                </w:p>
              </w:tc>
            </w:tr>
            <w:tr w:rsidR="00836A8B" w:rsidRPr="00736328" w:rsidTr="003C22D9">
              <w:trPr>
                <w:tblCellSpacing w:w="15" w:type="dxa"/>
              </w:trPr>
              <w:tc>
                <w:tcPr>
                  <w:tcW w:w="1365" w:type="dxa"/>
                  <w:vAlign w:val="bottom"/>
                  <w:hideMark/>
                </w:tcPr>
                <w:p w:rsidR="003C22D9" w:rsidRPr="009D28E9" w:rsidRDefault="003C22D9" w:rsidP="00836A8B">
                  <w:pPr>
                    <w:rPr>
                      <w:sz w:val="20"/>
                      <w:szCs w:val="20"/>
                      <w:lang w:val="lv-LV"/>
                    </w:rPr>
                  </w:pPr>
                  <w:r w:rsidRPr="009D28E9">
                    <w:rPr>
                      <w:sz w:val="20"/>
                      <w:szCs w:val="20"/>
                      <w:lang w:val="lv-LV"/>
                    </w:rPr>
                    <w:t>11</w:t>
                  </w:r>
                </w:p>
              </w:tc>
              <w:tc>
                <w:tcPr>
                  <w:tcW w:w="1939" w:type="dxa"/>
                  <w:vAlign w:val="bottom"/>
                  <w:hideMark/>
                </w:tcPr>
                <w:p w:rsidR="003C22D9" w:rsidRPr="009D28E9" w:rsidRDefault="003C22D9" w:rsidP="00836A8B">
                  <w:pPr>
                    <w:rPr>
                      <w:sz w:val="20"/>
                      <w:szCs w:val="20"/>
                      <w:lang w:val="lv-LV"/>
                    </w:rPr>
                  </w:pPr>
                  <w:r w:rsidRPr="009D28E9">
                    <w:rPr>
                      <w:sz w:val="20"/>
                      <w:szCs w:val="20"/>
                      <w:lang w:val="lv-LV"/>
                    </w:rPr>
                    <w:t>ne vairāk par 971</w:t>
                  </w:r>
                </w:p>
              </w:tc>
            </w:tr>
            <w:tr w:rsidR="00836A8B" w:rsidRPr="00736328" w:rsidTr="003C22D9">
              <w:trPr>
                <w:tblCellSpacing w:w="15" w:type="dxa"/>
              </w:trPr>
              <w:tc>
                <w:tcPr>
                  <w:tcW w:w="1365" w:type="dxa"/>
                  <w:vAlign w:val="bottom"/>
                  <w:hideMark/>
                </w:tcPr>
                <w:p w:rsidR="003C22D9" w:rsidRPr="009D28E9" w:rsidRDefault="003C22D9" w:rsidP="00836A8B">
                  <w:pPr>
                    <w:rPr>
                      <w:sz w:val="20"/>
                      <w:szCs w:val="20"/>
                      <w:lang w:val="lv-LV"/>
                    </w:rPr>
                  </w:pPr>
                  <w:r w:rsidRPr="009D28E9">
                    <w:rPr>
                      <w:sz w:val="20"/>
                      <w:szCs w:val="20"/>
                      <w:lang w:val="lv-LV"/>
                    </w:rPr>
                    <w:t>10</w:t>
                  </w:r>
                </w:p>
              </w:tc>
              <w:tc>
                <w:tcPr>
                  <w:tcW w:w="1939" w:type="dxa"/>
                  <w:vAlign w:val="bottom"/>
                  <w:hideMark/>
                </w:tcPr>
                <w:p w:rsidR="003C22D9" w:rsidRPr="009D28E9" w:rsidRDefault="003C22D9" w:rsidP="00836A8B">
                  <w:pPr>
                    <w:rPr>
                      <w:sz w:val="20"/>
                      <w:szCs w:val="20"/>
                      <w:lang w:val="lv-LV"/>
                    </w:rPr>
                  </w:pPr>
                  <w:r w:rsidRPr="009D28E9">
                    <w:rPr>
                      <w:sz w:val="20"/>
                      <w:szCs w:val="20"/>
                      <w:lang w:val="lv-LV"/>
                    </w:rPr>
                    <w:t>ne vairāk par 825</w:t>
                  </w:r>
                </w:p>
              </w:tc>
            </w:tr>
            <w:tr w:rsidR="00836A8B" w:rsidRPr="00736328" w:rsidTr="003C22D9">
              <w:trPr>
                <w:tblCellSpacing w:w="15" w:type="dxa"/>
              </w:trPr>
              <w:tc>
                <w:tcPr>
                  <w:tcW w:w="1365" w:type="dxa"/>
                  <w:vAlign w:val="bottom"/>
                  <w:hideMark/>
                </w:tcPr>
                <w:p w:rsidR="003C22D9" w:rsidRPr="009D28E9" w:rsidRDefault="003C22D9" w:rsidP="00836A8B">
                  <w:pPr>
                    <w:rPr>
                      <w:sz w:val="20"/>
                      <w:szCs w:val="20"/>
                      <w:lang w:val="lv-LV"/>
                    </w:rPr>
                  </w:pPr>
                  <w:r w:rsidRPr="009D28E9">
                    <w:rPr>
                      <w:sz w:val="20"/>
                      <w:szCs w:val="20"/>
                      <w:lang w:val="lv-LV"/>
                    </w:rPr>
                    <w:t>9</w:t>
                  </w:r>
                </w:p>
              </w:tc>
              <w:tc>
                <w:tcPr>
                  <w:tcW w:w="1939" w:type="dxa"/>
                  <w:vAlign w:val="bottom"/>
                  <w:hideMark/>
                </w:tcPr>
                <w:p w:rsidR="003C22D9" w:rsidRPr="009D28E9" w:rsidRDefault="003C22D9" w:rsidP="00836A8B">
                  <w:pPr>
                    <w:rPr>
                      <w:sz w:val="20"/>
                      <w:szCs w:val="20"/>
                      <w:lang w:val="lv-LV"/>
                    </w:rPr>
                  </w:pPr>
                  <w:r w:rsidRPr="009D28E9">
                    <w:rPr>
                      <w:sz w:val="20"/>
                      <w:szCs w:val="20"/>
                      <w:lang w:val="lv-LV"/>
                    </w:rPr>
                    <w:t>ne vairāk par 698</w:t>
                  </w:r>
                </w:p>
              </w:tc>
            </w:tr>
            <w:tr w:rsidR="00836A8B" w:rsidRPr="00736328" w:rsidTr="003C22D9">
              <w:trPr>
                <w:tblCellSpacing w:w="15" w:type="dxa"/>
              </w:trPr>
              <w:tc>
                <w:tcPr>
                  <w:tcW w:w="1365" w:type="dxa"/>
                  <w:vAlign w:val="bottom"/>
                  <w:hideMark/>
                </w:tcPr>
                <w:p w:rsidR="003C22D9" w:rsidRPr="009D28E9" w:rsidRDefault="003C22D9" w:rsidP="00836A8B">
                  <w:pPr>
                    <w:rPr>
                      <w:sz w:val="20"/>
                      <w:szCs w:val="20"/>
                      <w:lang w:val="lv-LV"/>
                    </w:rPr>
                  </w:pPr>
                  <w:r w:rsidRPr="009D28E9">
                    <w:rPr>
                      <w:sz w:val="20"/>
                      <w:szCs w:val="20"/>
                      <w:lang w:val="lv-LV"/>
                    </w:rPr>
                    <w:t>8</w:t>
                  </w:r>
                </w:p>
              </w:tc>
              <w:tc>
                <w:tcPr>
                  <w:tcW w:w="1939" w:type="dxa"/>
                  <w:vAlign w:val="bottom"/>
                  <w:hideMark/>
                </w:tcPr>
                <w:p w:rsidR="003C22D9" w:rsidRPr="009D28E9" w:rsidRDefault="003C22D9" w:rsidP="00836A8B">
                  <w:pPr>
                    <w:rPr>
                      <w:sz w:val="20"/>
                      <w:szCs w:val="20"/>
                      <w:lang w:val="lv-LV"/>
                    </w:rPr>
                  </w:pPr>
                  <w:r w:rsidRPr="009D28E9">
                    <w:rPr>
                      <w:sz w:val="20"/>
                      <w:szCs w:val="20"/>
                      <w:lang w:val="lv-LV"/>
                    </w:rPr>
                    <w:t>ne vairāk par 614</w:t>
                  </w:r>
                </w:p>
              </w:tc>
            </w:tr>
            <w:tr w:rsidR="00836A8B" w:rsidRPr="00736328" w:rsidTr="003C22D9">
              <w:trPr>
                <w:tblCellSpacing w:w="15" w:type="dxa"/>
              </w:trPr>
              <w:tc>
                <w:tcPr>
                  <w:tcW w:w="1365" w:type="dxa"/>
                  <w:vAlign w:val="bottom"/>
                  <w:hideMark/>
                </w:tcPr>
                <w:p w:rsidR="003C22D9" w:rsidRPr="009D28E9" w:rsidRDefault="003C22D9" w:rsidP="00836A8B">
                  <w:pPr>
                    <w:rPr>
                      <w:sz w:val="20"/>
                      <w:szCs w:val="20"/>
                      <w:lang w:val="lv-LV"/>
                    </w:rPr>
                  </w:pPr>
                  <w:r w:rsidRPr="009D28E9">
                    <w:rPr>
                      <w:sz w:val="20"/>
                      <w:szCs w:val="20"/>
                      <w:lang w:val="lv-LV"/>
                    </w:rPr>
                    <w:t>7</w:t>
                  </w:r>
                </w:p>
              </w:tc>
              <w:tc>
                <w:tcPr>
                  <w:tcW w:w="1939" w:type="dxa"/>
                  <w:vAlign w:val="bottom"/>
                  <w:hideMark/>
                </w:tcPr>
                <w:p w:rsidR="003C22D9" w:rsidRPr="009D28E9" w:rsidRDefault="003C22D9" w:rsidP="00836A8B">
                  <w:pPr>
                    <w:rPr>
                      <w:sz w:val="20"/>
                      <w:szCs w:val="20"/>
                      <w:lang w:val="lv-LV"/>
                    </w:rPr>
                  </w:pPr>
                  <w:r w:rsidRPr="009D28E9">
                    <w:rPr>
                      <w:sz w:val="20"/>
                      <w:szCs w:val="20"/>
                      <w:lang w:val="lv-LV"/>
                    </w:rPr>
                    <w:t>ne vairāk par 527</w:t>
                  </w:r>
                </w:p>
              </w:tc>
            </w:tr>
            <w:tr w:rsidR="00836A8B" w:rsidRPr="00736328" w:rsidTr="003C22D9">
              <w:trPr>
                <w:tblCellSpacing w:w="15" w:type="dxa"/>
              </w:trPr>
              <w:tc>
                <w:tcPr>
                  <w:tcW w:w="1365" w:type="dxa"/>
                  <w:vAlign w:val="bottom"/>
                  <w:hideMark/>
                </w:tcPr>
                <w:p w:rsidR="003C22D9" w:rsidRPr="009D28E9" w:rsidRDefault="003C22D9" w:rsidP="00836A8B">
                  <w:pPr>
                    <w:rPr>
                      <w:sz w:val="20"/>
                      <w:szCs w:val="20"/>
                      <w:lang w:val="lv-LV"/>
                    </w:rPr>
                  </w:pPr>
                  <w:r w:rsidRPr="009D28E9">
                    <w:rPr>
                      <w:sz w:val="20"/>
                      <w:szCs w:val="20"/>
                      <w:lang w:val="lv-LV"/>
                    </w:rPr>
                    <w:lastRenderedPageBreak/>
                    <w:t>6</w:t>
                  </w:r>
                </w:p>
              </w:tc>
              <w:tc>
                <w:tcPr>
                  <w:tcW w:w="1939" w:type="dxa"/>
                  <w:vAlign w:val="bottom"/>
                  <w:hideMark/>
                </w:tcPr>
                <w:p w:rsidR="003C22D9" w:rsidRPr="009D28E9" w:rsidRDefault="003C22D9" w:rsidP="00836A8B">
                  <w:pPr>
                    <w:rPr>
                      <w:sz w:val="20"/>
                      <w:szCs w:val="20"/>
                      <w:lang w:val="lv-LV"/>
                    </w:rPr>
                  </w:pPr>
                  <w:r w:rsidRPr="009D28E9">
                    <w:rPr>
                      <w:sz w:val="20"/>
                      <w:szCs w:val="20"/>
                      <w:lang w:val="lv-LV"/>
                    </w:rPr>
                    <w:t>ne vairāk par 467</w:t>
                  </w:r>
                </w:p>
              </w:tc>
            </w:tr>
            <w:tr w:rsidR="00836A8B" w:rsidRPr="00736328" w:rsidTr="003C22D9">
              <w:trPr>
                <w:tblCellSpacing w:w="15" w:type="dxa"/>
              </w:trPr>
              <w:tc>
                <w:tcPr>
                  <w:tcW w:w="1365" w:type="dxa"/>
                  <w:vAlign w:val="bottom"/>
                  <w:hideMark/>
                </w:tcPr>
                <w:p w:rsidR="003C22D9" w:rsidRPr="009D28E9" w:rsidRDefault="003C22D9" w:rsidP="00836A8B">
                  <w:pPr>
                    <w:rPr>
                      <w:sz w:val="20"/>
                      <w:szCs w:val="20"/>
                      <w:lang w:val="lv-LV"/>
                    </w:rPr>
                  </w:pPr>
                  <w:r w:rsidRPr="009D28E9">
                    <w:rPr>
                      <w:sz w:val="20"/>
                      <w:szCs w:val="20"/>
                      <w:lang w:val="lv-LV"/>
                    </w:rPr>
                    <w:t>5</w:t>
                  </w:r>
                </w:p>
              </w:tc>
              <w:tc>
                <w:tcPr>
                  <w:tcW w:w="1939" w:type="dxa"/>
                  <w:vAlign w:val="bottom"/>
                  <w:hideMark/>
                </w:tcPr>
                <w:p w:rsidR="003C22D9" w:rsidRPr="009D28E9" w:rsidRDefault="003C22D9" w:rsidP="00836A8B">
                  <w:pPr>
                    <w:rPr>
                      <w:sz w:val="20"/>
                      <w:szCs w:val="20"/>
                      <w:lang w:val="lv-LV"/>
                    </w:rPr>
                  </w:pPr>
                  <w:r w:rsidRPr="009D28E9">
                    <w:rPr>
                      <w:sz w:val="20"/>
                      <w:szCs w:val="20"/>
                      <w:lang w:val="lv-LV"/>
                    </w:rPr>
                    <w:t>ne vairāk par 403</w:t>
                  </w:r>
                </w:p>
              </w:tc>
            </w:tr>
            <w:tr w:rsidR="00836A8B" w:rsidRPr="00736328" w:rsidTr="003C22D9">
              <w:trPr>
                <w:tblCellSpacing w:w="15" w:type="dxa"/>
              </w:trPr>
              <w:tc>
                <w:tcPr>
                  <w:tcW w:w="1365" w:type="dxa"/>
                  <w:vAlign w:val="bottom"/>
                  <w:hideMark/>
                </w:tcPr>
                <w:p w:rsidR="003C22D9" w:rsidRPr="009D28E9" w:rsidRDefault="003C22D9" w:rsidP="00836A8B">
                  <w:pPr>
                    <w:rPr>
                      <w:sz w:val="20"/>
                      <w:szCs w:val="20"/>
                      <w:lang w:val="lv-LV"/>
                    </w:rPr>
                  </w:pPr>
                  <w:r w:rsidRPr="009D28E9">
                    <w:rPr>
                      <w:sz w:val="20"/>
                      <w:szCs w:val="20"/>
                      <w:lang w:val="lv-LV"/>
                    </w:rPr>
                    <w:t>4</w:t>
                  </w:r>
                </w:p>
              </w:tc>
              <w:tc>
                <w:tcPr>
                  <w:tcW w:w="1939" w:type="dxa"/>
                  <w:vAlign w:val="bottom"/>
                  <w:hideMark/>
                </w:tcPr>
                <w:p w:rsidR="003C22D9" w:rsidRPr="009D28E9" w:rsidRDefault="003C22D9" w:rsidP="00836A8B">
                  <w:pPr>
                    <w:rPr>
                      <w:sz w:val="20"/>
                      <w:szCs w:val="20"/>
                      <w:lang w:val="lv-LV"/>
                    </w:rPr>
                  </w:pPr>
                  <w:r w:rsidRPr="009D28E9">
                    <w:rPr>
                      <w:sz w:val="20"/>
                      <w:szCs w:val="20"/>
                      <w:lang w:val="lv-LV"/>
                    </w:rPr>
                    <w:t>ne vairāk par 358</w:t>
                  </w:r>
                </w:p>
              </w:tc>
            </w:tr>
            <w:tr w:rsidR="00836A8B" w:rsidRPr="00736328" w:rsidTr="003C22D9">
              <w:trPr>
                <w:tblCellSpacing w:w="15" w:type="dxa"/>
              </w:trPr>
              <w:tc>
                <w:tcPr>
                  <w:tcW w:w="1365" w:type="dxa"/>
                  <w:vAlign w:val="bottom"/>
                  <w:hideMark/>
                </w:tcPr>
                <w:p w:rsidR="003C22D9" w:rsidRPr="009D28E9" w:rsidRDefault="003C22D9" w:rsidP="00836A8B">
                  <w:pPr>
                    <w:rPr>
                      <w:sz w:val="20"/>
                      <w:szCs w:val="20"/>
                      <w:lang w:val="lv-LV"/>
                    </w:rPr>
                  </w:pPr>
                  <w:r w:rsidRPr="009D28E9">
                    <w:rPr>
                      <w:sz w:val="20"/>
                      <w:szCs w:val="20"/>
                      <w:lang w:val="lv-LV"/>
                    </w:rPr>
                    <w:t>3</w:t>
                  </w:r>
                </w:p>
              </w:tc>
              <w:tc>
                <w:tcPr>
                  <w:tcW w:w="1939" w:type="dxa"/>
                  <w:vAlign w:val="bottom"/>
                  <w:hideMark/>
                </w:tcPr>
                <w:p w:rsidR="003C22D9" w:rsidRPr="009D28E9" w:rsidRDefault="003C22D9" w:rsidP="00836A8B">
                  <w:pPr>
                    <w:rPr>
                      <w:sz w:val="20"/>
                      <w:szCs w:val="20"/>
                      <w:lang w:val="lv-LV"/>
                    </w:rPr>
                  </w:pPr>
                  <w:r w:rsidRPr="009D28E9">
                    <w:rPr>
                      <w:sz w:val="20"/>
                      <w:szCs w:val="20"/>
                      <w:lang w:val="lv-LV"/>
                    </w:rPr>
                    <w:t>ne vairāk par 302</w:t>
                  </w:r>
                </w:p>
              </w:tc>
            </w:tr>
            <w:tr w:rsidR="00836A8B" w:rsidRPr="00736328" w:rsidTr="003C22D9">
              <w:trPr>
                <w:tblCellSpacing w:w="15" w:type="dxa"/>
              </w:trPr>
              <w:tc>
                <w:tcPr>
                  <w:tcW w:w="1365" w:type="dxa"/>
                  <w:vAlign w:val="bottom"/>
                  <w:hideMark/>
                </w:tcPr>
                <w:p w:rsidR="003C22D9" w:rsidRPr="009D28E9" w:rsidRDefault="003C22D9" w:rsidP="00836A8B">
                  <w:pPr>
                    <w:rPr>
                      <w:sz w:val="20"/>
                      <w:szCs w:val="20"/>
                      <w:lang w:val="lv-LV"/>
                    </w:rPr>
                  </w:pPr>
                  <w:r w:rsidRPr="009D28E9">
                    <w:rPr>
                      <w:sz w:val="20"/>
                      <w:szCs w:val="20"/>
                      <w:lang w:val="lv-LV"/>
                    </w:rPr>
                    <w:t>2</w:t>
                  </w:r>
                </w:p>
              </w:tc>
              <w:tc>
                <w:tcPr>
                  <w:tcW w:w="1939" w:type="dxa"/>
                  <w:vAlign w:val="bottom"/>
                  <w:hideMark/>
                </w:tcPr>
                <w:p w:rsidR="003C22D9" w:rsidRPr="009D28E9" w:rsidRDefault="003C22D9" w:rsidP="00836A8B">
                  <w:pPr>
                    <w:rPr>
                      <w:sz w:val="20"/>
                      <w:szCs w:val="20"/>
                      <w:lang w:val="lv-LV"/>
                    </w:rPr>
                  </w:pPr>
                  <w:r w:rsidRPr="009D28E9">
                    <w:rPr>
                      <w:sz w:val="20"/>
                      <w:szCs w:val="20"/>
                      <w:lang w:val="lv-LV"/>
                    </w:rPr>
                    <w:t>ne vairāk par 270</w:t>
                  </w:r>
                </w:p>
              </w:tc>
            </w:tr>
            <w:tr w:rsidR="00836A8B" w:rsidRPr="00736328" w:rsidTr="003C22D9">
              <w:trPr>
                <w:tblCellSpacing w:w="15" w:type="dxa"/>
              </w:trPr>
              <w:tc>
                <w:tcPr>
                  <w:tcW w:w="1365" w:type="dxa"/>
                  <w:vAlign w:val="bottom"/>
                  <w:hideMark/>
                </w:tcPr>
                <w:p w:rsidR="003C22D9" w:rsidRPr="009D28E9" w:rsidRDefault="003C22D9" w:rsidP="00836A8B">
                  <w:pPr>
                    <w:rPr>
                      <w:sz w:val="20"/>
                      <w:szCs w:val="20"/>
                      <w:lang w:val="lv-LV"/>
                    </w:rPr>
                  </w:pPr>
                  <w:r w:rsidRPr="009D28E9">
                    <w:rPr>
                      <w:sz w:val="20"/>
                      <w:szCs w:val="20"/>
                      <w:lang w:val="lv-LV"/>
                    </w:rPr>
                    <w:t>1</w:t>
                  </w:r>
                </w:p>
              </w:tc>
              <w:tc>
                <w:tcPr>
                  <w:tcW w:w="1939" w:type="dxa"/>
                  <w:vAlign w:val="bottom"/>
                  <w:hideMark/>
                </w:tcPr>
                <w:p w:rsidR="003C22D9" w:rsidRPr="009D28E9" w:rsidRDefault="003C22D9" w:rsidP="00836A8B">
                  <w:pPr>
                    <w:rPr>
                      <w:sz w:val="20"/>
                      <w:szCs w:val="20"/>
                      <w:lang w:val="lv-LV"/>
                    </w:rPr>
                  </w:pPr>
                  <w:r w:rsidRPr="009D28E9">
                    <w:rPr>
                      <w:sz w:val="20"/>
                      <w:szCs w:val="20"/>
                      <w:lang w:val="lv-LV"/>
                    </w:rPr>
                    <w:t>ne vairāk par 224</w:t>
                  </w:r>
                  <w:r w:rsidR="00736328" w:rsidRPr="009D28E9">
                    <w:rPr>
                      <w:rStyle w:val="FootnoteReference"/>
                      <w:sz w:val="20"/>
                      <w:szCs w:val="20"/>
                      <w:lang w:val="lv-LV"/>
                    </w:rPr>
                    <w:footnoteReference w:id="7"/>
                  </w:r>
                </w:p>
              </w:tc>
            </w:tr>
          </w:tbl>
          <w:p w:rsidR="002668A4" w:rsidRPr="00736328" w:rsidRDefault="002668A4" w:rsidP="005F449C">
            <w:pPr>
              <w:rPr>
                <w:sz w:val="20"/>
                <w:szCs w:val="20"/>
                <w:lang w:val="lv-LV" w:eastAsia="lv-LV"/>
              </w:rPr>
            </w:pPr>
          </w:p>
        </w:tc>
        <w:tc>
          <w:tcPr>
            <w:tcW w:w="3799" w:type="dxa"/>
          </w:tcPr>
          <w:tbl>
            <w:tblPr>
              <w:tblW w:w="475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1412"/>
              <w:gridCol w:w="1987"/>
            </w:tblGrid>
            <w:tr w:rsidR="003C22D9" w:rsidRPr="00736328" w:rsidTr="007C6482">
              <w:trPr>
                <w:tblCellSpacing w:w="15" w:type="dxa"/>
              </w:trPr>
              <w:tc>
                <w:tcPr>
                  <w:tcW w:w="1365" w:type="dxa"/>
                  <w:vAlign w:val="center"/>
                  <w:hideMark/>
                </w:tcPr>
                <w:p w:rsidR="003C22D9" w:rsidRPr="009D28E9" w:rsidRDefault="003C22D9" w:rsidP="007C6482">
                  <w:pPr>
                    <w:rPr>
                      <w:b/>
                      <w:sz w:val="19"/>
                      <w:szCs w:val="19"/>
                      <w:lang w:val="lv-LV"/>
                    </w:rPr>
                  </w:pPr>
                  <w:r w:rsidRPr="009D28E9">
                    <w:rPr>
                      <w:b/>
                      <w:sz w:val="19"/>
                      <w:szCs w:val="19"/>
                      <w:lang w:val="lv-LV"/>
                    </w:rPr>
                    <w:lastRenderedPageBreak/>
                    <w:t>Mēnešalgu grupa</w:t>
                  </w:r>
                </w:p>
              </w:tc>
              <w:tc>
                <w:tcPr>
                  <w:tcW w:w="1939" w:type="dxa"/>
                  <w:vAlign w:val="center"/>
                  <w:hideMark/>
                </w:tcPr>
                <w:p w:rsidR="003C22D9" w:rsidRPr="009D28E9" w:rsidRDefault="00AA1C8F" w:rsidP="003C22D9">
                  <w:pPr>
                    <w:rPr>
                      <w:sz w:val="19"/>
                      <w:szCs w:val="19"/>
                      <w:lang w:val="lv-LV"/>
                    </w:rPr>
                  </w:pPr>
                  <w:r w:rsidRPr="009D28E9">
                    <w:rPr>
                      <w:b/>
                      <w:bCs/>
                      <w:sz w:val="19"/>
                      <w:szCs w:val="19"/>
                      <w:lang w:val="lv-LV"/>
                    </w:rPr>
                    <w:t>Mēnešalgas maksimālais apmērs (</w:t>
                  </w:r>
                  <w:r w:rsidRPr="009D28E9">
                    <w:rPr>
                      <w:b/>
                      <w:bCs/>
                      <w:i/>
                      <w:sz w:val="19"/>
                      <w:szCs w:val="19"/>
                      <w:lang w:val="lv-LV"/>
                    </w:rPr>
                    <w:t>euro</w:t>
                  </w:r>
                  <w:r w:rsidRPr="009D28E9">
                    <w:rPr>
                      <w:b/>
                      <w:bCs/>
                      <w:sz w:val="19"/>
                      <w:szCs w:val="19"/>
                      <w:lang w:val="lv-LV"/>
                    </w:rPr>
                    <w:t>)</w:t>
                  </w:r>
                </w:p>
              </w:tc>
            </w:tr>
            <w:tr w:rsidR="003C22D9" w:rsidRPr="00736328" w:rsidTr="007C6482">
              <w:trPr>
                <w:tblCellSpacing w:w="15" w:type="dxa"/>
              </w:trPr>
              <w:tc>
                <w:tcPr>
                  <w:tcW w:w="1365" w:type="dxa"/>
                  <w:vAlign w:val="bottom"/>
                  <w:hideMark/>
                </w:tcPr>
                <w:p w:rsidR="003C22D9" w:rsidRPr="009D28E9" w:rsidRDefault="003C22D9" w:rsidP="007C6482">
                  <w:pPr>
                    <w:rPr>
                      <w:sz w:val="20"/>
                      <w:szCs w:val="20"/>
                      <w:lang w:val="lv-LV"/>
                    </w:rPr>
                  </w:pPr>
                  <w:r w:rsidRPr="009D28E9">
                    <w:rPr>
                      <w:sz w:val="20"/>
                      <w:szCs w:val="20"/>
                      <w:lang w:val="lv-LV"/>
                    </w:rPr>
                    <w:t>16</w:t>
                  </w:r>
                </w:p>
              </w:tc>
              <w:tc>
                <w:tcPr>
                  <w:tcW w:w="1939" w:type="dxa"/>
                  <w:vAlign w:val="bottom"/>
                  <w:hideMark/>
                </w:tcPr>
                <w:p w:rsidR="003C22D9" w:rsidRPr="009D28E9" w:rsidRDefault="003C22D9" w:rsidP="00836A8B">
                  <w:pPr>
                    <w:rPr>
                      <w:sz w:val="20"/>
                      <w:szCs w:val="20"/>
                      <w:lang w:val="lv-LV"/>
                    </w:rPr>
                  </w:pPr>
                  <w:r w:rsidRPr="009D28E9">
                    <w:rPr>
                      <w:sz w:val="20"/>
                      <w:szCs w:val="20"/>
                      <w:lang w:val="lv-LV"/>
                    </w:rPr>
                    <w:t xml:space="preserve">ne vairāk par </w:t>
                  </w:r>
                  <w:r w:rsidR="00836A8B" w:rsidRPr="009D28E9">
                    <w:rPr>
                      <w:sz w:val="20"/>
                      <w:szCs w:val="20"/>
                      <w:lang w:val="lv-LV"/>
                    </w:rPr>
                    <w:t>2441</w:t>
                  </w:r>
                </w:p>
              </w:tc>
            </w:tr>
            <w:tr w:rsidR="003C22D9" w:rsidRPr="00736328" w:rsidTr="007C6482">
              <w:trPr>
                <w:tblCellSpacing w:w="15" w:type="dxa"/>
              </w:trPr>
              <w:tc>
                <w:tcPr>
                  <w:tcW w:w="1365" w:type="dxa"/>
                  <w:vAlign w:val="bottom"/>
                  <w:hideMark/>
                </w:tcPr>
                <w:p w:rsidR="003C22D9" w:rsidRPr="009D28E9" w:rsidRDefault="003C22D9" w:rsidP="007C6482">
                  <w:pPr>
                    <w:rPr>
                      <w:sz w:val="20"/>
                      <w:szCs w:val="20"/>
                      <w:lang w:val="lv-LV"/>
                    </w:rPr>
                  </w:pPr>
                  <w:r w:rsidRPr="009D28E9">
                    <w:rPr>
                      <w:sz w:val="20"/>
                      <w:szCs w:val="20"/>
                      <w:lang w:val="lv-LV"/>
                    </w:rPr>
                    <w:t>15</w:t>
                  </w:r>
                </w:p>
              </w:tc>
              <w:tc>
                <w:tcPr>
                  <w:tcW w:w="1939" w:type="dxa"/>
                  <w:vAlign w:val="bottom"/>
                  <w:hideMark/>
                </w:tcPr>
                <w:p w:rsidR="003C22D9" w:rsidRPr="009D28E9" w:rsidRDefault="003C22D9" w:rsidP="00836A8B">
                  <w:pPr>
                    <w:rPr>
                      <w:sz w:val="20"/>
                      <w:szCs w:val="20"/>
                      <w:lang w:val="lv-LV"/>
                    </w:rPr>
                  </w:pPr>
                  <w:r w:rsidRPr="009D28E9">
                    <w:rPr>
                      <w:sz w:val="20"/>
                      <w:szCs w:val="20"/>
                      <w:lang w:val="lv-LV"/>
                    </w:rPr>
                    <w:t xml:space="preserve">ne vairāk par </w:t>
                  </w:r>
                  <w:r w:rsidR="00836A8B" w:rsidRPr="009D28E9">
                    <w:rPr>
                      <w:sz w:val="20"/>
                      <w:szCs w:val="20"/>
                      <w:lang w:val="lv-LV"/>
                    </w:rPr>
                    <w:t>2353</w:t>
                  </w:r>
                </w:p>
              </w:tc>
            </w:tr>
            <w:tr w:rsidR="003C22D9" w:rsidRPr="00736328" w:rsidTr="007C6482">
              <w:trPr>
                <w:tblCellSpacing w:w="15" w:type="dxa"/>
              </w:trPr>
              <w:tc>
                <w:tcPr>
                  <w:tcW w:w="1365" w:type="dxa"/>
                  <w:vAlign w:val="bottom"/>
                  <w:hideMark/>
                </w:tcPr>
                <w:p w:rsidR="003C22D9" w:rsidRPr="009D28E9" w:rsidRDefault="003C22D9" w:rsidP="007C6482">
                  <w:pPr>
                    <w:rPr>
                      <w:sz w:val="20"/>
                      <w:szCs w:val="20"/>
                      <w:lang w:val="lv-LV"/>
                    </w:rPr>
                  </w:pPr>
                  <w:r w:rsidRPr="009D28E9">
                    <w:rPr>
                      <w:sz w:val="20"/>
                      <w:szCs w:val="20"/>
                      <w:lang w:val="lv-LV"/>
                    </w:rPr>
                    <w:t>14</w:t>
                  </w:r>
                </w:p>
              </w:tc>
              <w:tc>
                <w:tcPr>
                  <w:tcW w:w="1939" w:type="dxa"/>
                  <w:vAlign w:val="bottom"/>
                  <w:hideMark/>
                </w:tcPr>
                <w:p w:rsidR="003C22D9" w:rsidRPr="009D28E9" w:rsidRDefault="003C22D9" w:rsidP="00836A8B">
                  <w:pPr>
                    <w:rPr>
                      <w:sz w:val="20"/>
                      <w:szCs w:val="20"/>
                      <w:lang w:val="lv-LV"/>
                    </w:rPr>
                  </w:pPr>
                  <w:r w:rsidRPr="009D28E9">
                    <w:rPr>
                      <w:sz w:val="20"/>
                      <w:szCs w:val="20"/>
                      <w:lang w:val="lv-LV"/>
                    </w:rPr>
                    <w:t xml:space="preserve">ne vairāk par </w:t>
                  </w:r>
                  <w:r w:rsidR="00836A8B" w:rsidRPr="009D28E9">
                    <w:rPr>
                      <w:sz w:val="20"/>
                      <w:szCs w:val="20"/>
                      <w:lang w:val="lv-LV"/>
                    </w:rPr>
                    <w:t>2264</w:t>
                  </w:r>
                </w:p>
              </w:tc>
            </w:tr>
            <w:tr w:rsidR="003C22D9" w:rsidRPr="00736328" w:rsidTr="007C6482">
              <w:trPr>
                <w:tblCellSpacing w:w="15" w:type="dxa"/>
              </w:trPr>
              <w:tc>
                <w:tcPr>
                  <w:tcW w:w="1365" w:type="dxa"/>
                  <w:vAlign w:val="bottom"/>
                  <w:hideMark/>
                </w:tcPr>
                <w:p w:rsidR="003C22D9" w:rsidRPr="009D28E9" w:rsidRDefault="003C22D9" w:rsidP="007C6482">
                  <w:pPr>
                    <w:rPr>
                      <w:sz w:val="20"/>
                      <w:szCs w:val="20"/>
                      <w:lang w:val="lv-LV"/>
                    </w:rPr>
                  </w:pPr>
                  <w:r w:rsidRPr="009D28E9">
                    <w:rPr>
                      <w:sz w:val="20"/>
                      <w:szCs w:val="20"/>
                      <w:lang w:val="lv-LV"/>
                    </w:rPr>
                    <w:t>13</w:t>
                  </w:r>
                </w:p>
              </w:tc>
              <w:tc>
                <w:tcPr>
                  <w:tcW w:w="1939" w:type="dxa"/>
                  <w:vAlign w:val="bottom"/>
                  <w:hideMark/>
                </w:tcPr>
                <w:p w:rsidR="003C22D9" w:rsidRPr="009D28E9" w:rsidRDefault="003C22D9" w:rsidP="00836A8B">
                  <w:pPr>
                    <w:rPr>
                      <w:sz w:val="20"/>
                      <w:szCs w:val="20"/>
                      <w:lang w:val="lv-LV"/>
                    </w:rPr>
                  </w:pPr>
                  <w:r w:rsidRPr="009D28E9">
                    <w:rPr>
                      <w:sz w:val="20"/>
                      <w:szCs w:val="20"/>
                      <w:lang w:val="lv-LV"/>
                    </w:rPr>
                    <w:t xml:space="preserve">ne vairāk par </w:t>
                  </w:r>
                  <w:r w:rsidR="00836A8B" w:rsidRPr="009D28E9">
                    <w:rPr>
                      <w:sz w:val="20"/>
                      <w:szCs w:val="20"/>
                      <w:lang w:val="lv-LV"/>
                    </w:rPr>
                    <w:t>1917</w:t>
                  </w:r>
                </w:p>
              </w:tc>
            </w:tr>
            <w:tr w:rsidR="003C22D9" w:rsidRPr="00736328" w:rsidTr="007C6482">
              <w:trPr>
                <w:tblCellSpacing w:w="15" w:type="dxa"/>
              </w:trPr>
              <w:tc>
                <w:tcPr>
                  <w:tcW w:w="1365" w:type="dxa"/>
                  <w:vAlign w:val="bottom"/>
                  <w:hideMark/>
                </w:tcPr>
                <w:p w:rsidR="003C22D9" w:rsidRPr="009D28E9" w:rsidRDefault="003C22D9" w:rsidP="007C6482">
                  <w:pPr>
                    <w:rPr>
                      <w:sz w:val="20"/>
                      <w:szCs w:val="20"/>
                      <w:lang w:val="lv-LV"/>
                    </w:rPr>
                  </w:pPr>
                  <w:r w:rsidRPr="009D28E9">
                    <w:rPr>
                      <w:sz w:val="20"/>
                      <w:szCs w:val="20"/>
                      <w:lang w:val="lv-LV"/>
                    </w:rPr>
                    <w:t>12</w:t>
                  </w:r>
                </w:p>
              </w:tc>
              <w:tc>
                <w:tcPr>
                  <w:tcW w:w="1939" w:type="dxa"/>
                  <w:vAlign w:val="bottom"/>
                  <w:hideMark/>
                </w:tcPr>
                <w:p w:rsidR="003C22D9" w:rsidRPr="009D28E9" w:rsidRDefault="003C22D9" w:rsidP="00836A8B">
                  <w:pPr>
                    <w:rPr>
                      <w:sz w:val="20"/>
                      <w:szCs w:val="20"/>
                      <w:lang w:val="lv-LV"/>
                    </w:rPr>
                  </w:pPr>
                  <w:r w:rsidRPr="009D28E9">
                    <w:rPr>
                      <w:sz w:val="20"/>
                      <w:szCs w:val="20"/>
                      <w:lang w:val="lv-LV"/>
                    </w:rPr>
                    <w:t>ne vairāk par 1</w:t>
                  </w:r>
                  <w:r w:rsidR="00836A8B" w:rsidRPr="009D28E9">
                    <w:rPr>
                      <w:sz w:val="20"/>
                      <w:szCs w:val="20"/>
                      <w:lang w:val="lv-LV"/>
                    </w:rPr>
                    <w:t>647</w:t>
                  </w:r>
                </w:p>
              </w:tc>
            </w:tr>
            <w:tr w:rsidR="003C22D9" w:rsidRPr="00736328" w:rsidTr="007C6482">
              <w:trPr>
                <w:tblCellSpacing w:w="15" w:type="dxa"/>
              </w:trPr>
              <w:tc>
                <w:tcPr>
                  <w:tcW w:w="1365" w:type="dxa"/>
                  <w:vAlign w:val="bottom"/>
                  <w:hideMark/>
                </w:tcPr>
                <w:p w:rsidR="003C22D9" w:rsidRPr="009D28E9" w:rsidRDefault="003C22D9" w:rsidP="007C6482">
                  <w:pPr>
                    <w:rPr>
                      <w:sz w:val="20"/>
                      <w:szCs w:val="20"/>
                      <w:lang w:val="lv-LV"/>
                    </w:rPr>
                  </w:pPr>
                  <w:r w:rsidRPr="009D28E9">
                    <w:rPr>
                      <w:sz w:val="20"/>
                      <w:szCs w:val="20"/>
                      <w:lang w:val="lv-LV"/>
                    </w:rPr>
                    <w:t>11</w:t>
                  </w:r>
                </w:p>
              </w:tc>
              <w:tc>
                <w:tcPr>
                  <w:tcW w:w="1939" w:type="dxa"/>
                  <w:vAlign w:val="bottom"/>
                  <w:hideMark/>
                </w:tcPr>
                <w:p w:rsidR="003C22D9" w:rsidRPr="009D28E9" w:rsidRDefault="003C22D9" w:rsidP="00836A8B">
                  <w:pPr>
                    <w:rPr>
                      <w:sz w:val="20"/>
                      <w:szCs w:val="20"/>
                      <w:lang w:val="lv-LV"/>
                    </w:rPr>
                  </w:pPr>
                  <w:r w:rsidRPr="009D28E9">
                    <w:rPr>
                      <w:sz w:val="20"/>
                      <w:szCs w:val="20"/>
                      <w:lang w:val="lv-LV"/>
                    </w:rPr>
                    <w:t xml:space="preserve">ne vairāk par </w:t>
                  </w:r>
                  <w:r w:rsidR="00836A8B" w:rsidRPr="009D28E9">
                    <w:rPr>
                      <w:sz w:val="20"/>
                      <w:szCs w:val="20"/>
                      <w:lang w:val="lv-LV"/>
                    </w:rPr>
                    <w:t>1382</w:t>
                  </w:r>
                </w:p>
              </w:tc>
            </w:tr>
            <w:tr w:rsidR="003C22D9" w:rsidRPr="00736328" w:rsidTr="007C6482">
              <w:trPr>
                <w:tblCellSpacing w:w="15" w:type="dxa"/>
              </w:trPr>
              <w:tc>
                <w:tcPr>
                  <w:tcW w:w="1365" w:type="dxa"/>
                  <w:vAlign w:val="bottom"/>
                  <w:hideMark/>
                </w:tcPr>
                <w:p w:rsidR="003C22D9" w:rsidRPr="009D28E9" w:rsidRDefault="003C22D9" w:rsidP="007C6482">
                  <w:pPr>
                    <w:rPr>
                      <w:sz w:val="20"/>
                      <w:szCs w:val="20"/>
                      <w:lang w:val="lv-LV"/>
                    </w:rPr>
                  </w:pPr>
                  <w:r w:rsidRPr="009D28E9">
                    <w:rPr>
                      <w:sz w:val="20"/>
                      <w:szCs w:val="20"/>
                      <w:lang w:val="lv-LV"/>
                    </w:rPr>
                    <w:t>10</w:t>
                  </w:r>
                </w:p>
              </w:tc>
              <w:tc>
                <w:tcPr>
                  <w:tcW w:w="1939" w:type="dxa"/>
                  <w:vAlign w:val="bottom"/>
                  <w:hideMark/>
                </w:tcPr>
                <w:p w:rsidR="003C22D9" w:rsidRPr="009D28E9" w:rsidRDefault="003C22D9" w:rsidP="00836A8B">
                  <w:pPr>
                    <w:rPr>
                      <w:sz w:val="20"/>
                      <w:szCs w:val="20"/>
                      <w:lang w:val="lv-LV"/>
                    </w:rPr>
                  </w:pPr>
                  <w:r w:rsidRPr="009D28E9">
                    <w:rPr>
                      <w:sz w:val="20"/>
                      <w:szCs w:val="20"/>
                      <w:lang w:val="lv-LV"/>
                    </w:rPr>
                    <w:t xml:space="preserve">ne vairāk par </w:t>
                  </w:r>
                  <w:r w:rsidR="00836A8B" w:rsidRPr="009D28E9">
                    <w:rPr>
                      <w:sz w:val="20"/>
                      <w:szCs w:val="20"/>
                      <w:lang w:val="lv-LV"/>
                    </w:rPr>
                    <w:t>1174</w:t>
                  </w:r>
                </w:p>
              </w:tc>
            </w:tr>
            <w:tr w:rsidR="003C22D9" w:rsidRPr="00736328" w:rsidTr="007C6482">
              <w:trPr>
                <w:tblCellSpacing w:w="15" w:type="dxa"/>
              </w:trPr>
              <w:tc>
                <w:tcPr>
                  <w:tcW w:w="1365" w:type="dxa"/>
                  <w:vAlign w:val="bottom"/>
                  <w:hideMark/>
                </w:tcPr>
                <w:p w:rsidR="003C22D9" w:rsidRPr="009D28E9" w:rsidRDefault="003C22D9" w:rsidP="007C6482">
                  <w:pPr>
                    <w:rPr>
                      <w:sz w:val="20"/>
                      <w:szCs w:val="20"/>
                      <w:lang w:val="lv-LV"/>
                    </w:rPr>
                  </w:pPr>
                  <w:r w:rsidRPr="009D28E9">
                    <w:rPr>
                      <w:sz w:val="20"/>
                      <w:szCs w:val="20"/>
                      <w:lang w:val="lv-LV"/>
                    </w:rPr>
                    <w:t>9</w:t>
                  </w:r>
                </w:p>
              </w:tc>
              <w:tc>
                <w:tcPr>
                  <w:tcW w:w="1939" w:type="dxa"/>
                  <w:vAlign w:val="bottom"/>
                  <w:hideMark/>
                </w:tcPr>
                <w:p w:rsidR="003C22D9" w:rsidRPr="009D28E9" w:rsidRDefault="003C22D9" w:rsidP="00836A8B">
                  <w:pPr>
                    <w:rPr>
                      <w:sz w:val="20"/>
                      <w:szCs w:val="20"/>
                      <w:lang w:val="lv-LV"/>
                    </w:rPr>
                  </w:pPr>
                  <w:r w:rsidRPr="009D28E9">
                    <w:rPr>
                      <w:sz w:val="20"/>
                      <w:szCs w:val="20"/>
                      <w:lang w:val="lv-LV"/>
                    </w:rPr>
                    <w:t xml:space="preserve">ne vairāk par </w:t>
                  </w:r>
                  <w:r w:rsidR="00836A8B" w:rsidRPr="009D28E9">
                    <w:rPr>
                      <w:sz w:val="20"/>
                      <w:szCs w:val="20"/>
                      <w:lang w:val="lv-LV"/>
                    </w:rPr>
                    <w:t>994</w:t>
                  </w:r>
                </w:p>
              </w:tc>
            </w:tr>
            <w:tr w:rsidR="003C22D9" w:rsidRPr="00736328" w:rsidTr="007C6482">
              <w:trPr>
                <w:tblCellSpacing w:w="15" w:type="dxa"/>
              </w:trPr>
              <w:tc>
                <w:tcPr>
                  <w:tcW w:w="1365" w:type="dxa"/>
                  <w:vAlign w:val="bottom"/>
                  <w:hideMark/>
                </w:tcPr>
                <w:p w:rsidR="003C22D9" w:rsidRPr="009D28E9" w:rsidRDefault="003C22D9" w:rsidP="007C6482">
                  <w:pPr>
                    <w:rPr>
                      <w:sz w:val="20"/>
                      <w:szCs w:val="20"/>
                      <w:lang w:val="lv-LV"/>
                    </w:rPr>
                  </w:pPr>
                  <w:r w:rsidRPr="009D28E9">
                    <w:rPr>
                      <w:sz w:val="20"/>
                      <w:szCs w:val="20"/>
                      <w:lang w:val="lv-LV"/>
                    </w:rPr>
                    <w:t>8</w:t>
                  </w:r>
                </w:p>
              </w:tc>
              <w:tc>
                <w:tcPr>
                  <w:tcW w:w="1939" w:type="dxa"/>
                  <w:vAlign w:val="bottom"/>
                  <w:hideMark/>
                </w:tcPr>
                <w:p w:rsidR="003C22D9" w:rsidRPr="009D28E9" w:rsidRDefault="003C22D9" w:rsidP="00836A8B">
                  <w:pPr>
                    <w:rPr>
                      <w:sz w:val="20"/>
                      <w:szCs w:val="20"/>
                      <w:lang w:val="lv-LV"/>
                    </w:rPr>
                  </w:pPr>
                  <w:r w:rsidRPr="009D28E9">
                    <w:rPr>
                      <w:sz w:val="20"/>
                      <w:szCs w:val="20"/>
                      <w:lang w:val="lv-LV"/>
                    </w:rPr>
                    <w:t xml:space="preserve">ne vairāk par </w:t>
                  </w:r>
                  <w:r w:rsidR="00836A8B" w:rsidRPr="009D28E9">
                    <w:rPr>
                      <w:sz w:val="20"/>
                      <w:szCs w:val="20"/>
                      <w:lang w:val="lv-LV"/>
                    </w:rPr>
                    <w:t>874</w:t>
                  </w:r>
                </w:p>
              </w:tc>
            </w:tr>
            <w:tr w:rsidR="003C22D9" w:rsidRPr="00736328" w:rsidTr="007C6482">
              <w:trPr>
                <w:tblCellSpacing w:w="15" w:type="dxa"/>
              </w:trPr>
              <w:tc>
                <w:tcPr>
                  <w:tcW w:w="1365" w:type="dxa"/>
                  <w:vAlign w:val="bottom"/>
                  <w:hideMark/>
                </w:tcPr>
                <w:p w:rsidR="003C22D9" w:rsidRPr="009D28E9" w:rsidRDefault="003C22D9" w:rsidP="007C6482">
                  <w:pPr>
                    <w:rPr>
                      <w:sz w:val="20"/>
                      <w:szCs w:val="20"/>
                      <w:lang w:val="lv-LV"/>
                    </w:rPr>
                  </w:pPr>
                  <w:r w:rsidRPr="009D28E9">
                    <w:rPr>
                      <w:sz w:val="20"/>
                      <w:szCs w:val="20"/>
                      <w:lang w:val="lv-LV"/>
                    </w:rPr>
                    <w:t>7</w:t>
                  </w:r>
                </w:p>
              </w:tc>
              <w:tc>
                <w:tcPr>
                  <w:tcW w:w="1939" w:type="dxa"/>
                  <w:vAlign w:val="bottom"/>
                  <w:hideMark/>
                </w:tcPr>
                <w:p w:rsidR="003C22D9" w:rsidRPr="009D28E9" w:rsidRDefault="003C22D9" w:rsidP="00836A8B">
                  <w:pPr>
                    <w:rPr>
                      <w:sz w:val="20"/>
                      <w:szCs w:val="20"/>
                      <w:lang w:val="lv-LV"/>
                    </w:rPr>
                  </w:pPr>
                  <w:r w:rsidRPr="009D28E9">
                    <w:rPr>
                      <w:sz w:val="20"/>
                      <w:szCs w:val="20"/>
                      <w:lang w:val="lv-LV"/>
                    </w:rPr>
                    <w:t xml:space="preserve">ne vairāk par </w:t>
                  </w:r>
                  <w:r w:rsidR="00836A8B" w:rsidRPr="009D28E9">
                    <w:rPr>
                      <w:sz w:val="20"/>
                      <w:szCs w:val="20"/>
                      <w:lang w:val="lv-LV"/>
                    </w:rPr>
                    <w:t>788</w:t>
                  </w:r>
                </w:p>
              </w:tc>
            </w:tr>
            <w:tr w:rsidR="003C22D9" w:rsidRPr="00736328" w:rsidTr="007C6482">
              <w:trPr>
                <w:tblCellSpacing w:w="15" w:type="dxa"/>
              </w:trPr>
              <w:tc>
                <w:tcPr>
                  <w:tcW w:w="1365" w:type="dxa"/>
                  <w:vAlign w:val="bottom"/>
                  <w:hideMark/>
                </w:tcPr>
                <w:p w:rsidR="003C22D9" w:rsidRPr="009D28E9" w:rsidRDefault="003C22D9" w:rsidP="007C6482">
                  <w:pPr>
                    <w:rPr>
                      <w:sz w:val="20"/>
                      <w:szCs w:val="20"/>
                      <w:lang w:val="lv-LV"/>
                    </w:rPr>
                  </w:pPr>
                  <w:r w:rsidRPr="009D28E9">
                    <w:rPr>
                      <w:sz w:val="20"/>
                      <w:szCs w:val="20"/>
                      <w:lang w:val="lv-LV"/>
                    </w:rPr>
                    <w:lastRenderedPageBreak/>
                    <w:t>6</w:t>
                  </w:r>
                </w:p>
              </w:tc>
              <w:tc>
                <w:tcPr>
                  <w:tcW w:w="1939" w:type="dxa"/>
                  <w:vAlign w:val="bottom"/>
                  <w:hideMark/>
                </w:tcPr>
                <w:p w:rsidR="003C22D9" w:rsidRPr="009D28E9" w:rsidRDefault="003C22D9" w:rsidP="00836A8B">
                  <w:pPr>
                    <w:rPr>
                      <w:sz w:val="20"/>
                      <w:szCs w:val="20"/>
                      <w:lang w:val="lv-LV"/>
                    </w:rPr>
                  </w:pPr>
                  <w:r w:rsidRPr="009D28E9">
                    <w:rPr>
                      <w:sz w:val="20"/>
                      <w:szCs w:val="20"/>
                      <w:lang w:val="lv-LV"/>
                    </w:rPr>
                    <w:t xml:space="preserve">ne vairāk par </w:t>
                  </w:r>
                  <w:r w:rsidR="00836A8B" w:rsidRPr="009D28E9">
                    <w:rPr>
                      <w:sz w:val="20"/>
                      <w:szCs w:val="20"/>
                      <w:lang w:val="lv-LV"/>
                    </w:rPr>
                    <w:t>700</w:t>
                  </w:r>
                </w:p>
              </w:tc>
            </w:tr>
            <w:tr w:rsidR="003C22D9" w:rsidRPr="00736328" w:rsidTr="007C6482">
              <w:trPr>
                <w:tblCellSpacing w:w="15" w:type="dxa"/>
              </w:trPr>
              <w:tc>
                <w:tcPr>
                  <w:tcW w:w="1365" w:type="dxa"/>
                  <w:vAlign w:val="bottom"/>
                  <w:hideMark/>
                </w:tcPr>
                <w:p w:rsidR="003C22D9" w:rsidRPr="009D28E9" w:rsidRDefault="003C22D9" w:rsidP="007C6482">
                  <w:pPr>
                    <w:rPr>
                      <w:sz w:val="20"/>
                      <w:szCs w:val="20"/>
                      <w:lang w:val="lv-LV"/>
                    </w:rPr>
                  </w:pPr>
                  <w:r w:rsidRPr="009D28E9">
                    <w:rPr>
                      <w:sz w:val="20"/>
                      <w:szCs w:val="20"/>
                      <w:lang w:val="lv-LV"/>
                    </w:rPr>
                    <w:t>5</w:t>
                  </w:r>
                </w:p>
              </w:tc>
              <w:tc>
                <w:tcPr>
                  <w:tcW w:w="1939" w:type="dxa"/>
                  <w:vAlign w:val="bottom"/>
                  <w:hideMark/>
                </w:tcPr>
                <w:p w:rsidR="003C22D9" w:rsidRPr="009D28E9" w:rsidRDefault="003C22D9" w:rsidP="00836A8B">
                  <w:pPr>
                    <w:rPr>
                      <w:sz w:val="20"/>
                      <w:szCs w:val="20"/>
                      <w:lang w:val="lv-LV"/>
                    </w:rPr>
                  </w:pPr>
                  <w:r w:rsidRPr="009D28E9">
                    <w:rPr>
                      <w:sz w:val="20"/>
                      <w:szCs w:val="20"/>
                      <w:lang w:val="lv-LV"/>
                    </w:rPr>
                    <w:t xml:space="preserve">ne vairāk par </w:t>
                  </w:r>
                  <w:r w:rsidR="00836A8B" w:rsidRPr="009D28E9">
                    <w:rPr>
                      <w:sz w:val="20"/>
                      <w:szCs w:val="20"/>
                      <w:lang w:val="lv-LV"/>
                    </w:rPr>
                    <w:t>620</w:t>
                  </w:r>
                </w:p>
              </w:tc>
            </w:tr>
            <w:tr w:rsidR="003C22D9" w:rsidRPr="00736328" w:rsidTr="007C6482">
              <w:trPr>
                <w:tblCellSpacing w:w="15" w:type="dxa"/>
              </w:trPr>
              <w:tc>
                <w:tcPr>
                  <w:tcW w:w="1365" w:type="dxa"/>
                  <w:vAlign w:val="bottom"/>
                  <w:hideMark/>
                </w:tcPr>
                <w:p w:rsidR="003C22D9" w:rsidRPr="009D28E9" w:rsidRDefault="003C22D9" w:rsidP="007C6482">
                  <w:pPr>
                    <w:rPr>
                      <w:sz w:val="20"/>
                      <w:szCs w:val="20"/>
                      <w:lang w:val="lv-LV"/>
                    </w:rPr>
                  </w:pPr>
                  <w:r w:rsidRPr="009D28E9">
                    <w:rPr>
                      <w:sz w:val="20"/>
                      <w:szCs w:val="20"/>
                      <w:lang w:val="lv-LV"/>
                    </w:rPr>
                    <w:t>4</w:t>
                  </w:r>
                </w:p>
              </w:tc>
              <w:tc>
                <w:tcPr>
                  <w:tcW w:w="1939" w:type="dxa"/>
                  <w:vAlign w:val="bottom"/>
                  <w:hideMark/>
                </w:tcPr>
                <w:p w:rsidR="003C22D9" w:rsidRPr="009D28E9" w:rsidRDefault="003C22D9" w:rsidP="00836A8B">
                  <w:pPr>
                    <w:rPr>
                      <w:sz w:val="20"/>
                      <w:szCs w:val="20"/>
                      <w:lang w:val="lv-LV"/>
                    </w:rPr>
                  </w:pPr>
                  <w:r w:rsidRPr="009D28E9">
                    <w:rPr>
                      <w:sz w:val="20"/>
                      <w:szCs w:val="20"/>
                      <w:lang w:val="lv-LV"/>
                    </w:rPr>
                    <w:t xml:space="preserve">ne vairāk par </w:t>
                  </w:r>
                  <w:r w:rsidR="00836A8B" w:rsidRPr="009D28E9">
                    <w:rPr>
                      <w:sz w:val="20"/>
                      <w:szCs w:val="20"/>
                      <w:lang w:val="lv-LV"/>
                    </w:rPr>
                    <w:t>548</w:t>
                  </w:r>
                </w:p>
              </w:tc>
            </w:tr>
            <w:tr w:rsidR="003C22D9" w:rsidRPr="00736328" w:rsidTr="007C6482">
              <w:trPr>
                <w:tblCellSpacing w:w="15" w:type="dxa"/>
              </w:trPr>
              <w:tc>
                <w:tcPr>
                  <w:tcW w:w="1365" w:type="dxa"/>
                  <w:vAlign w:val="bottom"/>
                  <w:hideMark/>
                </w:tcPr>
                <w:p w:rsidR="003C22D9" w:rsidRPr="009D28E9" w:rsidRDefault="003C22D9" w:rsidP="007C6482">
                  <w:pPr>
                    <w:rPr>
                      <w:sz w:val="20"/>
                      <w:szCs w:val="20"/>
                      <w:lang w:val="lv-LV"/>
                    </w:rPr>
                  </w:pPr>
                  <w:r w:rsidRPr="009D28E9">
                    <w:rPr>
                      <w:sz w:val="20"/>
                      <w:szCs w:val="20"/>
                      <w:lang w:val="lv-LV"/>
                    </w:rPr>
                    <w:t>3</w:t>
                  </w:r>
                </w:p>
              </w:tc>
              <w:tc>
                <w:tcPr>
                  <w:tcW w:w="1939" w:type="dxa"/>
                  <w:vAlign w:val="bottom"/>
                  <w:hideMark/>
                </w:tcPr>
                <w:p w:rsidR="003C22D9" w:rsidRPr="009D28E9" w:rsidRDefault="003C22D9" w:rsidP="00836A8B">
                  <w:pPr>
                    <w:rPr>
                      <w:sz w:val="20"/>
                      <w:szCs w:val="20"/>
                      <w:lang w:val="lv-LV"/>
                    </w:rPr>
                  </w:pPr>
                  <w:r w:rsidRPr="009D28E9">
                    <w:rPr>
                      <w:sz w:val="20"/>
                      <w:szCs w:val="20"/>
                      <w:lang w:val="lv-LV"/>
                    </w:rPr>
                    <w:t xml:space="preserve">ne vairāk par </w:t>
                  </w:r>
                  <w:r w:rsidR="00836A8B" w:rsidRPr="009D28E9">
                    <w:rPr>
                      <w:sz w:val="20"/>
                      <w:szCs w:val="20"/>
                      <w:lang w:val="lv-LV"/>
                    </w:rPr>
                    <w:t>481</w:t>
                  </w:r>
                </w:p>
              </w:tc>
            </w:tr>
            <w:tr w:rsidR="003C22D9" w:rsidRPr="00736328" w:rsidTr="007C6482">
              <w:trPr>
                <w:tblCellSpacing w:w="15" w:type="dxa"/>
              </w:trPr>
              <w:tc>
                <w:tcPr>
                  <w:tcW w:w="1365" w:type="dxa"/>
                  <w:vAlign w:val="bottom"/>
                  <w:hideMark/>
                </w:tcPr>
                <w:p w:rsidR="003C22D9" w:rsidRPr="009D28E9" w:rsidRDefault="003C22D9" w:rsidP="007C6482">
                  <w:pPr>
                    <w:rPr>
                      <w:sz w:val="20"/>
                      <w:szCs w:val="20"/>
                      <w:lang w:val="lv-LV"/>
                    </w:rPr>
                  </w:pPr>
                  <w:r w:rsidRPr="009D28E9">
                    <w:rPr>
                      <w:sz w:val="20"/>
                      <w:szCs w:val="20"/>
                      <w:lang w:val="lv-LV"/>
                    </w:rPr>
                    <w:t>2</w:t>
                  </w:r>
                </w:p>
              </w:tc>
              <w:tc>
                <w:tcPr>
                  <w:tcW w:w="1939" w:type="dxa"/>
                  <w:vAlign w:val="bottom"/>
                  <w:hideMark/>
                </w:tcPr>
                <w:p w:rsidR="003C22D9" w:rsidRPr="009D28E9" w:rsidRDefault="003C22D9" w:rsidP="00836A8B">
                  <w:pPr>
                    <w:rPr>
                      <w:sz w:val="20"/>
                      <w:szCs w:val="20"/>
                      <w:lang w:val="lv-LV"/>
                    </w:rPr>
                  </w:pPr>
                  <w:r w:rsidRPr="009D28E9">
                    <w:rPr>
                      <w:sz w:val="20"/>
                      <w:szCs w:val="20"/>
                      <w:lang w:val="lv-LV"/>
                    </w:rPr>
                    <w:t xml:space="preserve">ne vairāk par </w:t>
                  </w:r>
                  <w:r w:rsidR="00836A8B" w:rsidRPr="009D28E9">
                    <w:rPr>
                      <w:sz w:val="20"/>
                      <w:szCs w:val="20"/>
                      <w:lang w:val="lv-LV"/>
                    </w:rPr>
                    <w:t>420</w:t>
                  </w:r>
                </w:p>
              </w:tc>
            </w:tr>
            <w:tr w:rsidR="003C22D9" w:rsidRPr="00736328" w:rsidTr="007C6482">
              <w:trPr>
                <w:tblCellSpacing w:w="15" w:type="dxa"/>
              </w:trPr>
              <w:tc>
                <w:tcPr>
                  <w:tcW w:w="1365" w:type="dxa"/>
                  <w:vAlign w:val="bottom"/>
                  <w:hideMark/>
                </w:tcPr>
                <w:p w:rsidR="003C22D9" w:rsidRPr="009D28E9" w:rsidRDefault="003C22D9" w:rsidP="007C6482">
                  <w:pPr>
                    <w:rPr>
                      <w:sz w:val="20"/>
                      <w:szCs w:val="20"/>
                      <w:lang w:val="lv-LV"/>
                    </w:rPr>
                  </w:pPr>
                  <w:r w:rsidRPr="009D28E9">
                    <w:rPr>
                      <w:sz w:val="20"/>
                      <w:szCs w:val="20"/>
                      <w:lang w:val="lv-LV"/>
                    </w:rPr>
                    <w:t>1</w:t>
                  </w:r>
                </w:p>
              </w:tc>
              <w:tc>
                <w:tcPr>
                  <w:tcW w:w="1939" w:type="dxa"/>
                  <w:vAlign w:val="bottom"/>
                  <w:hideMark/>
                </w:tcPr>
                <w:p w:rsidR="003C22D9" w:rsidRPr="009D28E9" w:rsidRDefault="003C22D9" w:rsidP="00836A8B">
                  <w:pPr>
                    <w:rPr>
                      <w:sz w:val="20"/>
                      <w:szCs w:val="20"/>
                      <w:lang w:val="lv-LV"/>
                    </w:rPr>
                  </w:pPr>
                  <w:r w:rsidRPr="009D28E9">
                    <w:rPr>
                      <w:sz w:val="20"/>
                      <w:szCs w:val="20"/>
                      <w:lang w:val="lv-LV"/>
                    </w:rPr>
                    <w:t xml:space="preserve">ne vairāk par </w:t>
                  </w:r>
                  <w:r w:rsidR="00836A8B" w:rsidRPr="009D28E9">
                    <w:rPr>
                      <w:sz w:val="20"/>
                      <w:szCs w:val="20"/>
                      <w:lang w:val="lv-LV"/>
                    </w:rPr>
                    <w:t>363”</w:t>
                  </w:r>
                </w:p>
              </w:tc>
            </w:tr>
          </w:tbl>
          <w:p w:rsidR="002668A4" w:rsidRPr="00736328" w:rsidRDefault="002668A4" w:rsidP="003C22D9">
            <w:pPr>
              <w:ind w:firstLine="29"/>
              <w:jc w:val="both"/>
              <w:rPr>
                <w:sz w:val="20"/>
                <w:szCs w:val="20"/>
                <w:lang w:val="lv-LV"/>
              </w:rPr>
            </w:pPr>
          </w:p>
        </w:tc>
        <w:tc>
          <w:tcPr>
            <w:tcW w:w="556" w:type="dxa"/>
          </w:tcPr>
          <w:p w:rsidR="002668A4" w:rsidRPr="00736328" w:rsidRDefault="002668A4" w:rsidP="003C22D9">
            <w:pPr>
              <w:ind w:left="-578" w:firstLine="567"/>
              <w:jc w:val="center"/>
              <w:rPr>
                <w:b/>
                <w:sz w:val="20"/>
                <w:szCs w:val="20"/>
                <w:lang w:val="lv-LV"/>
              </w:rPr>
            </w:pPr>
          </w:p>
        </w:tc>
        <w:tc>
          <w:tcPr>
            <w:tcW w:w="3799" w:type="dxa"/>
          </w:tcPr>
          <w:p w:rsidR="002668A4" w:rsidRPr="00736328" w:rsidRDefault="002668A4" w:rsidP="003C22D9">
            <w:pPr>
              <w:jc w:val="both"/>
              <w:rPr>
                <w:sz w:val="20"/>
                <w:szCs w:val="20"/>
                <w:lang w:val="lv-LV"/>
              </w:rPr>
            </w:pPr>
          </w:p>
        </w:tc>
        <w:tc>
          <w:tcPr>
            <w:tcW w:w="1418" w:type="dxa"/>
          </w:tcPr>
          <w:p w:rsidR="002668A4" w:rsidRPr="00736328" w:rsidRDefault="002668A4" w:rsidP="003C22D9">
            <w:pPr>
              <w:ind w:firstLine="567"/>
              <w:jc w:val="both"/>
              <w:rPr>
                <w:sz w:val="20"/>
                <w:szCs w:val="20"/>
                <w:lang w:val="lv-LV"/>
              </w:rPr>
            </w:pPr>
          </w:p>
        </w:tc>
        <w:tc>
          <w:tcPr>
            <w:tcW w:w="1418" w:type="dxa"/>
          </w:tcPr>
          <w:p w:rsidR="002668A4" w:rsidRPr="00736328" w:rsidRDefault="002668A4" w:rsidP="003C22D9">
            <w:pPr>
              <w:ind w:firstLine="567"/>
              <w:jc w:val="both"/>
              <w:rPr>
                <w:sz w:val="20"/>
                <w:szCs w:val="20"/>
                <w:lang w:val="lv-LV"/>
              </w:rPr>
            </w:pPr>
          </w:p>
        </w:tc>
      </w:tr>
      <w:tr w:rsidR="004D7013" w:rsidRPr="009D28E9" w:rsidTr="004137D3">
        <w:tc>
          <w:tcPr>
            <w:tcW w:w="3799" w:type="dxa"/>
          </w:tcPr>
          <w:p w:rsidR="004D7013" w:rsidRPr="00052245" w:rsidRDefault="004D7013" w:rsidP="00836A8B">
            <w:pPr>
              <w:ind w:firstLine="567"/>
              <w:jc w:val="both"/>
              <w:rPr>
                <w:sz w:val="21"/>
                <w:szCs w:val="21"/>
                <w:lang w:val="lv-LV" w:eastAsia="lv-LV"/>
              </w:rPr>
            </w:pPr>
          </w:p>
        </w:tc>
        <w:tc>
          <w:tcPr>
            <w:tcW w:w="3799" w:type="dxa"/>
          </w:tcPr>
          <w:p w:rsidR="004D7013" w:rsidRPr="00052245" w:rsidRDefault="004D7013" w:rsidP="00052245">
            <w:pPr>
              <w:ind w:firstLine="29"/>
              <w:rPr>
                <w:b/>
                <w:bCs/>
                <w:sz w:val="21"/>
                <w:szCs w:val="21"/>
                <w:lang w:val="lv-LV"/>
              </w:rPr>
            </w:pPr>
            <w:r w:rsidRPr="00052245">
              <w:rPr>
                <w:sz w:val="21"/>
                <w:szCs w:val="21"/>
                <w:lang w:val="lv-LV"/>
              </w:rPr>
              <w:t>Likums stājas spēkā 2014.gada 1.janvārī.</w:t>
            </w:r>
          </w:p>
        </w:tc>
        <w:tc>
          <w:tcPr>
            <w:tcW w:w="556" w:type="dxa"/>
          </w:tcPr>
          <w:p w:rsidR="004D7013" w:rsidRPr="00052245" w:rsidRDefault="004D7013" w:rsidP="005960AD">
            <w:pPr>
              <w:ind w:left="-578" w:firstLine="567"/>
              <w:jc w:val="center"/>
              <w:rPr>
                <w:b/>
                <w:sz w:val="21"/>
                <w:szCs w:val="21"/>
                <w:lang w:val="lv-LV"/>
              </w:rPr>
            </w:pPr>
          </w:p>
        </w:tc>
        <w:tc>
          <w:tcPr>
            <w:tcW w:w="3799" w:type="dxa"/>
          </w:tcPr>
          <w:p w:rsidR="004D7013" w:rsidRPr="00052245" w:rsidRDefault="004D7013" w:rsidP="006F0875">
            <w:pPr>
              <w:jc w:val="both"/>
              <w:rPr>
                <w:sz w:val="21"/>
                <w:szCs w:val="21"/>
                <w:lang w:val="lv-LV"/>
              </w:rPr>
            </w:pPr>
          </w:p>
        </w:tc>
        <w:tc>
          <w:tcPr>
            <w:tcW w:w="1418" w:type="dxa"/>
          </w:tcPr>
          <w:p w:rsidR="004D7013" w:rsidRPr="00052245" w:rsidRDefault="004D7013" w:rsidP="00E24DFD">
            <w:pPr>
              <w:ind w:firstLine="567"/>
              <w:jc w:val="both"/>
              <w:rPr>
                <w:sz w:val="21"/>
                <w:szCs w:val="21"/>
                <w:lang w:val="lv-LV"/>
              </w:rPr>
            </w:pPr>
          </w:p>
        </w:tc>
        <w:tc>
          <w:tcPr>
            <w:tcW w:w="1418" w:type="dxa"/>
          </w:tcPr>
          <w:p w:rsidR="004D7013" w:rsidRPr="00052245" w:rsidRDefault="004D7013" w:rsidP="00E24DFD">
            <w:pPr>
              <w:ind w:firstLine="567"/>
              <w:jc w:val="both"/>
              <w:rPr>
                <w:sz w:val="21"/>
                <w:szCs w:val="21"/>
                <w:lang w:val="lv-LV"/>
              </w:rPr>
            </w:pPr>
          </w:p>
        </w:tc>
      </w:tr>
    </w:tbl>
    <w:p w:rsidR="00B16BAA" w:rsidRPr="004137D3" w:rsidRDefault="00B16BAA" w:rsidP="00736328">
      <w:pPr>
        <w:rPr>
          <w:lang w:val="lv-LV"/>
        </w:rPr>
      </w:pPr>
    </w:p>
    <w:sectPr w:rsidR="00B16BAA" w:rsidRPr="004137D3" w:rsidSect="004137D3">
      <w:footerReference w:type="even" r:id="rId21"/>
      <w:footerReference w:type="default" r:id="rId22"/>
      <w:pgSz w:w="16838" w:h="11906" w:orient="landscape"/>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1E6" w:rsidRDefault="00E201E6">
      <w:r>
        <w:separator/>
      </w:r>
    </w:p>
  </w:endnote>
  <w:endnote w:type="continuationSeparator" w:id="0">
    <w:p w:rsidR="00E201E6" w:rsidRDefault="00E20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Heavy Heap"/>
    <w:panose1 w:val="02020803070505020304"/>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Korinna LRS">
    <w:panose1 w:val="02000504060000020003"/>
    <w:charset w:val="BA"/>
    <w:family w:val="auto"/>
    <w:pitch w:val="variable"/>
    <w:sig w:usb0="A0000227" w:usb1="00000000"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446" w:rsidRDefault="00D03446" w:rsidP="004137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3446" w:rsidRDefault="00D03446" w:rsidP="004137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446" w:rsidRDefault="00D03446" w:rsidP="004137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4302">
      <w:rPr>
        <w:rStyle w:val="PageNumber"/>
        <w:noProof/>
      </w:rPr>
      <w:t>2</w:t>
    </w:r>
    <w:r>
      <w:rPr>
        <w:rStyle w:val="PageNumber"/>
      </w:rPr>
      <w:fldChar w:fldCharType="end"/>
    </w:r>
  </w:p>
  <w:p w:rsidR="00D03446" w:rsidRDefault="00D03446" w:rsidP="004137D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1E6" w:rsidRDefault="00E201E6">
      <w:r>
        <w:separator/>
      </w:r>
    </w:p>
  </w:footnote>
  <w:footnote w:type="continuationSeparator" w:id="0">
    <w:p w:rsidR="00E201E6" w:rsidRDefault="00E201E6">
      <w:r>
        <w:continuationSeparator/>
      </w:r>
    </w:p>
  </w:footnote>
  <w:footnote w:id="1">
    <w:p w:rsidR="00195D9A" w:rsidRPr="00195D9A" w:rsidRDefault="00195D9A">
      <w:pPr>
        <w:pStyle w:val="FootnoteText"/>
        <w:rPr>
          <w:lang w:val="lv-LV"/>
        </w:rPr>
      </w:pPr>
      <w:r>
        <w:rPr>
          <w:rStyle w:val="FootnoteReference"/>
        </w:rPr>
        <w:footnoteRef/>
      </w:r>
      <w:r>
        <w:t xml:space="preserve"> </w:t>
      </w:r>
      <w:r w:rsidRPr="00C00213">
        <w:rPr>
          <w:b/>
          <w:i/>
          <w:u w:val="single"/>
          <w:lang w:val="lv-LV"/>
        </w:rPr>
        <w:t>Redakcija no 01.01.2014. (pieņemta Saeimā 2013.gada 19.septembrī):</w:t>
      </w:r>
      <w:r>
        <w:rPr>
          <w:b/>
          <w:i/>
          <w:u w:val="single"/>
          <w:lang w:val="lv-LV"/>
        </w:rPr>
        <w:t xml:space="preserve"> </w:t>
      </w:r>
      <w:r w:rsidRPr="00195D9A">
        <w:rPr>
          <w:lang w:val="lv-LV"/>
        </w:rPr>
        <w:t>Aizstāt visā likumā vārdu „latos” ar vārdu „</w:t>
      </w:r>
      <w:r w:rsidRPr="00195D9A">
        <w:rPr>
          <w:i/>
          <w:lang w:val="lv-LV"/>
        </w:rPr>
        <w:t>euro</w:t>
      </w:r>
      <w:r w:rsidRPr="00195D9A">
        <w:rPr>
          <w:lang w:val="lv-LV"/>
        </w:rPr>
        <w:t>”.</w:t>
      </w:r>
    </w:p>
  </w:footnote>
  <w:footnote w:id="2">
    <w:p w:rsidR="004F3B57" w:rsidRPr="00C00213" w:rsidRDefault="004F3B57" w:rsidP="004F3B57">
      <w:pPr>
        <w:ind w:firstLine="720"/>
        <w:jc w:val="both"/>
        <w:rPr>
          <w:rFonts w:ascii="Korinna LRS" w:eastAsia="Calibri" w:hAnsi="Korinna LRS"/>
          <w:sz w:val="20"/>
          <w:szCs w:val="20"/>
          <w:lang w:val="lv-LV" w:eastAsia="lv-LV"/>
        </w:rPr>
      </w:pPr>
      <w:r w:rsidRPr="004F3B57">
        <w:rPr>
          <w:rStyle w:val="FootnoteReference"/>
        </w:rPr>
        <w:footnoteRef/>
      </w:r>
      <w:r w:rsidRPr="004174C6">
        <w:rPr>
          <w:lang w:val="lv-LV"/>
        </w:rPr>
        <w:t xml:space="preserve"> </w:t>
      </w:r>
      <w:r>
        <w:rPr>
          <w:rFonts w:eastAsia="Calibri"/>
          <w:sz w:val="20"/>
          <w:szCs w:val="20"/>
          <w:lang w:val="lv-LV" w:eastAsia="lv-LV"/>
        </w:rPr>
        <w:t>L</w:t>
      </w:r>
      <w:r w:rsidRPr="00C00213">
        <w:rPr>
          <w:rFonts w:eastAsia="Calibri"/>
          <w:sz w:val="20"/>
          <w:szCs w:val="20"/>
          <w:lang w:val="lv-LV" w:eastAsia="lv-LV"/>
        </w:rPr>
        <w:t>ikumprojekta 2.pantā paredzētais grozījums likuma 14.panta devītajā daļā prasa precizēt arī likuma 14.panta astoto daļu, lai attieksme pret virsstundu apmaksu un kompensēšanu ar atpūtas laiku būtu vienāda gan normālā darba laika, gan summētā darba laika gadījumā, jo atšķiras tikai laika moments, bet nedrīkstētu atšķirties princips (vienā tikai apmaksā, bet otrā var arī nepamaksāt, bet tikai kompensēt). Turklāt, ieviešot likuma 14.panta devītajā daļā jauninājumu, ka pēc summētā darba laika atskaites perioda beigām pārstrādātās un perioda ietvaros neizlīdzinātās stundas var neapmaksāt, bet arī kompensēt ar atpūtas laiku, jānosaka arī termiņš, kādā tas jādara (piemēram, nākošā mēneša laikā pēc atskaites perioda beigām). Tāpat tiesību norma būtu precizējama tādējādi, lai tā nepārprotami atspoguļotu, ka pēc atskaites perioda beigām ar atpūtas laiku kompensē tikai tās virsstundas, kuras nav izlīdzinātas atskaites perioda laikā.</w:t>
      </w:r>
    </w:p>
    <w:p w:rsidR="004F3B57" w:rsidRPr="00C00213" w:rsidRDefault="004F3B57" w:rsidP="004F3B57">
      <w:pPr>
        <w:pStyle w:val="FootnoteText"/>
        <w:rPr>
          <w:lang w:val="lv-LV"/>
        </w:rPr>
      </w:pPr>
    </w:p>
  </w:footnote>
  <w:footnote w:id="3">
    <w:p w:rsidR="00FB0DE9" w:rsidRPr="00C00213" w:rsidRDefault="00C61BF3" w:rsidP="00FB0DE9">
      <w:pPr>
        <w:pStyle w:val="FootnoteText"/>
        <w:rPr>
          <w:b/>
          <w:i/>
          <w:u w:val="single"/>
        </w:rPr>
      </w:pPr>
      <w:r>
        <w:rPr>
          <w:rStyle w:val="FootnoteReference"/>
        </w:rPr>
        <w:footnoteRef/>
      </w:r>
      <w:r w:rsidR="00FB0DE9" w:rsidRPr="00C00213">
        <w:rPr>
          <w:b/>
          <w:i/>
          <w:u w:val="single"/>
          <w:lang w:val="lv-LV"/>
        </w:rPr>
        <w:t>Redakcija no 01.01.2014. (pieņemta Saeimā 2013.gada 19.septembrī):</w:t>
      </w:r>
    </w:p>
    <w:p w:rsidR="00FB0DE9" w:rsidRPr="009D28E9" w:rsidRDefault="00FB0DE9" w:rsidP="00FB0DE9">
      <w:pPr>
        <w:ind w:firstLine="301"/>
        <w:rPr>
          <w:sz w:val="20"/>
          <w:szCs w:val="20"/>
          <w:lang w:val="lv-LV"/>
        </w:rPr>
      </w:pPr>
      <w:r w:rsidRPr="009D28E9">
        <w:rPr>
          <w:sz w:val="20"/>
          <w:szCs w:val="20"/>
          <w:lang w:val="lv-LV"/>
        </w:rPr>
        <w:t xml:space="preserve">Izteikt </w:t>
      </w:r>
      <w:r w:rsidRPr="009D28E9">
        <w:rPr>
          <w:lang w:val="lv-LV"/>
        </w:rPr>
        <w:t xml:space="preserve"> </w:t>
      </w:r>
      <w:r w:rsidRPr="009D28E9">
        <w:rPr>
          <w:sz w:val="20"/>
          <w:szCs w:val="20"/>
          <w:lang w:val="lv-LV"/>
        </w:rPr>
        <w:t>21.panta pirmās daļas 1., 2. un 3.punktu šādā redakcijā:</w:t>
      </w:r>
    </w:p>
    <w:p w:rsidR="00FB0DE9" w:rsidRPr="009D28E9" w:rsidRDefault="00FB0DE9" w:rsidP="00FB0DE9">
      <w:pPr>
        <w:ind w:firstLine="301"/>
        <w:rPr>
          <w:sz w:val="20"/>
          <w:szCs w:val="20"/>
          <w:lang w:val="lv-LV"/>
        </w:rPr>
      </w:pPr>
      <w:r w:rsidRPr="009D28E9">
        <w:rPr>
          <w:sz w:val="20"/>
          <w:szCs w:val="20"/>
          <w:lang w:val="lv-LV"/>
        </w:rPr>
        <w:t xml:space="preserve">"1) personai ar I grupas invaliditāti - 50 mēnešalgu apmērā, bet ne vairāk kā 42 687 </w:t>
      </w:r>
      <w:r w:rsidRPr="009D28E9">
        <w:rPr>
          <w:i/>
          <w:iCs/>
          <w:sz w:val="20"/>
          <w:szCs w:val="20"/>
          <w:lang w:val="lv-LV"/>
        </w:rPr>
        <w:t>euro</w:t>
      </w:r>
      <w:r w:rsidRPr="009D28E9">
        <w:rPr>
          <w:sz w:val="20"/>
          <w:szCs w:val="20"/>
          <w:lang w:val="lv-LV"/>
        </w:rPr>
        <w:t>;</w:t>
      </w:r>
    </w:p>
    <w:p w:rsidR="00FB0DE9" w:rsidRPr="009D28E9" w:rsidRDefault="00FB0DE9" w:rsidP="00FB0DE9">
      <w:pPr>
        <w:ind w:firstLine="301"/>
        <w:rPr>
          <w:sz w:val="20"/>
          <w:szCs w:val="20"/>
          <w:lang w:val="lv-LV"/>
        </w:rPr>
      </w:pPr>
      <w:r w:rsidRPr="009D28E9">
        <w:rPr>
          <w:sz w:val="20"/>
          <w:szCs w:val="20"/>
          <w:lang w:val="lv-LV"/>
        </w:rPr>
        <w:t xml:space="preserve">2) personai ar II grupas invaliditāti - 40 mēnešalgu apmērā, bet ne vairāk kā 28 458 </w:t>
      </w:r>
      <w:r w:rsidRPr="009D28E9">
        <w:rPr>
          <w:i/>
          <w:iCs/>
          <w:sz w:val="20"/>
          <w:szCs w:val="20"/>
          <w:lang w:val="lv-LV"/>
        </w:rPr>
        <w:t>euro</w:t>
      </w:r>
      <w:r w:rsidRPr="009D28E9">
        <w:rPr>
          <w:sz w:val="20"/>
          <w:szCs w:val="20"/>
          <w:lang w:val="lv-LV"/>
        </w:rPr>
        <w:t>;</w:t>
      </w:r>
    </w:p>
    <w:p w:rsidR="00FB0DE9" w:rsidRPr="009D28E9" w:rsidRDefault="00FB0DE9" w:rsidP="00FB0DE9">
      <w:pPr>
        <w:ind w:firstLine="301"/>
        <w:rPr>
          <w:sz w:val="20"/>
          <w:szCs w:val="20"/>
          <w:lang w:val="lv-LV"/>
        </w:rPr>
      </w:pPr>
      <w:r w:rsidRPr="009D28E9">
        <w:rPr>
          <w:sz w:val="20"/>
          <w:szCs w:val="20"/>
          <w:lang w:val="lv-LV"/>
        </w:rPr>
        <w:t xml:space="preserve">3) personai ar III grupas invaliditāti - 20 mēnešalgu apmērā, bet ne vairāk kā 14 229 </w:t>
      </w:r>
      <w:r w:rsidRPr="009D28E9">
        <w:rPr>
          <w:i/>
          <w:iCs/>
          <w:sz w:val="20"/>
          <w:szCs w:val="20"/>
          <w:lang w:val="lv-LV"/>
        </w:rPr>
        <w:t>euro</w:t>
      </w:r>
      <w:r w:rsidRPr="009D28E9">
        <w:rPr>
          <w:sz w:val="20"/>
          <w:szCs w:val="20"/>
          <w:lang w:val="lv-LV"/>
        </w:rPr>
        <w:t>.";</w:t>
      </w:r>
    </w:p>
    <w:p w:rsidR="00C61BF3" w:rsidRPr="00FB0DE9" w:rsidRDefault="00C61BF3">
      <w:pPr>
        <w:pStyle w:val="FootnoteText"/>
      </w:pPr>
    </w:p>
  </w:footnote>
  <w:footnote w:id="4">
    <w:p w:rsidR="00FB0DE9" w:rsidRPr="00FB0DE9" w:rsidRDefault="00FB0DE9" w:rsidP="00FB0DE9">
      <w:pPr>
        <w:pStyle w:val="FootnoteText"/>
        <w:rPr>
          <w:b/>
          <w:i/>
          <w:u w:val="single"/>
          <w:lang w:val="lv-LV"/>
        </w:rPr>
      </w:pPr>
      <w:r w:rsidRPr="00FB0DE9">
        <w:rPr>
          <w:rStyle w:val="FootnoteReference"/>
        </w:rPr>
        <w:footnoteRef/>
      </w:r>
      <w:r w:rsidRPr="00FB0DE9">
        <w:t xml:space="preserve"> </w:t>
      </w:r>
      <w:r w:rsidRPr="00FB0DE9">
        <w:rPr>
          <w:b/>
          <w:i/>
          <w:u w:val="single"/>
          <w:lang w:val="lv-LV"/>
        </w:rPr>
        <w:t>Redakcija no 01.01.2014. (pieņemta Saeimā 2013.gada 19.septembrī):</w:t>
      </w:r>
    </w:p>
    <w:p w:rsidR="00FB0DE9" w:rsidRPr="00FB0DE9" w:rsidRDefault="00FB0DE9" w:rsidP="00FB0DE9">
      <w:pPr>
        <w:ind w:firstLine="300"/>
        <w:rPr>
          <w:sz w:val="20"/>
          <w:szCs w:val="20"/>
          <w:lang w:val="lv-LV"/>
        </w:rPr>
      </w:pPr>
      <w:r w:rsidRPr="00FB0DE9">
        <w:rPr>
          <w:sz w:val="20"/>
          <w:szCs w:val="20"/>
          <w:lang w:val="lv-LV"/>
        </w:rPr>
        <w:t>Izteikt 22.panta otrās daļas 1., 2. un 3.punktu šādā redakcijā:</w:t>
      </w:r>
    </w:p>
    <w:p w:rsidR="00FB0DE9" w:rsidRPr="009D28E9" w:rsidRDefault="00FB0DE9" w:rsidP="00FB0DE9">
      <w:pPr>
        <w:ind w:firstLine="300"/>
        <w:rPr>
          <w:sz w:val="20"/>
          <w:szCs w:val="20"/>
          <w:lang w:val="lv-LV"/>
        </w:rPr>
      </w:pPr>
      <w:r w:rsidRPr="009D28E9">
        <w:rPr>
          <w:sz w:val="20"/>
          <w:szCs w:val="20"/>
          <w:lang w:val="lv-LV"/>
        </w:rPr>
        <w:t xml:space="preserve">"1) personai ar I grupas invaliditāti - 20 mēnešalgu apmērā, bet ne vairāk kā 42 687 </w:t>
      </w:r>
      <w:r w:rsidRPr="009D28E9">
        <w:rPr>
          <w:i/>
          <w:iCs/>
          <w:sz w:val="20"/>
          <w:szCs w:val="20"/>
          <w:lang w:val="lv-LV"/>
        </w:rPr>
        <w:t>euro</w:t>
      </w:r>
      <w:r w:rsidRPr="009D28E9">
        <w:rPr>
          <w:sz w:val="20"/>
          <w:szCs w:val="20"/>
          <w:lang w:val="lv-LV"/>
        </w:rPr>
        <w:t>;</w:t>
      </w:r>
    </w:p>
    <w:p w:rsidR="00FB0DE9" w:rsidRPr="009D28E9" w:rsidRDefault="00FB0DE9" w:rsidP="00FB0DE9">
      <w:pPr>
        <w:ind w:firstLine="300"/>
        <w:rPr>
          <w:sz w:val="20"/>
          <w:szCs w:val="20"/>
          <w:lang w:val="lv-LV"/>
        </w:rPr>
      </w:pPr>
      <w:r w:rsidRPr="009D28E9">
        <w:rPr>
          <w:sz w:val="20"/>
          <w:szCs w:val="20"/>
          <w:lang w:val="lv-LV"/>
        </w:rPr>
        <w:t xml:space="preserve">2) personai ar II grupas invaliditāti - 15 mēnešalgu apmērā, bet ne vairāk kā 28 458 </w:t>
      </w:r>
      <w:r w:rsidRPr="009D28E9">
        <w:rPr>
          <w:i/>
          <w:iCs/>
          <w:sz w:val="20"/>
          <w:szCs w:val="20"/>
          <w:lang w:val="lv-LV"/>
        </w:rPr>
        <w:t>euro</w:t>
      </w:r>
      <w:r w:rsidRPr="009D28E9">
        <w:rPr>
          <w:sz w:val="20"/>
          <w:szCs w:val="20"/>
          <w:lang w:val="lv-LV"/>
        </w:rPr>
        <w:t>;</w:t>
      </w:r>
    </w:p>
    <w:p w:rsidR="00FB0DE9" w:rsidRPr="000C4302" w:rsidRDefault="00FB0DE9" w:rsidP="00FB0DE9">
      <w:pPr>
        <w:ind w:firstLine="300"/>
        <w:rPr>
          <w:sz w:val="20"/>
          <w:szCs w:val="20"/>
          <w:lang w:val="lv-LV"/>
        </w:rPr>
      </w:pPr>
      <w:r w:rsidRPr="000C4302">
        <w:rPr>
          <w:sz w:val="20"/>
          <w:szCs w:val="20"/>
          <w:lang w:val="lv-LV"/>
        </w:rPr>
        <w:t xml:space="preserve">3) personai ar III grupas invaliditāti - 10 mēnešalgu apmērā, bet ne vairāk kā 14 229 </w:t>
      </w:r>
      <w:r w:rsidRPr="000C4302">
        <w:rPr>
          <w:i/>
          <w:iCs/>
          <w:sz w:val="20"/>
          <w:szCs w:val="20"/>
          <w:lang w:val="lv-LV"/>
        </w:rPr>
        <w:t>euro</w:t>
      </w:r>
      <w:r w:rsidRPr="000C4302">
        <w:rPr>
          <w:sz w:val="20"/>
          <w:szCs w:val="20"/>
          <w:lang w:val="lv-LV"/>
        </w:rPr>
        <w:t>."</w:t>
      </w:r>
    </w:p>
    <w:p w:rsidR="00FB0DE9" w:rsidRPr="000C4302" w:rsidRDefault="00FB0DE9">
      <w:pPr>
        <w:pStyle w:val="FootnoteText"/>
        <w:rPr>
          <w:lang w:val="lv-LV"/>
        </w:rPr>
      </w:pPr>
    </w:p>
  </w:footnote>
  <w:footnote w:id="5">
    <w:p w:rsidR="00D51256" w:rsidRPr="00D51256" w:rsidRDefault="00D51256">
      <w:pPr>
        <w:pStyle w:val="FootnoteText"/>
        <w:rPr>
          <w:lang w:val="lv-LV"/>
        </w:rPr>
      </w:pPr>
      <w:r>
        <w:rPr>
          <w:rStyle w:val="FootnoteReference"/>
        </w:rPr>
        <w:footnoteRef/>
      </w:r>
      <w:r w:rsidRPr="000C4302">
        <w:rPr>
          <w:lang w:val="lv-LV"/>
        </w:rPr>
        <w:t xml:space="preserve"> Priekšlikums iesniegts, </w:t>
      </w:r>
      <w:r>
        <w:rPr>
          <w:lang w:val="lv-LV"/>
        </w:rPr>
        <w:t>l</w:t>
      </w:r>
      <w:r w:rsidRPr="00331510">
        <w:rPr>
          <w:lang w:val="lv-LV"/>
        </w:rPr>
        <w:t>ai novērstu neskaidrības starp 8.</w:t>
      </w:r>
      <w:r w:rsidRPr="00331510">
        <w:rPr>
          <w:vertAlign w:val="superscript"/>
          <w:lang w:val="lv-LV"/>
        </w:rPr>
        <w:t>11</w:t>
      </w:r>
      <w:r w:rsidRPr="00331510">
        <w:rPr>
          <w:lang w:val="lv-LV"/>
        </w:rPr>
        <w:t xml:space="preserve"> un 8.</w:t>
      </w:r>
      <w:r w:rsidRPr="00331510">
        <w:rPr>
          <w:vertAlign w:val="superscript"/>
          <w:lang w:val="lv-LV"/>
        </w:rPr>
        <w:t>12</w:t>
      </w:r>
      <w:r w:rsidRPr="00331510">
        <w:rPr>
          <w:lang w:val="lv-LV"/>
        </w:rPr>
        <w:t xml:space="preserve"> p</w:t>
      </w:r>
      <w:r>
        <w:rPr>
          <w:lang w:val="lv-LV"/>
        </w:rPr>
        <w:t>unkta savstarpējo piemērojamību.</w:t>
      </w:r>
    </w:p>
  </w:footnote>
  <w:footnote w:id="6">
    <w:p w:rsidR="00D51256" w:rsidRPr="00D51256" w:rsidRDefault="00D51256" w:rsidP="00D51256">
      <w:pPr>
        <w:pStyle w:val="FootnoteText"/>
        <w:jc w:val="both"/>
        <w:rPr>
          <w:lang w:val="lv-LV"/>
        </w:rPr>
      </w:pPr>
      <w:r w:rsidRPr="00D51256">
        <w:rPr>
          <w:rStyle w:val="FootnoteReference"/>
        </w:rPr>
        <w:footnoteRef/>
      </w:r>
      <w:r w:rsidRPr="00D51256">
        <w:rPr>
          <w:lang w:val="lv-LV"/>
        </w:rPr>
        <w:t xml:space="preserve"> </w:t>
      </w:r>
      <w:r w:rsidRPr="00D51256">
        <w:rPr>
          <w:rFonts w:eastAsia="Calibri"/>
          <w:lang w:val="lv-LV" w:eastAsia="lv-LV"/>
        </w:rPr>
        <w:t xml:space="preserve">Likumprojekta 8.panta trešajā daļā ir piedāvāts risinājums – aizliegt saņemt papildu darba piemaksu un motivācijas piemaksu vienlaicīgi ar piemaksu par darbu ES prezidentūras nodrošināšanā pat tad, kad attiecīgo piemaksu noteikšanas pamati ir atšķirīgi. Šāda pieeja pieļauj, ka par papildu darbu, kas varētu tikt uzdots, likums aizliegtu maksāt. Turklāt vairākām amatpersonām (darbiniekiem) darbs ES prezidentūras nodrošināšanā faktiski varētu nozīmēt darba samaksas samazinājumu (īpaši, ja tām šobrīd piešķirta motivācijas piemaksa). </w:t>
      </w:r>
      <w:r>
        <w:rPr>
          <w:rFonts w:eastAsia="Calibri"/>
          <w:lang w:val="lv-LV" w:eastAsia="lv-LV"/>
        </w:rPr>
        <w:t>Priekšlikums iesniegts, a</w:t>
      </w:r>
      <w:r w:rsidRPr="00D51256">
        <w:rPr>
          <w:rFonts w:eastAsia="Calibri"/>
          <w:lang w:val="lv-LV" w:eastAsia="lv-LV"/>
        </w:rPr>
        <w:t>pzinoties nepieciešamību noteikt saprātīgus ierobežojumus</w:t>
      </w:r>
      <w:r>
        <w:rPr>
          <w:rFonts w:eastAsia="Calibri"/>
          <w:lang w:val="lv-LV" w:eastAsia="lv-LV"/>
        </w:rPr>
        <w:t>.</w:t>
      </w:r>
    </w:p>
  </w:footnote>
  <w:footnote w:id="7">
    <w:p w:rsidR="00736328" w:rsidRDefault="00736328" w:rsidP="00736328">
      <w:pPr>
        <w:pStyle w:val="FootnoteText"/>
        <w:rPr>
          <w:b/>
          <w:i/>
          <w:u w:val="single"/>
          <w:lang w:val="lv-LV"/>
        </w:rPr>
      </w:pPr>
      <w:r>
        <w:rPr>
          <w:rStyle w:val="FootnoteReference"/>
        </w:rPr>
        <w:footnoteRef/>
      </w:r>
      <w:r w:rsidRPr="00D51256">
        <w:rPr>
          <w:lang w:val="lv-LV"/>
        </w:rPr>
        <w:t xml:space="preserve"> </w:t>
      </w:r>
      <w:r w:rsidRPr="00FB0DE9">
        <w:rPr>
          <w:b/>
          <w:i/>
          <w:u w:val="single"/>
          <w:lang w:val="lv-LV"/>
        </w:rPr>
        <w:t>Redakcija no 01.01.2014. (pieņemta Saeimā 2013.gada 19.septembrī):</w:t>
      </w:r>
    </w:p>
    <w:tbl>
      <w:tblPr>
        <w:tblW w:w="2096"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197"/>
        <w:gridCol w:w="3969"/>
      </w:tblGrid>
      <w:tr w:rsidR="00736328" w:rsidRPr="00052245" w:rsidTr="00736328">
        <w:trPr>
          <w:tblCellSpacing w:w="15" w:type="dxa"/>
        </w:trPr>
        <w:tc>
          <w:tcPr>
            <w:tcW w:w="2152" w:type="dxa"/>
            <w:vAlign w:val="center"/>
            <w:hideMark/>
          </w:tcPr>
          <w:p w:rsidR="00736328" w:rsidRPr="00C61CC6" w:rsidRDefault="00736328" w:rsidP="00116E90">
            <w:pPr>
              <w:rPr>
                <w:b/>
                <w:sz w:val="18"/>
                <w:szCs w:val="18"/>
                <w:lang w:val="lv-LV"/>
              </w:rPr>
            </w:pPr>
            <w:r w:rsidRPr="00C61CC6">
              <w:rPr>
                <w:b/>
                <w:sz w:val="18"/>
                <w:szCs w:val="18"/>
                <w:lang w:val="lv-LV"/>
              </w:rPr>
              <w:t>Mēnešalgu grupa</w:t>
            </w:r>
          </w:p>
        </w:tc>
        <w:tc>
          <w:tcPr>
            <w:tcW w:w="3924" w:type="dxa"/>
            <w:vAlign w:val="center"/>
            <w:hideMark/>
          </w:tcPr>
          <w:p w:rsidR="00736328" w:rsidRPr="00C61CC6" w:rsidRDefault="00736328" w:rsidP="00116E90">
            <w:pPr>
              <w:rPr>
                <w:sz w:val="18"/>
                <w:szCs w:val="18"/>
                <w:lang w:val="lv-LV"/>
              </w:rPr>
            </w:pPr>
            <w:r w:rsidRPr="00C61CC6">
              <w:rPr>
                <w:b/>
                <w:bCs/>
                <w:sz w:val="18"/>
                <w:szCs w:val="18"/>
                <w:lang w:val="lv-LV"/>
              </w:rPr>
              <w:t>Mēnešalgas maksimālais apmērs (</w:t>
            </w:r>
            <w:r w:rsidRPr="00C61CC6">
              <w:rPr>
                <w:b/>
                <w:bCs/>
                <w:i/>
                <w:sz w:val="18"/>
                <w:szCs w:val="18"/>
                <w:lang w:val="lv-LV"/>
              </w:rPr>
              <w:t>euro</w:t>
            </w:r>
            <w:r w:rsidRPr="00C61CC6">
              <w:rPr>
                <w:b/>
                <w:bCs/>
                <w:sz w:val="18"/>
                <w:szCs w:val="18"/>
                <w:lang w:val="lv-LV"/>
              </w:rPr>
              <w:t>)</w:t>
            </w:r>
          </w:p>
        </w:tc>
      </w:tr>
      <w:tr w:rsidR="00736328" w:rsidRPr="003C22D9" w:rsidTr="00736328">
        <w:trPr>
          <w:tblCellSpacing w:w="15" w:type="dxa"/>
        </w:trPr>
        <w:tc>
          <w:tcPr>
            <w:tcW w:w="2152" w:type="dxa"/>
            <w:vAlign w:val="bottom"/>
            <w:hideMark/>
          </w:tcPr>
          <w:p w:rsidR="00736328" w:rsidRPr="003C22D9" w:rsidRDefault="00736328" w:rsidP="00116E90">
            <w:pPr>
              <w:rPr>
                <w:sz w:val="20"/>
                <w:szCs w:val="20"/>
              </w:rPr>
            </w:pPr>
            <w:r w:rsidRPr="003C22D9">
              <w:rPr>
                <w:sz w:val="20"/>
                <w:szCs w:val="20"/>
              </w:rPr>
              <w:t>16</w:t>
            </w:r>
          </w:p>
        </w:tc>
        <w:tc>
          <w:tcPr>
            <w:tcW w:w="3924" w:type="dxa"/>
            <w:vAlign w:val="bottom"/>
            <w:hideMark/>
          </w:tcPr>
          <w:p w:rsidR="00736328" w:rsidRPr="003C22D9" w:rsidRDefault="00736328" w:rsidP="00116E90">
            <w:pPr>
              <w:rPr>
                <w:sz w:val="20"/>
                <w:szCs w:val="20"/>
              </w:rPr>
            </w:pPr>
            <w:r w:rsidRPr="003C22D9">
              <w:rPr>
                <w:sz w:val="20"/>
                <w:szCs w:val="20"/>
              </w:rPr>
              <w:t xml:space="preserve">ne vairāk par </w:t>
            </w:r>
            <w:r>
              <w:rPr>
                <w:sz w:val="20"/>
                <w:szCs w:val="20"/>
              </w:rPr>
              <w:t>2441</w:t>
            </w:r>
          </w:p>
        </w:tc>
      </w:tr>
      <w:tr w:rsidR="00736328" w:rsidRPr="003C22D9" w:rsidTr="00736328">
        <w:trPr>
          <w:tblCellSpacing w:w="15" w:type="dxa"/>
        </w:trPr>
        <w:tc>
          <w:tcPr>
            <w:tcW w:w="2152" w:type="dxa"/>
            <w:vAlign w:val="bottom"/>
            <w:hideMark/>
          </w:tcPr>
          <w:p w:rsidR="00736328" w:rsidRPr="003C22D9" w:rsidRDefault="00736328" w:rsidP="00116E90">
            <w:pPr>
              <w:rPr>
                <w:sz w:val="20"/>
                <w:szCs w:val="20"/>
              </w:rPr>
            </w:pPr>
            <w:r w:rsidRPr="003C22D9">
              <w:rPr>
                <w:sz w:val="20"/>
                <w:szCs w:val="20"/>
              </w:rPr>
              <w:t>15</w:t>
            </w:r>
          </w:p>
        </w:tc>
        <w:tc>
          <w:tcPr>
            <w:tcW w:w="3924" w:type="dxa"/>
            <w:vAlign w:val="bottom"/>
            <w:hideMark/>
          </w:tcPr>
          <w:p w:rsidR="00736328" w:rsidRPr="003C22D9" w:rsidRDefault="00736328" w:rsidP="00116E90">
            <w:pPr>
              <w:rPr>
                <w:sz w:val="20"/>
                <w:szCs w:val="20"/>
              </w:rPr>
            </w:pPr>
            <w:r w:rsidRPr="003C22D9">
              <w:rPr>
                <w:sz w:val="20"/>
                <w:szCs w:val="20"/>
              </w:rPr>
              <w:t xml:space="preserve">ne vairāk par </w:t>
            </w:r>
            <w:r>
              <w:rPr>
                <w:sz w:val="20"/>
                <w:szCs w:val="20"/>
              </w:rPr>
              <w:t>2353</w:t>
            </w:r>
          </w:p>
        </w:tc>
      </w:tr>
      <w:tr w:rsidR="00736328" w:rsidRPr="003C22D9" w:rsidTr="00736328">
        <w:trPr>
          <w:tblCellSpacing w:w="15" w:type="dxa"/>
        </w:trPr>
        <w:tc>
          <w:tcPr>
            <w:tcW w:w="2152" w:type="dxa"/>
            <w:vAlign w:val="bottom"/>
            <w:hideMark/>
          </w:tcPr>
          <w:p w:rsidR="00736328" w:rsidRPr="003C22D9" w:rsidRDefault="00736328" w:rsidP="00116E90">
            <w:pPr>
              <w:rPr>
                <w:sz w:val="20"/>
                <w:szCs w:val="20"/>
              </w:rPr>
            </w:pPr>
            <w:r w:rsidRPr="003C22D9">
              <w:rPr>
                <w:sz w:val="20"/>
                <w:szCs w:val="20"/>
              </w:rPr>
              <w:t>14</w:t>
            </w:r>
          </w:p>
        </w:tc>
        <w:tc>
          <w:tcPr>
            <w:tcW w:w="3924" w:type="dxa"/>
            <w:vAlign w:val="bottom"/>
            <w:hideMark/>
          </w:tcPr>
          <w:p w:rsidR="00736328" w:rsidRPr="003C22D9" w:rsidRDefault="00736328" w:rsidP="00116E90">
            <w:pPr>
              <w:rPr>
                <w:sz w:val="20"/>
                <w:szCs w:val="20"/>
              </w:rPr>
            </w:pPr>
            <w:r w:rsidRPr="003C22D9">
              <w:rPr>
                <w:sz w:val="20"/>
                <w:szCs w:val="20"/>
              </w:rPr>
              <w:t xml:space="preserve">ne vairāk par </w:t>
            </w:r>
            <w:r>
              <w:rPr>
                <w:sz w:val="20"/>
                <w:szCs w:val="20"/>
              </w:rPr>
              <w:t>2264</w:t>
            </w:r>
          </w:p>
        </w:tc>
      </w:tr>
      <w:tr w:rsidR="00736328" w:rsidRPr="003C22D9" w:rsidTr="00736328">
        <w:trPr>
          <w:tblCellSpacing w:w="15" w:type="dxa"/>
        </w:trPr>
        <w:tc>
          <w:tcPr>
            <w:tcW w:w="2152" w:type="dxa"/>
            <w:vAlign w:val="bottom"/>
            <w:hideMark/>
          </w:tcPr>
          <w:p w:rsidR="00736328" w:rsidRPr="003C22D9" w:rsidRDefault="00736328" w:rsidP="00116E90">
            <w:pPr>
              <w:rPr>
                <w:sz w:val="20"/>
                <w:szCs w:val="20"/>
              </w:rPr>
            </w:pPr>
            <w:r w:rsidRPr="003C22D9">
              <w:rPr>
                <w:sz w:val="20"/>
                <w:szCs w:val="20"/>
              </w:rPr>
              <w:t>13</w:t>
            </w:r>
          </w:p>
        </w:tc>
        <w:tc>
          <w:tcPr>
            <w:tcW w:w="3924" w:type="dxa"/>
            <w:vAlign w:val="bottom"/>
            <w:hideMark/>
          </w:tcPr>
          <w:p w:rsidR="00736328" w:rsidRPr="003C22D9" w:rsidRDefault="00736328" w:rsidP="00116E90">
            <w:pPr>
              <w:rPr>
                <w:sz w:val="20"/>
                <w:szCs w:val="20"/>
              </w:rPr>
            </w:pPr>
            <w:r w:rsidRPr="003C22D9">
              <w:rPr>
                <w:sz w:val="20"/>
                <w:szCs w:val="20"/>
              </w:rPr>
              <w:t xml:space="preserve">ne vairāk par </w:t>
            </w:r>
            <w:r>
              <w:rPr>
                <w:sz w:val="20"/>
                <w:szCs w:val="20"/>
              </w:rPr>
              <w:t>1917</w:t>
            </w:r>
          </w:p>
        </w:tc>
      </w:tr>
      <w:tr w:rsidR="00736328" w:rsidRPr="003C22D9" w:rsidTr="00736328">
        <w:trPr>
          <w:tblCellSpacing w:w="15" w:type="dxa"/>
        </w:trPr>
        <w:tc>
          <w:tcPr>
            <w:tcW w:w="2152" w:type="dxa"/>
            <w:vAlign w:val="bottom"/>
            <w:hideMark/>
          </w:tcPr>
          <w:p w:rsidR="00736328" w:rsidRPr="003C22D9" w:rsidRDefault="00736328" w:rsidP="00116E90">
            <w:pPr>
              <w:rPr>
                <w:sz w:val="20"/>
                <w:szCs w:val="20"/>
              </w:rPr>
            </w:pPr>
            <w:r w:rsidRPr="003C22D9">
              <w:rPr>
                <w:sz w:val="20"/>
                <w:szCs w:val="20"/>
              </w:rPr>
              <w:t>12</w:t>
            </w:r>
          </w:p>
        </w:tc>
        <w:tc>
          <w:tcPr>
            <w:tcW w:w="3924" w:type="dxa"/>
            <w:vAlign w:val="bottom"/>
            <w:hideMark/>
          </w:tcPr>
          <w:p w:rsidR="00736328" w:rsidRPr="003C22D9" w:rsidRDefault="00736328" w:rsidP="00116E90">
            <w:pPr>
              <w:rPr>
                <w:sz w:val="20"/>
                <w:szCs w:val="20"/>
              </w:rPr>
            </w:pPr>
            <w:r w:rsidRPr="003C22D9">
              <w:rPr>
                <w:sz w:val="20"/>
                <w:szCs w:val="20"/>
              </w:rPr>
              <w:t>ne vairāk par 1</w:t>
            </w:r>
            <w:r>
              <w:rPr>
                <w:sz w:val="20"/>
                <w:szCs w:val="20"/>
              </w:rPr>
              <w:t>647</w:t>
            </w:r>
          </w:p>
        </w:tc>
      </w:tr>
      <w:tr w:rsidR="00736328" w:rsidRPr="003C22D9" w:rsidTr="00736328">
        <w:trPr>
          <w:tblCellSpacing w:w="15" w:type="dxa"/>
        </w:trPr>
        <w:tc>
          <w:tcPr>
            <w:tcW w:w="2152" w:type="dxa"/>
            <w:vAlign w:val="bottom"/>
            <w:hideMark/>
          </w:tcPr>
          <w:p w:rsidR="00736328" w:rsidRPr="003C22D9" w:rsidRDefault="00736328" w:rsidP="00116E90">
            <w:pPr>
              <w:rPr>
                <w:sz w:val="20"/>
                <w:szCs w:val="20"/>
              </w:rPr>
            </w:pPr>
            <w:r w:rsidRPr="003C22D9">
              <w:rPr>
                <w:sz w:val="20"/>
                <w:szCs w:val="20"/>
              </w:rPr>
              <w:t>11</w:t>
            </w:r>
          </w:p>
        </w:tc>
        <w:tc>
          <w:tcPr>
            <w:tcW w:w="3924" w:type="dxa"/>
            <w:vAlign w:val="bottom"/>
            <w:hideMark/>
          </w:tcPr>
          <w:p w:rsidR="00736328" w:rsidRPr="003C22D9" w:rsidRDefault="00736328" w:rsidP="00116E90">
            <w:pPr>
              <w:rPr>
                <w:sz w:val="20"/>
                <w:szCs w:val="20"/>
              </w:rPr>
            </w:pPr>
            <w:r w:rsidRPr="003C22D9">
              <w:rPr>
                <w:sz w:val="20"/>
                <w:szCs w:val="20"/>
              </w:rPr>
              <w:t xml:space="preserve">ne vairāk par </w:t>
            </w:r>
            <w:r>
              <w:rPr>
                <w:sz w:val="20"/>
                <w:szCs w:val="20"/>
              </w:rPr>
              <w:t>1382</w:t>
            </w:r>
          </w:p>
        </w:tc>
      </w:tr>
      <w:tr w:rsidR="00736328" w:rsidRPr="003C22D9" w:rsidTr="00736328">
        <w:trPr>
          <w:tblCellSpacing w:w="15" w:type="dxa"/>
        </w:trPr>
        <w:tc>
          <w:tcPr>
            <w:tcW w:w="2152" w:type="dxa"/>
            <w:vAlign w:val="bottom"/>
            <w:hideMark/>
          </w:tcPr>
          <w:p w:rsidR="00736328" w:rsidRPr="003C22D9" w:rsidRDefault="00736328" w:rsidP="00116E90">
            <w:pPr>
              <w:rPr>
                <w:sz w:val="20"/>
                <w:szCs w:val="20"/>
              </w:rPr>
            </w:pPr>
            <w:r w:rsidRPr="003C22D9">
              <w:rPr>
                <w:sz w:val="20"/>
                <w:szCs w:val="20"/>
              </w:rPr>
              <w:t>10</w:t>
            </w:r>
          </w:p>
        </w:tc>
        <w:tc>
          <w:tcPr>
            <w:tcW w:w="3924" w:type="dxa"/>
            <w:vAlign w:val="bottom"/>
            <w:hideMark/>
          </w:tcPr>
          <w:p w:rsidR="00736328" w:rsidRPr="003C22D9" w:rsidRDefault="00736328" w:rsidP="00116E90">
            <w:pPr>
              <w:rPr>
                <w:sz w:val="20"/>
                <w:szCs w:val="20"/>
              </w:rPr>
            </w:pPr>
            <w:r w:rsidRPr="003C22D9">
              <w:rPr>
                <w:sz w:val="20"/>
                <w:szCs w:val="20"/>
              </w:rPr>
              <w:t xml:space="preserve">ne vairāk par </w:t>
            </w:r>
            <w:r>
              <w:rPr>
                <w:sz w:val="20"/>
                <w:szCs w:val="20"/>
              </w:rPr>
              <w:t>1174</w:t>
            </w:r>
          </w:p>
        </w:tc>
      </w:tr>
      <w:tr w:rsidR="00736328" w:rsidRPr="003C22D9" w:rsidTr="00736328">
        <w:trPr>
          <w:tblCellSpacing w:w="15" w:type="dxa"/>
        </w:trPr>
        <w:tc>
          <w:tcPr>
            <w:tcW w:w="2152" w:type="dxa"/>
            <w:vAlign w:val="bottom"/>
            <w:hideMark/>
          </w:tcPr>
          <w:p w:rsidR="00736328" w:rsidRPr="003C22D9" w:rsidRDefault="00736328" w:rsidP="00116E90">
            <w:pPr>
              <w:rPr>
                <w:sz w:val="20"/>
                <w:szCs w:val="20"/>
              </w:rPr>
            </w:pPr>
            <w:r w:rsidRPr="003C22D9">
              <w:rPr>
                <w:sz w:val="20"/>
                <w:szCs w:val="20"/>
              </w:rPr>
              <w:t>9</w:t>
            </w:r>
          </w:p>
        </w:tc>
        <w:tc>
          <w:tcPr>
            <w:tcW w:w="3924" w:type="dxa"/>
            <w:vAlign w:val="bottom"/>
            <w:hideMark/>
          </w:tcPr>
          <w:p w:rsidR="00736328" w:rsidRPr="003C22D9" w:rsidRDefault="00736328" w:rsidP="00116E90">
            <w:pPr>
              <w:rPr>
                <w:sz w:val="20"/>
                <w:szCs w:val="20"/>
              </w:rPr>
            </w:pPr>
            <w:r w:rsidRPr="003C22D9">
              <w:rPr>
                <w:sz w:val="20"/>
                <w:szCs w:val="20"/>
              </w:rPr>
              <w:t xml:space="preserve">ne vairāk par </w:t>
            </w:r>
            <w:r>
              <w:rPr>
                <w:sz w:val="20"/>
                <w:szCs w:val="20"/>
              </w:rPr>
              <w:t>994</w:t>
            </w:r>
          </w:p>
        </w:tc>
      </w:tr>
      <w:tr w:rsidR="00736328" w:rsidRPr="003C22D9" w:rsidTr="00736328">
        <w:trPr>
          <w:tblCellSpacing w:w="15" w:type="dxa"/>
        </w:trPr>
        <w:tc>
          <w:tcPr>
            <w:tcW w:w="2152" w:type="dxa"/>
            <w:vAlign w:val="bottom"/>
            <w:hideMark/>
          </w:tcPr>
          <w:p w:rsidR="00736328" w:rsidRPr="003C22D9" w:rsidRDefault="00736328" w:rsidP="00116E90">
            <w:pPr>
              <w:rPr>
                <w:sz w:val="20"/>
                <w:szCs w:val="20"/>
              </w:rPr>
            </w:pPr>
            <w:r w:rsidRPr="003C22D9">
              <w:rPr>
                <w:sz w:val="20"/>
                <w:szCs w:val="20"/>
              </w:rPr>
              <w:t>8</w:t>
            </w:r>
          </w:p>
        </w:tc>
        <w:tc>
          <w:tcPr>
            <w:tcW w:w="3924" w:type="dxa"/>
            <w:vAlign w:val="bottom"/>
            <w:hideMark/>
          </w:tcPr>
          <w:p w:rsidR="00736328" w:rsidRPr="003C22D9" w:rsidRDefault="00736328" w:rsidP="00116E90">
            <w:pPr>
              <w:rPr>
                <w:sz w:val="20"/>
                <w:szCs w:val="20"/>
              </w:rPr>
            </w:pPr>
            <w:r w:rsidRPr="003C22D9">
              <w:rPr>
                <w:sz w:val="20"/>
                <w:szCs w:val="20"/>
              </w:rPr>
              <w:t xml:space="preserve">ne vairāk par </w:t>
            </w:r>
            <w:r>
              <w:rPr>
                <w:sz w:val="20"/>
                <w:szCs w:val="20"/>
              </w:rPr>
              <w:t>874</w:t>
            </w:r>
          </w:p>
        </w:tc>
      </w:tr>
      <w:tr w:rsidR="00736328" w:rsidRPr="003C22D9" w:rsidTr="00736328">
        <w:trPr>
          <w:tblCellSpacing w:w="15" w:type="dxa"/>
        </w:trPr>
        <w:tc>
          <w:tcPr>
            <w:tcW w:w="2152" w:type="dxa"/>
            <w:vAlign w:val="bottom"/>
            <w:hideMark/>
          </w:tcPr>
          <w:p w:rsidR="00736328" w:rsidRPr="003C22D9" w:rsidRDefault="00736328" w:rsidP="00116E90">
            <w:pPr>
              <w:rPr>
                <w:sz w:val="20"/>
                <w:szCs w:val="20"/>
              </w:rPr>
            </w:pPr>
            <w:r w:rsidRPr="003C22D9">
              <w:rPr>
                <w:sz w:val="20"/>
                <w:szCs w:val="20"/>
              </w:rPr>
              <w:t>7</w:t>
            </w:r>
          </w:p>
        </w:tc>
        <w:tc>
          <w:tcPr>
            <w:tcW w:w="3924" w:type="dxa"/>
            <w:vAlign w:val="bottom"/>
            <w:hideMark/>
          </w:tcPr>
          <w:p w:rsidR="00736328" w:rsidRPr="003C22D9" w:rsidRDefault="00736328" w:rsidP="005F449C">
            <w:pPr>
              <w:rPr>
                <w:sz w:val="20"/>
                <w:szCs w:val="20"/>
              </w:rPr>
            </w:pPr>
            <w:r w:rsidRPr="003C22D9">
              <w:rPr>
                <w:sz w:val="20"/>
                <w:szCs w:val="20"/>
              </w:rPr>
              <w:t xml:space="preserve">ne vairāk par </w:t>
            </w:r>
            <w:r>
              <w:rPr>
                <w:sz w:val="20"/>
                <w:szCs w:val="20"/>
              </w:rPr>
              <w:t>750</w:t>
            </w:r>
          </w:p>
        </w:tc>
      </w:tr>
      <w:tr w:rsidR="00736328" w:rsidRPr="003C22D9" w:rsidTr="00736328">
        <w:trPr>
          <w:tblCellSpacing w:w="15" w:type="dxa"/>
        </w:trPr>
        <w:tc>
          <w:tcPr>
            <w:tcW w:w="2152" w:type="dxa"/>
            <w:vAlign w:val="bottom"/>
            <w:hideMark/>
          </w:tcPr>
          <w:p w:rsidR="00736328" w:rsidRPr="003C22D9" w:rsidRDefault="00736328" w:rsidP="00116E90">
            <w:pPr>
              <w:rPr>
                <w:sz w:val="20"/>
                <w:szCs w:val="20"/>
              </w:rPr>
            </w:pPr>
            <w:r w:rsidRPr="003C22D9">
              <w:rPr>
                <w:sz w:val="20"/>
                <w:szCs w:val="20"/>
              </w:rPr>
              <w:t>6</w:t>
            </w:r>
          </w:p>
        </w:tc>
        <w:tc>
          <w:tcPr>
            <w:tcW w:w="3924" w:type="dxa"/>
            <w:vAlign w:val="bottom"/>
            <w:hideMark/>
          </w:tcPr>
          <w:p w:rsidR="00736328" w:rsidRPr="003C22D9" w:rsidRDefault="00736328" w:rsidP="005F449C">
            <w:pPr>
              <w:rPr>
                <w:sz w:val="20"/>
                <w:szCs w:val="20"/>
              </w:rPr>
            </w:pPr>
            <w:r w:rsidRPr="003C22D9">
              <w:rPr>
                <w:sz w:val="20"/>
                <w:szCs w:val="20"/>
              </w:rPr>
              <w:t xml:space="preserve">ne vairāk par </w:t>
            </w:r>
            <w:r>
              <w:rPr>
                <w:sz w:val="20"/>
                <w:szCs w:val="20"/>
              </w:rPr>
              <w:t>665</w:t>
            </w:r>
          </w:p>
        </w:tc>
      </w:tr>
      <w:tr w:rsidR="00736328" w:rsidRPr="003C22D9" w:rsidTr="00736328">
        <w:trPr>
          <w:tblCellSpacing w:w="15" w:type="dxa"/>
        </w:trPr>
        <w:tc>
          <w:tcPr>
            <w:tcW w:w="2152" w:type="dxa"/>
            <w:vAlign w:val="bottom"/>
            <w:hideMark/>
          </w:tcPr>
          <w:p w:rsidR="00736328" w:rsidRPr="003C22D9" w:rsidRDefault="00736328" w:rsidP="00116E90">
            <w:pPr>
              <w:rPr>
                <w:sz w:val="20"/>
                <w:szCs w:val="20"/>
              </w:rPr>
            </w:pPr>
            <w:r w:rsidRPr="003C22D9">
              <w:rPr>
                <w:sz w:val="20"/>
                <w:szCs w:val="20"/>
              </w:rPr>
              <w:t>5</w:t>
            </w:r>
          </w:p>
        </w:tc>
        <w:tc>
          <w:tcPr>
            <w:tcW w:w="3924" w:type="dxa"/>
            <w:vAlign w:val="bottom"/>
            <w:hideMark/>
          </w:tcPr>
          <w:p w:rsidR="00736328" w:rsidRPr="003C22D9" w:rsidRDefault="00736328" w:rsidP="005F449C">
            <w:pPr>
              <w:rPr>
                <w:sz w:val="20"/>
                <w:szCs w:val="20"/>
              </w:rPr>
            </w:pPr>
            <w:r w:rsidRPr="003C22D9">
              <w:rPr>
                <w:sz w:val="20"/>
                <w:szCs w:val="20"/>
              </w:rPr>
              <w:t xml:space="preserve">ne vairāk par </w:t>
            </w:r>
            <w:r>
              <w:rPr>
                <w:sz w:val="20"/>
                <w:szCs w:val="20"/>
              </w:rPr>
              <w:t>574</w:t>
            </w:r>
          </w:p>
        </w:tc>
      </w:tr>
      <w:tr w:rsidR="00736328" w:rsidRPr="003C22D9" w:rsidTr="00736328">
        <w:trPr>
          <w:tblCellSpacing w:w="15" w:type="dxa"/>
        </w:trPr>
        <w:tc>
          <w:tcPr>
            <w:tcW w:w="2152" w:type="dxa"/>
            <w:vAlign w:val="bottom"/>
            <w:hideMark/>
          </w:tcPr>
          <w:p w:rsidR="00736328" w:rsidRPr="003C22D9" w:rsidRDefault="00736328" w:rsidP="00116E90">
            <w:pPr>
              <w:rPr>
                <w:sz w:val="20"/>
                <w:szCs w:val="20"/>
              </w:rPr>
            </w:pPr>
            <w:r w:rsidRPr="003C22D9">
              <w:rPr>
                <w:sz w:val="20"/>
                <w:szCs w:val="20"/>
              </w:rPr>
              <w:t>4</w:t>
            </w:r>
          </w:p>
        </w:tc>
        <w:tc>
          <w:tcPr>
            <w:tcW w:w="3924" w:type="dxa"/>
            <w:vAlign w:val="bottom"/>
            <w:hideMark/>
          </w:tcPr>
          <w:p w:rsidR="00736328" w:rsidRPr="003C22D9" w:rsidRDefault="00736328" w:rsidP="005F449C">
            <w:pPr>
              <w:rPr>
                <w:sz w:val="20"/>
                <w:szCs w:val="20"/>
              </w:rPr>
            </w:pPr>
            <w:r w:rsidRPr="003C22D9">
              <w:rPr>
                <w:sz w:val="20"/>
                <w:szCs w:val="20"/>
              </w:rPr>
              <w:t xml:space="preserve">ne vairāk par </w:t>
            </w:r>
            <w:r>
              <w:rPr>
                <w:sz w:val="20"/>
                <w:szCs w:val="20"/>
              </w:rPr>
              <w:t>510</w:t>
            </w:r>
          </w:p>
        </w:tc>
      </w:tr>
      <w:tr w:rsidR="00736328" w:rsidRPr="003C22D9" w:rsidTr="00736328">
        <w:trPr>
          <w:tblCellSpacing w:w="15" w:type="dxa"/>
        </w:trPr>
        <w:tc>
          <w:tcPr>
            <w:tcW w:w="2152" w:type="dxa"/>
            <w:vAlign w:val="bottom"/>
            <w:hideMark/>
          </w:tcPr>
          <w:p w:rsidR="00736328" w:rsidRPr="003C22D9" w:rsidRDefault="00736328" w:rsidP="00116E90">
            <w:pPr>
              <w:rPr>
                <w:sz w:val="20"/>
                <w:szCs w:val="20"/>
              </w:rPr>
            </w:pPr>
            <w:r w:rsidRPr="003C22D9">
              <w:rPr>
                <w:sz w:val="20"/>
                <w:szCs w:val="20"/>
              </w:rPr>
              <w:t>3</w:t>
            </w:r>
          </w:p>
        </w:tc>
        <w:tc>
          <w:tcPr>
            <w:tcW w:w="3924" w:type="dxa"/>
            <w:vAlign w:val="bottom"/>
            <w:hideMark/>
          </w:tcPr>
          <w:p w:rsidR="00736328" w:rsidRPr="003C22D9" w:rsidRDefault="00736328" w:rsidP="005F449C">
            <w:pPr>
              <w:rPr>
                <w:sz w:val="20"/>
                <w:szCs w:val="20"/>
              </w:rPr>
            </w:pPr>
            <w:r w:rsidRPr="003C22D9">
              <w:rPr>
                <w:sz w:val="20"/>
                <w:szCs w:val="20"/>
              </w:rPr>
              <w:t xml:space="preserve">ne vairāk par </w:t>
            </w:r>
            <w:r>
              <w:rPr>
                <w:sz w:val="20"/>
                <w:szCs w:val="20"/>
              </w:rPr>
              <w:t>430</w:t>
            </w:r>
          </w:p>
        </w:tc>
      </w:tr>
      <w:tr w:rsidR="00736328" w:rsidRPr="003C22D9" w:rsidTr="00736328">
        <w:trPr>
          <w:tblCellSpacing w:w="15" w:type="dxa"/>
        </w:trPr>
        <w:tc>
          <w:tcPr>
            <w:tcW w:w="2152" w:type="dxa"/>
            <w:vAlign w:val="bottom"/>
            <w:hideMark/>
          </w:tcPr>
          <w:p w:rsidR="00736328" w:rsidRPr="003C22D9" w:rsidRDefault="00736328" w:rsidP="00116E90">
            <w:pPr>
              <w:rPr>
                <w:sz w:val="20"/>
                <w:szCs w:val="20"/>
              </w:rPr>
            </w:pPr>
            <w:r w:rsidRPr="003C22D9">
              <w:rPr>
                <w:sz w:val="20"/>
                <w:szCs w:val="20"/>
              </w:rPr>
              <w:t>2</w:t>
            </w:r>
          </w:p>
        </w:tc>
        <w:tc>
          <w:tcPr>
            <w:tcW w:w="3924" w:type="dxa"/>
            <w:vAlign w:val="bottom"/>
            <w:hideMark/>
          </w:tcPr>
          <w:p w:rsidR="00736328" w:rsidRPr="003C22D9" w:rsidRDefault="00736328" w:rsidP="005F449C">
            <w:pPr>
              <w:rPr>
                <w:sz w:val="20"/>
                <w:szCs w:val="20"/>
              </w:rPr>
            </w:pPr>
            <w:r w:rsidRPr="003C22D9">
              <w:rPr>
                <w:sz w:val="20"/>
                <w:szCs w:val="20"/>
              </w:rPr>
              <w:t xml:space="preserve">ne vairāk par </w:t>
            </w:r>
            <w:r>
              <w:rPr>
                <w:sz w:val="20"/>
                <w:szCs w:val="20"/>
              </w:rPr>
              <w:t>385</w:t>
            </w:r>
          </w:p>
        </w:tc>
      </w:tr>
      <w:tr w:rsidR="00736328" w:rsidRPr="003C22D9" w:rsidTr="00736328">
        <w:trPr>
          <w:tblCellSpacing w:w="15" w:type="dxa"/>
        </w:trPr>
        <w:tc>
          <w:tcPr>
            <w:tcW w:w="2152" w:type="dxa"/>
            <w:vAlign w:val="bottom"/>
            <w:hideMark/>
          </w:tcPr>
          <w:p w:rsidR="00736328" w:rsidRPr="003C22D9" w:rsidRDefault="00736328" w:rsidP="00116E90">
            <w:pPr>
              <w:rPr>
                <w:sz w:val="20"/>
                <w:szCs w:val="20"/>
              </w:rPr>
            </w:pPr>
            <w:r w:rsidRPr="003C22D9">
              <w:rPr>
                <w:sz w:val="20"/>
                <w:szCs w:val="20"/>
              </w:rPr>
              <w:t>1</w:t>
            </w:r>
          </w:p>
        </w:tc>
        <w:tc>
          <w:tcPr>
            <w:tcW w:w="3924" w:type="dxa"/>
            <w:vAlign w:val="bottom"/>
            <w:hideMark/>
          </w:tcPr>
          <w:p w:rsidR="00736328" w:rsidRPr="003C22D9" w:rsidRDefault="00736328" w:rsidP="005F449C">
            <w:pPr>
              <w:rPr>
                <w:sz w:val="20"/>
                <w:szCs w:val="20"/>
              </w:rPr>
            </w:pPr>
            <w:r w:rsidRPr="003C22D9">
              <w:rPr>
                <w:sz w:val="20"/>
                <w:szCs w:val="20"/>
              </w:rPr>
              <w:t xml:space="preserve">ne vairāk par </w:t>
            </w:r>
            <w:r>
              <w:rPr>
                <w:sz w:val="20"/>
                <w:szCs w:val="20"/>
              </w:rPr>
              <w:t>319</w:t>
            </w:r>
          </w:p>
        </w:tc>
      </w:tr>
    </w:tbl>
    <w:p w:rsidR="00736328" w:rsidRPr="00FB0DE9" w:rsidRDefault="00736328" w:rsidP="00052245">
      <w:pPr>
        <w:pStyle w:val="FootnoteText"/>
        <w:rPr>
          <w:lang w:val="lv-LV"/>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D7ED7"/>
    <w:multiLevelType w:val="hybridMultilevel"/>
    <w:tmpl w:val="79BA3396"/>
    <w:lvl w:ilvl="0" w:tplc="0CDA73EA">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D3"/>
    <w:rsid w:val="0002756E"/>
    <w:rsid w:val="00052245"/>
    <w:rsid w:val="00063C85"/>
    <w:rsid w:val="000A2D06"/>
    <w:rsid w:val="000C4302"/>
    <w:rsid w:val="001215D8"/>
    <w:rsid w:val="001322B4"/>
    <w:rsid w:val="001633C8"/>
    <w:rsid w:val="00195D9A"/>
    <w:rsid w:val="001B01A3"/>
    <w:rsid w:val="001B6AFC"/>
    <w:rsid w:val="001C14B1"/>
    <w:rsid w:val="001C6DD3"/>
    <w:rsid w:val="001E1E8D"/>
    <w:rsid w:val="001E3234"/>
    <w:rsid w:val="001F0FE8"/>
    <w:rsid w:val="00205478"/>
    <w:rsid w:val="002058E4"/>
    <w:rsid w:val="002626F7"/>
    <w:rsid w:val="002668A4"/>
    <w:rsid w:val="00286478"/>
    <w:rsid w:val="00292D3C"/>
    <w:rsid w:val="002B2358"/>
    <w:rsid w:val="00313C96"/>
    <w:rsid w:val="00320D73"/>
    <w:rsid w:val="00331510"/>
    <w:rsid w:val="0033195D"/>
    <w:rsid w:val="00342E68"/>
    <w:rsid w:val="003450B3"/>
    <w:rsid w:val="00350322"/>
    <w:rsid w:val="00370D6A"/>
    <w:rsid w:val="003747F2"/>
    <w:rsid w:val="00380FE9"/>
    <w:rsid w:val="003B7FD2"/>
    <w:rsid w:val="003C22D9"/>
    <w:rsid w:val="003E64AD"/>
    <w:rsid w:val="003F0345"/>
    <w:rsid w:val="004137D3"/>
    <w:rsid w:val="004174C6"/>
    <w:rsid w:val="0042397E"/>
    <w:rsid w:val="00452ECC"/>
    <w:rsid w:val="00473E79"/>
    <w:rsid w:val="004839D7"/>
    <w:rsid w:val="004A7DE9"/>
    <w:rsid w:val="004B0AB6"/>
    <w:rsid w:val="004C3651"/>
    <w:rsid w:val="004C7BBA"/>
    <w:rsid w:val="004D7013"/>
    <w:rsid w:val="004F2A70"/>
    <w:rsid w:val="004F33C6"/>
    <w:rsid w:val="004F3B57"/>
    <w:rsid w:val="00510639"/>
    <w:rsid w:val="005603B5"/>
    <w:rsid w:val="00574E84"/>
    <w:rsid w:val="00593C84"/>
    <w:rsid w:val="005960AD"/>
    <w:rsid w:val="0059621D"/>
    <w:rsid w:val="005A5DFF"/>
    <w:rsid w:val="005D294E"/>
    <w:rsid w:val="005E2475"/>
    <w:rsid w:val="005F449C"/>
    <w:rsid w:val="005F5A7A"/>
    <w:rsid w:val="006056E0"/>
    <w:rsid w:val="00607D07"/>
    <w:rsid w:val="006150BE"/>
    <w:rsid w:val="006412D8"/>
    <w:rsid w:val="00642884"/>
    <w:rsid w:val="0064646B"/>
    <w:rsid w:val="006569AC"/>
    <w:rsid w:val="0068343E"/>
    <w:rsid w:val="006B3705"/>
    <w:rsid w:val="006B5019"/>
    <w:rsid w:val="006B5218"/>
    <w:rsid w:val="006F0875"/>
    <w:rsid w:val="00730814"/>
    <w:rsid w:val="00736328"/>
    <w:rsid w:val="00746827"/>
    <w:rsid w:val="00761735"/>
    <w:rsid w:val="00762B87"/>
    <w:rsid w:val="00767BD9"/>
    <w:rsid w:val="00790E32"/>
    <w:rsid w:val="0079274E"/>
    <w:rsid w:val="007E4A71"/>
    <w:rsid w:val="007F2BC1"/>
    <w:rsid w:val="00812845"/>
    <w:rsid w:val="00836A8B"/>
    <w:rsid w:val="008411BC"/>
    <w:rsid w:val="00843EE9"/>
    <w:rsid w:val="008709BB"/>
    <w:rsid w:val="008744C7"/>
    <w:rsid w:val="008756A4"/>
    <w:rsid w:val="008A190E"/>
    <w:rsid w:val="00901483"/>
    <w:rsid w:val="00942889"/>
    <w:rsid w:val="00942A1C"/>
    <w:rsid w:val="00970F44"/>
    <w:rsid w:val="00990028"/>
    <w:rsid w:val="009D130E"/>
    <w:rsid w:val="009D28E9"/>
    <w:rsid w:val="009E21DF"/>
    <w:rsid w:val="009E7F24"/>
    <w:rsid w:val="00A008A7"/>
    <w:rsid w:val="00A4071B"/>
    <w:rsid w:val="00A93186"/>
    <w:rsid w:val="00AA1C8F"/>
    <w:rsid w:val="00AC0C79"/>
    <w:rsid w:val="00AC5477"/>
    <w:rsid w:val="00AD03E9"/>
    <w:rsid w:val="00AD24B6"/>
    <w:rsid w:val="00AD5EE6"/>
    <w:rsid w:val="00B16BAA"/>
    <w:rsid w:val="00B61542"/>
    <w:rsid w:val="00B70969"/>
    <w:rsid w:val="00B8678D"/>
    <w:rsid w:val="00BA6155"/>
    <w:rsid w:val="00BC2DAA"/>
    <w:rsid w:val="00BF5071"/>
    <w:rsid w:val="00C00213"/>
    <w:rsid w:val="00C40C06"/>
    <w:rsid w:val="00C57E21"/>
    <w:rsid w:val="00C61BF3"/>
    <w:rsid w:val="00C61CC6"/>
    <w:rsid w:val="00C87D9C"/>
    <w:rsid w:val="00CB589F"/>
    <w:rsid w:val="00CE74CD"/>
    <w:rsid w:val="00D03446"/>
    <w:rsid w:val="00D07956"/>
    <w:rsid w:val="00D1184B"/>
    <w:rsid w:val="00D34F9B"/>
    <w:rsid w:val="00D51256"/>
    <w:rsid w:val="00D6417F"/>
    <w:rsid w:val="00D75027"/>
    <w:rsid w:val="00D843C1"/>
    <w:rsid w:val="00E0539F"/>
    <w:rsid w:val="00E05547"/>
    <w:rsid w:val="00E201E6"/>
    <w:rsid w:val="00E24DFD"/>
    <w:rsid w:val="00E447E4"/>
    <w:rsid w:val="00E849DF"/>
    <w:rsid w:val="00EB30B0"/>
    <w:rsid w:val="00EB59D1"/>
    <w:rsid w:val="00EC7DC4"/>
    <w:rsid w:val="00EF1F3E"/>
    <w:rsid w:val="00F074C8"/>
    <w:rsid w:val="00F1218F"/>
    <w:rsid w:val="00F14EEE"/>
    <w:rsid w:val="00F44802"/>
    <w:rsid w:val="00F85D4D"/>
    <w:rsid w:val="00F95DCA"/>
    <w:rsid w:val="00FA0622"/>
    <w:rsid w:val="00FA6BCF"/>
    <w:rsid w:val="00FB0DE9"/>
    <w:rsid w:val="00FC626C"/>
    <w:rsid w:val="00FE33EB"/>
    <w:rsid w:val="00FF35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37D3"/>
    <w:rPr>
      <w:sz w:val="24"/>
      <w:szCs w:val="24"/>
      <w:lang w:val="en-GB" w:eastAsia="en-US"/>
    </w:rPr>
  </w:style>
  <w:style w:type="paragraph" w:styleId="Heading1">
    <w:name w:val="heading 1"/>
    <w:basedOn w:val="Normal"/>
    <w:next w:val="Normal"/>
    <w:qFormat/>
    <w:rsid w:val="004137D3"/>
    <w:pPr>
      <w:keepNext/>
      <w:jc w:val="center"/>
      <w:outlineLvl w:val="0"/>
    </w:pPr>
    <w:rPr>
      <w:b/>
      <w:bCs/>
      <w:iCs/>
      <w:lang w:val="lv-LV"/>
    </w:rPr>
  </w:style>
  <w:style w:type="paragraph" w:styleId="Heading2">
    <w:name w:val="heading 2"/>
    <w:basedOn w:val="Normal"/>
    <w:next w:val="Normal"/>
    <w:qFormat/>
    <w:rsid w:val="00510639"/>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E24DF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137D3"/>
    <w:pPr>
      <w:jc w:val="center"/>
    </w:pPr>
    <w:rPr>
      <w:b/>
      <w:szCs w:val="20"/>
      <w:lang w:val="lv-LV"/>
    </w:rPr>
  </w:style>
  <w:style w:type="paragraph" w:styleId="BodyText">
    <w:name w:val="Body Text"/>
    <w:basedOn w:val="Normal"/>
    <w:rsid w:val="004137D3"/>
    <w:pPr>
      <w:spacing w:before="100" w:beforeAutospacing="1" w:after="100" w:afterAutospacing="1"/>
    </w:pPr>
    <w:rPr>
      <w:lang w:val="lv-LV" w:eastAsia="lv-LV"/>
    </w:rPr>
  </w:style>
  <w:style w:type="paragraph" w:styleId="Caption">
    <w:name w:val="caption"/>
    <w:basedOn w:val="Normal"/>
    <w:next w:val="Normal"/>
    <w:qFormat/>
    <w:rsid w:val="004137D3"/>
    <w:rPr>
      <w:b/>
      <w:bCs/>
      <w:sz w:val="20"/>
      <w:szCs w:val="20"/>
    </w:rPr>
  </w:style>
  <w:style w:type="paragraph" w:styleId="Footer">
    <w:name w:val="footer"/>
    <w:basedOn w:val="Normal"/>
    <w:rsid w:val="004137D3"/>
    <w:pPr>
      <w:tabs>
        <w:tab w:val="center" w:pos="4153"/>
        <w:tab w:val="right" w:pos="8306"/>
      </w:tabs>
    </w:pPr>
  </w:style>
  <w:style w:type="character" w:styleId="PageNumber">
    <w:name w:val="page number"/>
    <w:basedOn w:val="DefaultParagraphFont"/>
    <w:rsid w:val="004137D3"/>
  </w:style>
  <w:style w:type="paragraph" w:styleId="NormalWeb">
    <w:name w:val="Normal (Web)"/>
    <w:basedOn w:val="Normal"/>
    <w:rsid w:val="00E24DFD"/>
    <w:pPr>
      <w:spacing w:before="109" w:after="109"/>
      <w:ind w:firstLine="545"/>
      <w:jc w:val="both"/>
    </w:pPr>
    <w:rPr>
      <w:lang w:val="lv-LV" w:eastAsia="lv-LV"/>
    </w:rPr>
  </w:style>
  <w:style w:type="paragraph" w:styleId="BodyTextIndent">
    <w:name w:val="Body Text Indent"/>
    <w:basedOn w:val="Normal"/>
    <w:rsid w:val="001B01A3"/>
    <w:pPr>
      <w:spacing w:after="120"/>
      <w:ind w:left="283"/>
    </w:pPr>
  </w:style>
  <w:style w:type="paragraph" w:customStyle="1" w:styleId="naisf">
    <w:name w:val="naisf"/>
    <w:basedOn w:val="Normal"/>
    <w:rsid w:val="00AC0C79"/>
    <w:pPr>
      <w:spacing w:before="75" w:after="75"/>
      <w:ind w:firstLine="375"/>
      <w:jc w:val="both"/>
    </w:pPr>
    <w:rPr>
      <w:lang w:val="lv-LV" w:eastAsia="lv-LV"/>
    </w:rPr>
  </w:style>
  <w:style w:type="paragraph" w:customStyle="1" w:styleId="naisnod">
    <w:name w:val="naisnod"/>
    <w:basedOn w:val="Normal"/>
    <w:rsid w:val="008744C7"/>
    <w:pPr>
      <w:spacing w:before="450" w:after="225"/>
      <w:jc w:val="center"/>
    </w:pPr>
    <w:rPr>
      <w:b/>
      <w:bCs/>
      <w:sz w:val="26"/>
      <w:szCs w:val="26"/>
      <w:lang w:val="lv-LV" w:eastAsia="lv-LV"/>
    </w:rPr>
  </w:style>
  <w:style w:type="paragraph" w:customStyle="1" w:styleId="naispant">
    <w:name w:val="naispant"/>
    <w:basedOn w:val="Normal"/>
    <w:rsid w:val="00BF5071"/>
    <w:pPr>
      <w:spacing w:before="100" w:beforeAutospacing="1" w:after="100" w:afterAutospacing="1"/>
    </w:pPr>
    <w:rPr>
      <w:lang w:val="lv-LV" w:eastAsia="lv-LV"/>
    </w:rPr>
  </w:style>
  <w:style w:type="character" w:styleId="Hyperlink">
    <w:name w:val="Hyperlink"/>
    <w:uiPriority w:val="99"/>
    <w:rsid w:val="00EF1F3E"/>
    <w:rPr>
      <w:color w:val="0000FF"/>
      <w:u w:val="single"/>
    </w:rPr>
  </w:style>
  <w:style w:type="paragraph" w:styleId="FootnoteText">
    <w:name w:val="footnote text"/>
    <w:basedOn w:val="Normal"/>
    <w:link w:val="FootnoteTextChar"/>
    <w:semiHidden/>
    <w:rsid w:val="00AD5EE6"/>
    <w:rPr>
      <w:sz w:val="20"/>
      <w:szCs w:val="20"/>
    </w:rPr>
  </w:style>
  <w:style w:type="character" w:styleId="FootnoteReference">
    <w:name w:val="footnote reference"/>
    <w:semiHidden/>
    <w:rsid w:val="00AD5EE6"/>
    <w:rPr>
      <w:vertAlign w:val="superscript"/>
    </w:rPr>
  </w:style>
  <w:style w:type="paragraph" w:styleId="BalloonText">
    <w:name w:val="Balloon Text"/>
    <w:basedOn w:val="Normal"/>
    <w:semiHidden/>
    <w:rsid w:val="005F5A7A"/>
    <w:rPr>
      <w:rFonts w:ascii="Tahoma" w:hAnsi="Tahoma" w:cs="Tahoma"/>
      <w:sz w:val="16"/>
      <w:szCs w:val="16"/>
    </w:rPr>
  </w:style>
  <w:style w:type="paragraph" w:customStyle="1" w:styleId="tv2131">
    <w:name w:val="tv2131"/>
    <w:basedOn w:val="Normal"/>
    <w:rsid w:val="00F44802"/>
    <w:pPr>
      <w:spacing w:line="360" w:lineRule="auto"/>
      <w:ind w:firstLine="300"/>
    </w:pPr>
    <w:rPr>
      <w:color w:val="414142"/>
      <w:sz w:val="20"/>
      <w:szCs w:val="20"/>
      <w:lang w:val="lv-LV" w:eastAsia="lv-LV"/>
    </w:rPr>
  </w:style>
  <w:style w:type="paragraph" w:styleId="EndnoteText">
    <w:name w:val="endnote text"/>
    <w:basedOn w:val="Normal"/>
    <w:link w:val="EndnoteTextChar"/>
    <w:rsid w:val="006B5218"/>
    <w:rPr>
      <w:sz w:val="20"/>
      <w:szCs w:val="20"/>
    </w:rPr>
  </w:style>
  <w:style w:type="character" w:customStyle="1" w:styleId="EndnoteTextChar">
    <w:name w:val="Endnote Text Char"/>
    <w:basedOn w:val="DefaultParagraphFont"/>
    <w:link w:val="EndnoteText"/>
    <w:rsid w:val="006B5218"/>
    <w:rPr>
      <w:lang w:val="en-GB" w:eastAsia="en-US"/>
    </w:rPr>
  </w:style>
  <w:style w:type="character" w:styleId="EndnoteReference">
    <w:name w:val="endnote reference"/>
    <w:basedOn w:val="DefaultParagraphFont"/>
    <w:rsid w:val="006B5218"/>
    <w:rPr>
      <w:vertAlign w:val="superscript"/>
    </w:rPr>
  </w:style>
  <w:style w:type="character" w:customStyle="1" w:styleId="FootnoteTextChar">
    <w:name w:val="Footnote Text Char"/>
    <w:basedOn w:val="DefaultParagraphFont"/>
    <w:link w:val="FootnoteText"/>
    <w:semiHidden/>
    <w:rsid w:val="00FB0DE9"/>
    <w:rPr>
      <w:lang w:val="en-GB" w:eastAsia="en-US"/>
    </w:rPr>
  </w:style>
  <w:style w:type="paragraph" w:styleId="ListParagraph">
    <w:name w:val="List Paragraph"/>
    <w:basedOn w:val="Normal"/>
    <w:uiPriority w:val="34"/>
    <w:qFormat/>
    <w:rsid w:val="003450B3"/>
    <w:pPr>
      <w:ind w:left="720"/>
      <w:contextualSpacing/>
    </w:pPr>
    <w:rPr>
      <w:rFonts w:ascii="Times New Roman Bold" w:eastAsia="Cambria" w:hAnsi="Times New Roman Bold"/>
      <w:b/>
      <w:kern w:val="32"/>
    </w:rPr>
  </w:style>
  <w:style w:type="paragraph" w:customStyle="1" w:styleId="labojumupamats1">
    <w:name w:val="labojumu_pamats1"/>
    <w:basedOn w:val="Normal"/>
    <w:rsid w:val="00C00213"/>
    <w:pPr>
      <w:spacing w:before="45" w:line="360" w:lineRule="auto"/>
      <w:ind w:firstLine="300"/>
    </w:pPr>
    <w:rPr>
      <w:i/>
      <w:iCs/>
      <w:color w:val="414142"/>
      <w:sz w:val="20"/>
      <w:szCs w:val="20"/>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37D3"/>
    <w:rPr>
      <w:sz w:val="24"/>
      <w:szCs w:val="24"/>
      <w:lang w:val="en-GB" w:eastAsia="en-US"/>
    </w:rPr>
  </w:style>
  <w:style w:type="paragraph" w:styleId="Heading1">
    <w:name w:val="heading 1"/>
    <w:basedOn w:val="Normal"/>
    <w:next w:val="Normal"/>
    <w:qFormat/>
    <w:rsid w:val="004137D3"/>
    <w:pPr>
      <w:keepNext/>
      <w:jc w:val="center"/>
      <w:outlineLvl w:val="0"/>
    </w:pPr>
    <w:rPr>
      <w:b/>
      <w:bCs/>
      <w:iCs/>
      <w:lang w:val="lv-LV"/>
    </w:rPr>
  </w:style>
  <w:style w:type="paragraph" w:styleId="Heading2">
    <w:name w:val="heading 2"/>
    <w:basedOn w:val="Normal"/>
    <w:next w:val="Normal"/>
    <w:qFormat/>
    <w:rsid w:val="00510639"/>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E24DF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137D3"/>
    <w:pPr>
      <w:jc w:val="center"/>
    </w:pPr>
    <w:rPr>
      <w:b/>
      <w:szCs w:val="20"/>
      <w:lang w:val="lv-LV"/>
    </w:rPr>
  </w:style>
  <w:style w:type="paragraph" w:styleId="BodyText">
    <w:name w:val="Body Text"/>
    <w:basedOn w:val="Normal"/>
    <w:rsid w:val="004137D3"/>
    <w:pPr>
      <w:spacing w:before="100" w:beforeAutospacing="1" w:after="100" w:afterAutospacing="1"/>
    </w:pPr>
    <w:rPr>
      <w:lang w:val="lv-LV" w:eastAsia="lv-LV"/>
    </w:rPr>
  </w:style>
  <w:style w:type="paragraph" w:styleId="Caption">
    <w:name w:val="caption"/>
    <w:basedOn w:val="Normal"/>
    <w:next w:val="Normal"/>
    <w:qFormat/>
    <w:rsid w:val="004137D3"/>
    <w:rPr>
      <w:b/>
      <w:bCs/>
      <w:sz w:val="20"/>
      <w:szCs w:val="20"/>
    </w:rPr>
  </w:style>
  <w:style w:type="paragraph" w:styleId="Footer">
    <w:name w:val="footer"/>
    <w:basedOn w:val="Normal"/>
    <w:rsid w:val="004137D3"/>
    <w:pPr>
      <w:tabs>
        <w:tab w:val="center" w:pos="4153"/>
        <w:tab w:val="right" w:pos="8306"/>
      </w:tabs>
    </w:pPr>
  </w:style>
  <w:style w:type="character" w:styleId="PageNumber">
    <w:name w:val="page number"/>
    <w:basedOn w:val="DefaultParagraphFont"/>
    <w:rsid w:val="004137D3"/>
  </w:style>
  <w:style w:type="paragraph" w:styleId="NormalWeb">
    <w:name w:val="Normal (Web)"/>
    <w:basedOn w:val="Normal"/>
    <w:rsid w:val="00E24DFD"/>
    <w:pPr>
      <w:spacing w:before="109" w:after="109"/>
      <w:ind w:firstLine="545"/>
      <w:jc w:val="both"/>
    </w:pPr>
    <w:rPr>
      <w:lang w:val="lv-LV" w:eastAsia="lv-LV"/>
    </w:rPr>
  </w:style>
  <w:style w:type="paragraph" w:styleId="BodyTextIndent">
    <w:name w:val="Body Text Indent"/>
    <w:basedOn w:val="Normal"/>
    <w:rsid w:val="001B01A3"/>
    <w:pPr>
      <w:spacing w:after="120"/>
      <w:ind w:left="283"/>
    </w:pPr>
  </w:style>
  <w:style w:type="paragraph" w:customStyle="1" w:styleId="naisf">
    <w:name w:val="naisf"/>
    <w:basedOn w:val="Normal"/>
    <w:rsid w:val="00AC0C79"/>
    <w:pPr>
      <w:spacing w:before="75" w:after="75"/>
      <w:ind w:firstLine="375"/>
      <w:jc w:val="both"/>
    </w:pPr>
    <w:rPr>
      <w:lang w:val="lv-LV" w:eastAsia="lv-LV"/>
    </w:rPr>
  </w:style>
  <w:style w:type="paragraph" w:customStyle="1" w:styleId="naisnod">
    <w:name w:val="naisnod"/>
    <w:basedOn w:val="Normal"/>
    <w:rsid w:val="008744C7"/>
    <w:pPr>
      <w:spacing w:before="450" w:after="225"/>
      <w:jc w:val="center"/>
    </w:pPr>
    <w:rPr>
      <w:b/>
      <w:bCs/>
      <w:sz w:val="26"/>
      <w:szCs w:val="26"/>
      <w:lang w:val="lv-LV" w:eastAsia="lv-LV"/>
    </w:rPr>
  </w:style>
  <w:style w:type="paragraph" w:customStyle="1" w:styleId="naispant">
    <w:name w:val="naispant"/>
    <w:basedOn w:val="Normal"/>
    <w:rsid w:val="00BF5071"/>
    <w:pPr>
      <w:spacing w:before="100" w:beforeAutospacing="1" w:after="100" w:afterAutospacing="1"/>
    </w:pPr>
    <w:rPr>
      <w:lang w:val="lv-LV" w:eastAsia="lv-LV"/>
    </w:rPr>
  </w:style>
  <w:style w:type="character" w:styleId="Hyperlink">
    <w:name w:val="Hyperlink"/>
    <w:uiPriority w:val="99"/>
    <w:rsid w:val="00EF1F3E"/>
    <w:rPr>
      <w:color w:val="0000FF"/>
      <w:u w:val="single"/>
    </w:rPr>
  </w:style>
  <w:style w:type="paragraph" w:styleId="FootnoteText">
    <w:name w:val="footnote text"/>
    <w:basedOn w:val="Normal"/>
    <w:link w:val="FootnoteTextChar"/>
    <w:semiHidden/>
    <w:rsid w:val="00AD5EE6"/>
    <w:rPr>
      <w:sz w:val="20"/>
      <w:szCs w:val="20"/>
    </w:rPr>
  </w:style>
  <w:style w:type="character" w:styleId="FootnoteReference">
    <w:name w:val="footnote reference"/>
    <w:semiHidden/>
    <w:rsid w:val="00AD5EE6"/>
    <w:rPr>
      <w:vertAlign w:val="superscript"/>
    </w:rPr>
  </w:style>
  <w:style w:type="paragraph" w:styleId="BalloonText">
    <w:name w:val="Balloon Text"/>
    <w:basedOn w:val="Normal"/>
    <w:semiHidden/>
    <w:rsid w:val="005F5A7A"/>
    <w:rPr>
      <w:rFonts w:ascii="Tahoma" w:hAnsi="Tahoma" w:cs="Tahoma"/>
      <w:sz w:val="16"/>
      <w:szCs w:val="16"/>
    </w:rPr>
  </w:style>
  <w:style w:type="paragraph" w:customStyle="1" w:styleId="tv2131">
    <w:name w:val="tv2131"/>
    <w:basedOn w:val="Normal"/>
    <w:rsid w:val="00F44802"/>
    <w:pPr>
      <w:spacing w:line="360" w:lineRule="auto"/>
      <w:ind w:firstLine="300"/>
    </w:pPr>
    <w:rPr>
      <w:color w:val="414142"/>
      <w:sz w:val="20"/>
      <w:szCs w:val="20"/>
      <w:lang w:val="lv-LV" w:eastAsia="lv-LV"/>
    </w:rPr>
  </w:style>
  <w:style w:type="paragraph" w:styleId="EndnoteText">
    <w:name w:val="endnote text"/>
    <w:basedOn w:val="Normal"/>
    <w:link w:val="EndnoteTextChar"/>
    <w:rsid w:val="006B5218"/>
    <w:rPr>
      <w:sz w:val="20"/>
      <w:szCs w:val="20"/>
    </w:rPr>
  </w:style>
  <w:style w:type="character" w:customStyle="1" w:styleId="EndnoteTextChar">
    <w:name w:val="Endnote Text Char"/>
    <w:basedOn w:val="DefaultParagraphFont"/>
    <w:link w:val="EndnoteText"/>
    <w:rsid w:val="006B5218"/>
    <w:rPr>
      <w:lang w:val="en-GB" w:eastAsia="en-US"/>
    </w:rPr>
  </w:style>
  <w:style w:type="character" w:styleId="EndnoteReference">
    <w:name w:val="endnote reference"/>
    <w:basedOn w:val="DefaultParagraphFont"/>
    <w:rsid w:val="006B5218"/>
    <w:rPr>
      <w:vertAlign w:val="superscript"/>
    </w:rPr>
  </w:style>
  <w:style w:type="character" w:customStyle="1" w:styleId="FootnoteTextChar">
    <w:name w:val="Footnote Text Char"/>
    <w:basedOn w:val="DefaultParagraphFont"/>
    <w:link w:val="FootnoteText"/>
    <w:semiHidden/>
    <w:rsid w:val="00FB0DE9"/>
    <w:rPr>
      <w:lang w:val="en-GB" w:eastAsia="en-US"/>
    </w:rPr>
  </w:style>
  <w:style w:type="paragraph" w:styleId="ListParagraph">
    <w:name w:val="List Paragraph"/>
    <w:basedOn w:val="Normal"/>
    <w:uiPriority w:val="34"/>
    <w:qFormat/>
    <w:rsid w:val="003450B3"/>
    <w:pPr>
      <w:ind w:left="720"/>
      <w:contextualSpacing/>
    </w:pPr>
    <w:rPr>
      <w:rFonts w:ascii="Times New Roman Bold" w:eastAsia="Cambria" w:hAnsi="Times New Roman Bold"/>
      <w:b/>
      <w:kern w:val="32"/>
    </w:rPr>
  </w:style>
  <w:style w:type="paragraph" w:customStyle="1" w:styleId="labojumupamats1">
    <w:name w:val="labojumu_pamats1"/>
    <w:basedOn w:val="Normal"/>
    <w:rsid w:val="00C00213"/>
    <w:pPr>
      <w:spacing w:before="45" w:line="360" w:lineRule="auto"/>
      <w:ind w:firstLine="300"/>
    </w:pPr>
    <w:rPr>
      <w:i/>
      <w:iCs/>
      <w:color w:val="414142"/>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6405">
      <w:bodyDiv w:val="1"/>
      <w:marLeft w:val="0"/>
      <w:marRight w:val="0"/>
      <w:marTop w:val="0"/>
      <w:marBottom w:val="0"/>
      <w:divBdr>
        <w:top w:val="none" w:sz="0" w:space="0" w:color="auto"/>
        <w:left w:val="none" w:sz="0" w:space="0" w:color="auto"/>
        <w:bottom w:val="none" w:sz="0" w:space="0" w:color="auto"/>
        <w:right w:val="none" w:sz="0" w:space="0" w:color="auto"/>
      </w:divBdr>
      <w:divsChild>
        <w:div w:id="831718600">
          <w:marLeft w:val="0"/>
          <w:marRight w:val="0"/>
          <w:marTop w:val="0"/>
          <w:marBottom w:val="0"/>
          <w:divBdr>
            <w:top w:val="none" w:sz="0" w:space="0" w:color="auto"/>
            <w:left w:val="none" w:sz="0" w:space="0" w:color="auto"/>
            <w:bottom w:val="none" w:sz="0" w:space="0" w:color="auto"/>
            <w:right w:val="none" w:sz="0" w:space="0" w:color="auto"/>
          </w:divBdr>
          <w:divsChild>
            <w:div w:id="363822934">
              <w:marLeft w:val="0"/>
              <w:marRight w:val="0"/>
              <w:marTop w:val="0"/>
              <w:marBottom w:val="0"/>
              <w:divBdr>
                <w:top w:val="none" w:sz="0" w:space="0" w:color="auto"/>
                <w:left w:val="none" w:sz="0" w:space="0" w:color="auto"/>
                <w:bottom w:val="none" w:sz="0" w:space="0" w:color="auto"/>
                <w:right w:val="none" w:sz="0" w:space="0" w:color="auto"/>
              </w:divBdr>
              <w:divsChild>
                <w:div w:id="568686731">
                  <w:marLeft w:val="0"/>
                  <w:marRight w:val="0"/>
                  <w:marTop w:val="0"/>
                  <w:marBottom w:val="0"/>
                  <w:divBdr>
                    <w:top w:val="none" w:sz="0" w:space="0" w:color="auto"/>
                    <w:left w:val="none" w:sz="0" w:space="0" w:color="auto"/>
                    <w:bottom w:val="none" w:sz="0" w:space="0" w:color="auto"/>
                    <w:right w:val="none" w:sz="0" w:space="0" w:color="auto"/>
                  </w:divBdr>
                  <w:divsChild>
                    <w:div w:id="737436736">
                      <w:marLeft w:val="0"/>
                      <w:marRight w:val="0"/>
                      <w:marTop w:val="0"/>
                      <w:marBottom w:val="0"/>
                      <w:divBdr>
                        <w:top w:val="none" w:sz="0" w:space="0" w:color="auto"/>
                        <w:left w:val="none" w:sz="0" w:space="0" w:color="auto"/>
                        <w:bottom w:val="none" w:sz="0" w:space="0" w:color="auto"/>
                        <w:right w:val="none" w:sz="0" w:space="0" w:color="auto"/>
                      </w:divBdr>
                      <w:divsChild>
                        <w:div w:id="1145590403">
                          <w:marLeft w:val="0"/>
                          <w:marRight w:val="0"/>
                          <w:marTop w:val="0"/>
                          <w:marBottom w:val="0"/>
                          <w:divBdr>
                            <w:top w:val="none" w:sz="0" w:space="0" w:color="auto"/>
                            <w:left w:val="none" w:sz="0" w:space="0" w:color="auto"/>
                            <w:bottom w:val="none" w:sz="0" w:space="0" w:color="auto"/>
                            <w:right w:val="none" w:sz="0" w:space="0" w:color="auto"/>
                          </w:divBdr>
                          <w:divsChild>
                            <w:div w:id="499123375">
                              <w:marLeft w:val="0"/>
                              <w:marRight w:val="0"/>
                              <w:marTop w:val="0"/>
                              <w:marBottom w:val="0"/>
                              <w:divBdr>
                                <w:top w:val="none" w:sz="0" w:space="0" w:color="auto"/>
                                <w:left w:val="none" w:sz="0" w:space="0" w:color="auto"/>
                                <w:bottom w:val="none" w:sz="0" w:space="0" w:color="auto"/>
                                <w:right w:val="none" w:sz="0" w:space="0" w:color="auto"/>
                              </w:divBdr>
                              <w:divsChild>
                                <w:div w:id="147866266">
                                  <w:marLeft w:val="0"/>
                                  <w:marRight w:val="0"/>
                                  <w:marTop w:val="0"/>
                                  <w:marBottom w:val="0"/>
                                  <w:divBdr>
                                    <w:top w:val="none" w:sz="0" w:space="0" w:color="auto"/>
                                    <w:left w:val="none" w:sz="0" w:space="0" w:color="auto"/>
                                    <w:bottom w:val="none" w:sz="0" w:space="0" w:color="auto"/>
                                    <w:right w:val="none" w:sz="0" w:space="0" w:color="auto"/>
                                  </w:divBdr>
                                </w:div>
                              </w:divsChild>
                            </w:div>
                            <w:div w:id="100532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96802">
      <w:bodyDiv w:val="1"/>
      <w:marLeft w:val="0"/>
      <w:marRight w:val="0"/>
      <w:marTop w:val="0"/>
      <w:marBottom w:val="0"/>
      <w:divBdr>
        <w:top w:val="none" w:sz="0" w:space="0" w:color="auto"/>
        <w:left w:val="none" w:sz="0" w:space="0" w:color="auto"/>
        <w:bottom w:val="none" w:sz="0" w:space="0" w:color="auto"/>
        <w:right w:val="none" w:sz="0" w:space="0" w:color="auto"/>
      </w:divBdr>
    </w:div>
    <w:div w:id="113066444">
      <w:bodyDiv w:val="1"/>
      <w:marLeft w:val="0"/>
      <w:marRight w:val="0"/>
      <w:marTop w:val="0"/>
      <w:marBottom w:val="0"/>
      <w:divBdr>
        <w:top w:val="none" w:sz="0" w:space="0" w:color="auto"/>
        <w:left w:val="none" w:sz="0" w:space="0" w:color="auto"/>
        <w:bottom w:val="none" w:sz="0" w:space="0" w:color="auto"/>
        <w:right w:val="none" w:sz="0" w:space="0" w:color="auto"/>
      </w:divBdr>
      <w:divsChild>
        <w:div w:id="1641958906">
          <w:marLeft w:val="0"/>
          <w:marRight w:val="0"/>
          <w:marTop w:val="0"/>
          <w:marBottom w:val="0"/>
          <w:divBdr>
            <w:top w:val="none" w:sz="0" w:space="0" w:color="auto"/>
            <w:left w:val="none" w:sz="0" w:space="0" w:color="auto"/>
            <w:bottom w:val="none" w:sz="0" w:space="0" w:color="auto"/>
            <w:right w:val="none" w:sz="0" w:space="0" w:color="auto"/>
          </w:divBdr>
          <w:divsChild>
            <w:div w:id="1057046308">
              <w:marLeft w:val="0"/>
              <w:marRight w:val="0"/>
              <w:marTop w:val="0"/>
              <w:marBottom w:val="0"/>
              <w:divBdr>
                <w:top w:val="none" w:sz="0" w:space="0" w:color="auto"/>
                <w:left w:val="none" w:sz="0" w:space="0" w:color="auto"/>
                <w:bottom w:val="none" w:sz="0" w:space="0" w:color="auto"/>
                <w:right w:val="none" w:sz="0" w:space="0" w:color="auto"/>
              </w:divBdr>
              <w:divsChild>
                <w:div w:id="1732652220">
                  <w:marLeft w:val="0"/>
                  <w:marRight w:val="0"/>
                  <w:marTop w:val="0"/>
                  <w:marBottom w:val="0"/>
                  <w:divBdr>
                    <w:top w:val="none" w:sz="0" w:space="0" w:color="auto"/>
                    <w:left w:val="none" w:sz="0" w:space="0" w:color="auto"/>
                    <w:bottom w:val="none" w:sz="0" w:space="0" w:color="auto"/>
                    <w:right w:val="none" w:sz="0" w:space="0" w:color="auto"/>
                  </w:divBdr>
                  <w:divsChild>
                    <w:div w:id="114177277">
                      <w:marLeft w:val="0"/>
                      <w:marRight w:val="0"/>
                      <w:marTop w:val="0"/>
                      <w:marBottom w:val="0"/>
                      <w:divBdr>
                        <w:top w:val="none" w:sz="0" w:space="0" w:color="auto"/>
                        <w:left w:val="none" w:sz="0" w:space="0" w:color="auto"/>
                        <w:bottom w:val="none" w:sz="0" w:space="0" w:color="auto"/>
                        <w:right w:val="none" w:sz="0" w:space="0" w:color="auto"/>
                      </w:divBdr>
                      <w:divsChild>
                        <w:div w:id="408039963">
                          <w:marLeft w:val="0"/>
                          <w:marRight w:val="0"/>
                          <w:marTop w:val="0"/>
                          <w:marBottom w:val="0"/>
                          <w:divBdr>
                            <w:top w:val="none" w:sz="0" w:space="0" w:color="auto"/>
                            <w:left w:val="none" w:sz="0" w:space="0" w:color="auto"/>
                            <w:bottom w:val="none" w:sz="0" w:space="0" w:color="auto"/>
                            <w:right w:val="none" w:sz="0" w:space="0" w:color="auto"/>
                          </w:divBdr>
                          <w:divsChild>
                            <w:div w:id="14660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88368">
      <w:bodyDiv w:val="1"/>
      <w:marLeft w:val="0"/>
      <w:marRight w:val="0"/>
      <w:marTop w:val="0"/>
      <w:marBottom w:val="0"/>
      <w:divBdr>
        <w:top w:val="none" w:sz="0" w:space="0" w:color="auto"/>
        <w:left w:val="none" w:sz="0" w:space="0" w:color="auto"/>
        <w:bottom w:val="none" w:sz="0" w:space="0" w:color="auto"/>
        <w:right w:val="none" w:sz="0" w:space="0" w:color="auto"/>
      </w:divBdr>
    </w:div>
    <w:div w:id="222257597">
      <w:bodyDiv w:val="1"/>
      <w:marLeft w:val="0"/>
      <w:marRight w:val="0"/>
      <w:marTop w:val="0"/>
      <w:marBottom w:val="0"/>
      <w:divBdr>
        <w:top w:val="none" w:sz="0" w:space="0" w:color="auto"/>
        <w:left w:val="none" w:sz="0" w:space="0" w:color="auto"/>
        <w:bottom w:val="none" w:sz="0" w:space="0" w:color="auto"/>
        <w:right w:val="none" w:sz="0" w:space="0" w:color="auto"/>
      </w:divBdr>
      <w:divsChild>
        <w:div w:id="266812193">
          <w:marLeft w:val="0"/>
          <w:marRight w:val="0"/>
          <w:marTop w:val="0"/>
          <w:marBottom w:val="0"/>
          <w:divBdr>
            <w:top w:val="none" w:sz="0" w:space="0" w:color="auto"/>
            <w:left w:val="none" w:sz="0" w:space="0" w:color="auto"/>
            <w:bottom w:val="none" w:sz="0" w:space="0" w:color="auto"/>
            <w:right w:val="none" w:sz="0" w:space="0" w:color="auto"/>
          </w:divBdr>
          <w:divsChild>
            <w:div w:id="1637756922">
              <w:marLeft w:val="0"/>
              <w:marRight w:val="0"/>
              <w:marTop w:val="0"/>
              <w:marBottom w:val="0"/>
              <w:divBdr>
                <w:top w:val="none" w:sz="0" w:space="0" w:color="auto"/>
                <w:left w:val="none" w:sz="0" w:space="0" w:color="auto"/>
                <w:bottom w:val="none" w:sz="0" w:space="0" w:color="auto"/>
                <w:right w:val="none" w:sz="0" w:space="0" w:color="auto"/>
              </w:divBdr>
              <w:divsChild>
                <w:div w:id="849879115">
                  <w:marLeft w:val="0"/>
                  <w:marRight w:val="0"/>
                  <w:marTop w:val="0"/>
                  <w:marBottom w:val="0"/>
                  <w:divBdr>
                    <w:top w:val="none" w:sz="0" w:space="0" w:color="auto"/>
                    <w:left w:val="none" w:sz="0" w:space="0" w:color="auto"/>
                    <w:bottom w:val="none" w:sz="0" w:space="0" w:color="auto"/>
                    <w:right w:val="none" w:sz="0" w:space="0" w:color="auto"/>
                  </w:divBdr>
                  <w:divsChild>
                    <w:div w:id="924724912">
                      <w:marLeft w:val="0"/>
                      <w:marRight w:val="0"/>
                      <w:marTop w:val="0"/>
                      <w:marBottom w:val="0"/>
                      <w:divBdr>
                        <w:top w:val="none" w:sz="0" w:space="0" w:color="auto"/>
                        <w:left w:val="none" w:sz="0" w:space="0" w:color="auto"/>
                        <w:bottom w:val="none" w:sz="0" w:space="0" w:color="auto"/>
                        <w:right w:val="none" w:sz="0" w:space="0" w:color="auto"/>
                      </w:divBdr>
                      <w:divsChild>
                        <w:div w:id="1041201511">
                          <w:marLeft w:val="0"/>
                          <w:marRight w:val="0"/>
                          <w:marTop w:val="0"/>
                          <w:marBottom w:val="0"/>
                          <w:divBdr>
                            <w:top w:val="none" w:sz="0" w:space="0" w:color="auto"/>
                            <w:left w:val="none" w:sz="0" w:space="0" w:color="auto"/>
                            <w:bottom w:val="none" w:sz="0" w:space="0" w:color="auto"/>
                            <w:right w:val="none" w:sz="0" w:space="0" w:color="auto"/>
                          </w:divBdr>
                          <w:divsChild>
                            <w:div w:id="141604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342501">
      <w:bodyDiv w:val="1"/>
      <w:marLeft w:val="0"/>
      <w:marRight w:val="0"/>
      <w:marTop w:val="0"/>
      <w:marBottom w:val="0"/>
      <w:divBdr>
        <w:top w:val="none" w:sz="0" w:space="0" w:color="auto"/>
        <w:left w:val="none" w:sz="0" w:space="0" w:color="auto"/>
        <w:bottom w:val="none" w:sz="0" w:space="0" w:color="auto"/>
        <w:right w:val="none" w:sz="0" w:space="0" w:color="auto"/>
      </w:divBdr>
    </w:div>
    <w:div w:id="247816307">
      <w:bodyDiv w:val="1"/>
      <w:marLeft w:val="0"/>
      <w:marRight w:val="0"/>
      <w:marTop w:val="0"/>
      <w:marBottom w:val="0"/>
      <w:divBdr>
        <w:top w:val="none" w:sz="0" w:space="0" w:color="auto"/>
        <w:left w:val="none" w:sz="0" w:space="0" w:color="auto"/>
        <w:bottom w:val="none" w:sz="0" w:space="0" w:color="auto"/>
        <w:right w:val="none" w:sz="0" w:space="0" w:color="auto"/>
      </w:divBdr>
    </w:div>
    <w:div w:id="269430757">
      <w:bodyDiv w:val="1"/>
      <w:marLeft w:val="0"/>
      <w:marRight w:val="0"/>
      <w:marTop w:val="0"/>
      <w:marBottom w:val="0"/>
      <w:divBdr>
        <w:top w:val="none" w:sz="0" w:space="0" w:color="auto"/>
        <w:left w:val="none" w:sz="0" w:space="0" w:color="auto"/>
        <w:bottom w:val="none" w:sz="0" w:space="0" w:color="auto"/>
        <w:right w:val="none" w:sz="0" w:space="0" w:color="auto"/>
      </w:divBdr>
    </w:div>
    <w:div w:id="358699397">
      <w:bodyDiv w:val="1"/>
      <w:marLeft w:val="0"/>
      <w:marRight w:val="0"/>
      <w:marTop w:val="0"/>
      <w:marBottom w:val="0"/>
      <w:divBdr>
        <w:top w:val="none" w:sz="0" w:space="0" w:color="auto"/>
        <w:left w:val="none" w:sz="0" w:space="0" w:color="auto"/>
        <w:bottom w:val="none" w:sz="0" w:space="0" w:color="auto"/>
        <w:right w:val="none" w:sz="0" w:space="0" w:color="auto"/>
      </w:divBdr>
    </w:div>
    <w:div w:id="401757911">
      <w:bodyDiv w:val="1"/>
      <w:marLeft w:val="0"/>
      <w:marRight w:val="0"/>
      <w:marTop w:val="0"/>
      <w:marBottom w:val="0"/>
      <w:divBdr>
        <w:top w:val="none" w:sz="0" w:space="0" w:color="auto"/>
        <w:left w:val="none" w:sz="0" w:space="0" w:color="auto"/>
        <w:bottom w:val="none" w:sz="0" w:space="0" w:color="auto"/>
        <w:right w:val="none" w:sz="0" w:space="0" w:color="auto"/>
      </w:divBdr>
    </w:div>
    <w:div w:id="642084258">
      <w:bodyDiv w:val="1"/>
      <w:marLeft w:val="0"/>
      <w:marRight w:val="0"/>
      <w:marTop w:val="0"/>
      <w:marBottom w:val="0"/>
      <w:divBdr>
        <w:top w:val="none" w:sz="0" w:space="0" w:color="auto"/>
        <w:left w:val="none" w:sz="0" w:space="0" w:color="auto"/>
        <w:bottom w:val="none" w:sz="0" w:space="0" w:color="auto"/>
        <w:right w:val="none" w:sz="0" w:space="0" w:color="auto"/>
      </w:divBdr>
    </w:div>
    <w:div w:id="735594066">
      <w:bodyDiv w:val="1"/>
      <w:marLeft w:val="0"/>
      <w:marRight w:val="0"/>
      <w:marTop w:val="0"/>
      <w:marBottom w:val="0"/>
      <w:divBdr>
        <w:top w:val="none" w:sz="0" w:space="0" w:color="auto"/>
        <w:left w:val="none" w:sz="0" w:space="0" w:color="auto"/>
        <w:bottom w:val="none" w:sz="0" w:space="0" w:color="auto"/>
        <w:right w:val="none" w:sz="0" w:space="0" w:color="auto"/>
      </w:divBdr>
      <w:divsChild>
        <w:div w:id="415905593">
          <w:marLeft w:val="0"/>
          <w:marRight w:val="0"/>
          <w:marTop w:val="0"/>
          <w:marBottom w:val="0"/>
          <w:divBdr>
            <w:top w:val="none" w:sz="0" w:space="0" w:color="auto"/>
            <w:left w:val="none" w:sz="0" w:space="0" w:color="auto"/>
            <w:bottom w:val="none" w:sz="0" w:space="0" w:color="auto"/>
            <w:right w:val="none" w:sz="0" w:space="0" w:color="auto"/>
          </w:divBdr>
          <w:divsChild>
            <w:div w:id="1533608911">
              <w:marLeft w:val="0"/>
              <w:marRight w:val="0"/>
              <w:marTop w:val="0"/>
              <w:marBottom w:val="0"/>
              <w:divBdr>
                <w:top w:val="none" w:sz="0" w:space="0" w:color="auto"/>
                <w:left w:val="none" w:sz="0" w:space="0" w:color="auto"/>
                <w:bottom w:val="none" w:sz="0" w:space="0" w:color="auto"/>
                <w:right w:val="none" w:sz="0" w:space="0" w:color="auto"/>
              </w:divBdr>
              <w:divsChild>
                <w:div w:id="818348758">
                  <w:marLeft w:val="0"/>
                  <w:marRight w:val="0"/>
                  <w:marTop w:val="0"/>
                  <w:marBottom w:val="0"/>
                  <w:divBdr>
                    <w:top w:val="none" w:sz="0" w:space="0" w:color="auto"/>
                    <w:left w:val="none" w:sz="0" w:space="0" w:color="auto"/>
                    <w:bottom w:val="none" w:sz="0" w:space="0" w:color="auto"/>
                    <w:right w:val="none" w:sz="0" w:space="0" w:color="auto"/>
                  </w:divBdr>
                  <w:divsChild>
                    <w:div w:id="1661734140">
                      <w:marLeft w:val="0"/>
                      <w:marRight w:val="0"/>
                      <w:marTop w:val="0"/>
                      <w:marBottom w:val="0"/>
                      <w:divBdr>
                        <w:top w:val="none" w:sz="0" w:space="0" w:color="auto"/>
                        <w:left w:val="none" w:sz="0" w:space="0" w:color="auto"/>
                        <w:bottom w:val="none" w:sz="0" w:space="0" w:color="auto"/>
                        <w:right w:val="none" w:sz="0" w:space="0" w:color="auto"/>
                      </w:divBdr>
                      <w:divsChild>
                        <w:div w:id="713819924">
                          <w:marLeft w:val="0"/>
                          <w:marRight w:val="0"/>
                          <w:marTop w:val="0"/>
                          <w:marBottom w:val="0"/>
                          <w:divBdr>
                            <w:top w:val="none" w:sz="0" w:space="0" w:color="auto"/>
                            <w:left w:val="none" w:sz="0" w:space="0" w:color="auto"/>
                            <w:bottom w:val="none" w:sz="0" w:space="0" w:color="auto"/>
                            <w:right w:val="none" w:sz="0" w:space="0" w:color="auto"/>
                          </w:divBdr>
                          <w:divsChild>
                            <w:div w:id="11029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656946">
      <w:bodyDiv w:val="1"/>
      <w:marLeft w:val="0"/>
      <w:marRight w:val="0"/>
      <w:marTop w:val="0"/>
      <w:marBottom w:val="0"/>
      <w:divBdr>
        <w:top w:val="none" w:sz="0" w:space="0" w:color="auto"/>
        <w:left w:val="none" w:sz="0" w:space="0" w:color="auto"/>
        <w:bottom w:val="none" w:sz="0" w:space="0" w:color="auto"/>
        <w:right w:val="none" w:sz="0" w:space="0" w:color="auto"/>
      </w:divBdr>
      <w:divsChild>
        <w:div w:id="711926210">
          <w:marLeft w:val="0"/>
          <w:marRight w:val="0"/>
          <w:marTop w:val="0"/>
          <w:marBottom w:val="0"/>
          <w:divBdr>
            <w:top w:val="none" w:sz="0" w:space="0" w:color="auto"/>
            <w:left w:val="none" w:sz="0" w:space="0" w:color="auto"/>
            <w:bottom w:val="none" w:sz="0" w:space="0" w:color="auto"/>
            <w:right w:val="none" w:sz="0" w:space="0" w:color="auto"/>
          </w:divBdr>
          <w:divsChild>
            <w:div w:id="33888509">
              <w:marLeft w:val="0"/>
              <w:marRight w:val="0"/>
              <w:marTop w:val="0"/>
              <w:marBottom w:val="0"/>
              <w:divBdr>
                <w:top w:val="none" w:sz="0" w:space="0" w:color="auto"/>
                <w:left w:val="none" w:sz="0" w:space="0" w:color="auto"/>
                <w:bottom w:val="none" w:sz="0" w:space="0" w:color="auto"/>
                <w:right w:val="none" w:sz="0" w:space="0" w:color="auto"/>
              </w:divBdr>
              <w:divsChild>
                <w:div w:id="1350059853">
                  <w:marLeft w:val="0"/>
                  <w:marRight w:val="0"/>
                  <w:marTop w:val="0"/>
                  <w:marBottom w:val="0"/>
                  <w:divBdr>
                    <w:top w:val="none" w:sz="0" w:space="0" w:color="auto"/>
                    <w:left w:val="none" w:sz="0" w:space="0" w:color="auto"/>
                    <w:bottom w:val="none" w:sz="0" w:space="0" w:color="auto"/>
                    <w:right w:val="none" w:sz="0" w:space="0" w:color="auto"/>
                  </w:divBdr>
                  <w:divsChild>
                    <w:div w:id="777994563">
                      <w:marLeft w:val="0"/>
                      <w:marRight w:val="0"/>
                      <w:marTop w:val="0"/>
                      <w:marBottom w:val="0"/>
                      <w:divBdr>
                        <w:top w:val="none" w:sz="0" w:space="0" w:color="auto"/>
                        <w:left w:val="none" w:sz="0" w:space="0" w:color="auto"/>
                        <w:bottom w:val="none" w:sz="0" w:space="0" w:color="auto"/>
                        <w:right w:val="none" w:sz="0" w:space="0" w:color="auto"/>
                      </w:divBdr>
                      <w:divsChild>
                        <w:div w:id="1491142243">
                          <w:marLeft w:val="0"/>
                          <w:marRight w:val="0"/>
                          <w:marTop w:val="0"/>
                          <w:marBottom w:val="0"/>
                          <w:divBdr>
                            <w:top w:val="none" w:sz="0" w:space="0" w:color="auto"/>
                            <w:left w:val="none" w:sz="0" w:space="0" w:color="auto"/>
                            <w:bottom w:val="none" w:sz="0" w:space="0" w:color="auto"/>
                            <w:right w:val="none" w:sz="0" w:space="0" w:color="auto"/>
                          </w:divBdr>
                          <w:divsChild>
                            <w:div w:id="1029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543969">
      <w:bodyDiv w:val="1"/>
      <w:marLeft w:val="0"/>
      <w:marRight w:val="0"/>
      <w:marTop w:val="0"/>
      <w:marBottom w:val="0"/>
      <w:divBdr>
        <w:top w:val="none" w:sz="0" w:space="0" w:color="auto"/>
        <w:left w:val="none" w:sz="0" w:space="0" w:color="auto"/>
        <w:bottom w:val="none" w:sz="0" w:space="0" w:color="auto"/>
        <w:right w:val="none" w:sz="0" w:space="0" w:color="auto"/>
      </w:divBdr>
    </w:div>
    <w:div w:id="755174950">
      <w:bodyDiv w:val="1"/>
      <w:marLeft w:val="0"/>
      <w:marRight w:val="0"/>
      <w:marTop w:val="0"/>
      <w:marBottom w:val="0"/>
      <w:divBdr>
        <w:top w:val="none" w:sz="0" w:space="0" w:color="auto"/>
        <w:left w:val="none" w:sz="0" w:space="0" w:color="auto"/>
        <w:bottom w:val="none" w:sz="0" w:space="0" w:color="auto"/>
        <w:right w:val="none" w:sz="0" w:space="0" w:color="auto"/>
      </w:divBdr>
      <w:divsChild>
        <w:div w:id="1619095077">
          <w:marLeft w:val="0"/>
          <w:marRight w:val="0"/>
          <w:marTop w:val="0"/>
          <w:marBottom w:val="0"/>
          <w:divBdr>
            <w:top w:val="none" w:sz="0" w:space="0" w:color="auto"/>
            <w:left w:val="none" w:sz="0" w:space="0" w:color="auto"/>
            <w:bottom w:val="none" w:sz="0" w:space="0" w:color="auto"/>
            <w:right w:val="none" w:sz="0" w:space="0" w:color="auto"/>
          </w:divBdr>
          <w:divsChild>
            <w:div w:id="1091974627">
              <w:marLeft w:val="0"/>
              <w:marRight w:val="0"/>
              <w:marTop w:val="0"/>
              <w:marBottom w:val="0"/>
              <w:divBdr>
                <w:top w:val="none" w:sz="0" w:space="0" w:color="auto"/>
                <w:left w:val="none" w:sz="0" w:space="0" w:color="auto"/>
                <w:bottom w:val="none" w:sz="0" w:space="0" w:color="auto"/>
                <w:right w:val="none" w:sz="0" w:space="0" w:color="auto"/>
              </w:divBdr>
              <w:divsChild>
                <w:div w:id="1270356398">
                  <w:marLeft w:val="0"/>
                  <w:marRight w:val="0"/>
                  <w:marTop w:val="0"/>
                  <w:marBottom w:val="0"/>
                  <w:divBdr>
                    <w:top w:val="none" w:sz="0" w:space="0" w:color="auto"/>
                    <w:left w:val="none" w:sz="0" w:space="0" w:color="auto"/>
                    <w:bottom w:val="none" w:sz="0" w:space="0" w:color="auto"/>
                    <w:right w:val="none" w:sz="0" w:space="0" w:color="auto"/>
                  </w:divBdr>
                  <w:divsChild>
                    <w:div w:id="618225212">
                      <w:marLeft w:val="0"/>
                      <w:marRight w:val="0"/>
                      <w:marTop w:val="0"/>
                      <w:marBottom w:val="0"/>
                      <w:divBdr>
                        <w:top w:val="none" w:sz="0" w:space="0" w:color="auto"/>
                        <w:left w:val="none" w:sz="0" w:space="0" w:color="auto"/>
                        <w:bottom w:val="none" w:sz="0" w:space="0" w:color="auto"/>
                        <w:right w:val="none" w:sz="0" w:space="0" w:color="auto"/>
                      </w:divBdr>
                      <w:divsChild>
                        <w:div w:id="1706372328">
                          <w:marLeft w:val="0"/>
                          <w:marRight w:val="0"/>
                          <w:marTop w:val="0"/>
                          <w:marBottom w:val="0"/>
                          <w:divBdr>
                            <w:top w:val="none" w:sz="0" w:space="0" w:color="auto"/>
                            <w:left w:val="none" w:sz="0" w:space="0" w:color="auto"/>
                            <w:bottom w:val="none" w:sz="0" w:space="0" w:color="auto"/>
                            <w:right w:val="none" w:sz="0" w:space="0" w:color="auto"/>
                          </w:divBdr>
                          <w:divsChild>
                            <w:div w:id="11719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250608">
      <w:bodyDiv w:val="1"/>
      <w:marLeft w:val="0"/>
      <w:marRight w:val="0"/>
      <w:marTop w:val="0"/>
      <w:marBottom w:val="0"/>
      <w:divBdr>
        <w:top w:val="none" w:sz="0" w:space="0" w:color="auto"/>
        <w:left w:val="none" w:sz="0" w:space="0" w:color="auto"/>
        <w:bottom w:val="none" w:sz="0" w:space="0" w:color="auto"/>
        <w:right w:val="none" w:sz="0" w:space="0" w:color="auto"/>
      </w:divBdr>
    </w:div>
    <w:div w:id="778570577">
      <w:bodyDiv w:val="1"/>
      <w:marLeft w:val="0"/>
      <w:marRight w:val="0"/>
      <w:marTop w:val="0"/>
      <w:marBottom w:val="0"/>
      <w:divBdr>
        <w:top w:val="none" w:sz="0" w:space="0" w:color="auto"/>
        <w:left w:val="none" w:sz="0" w:space="0" w:color="auto"/>
        <w:bottom w:val="none" w:sz="0" w:space="0" w:color="auto"/>
        <w:right w:val="none" w:sz="0" w:space="0" w:color="auto"/>
      </w:divBdr>
    </w:div>
    <w:div w:id="797115261">
      <w:bodyDiv w:val="1"/>
      <w:marLeft w:val="0"/>
      <w:marRight w:val="0"/>
      <w:marTop w:val="0"/>
      <w:marBottom w:val="0"/>
      <w:divBdr>
        <w:top w:val="none" w:sz="0" w:space="0" w:color="auto"/>
        <w:left w:val="none" w:sz="0" w:space="0" w:color="auto"/>
        <w:bottom w:val="none" w:sz="0" w:space="0" w:color="auto"/>
        <w:right w:val="none" w:sz="0" w:space="0" w:color="auto"/>
      </w:divBdr>
      <w:divsChild>
        <w:div w:id="476847798">
          <w:marLeft w:val="0"/>
          <w:marRight w:val="0"/>
          <w:marTop w:val="0"/>
          <w:marBottom w:val="0"/>
          <w:divBdr>
            <w:top w:val="none" w:sz="0" w:space="0" w:color="auto"/>
            <w:left w:val="none" w:sz="0" w:space="0" w:color="auto"/>
            <w:bottom w:val="none" w:sz="0" w:space="0" w:color="auto"/>
            <w:right w:val="none" w:sz="0" w:space="0" w:color="auto"/>
          </w:divBdr>
          <w:divsChild>
            <w:div w:id="156070741">
              <w:marLeft w:val="0"/>
              <w:marRight w:val="0"/>
              <w:marTop w:val="0"/>
              <w:marBottom w:val="0"/>
              <w:divBdr>
                <w:top w:val="none" w:sz="0" w:space="0" w:color="auto"/>
                <w:left w:val="none" w:sz="0" w:space="0" w:color="auto"/>
                <w:bottom w:val="none" w:sz="0" w:space="0" w:color="auto"/>
                <w:right w:val="none" w:sz="0" w:space="0" w:color="auto"/>
              </w:divBdr>
              <w:divsChild>
                <w:div w:id="468981161">
                  <w:marLeft w:val="0"/>
                  <w:marRight w:val="0"/>
                  <w:marTop w:val="0"/>
                  <w:marBottom w:val="0"/>
                  <w:divBdr>
                    <w:top w:val="none" w:sz="0" w:space="0" w:color="auto"/>
                    <w:left w:val="none" w:sz="0" w:space="0" w:color="auto"/>
                    <w:bottom w:val="none" w:sz="0" w:space="0" w:color="auto"/>
                    <w:right w:val="none" w:sz="0" w:space="0" w:color="auto"/>
                  </w:divBdr>
                  <w:divsChild>
                    <w:div w:id="678705030">
                      <w:marLeft w:val="0"/>
                      <w:marRight w:val="0"/>
                      <w:marTop w:val="0"/>
                      <w:marBottom w:val="0"/>
                      <w:divBdr>
                        <w:top w:val="none" w:sz="0" w:space="0" w:color="auto"/>
                        <w:left w:val="none" w:sz="0" w:space="0" w:color="auto"/>
                        <w:bottom w:val="none" w:sz="0" w:space="0" w:color="auto"/>
                        <w:right w:val="none" w:sz="0" w:space="0" w:color="auto"/>
                      </w:divBdr>
                      <w:divsChild>
                        <w:div w:id="696347746">
                          <w:marLeft w:val="0"/>
                          <w:marRight w:val="0"/>
                          <w:marTop w:val="0"/>
                          <w:marBottom w:val="0"/>
                          <w:divBdr>
                            <w:top w:val="none" w:sz="0" w:space="0" w:color="auto"/>
                            <w:left w:val="none" w:sz="0" w:space="0" w:color="auto"/>
                            <w:bottom w:val="none" w:sz="0" w:space="0" w:color="auto"/>
                            <w:right w:val="none" w:sz="0" w:space="0" w:color="auto"/>
                          </w:divBdr>
                          <w:divsChild>
                            <w:div w:id="18045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845140">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61823365">
      <w:bodyDiv w:val="1"/>
      <w:marLeft w:val="0"/>
      <w:marRight w:val="0"/>
      <w:marTop w:val="0"/>
      <w:marBottom w:val="0"/>
      <w:divBdr>
        <w:top w:val="none" w:sz="0" w:space="0" w:color="auto"/>
        <w:left w:val="none" w:sz="0" w:space="0" w:color="auto"/>
        <w:bottom w:val="none" w:sz="0" w:space="0" w:color="auto"/>
        <w:right w:val="none" w:sz="0" w:space="0" w:color="auto"/>
      </w:divBdr>
    </w:div>
    <w:div w:id="876698895">
      <w:bodyDiv w:val="1"/>
      <w:marLeft w:val="0"/>
      <w:marRight w:val="0"/>
      <w:marTop w:val="0"/>
      <w:marBottom w:val="0"/>
      <w:divBdr>
        <w:top w:val="none" w:sz="0" w:space="0" w:color="auto"/>
        <w:left w:val="none" w:sz="0" w:space="0" w:color="auto"/>
        <w:bottom w:val="none" w:sz="0" w:space="0" w:color="auto"/>
        <w:right w:val="none" w:sz="0" w:space="0" w:color="auto"/>
      </w:divBdr>
    </w:div>
    <w:div w:id="898595113">
      <w:bodyDiv w:val="1"/>
      <w:marLeft w:val="0"/>
      <w:marRight w:val="0"/>
      <w:marTop w:val="0"/>
      <w:marBottom w:val="0"/>
      <w:divBdr>
        <w:top w:val="none" w:sz="0" w:space="0" w:color="auto"/>
        <w:left w:val="none" w:sz="0" w:space="0" w:color="auto"/>
        <w:bottom w:val="none" w:sz="0" w:space="0" w:color="auto"/>
        <w:right w:val="none" w:sz="0" w:space="0" w:color="auto"/>
      </w:divBdr>
      <w:divsChild>
        <w:div w:id="1549417537">
          <w:marLeft w:val="0"/>
          <w:marRight w:val="0"/>
          <w:marTop w:val="0"/>
          <w:marBottom w:val="0"/>
          <w:divBdr>
            <w:top w:val="none" w:sz="0" w:space="0" w:color="auto"/>
            <w:left w:val="none" w:sz="0" w:space="0" w:color="auto"/>
            <w:bottom w:val="none" w:sz="0" w:space="0" w:color="auto"/>
            <w:right w:val="none" w:sz="0" w:space="0" w:color="auto"/>
          </w:divBdr>
          <w:divsChild>
            <w:div w:id="2035501277">
              <w:marLeft w:val="0"/>
              <w:marRight w:val="0"/>
              <w:marTop w:val="0"/>
              <w:marBottom w:val="0"/>
              <w:divBdr>
                <w:top w:val="none" w:sz="0" w:space="0" w:color="auto"/>
                <w:left w:val="none" w:sz="0" w:space="0" w:color="auto"/>
                <w:bottom w:val="none" w:sz="0" w:space="0" w:color="auto"/>
                <w:right w:val="none" w:sz="0" w:space="0" w:color="auto"/>
              </w:divBdr>
              <w:divsChild>
                <w:div w:id="814955364">
                  <w:marLeft w:val="0"/>
                  <w:marRight w:val="0"/>
                  <w:marTop w:val="0"/>
                  <w:marBottom w:val="0"/>
                  <w:divBdr>
                    <w:top w:val="none" w:sz="0" w:space="0" w:color="auto"/>
                    <w:left w:val="none" w:sz="0" w:space="0" w:color="auto"/>
                    <w:bottom w:val="none" w:sz="0" w:space="0" w:color="auto"/>
                    <w:right w:val="none" w:sz="0" w:space="0" w:color="auto"/>
                  </w:divBdr>
                  <w:divsChild>
                    <w:div w:id="1942882779">
                      <w:marLeft w:val="0"/>
                      <w:marRight w:val="0"/>
                      <w:marTop w:val="0"/>
                      <w:marBottom w:val="0"/>
                      <w:divBdr>
                        <w:top w:val="none" w:sz="0" w:space="0" w:color="auto"/>
                        <w:left w:val="none" w:sz="0" w:space="0" w:color="auto"/>
                        <w:bottom w:val="none" w:sz="0" w:space="0" w:color="auto"/>
                        <w:right w:val="none" w:sz="0" w:space="0" w:color="auto"/>
                      </w:divBdr>
                      <w:divsChild>
                        <w:div w:id="689449948">
                          <w:marLeft w:val="0"/>
                          <w:marRight w:val="0"/>
                          <w:marTop w:val="0"/>
                          <w:marBottom w:val="0"/>
                          <w:divBdr>
                            <w:top w:val="none" w:sz="0" w:space="0" w:color="auto"/>
                            <w:left w:val="none" w:sz="0" w:space="0" w:color="auto"/>
                            <w:bottom w:val="none" w:sz="0" w:space="0" w:color="auto"/>
                            <w:right w:val="none" w:sz="0" w:space="0" w:color="auto"/>
                          </w:divBdr>
                          <w:divsChild>
                            <w:div w:id="8947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256858">
      <w:bodyDiv w:val="1"/>
      <w:marLeft w:val="0"/>
      <w:marRight w:val="0"/>
      <w:marTop w:val="0"/>
      <w:marBottom w:val="0"/>
      <w:divBdr>
        <w:top w:val="none" w:sz="0" w:space="0" w:color="auto"/>
        <w:left w:val="none" w:sz="0" w:space="0" w:color="auto"/>
        <w:bottom w:val="none" w:sz="0" w:space="0" w:color="auto"/>
        <w:right w:val="none" w:sz="0" w:space="0" w:color="auto"/>
      </w:divBdr>
    </w:div>
    <w:div w:id="952899556">
      <w:bodyDiv w:val="1"/>
      <w:marLeft w:val="0"/>
      <w:marRight w:val="0"/>
      <w:marTop w:val="0"/>
      <w:marBottom w:val="0"/>
      <w:divBdr>
        <w:top w:val="none" w:sz="0" w:space="0" w:color="auto"/>
        <w:left w:val="none" w:sz="0" w:space="0" w:color="auto"/>
        <w:bottom w:val="none" w:sz="0" w:space="0" w:color="auto"/>
        <w:right w:val="none" w:sz="0" w:space="0" w:color="auto"/>
      </w:divBdr>
    </w:div>
    <w:div w:id="962806146">
      <w:bodyDiv w:val="1"/>
      <w:marLeft w:val="0"/>
      <w:marRight w:val="0"/>
      <w:marTop w:val="0"/>
      <w:marBottom w:val="0"/>
      <w:divBdr>
        <w:top w:val="none" w:sz="0" w:space="0" w:color="auto"/>
        <w:left w:val="none" w:sz="0" w:space="0" w:color="auto"/>
        <w:bottom w:val="none" w:sz="0" w:space="0" w:color="auto"/>
        <w:right w:val="none" w:sz="0" w:space="0" w:color="auto"/>
      </w:divBdr>
      <w:divsChild>
        <w:div w:id="234635146">
          <w:marLeft w:val="0"/>
          <w:marRight w:val="0"/>
          <w:marTop w:val="0"/>
          <w:marBottom w:val="0"/>
          <w:divBdr>
            <w:top w:val="none" w:sz="0" w:space="0" w:color="auto"/>
            <w:left w:val="none" w:sz="0" w:space="0" w:color="auto"/>
            <w:bottom w:val="none" w:sz="0" w:space="0" w:color="auto"/>
            <w:right w:val="none" w:sz="0" w:space="0" w:color="auto"/>
          </w:divBdr>
          <w:divsChild>
            <w:div w:id="1007830531">
              <w:marLeft w:val="0"/>
              <w:marRight w:val="0"/>
              <w:marTop w:val="0"/>
              <w:marBottom w:val="0"/>
              <w:divBdr>
                <w:top w:val="none" w:sz="0" w:space="0" w:color="auto"/>
                <w:left w:val="none" w:sz="0" w:space="0" w:color="auto"/>
                <w:bottom w:val="none" w:sz="0" w:space="0" w:color="auto"/>
                <w:right w:val="none" w:sz="0" w:space="0" w:color="auto"/>
              </w:divBdr>
              <w:divsChild>
                <w:div w:id="1358001021">
                  <w:marLeft w:val="0"/>
                  <w:marRight w:val="0"/>
                  <w:marTop w:val="0"/>
                  <w:marBottom w:val="0"/>
                  <w:divBdr>
                    <w:top w:val="none" w:sz="0" w:space="0" w:color="auto"/>
                    <w:left w:val="none" w:sz="0" w:space="0" w:color="auto"/>
                    <w:bottom w:val="none" w:sz="0" w:space="0" w:color="auto"/>
                    <w:right w:val="none" w:sz="0" w:space="0" w:color="auto"/>
                  </w:divBdr>
                  <w:divsChild>
                    <w:div w:id="2128307809">
                      <w:marLeft w:val="0"/>
                      <w:marRight w:val="0"/>
                      <w:marTop w:val="0"/>
                      <w:marBottom w:val="0"/>
                      <w:divBdr>
                        <w:top w:val="none" w:sz="0" w:space="0" w:color="auto"/>
                        <w:left w:val="none" w:sz="0" w:space="0" w:color="auto"/>
                        <w:bottom w:val="none" w:sz="0" w:space="0" w:color="auto"/>
                        <w:right w:val="none" w:sz="0" w:space="0" w:color="auto"/>
                      </w:divBdr>
                      <w:divsChild>
                        <w:div w:id="73941443">
                          <w:marLeft w:val="0"/>
                          <w:marRight w:val="0"/>
                          <w:marTop w:val="0"/>
                          <w:marBottom w:val="0"/>
                          <w:divBdr>
                            <w:top w:val="none" w:sz="0" w:space="0" w:color="auto"/>
                            <w:left w:val="none" w:sz="0" w:space="0" w:color="auto"/>
                            <w:bottom w:val="none" w:sz="0" w:space="0" w:color="auto"/>
                            <w:right w:val="none" w:sz="0" w:space="0" w:color="auto"/>
                          </w:divBdr>
                          <w:divsChild>
                            <w:div w:id="15348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818646">
      <w:bodyDiv w:val="1"/>
      <w:marLeft w:val="0"/>
      <w:marRight w:val="0"/>
      <w:marTop w:val="0"/>
      <w:marBottom w:val="0"/>
      <w:divBdr>
        <w:top w:val="none" w:sz="0" w:space="0" w:color="auto"/>
        <w:left w:val="none" w:sz="0" w:space="0" w:color="auto"/>
        <w:bottom w:val="none" w:sz="0" w:space="0" w:color="auto"/>
        <w:right w:val="none" w:sz="0" w:space="0" w:color="auto"/>
      </w:divBdr>
    </w:div>
    <w:div w:id="1063986507">
      <w:bodyDiv w:val="1"/>
      <w:marLeft w:val="0"/>
      <w:marRight w:val="0"/>
      <w:marTop w:val="0"/>
      <w:marBottom w:val="0"/>
      <w:divBdr>
        <w:top w:val="none" w:sz="0" w:space="0" w:color="auto"/>
        <w:left w:val="none" w:sz="0" w:space="0" w:color="auto"/>
        <w:bottom w:val="none" w:sz="0" w:space="0" w:color="auto"/>
        <w:right w:val="none" w:sz="0" w:space="0" w:color="auto"/>
      </w:divBdr>
    </w:div>
    <w:div w:id="1138111382">
      <w:bodyDiv w:val="1"/>
      <w:marLeft w:val="0"/>
      <w:marRight w:val="0"/>
      <w:marTop w:val="0"/>
      <w:marBottom w:val="0"/>
      <w:divBdr>
        <w:top w:val="none" w:sz="0" w:space="0" w:color="auto"/>
        <w:left w:val="none" w:sz="0" w:space="0" w:color="auto"/>
        <w:bottom w:val="none" w:sz="0" w:space="0" w:color="auto"/>
        <w:right w:val="none" w:sz="0" w:space="0" w:color="auto"/>
      </w:divBdr>
    </w:div>
    <w:div w:id="1155073826">
      <w:bodyDiv w:val="1"/>
      <w:marLeft w:val="0"/>
      <w:marRight w:val="0"/>
      <w:marTop w:val="0"/>
      <w:marBottom w:val="0"/>
      <w:divBdr>
        <w:top w:val="none" w:sz="0" w:space="0" w:color="auto"/>
        <w:left w:val="none" w:sz="0" w:space="0" w:color="auto"/>
        <w:bottom w:val="none" w:sz="0" w:space="0" w:color="auto"/>
        <w:right w:val="none" w:sz="0" w:space="0" w:color="auto"/>
      </w:divBdr>
    </w:div>
    <w:div w:id="1157066712">
      <w:bodyDiv w:val="1"/>
      <w:marLeft w:val="0"/>
      <w:marRight w:val="0"/>
      <w:marTop w:val="0"/>
      <w:marBottom w:val="0"/>
      <w:divBdr>
        <w:top w:val="none" w:sz="0" w:space="0" w:color="auto"/>
        <w:left w:val="none" w:sz="0" w:space="0" w:color="auto"/>
        <w:bottom w:val="none" w:sz="0" w:space="0" w:color="auto"/>
        <w:right w:val="none" w:sz="0" w:space="0" w:color="auto"/>
      </w:divBdr>
    </w:div>
    <w:div w:id="1363820574">
      <w:bodyDiv w:val="1"/>
      <w:marLeft w:val="0"/>
      <w:marRight w:val="0"/>
      <w:marTop w:val="0"/>
      <w:marBottom w:val="0"/>
      <w:divBdr>
        <w:top w:val="none" w:sz="0" w:space="0" w:color="auto"/>
        <w:left w:val="none" w:sz="0" w:space="0" w:color="auto"/>
        <w:bottom w:val="none" w:sz="0" w:space="0" w:color="auto"/>
        <w:right w:val="none" w:sz="0" w:space="0" w:color="auto"/>
      </w:divBdr>
    </w:div>
    <w:div w:id="1371421898">
      <w:bodyDiv w:val="1"/>
      <w:marLeft w:val="0"/>
      <w:marRight w:val="0"/>
      <w:marTop w:val="0"/>
      <w:marBottom w:val="0"/>
      <w:divBdr>
        <w:top w:val="none" w:sz="0" w:space="0" w:color="auto"/>
        <w:left w:val="none" w:sz="0" w:space="0" w:color="auto"/>
        <w:bottom w:val="none" w:sz="0" w:space="0" w:color="auto"/>
        <w:right w:val="none" w:sz="0" w:space="0" w:color="auto"/>
      </w:divBdr>
    </w:div>
    <w:div w:id="1479297858">
      <w:bodyDiv w:val="1"/>
      <w:marLeft w:val="0"/>
      <w:marRight w:val="0"/>
      <w:marTop w:val="0"/>
      <w:marBottom w:val="0"/>
      <w:divBdr>
        <w:top w:val="none" w:sz="0" w:space="0" w:color="auto"/>
        <w:left w:val="none" w:sz="0" w:space="0" w:color="auto"/>
        <w:bottom w:val="none" w:sz="0" w:space="0" w:color="auto"/>
        <w:right w:val="none" w:sz="0" w:space="0" w:color="auto"/>
      </w:divBdr>
    </w:div>
    <w:div w:id="1513446437">
      <w:bodyDiv w:val="1"/>
      <w:marLeft w:val="0"/>
      <w:marRight w:val="0"/>
      <w:marTop w:val="0"/>
      <w:marBottom w:val="0"/>
      <w:divBdr>
        <w:top w:val="none" w:sz="0" w:space="0" w:color="auto"/>
        <w:left w:val="none" w:sz="0" w:space="0" w:color="auto"/>
        <w:bottom w:val="none" w:sz="0" w:space="0" w:color="auto"/>
        <w:right w:val="none" w:sz="0" w:space="0" w:color="auto"/>
      </w:divBdr>
    </w:div>
    <w:div w:id="1518808049">
      <w:bodyDiv w:val="1"/>
      <w:marLeft w:val="0"/>
      <w:marRight w:val="0"/>
      <w:marTop w:val="0"/>
      <w:marBottom w:val="0"/>
      <w:divBdr>
        <w:top w:val="none" w:sz="0" w:space="0" w:color="auto"/>
        <w:left w:val="none" w:sz="0" w:space="0" w:color="auto"/>
        <w:bottom w:val="none" w:sz="0" w:space="0" w:color="auto"/>
        <w:right w:val="none" w:sz="0" w:space="0" w:color="auto"/>
      </w:divBdr>
    </w:div>
    <w:div w:id="1540049932">
      <w:bodyDiv w:val="1"/>
      <w:marLeft w:val="0"/>
      <w:marRight w:val="0"/>
      <w:marTop w:val="0"/>
      <w:marBottom w:val="0"/>
      <w:divBdr>
        <w:top w:val="none" w:sz="0" w:space="0" w:color="auto"/>
        <w:left w:val="none" w:sz="0" w:space="0" w:color="auto"/>
        <w:bottom w:val="none" w:sz="0" w:space="0" w:color="auto"/>
        <w:right w:val="none" w:sz="0" w:space="0" w:color="auto"/>
      </w:divBdr>
    </w:div>
    <w:div w:id="1562865793">
      <w:bodyDiv w:val="1"/>
      <w:marLeft w:val="0"/>
      <w:marRight w:val="0"/>
      <w:marTop w:val="0"/>
      <w:marBottom w:val="0"/>
      <w:divBdr>
        <w:top w:val="none" w:sz="0" w:space="0" w:color="auto"/>
        <w:left w:val="none" w:sz="0" w:space="0" w:color="auto"/>
        <w:bottom w:val="none" w:sz="0" w:space="0" w:color="auto"/>
        <w:right w:val="none" w:sz="0" w:space="0" w:color="auto"/>
      </w:divBdr>
    </w:div>
    <w:div w:id="1667901341">
      <w:bodyDiv w:val="1"/>
      <w:marLeft w:val="0"/>
      <w:marRight w:val="0"/>
      <w:marTop w:val="0"/>
      <w:marBottom w:val="0"/>
      <w:divBdr>
        <w:top w:val="none" w:sz="0" w:space="0" w:color="auto"/>
        <w:left w:val="none" w:sz="0" w:space="0" w:color="auto"/>
        <w:bottom w:val="none" w:sz="0" w:space="0" w:color="auto"/>
        <w:right w:val="none" w:sz="0" w:space="0" w:color="auto"/>
      </w:divBdr>
    </w:div>
    <w:div w:id="1775397042">
      <w:bodyDiv w:val="1"/>
      <w:marLeft w:val="0"/>
      <w:marRight w:val="0"/>
      <w:marTop w:val="0"/>
      <w:marBottom w:val="0"/>
      <w:divBdr>
        <w:top w:val="none" w:sz="0" w:space="0" w:color="auto"/>
        <w:left w:val="none" w:sz="0" w:space="0" w:color="auto"/>
        <w:bottom w:val="none" w:sz="0" w:space="0" w:color="auto"/>
        <w:right w:val="none" w:sz="0" w:space="0" w:color="auto"/>
      </w:divBdr>
    </w:div>
    <w:div w:id="1791195073">
      <w:bodyDiv w:val="1"/>
      <w:marLeft w:val="0"/>
      <w:marRight w:val="0"/>
      <w:marTop w:val="0"/>
      <w:marBottom w:val="0"/>
      <w:divBdr>
        <w:top w:val="none" w:sz="0" w:space="0" w:color="auto"/>
        <w:left w:val="none" w:sz="0" w:space="0" w:color="auto"/>
        <w:bottom w:val="none" w:sz="0" w:space="0" w:color="auto"/>
        <w:right w:val="none" w:sz="0" w:space="0" w:color="auto"/>
      </w:divBdr>
    </w:div>
    <w:div w:id="1984965711">
      <w:bodyDiv w:val="1"/>
      <w:marLeft w:val="0"/>
      <w:marRight w:val="0"/>
      <w:marTop w:val="0"/>
      <w:marBottom w:val="0"/>
      <w:divBdr>
        <w:top w:val="none" w:sz="0" w:space="0" w:color="auto"/>
        <w:left w:val="none" w:sz="0" w:space="0" w:color="auto"/>
        <w:bottom w:val="none" w:sz="0" w:space="0" w:color="auto"/>
        <w:right w:val="none" w:sz="0" w:space="0" w:color="auto"/>
      </w:divBdr>
    </w:div>
    <w:div w:id="205376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doc.php?id=202273" TargetMode="External"/><Relationship Id="rId18" Type="http://schemas.openxmlformats.org/officeDocument/2006/relationships/hyperlink" Target="http://likumi.lv/doc.php?id=20227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likumi.lv/doc.php?id=26019" TargetMode="External"/><Relationship Id="rId17" Type="http://schemas.openxmlformats.org/officeDocument/2006/relationships/hyperlink" Target="http://likumi.lv/doc.php?id=202273" TargetMode="External"/><Relationship Id="rId2" Type="http://schemas.openxmlformats.org/officeDocument/2006/relationships/numbering" Target="numbering.xml"/><Relationship Id="rId16" Type="http://schemas.openxmlformats.org/officeDocument/2006/relationships/hyperlink" Target="http://likumi.lv/doc.php?id=202273" TargetMode="External"/><Relationship Id="rId20" Type="http://schemas.openxmlformats.org/officeDocument/2006/relationships/hyperlink" Target="http://likumi.lv/doc.php?id=20227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202273"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likumi.lv/doc.php?id=202273" TargetMode="External"/><Relationship Id="rId23" Type="http://schemas.openxmlformats.org/officeDocument/2006/relationships/fontTable" Target="fontTable.xml"/><Relationship Id="rId10" Type="http://schemas.openxmlformats.org/officeDocument/2006/relationships/hyperlink" Target="http://likumi.lv/doc.php?id=26019" TargetMode="External"/><Relationship Id="rId19" Type="http://schemas.openxmlformats.org/officeDocument/2006/relationships/hyperlink" Target="http://likumi.lv/doc.php?id=202273" TargetMode="External"/><Relationship Id="rId4" Type="http://schemas.microsoft.com/office/2007/relationships/stylesWithEffects" Target="stylesWithEffects.xml"/><Relationship Id="rId9" Type="http://schemas.openxmlformats.org/officeDocument/2006/relationships/hyperlink" Target="http://likumi.lv/doc.php?id=202273" TargetMode="External"/><Relationship Id="rId14" Type="http://schemas.openxmlformats.org/officeDocument/2006/relationships/hyperlink" Target="http://likumi.lv/doc.php?id=202273"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45CFF-D3C2-4B11-BDB4-04C5277C4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2354</Words>
  <Characters>16919</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Budžeta un finanšu (nodokļu) komisija</vt:lpstr>
    </vt:vector>
  </TitlesOfParts>
  <Company>Saeima</Company>
  <LinksUpToDate>false</LinksUpToDate>
  <CharactersWithSpaces>19235</CharactersWithSpaces>
  <SharedDoc>false</SharedDoc>
  <HLinks>
    <vt:vector size="12" baseType="variant">
      <vt:variant>
        <vt:i4>7995494</vt:i4>
      </vt:variant>
      <vt:variant>
        <vt:i4>3</vt:i4>
      </vt:variant>
      <vt:variant>
        <vt:i4>0</vt:i4>
      </vt:variant>
      <vt:variant>
        <vt:i4>5</vt:i4>
      </vt:variant>
      <vt:variant>
        <vt:lpwstr>http://www.likumi.lv/doc.php?id=50759</vt:lpwstr>
      </vt:variant>
      <vt:variant>
        <vt:lpwstr>p50</vt:lpwstr>
      </vt:variant>
      <vt:variant>
        <vt:i4>4849680</vt:i4>
      </vt:variant>
      <vt:variant>
        <vt:i4>0</vt:i4>
      </vt:variant>
      <vt:variant>
        <vt:i4>0</vt:i4>
      </vt:variant>
      <vt:variant>
        <vt:i4>5</vt:i4>
      </vt:variant>
      <vt:variant>
        <vt:lpwstr>http://www.likumi.lv/doc.php?id=49096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Budžeta un finanšu (nodokļu) komisija</dc:title>
  <dc:creator>B-018</dc:creator>
  <cp:lastModifiedBy>B-460</cp:lastModifiedBy>
  <cp:revision>2</cp:revision>
  <cp:lastPrinted>2013-10-21T13:15:00Z</cp:lastPrinted>
  <dcterms:created xsi:type="dcterms:W3CDTF">2013-10-23T08:36:00Z</dcterms:created>
  <dcterms:modified xsi:type="dcterms:W3CDTF">2013-10-23T08:36:00Z</dcterms:modified>
</cp:coreProperties>
</file>