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D3" w:rsidRDefault="004137D3" w:rsidP="004137D3">
      <w:pPr>
        <w:pStyle w:val="Title"/>
        <w:jc w:val="left"/>
        <w:rPr>
          <w:b w:val="0"/>
          <w:sz w:val="26"/>
          <w:szCs w:val="26"/>
        </w:rPr>
      </w:pPr>
      <w:r>
        <w:rPr>
          <w:b w:val="0"/>
          <w:sz w:val="26"/>
          <w:szCs w:val="26"/>
        </w:rPr>
        <w:t>Budžeta un finanšu (nodokļu) komisija</w:t>
      </w:r>
    </w:p>
    <w:p w:rsidR="004137D3" w:rsidRDefault="004137D3" w:rsidP="004137D3">
      <w:pPr>
        <w:pStyle w:val="Title"/>
        <w:jc w:val="right"/>
        <w:rPr>
          <w:b w:val="0"/>
          <w:sz w:val="26"/>
          <w:szCs w:val="26"/>
        </w:rPr>
      </w:pPr>
      <w:r>
        <w:rPr>
          <w:b w:val="0"/>
          <w:sz w:val="26"/>
          <w:szCs w:val="26"/>
        </w:rPr>
        <w:tab/>
        <w:t xml:space="preserve">Likumprojekts </w:t>
      </w:r>
      <w:r w:rsidR="005A5DFF">
        <w:rPr>
          <w:b w:val="0"/>
          <w:sz w:val="26"/>
          <w:szCs w:val="26"/>
        </w:rPr>
        <w:t xml:space="preserve">(steidzams) </w:t>
      </w:r>
      <w:r>
        <w:rPr>
          <w:b w:val="0"/>
          <w:sz w:val="26"/>
          <w:szCs w:val="26"/>
        </w:rPr>
        <w:t>otrajam lasījumam</w:t>
      </w:r>
    </w:p>
    <w:p w:rsidR="001B01A3" w:rsidRPr="004A7DE9" w:rsidRDefault="009E58F1" w:rsidP="001B01A3">
      <w:pPr>
        <w:jc w:val="center"/>
        <w:rPr>
          <w:b/>
          <w:sz w:val="26"/>
          <w:szCs w:val="26"/>
          <w:lang w:val="lv-LV"/>
        </w:rPr>
      </w:pPr>
      <w:r>
        <w:rPr>
          <w:b/>
          <w:sz w:val="26"/>
          <w:szCs w:val="26"/>
          <w:lang w:val="lv-LV"/>
        </w:rPr>
        <w:t>Grozījums</w:t>
      </w:r>
      <w:r w:rsidR="004A7DE9" w:rsidRPr="004A7DE9">
        <w:rPr>
          <w:b/>
          <w:sz w:val="26"/>
          <w:szCs w:val="26"/>
          <w:lang w:val="lv-LV"/>
        </w:rPr>
        <w:t xml:space="preserve"> </w:t>
      </w:r>
      <w:r w:rsidR="00E67F21">
        <w:rPr>
          <w:b/>
          <w:sz w:val="26"/>
          <w:szCs w:val="26"/>
          <w:lang w:val="lv-LV"/>
        </w:rPr>
        <w:t>D</w:t>
      </w:r>
      <w:r>
        <w:rPr>
          <w:b/>
          <w:sz w:val="26"/>
          <w:szCs w:val="26"/>
          <w:lang w:val="lv-LV"/>
        </w:rPr>
        <w:t>zelzceļa</w:t>
      </w:r>
      <w:r w:rsidR="004A7DE9" w:rsidRPr="004A7DE9">
        <w:rPr>
          <w:b/>
          <w:sz w:val="26"/>
          <w:szCs w:val="26"/>
          <w:lang w:val="lv-LV"/>
        </w:rPr>
        <w:t xml:space="preserve"> likumā</w:t>
      </w:r>
    </w:p>
    <w:p w:rsidR="001B01A3" w:rsidRPr="001C6DD3" w:rsidRDefault="00FF3585" w:rsidP="001B01A3">
      <w:pPr>
        <w:jc w:val="center"/>
        <w:rPr>
          <w:sz w:val="26"/>
          <w:szCs w:val="26"/>
          <w:lang w:val="lv-LV"/>
        </w:rPr>
      </w:pPr>
      <w:r w:rsidRPr="001C6DD3">
        <w:rPr>
          <w:sz w:val="26"/>
          <w:szCs w:val="26"/>
          <w:lang w:val="lv-LV"/>
        </w:rPr>
        <w:t xml:space="preserve"> </w:t>
      </w:r>
      <w:r w:rsidR="004A7DE9" w:rsidRPr="001C6DD3">
        <w:rPr>
          <w:sz w:val="26"/>
          <w:szCs w:val="26"/>
          <w:lang w:val="lv-LV"/>
        </w:rPr>
        <w:t>(Nr</w:t>
      </w:r>
      <w:r w:rsidR="009E58F1">
        <w:rPr>
          <w:sz w:val="26"/>
          <w:szCs w:val="26"/>
          <w:lang w:val="lv-LV"/>
        </w:rPr>
        <w:t>.943</w:t>
      </w:r>
      <w:r w:rsidR="001B01A3" w:rsidRPr="001C6DD3">
        <w:rPr>
          <w:sz w:val="26"/>
          <w:szCs w:val="26"/>
          <w:lang w:val="lv-LV"/>
        </w:rPr>
        <w:t>/Lp</w:t>
      </w:r>
      <w:r w:rsidR="00843EE9" w:rsidRPr="001C6DD3">
        <w:rPr>
          <w:sz w:val="26"/>
          <w:szCs w:val="26"/>
          <w:lang w:val="lv-LV"/>
        </w:rPr>
        <w:t>1</w:t>
      </w:r>
      <w:r w:rsidR="001C6DD3" w:rsidRPr="001C6DD3">
        <w:rPr>
          <w:sz w:val="26"/>
          <w:szCs w:val="26"/>
          <w:lang w:val="lv-LV"/>
        </w:rPr>
        <w:t>1</w:t>
      </w:r>
      <w:r w:rsidR="001B01A3" w:rsidRPr="001C6DD3">
        <w:rPr>
          <w:sz w:val="26"/>
          <w:szCs w:val="26"/>
          <w:lang w:val="lv-LV"/>
        </w:rPr>
        <w:t>)</w:t>
      </w:r>
    </w:p>
    <w:p w:rsidR="004137D3" w:rsidRDefault="004137D3" w:rsidP="002B2358">
      <w:pPr>
        <w:pStyle w:val="Title"/>
        <w:jc w:val="left"/>
        <w:rPr>
          <w:sz w:val="26"/>
          <w:szCs w:val="26"/>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3799"/>
        <w:gridCol w:w="556"/>
        <w:gridCol w:w="3799"/>
        <w:gridCol w:w="1418"/>
        <w:gridCol w:w="1418"/>
      </w:tblGrid>
      <w:tr w:rsidR="004137D3" w:rsidRPr="009E58F1" w:rsidTr="004137D3">
        <w:tc>
          <w:tcPr>
            <w:tcW w:w="3799" w:type="dxa"/>
          </w:tcPr>
          <w:p w:rsidR="004137D3" w:rsidRDefault="004137D3" w:rsidP="00063C85">
            <w:pPr>
              <w:jc w:val="center"/>
              <w:rPr>
                <w:b/>
                <w:bCs/>
                <w:iCs/>
                <w:lang w:val="lv-LV"/>
              </w:rPr>
            </w:pPr>
            <w:r>
              <w:rPr>
                <w:b/>
                <w:bCs/>
                <w:iCs/>
                <w:lang w:val="lv-LV"/>
              </w:rPr>
              <w:t xml:space="preserve">Spēkā esošā </w:t>
            </w:r>
            <w:r w:rsidR="0033195D">
              <w:rPr>
                <w:b/>
                <w:bCs/>
                <w:iCs/>
                <w:lang w:val="lv-LV"/>
              </w:rPr>
              <w:t xml:space="preserve">likuma </w:t>
            </w:r>
            <w:r>
              <w:rPr>
                <w:b/>
                <w:bCs/>
                <w:iCs/>
                <w:lang w:val="lv-LV"/>
              </w:rPr>
              <w:t>redakcija</w:t>
            </w:r>
          </w:p>
        </w:tc>
        <w:tc>
          <w:tcPr>
            <w:tcW w:w="3799" w:type="dxa"/>
          </w:tcPr>
          <w:p w:rsidR="004137D3" w:rsidRDefault="004137D3" w:rsidP="004137D3">
            <w:pPr>
              <w:pStyle w:val="Heading1"/>
            </w:pPr>
            <w:r>
              <w:t>Pirmā lasījuma redakcija</w:t>
            </w:r>
          </w:p>
        </w:tc>
        <w:tc>
          <w:tcPr>
            <w:tcW w:w="556" w:type="dxa"/>
          </w:tcPr>
          <w:p w:rsidR="004137D3" w:rsidRPr="001C14B1" w:rsidRDefault="004137D3" w:rsidP="001C14B1">
            <w:pPr>
              <w:jc w:val="center"/>
              <w:rPr>
                <w:b/>
                <w:bCs/>
                <w:iCs/>
                <w:lang w:val="lv-LV"/>
              </w:rPr>
            </w:pPr>
            <w:r w:rsidRPr="001C14B1">
              <w:rPr>
                <w:b/>
                <w:bCs/>
                <w:iCs/>
                <w:lang w:val="lv-LV"/>
              </w:rPr>
              <w:t>Nr.</w:t>
            </w:r>
          </w:p>
        </w:tc>
        <w:tc>
          <w:tcPr>
            <w:tcW w:w="3799" w:type="dxa"/>
          </w:tcPr>
          <w:p w:rsidR="004137D3" w:rsidRDefault="004137D3" w:rsidP="004137D3">
            <w:pPr>
              <w:ind w:firstLine="10"/>
              <w:jc w:val="center"/>
              <w:rPr>
                <w:b/>
                <w:bCs/>
                <w:iCs/>
                <w:lang w:val="lv-LV"/>
              </w:rPr>
            </w:pPr>
            <w:r>
              <w:rPr>
                <w:b/>
                <w:bCs/>
                <w:iCs/>
                <w:lang w:val="lv-LV"/>
              </w:rPr>
              <w:t>Priekšlikumi</w:t>
            </w:r>
          </w:p>
          <w:p w:rsidR="004137D3" w:rsidRDefault="001B01A3" w:rsidP="00F85D4D">
            <w:pPr>
              <w:jc w:val="center"/>
              <w:rPr>
                <w:b/>
                <w:bCs/>
                <w:iCs/>
                <w:lang w:val="lv-LV"/>
              </w:rPr>
            </w:pPr>
            <w:r>
              <w:rPr>
                <w:b/>
                <w:bCs/>
                <w:iCs/>
                <w:lang w:val="lv-LV"/>
              </w:rPr>
              <w:t>(</w:t>
            </w:r>
            <w:r w:rsidR="009B2A94">
              <w:rPr>
                <w:b/>
                <w:bCs/>
                <w:iCs/>
                <w:lang w:val="lv-LV"/>
              </w:rPr>
              <w:t>3</w:t>
            </w:r>
            <w:r w:rsidR="00E0539F">
              <w:rPr>
                <w:b/>
                <w:bCs/>
                <w:iCs/>
                <w:lang w:val="lv-LV"/>
              </w:rPr>
              <w:t>)</w:t>
            </w:r>
          </w:p>
        </w:tc>
        <w:tc>
          <w:tcPr>
            <w:tcW w:w="1418" w:type="dxa"/>
          </w:tcPr>
          <w:p w:rsidR="004137D3" w:rsidRDefault="004137D3" w:rsidP="004137D3">
            <w:pPr>
              <w:jc w:val="center"/>
              <w:rPr>
                <w:b/>
                <w:bCs/>
                <w:iCs/>
                <w:lang w:val="lv-LV"/>
              </w:rPr>
            </w:pPr>
            <w:r>
              <w:rPr>
                <w:b/>
                <w:bCs/>
                <w:iCs/>
                <w:lang w:val="lv-LV"/>
              </w:rPr>
              <w:t>Ministru kabineta atzinums</w:t>
            </w:r>
          </w:p>
        </w:tc>
        <w:tc>
          <w:tcPr>
            <w:tcW w:w="1418" w:type="dxa"/>
          </w:tcPr>
          <w:p w:rsidR="004137D3" w:rsidRDefault="004137D3" w:rsidP="004137D3">
            <w:pPr>
              <w:jc w:val="center"/>
              <w:rPr>
                <w:b/>
                <w:bCs/>
                <w:iCs/>
                <w:lang w:val="lv-LV"/>
              </w:rPr>
            </w:pPr>
            <w:r>
              <w:rPr>
                <w:b/>
                <w:bCs/>
                <w:iCs/>
                <w:lang w:val="lv-LV"/>
              </w:rPr>
              <w:t>Komisijas atzinums</w:t>
            </w:r>
          </w:p>
        </w:tc>
      </w:tr>
      <w:tr w:rsidR="00DA658F" w:rsidRPr="00DA658F" w:rsidTr="004137D3">
        <w:tc>
          <w:tcPr>
            <w:tcW w:w="3799" w:type="dxa"/>
          </w:tcPr>
          <w:p w:rsidR="00DA658F" w:rsidRDefault="00DA658F" w:rsidP="00063C85">
            <w:pPr>
              <w:jc w:val="center"/>
              <w:rPr>
                <w:b/>
                <w:bCs/>
                <w:iCs/>
                <w:lang w:val="lv-LV"/>
              </w:rPr>
            </w:pPr>
          </w:p>
        </w:tc>
        <w:tc>
          <w:tcPr>
            <w:tcW w:w="3799" w:type="dxa"/>
          </w:tcPr>
          <w:p w:rsidR="00DA658F" w:rsidRPr="00DA658F" w:rsidRDefault="00DA658F" w:rsidP="00DA658F">
            <w:pPr>
              <w:ind w:firstLine="720"/>
              <w:jc w:val="both"/>
              <w:rPr>
                <w:sz w:val="22"/>
                <w:szCs w:val="22"/>
                <w:lang w:val="lv-LV"/>
              </w:rPr>
            </w:pPr>
            <w:r>
              <w:rPr>
                <w:rFonts w:eastAsia="Calibri"/>
                <w:sz w:val="22"/>
                <w:szCs w:val="22"/>
                <w:lang w:val="lv-LV"/>
              </w:rPr>
              <w:t xml:space="preserve">     </w:t>
            </w:r>
            <w:r w:rsidRPr="0027456F">
              <w:rPr>
                <w:sz w:val="22"/>
                <w:szCs w:val="22"/>
                <w:lang w:val="lv-LV"/>
              </w:rPr>
              <w:t>Izdarīt Dzelzceļa likumā (Latvijas Republikas Saeimas un Ministru Kabineta Ziņotājs, 1998, 9.nr.; 1999, 5., 23.nr.; 2001, 1.nr.; 2003, 6., 10., 23.nr.; 2004, 8.nr.; 2005, 21.nr.; 2006, 1.nr.; 2007, 13., 15.nr.; 2008, 15., 16.nr.; 2009, 12., 20.nr.; Latvijas Vēstnesis, 2009, 193.nr.; 2010, 86., 106., 162., 205.nr.; 2011, 65.nr.; 2013, 51.nr.) šādu grozījumu:</w:t>
            </w:r>
          </w:p>
        </w:tc>
        <w:tc>
          <w:tcPr>
            <w:tcW w:w="556" w:type="dxa"/>
          </w:tcPr>
          <w:p w:rsidR="00DA658F" w:rsidRPr="001C14B1" w:rsidRDefault="00DA658F" w:rsidP="001C14B1">
            <w:pPr>
              <w:jc w:val="center"/>
              <w:rPr>
                <w:b/>
                <w:bCs/>
                <w:iCs/>
                <w:lang w:val="lv-LV"/>
              </w:rPr>
            </w:pPr>
          </w:p>
        </w:tc>
        <w:tc>
          <w:tcPr>
            <w:tcW w:w="3799" w:type="dxa"/>
          </w:tcPr>
          <w:p w:rsidR="00DA658F" w:rsidRDefault="00DA658F" w:rsidP="004137D3">
            <w:pPr>
              <w:ind w:firstLine="10"/>
              <w:jc w:val="center"/>
              <w:rPr>
                <w:b/>
                <w:bCs/>
                <w:iCs/>
                <w:lang w:val="lv-LV"/>
              </w:rPr>
            </w:pPr>
          </w:p>
        </w:tc>
        <w:tc>
          <w:tcPr>
            <w:tcW w:w="1418" w:type="dxa"/>
          </w:tcPr>
          <w:p w:rsidR="00DA658F" w:rsidRDefault="00DA658F" w:rsidP="004137D3">
            <w:pPr>
              <w:jc w:val="center"/>
              <w:rPr>
                <w:b/>
                <w:bCs/>
                <w:iCs/>
                <w:lang w:val="lv-LV"/>
              </w:rPr>
            </w:pPr>
          </w:p>
        </w:tc>
        <w:tc>
          <w:tcPr>
            <w:tcW w:w="1418" w:type="dxa"/>
          </w:tcPr>
          <w:p w:rsidR="00DA658F" w:rsidRDefault="00DA658F" w:rsidP="004137D3">
            <w:pPr>
              <w:jc w:val="center"/>
              <w:rPr>
                <w:b/>
                <w:bCs/>
                <w:iCs/>
                <w:lang w:val="lv-LV"/>
              </w:rPr>
            </w:pPr>
          </w:p>
        </w:tc>
      </w:tr>
      <w:tr w:rsidR="00BE3B9F" w:rsidRPr="00DA658F" w:rsidTr="004137D3">
        <w:tc>
          <w:tcPr>
            <w:tcW w:w="3799" w:type="dxa"/>
          </w:tcPr>
          <w:p w:rsidR="00BE3B9F" w:rsidRPr="00BE3B9F" w:rsidRDefault="00BE3B9F" w:rsidP="00BE3B9F">
            <w:pPr>
              <w:jc w:val="both"/>
              <w:rPr>
                <w:lang w:val="lv-LV"/>
              </w:rPr>
            </w:pPr>
            <w:r>
              <w:rPr>
                <w:lang w:val="lv-LV"/>
              </w:rPr>
              <w:t>[..]</w:t>
            </w:r>
            <w:bookmarkStart w:id="0" w:name="_GoBack"/>
            <w:bookmarkEnd w:id="0"/>
          </w:p>
        </w:tc>
        <w:tc>
          <w:tcPr>
            <w:tcW w:w="3799" w:type="dxa"/>
          </w:tcPr>
          <w:p w:rsidR="00BE3B9F" w:rsidRDefault="00BE3B9F" w:rsidP="00DA658F">
            <w:pPr>
              <w:ind w:firstLine="720"/>
              <w:jc w:val="both"/>
              <w:rPr>
                <w:rFonts w:eastAsia="Calibri"/>
                <w:sz w:val="22"/>
                <w:szCs w:val="22"/>
                <w:lang w:val="lv-LV"/>
              </w:rPr>
            </w:pPr>
          </w:p>
        </w:tc>
        <w:tc>
          <w:tcPr>
            <w:tcW w:w="556" w:type="dxa"/>
          </w:tcPr>
          <w:p w:rsidR="00BE3B9F" w:rsidRPr="001C14B1" w:rsidRDefault="00BE3B9F" w:rsidP="001C14B1">
            <w:pPr>
              <w:jc w:val="center"/>
              <w:rPr>
                <w:b/>
                <w:bCs/>
                <w:iCs/>
                <w:lang w:val="lv-LV"/>
              </w:rPr>
            </w:pPr>
          </w:p>
        </w:tc>
        <w:tc>
          <w:tcPr>
            <w:tcW w:w="3799" w:type="dxa"/>
          </w:tcPr>
          <w:p w:rsidR="00BE3B9F" w:rsidRDefault="00BE3B9F" w:rsidP="004137D3">
            <w:pPr>
              <w:ind w:firstLine="10"/>
              <w:jc w:val="center"/>
              <w:rPr>
                <w:b/>
                <w:bCs/>
                <w:iCs/>
                <w:lang w:val="lv-LV"/>
              </w:rPr>
            </w:pPr>
          </w:p>
        </w:tc>
        <w:tc>
          <w:tcPr>
            <w:tcW w:w="1418" w:type="dxa"/>
          </w:tcPr>
          <w:p w:rsidR="00BE3B9F" w:rsidRDefault="00BE3B9F" w:rsidP="004137D3">
            <w:pPr>
              <w:jc w:val="center"/>
              <w:rPr>
                <w:b/>
                <w:bCs/>
                <w:iCs/>
                <w:lang w:val="lv-LV"/>
              </w:rPr>
            </w:pPr>
          </w:p>
        </w:tc>
        <w:tc>
          <w:tcPr>
            <w:tcW w:w="1418" w:type="dxa"/>
          </w:tcPr>
          <w:p w:rsidR="00BE3B9F" w:rsidRDefault="00BE3B9F" w:rsidP="004137D3">
            <w:pPr>
              <w:jc w:val="center"/>
              <w:rPr>
                <w:b/>
                <w:bCs/>
                <w:iCs/>
                <w:lang w:val="lv-LV"/>
              </w:rPr>
            </w:pPr>
          </w:p>
        </w:tc>
      </w:tr>
      <w:tr w:rsidR="004137D3" w:rsidRPr="00DA658F" w:rsidTr="004137D3">
        <w:tc>
          <w:tcPr>
            <w:tcW w:w="3799" w:type="dxa"/>
          </w:tcPr>
          <w:p w:rsidR="004C3651" w:rsidRDefault="004C3651" w:rsidP="00452ECC">
            <w:pPr>
              <w:jc w:val="both"/>
              <w:rPr>
                <w:sz w:val="22"/>
                <w:szCs w:val="22"/>
                <w:lang w:val="lv-LV"/>
              </w:rPr>
            </w:pPr>
          </w:p>
          <w:p w:rsidR="007212E5" w:rsidRDefault="007212E5" w:rsidP="00452ECC">
            <w:pPr>
              <w:jc w:val="both"/>
              <w:rPr>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9B2A94" w:rsidRDefault="009B2A94"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8D407B" w:rsidRDefault="008D407B" w:rsidP="00EC4FFC">
            <w:pPr>
              <w:jc w:val="both"/>
              <w:rPr>
                <w:b/>
                <w:sz w:val="22"/>
                <w:szCs w:val="22"/>
                <w:lang w:val="lv-LV"/>
              </w:rPr>
            </w:pPr>
          </w:p>
          <w:p w:rsidR="009D3B57" w:rsidRPr="0027098D" w:rsidRDefault="009D3B57" w:rsidP="00452ECC">
            <w:pPr>
              <w:jc w:val="both"/>
              <w:rPr>
                <w:sz w:val="22"/>
                <w:szCs w:val="22"/>
                <w:lang w:val="lv-LV"/>
              </w:rPr>
            </w:pPr>
            <w:bookmarkStart w:id="1" w:name="6367"/>
            <w:bookmarkEnd w:id="1"/>
          </w:p>
          <w:p w:rsidR="007212E5" w:rsidRPr="00DA658F" w:rsidRDefault="007212E5" w:rsidP="00452ECC">
            <w:pPr>
              <w:jc w:val="both"/>
              <w:rPr>
                <w:rFonts w:ascii="Arial" w:hAnsi="Arial" w:cs="Arial"/>
                <w:b/>
                <w:bCs/>
                <w:color w:val="414142"/>
                <w:sz w:val="20"/>
                <w:szCs w:val="20"/>
                <w:lang w:val="lv-LV"/>
              </w:rPr>
            </w:pPr>
          </w:p>
        </w:tc>
        <w:tc>
          <w:tcPr>
            <w:tcW w:w="3799" w:type="dxa"/>
          </w:tcPr>
          <w:p w:rsidR="00452ECC" w:rsidRDefault="00452ECC" w:rsidP="00313C96">
            <w:pPr>
              <w:jc w:val="both"/>
              <w:rPr>
                <w:rFonts w:eastAsia="Calibri"/>
                <w:sz w:val="22"/>
                <w:szCs w:val="22"/>
                <w:lang w:val="lv-LV"/>
              </w:rPr>
            </w:pPr>
          </w:p>
          <w:p w:rsidR="009B2A94" w:rsidRDefault="00970F44" w:rsidP="00E560C9">
            <w:pPr>
              <w:ind w:firstLine="720"/>
              <w:jc w:val="both"/>
              <w:rPr>
                <w:sz w:val="22"/>
                <w:szCs w:val="22"/>
                <w:lang w:val="lv-LV"/>
              </w:rPr>
            </w:pPr>
            <w:r w:rsidRPr="00E560C9">
              <w:rPr>
                <w:sz w:val="22"/>
                <w:szCs w:val="22"/>
                <w:lang w:val="lv-LV"/>
              </w:rPr>
              <w:t xml:space="preserve">    </w:t>
            </w: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9B2A94" w:rsidRDefault="009B2A94"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8D407B" w:rsidRDefault="008D407B" w:rsidP="00E560C9">
            <w:pPr>
              <w:ind w:firstLine="720"/>
              <w:jc w:val="both"/>
              <w:rPr>
                <w:sz w:val="22"/>
                <w:szCs w:val="22"/>
                <w:lang w:val="lv-LV"/>
              </w:rPr>
            </w:pPr>
          </w:p>
          <w:p w:rsidR="009D3B57" w:rsidRDefault="00970F44" w:rsidP="00E560C9">
            <w:pPr>
              <w:ind w:firstLine="720"/>
              <w:jc w:val="both"/>
              <w:rPr>
                <w:sz w:val="22"/>
                <w:szCs w:val="22"/>
                <w:lang w:val="lv-LV"/>
              </w:rPr>
            </w:pPr>
            <w:r w:rsidRPr="00E560C9">
              <w:rPr>
                <w:sz w:val="22"/>
                <w:szCs w:val="22"/>
                <w:lang w:val="lv-LV"/>
              </w:rPr>
              <w:t xml:space="preserve"> </w:t>
            </w: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E560C9">
            <w:pPr>
              <w:ind w:firstLine="720"/>
              <w:jc w:val="both"/>
              <w:rPr>
                <w:sz w:val="22"/>
                <w:szCs w:val="22"/>
                <w:lang w:val="lv-LV"/>
              </w:rPr>
            </w:pPr>
          </w:p>
          <w:p w:rsidR="009D3B57" w:rsidRDefault="009D3B57" w:rsidP="0027098D">
            <w:pPr>
              <w:jc w:val="both"/>
              <w:rPr>
                <w:sz w:val="22"/>
                <w:szCs w:val="22"/>
                <w:lang w:val="lv-LV"/>
              </w:rPr>
            </w:pPr>
          </w:p>
          <w:p w:rsidR="004839D7" w:rsidRPr="00DA658F" w:rsidRDefault="004839D7" w:rsidP="002C75BB">
            <w:pPr>
              <w:jc w:val="both"/>
              <w:rPr>
                <w:lang w:val="lv-LV"/>
              </w:rPr>
            </w:pPr>
          </w:p>
        </w:tc>
        <w:tc>
          <w:tcPr>
            <w:tcW w:w="556" w:type="dxa"/>
          </w:tcPr>
          <w:p w:rsidR="006F0875" w:rsidRDefault="006F0875" w:rsidP="00970F44">
            <w:pPr>
              <w:tabs>
                <w:tab w:val="left" w:pos="-85"/>
                <w:tab w:val="left" w:pos="340"/>
              </w:tabs>
              <w:ind w:left="-85" w:firstLine="652"/>
              <w:jc w:val="center"/>
              <w:rPr>
                <w:sz w:val="22"/>
                <w:szCs w:val="22"/>
                <w:lang w:val="lv-LV"/>
              </w:rPr>
            </w:pPr>
            <w:r>
              <w:rPr>
                <w:sz w:val="22"/>
                <w:szCs w:val="22"/>
                <w:lang w:val="lv-LV"/>
              </w:rPr>
              <w:lastRenderedPageBreak/>
              <w:t>1</w:t>
            </w:r>
          </w:p>
          <w:p w:rsidR="006F0875" w:rsidRDefault="006F0875" w:rsidP="00DA658F">
            <w:pPr>
              <w:rPr>
                <w:b/>
                <w:sz w:val="22"/>
                <w:szCs w:val="22"/>
                <w:lang w:val="lv-LV"/>
              </w:rPr>
            </w:pPr>
            <w:r w:rsidRPr="006F0875">
              <w:rPr>
                <w:b/>
                <w:sz w:val="22"/>
                <w:szCs w:val="22"/>
                <w:lang w:val="lv-LV"/>
              </w:rPr>
              <w:t>1</w:t>
            </w: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FD180A" w:rsidRDefault="00FD180A" w:rsidP="006F0875">
            <w:pPr>
              <w:jc w:val="center"/>
              <w:rPr>
                <w:b/>
                <w:sz w:val="22"/>
                <w:szCs w:val="22"/>
                <w:lang w:val="lv-LV"/>
              </w:rPr>
            </w:pPr>
          </w:p>
          <w:p w:rsidR="004137D3" w:rsidRPr="006F0875" w:rsidRDefault="004137D3" w:rsidP="006F0875">
            <w:pPr>
              <w:rPr>
                <w:sz w:val="22"/>
                <w:szCs w:val="22"/>
                <w:lang w:val="lv-LV"/>
              </w:rPr>
            </w:pPr>
          </w:p>
        </w:tc>
        <w:tc>
          <w:tcPr>
            <w:tcW w:w="3799" w:type="dxa"/>
          </w:tcPr>
          <w:p w:rsidR="005D4FE6" w:rsidRPr="00C96427" w:rsidRDefault="005D4FE6" w:rsidP="00C96427">
            <w:pPr>
              <w:spacing w:before="120"/>
              <w:jc w:val="both"/>
              <w:rPr>
                <w:b/>
                <w:sz w:val="22"/>
                <w:szCs w:val="22"/>
                <w:u w:val="single"/>
                <w:lang w:val="lv-LV"/>
              </w:rPr>
            </w:pPr>
            <w:r w:rsidRPr="00C96427">
              <w:rPr>
                <w:b/>
                <w:sz w:val="22"/>
                <w:szCs w:val="22"/>
                <w:u w:val="single"/>
                <w:lang w:val="lv-LV"/>
              </w:rPr>
              <w:lastRenderedPageBreak/>
              <w:t xml:space="preserve">Satiksmes ministrijas parlamentārais sekretārs </w:t>
            </w:r>
            <w:proofErr w:type="spellStart"/>
            <w:r w:rsidRPr="00C96427">
              <w:rPr>
                <w:b/>
                <w:sz w:val="22"/>
                <w:szCs w:val="22"/>
                <w:u w:val="single"/>
                <w:lang w:val="lv-LV"/>
              </w:rPr>
              <w:t>V.Valainis</w:t>
            </w:r>
            <w:proofErr w:type="spellEnd"/>
          </w:p>
          <w:p w:rsidR="005D4FE6" w:rsidRPr="00C96427" w:rsidRDefault="005D4FE6" w:rsidP="00C96427">
            <w:pPr>
              <w:spacing w:before="120"/>
              <w:jc w:val="both"/>
              <w:rPr>
                <w:sz w:val="22"/>
                <w:szCs w:val="22"/>
                <w:lang w:val="lv-LV"/>
              </w:rPr>
            </w:pPr>
            <w:r w:rsidRPr="00C96427">
              <w:rPr>
                <w:sz w:val="22"/>
                <w:szCs w:val="22"/>
                <w:lang w:val="lv-LV"/>
              </w:rPr>
              <w:t>Papildināt likumu ar 7.</w:t>
            </w:r>
            <w:r w:rsidRPr="00C96427">
              <w:rPr>
                <w:sz w:val="22"/>
                <w:szCs w:val="22"/>
                <w:vertAlign w:val="superscript"/>
                <w:lang w:val="lv-LV"/>
              </w:rPr>
              <w:t>1</w:t>
            </w:r>
            <w:r w:rsidRPr="00C96427">
              <w:rPr>
                <w:sz w:val="22"/>
                <w:szCs w:val="22"/>
                <w:lang w:val="lv-LV"/>
              </w:rPr>
              <w:t xml:space="preserve"> pantu šādā redakcijā:  </w:t>
            </w:r>
          </w:p>
          <w:p w:rsidR="005D4FE6" w:rsidRPr="00C96427" w:rsidRDefault="005D4FE6" w:rsidP="00C96427">
            <w:pPr>
              <w:jc w:val="both"/>
              <w:rPr>
                <w:sz w:val="22"/>
                <w:szCs w:val="22"/>
                <w:lang w:val="lv-LV"/>
              </w:rPr>
            </w:pPr>
            <w:r w:rsidRPr="00C96427">
              <w:rPr>
                <w:sz w:val="22"/>
                <w:szCs w:val="22"/>
                <w:lang w:val="lv-LV"/>
              </w:rPr>
              <w:t>"</w:t>
            </w:r>
            <w:r w:rsidRPr="00C96427">
              <w:rPr>
                <w:b/>
                <w:sz w:val="22"/>
                <w:szCs w:val="22"/>
                <w:lang w:val="lv-LV"/>
              </w:rPr>
              <w:t>7.</w:t>
            </w:r>
            <w:r w:rsidRPr="00C96427">
              <w:rPr>
                <w:b/>
                <w:sz w:val="22"/>
                <w:szCs w:val="22"/>
                <w:vertAlign w:val="superscript"/>
                <w:lang w:val="lv-LV"/>
              </w:rPr>
              <w:t>1</w:t>
            </w:r>
            <w:r w:rsidRPr="00C96427">
              <w:rPr>
                <w:b/>
                <w:sz w:val="22"/>
                <w:szCs w:val="22"/>
                <w:lang w:val="lv-LV"/>
              </w:rPr>
              <w:t xml:space="preserve"> pants. Vēsturiskā mantojuma dzelzceļš</w:t>
            </w:r>
            <w:r w:rsidRPr="00C96427">
              <w:rPr>
                <w:sz w:val="22"/>
                <w:szCs w:val="22"/>
                <w:lang w:val="lv-LV"/>
              </w:rPr>
              <w:t xml:space="preserve"> </w:t>
            </w:r>
          </w:p>
          <w:p w:rsidR="005D4FE6" w:rsidRPr="00C96427" w:rsidRDefault="005D4FE6" w:rsidP="00C96427">
            <w:pPr>
              <w:jc w:val="both"/>
              <w:rPr>
                <w:sz w:val="22"/>
                <w:szCs w:val="22"/>
                <w:lang w:val="lv-LV"/>
              </w:rPr>
            </w:pPr>
            <w:r w:rsidRPr="00C96427">
              <w:rPr>
                <w:sz w:val="22"/>
                <w:szCs w:val="22"/>
                <w:lang w:val="lv-LV"/>
              </w:rPr>
              <w:t xml:space="preserve"> (1) Vēsturiskā mantojuma dzelzceļš ir valsts nozīmes kultūras piemineklis, kurā ietilpst šaursliežu dzelzceļa līnijas Gulbene–Alūksne sliežu ceļi, inženierbūves, aprīkojums, ēkas, ritošais sastāvs. Vēsturiskā mantojuma dzelzceļā ietilpst arī dzelzceļa zemes nodalījuma josla. </w:t>
            </w:r>
          </w:p>
          <w:p w:rsidR="005D4FE6" w:rsidRPr="00C96427" w:rsidRDefault="005D4FE6" w:rsidP="00C96427">
            <w:pPr>
              <w:jc w:val="both"/>
              <w:rPr>
                <w:sz w:val="22"/>
                <w:szCs w:val="22"/>
                <w:lang w:val="lv-LV"/>
              </w:rPr>
            </w:pPr>
            <w:r w:rsidRPr="00C96427">
              <w:rPr>
                <w:sz w:val="22"/>
                <w:szCs w:val="22"/>
                <w:lang w:val="lv-LV"/>
              </w:rPr>
              <w:t xml:space="preserve">(2) Vēsturiskā mantojuma dzelzceļa </w:t>
            </w:r>
            <w:r w:rsidRPr="00C96427">
              <w:rPr>
                <w:sz w:val="22"/>
                <w:szCs w:val="22"/>
                <w:lang w:val="lv-LV"/>
              </w:rPr>
              <w:lastRenderedPageBreak/>
              <w:t>objektu apsaimniekošanu veic to īpašnieki (valdītāji).</w:t>
            </w:r>
          </w:p>
          <w:p w:rsidR="005D4FE6" w:rsidRPr="00C96427" w:rsidRDefault="005D4FE6" w:rsidP="00C96427">
            <w:pPr>
              <w:jc w:val="both"/>
              <w:rPr>
                <w:sz w:val="22"/>
                <w:szCs w:val="22"/>
                <w:lang w:val="lv-LV"/>
              </w:rPr>
            </w:pPr>
            <w:r w:rsidRPr="00C96427">
              <w:rPr>
                <w:sz w:val="22"/>
                <w:szCs w:val="22"/>
                <w:lang w:val="lv-LV"/>
              </w:rPr>
              <w:t xml:space="preserve">(3) Lai koordinētu vēsturiskā mantojuma dzelzceļa darbību atbilstoši tā funkcijām, veicinātu sadarbību starp valsts un pašvaldību institūcijām, tā objektu īpašniekiem (valdītājiem) un nevalstiskajām organizācijām, īstenojot labāko </w:t>
            </w:r>
            <w:proofErr w:type="spellStart"/>
            <w:r w:rsidRPr="00C96427">
              <w:rPr>
                <w:sz w:val="22"/>
                <w:szCs w:val="22"/>
                <w:lang w:val="lv-LV"/>
              </w:rPr>
              <w:t>muzejdzelzceļu</w:t>
            </w:r>
            <w:proofErr w:type="spellEnd"/>
            <w:r w:rsidRPr="00C96427">
              <w:rPr>
                <w:sz w:val="22"/>
                <w:szCs w:val="22"/>
                <w:lang w:val="lv-LV"/>
              </w:rPr>
              <w:t xml:space="preserve"> praksi, izveido Vēsturiskā mantojuma dzelzceļa konsultatīvo padomi, kurā ietilpst Satiksmes ministrijas, Kultūras ministrijas, Valsts dzelzceļa administrācijas, Valsts dzelzceļa tehniskās inspekcijas, Valsts kultūras pieminekļu aizsardzības inspekcijas, Gulbenes novada domes, Alūksnes novada domes, vēsturiskā mantojuma dzelzceļa objektu apsaimniekošanā iesaistīto personu un ieinteresēto biedrību un nodibinājumu, kuru mērķis saskaņā ar statūtiem ir attiecīgā kultūrvēsturiskā mantojuma saglabāšana, pārstāvji. Padomes nolikumu apstiprina Ministru kabinets, bet personālsastāvu — satiksmes ministrs. Nolikumā nosaka konsultatīvās padomes tiesības, funkcijas un darbības kārtību, kā arī kārtību, kādā šajā pantā minētās personas deleģē pārstāvjus darbam padomē.</w:t>
            </w:r>
          </w:p>
          <w:p w:rsidR="005D4FE6" w:rsidRPr="00C96427" w:rsidRDefault="005D4FE6" w:rsidP="00C96427">
            <w:pPr>
              <w:jc w:val="both"/>
              <w:rPr>
                <w:sz w:val="22"/>
                <w:szCs w:val="22"/>
                <w:lang w:val="lv-LV"/>
              </w:rPr>
            </w:pPr>
            <w:r w:rsidRPr="00C96427">
              <w:rPr>
                <w:sz w:val="22"/>
                <w:szCs w:val="22"/>
                <w:lang w:val="lv-LV"/>
              </w:rPr>
              <w:t xml:space="preserve">(4) Vēsturiskā mantojuma dzelzceļa infrastruktūrai ir reģionālās nozīmes publiskās lietošanas dzelzceļa infrastruktūras statuss. </w:t>
            </w:r>
          </w:p>
          <w:p w:rsidR="005D4FE6" w:rsidRPr="00C96427" w:rsidRDefault="005D4FE6" w:rsidP="00C96427">
            <w:pPr>
              <w:jc w:val="both"/>
              <w:rPr>
                <w:sz w:val="22"/>
                <w:szCs w:val="22"/>
                <w:lang w:val="lv-LV"/>
              </w:rPr>
            </w:pPr>
            <w:r w:rsidRPr="00C96427">
              <w:rPr>
                <w:sz w:val="22"/>
                <w:szCs w:val="22"/>
                <w:lang w:val="lv-LV"/>
              </w:rPr>
              <w:lastRenderedPageBreak/>
              <w:t>(5) Uz vēsturiskā mantojuma dzelzceļu nav attiecināmas šā likuma 11., 12., 13., 13.</w:t>
            </w:r>
            <w:r w:rsidRPr="00C96427">
              <w:rPr>
                <w:sz w:val="22"/>
                <w:szCs w:val="22"/>
                <w:vertAlign w:val="superscript"/>
                <w:lang w:val="lv-LV"/>
              </w:rPr>
              <w:t>1</w:t>
            </w:r>
            <w:r w:rsidRPr="00C96427">
              <w:rPr>
                <w:sz w:val="22"/>
                <w:szCs w:val="22"/>
                <w:lang w:val="lv-LV"/>
              </w:rPr>
              <w:t>, 27., 28. un 43. panta prasības.</w:t>
            </w:r>
          </w:p>
          <w:p w:rsidR="005D4FE6" w:rsidRPr="00C96427" w:rsidRDefault="005D4FE6" w:rsidP="00C96427">
            <w:pPr>
              <w:jc w:val="both"/>
              <w:rPr>
                <w:sz w:val="22"/>
                <w:szCs w:val="22"/>
                <w:lang w:val="lv-LV"/>
              </w:rPr>
            </w:pPr>
            <w:r w:rsidRPr="00C96427">
              <w:rPr>
                <w:sz w:val="22"/>
                <w:szCs w:val="22"/>
                <w:lang w:val="lv-LV"/>
              </w:rPr>
              <w:t xml:space="preserve">(6) Publiskās lietošanas dzelzceļa infrastruktūras pārvaldītājs ik gadu paredz finansējumu 0,25 procentu apmērā no kopējā šā likuma 10. panta otrās daļas 1. un 2. punktā minētā dzelzceļa infrastruktūras finansējuma apjoma par iepriekšējo gadu, šādiem mērķiem: </w:t>
            </w:r>
          </w:p>
          <w:p w:rsidR="005D4FE6" w:rsidRPr="00C96427" w:rsidRDefault="005D4FE6" w:rsidP="009B2A94">
            <w:pPr>
              <w:jc w:val="both"/>
              <w:rPr>
                <w:sz w:val="22"/>
                <w:szCs w:val="22"/>
                <w:lang w:val="lv-LV"/>
              </w:rPr>
            </w:pPr>
            <w:r w:rsidRPr="00C96427">
              <w:rPr>
                <w:sz w:val="22"/>
                <w:szCs w:val="22"/>
                <w:lang w:val="lv-LV"/>
              </w:rPr>
              <w:t xml:space="preserve"> 1) pārvaldīt šaursliežu dzelzceļa līnijas infrastruktūru saskaņā ar šo likumu un citiem tiesību aktiem;</w:t>
            </w:r>
          </w:p>
          <w:p w:rsidR="005D4FE6" w:rsidRPr="00C96427" w:rsidRDefault="005D4FE6" w:rsidP="009B2A94">
            <w:pPr>
              <w:jc w:val="both"/>
              <w:rPr>
                <w:sz w:val="22"/>
                <w:szCs w:val="22"/>
                <w:lang w:val="lv-LV"/>
              </w:rPr>
            </w:pPr>
            <w:r w:rsidRPr="00C96427">
              <w:rPr>
                <w:sz w:val="22"/>
                <w:szCs w:val="22"/>
                <w:lang w:val="lv-LV"/>
              </w:rPr>
              <w:t xml:space="preserve">2) veikt kultūrvēsturiskā mantojuma saglabāšanu un popularizēšanu; </w:t>
            </w:r>
          </w:p>
          <w:p w:rsidR="005D4FE6" w:rsidRPr="00C96427" w:rsidRDefault="005D4FE6" w:rsidP="009B2A94">
            <w:pPr>
              <w:jc w:val="both"/>
              <w:rPr>
                <w:sz w:val="22"/>
                <w:szCs w:val="22"/>
                <w:lang w:val="lv-LV"/>
              </w:rPr>
            </w:pPr>
            <w:r w:rsidRPr="00C96427">
              <w:rPr>
                <w:sz w:val="22"/>
                <w:szCs w:val="22"/>
                <w:lang w:val="lv-LV"/>
              </w:rPr>
              <w:t>3) veikt sabiedrības izglītošanu un dzelzceļa nozares popularizēšanu;</w:t>
            </w:r>
          </w:p>
          <w:p w:rsidR="005D4FE6" w:rsidRPr="00C96427" w:rsidRDefault="005D4FE6" w:rsidP="009B2A94">
            <w:pPr>
              <w:jc w:val="both"/>
              <w:rPr>
                <w:sz w:val="22"/>
                <w:szCs w:val="22"/>
                <w:lang w:val="lv-LV"/>
              </w:rPr>
            </w:pPr>
            <w:r w:rsidRPr="00C96427">
              <w:rPr>
                <w:sz w:val="22"/>
                <w:szCs w:val="22"/>
                <w:lang w:val="lv-LV"/>
              </w:rPr>
              <w:t>4) nodrošināt regulāros pārvadājumus;</w:t>
            </w:r>
          </w:p>
          <w:p w:rsidR="005D4FE6" w:rsidRPr="00C96427" w:rsidRDefault="005D4FE6" w:rsidP="009B2A94">
            <w:pPr>
              <w:jc w:val="both"/>
              <w:rPr>
                <w:sz w:val="22"/>
                <w:szCs w:val="22"/>
                <w:lang w:val="lv-LV"/>
              </w:rPr>
            </w:pPr>
            <w:r w:rsidRPr="00C96427">
              <w:rPr>
                <w:sz w:val="22"/>
                <w:szCs w:val="22"/>
                <w:lang w:val="lv-LV"/>
              </w:rPr>
              <w:t>5) attīstīt tūrismu;</w:t>
            </w:r>
          </w:p>
          <w:p w:rsidR="005D4FE6" w:rsidRPr="00C96427" w:rsidRDefault="005D4FE6" w:rsidP="009B2A94">
            <w:pPr>
              <w:jc w:val="both"/>
              <w:rPr>
                <w:sz w:val="22"/>
                <w:szCs w:val="22"/>
                <w:lang w:val="lv-LV"/>
              </w:rPr>
            </w:pPr>
            <w:r w:rsidRPr="00C96427">
              <w:rPr>
                <w:sz w:val="22"/>
                <w:szCs w:val="22"/>
                <w:lang w:val="lv-LV"/>
              </w:rPr>
              <w:t>6) iegādāties un atjaunot vēsturisko ritošo sastāvu un citu ar vēsturiskā mantojuma dzelzceļu saistītu tehniku.</w:t>
            </w:r>
          </w:p>
          <w:p w:rsidR="005D4FE6" w:rsidRPr="00C96427" w:rsidRDefault="005D4FE6" w:rsidP="00C96427">
            <w:pPr>
              <w:jc w:val="both"/>
              <w:rPr>
                <w:sz w:val="22"/>
                <w:szCs w:val="22"/>
                <w:lang w:val="lv-LV"/>
              </w:rPr>
            </w:pPr>
            <w:r w:rsidRPr="00C96427">
              <w:rPr>
                <w:sz w:val="22"/>
                <w:szCs w:val="22"/>
                <w:lang w:val="lv-LV"/>
              </w:rPr>
              <w:t>(7)</w:t>
            </w:r>
            <w:proofErr w:type="gramStart"/>
            <w:r w:rsidRPr="00C96427">
              <w:rPr>
                <w:sz w:val="22"/>
                <w:szCs w:val="22"/>
                <w:lang w:val="lv-LV"/>
              </w:rPr>
              <w:t xml:space="preserve">  </w:t>
            </w:r>
            <w:proofErr w:type="gramEnd"/>
            <w:r w:rsidRPr="00C96427">
              <w:rPr>
                <w:sz w:val="22"/>
                <w:szCs w:val="22"/>
                <w:lang w:val="lv-LV"/>
              </w:rPr>
              <w:t>Par šā panta sestajā daļā minēto finanšu līdzekļu sadalījumu starp vēsturiskā mantojuma dzelzceļa objektu īpašniekiem (valdītājiem) šā panta trešajā daļā minētā padome ik gadu līdz 1. septembrim sagatavo un iesniedz kā priekšlikumus Valsts dzelzceļa administrācijai, kura lemj par attiecīgo finanšu līdzekļu sadalījumu.</w:t>
            </w:r>
          </w:p>
          <w:p w:rsidR="005D4FE6" w:rsidRPr="00C96427" w:rsidRDefault="005D4FE6" w:rsidP="00C96427">
            <w:pPr>
              <w:jc w:val="both"/>
              <w:rPr>
                <w:sz w:val="22"/>
                <w:szCs w:val="22"/>
                <w:lang w:val="lv-LV"/>
              </w:rPr>
            </w:pPr>
            <w:r w:rsidRPr="00C96427">
              <w:rPr>
                <w:sz w:val="22"/>
                <w:szCs w:val="22"/>
                <w:lang w:val="lv-LV"/>
              </w:rPr>
              <w:t xml:space="preserve">(8) Publiskās lietošanas dzelzceļa infrastruktūras pārvaldītājs šā panta sestajā daļā paredzēto finansējumu </w:t>
            </w:r>
            <w:r w:rsidRPr="00C96427">
              <w:rPr>
                <w:sz w:val="22"/>
                <w:szCs w:val="22"/>
                <w:lang w:val="lv-LV"/>
              </w:rPr>
              <w:lastRenderedPageBreak/>
              <w:t>atbilstoši apstiprinātajam tā sadalījumam piešķir pa daļām — reizi ceturksnī, līdz attiecīgā ceturkšņa pirmā mēneša desmitajam datumam pārskaitot daļu no šā panta piektajā daļā paredzētā finansējuma uz attiecīgo finansējuma saņēmēju kontu. Katrā no pirmajiem trim ceturkšņiem pārskaita ceturto daļu no plānotā finansējuma. Kopējais šā finansējuma apmērs tiek precizēts, veicot pēdējo maksājumu attiecīgajā gadā.</w:t>
            </w:r>
          </w:p>
          <w:p w:rsidR="004137D3" w:rsidRPr="00E24DFD" w:rsidRDefault="005D4FE6" w:rsidP="002C75BB">
            <w:pPr>
              <w:jc w:val="both"/>
              <w:rPr>
                <w:sz w:val="22"/>
                <w:szCs w:val="22"/>
                <w:lang w:val="lv-LV"/>
              </w:rPr>
            </w:pPr>
            <w:r w:rsidRPr="00C96427">
              <w:rPr>
                <w:sz w:val="22"/>
                <w:szCs w:val="22"/>
                <w:lang w:val="lv-LV"/>
              </w:rPr>
              <w:t>(9) Par tā finansējuma izlietojumu, kas vēsturiskā mantojuma dzelzceļa objektu īpašniekiem (valdītājiem) piešķirts saskaņā ar šā panta septītajā daļā noteikto kārtību, finansējuma saņēmēji sagatavo pārskatu, kuru iesniedz izskatīšanai šā panta trešajā daļā minētajai padomei ne vēlāk kā līdz pārskata gadam sekojošā gada 30. aprīlim. Iesniegtos finansējuma izlietojuma pārskatus apstiprina Valsts dzelzceļa administrācija, pamatojoties uz padomes rekomendācijām."</w:t>
            </w:r>
          </w:p>
        </w:tc>
        <w:tc>
          <w:tcPr>
            <w:tcW w:w="1418" w:type="dxa"/>
          </w:tcPr>
          <w:p w:rsidR="004137D3" w:rsidRPr="00E24DFD" w:rsidRDefault="004137D3" w:rsidP="00E24DFD">
            <w:pPr>
              <w:ind w:firstLine="567"/>
              <w:jc w:val="both"/>
              <w:rPr>
                <w:sz w:val="22"/>
                <w:szCs w:val="22"/>
                <w:lang w:val="lv-LV"/>
              </w:rPr>
            </w:pPr>
          </w:p>
        </w:tc>
        <w:tc>
          <w:tcPr>
            <w:tcW w:w="1418" w:type="dxa"/>
          </w:tcPr>
          <w:p w:rsidR="004137D3" w:rsidRPr="00E24DFD" w:rsidRDefault="004137D3" w:rsidP="00E24DFD">
            <w:pPr>
              <w:ind w:firstLine="567"/>
              <w:jc w:val="both"/>
              <w:rPr>
                <w:sz w:val="22"/>
                <w:szCs w:val="22"/>
                <w:lang w:val="lv-LV"/>
              </w:rPr>
            </w:pPr>
          </w:p>
        </w:tc>
      </w:tr>
      <w:tr w:rsidR="002C75BB" w:rsidRPr="00DA658F" w:rsidTr="004137D3">
        <w:tc>
          <w:tcPr>
            <w:tcW w:w="3799" w:type="dxa"/>
          </w:tcPr>
          <w:p w:rsidR="002C75BB" w:rsidRPr="00EC4FFC" w:rsidRDefault="002C75BB" w:rsidP="002C75BB">
            <w:pPr>
              <w:jc w:val="both"/>
              <w:rPr>
                <w:b/>
                <w:sz w:val="22"/>
                <w:szCs w:val="22"/>
                <w:lang w:val="lv-LV"/>
              </w:rPr>
            </w:pPr>
            <w:r w:rsidRPr="00EC4FFC">
              <w:rPr>
                <w:b/>
                <w:sz w:val="22"/>
                <w:szCs w:val="22"/>
                <w:lang w:val="lv-LV"/>
              </w:rPr>
              <w:lastRenderedPageBreak/>
              <w:t xml:space="preserve">31.pants. Valsts dzelzceļa administrācijas funkcijas </w:t>
            </w:r>
          </w:p>
          <w:p w:rsidR="002C75BB" w:rsidRPr="00EC4FFC" w:rsidRDefault="002C75BB" w:rsidP="002C75BB">
            <w:pPr>
              <w:jc w:val="both"/>
              <w:rPr>
                <w:sz w:val="22"/>
                <w:szCs w:val="22"/>
                <w:lang w:val="lv-LV"/>
              </w:rPr>
            </w:pPr>
            <w:r w:rsidRPr="00EC4FFC">
              <w:rPr>
                <w:sz w:val="22"/>
                <w:szCs w:val="22"/>
                <w:lang w:val="lv-LV"/>
              </w:rPr>
              <w:t>(1) Valsts dzelzceļa administrācija pilda šādas funkcijas:</w:t>
            </w:r>
          </w:p>
          <w:p w:rsidR="002C75BB" w:rsidRDefault="002C75BB" w:rsidP="002C75BB">
            <w:pPr>
              <w:jc w:val="both"/>
              <w:rPr>
                <w:lang w:val="lv-LV"/>
              </w:rPr>
            </w:pPr>
            <w:r>
              <w:rPr>
                <w:sz w:val="22"/>
                <w:szCs w:val="22"/>
                <w:lang w:val="lv-LV"/>
              </w:rPr>
              <w:softHyphen/>
            </w:r>
            <w:r>
              <w:rPr>
                <w:sz w:val="22"/>
                <w:szCs w:val="22"/>
                <w:lang w:val="lv-LV"/>
              </w:rPr>
              <w:softHyphen/>
            </w:r>
            <w:r>
              <w:rPr>
                <w:sz w:val="22"/>
                <w:szCs w:val="22"/>
                <w:lang w:val="lv-LV"/>
              </w:rPr>
              <w:softHyphen/>
            </w:r>
            <w:r>
              <w:rPr>
                <w:sz w:val="22"/>
                <w:szCs w:val="22"/>
                <w:lang w:val="lv-LV"/>
              </w:rPr>
              <w:softHyphen/>
            </w:r>
            <w:r>
              <w:rPr>
                <w:sz w:val="22"/>
                <w:szCs w:val="22"/>
                <w:lang w:val="lv-LV"/>
              </w:rPr>
              <w:softHyphen/>
            </w:r>
            <w:r>
              <w:rPr>
                <w:sz w:val="22"/>
                <w:szCs w:val="22"/>
                <w:lang w:val="lv-LV"/>
              </w:rPr>
              <w:softHyphen/>
            </w:r>
            <w:r>
              <w:rPr>
                <w:sz w:val="22"/>
                <w:szCs w:val="22"/>
                <w:lang w:val="lv-LV"/>
              </w:rPr>
              <w:softHyphen/>
            </w:r>
            <w:r>
              <w:rPr>
                <w:sz w:val="22"/>
                <w:szCs w:val="22"/>
                <w:lang w:val="lv-LV"/>
              </w:rPr>
              <w:softHyphen/>
            </w:r>
            <w:r>
              <w:rPr>
                <w:sz w:val="22"/>
                <w:szCs w:val="22"/>
                <w:lang w:val="lv-LV"/>
              </w:rPr>
              <w:softHyphen/>
            </w:r>
            <w:r>
              <w:rPr>
                <w:sz w:val="22"/>
                <w:szCs w:val="22"/>
                <w:lang w:val="lv-LV"/>
              </w:rPr>
              <w:softHyphen/>
            </w:r>
            <w:r>
              <w:rPr>
                <w:sz w:val="22"/>
                <w:szCs w:val="22"/>
                <w:lang w:val="lv-LV"/>
              </w:rPr>
              <w:softHyphen/>
            </w:r>
            <w:r>
              <w:rPr>
                <w:lang w:val="lv-LV"/>
              </w:rPr>
              <w:t>[..]</w:t>
            </w:r>
          </w:p>
          <w:p w:rsidR="002C75BB" w:rsidRPr="00A500A8" w:rsidRDefault="002C75BB" w:rsidP="002C75BB">
            <w:pPr>
              <w:jc w:val="both"/>
              <w:rPr>
                <w:b/>
                <w:bCs/>
                <w:color w:val="414142"/>
                <w:sz w:val="22"/>
                <w:szCs w:val="22"/>
                <w:lang w:val="lv-LV"/>
              </w:rPr>
            </w:pPr>
            <w:r w:rsidRPr="00EC4FFC">
              <w:rPr>
                <w:sz w:val="22"/>
                <w:szCs w:val="22"/>
                <w:lang w:val="lv-LV"/>
              </w:rPr>
              <w:softHyphen/>
            </w:r>
            <w:r w:rsidRPr="00EC4FFC">
              <w:rPr>
                <w:sz w:val="22"/>
                <w:szCs w:val="22"/>
                <w:lang w:val="lv-LV"/>
              </w:rPr>
              <w:softHyphen/>
            </w:r>
            <w:r w:rsidRPr="00EC4FFC">
              <w:rPr>
                <w:sz w:val="22"/>
                <w:szCs w:val="22"/>
                <w:lang w:val="lv-LV"/>
              </w:rPr>
              <w:softHyphen/>
            </w:r>
            <w:r w:rsidRPr="00EC4FFC">
              <w:rPr>
                <w:sz w:val="22"/>
                <w:szCs w:val="22"/>
                <w:lang w:val="lv-LV"/>
              </w:rPr>
              <w:softHyphen/>
            </w:r>
            <w:r w:rsidRPr="00EC4FFC">
              <w:rPr>
                <w:sz w:val="22"/>
                <w:szCs w:val="22"/>
                <w:lang w:val="lv-LV"/>
              </w:rPr>
              <w:softHyphen/>
            </w:r>
            <w:r w:rsidRPr="00EC4FFC">
              <w:rPr>
                <w:sz w:val="22"/>
                <w:szCs w:val="22"/>
                <w:lang w:val="lv-LV"/>
              </w:rPr>
              <w:softHyphen/>
            </w:r>
            <w:r w:rsidRPr="00EC4FFC">
              <w:rPr>
                <w:sz w:val="22"/>
                <w:szCs w:val="22"/>
                <w:lang w:val="lv-LV"/>
              </w:rPr>
              <w:softHyphen/>
            </w:r>
            <w:r w:rsidRPr="00EC4FFC">
              <w:rPr>
                <w:sz w:val="22"/>
                <w:szCs w:val="22"/>
                <w:lang w:val="lv-LV"/>
              </w:rPr>
              <w:softHyphen/>
              <w:t xml:space="preserve">19) šā likuma </w:t>
            </w:r>
            <w:hyperlink r:id="rId8" w:anchor="p13.1" w:history="1">
              <w:r w:rsidRPr="00EC4FFC">
                <w:rPr>
                  <w:sz w:val="22"/>
                  <w:szCs w:val="22"/>
                  <w:lang w:val="lv-LV"/>
                </w:rPr>
                <w:t>13.1</w:t>
              </w:r>
            </w:hyperlink>
            <w:r w:rsidRPr="00EC4FFC">
              <w:rPr>
                <w:sz w:val="22"/>
                <w:szCs w:val="22"/>
                <w:lang w:val="lv-LV"/>
              </w:rPr>
              <w:t xml:space="preserve"> panta septītajā daļā noteiktajos gadījumos un kārtībā uzrauga izmaiņas publiskās lietošanas dzelzceļa infrastruktūras pārvaldītāja būtisko funkciju veicēja valdes sastāvā</w:t>
            </w:r>
          </w:p>
        </w:tc>
        <w:tc>
          <w:tcPr>
            <w:tcW w:w="3799" w:type="dxa"/>
          </w:tcPr>
          <w:p w:rsidR="002C75BB" w:rsidRPr="00E560C9" w:rsidRDefault="002C75BB" w:rsidP="003C0B9F">
            <w:pPr>
              <w:ind w:firstLine="720"/>
              <w:jc w:val="both"/>
              <w:rPr>
                <w:sz w:val="22"/>
                <w:szCs w:val="22"/>
                <w:lang w:val="lv-LV"/>
              </w:rPr>
            </w:pPr>
          </w:p>
        </w:tc>
        <w:tc>
          <w:tcPr>
            <w:tcW w:w="556" w:type="dxa"/>
          </w:tcPr>
          <w:p w:rsidR="00A74A0C" w:rsidRDefault="00A74A0C" w:rsidP="005960AD">
            <w:pPr>
              <w:ind w:left="-578" w:firstLine="567"/>
              <w:jc w:val="center"/>
              <w:rPr>
                <w:b/>
                <w:sz w:val="22"/>
                <w:szCs w:val="22"/>
                <w:lang w:val="lv-LV"/>
              </w:rPr>
            </w:pPr>
          </w:p>
          <w:p w:rsidR="002C75BB" w:rsidRDefault="002C75BB" w:rsidP="005960AD">
            <w:pPr>
              <w:ind w:left="-578" w:firstLine="567"/>
              <w:jc w:val="center"/>
              <w:rPr>
                <w:b/>
                <w:sz w:val="22"/>
                <w:szCs w:val="22"/>
                <w:lang w:val="lv-LV"/>
              </w:rPr>
            </w:pPr>
          </w:p>
        </w:tc>
        <w:tc>
          <w:tcPr>
            <w:tcW w:w="3799" w:type="dxa"/>
          </w:tcPr>
          <w:p w:rsidR="002C75BB" w:rsidRDefault="002C75BB" w:rsidP="00A038C9">
            <w:pPr>
              <w:jc w:val="both"/>
              <w:rPr>
                <w:b/>
                <w:sz w:val="22"/>
                <w:szCs w:val="22"/>
                <w:u w:val="single"/>
                <w:lang w:val="lv-LV"/>
              </w:rPr>
            </w:pPr>
          </w:p>
        </w:tc>
        <w:tc>
          <w:tcPr>
            <w:tcW w:w="1418" w:type="dxa"/>
          </w:tcPr>
          <w:p w:rsidR="002C75BB" w:rsidRPr="00E24DFD" w:rsidRDefault="002C75BB" w:rsidP="00E24DFD">
            <w:pPr>
              <w:ind w:firstLine="567"/>
              <w:jc w:val="both"/>
              <w:rPr>
                <w:sz w:val="22"/>
                <w:szCs w:val="22"/>
                <w:lang w:val="lv-LV"/>
              </w:rPr>
            </w:pPr>
          </w:p>
        </w:tc>
        <w:tc>
          <w:tcPr>
            <w:tcW w:w="1418" w:type="dxa"/>
          </w:tcPr>
          <w:p w:rsidR="002C75BB" w:rsidRPr="00E24DFD" w:rsidRDefault="002C75BB" w:rsidP="00E24DFD">
            <w:pPr>
              <w:ind w:firstLine="567"/>
              <w:jc w:val="both"/>
              <w:rPr>
                <w:sz w:val="22"/>
                <w:szCs w:val="22"/>
                <w:lang w:val="lv-LV"/>
              </w:rPr>
            </w:pPr>
          </w:p>
        </w:tc>
      </w:tr>
      <w:tr w:rsidR="00A038C9" w:rsidRPr="00DA658F" w:rsidTr="004137D3">
        <w:tc>
          <w:tcPr>
            <w:tcW w:w="3799" w:type="dxa"/>
          </w:tcPr>
          <w:p w:rsidR="00A038C9" w:rsidRPr="00A500A8" w:rsidRDefault="00A038C9" w:rsidP="003C0B9F">
            <w:pPr>
              <w:jc w:val="both"/>
              <w:rPr>
                <w:b/>
                <w:bCs/>
                <w:color w:val="414142"/>
                <w:sz w:val="22"/>
                <w:szCs w:val="22"/>
                <w:lang w:val="lv-LV"/>
              </w:rPr>
            </w:pPr>
          </w:p>
        </w:tc>
        <w:tc>
          <w:tcPr>
            <w:tcW w:w="3799" w:type="dxa"/>
          </w:tcPr>
          <w:p w:rsidR="00A038C9" w:rsidRPr="00E560C9" w:rsidRDefault="00A038C9" w:rsidP="003C0B9F">
            <w:pPr>
              <w:ind w:firstLine="720"/>
              <w:jc w:val="both"/>
              <w:rPr>
                <w:sz w:val="22"/>
                <w:szCs w:val="22"/>
                <w:lang w:val="lv-LV"/>
              </w:rPr>
            </w:pPr>
          </w:p>
        </w:tc>
        <w:tc>
          <w:tcPr>
            <w:tcW w:w="556" w:type="dxa"/>
          </w:tcPr>
          <w:p w:rsidR="00A038C9" w:rsidRDefault="00A038C9" w:rsidP="005960AD">
            <w:pPr>
              <w:ind w:left="-578" w:firstLine="567"/>
              <w:jc w:val="center"/>
              <w:rPr>
                <w:b/>
                <w:sz w:val="22"/>
                <w:szCs w:val="22"/>
                <w:lang w:val="lv-LV"/>
              </w:rPr>
            </w:pPr>
          </w:p>
          <w:p w:rsidR="00A038C9" w:rsidRDefault="00A038C9" w:rsidP="005960AD">
            <w:pPr>
              <w:ind w:left="-578" w:firstLine="567"/>
              <w:jc w:val="center"/>
              <w:rPr>
                <w:b/>
                <w:sz w:val="22"/>
                <w:szCs w:val="22"/>
                <w:lang w:val="lv-LV"/>
              </w:rPr>
            </w:pPr>
            <w:r>
              <w:rPr>
                <w:b/>
                <w:sz w:val="22"/>
                <w:szCs w:val="22"/>
                <w:lang w:val="lv-LV"/>
              </w:rPr>
              <w:t>2</w:t>
            </w:r>
          </w:p>
        </w:tc>
        <w:tc>
          <w:tcPr>
            <w:tcW w:w="3799" w:type="dxa"/>
          </w:tcPr>
          <w:p w:rsidR="00A038C9" w:rsidRPr="007354FD" w:rsidRDefault="00A038C9" w:rsidP="00A038C9">
            <w:pPr>
              <w:spacing w:before="120"/>
              <w:jc w:val="both"/>
              <w:rPr>
                <w:b/>
                <w:sz w:val="22"/>
                <w:szCs w:val="22"/>
                <w:u w:val="single"/>
                <w:lang w:val="lv-LV"/>
              </w:rPr>
            </w:pPr>
            <w:r w:rsidRPr="007354FD">
              <w:rPr>
                <w:b/>
                <w:sz w:val="22"/>
                <w:szCs w:val="22"/>
                <w:u w:val="single"/>
                <w:lang w:val="lv-LV"/>
              </w:rPr>
              <w:t xml:space="preserve">Satiksmes ministrijas parlamentārais sekretārs </w:t>
            </w:r>
            <w:proofErr w:type="spellStart"/>
            <w:r w:rsidRPr="007354FD">
              <w:rPr>
                <w:b/>
                <w:sz w:val="22"/>
                <w:szCs w:val="22"/>
                <w:u w:val="single"/>
                <w:lang w:val="lv-LV"/>
              </w:rPr>
              <w:t>V.Valainis</w:t>
            </w:r>
            <w:proofErr w:type="spellEnd"/>
          </w:p>
          <w:p w:rsidR="00A038C9" w:rsidRPr="007354FD" w:rsidRDefault="00A038C9" w:rsidP="00A038C9">
            <w:pPr>
              <w:jc w:val="both"/>
              <w:rPr>
                <w:sz w:val="22"/>
                <w:szCs w:val="22"/>
                <w:lang w:val="lv-LV"/>
              </w:rPr>
            </w:pPr>
            <w:r w:rsidRPr="007354FD">
              <w:rPr>
                <w:sz w:val="22"/>
                <w:szCs w:val="22"/>
                <w:lang w:val="lv-LV"/>
              </w:rPr>
              <w:t>Papildināt 31.panta pirmo daļu ar 20.punktu šādā redakcijā:</w:t>
            </w:r>
          </w:p>
          <w:p w:rsidR="00A038C9" w:rsidRPr="00A038C9" w:rsidRDefault="00A038C9" w:rsidP="00A038C9">
            <w:pPr>
              <w:jc w:val="both"/>
              <w:rPr>
                <w:sz w:val="22"/>
                <w:szCs w:val="22"/>
                <w:lang w:val="lv-LV"/>
              </w:rPr>
            </w:pPr>
            <w:r w:rsidRPr="007354FD">
              <w:rPr>
                <w:sz w:val="22"/>
                <w:szCs w:val="22"/>
                <w:lang w:val="lv-LV"/>
              </w:rPr>
              <w:t xml:space="preserve"> "20) pieņem lēmumus par vēsturiskā mantojuma dzelzceļam paredzēto finanšu līdzekļu sadalījumu un finansējuma izlietojuma pārskatu apstiprināšanu."  </w:t>
            </w:r>
          </w:p>
        </w:tc>
        <w:tc>
          <w:tcPr>
            <w:tcW w:w="1418" w:type="dxa"/>
          </w:tcPr>
          <w:p w:rsidR="00A038C9" w:rsidRPr="00E24DFD" w:rsidRDefault="00A038C9" w:rsidP="00E24DFD">
            <w:pPr>
              <w:ind w:firstLine="567"/>
              <w:jc w:val="both"/>
              <w:rPr>
                <w:sz w:val="22"/>
                <w:szCs w:val="22"/>
                <w:lang w:val="lv-LV"/>
              </w:rPr>
            </w:pPr>
          </w:p>
        </w:tc>
        <w:tc>
          <w:tcPr>
            <w:tcW w:w="1418" w:type="dxa"/>
          </w:tcPr>
          <w:p w:rsidR="00A038C9" w:rsidRPr="00E24DFD" w:rsidRDefault="00A038C9" w:rsidP="00E24DFD">
            <w:pPr>
              <w:ind w:firstLine="567"/>
              <w:jc w:val="both"/>
              <w:rPr>
                <w:sz w:val="22"/>
                <w:szCs w:val="22"/>
                <w:lang w:val="lv-LV"/>
              </w:rPr>
            </w:pPr>
          </w:p>
        </w:tc>
      </w:tr>
      <w:tr w:rsidR="003C0B9F" w:rsidRPr="00DA658F" w:rsidTr="004137D3">
        <w:tc>
          <w:tcPr>
            <w:tcW w:w="3799" w:type="dxa"/>
          </w:tcPr>
          <w:p w:rsidR="003C0B9F" w:rsidRPr="00A500A8" w:rsidRDefault="003C0B9F" w:rsidP="003C0B9F">
            <w:pPr>
              <w:jc w:val="both"/>
              <w:rPr>
                <w:b/>
                <w:bCs/>
                <w:color w:val="414142"/>
                <w:sz w:val="22"/>
                <w:szCs w:val="22"/>
                <w:lang w:val="lv-LV"/>
              </w:rPr>
            </w:pPr>
            <w:r w:rsidRPr="00A500A8">
              <w:rPr>
                <w:b/>
                <w:bCs/>
                <w:color w:val="414142"/>
                <w:sz w:val="22"/>
                <w:szCs w:val="22"/>
                <w:lang w:val="lv-LV"/>
              </w:rPr>
              <w:t>Pārejas noteikumi</w:t>
            </w:r>
          </w:p>
          <w:p w:rsidR="003C0B9F" w:rsidRDefault="003C0B9F" w:rsidP="003C0B9F">
            <w:pPr>
              <w:jc w:val="both"/>
              <w:rPr>
                <w:lang w:val="lv-LV"/>
              </w:rPr>
            </w:pPr>
            <w:r>
              <w:rPr>
                <w:lang w:val="lv-LV"/>
              </w:rPr>
              <w:t>[..]</w:t>
            </w:r>
          </w:p>
          <w:p w:rsidR="003C0B9F" w:rsidRPr="00E24DFD" w:rsidRDefault="003C0B9F" w:rsidP="003C0B9F">
            <w:pPr>
              <w:ind w:firstLine="567"/>
              <w:jc w:val="both"/>
              <w:rPr>
                <w:sz w:val="22"/>
                <w:szCs w:val="22"/>
                <w:lang w:val="lv-LV" w:eastAsia="lv-LV"/>
              </w:rPr>
            </w:pPr>
            <w:r w:rsidRPr="00A500A8">
              <w:rPr>
                <w:lang w:val="lv-LV"/>
              </w:rPr>
              <w:t xml:space="preserve">37. Ministru kabinets līdz 2011.gada 1.janvārim izdod šā likuma </w:t>
            </w:r>
            <w:hyperlink r:id="rId9" w:anchor="p40" w:history="1">
              <w:r w:rsidRPr="00A500A8">
                <w:rPr>
                  <w:color w:val="16497B"/>
                  <w:lang w:val="lv-LV"/>
                </w:rPr>
                <w:t>40.panta</w:t>
              </w:r>
            </w:hyperlink>
            <w:r w:rsidRPr="00A500A8">
              <w:rPr>
                <w:lang w:val="lv-LV"/>
              </w:rPr>
              <w:t xml:space="preserve"> otrajā daļā minētos noteikumus par dzelzceļa satiksmes negadījumu klasifikācijas, izmeklēšanas un uzskaites kārtību. Līdz attiecīgo noteikumu spēkā stāšanās dienai, bet ne ilgāk kā līdz 2011.gada 1.janvārim ir piemērojami Ministru kabineta 1998.gada 6.oktobra noteikumi Nr.393 </w:t>
            </w:r>
            <w:r w:rsidRPr="00167B5B">
              <w:rPr>
                <w:lang w:val="lv-LV"/>
              </w:rPr>
              <w:t>“</w:t>
            </w:r>
            <w:hyperlink r:id="rId10" w:tgtFrame="_blank" w:history="1">
              <w:r w:rsidRPr="00167B5B">
                <w:rPr>
                  <w:lang w:val="lv-LV"/>
                </w:rPr>
                <w:t>Dzelzceļa satiksmes negadījumu izmeklēšanas kārtība</w:t>
              </w:r>
            </w:hyperlink>
            <w:r w:rsidRPr="00167B5B">
              <w:rPr>
                <w:lang w:val="lv-LV"/>
              </w:rPr>
              <w:t>”,</w:t>
            </w:r>
            <w:r w:rsidRPr="00A500A8">
              <w:rPr>
                <w:lang w:val="lv-LV"/>
              </w:rPr>
              <w:t xml:space="preserve"> ciktāl tie nav pretrunā ar šo likumu.</w:t>
            </w:r>
          </w:p>
        </w:tc>
        <w:tc>
          <w:tcPr>
            <w:tcW w:w="3799" w:type="dxa"/>
          </w:tcPr>
          <w:p w:rsidR="003C0B9F" w:rsidRPr="00E560C9" w:rsidRDefault="003C0B9F" w:rsidP="003C0B9F">
            <w:pPr>
              <w:ind w:firstLine="720"/>
              <w:jc w:val="both"/>
              <w:rPr>
                <w:sz w:val="22"/>
                <w:szCs w:val="22"/>
                <w:lang w:val="lv-LV"/>
              </w:rPr>
            </w:pPr>
          </w:p>
        </w:tc>
        <w:tc>
          <w:tcPr>
            <w:tcW w:w="556" w:type="dxa"/>
          </w:tcPr>
          <w:p w:rsidR="003C0B9F" w:rsidRDefault="003C0B9F" w:rsidP="005960AD">
            <w:pPr>
              <w:ind w:left="-578" w:firstLine="567"/>
              <w:jc w:val="center"/>
              <w:rPr>
                <w:b/>
                <w:sz w:val="22"/>
                <w:szCs w:val="22"/>
                <w:lang w:val="lv-LV"/>
              </w:rPr>
            </w:pPr>
          </w:p>
        </w:tc>
        <w:tc>
          <w:tcPr>
            <w:tcW w:w="3799" w:type="dxa"/>
          </w:tcPr>
          <w:p w:rsidR="003C0B9F" w:rsidRDefault="003C0B9F" w:rsidP="003C0B9F">
            <w:pPr>
              <w:rPr>
                <w:b/>
                <w:sz w:val="22"/>
                <w:szCs w:val="22"/>
                <w:u w:val="single"/>
                <w:lang w:val="lv-LV"/>
              </w:rPr>
            </w:pPr>
          </w:p>
        </w:tc>
        <w:tc>
          <w:tcPr>
            <w:tcW w:w="1418" w:type="dxa"/>
          </w:tcPr>
          <w:p w:rsidR="003C0B9F" w:rsidRPr="00E24DFD" w:rsidRDefault="003C0B9F" w:rsidP="00E24DFD">
            <w:pPr>
              <w:ind w:firstLine="567"/>
              <w:jc w:val="both"/>
              <w:rPr>
                <w:sz w:val="22"/>
                <w:szCs w:val="22"/>
                <w:lang w:val="lv-LV"/>
              </w:rPr>
            </w:pPr>
          </w:p>
        </w:tc>
        <w:tc>
          <w:tcPr>
            <w:tcW w:w="1418" w:type="dxa"/>
          </w:tcPr>
          <w:p w:rsidR="003C0B9F" w:rsidRPr="00E24DFD" w:rsidRDefault="003C0B9F" w:rsidP="00E24DFD">
            <w:pPr>
              <w:ind w:firstLine="567"/>
              <w:jc w:val="both"/>
              <w:rPr>
                <w:sz w:val="22"/>
                <w:szCs w:val="22"/>
                <w:lang w:val="lv-LV"/>
              </w:rPr>
            </w:pPr>
          </w:p>
        </w:tc>
      </w:tr>
      <w:tr w:rsidR="003C0B9F" w:rsidRPr="00DA658F" w:rsidTr="004137D3">
        <w:tc>
          <w:tcPr>
            <w:tcW w:w="3799" w:type="dxa"/>
          </w:tcPr>
          <w:p w:rsidR="003C0B9F" w:rsidRPr="00E24DFD" w:rsidRDefault="003C0B9F" w:rsidP="00AD03E9">
            <w:pPr>
              <w:ind w:firstLine="567"/>
              <w:jc w:val="both"/>
              <w:rPr>
                <w:sz w:val="22"/>
                <w:szCs w:val="22"/>
                <w:lang w:val="lv-LV" w:eastAsia="lv-LV"/>
              </w:rPr>
            </w:pPr>
          </w:p>
        </w:tc>
        <w:tc>
          <w:tcPr>
            <w:tcW w:w="3799" w:type="dxa"/>
          </w:tcPr>
          <w:p w:rsidR="003C0B9F" w:rsidRPr="00E560C9" w:rsidRDefault="003C0B9F" w:rsidP="003C0B9F">
            <w:pPr>
              <w:ind w:firstLine="720"/>
              <w:jc w:val="both"/>
              <w:rPr>
                <w:sz w:val="22"/>
                <w:szCs w:val="22"/>
                <w:lang w:val="lv-LV"/>
              </w:rPr>
            </w:pPr>
            <w:r w:rsidRPr="00E560C9">
              <w:rPr>
                <w:sz w:val="22"/>
                <w:szCs w:val="22"/>
                <w:lang w:val="lv-LV"/>
              </w:rPr>
              <w:t>Papildināt pārejas noteikumus ar 38.punktu šādā redakcijā:</w:t>
            </w:r>
          </w:p>
          <w:p w:rsidR="003C0B9F" w:rsidRDefault="003C0B9F" w:rsidP="003C0B9F">
            <w:pPr>
              <w:jc w:val="both"/>
              <w:rPr>
                <w:rFonts w:eastAsia="Calibri"/>
                <w:sz w:val="22"/>
                <w:szCs w:val="22"/>
                <w:lang w:val="lv-LV"/>
              </w:rPr>
            </w:pPr>
            <w:r w:rsidRPr="00E560C9">
              <w:rPr>
                <w:sz w:val="22"/>
                <w:szCs w:val="22"/>
                <w:lang w:val="lv-LV"/>
              </w:rPr>
              <w:t>"38. Šā likuma 12.panta 2.</w:t>
            </w:r>
            <w:r w:rsidRPr="00E560C9">
              <w:rPr>
                <w:sz w:val="22"/>
                <w:szCs w:val="22"/>
                <w:vertAlign w:val="superscript"/>
                <w:lang w:val="lv-LV"/>
              </w:rPr>
              <w:t>1</w:t>
            </w:r>
            <w:r w:rsidRPr="00E560C9">
              <w:rPr>
                <w:sz w:val="22"/>
                <w:szCs w:val="22"/>
                <w:lang w:val="lv-LV"/>
              </w:rPr>
              <w:t xml:space="preserve"> daļā minēto maksas par publiskās lietošanas dzelzceļa infrastruktūras izmantošanu norēķinu kārtību līdz 2015.gada</w:t>
            </w:r>
            <w:proofErr w:type="gramStart"/>
            <w:r w:rsidRPr="00E560C9">
              <w:rPr>
                <w:sz w:val="22"/>
                <w:szCs w:val="22"/>
                <w:lang w:val="lv-LV"/>
              </w:rPr>
              <w:t xml:space="preserve">  </w:t>
            </w:r>
            <w:proofErr w:type="gramEnd"/>
            <w:r w:rsidRPr="00E560C9">
              <w:rPr>
                <w:sz w:val="22"/>
                <w:szCs w:val="22"/>
                <w:lang w:val="lv-LV"/>
              </w:rPr>
              <w:t xml:space="preserve">31.decembrim neattiecina uz dzelzceļa pasažieru pārvadājumu pakalpojumiem, kas tiek sniegti uz valsts vai pašvaldības dzelzceļa pārvadājumu pasūtījuma līguma pamata, ja pārvadātājs, publiskās lietošanas dzelzceļa infrastruktūras pārvaldītājs un valsts vai pašvaldība noslēdz vienošanos par tādiem norēķinu nosacījumiem, kas nodrošina, ka publiskās lietošanas dzelzceļa infrastruktūras pārvaldītāja ieņēmumi no maksas par publiskās lietošanas </w:t>
            </w:r>
            <w:r w:rsidRPr="00E560C9">
              <w:rPr>
                <w:sz w:val="22"/>
                <w:szCs w:val="22"/>
                <w:lang w:val="lv-LV"/>
              </w:rPr>
              <w:lastRenderedPageBreak/>
              <w:t>dzelzceļa infrastruktūras izmantošanu pārvadājumiem ir vismaz līdzsvarā ar publiskās lietošanas dzelzceļa infrastruktūras uzturēšanas izmaksām un citām izmaksām, kuras ņem vērā publiskās lietošanas dzelzceļa infrastruktūras izmantošanas maksas noteikšanai. Šim nolūkam līgumā var paredzēt, kā valsts vai pašvaldība sedz maksu par publiskās lietošanas dzelzceļa infrastruktūras izmantošanu to izmaksu apjomā, kas saistītas ar kapitālieguldījumiem."</w:t>
            </w:r>
          </w:p>
        </w:tc>
        <w:tc>
          <w:tcPr>
            <w:tcW w:w="556" w:type="dxa"/>
          </w:tcPr>
          <w:p w:rsidR="003C0B9F" w:rsidRPr="005960AD" w:rsidRDefault="003C0B9F" w:rsidP="005960AD">
            <w:pPr>
              <w:ind w:left="-578" w:firstLine="567"/>
              <w:jc w:val="center"/>
              <w:rPr>
                <w:b/>
                <w:sz w:val="22"/>
                <w:szCs w:val="22"/>
                <w:lang w:val="lv-LV"/>
              </w:rPr>
            </w:pPr>
            <w:r>
              <w:rPr>
                <w:b/>
                <w:sz w:val="22"/>
                <w:szCs w:val="22"/>
                <w:lang w:val="lv-LV"/>
              </w:rPr>
              <w:lastRenderedPageBreak/>
              <w:t>3</w:t>
            </w:r>
          </w:p>
        </w:tc>
        <w:tc>
          <w:tcPr>
            <w:tcW w:w="3799" w:type="dxa"/>
          </w:tcPr>
          <w:p w:rsidR="003C0B9F" w:rsidRPr="00970F44" w:rsidRDefault="003C0B9F" w:rsidP="003C0B9F">
            <w:pPr>
              <w:rPr>
                <w:b/>
                <w:sz w:val="22"/>
                <w:szCs w:val="22"/>
                <w:u w:val="single"/>
                <w:lang w:val="lv-LV"/>
              </w:rPr>
            </w:pPr>
            <w:r>
              <w:rPr>
                <w:b/>
                <w:sz w:val="22"/>
                <w:szCs w:val="22"/>
                <w:u w:val="single"/>
                <w:lang w:val="lv-LV"/>
              </w:rPr>
              <w:t>J</w:t>
            </w:r>
            <w:r w:rsidRPr="00970F44">
              <w:rPr>
                <w:b/>
                <w:sz w:val="22"/>
                <w:szCs w:val="22"/>
                <w:u w:val="single"/>
                <w:lang w:val="lv-LV"/>
              </w:rPr>
              <w:t>uridiskais birojs</w:t>
            </w:r>
          </w:p>
          <w:p w:rsidR="003C0B9F" w:rsidRPr="0075793F" w:rsidRDefault="003C0B9F" w:rsidP="003C0B9F">
            <w:pPr>
              <w:ind w:firstLine="720"/>
              <w:jc w:val="both"/>
              <w:rPr>
                <w:sz w:val="22"/>
                <w:szCs w:val="22"/>
                <w:lang w:val="lv-LV"/>
              </w:rPr>
            </w:pPr>
            <w:r w:rsidRPr="0075793F">
              <w:rPr>
                <w:rFonts w:eastAsia="Calibri"/>
                <w:sz w:val="22"/>
                <w:szCs w:val="22"/>
                <w:lang w:val="lv-LV" w:eastAsia="lv-LV"/>
              </w:rPr>
              <w:t xml:space="preserve"> </w:t>
            </w:r>
            <w:r w:rsidRPr="0075793F">
              <w:rPr>
                <w:sz w:val="22"/>
                <w:szCs w:val="22"/>
                <w:lang w:val="lv-LV"/>
              </w:rPr>
              <w:t>Aizstāt 1. lasījumā atbalstītajā pārejas noteikumu 38. punktā vārdus „ir vismaz līdzsvarā ar” ar vārdiem „vismaz atbilst”.</w:t>
            </w:r>
          </w:p>
          <w:p w:rsidR="003C0B9F" w:rsidRPr="00970F44" w:rsidRDefault="003C0B9F" w:rsidP="006F0875">
            <w:pPr>
              <w:jc w:val="both"/>
              <w:rPr>
                <w:sz w:val="22"/>
                <w:szCs w:val="22"/>
                <w:lang w:val="lv-LV"/>
              </w:rPr>
            </w:pPr>
          </w:p>
        </w:tc>
        <w:tc>
          <w:tcPr>
            <w:tcW w:w="1418" w:type="dxa"/>
          </w:tcPr>
          <w:p w:rsidR="003C0B9F" w:rsidRPr="00E24DFD" w:rsidRDefault="003C0B9F" w:rsidP="00E24DFD">
            <w:pPr>
              <w:ind w:firstLine="567"/>
              <w:jc w:val="both"/>
              <w:rPr>
                <w:sz w:val="22"/>
                <w:szCs w:val="22"/>
                <w:lang w:val="lv-LV"/>
              </w:rPr>
            </w:pPr>
          </w:p>
        </w:tc>
        <w:tc>
          <w:tcPr>
            <w:tcW w:w="1418" w:type="dxa"/>
          </w:tcPr>
          <w:p w:rsidR="003C0B9F" w:rsidRPr="00E24DFD" w:rsidRDefault="003C0B9F" w:rsidP="00E24DFD">
            <w:pPr>
              <w:ind w:firstLine="567"/>
              <w:jc w:val="both"/>
              <w:rPr>
                <w:sz w:val="22"/>
                <w:szCs w:val="22"/>
                <w:lang w:val="lv-LV"/>
              </w:rPr>
            </w:pPr>
          </w:p>
        </w:tc>
      </w:tr>
      <w:tr w:rsidR="00AD03E9" w:rsidRPr="00DA658F" w:rsidTr="004137D3">
        <w:tc>
          <w:tcPr>
            <w:tcW w:w="3799" w:type="dxa"/>
          </w:tcPr>
          <w:p w:rsidR="00AD03E9" w:rsidRPr="00E24DFD" w:rsidRDefault="00AD03E9" w:rsidP="00AD03E9">
            <w:pPr>
              <w:ind w:firstLine="567"/>
              <w:jc w:val="both"/>
              <w:rPr>
                <w:sz w:val="22"/>
                <w:szCs w:val="22"/>
                <w:lang w:val="lv-LV" w:eastAsia="lv-LV"/>
              </w:rPr>
            </w:pPr>
          </w:p>
        </w:tc>
        <w:tc>
          <w:tcPr>
            <w:tcW w:w="3799" w:type="dxa"/>
          </w:tcPr>
          <w:p w:rsidR="004839D7" w:rsidRPr="00313C96" w:rsidRDefault="006F0875" w:rsidP="0042397E">
            <w:pPr>
              <w:jc w:val="both"/>
              <w:rPr>
                <w:sz w:val="22"/>
                <w:szCs w:val="22"/>
                <w:lang w:val="lv-LV"/>
              </w:rPr>
            </w:pPr>
            <w:r>
              <w:rPr>
                <w:rFonts w:eastAsia="Calibri"/>
                <w:sz w:val="22"/>
                <w:szCs w:val="22"/>
                <w:lang w:val="lv-LV"/>
              </w:rPr>
              <w:t xml:space="preserve">   </w:t>
            </w:r>
            <w:r w:rsidR="004839D7">
              <w:rPr>
                <w:rFonts w:eastAsia="Calibri"/>
                <w:sz w:val="22"/>
                <w:szCs w:val="22"/>
                <w:lang w:val="lv-LV"/>
              </w:rPr>
              <w:t xml:space="preserve">    </w:t>
            </w:r>
            <w:r w:rsidRPr="00313C96">
              <w:rPr>
                <w:rFonts w:eastAsia="Calibri"/>
                <w:sz w:val="22"/>
                <w:szCs w:val="22"/>
                <w:lang w:val="lv-LV"/>
              </w:rPr>
              <w:t>Likums stājas spēkā 201</w:t>
            </w:r>
            <w:r w:rsidR="0042397E">
              <w:rPr>
                <w:rFonts w:eastAsia="Calibri"/>
                <w:sz w:val="22"/>
                <w:szCs w:val="22"/>
                <w:lang w:val="lv-LV"/>
              </w:rPr>
              <w:t>4</w:t>
            </w:r>
            <w:r w:rsidRPr="00313C96">
              <w:rPr>
                <w:rFonts w:eastAsia="Calibri"/>
                <w:sz w:val="22"/>
                <w:szCs w:val="22"/>
                <w:lang w:val="lv-LV"/>
              </w:rPr>
              <w:t>.gada 1.janvārī.</w:t>
            </w:r>
          </w:p>
        </w:tc>
        <w:tc>
          <w:tcPr>
            <w:tcW w:w="556" w:type="dxa"/>
          </w:tcPr>
          <w:p w:rsidR="00AD03E9" w:rsidRPr="005960AD" w:rsidRDefault="00AD03E9" w:rsidP="005960AD">
            <w:pPr>
              <w:ind w:left="-578" w:firstLine="567"/>
              <w:jc w:val="center"/>
              <w:rPr>
                <w:b/>
                <w:sz w:val="22"/>
                <w:szCs w:val="22"/>
                <w:lang w:val="lv-LV"/>
              </w:rPr>
            </w:pPr>
          </w:p>
        </w:tc>
        <w:tc>
          <w:tcPr>
            <w:tcW w:w="3799" w:type="dxa"/>
          </w:tcPr>
          <w:p w:rsidR="00AD03E9" w:rsidRPr="00970F44" w:rsidRDefault="00AD03E9" w:rsidP="006F0875">
            <w:pPr>
              <w:jc w:val="both"/>
              <w:rPr>
                <w:sz w:val="22"/>
                <w:szCs w:val="22"/>
                <w:lang w:val="lv-LV"/>
              </w:rPr>
            </w:pPr>
          </w:p>
        </w:tc>
        <w:tc>
          <w:tcPr>
            <w:tcW w:w="1418" w:type="dxa"/>
          </w:tcPr>
          <w:p w:rsidR="00AD03E9" w:rsidRPr="00E24DFD" w:rsidRDefault="00AD03E9" w:rsidP="00E24DFD">
            <w:pPr>
              <w:ind w:firstLine="567"/>
              <w:jc w:val="both"/>
              <w:rPr>
                <w:sz w:val="22"/>
                <w:szCs w:val="22"/>
                <w:lang w:val="lv-LV"/>
              </w:rPr>
            </w:pPr>
          </w:p>
        </w:tc>
        <w:tc>
          <w:tcPr>
            <w:tcW w:w="1418" w:type="dxa"/>
          </w:tcPr>
          <w:p w:rsidR="00AD03E9" w:rsidRPr="00E24DFD" w:rsidRDefault="00AD03E9" w:rsidP="00E24DFD">
            <w:pPr>
              <w:ind w:firstLine="567"/>
              <w:jc w:val="both"/>
              <w:rPr>
                <w:sz w:val="22"/>
                <w:szCs w:val="22"/>
                <w:lang w:val="lv-LV"/>
              </w:rPr>
            </w:pPr>
          </w:p>
        </w:tc>
      </w:tr>
    </w:tbl>
    <w:p w:rsidR="00B16BAA" w:rsidRPr="004137D3" w:rsidRDefault="00B16BAA">
      <w:pPr>
        <w:rPr>
          <w:lang w:val="lv-LV"/>
        </w:rPr>
      </w:pPr>
    </w:p>
    <w:sectPr w:rsidR="00B16BAA" w:rsidRPr="004137D3" w:rsidSect="004137D3">
      <w:footerReference w:type="even" r:id="rId11"/>
      <w:footerReference w:type="default" r:id="rId12"/>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07" w:rsidRDefault="00607D07">
      <w:r>
        <w:separator/>
      </w:r>
    </w:p>
  </w:endnote>
  <w:endnote w:type="continuationSeparator" w:id="0">
    <w:p w:rsidR="00607D07" w:rsidRDefault="0060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46" w:rsidRDefault="00D03446"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446" w:rsidRDefault="00D03446" w:rsidP="004137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46" w:rsidRDefault="00D03446"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B9F">
      <w:rPr>
        <w:rStyle w:val="PageNumber"/>
        <w:noProof/>
      </w:rPr>
      <w:t>6</w:t>
    </w:r>
    <w:r>
      <w:rPr>
        <w:rStyle w:val="PageNumber"/>
      </w:rPr>
      <w:fldChar w:fldCharType="end"/>
    </w:r>
  </w:p>
  <w:p w:rsidR="00D03446" w:rsidRDefault="00D03446" w:rsidP="004137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07" w:rsidRDefault="00607D07">
      <w:r>
        <w:separator/>
      </w:r>
    </w:p>
  </w:footnote>
  <w:footnote w:type="continuationSeparator" w:id="0">
    <w:p w:rsidR="00607D07" w:rsidRDefault="00607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D1"/>
    <w:multiLevelType w:val="hybridMultilevel"/>
    <w:tmpl w:val="6D82A5E4"/>
    <w:lvl w:ilvl="0" w:tplc="35A8CD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D3"/>
    <w:rsid w:val="0002756E"/>
    <w:rsid w:val="00036B68"/>
    <w:rsid w:val="00063C85"/>
    <w:rsid w:val="000A2D06"/>
    <w:rsid w:val="000D172F"/>
    <w:rsid w:val="001215D8"/>
    <w:rsid w:val="001322B4"/>
    <w:rsid w:val="001633C8"/>
    <w:rsid w:val="00167B5B"/>
    <w:rsid w:val="001B01A3"/>
    <w:rsid w:val="001B6AFC"/>
    <w:rsid w:val="001C14B1"/>
    <w:rsid w:val="001C6DD3"/>
    <w:rsid w:val="001E3234"/>
    <w:rsid w:val="001F0FE8"/>
    <w:rsid w:val="00205478"/>
    <w:rsid w:val="002058E4"/>
    <w:rsid w:val="0027098D"/>
    <w:rsid w:val="0027456F"/>
    <w:rsid w:val="00286478"/>
    <w:rsid w:val="00292D3C"/>
    <w:rsid w:val="002B2358"/>
    <w:rsid w:val="002C75BB"/>
    <w:rsid w:val="00313C96"/>
    <w:rsid w:val="00320D73"/>
    <w:rsid w:val="0033195D"/>
    <w:rsid w:val="00342E68"/>
    <w:rsid w:val="00350322"/>
    <w:rsid w:val="003747F2"/>
    <w:rsid w:val="00380FE9"/>
    <w:rsid w:val="003B7FD2"/>
    <w:rsid w:val="003C0B9F"/>
    <w:rsid w:val="003E64AD"/>
    <w:rsid w:val="003F0345"/>
    <w:rsid w:val="003F3123"/>
    <w:rsid w:val="004137D3"/>
    <w:rsid w:val="0042397E"/>
    <w:rsid w:val="00452ECC"/>
    <w:rsid w:val="00473E79"/>
    <w:rsid w:val="004839D7"/>
    <w:rsid w:val="004A7DE9"/>
    <w:rsid w:val="004B0AB6"/>
    <w:rsid w:val="004C3651"/>
    <w:rsid w:val="00510639"/>
    <w:rsid w:val="0054547D"/>
    <w:rsid w:val="00574E84"/>
    <w:rsid w:val="00593C84"/>
    <w:rsid w:val="005960AD"/>
    <w:rsid w:val="0059621D"/>
    <w:rsid w:val="005A5DFF"/>
    <w:rsid w:val="005D294E"/>
    <w:rsid w:val="005D4FE6"/>
    <w:rsid w:val="005E2475"/>
    <w:rsid w:val="005F5A7A"/>
    <w:rsid w:val="006056E0"/>
    <w:rsid w:val="00607D07"/>
    <w:rsid w:val="006412D8"/>
    <w:rsid w:val="00642884"/>
    <w:rsid w:val="0064646B"/>
    <w:rsid w:val="006569AC"/>
    <w:rsid w:val="0068343E"/>
    <w:rsid w:val="006B3705"/>
    <w:rsid w:val="006B5019"/>
    <w:rsid w:val="006C35FA"/>
    <w:rsid w:val="006C4341"/>
    <w:rsid w:val="006F0875"/>
    <w:rsid w:val="007212E5"/>
    <w:rsid w:val="00730814"/>
    <w:rsid w:val="007354FD"/>
    <w:rsid w:val="00746827"/>
    <w:rsid w:val="0075793F"/>
    <w:rsid w:val="00761735"/>
    <w:rsid w:val="00762B87"/>
    <w:rsid w:val="00767BD9"/>
    <w:rsid w:val="00790E32"/>
    <w:rsid w:val="0079274E"/>
    <w:rsid w:val="007E4A71"/>
    <w:rsid w:val="007F2BC1"/>
    <w:rsid w:val="00812845"/>
    <w:rsid w:val="008411BC"/>
    <w:rsid w:val="00843EE9"/>
    <w:rsid w:val="008709BB"/>
    <w:rsid w:val="008744C7"/>
    <w:rsid w:val="008756A4"/>
    <w:rsid w:val="008842C5"/>
    <w:rsid w:val="008D407B"/>
    <w:rsid w:val="00901483"/>
    <w:rsid w:val="00942889"/>
    <w:rsid w:val="00942A1C"/>
    <w:rsid w:val="00970F44"/>
    <w:rsid w:val="00990028"/>
    <w:rsid w:val="009B2A94"/>
    <w:rsid w:val="009D130E"/>
    <w:rsid w:val="009D3B57"/>
    <w:rsid w:val="009E21DF"/>
    <w:rsid w:val="009E58F1"/>
    <w:rsid w:val="009E7F24"/>
    <w:rsid w:val="00A008A7"/>
    <w:rsid w:val="00A038C9"/>
    <w:rsid w:val="00A4071B"/>
    <w:rsid w:val="00A500A8"/>
    <w:rsid w:val="00A74A0C"/>
    <w:rsid w:val="00A93186"/>
    <w:rsid w:val="00AC0C79"/>
    <w:rsid w:val="00AC5477"/>
    <w:rsid w:val="00AD03E9"/>
    <w:rsid w:val="00AD24B6"/>
    <w:rsid w:val="00AD5EE6"/>
    <w:rsid w:val="00B16BAA"/>
    <w:rsid w:val="00B61542"/>
    <w:rsid w:val="00B70969"/>
    <w:rsid w:val="00B8678D"/>
    <w:rsid w:val="00BE3B9F"/>
    <w:rsid w:val="00BF5071"/>
    <w:rsid w:val="00C40C06"/>
    <w:rsid w:val="00C96427"/>
    <w:rsid w:val="00CE6D89"/>
    <w:rsid w:val="00CE74CD"/>
    <w:rsid w:val="00D03446"/>
    <w:rsid w:val="00D07956"/>
    <w:rsid w:val="00D1184B"/>
    <w:rsid w:val="00D34F9B"/>
    <w:rsid w:val="00D6417F"/>
    <w:rsid w:val="00D75027"/>
    <w:rsid w:val="00D756E9"/>
    <w:rsid w:val="00D843C1"/>
    <w:rsid w:val="00DA658F"/>
    <w:rsid w:val="00E0539F"/>
    <w:rsid w:val="00E24DFD"/>
    <w:rsid w:val="00E447E4"/>
    <w:rsid w:val="00E560C9"/>
    <w:rsid w:val="00E67F21"/>
    <w:rsid w:val="00E849DF"/>
    <w:rsid w:val="00EB30B0"/>
    <w:rsid w:val="00EB59D1"/>
    <w:rsid w:val="00EC4FFC"/>
    <w:rsid w:val="00EC7DC4"/>
    <w:rsid w:val="00EF1F3E"/>
    <w:rsid w:val="00F074C8"/>
    <w:rsid w:val="00F1218F"/>
    <w:rsid w:val="00F14EEE"/>
    <w:rsid w:val="00F85D4D"/>
    <w:rsid w:val="00F95DCA"/>
    <w:rsid w:val="00FA0622"/>
    <w:rsid w:val="00FA6BCF"/>
    <w:rsid w:val="00FC626C"/>
    <w:rsid w:val="00FD180A"/>
    <w:rsid w:val="00FF3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 w:type="paragraph" w:customStyle="1" w:styleId="tv2131">
    <w:name w:val="tv2131"/>
    <w:basedOn w:val="Normal"/>
    <w:rsid w:val="008842C5"/>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 w:type="paragraph" w:customStyle="1" w:styleId="tv2131">
    <w:name w:val="tv2131"/>
    <w:basedOn w:val="Normal"/>
    <w:rsid w:val="008842C5"/>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802">
      <w:bodyDiv w:val="1"/>
      <w:marLeft w:val="0"/>
      <w:marRight w:val="0"/>
      <w:marTop w:val="0"/>
      <w:marBottom w:val="0"/>
      <w:divBdr>
        <w:top w:val="none" w:sz="0" w:space="0" w:color="auto"/>
        <w:left w:val="none" w:sz="0" w:space="0" w:color="auto"/>
        <w:bottom w:val="none" w:sz="0" w:space="0" w:color="auto"/>
        <w:right w:val="none" w:sz="0" w:space="0" w:color="auto"/>
      </w:divBdr>
    </w:div>
    <w:div w:id="121388368">
      <w:bodyDiv w:val="1"/>
      <w:marLeft w:val="0"/>
      <w:marRight w:val="0"/>
      <w:marTop w:val="0"/>
      <w:marBottom w:val="0"/>
      <w:divBdr>
        <w:top w:val="none" w:sz="0" w:space="0" w:color="auto"/>
        <w:left w:val="none" w:sz="0" w:space="0" w:color="auto"/>
        <w:bottom w:val="none" w:sz="0" w:space="0" w:color="auto"/>
        <w:right w:val="none" w:sz="0" w:space="0" w:color="auto"/>
      </w:divBdr>
    </w:div>
    <w:div w:id="225342501">
      <w:bodyDiv w:val="1"/>
      <w:marLeft w:val="0"/>
      <w:marRight w:val="0"/>
      <w:marTop w:val="0"/>
      <w:marBottom w:val="0"/>
      <w:divBdr>
        <w:top w:val="none" w:sz="0" w:space="0" w:color="auto"/>
        <w:left w:val="none" w:sz="0" w:space="0" w:color="auto"/>
        <w:bottom w:val="none" w:sz="0" w:space="0" w:color="auto"/>
        <w:right w:val="none" w:sz="0" w:space="0" w:color="auto"/>
      </w:divBdr>
    </w:div>
    <w:div w:id="247816307">
      <w:bodyDiv w:val="1"/>
      <w:marLeft w:val="0"/>
      <w:marRight w:val="0"/>
      <w:marTop w:val="0"/>
      <w:marBottom w:val="0"/>
      <w:divBdr>
        <w:top w:val="none" w:sz="0" w:space="0" w:color="auto"/>
        <w:left w:val="none" w:sz="0" w:space="0" w:color="auto"/>
        <w:bottom w:val="none" w:sz="0" w:space="0" w:color="auto"/>
        <w:right w:val="none" w:sz="0" w:space="0" w:color="auto"/>
      </w:divBdr>
    </w:div>
    <w:div w:id="269430757">
      <w:bodyDiv w:val="1"/>
      <w:marLeft w:val="0"/>
      <w:marRight w:val="0"/>
      <w:marTop w:val="0"/>
      <w:marBottom w:val="0"/>
      <w:divBdr>
        <w:top w:val="none" w:sz="0" w:space="0" w:color="auto"/>
        <w:left w:val="none" w:sz="0" w:space="0" w:color="auto"/>
        <w:bottom w:val="none" w:sz="0" w:space="0" w:color="auto"/>
        <w:right w:val="none" w:sz="0" w:space="0" w:color="auto"/>
      </w:divBdr>
    </w:div>
    <w:div w:id="358699397">
      <w:bodyDiv w:val="1"/>
      <w:marLeft w:val="0"/>
      <w:marRight w:val="0"/>
      <w:marTop w:val="0"/>
      <w:marBottom w:val="0"/>
      <w:divBdr>
        <w:top w:val="none" w:sz="0" w:space="0" w:color="auto"/>
        <w:left w:val="none" w:sz="0" w:space="0" w:color="auto"/>
        <w:bottom w:val="none" w:sz="0" w:space="0" w:color="auto"/>
        <w:right w:val="none" w:sz="0" w:space="0" w:color="auto"/>
      </w:divBdr>
    </w:div>
    <w:div w:id="401757911">
      <w:bodyDiv w:val="1"/>
      <w:marLeft w:val="0"/>
      <w:marRight w:val="0"/>
      <w:marTop w:val="0"/>
      <w:marBottom w:val="0"/>
      <w:divBdr>
        <w:top w:val="none" w:sz="0" w:space="0" w:color="auto"/>
        <w:left w:val="none" w:sz="0" w:space="0" w:color="auto"/>
        <w:bottom w:val="none" w:sz="0" w:space="0" w:color="auto"/>
        <w:right w:val="none" w:sz="0" w:space="0" w:color="auto"/>
      </w:divBdr>
    </w:div>
    <w:div w:id="409548040">
      <w:bodyDiv w:val="1"/>
      <w:marLeft w:val="0"/>
      <w:marRight w:val="0"/>
      <w:marTop w:val="0"/>
      <w:marBottom w:val="0"/>
      <w:divBdr>
        <w:top w:val="none" w:sz="0" w:space="0" w:color="auto"/>
        <w:left w:val="none" w:sz="0" w:space="0" w:color="auto"/>
        <w:bottom w:val="none" w:sz="0" w:space="0" w:color="auto"/>
        <w:right w:val="none" w:sz="0" w:space="0" w:color="auto"/>
      </w:divBdr>
      <w:divsChild>
        <w:div w:id="1366831378">
          <w:marLeft w:val="0"/>
          <w:marRight w:val="0"/>
          <w:marTop w:val="0"/>
          <w:marBottom w:val="0"/>
          <w:divBdr>
            <w:top w:val="none" w:sz="0" w:space="0" w:color="auto"/>
            <w:left w:val="none" w:sz="0" w:space="0" w:color="auto"/>
            <w:bottom w:val="none" w:sz="0" w:space="0" w:color="auto"/>
            <w:right w:val="none" w:sz="0" w:space="0" w:color="auto"/>
          </w:divBdr>
          <w:divsChild>
            <w:div w:id="890846207">
              <w:marLeft w:val="0"/>
              <w:marRight w:val="0"/>
              <w:marTop w:val="0"/>
              <w:marBottom w:val="0"/>
              <w:divBdr>
                <w:top w:val="none" w:sz="0" w:space="0" w:color="auto"/>
                <w:left w:val="none" w:sz="0" w:space="0" w:color="auto"/>
                <w:bottom w:val="none" w:sz="0" w:space="0" w:color="auto"/>
                <w:right w:val="none" w:sz="0" w:space="0" w:color="auto"/>
              </w:divBdr>
              <w:divsChild>
                <w:div w:id="339161867">
                  <w:marLeft w:val="0"/>
                  <w:marRight w:val="0"/>
                  <w:marTop w:val="0"/>
                  <w:marBottom w:val="0"/>
                  <w:divBdr>
                    <w:top w:val="none" w:sz="0" w:space="0" w:color="auto"/>
                    <w:left w:val="none" w:sz="0" w:space="0" w:color="auto"/>
                    <w:bottom w:val="none" w:sz="0" w:space="0" w:color="auto"/>
                    <w:right w:val="none" w:sz="0" w:space="0" w:color="auto"/>
                  </w:divBdr>
                  <w:divsChild>
                    <w:div w:id="1589970541">
                      <w:marLeft w:val="0"/>
                      <w:marRight w:val="0"/>
                      <w:marTop w:val="0"/>
                      <w:marBottom w:val="0"/>
                      <w:divBdr>
                        <w:top w:val="none" w:sz="0" w:space="0" w:color="auto"/>
                        <w:left w:val="none" w:sz="0" w:space="0" w:color="auto"/>
                        <w:bottom w:val="none" w:sz="0" w:space="0" w:color="auto"/>
                        <w:right w:val="none" w:sz="0" w:space="0" w:color="auto"/>
                      </w:divBdr>
                      <w:divsChild>
                        <w:div w:id="936405066">
                          <w:marLeft w:val="0"/>
                          <w:marRight w:val="0"/>
                          <w:marTop w:val="0"/>
                          <w:marBottom w:val="0"/>
                          <w:divBdr>
                            <w:top w:val="none" w:sz="0" w:space="0" w:color="auto"/>
                            <w:left w:val="none" w:sz="0" w:space="0" w:color="auto"/>
                            <w:bottom w:val="none" w:sz="0" w:space="0" w:color="auto"/>
                            <w:right w:val="none" w:sz="0" w:space="0" w:color="auto"/>
                          </w:divBdr>
                          <w:divsChild>
                            <w:div w:id="8435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084258">
      <w:bodyDiv w:val="1"/>
      <w:marLeft w:val="0"/>
      <w:marRight w:val="0"/>
      <w:marTop w:val="0"/>
      <w:marBottom w:val="0"/>
      <w:divBdr>
        <w:top w:val="none" w:sz="0" w:space="0" w:color="auto"/>
        <w:left w:val="none" w:sz="0" w:space="0" w:color="auto"/>
        <w:bottom w:val="none" w:sz="0" w:space="0" w:color="auto"/>
        <w:right w:val="none" w:sz="0" w:space="0" w:color="auto"/>
      </w:divBdr>
    </w:div>
    <w:div w:id="750543969">
      <w:bodyDiv w:val="1"/>
      <w:marLeft w:val="0"/>
      <w:marRight w:val="0"/>
      <w:marTop w:val="0"/>
      <w:marBottom w:val="0"/>
      <w:divBdr>
        <w:top w:val="none" w:sz="0" w:space="0" w:color="auto"/>
        <w:left w:val="none" w:sz="0" w:space="0" w:color="auto"/>
        <w:bottom w:val="none" w:sz="0" w:space="0" w:color="auto"/>
        <w:right w:val="none" w:sz="0" w:space="0" w:color="auto"/>
      </w:divBdr>
    </w:div>
    <w:div w:id="775250608">
      <w:bodyDiv w:val="1"/>
      <w:marLeft w:val="0"/>
      <w:marRight w:val="0"/>
      <w:marTop w:val="0"/>
      <w:marBottom w:val="0"/>
      <w:divBdr>
        <w:top w:val="none" w:sz="0" w:space="0" w:color="auto"/>
        <w:left w:val="none" w:sz="0" w:space="0" w:color="auto"/>
        <w:bottom w:val="none" w:sz="0" w:space="0" w:color="auto"/>
        <w:right w:val="none" w:sz="0" w:space="0" w:color="auto"/>
      </w:divBdr>
    </w:div>
    <w:div w:id="778570577">
      <w:bodyDiv w:val="1"/>
      <w:marLeft w:val="0"/>
      <w:marRight w:val="0"/>
      <w:marTop w:val="0"/>
      <w:marBottom w:val="0"/>
      <w:divBdr>
        <w:top w:val="none" w:sz="0" w:space="0" w:color="auto"/>
        <w:left w:val="none" w:sz="0" w:space="0" w:color="auto"/>
        <w:bottom w:val="none" w:sz="0" w:space="0" w:color="auto"/>
        <w:right w:val="none" w:sz="0" w:space="0" w:color="auto"/>
      </w:divBdr>
    </w:div>
    <w:div w:id="798845140">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61823365">
      <w:bodyDiv w:val="1"/>
      <w:marLeft w:val="0"/>
      <w:marRight w:val="0"/>
      <w:marTop w:val="0"/>
      <w:marBottom w:val="0"/>
      <w:divBdr>
        <w:top w:val="none" w:sz="0" w:space="0" w:color="auto"/>
        <w:left w:val="none" w:sz="0" w:space="0" w:color="auto"/>
        <w:bottom w:val="none" w:sz="0" w:space="0" w:color="auto"/>
        <w:right w:val="none" w:sz="0" w:space="0" w:color="auto"/>
      </w:divBdr>
    </w:div>
    <w:div w:id="876698895">
      <w:bodyDiv w:val="1"/>
      <w:marLeft w:val="0"/>
      <w:marRight w:val="0"/>
      <w:marTop w:val="0"/>
      <w:marBottom w:val="0"/>
      <w:divBdr>
        <w:top w:val="none" w:sz="0" w:space="0" w:color="auto"/>
        <w:left w:val="none" w:sz="0" w:space="0" w:color="auto"/>
        <w:bottom w:val="none" w:sz="0" w:space="0" w:color="auto"/>
        <w:right w:val="none" w:sz="0" w:space="0" w:color="auto"/>
      </w:divBdr>
    </w:div>
    <w:div w:id="936256858">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1057818646">
      <w:bodyDiv w:val="1"/>
      <w:marLeft w:val="0"/>
      <w:marRight w:val="0"/>
      <w:marTop w:val="0"/>
      <w:marBottom w:val="0"/>
      <w:divBdr>
        <w:top w:val="none" w:sz="0" w:space="0" w:color="auto"/>
        <w:left w:val="none" w:sz="0" w:space="0" w:color="auto"/>
        <w:bottom w:val="none" w:sz="0" w:space="0" w:color="auto"/>
        <w:right w:val="none" w:sz="0" w:space="0" w:color="auto"/>
      </w:divBdr>
    </w:div>
    <w:div w:id="1063986507">
      <w:bodyDiv w:val="1"/>
      <w:marLeft w:val="0"/>
      <w:marRight w:val="0"/>
      <w:marTop w:val="0"/>
      <w:marBottom w:val="0"/>
      <w:divBdr>
        <w:top w:val="none" w:sz="0" w:space="0" w:color="auto"/>
        <w:left w:val="none" w:sz="0" w:space="0" w:color="auto"/>
        <w:bottom w:val="none" w:sz="0" w:space="0" w:color="auto"/>
        <w:right w:val="none" w:sz="0" w:space="0" w:color="auto"/>
      </w:divBdr>
    </w:div>
    <w:div w:id="1138111382">
      <w:bodyDiv w:val="1"/>
      <w:marLeft w:val="0"/>
      <w:marRight w:val="0"/>
      <w:marTop w:val="0"/>
      <w:marBottom w:val="0"/>
      <w:divBdr>
        <w:top w:val="none" w:sz="0" w:space="0" w:color="auto"/>
        <w:left w:val="none" w:sz="0" w:space="0" w:color="auto"/>
        <w:bottom w:val="none" w:sz="0" w:space="0" w:color="auto"/>
        <w:right w:val="none" w:sz="0" w:space="0" w:color="auto"/>
      </w:divBdr>
    </w:div>
    <w:div w:id="1155073826">
      <w:bodyDiv w:val="1"/>
      <w:marLeft w:val="0"/>
      <w:marRight w:val="0"/>
      <w:marTop w:val="0"/>
      <w:marBottom w:val="0"/>
      <w:divBdr>
        <w:top w:val="none" w:sz="0" w:space="0" w:color="auto"/>
        <w:left w:val="none" w:sz="0" w:space="0" w:color="auto"/>
        <w:bottom w:val="none" w:sz="0" w:space="0" w:color="auto"/>
        <w:right w:val="none" w:sz="0" w:space="0" w:color="auto"/>
      </w:divBdr>
    </w:div>
    <w:div w:id="1157066712">
      <w:bodyDiv w:val="1"/>
      <w:marLeft w:val="0"/>
      <w:marRight w:val="0"/>
      <w:marTop w:val="0"/>
      <w:marBottom w:val="0"/>
      <w:divBdr>
        <w:top w:val="none" w:sz="0" w:space="0" w:color="auto"/>
        <w:left w:val="none" w:sz="0" w:space="0" w:color="auto"/>
        <w:bottom w:val="none" w:sz="0" w:space="0" w:color="auto"/>
        <w:right w:val="none" w:sz="0" w:space="0" w:color="auto"/>
      </w:divBdr>
    </w:div>
    <w:div w:id="1363820574">
      <w:bodyDiv w:val="1"/>
      <w:marLeft w:val="0"/>
      <w:marRight w:val="0"/>
      <w:marTop w:val="0"/>
      <w:marBottom w:val="0"/>
      <w:divBdr>
        <w:top w:val="none" w:sz="0" w:space="0" w:color="auto"/>
        <w:left w:val="none" w:sz="0" w:space="0" w:color="auto"/>
        <w:bottom w:val="none" w:sz="0" w:space="0" w:color="auto"/>
        <w:right w:val="none" w:sz="0" w:space="0" w:color="auto"/>
      </w:divBdr>
    </w:div>
    <w:div w:id="1371421898">
      <w:bodyDiv w:val="1"/>
      <w:marLeft w:val="0"/>
      <w:marRight w:val="0"/>
      <w:marTop w:val="0"/>
      <w:marBottom w:val="0"/>
      <w:divBdr>
        <w:top w:val="none" w:sz="0" w:space="0" w:color="auto"/>
        <w:left w:val="none" w:sz="0" w:space="0" w:color="auto"/>
        <w:bottom w:val="none" w:sz="0" w:space="0" w:color="auto"/>
        <w:right w:val="none" w:sz="0" w:space="0" w:color="auto"/>
      </w:divBdr>
    </w:div>
    <w:div w:id="1479297858">
      <w:bodyDiv w:val="1"/>
      <w:marLeft w:val="0"/>
      <w:marRight w:val="0"/>
      <w:marTop w:val="0"/>
      <w:marBottom w:val="0"/>
      <w:divBdr>
        <w:top w:val="none" w:sz="0" w:space="0" w:color="auto"/>
        <w:left w:val="none" w:sz="0" w:space="0" w:color="auto"/>
        <w:bottom w:val="none" w:sz="0" w:space="0" w:color="auto"/>
        <w:right w:val="none" w:sz="0" w:space="0" w:color="auto"/>
      </w:divBdr>
    </w:div>
    <w:div w:id="1513446437">
      <w:bodyDiv w:val="1"/>
      <w:marLeft w:val="0"/>
      <w:marRight w:val="0"/>
      <w:marTop w:val="0"/>
      <w:marBottom w:val="0"/>
      <w:divBdr>
        <w:top w:val="none" w:sz="0" w:space="0" w:color="auto"/>
        <w:left w:val="none" w:sz="0" w:space="0" w:color="auto"/>
        <w:bottom w:val="none" w:sz="0" w:space="0" w:color="auto"/>
        <w:right w:val="none" w:sz="0" w:space="0" w:color="auto"/>
      </w:divBdr>
    </w:div>
    <w:div w:id="1518808049">
      <w:bodyDiv w:val="1"/>
      <w:marLeft w:val="0"/>
      <w:marRight w:val="0"/>
      <w:marTop w:val="0"/>
      <w:marBottom w:val="0"/>
      <w:divBdr>
        <w:top w:val="none" w:sz="0" w:space="0" w:color="auto"/>
        <w:left w:val="none" w:sz="0" w:space="0" w:color="auto"/>
        <w:bottom w:val="none" w:sz="0" w:space="0" w:color="auto"/>
        <w:right w:val="none" w:sz="0" w:space="0" w:color="auto"/>
      </w:divBdr>
    </w:div>
    <w:div w:id="1540049932">
      <w:bodyDiv w:val="1"/>
      <w:marLeft w:val="0"/>
      <w:marRight w:val="0"/>
      <w:marTop w:val="0"/>
      <w:marBottom w:val="0"/>
      <w:divBdr>
        <w:top w:val="none" w:sz="0" w:space="0" w:color="auto"/>
        <w:left w:val="none" w:sz="0" w:space="0" w:color="auto"/>
        <w:bottom w:val="none" w:sz="0" w:space="0" w:color="auto"/>
        <w:right w:val="none" w:sz="0" w:space="0" w:color="auto"/>
      </w:divBdr>
    </w:div>
    <w:div w:id="1562865793">
      <w:bodyDiv w:val="1"/>
      <w:marLeft w:val="0"/>
      <w:marRight w:val="0"/>
      <w:marTop w:val="0"/>
      <w:marBottom w:val="0"/>
      <w:divBdr>
        <w:top w:val="none" w:sz="0" w:space="0" w:color="auto"/>
        <w:left w:val="none" w:sz="0" w:space="0" w:color="auto"/>
        <w:bottom w:val="none" w:sz="0" w:space="0" w:color="auto"/>
        <w:right w:val="none" w:sz="0" w:space="0" w:color="auto"/>
      </w:divBdr>
    </w:div>
    <w:div w:id="1667901341">
      <w:bodyDiv w:val="1"/>
      <w:marLeft w:val="0"/>
      <w:marRight w:val="0"/>
      <w:marTop w:val="0"/>
      <w:marBottom w:val="0"/>
      <w:divBdr>
        <w:top w:val="none" w:sz="0" w:space="0" w:color="auto"/>
        <w:left w:val="none" w:sz="0" w:space="0" w:color="auto"/>
        <w:bottom w:val="none" w:sz="0" w:space="0" w:color="auto"/>
        <w:right w:val="none" w:sz="0" w:space="0" w:color="auto"/>
      </w:divBdr>
    </w:div>
    <w:div w:id="1775397042">
      <w:bodyDiv w:val="1"/>
      <w:marLeft w:val="0"/>
      <w:marRight w:val="0"/>
      <w:marTop w:val="0"/>
      <w:marBottom w:val="0"/>
      <w:divBdr>
        <w:top w:val="none" w:sz="0" w:space="0" w:color="auto"/>
        <w:left w:val="none" w:sz="0" w:space="0" w:color="auto"/>
        <w:bottom w:val="none" w:sz="0" w:space="0" w:color="auto"/>
        <w:right w:val="none" w:sz="0" w:space="0" w:color="auto"/>
      </w:divBdr>
    </w:div>
    <w:div w:id="1791195073">
      <w:bodyDiv w:val="1"/>
      <w:marLeft w:val="0"/>
      <w:marRight w:val="0"/>
      <w:marTop w:val="0"/>
      <w:marBottom w:val="0"/>
      <w:divBdr>
        <w:top w:val="none" w:sz="0" w:space="0" w:color="auto"/>
        <w:left w:val="none" w:sz="0" w:space="0" w:color="auto"/>
        <w:bottom w:val="none" w:sz="0" w:space="0" w:color="auto"/>
        <w:right w:val="none" w:sz="0" w:space="0" w:color="auto"/>
      </w:divBdr>
    </w:div>
    <w:div w:id="1984965711">
      <w:bodyDiv w:val="1"/>
      <w:marLeft w:val="0"/>
      <w:marRight w:val="0"/>
      <w:marTop w:val="0"/>
      <w:marBottom w:val="0"/>
      <w:divBdr>
        <w:top w:val="none" w:sz="0" w:space="0" w:color="auto"/>
        <w:left w:val="none" w:sz="0" w:space="0" w:color="auto"/>
        <w:bottom w:val="none" w:sz="0" w:space="0" w:color="auto"/>
        <w:right w:val="none" w:sz="0" w:space="0" w:color="auto"/>
      </w:divBdr>
    </w:div>
    <w:div w:id="20537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777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kumi.lv/doc.php?id=50060" TargetMode="External"/><Relationship Id="rId4" Type="http://schemas.openxmlformats.org/officeDocument/2006/relationships/settings" Target="settings.xml"/><Relationship Id="rId9" Type="http://schemas.openxmlformats.org/officeDocument/2006/relationships/hyperlink" Target="http://likumi.lv/doc.php?id=477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809</Words>
  <Characters>6468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Budžeta un finanšu (nodokļu) komisija</vt:lpstr>
    </vt:vector>
  </TitlesOfParts>
  <Company>Saeima</Company>
  <LinksUpToDate>false</LinksUpToDate>
  <CharactersWithSpaces>7263</CharactersWithSpaces>
  <SharedDoc>false</SharedDoc>
  <HLinks>
    <vt:vector size="12" baseType="variant">
      <vt:variant>
        <vt:i4>7995494</vt:i4>
      </vt:variant>
      <vt:variant>
        <vt:i4>3</vt:i4>
      </vt:variant>
      <vt:variant>
        <vt:i4>0</vt:i4>
      </vt:variant>
      <vt:variant>
        <vt:i4>5</vt:i4>
      </vt:variant>
      <vt:variant>
        <vt:lpwstr>http://www.likumi.lv/doc.php?id=50759</vt:lpwstr>
      </vt:variant>
      <vt:variant>
        <vt:lpwstr>p50</vt:lpwstr>
      </vt:variant>
      <vt:variant>
        <vt:i4>4849680</vt:i4>
      </vt:variant>
      <vt:variant>
        <vt:i4>0</vt:i4>
      </vt:variant>
      <vt:variant>
        <vt:i4>0</vt:i4>
      </vt:variant>
      <vt:variant>
        <vt:i4>5</vt:i4>
      </vt:variant>
      <vt:variant>
        <vt:lpwstr>http://www.likumi.lv/doc.php?id=49096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Budžeta un finanšu (nodokļu) komisija</dc:title>
  <dc:creator>B-018</dc:creator>
  <cp:lastModifiedBy>Dzintars_I</cp:lastModifiedBy>
  <cp:revision>32</cp:revision>
  <cp:lastPrinted>2008-11-06T09:50:00Z</cp:lastPrinted>
  <dcterms:created xsi:type="dcterms:W3CDTF">2013-10-21T08:31:00Z</dcterms:created>
  <dcterms:modified xsi:type="dcterms:W3CDTF">2013-10-21T11:22:00Z</dcterms:modified>
</cp:coreProperties>
</file>