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1EBB" w14:textId="77777777" w:rsidR="00A96DE5" w:rsidRPr="00E75B8E" w:rsidRDefault="00A96DE5" w:rsidP="00E75B8E">
      <w:pPr>
        <w:jc w:val="center"/>
        <w:rPr>
          <w:b/>
          <w:sz w:val="28"/>
        </w:rPr>
      </w:pPr>
      <w:r w:rsidRPr="00E75B8E">
        <w:rPr>
          <w:b/>
          <w:sz w:val="28"/>
        </w:rPr>
        <w:t>Ministru kabineta noteikumu projekta</w:t>
      </w:r>
    </w:p>
    <w:p w14:paraId="05F91EBC" w14:textId="38DF0412" w:rsidR="00A96DE5" w:rsidRPr="00E75B8E" w:rsidRDefault="00E75B8E" w:rsidP="00E75B8E">
      <w:pPr>
        <w:jc w:val="center"/>
        <w:rPr>
          <w:b/>
          <w:sz w:val="28"/>
        </w:rPr>
      </w:pPr>
      <w:r>
        <w:rPr>
          <w:b/>
          <w:sz w:val="28"/>
        </w:rPr>
        <w:t>"</w:t>
      </w:r>
      <w:r w:rsidR="00A96DE5" w:rsidRPr="00E75B8E">
        <w:rPr>
          <w:b/>
          <w:sz w:val="28"/>
        </w:rPr>
        <w:t>Grozījumi Ministru kabineta 2008.</w:t>
      </w:r>
      <w:r w:rsidR="00E55421">
        <w:rPr>
          <w:b/>
          <w:sz w:val="28"/>
        </w:rPr>
        <w:t>gada 25.novembra noteikumos Nr.</w:t>
      </w:r>
      <w:r w:rsidR="00A96DE5" w:rsidRPr="00E75B8E">
        <w:rPr>
          <w:b/>
          <w:sz w:val="28"/>
        </w:rPr>
        <w:t xml:space="preserve">963 </w:t>
      </w:r>
      <w:r>
        <w:rPr>
          <w:b/>
          <w:sz w:val="28"/>
        </w:rPr>
        <w:t>"</w:t>
      </w:r>
      <w:r w:rsidR="00A96DE5" w:rsidRPr="00E75B8E">
        <w:rPr>
          <w:b/>
          <w:sz w:val="28"/>
        </w:rPr>
        <w:t xml:space="preserve">Noteikumi par darbības programmas </w:t>
      </w:r>
      <w:r>
        <w:rPr>
          <w:b/>
          <w:sz w:val="28"/>
        </w:rPr>
        <w:t>"</w:t>
      </w:r>
      <w:r w:rsidR="00A96DE5" w:rsidRPr="00E75B8E">
        <w:rPr>
          <w:b/>
          <w:sz w:val="28"/>
        </w:rPr>
        <w:t>Cilvēkresursi un nodarbinātība</w:t>
      </w:r>
      <w:r>
        <w:rPr>
          <w:b/>
          <w:sz w:val="28"/>
        </w:rPr>
        <w:t>"</w:t>
      </w:r>
      <w:r w:rsidR="00A96DE5" w:rsidRPr="00E75B8E">
        <w:rPr>
          <w:b/>
          <w:sz w:val="28"/>
        </w:rPr>
        <w:t xml:space="preserve"> papildinājuma 1.5.2.2.2.apakšaktivitāti </w:t>
      </w:r>
      <w:r>
        <w:rPr>
          <w:b/>
          <w:sz w:val="28"/>
        </w:rPr>
        <w:t>"</w:t>
      </w:r>
      <w:r w:rsidR="00A96DE5" w:rsidRPr="00E75B8E">
        <w:rPr>
          <w:b/>
          <w:sz w:val="28"/>
        </w:rPr>
        <w:t>Nevalstisko organizāciju administratīvās kapacitātes stiprināšana</w:t>
      </w:r>
      <w:r>
        <w:rPr>
          <w:b/>
          <w:sz w:val="28"/>
        </w:rPr>
        <w:t>"""</w:t>
      </w:r>
      <w:r w:rsidR="00A96DE5" w:rsidRPr="00E75B8E">
        <w:rPr>
          <w:b/>
          <w:sz w:val="28"/>
        </w:rPr>
        <w:t xml:space="preserve"> sākotnējās ietekmes novērtējuma ziņojums (anotācija)</w:t>
      </w:r>
    </w:p>
    <w:p w14:paraId="05F91EBD" w14:textId="77777777" w:rsidR="00A96DE5" w:rsidRPr="00893256" w:rsidRDefault="00A96DE5" w:rsidP="00E75B8E">
      <w:pPr>
        <w:jc w:val="center"/>
        <w:rPr>
          <w:b/>
        </w:rPr>
      </w:pPr>
    </w:p>
    <w:tbl>
      <w:tblPr>
        <w:tblpPr w:leftFromText="180" w:rightFromText="180" w:vertAnchor="text" w:horzAnchor="margin" w:tblpXSpec="center" w:tblpY="149"/>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2339"/>
        <w:gridCol w:w="6666"/>
      </w:tblGrid>
      <w:tr w:rsidR="00A96DE5" w:rsidRPr="00DE1B21" w14:paraId="05F91EBF" w14:textId="77777777" w:rsidTr="00CC60B8">
        <w:tc>
          <w:tcPr>
            <w:tcW w:w="9365" w:type="dxa"/>
            <w:gridSpan w:val="3"/>
            <w:vAlign w:val="center"/>
          </w:tcPr>
          <w:p w14:paraId="05F91EBE" w14:textId="77777777" w:rsidR="00A96DE5" w:rsidRPr="00DE1B21" w:rsidRDefault="00A96DE5" w:rsidP="00E75B8E">
            <w:pPr>
              <w:pStyle w:val="naisnod"/>
              <w:spacing w:before="0" w:after="0"/>
            </w:pPr>
            <w:r w:rsidRPr="00DE1B21">
              <w:t>I. Tiesību akta projekta izstrādes nepieciešamība</w:t>
            </w:r>
          </w:p>
        </w:tc>
      </w:tr>
      <w:tr w:rsidR="00A96DE5" w:rsidRPr="00DE1B21" w14:paraId="05F91EC3" w14:textId="77777777" w:rsidTr="00A64EF6">
        <w:trPr>
          <w:trHeight w:val="630"/>
        </w:trPr>
        <w:tc>
          <w:tcPr>
            <w:tcW w:w="360" w:type="dxa"/>
          </w:tcPr>
          <w:p w14:paraId="05F91EC0" w14:textId="77777777" w:rsidR="00A96DE5" w:rsidRPr="00DE1B21" w:rsidRDefault="00A96DE5" w:rsidP="00E75B8E">
            <w:pPr>
              <w:pStyle w:val="naiskr"/>
              <w:spacing w:before="0" w:after="0"/>
            </w:pPr>
            <w:r w:rsidRPr="00DE1B21">
              <w:t>1.</w:t>
            </w:r>
          </w:p>
        </w:tc>
        <w:tc>
          <w:tcPr>
            <w:tcW w:w="2339" w:type="dxa"/>
          </w:tcPr>
          <w:p w14:paraId="05F91EC1" w14:textId="77777777" w:rsidR="00A96DE5" w:rsidRPr="00DE1B21" w:rsidRDefault="00A96DE5" w:rsidP="00E75B8E">
            <w:pPr>
              <w:pStyle w:val="naiskr"/>
              <w:spacing w:before="0" w:after="0"/>
              <w:ind w:hanging="10"/>
            </w:pPr>
            <w:r w:rsidRPr="00DE1B21">
              <w:t>Pamatojums</w:t>
            </w:r>
          </w:p>
        </w:tc>
        <w:tc>
          <w:tcPr>
            <w:tcW w:w="6666" w:type="dxa"/>
          </w:tcPr>
          <w:p w14:paraId="05F91EC2" w14:textId="4A8CCBD2" w:rsidR="00A96DE5" w:rsidRPr="00DE1B21" w:rsidRDefault="00A96DE5" w:rsidP="00E75B8E">
            <w:pPr>
              <w:pStyle w:val="naiskr"/>
              <w:spacing w:before="0" w:after="0"/>
              <w:ind w:right="81"/>
              <w:jc w:val="both"/>
            </w:pPr>
            <w:r>
              <w:t xml:space="preserve">Noteikumu projekts </w:t>
            </w:r>
            <w:r w:rsidR="00E75B8E">
              <w:t>"</w:t>
            </w:r>
            <w:r>
              <w:t>Grozījumi Ministru kabineta 2008.</w:t>
            </w:r>
            <w:r w:rsidR="00AA72BE">
              <w:t>gada 25.novembra noteikumos Nr.</w:t>
            </w:r>
            <w:r>
              <w:t xml:space="preserve">963 </w:t>
            </w:r>
            <w:r w:rsidR="00E75B8E">
              <w:t>"</w:t>
            </w:r>
            <w:r>
              <w:t xml:space="preserve">Noteikumi par darbības programmas </w:t>
            </w:r>
            <w:r w:rsidR="00E75B8E">
              <w:t>"</w:t>
            </w:r>
            <w:r>
              <w:t>Cilvēkresursi un nodarbinātība</w:t>
            </w:r>
            <w:r w:rsidR="00E75B8E">
              <w:t>"</w:t>
            </w:r>
            <w:r>
              <w:t xml:space="preserve"> papildinājuma 1.5.2.2.2.apakšaktivitāti </w:t>
            </w:r>
            <w:r w:rsidR="00E75B8E">
              <w:t>"</w:t>
            </w:r>
            <w:r>
              <w:t>Nevalstisko organizāciju administra</w:t>
            </w:r>
            <w:r w:rsidR="00515553">
              <w:t>tīvās kapacitātes stiprināšana</w:t>
            </w:r>
            <w:r w:rsidR="00E75B8E">
              <w:t>"""</w:t>
            </w:r>
            <w:r>
              <w:t xml:space="preserve"> (turpmāk – </w:t>
            </w:r>
            <w:r w:rsidR="00AE6D05">
              <w:t xml:space="preserve">MK </w:t>
            </w:r>
            <w:r>
              <w:t xml:space="preserve">noteikumu projekts) </w:t>
            </w:r>
            <w:r w:rsidRPr="00741B7C">
              <w:t xml:space="preserve">izstrādāts saskaņā ar </w:t>
            </w:r>
            <w:proofErr w:type="spellStart"/>
            <w:r w:rsidRPr="001B6680">
              <w:rPr>
                <w:i/>
              </w:rPr>
              <w:t>Euro</w:t>
            </w:r>
            <w:proofErr w:type="spellEnd"/>
            <w:r w:rsidRPr="00741B7C">
              <w:t xml:space="preserve"> ieviešanas kārtības likuma 30.panta pirmo daļu, Ministru kabineta 2012.gada 27.jūnija rīkojuma Nr.282 </w:t>
            </w:r>
            <w:r w:rsidR="00E75B8E">
              <w:t>"</w:t>
            </w:r>
            <w:r w:rsidRPr="00741B7C">
              <w:t xml:space="preserve">Par </w:t>
            </w:r>
            <w:r w:rsidR="00E75B8E">
              <w:t>"</w:t>
            </w:r>
            <w:r w:rsidRPr="00741B7C">
              <w:t>Koncepciju par normatīvo aktu sakārtošanu saistībā ar eiro ieviešanu Latvijā</w:t>
            </w:r>
            <w:r w:rsidR="004A14F7">
              <w:t>"</w:t>
            </w:r>
            <w:r w:rsidR="00A84C9B">
              <w:t>"</w:t>
            </w:r>
            <w:r w:rsidRPr="00741B7C">
              <w:t xml:space="preserve"> 7.1.apakšpunktu</w:t>
            </w:r>
            <w:r w:rsidR="00E55421">
              <w:t>, kā arī 3.pielikuma 317.punktu</w:t>
            </w:r>
          </w:p>
        </w:tc>
      </w:tr>
      <w:tr w:rsidR="00A96DE5" w:rsidRPr="00DE1B21" w14:paraId="05F91ECA" w14:textId="77777777" w:rsidTr="00A64EF6">
        <w:trPr>
          <w:trHeight w:val="472"/>
        </w:trPr>
        <w:tc>
          <w:tcPr>
            <w:tcW w:w="360" w:type="dxa"/>
          </w:tcPr>
          <w:p w14:paraId="05F91EC4" w14:textId="77777777" w:rsidR="00A96DE5" w:rsidRPr="00DE1B21" w:rsidRDefault="00A96DE5" w:rsidP="00E75B8E">
            <w:pPr>
              <w:pStyle w:val="naiskr"/>
              <w:spacing w:before="0" w:after="0"/>
            </w:pPr>
            <w:r w:rsidRPr="00DE1B21">
              <w:t>2.</w:t>
            </w:r>
          </w:p>
        </w:tc>
        <w:tc>
          <w:tcPr>
            <w:tcW w:w="2339" w:type="dxa"/>
          </w:tcPr>
          <w:p w14:paraId="05F91EC5" w14:textId="77777777" w:rsidR="00A96DE5" w:rsidRPr="00DE1B21" w:rsidRDefault="00A96DE5" w:rsidP="00E75B8E">
            <w:pPr>
              <w:pStyle w:val="naiskr"/>
              <w:tabs>
                <w:tab w:val="left" w:pos="170"/>
              </w:tabs>
              <w:spacing w:before="0" w:after="0"/>
            </w:pPr>
            <w:r w:rsidRPr="00DE1B21">
              <w:t>Pašreizējā situācija un problēmas</w:t>
            </w:r>
          </w:p>
        </w:tc>
        <w:tc>
          <w:tcPr>
            <w:tcW w:w="6666" w:type="dxa"/>
          </w:tcPr>
          <w:p w14:paraId="05F91EC6" w14:textId="093A1064" w:rsidR="00A96DE5" w:rsidRDefault="00A96DE5" w:rsidP="00E75B8E">
            <w:pPr>
              <w:pStyle w:val="naiskr"/>
              <w:spacing w:before="0" w:after="0"/>
              <w:ind w:right="81"/>
              <w:jc w:val="both"/>
            </w:pPr>
            <w:r w:rsidRPr="001E69A0">
              <w:t>Deklarācijas par Valda Dombrovska vadītā Ministru kabineta iecerēto darbību II sadaļas 1.punkts paredz, ka Latvija plāno iekļauties eiro zonā jau 2014.gadā.</w:t>
            </w:r>
            <w:r>
              <w:t xml:space="preserve"> Lai nodrošinātu efektīvu un caurskatāmu </w:t>
            </w:r>
            <w:r w:rsidRPr="00DC5726">
              <w:rPr>
                <w:i/>
              </w:rPr>
              <w:t>euro</w:t>
            </w:r>
            <w:r>
              <w:t xml:space="preserve"> ieviešanu Latvijas Republikā</w:t>
            </w:r>
            <w:r w:rsidR="00A84C9B">
              <w:t>,</w:t>
            </w:r>
            <w:r>
              <w:t xml:space="preserve"> nepieciešams sakārtot normatīvo bāzi, tai skaitā pielāgot </w:t>
            </w:r>
            <w:r w:rsidRPr="00B704D2">
              <w:t>Ministru kabineta noteikumu</w:t>
            </w:r>
            <w:r>
              <w:t xml:space="preserve">s </w:t>
            </w:r>
            <w:r w:rsidRPr="00DC5726">
              <w:rPr>
                <w:i/>
              </w:rPr>
              <w:t>euro</w:t>
            </w:r>
            <w:r w:rsidRPr="00B704D2">
              <w:t xml:space="preserve"> ieviešanai</w:t>
            </w:r>
            <w:r>
              <w:t>.</w:t>
            </w:r>
          </w:p>
          <w:p w14:paraId="05F91EC7" w14:textId="5346EAC0" w:rsidR="00A96DE5" w:rsidRPr="00741B7C" w:rsidRDefault="00A453D7" w:rsidP="00E75B8E">
            <w:pPr>
              <w:pStyle w:val="naiskr"/>
              <w:spacing w:before="0" w:after="0"/>
              <w:ind w:right="81"/>
              <w:jc w:val="both"/>
            </w:pPr>
            <w:r>
              <w:t>S</w:t>
            </w:r>
            <w:r w:rsidR="00A96DE5">
              <w:t>askaņā ar</w:t>
            </w:r>
            <w:r w:rsidR="00A96DE5" w:rsidRPr="00741B7C">
              <w:t xml:space="preserve"> Ministru kabineta 2012.gada 27.jūnija rīkojumu Nr.282 </w:t>
            </w:r>
            <w:r w:rsidR="00E75B8E">
              <w:t>"</w:t>
            </w:r>
            <w:r w:rsidR="00A96DE5" w:rsidRPr="00741B7C">
              <w:t xml:space="preserve">Par </w:t>
            </w:r>
            <w:r w:rsidR="004A14F7">
              <w:t>"</w:t>
            </w:r>
            <w:bookmarkStart w:id="0" w:name="_GoBack"/>
            <w:r w:rsidR="00A96DE5" w:rsidRPr="00741B7C">
              <w:t>Koncepcij</w:t>
            </w:r>
            <w:bookmarkEnd w:id="0"/>
            <w:r w:rsidR="00A96DE5" w:rsidRPr="00741B7C">
              <w:t>u par normatīvo aktu sakārtošanu saistībā ar eiro ieviešanu Latvijā</w:t>
            </w:r>
            <w:r>
              <w:t>"</w:t>
            </w:r>
            <w:r w:rsidR="004A14F7">
              <w:t>"</w:t>
            </w:r>
            <w:r w:rsidRPr="00741B7C">
              <w:t xml:space="preserve"> līdz 2014.gada 1.janvārim </w:t>
            </w:r>
            <w:r w:rsidR="00A96DE5" w:rsidRPr="00741B7C">
              <w:t xml:space="preserve">paredzēts grozīt Ministru kabineta noteikumus, kas ir būtiski tiesiskās noteiktības nodrošināšanai un ērtai pārejai uz </w:t>
            </w:r>
            <w:r w:rsidR="00A96DE5" w:rsidRPr="00DC5726">
              <w:rPr>
                <w:i/>
              </w:rPr>
              <w:t xml:space="preserve">euro </w:t>
            </w:r>
            <w:r w:rsidR="00A96DE5" w:rsidRPr="00741B7C">
              <w:t xml:space="preserve">(normatīvos aktus, kuros minētas latos izteiktas naudas summas, kas jākonvertē uz </w:t>
            </w:r>
            <w:r w:rsidR="00A96DE5" w:rsidRPr="00DC5726">
              <w:rPr>
                <w:i/>
              </w:rPr>
              <w:t>euro</w:t>
            </w:r>
            <w:r w:rsidR="00A96DE5" w:rsidRPr="00741B7C">
              <w:t>). Līdz ar to ministrijām atbilstoši to kompetencei nepieciešams sagatavot Ministru kabineta noteikumu, rīkojumu, instrukciju un ieteikumu projektus, kas ir būtiski tiesiskās noteiktības nodrošināšanai, un līdz 2013.gada 1.oktobrim iesniegt tos noteiktā kārtībā apstiprināšanai Ministru kabinetā.</w:t>
            </w:r>
          </w:p>
          <w:p w14:paraId="05F91EC8" w14:textId="2FFDA0CD" w:rsidR="00A96DE5" w:rsidRPr="00741B7C" w:rsidRDefault="00A96DE5" w:rsidP="00E75B8E">
            <w:pPr>
              <w:pStyle w:val="naiskr"/>
              <w:spacing w:before="0" w:after="0"/>
              <w:ind w:right="81"/>
              <w:jc w:val="both"/>
            </w:pPr>
            <w:r w:rsidRPr="00741B7C">
              <w:t xml:space="preserve">Ministru kabineta 2008.gada 25.novembra noteikumos </w:t>
            </w:r>
            <w:r>
              <w:t>963. </w:t>
            </w:r>
            <w:r w:rsidR="00E75B8E">
              <w:t>"</w:t>
            </w:r>
            <w:r>
              <w:t xml:space="preserve">Noteikumi par darbības programmas </w:t>
            </w:r>
            <w:r w:rsidR="00E75B8E">
              <w:t>"</w:t>
            </w:r>
            <w:r>
              <w:t>Cilvēkresursi un nodarbinātība</w:t>
            </w:r>
            <w:r w:rsidR="00E75B8E">
              <w:t>"</w:t>
            </w:r>
            <w:r>
              <w:t xml:space="preserve"> papildinājuma 1.5.2.2.2.apakšaktivitāti </w:t>
            </w:r>
            <w:r w:rsidR="00E75B8E">
              <w:t>"</w:t>
            </w:r>
            <w:r>
              <w:t>Nevalstisko organizāciju administra</w:t>
            </w:r>
            <w:r w:rsidR="00DC5726">
              <w:t>tīvās kapacitātes stiprināšana</w:t>
            </w:r>
            <w:r w:rsidR="00E75B8E">
              <w:t>""</w:t>
            </w:r>
            <w:r>
              <w:t xml:space="preserve"> </w:t>
            </w:r>
            <w:r w:rsidRPr="00741B7C">
              <w:t xml:space="preserve">(turpmāk </w:t>
            </w:r>
            <w:r w:rsidR="00A453D7">
              <w:t>–</w:t>
            </w:r>
            <w:r w:rsidRPr="00741B7C">
              <w:t xml:space="preserve"> M</w:t>
            </w:r>
            <w:r w:rsidR="00A453D7">
              <w:t>K noteikumi Nr.</w:t>
            </w:r>
            <w:r w:rsidRPr="00741B7C">
              <w:t>963) ietver normas, kur naudas summas noteiktas latos.</w:t>
            </w:r>
          </w:p>
          <w:p w14:paraId="05F91EC9" w14:textId="709BB71F" w:rsidR="00A96DE5" w:rsidRPr="00DE1B21" w:rsidRDefault="00A96DE5" w:rsidP="00A453D7">
            <w:pPr>
              <w:pStyle w:val="naiskr"/>
              <w:spacing w:before="0" w:after="0"/>
              <w:ind w:right="81"/>
              <w:jc w:val="both"/>
            </w:pPr>
            <w:r w:rsidRPr="00741B7C">
              <w:t xml:space="preserve">Līdz ar to nepieciešams, ņemot vērā </w:t>
            </w:r>
            <w:r w:rsidR="00781E04" w:rsidRPr="009D2218">
              <w:t>Eiropas Savienības Padomes apstiprināto</w:t>
            </w:r>
            <w:r w:rsidR="00781E04" w:rsidRPr="00A52F57">
              <w:rPr>
                <w:szCs w:val="28"/>
              </w:rPr>
              <w:t xml:space="preserve"> </w:t>
            </w:r>
            <w:r w:rsidRPr="00741B7C">
              <w:t xml:space="preserve">oficiālo maiņas kursu (1 </w:t>
            </w:r>
            <w:r w:rsidRPr="006870F5">
              <w:rPr>
                <w:i/>
              </w:rPr>
              <w:t>euro</w:t>
            </w:r>
            <w:r w:rsidRPr="00741B7C">
              <w:t xml:space="preserve"> ir 0</w:t>
            </w:r>
            <w:r w:rsidR="00A453D7">
              <w:t>,</w:t>
            </w:r>
            <w:r w:rsidRPr="00741B7C">
              <w:t xml:space="preserve">702804 lats), izteikt </w:t>
            </w:r>
            <w:r w:rsidRPr="006870F5">
              <w:rPr>
                <w:i/>
              </w:rPr>
              <w:t>euro</w:t>
            </w:r>
            <w:r w:rsidRPr="00741B7C">
              <w:t xml:space="preserve"> tās summa</w:t>
            </w:r>
            <w:r w:rsidR="00A453D7">
              <w:t>s, kas šobrīd MK noteikumos Nr.</w:t>
            </w:r>
            <w:r w:rsidRPr="00741B7C">
              <w:t xml:space="preserve">963 ir noteiktas latos, kā arī veikt ar </w:t>
            </w:r>
            <w:r w:rsidRPr="006870F5">
              <w:rPr>
                <w:i/>
              </w:rPr>
              <w:t>euro</w:t>
            </w:r>
            <w:r w:rsidRPr="00741B7C">
              <w:t xml:space="preserve"> ieviešanu s</w:t>
            </w:r>
            <w:r w:rsidR="00E55421">
              <w:t>aistītos tehniskos precizējumus</w:t>
            </w:r>
          </w:p>
        </w:tc>
      </w:tr>
      <w:tr w:rsidR="00A96DE5" w:rsidRPr="00DE1B21" w14:paraId="05F91ECE" w14:textId="77777777" w:rsidTr="00A64EF6">
        <w:trPr>
          <w:trHeight w:val="545"/>
        </w:trPr>
        <w:tc>
          <w:tcPr>
            <w:tcW w:w="360" w:type="dxa"/>
          </w:tcPr>
          <w:p w14:paraId="05F91ECB" w14:textId="77777777" w:rsidR="00A96DE5" w:rsidRPr="00DE1B21" w:rsidRDefault="00A96DE5" w:rsidP="00E75B8E">
            <w:pPr>
              <w:pStyle w:val="naiskr"/>
              <w:spacing w:before="0" w:after="0"/>
            </w:pPr>
            <w:r w:rsidRPr="00DE1B21">
              <w:t>3.</w:t>
            </w:r>
          </w:p>
        </w:tc>
        <w:tc>
          <w:tcPr>
            <w:tcW w:w="2339" w:type="dxa"/>
          </w:tcPr>
          <w:p w14:paraId="05F91ECC" w14:textId="77777777" w:rsidR="00A96DE5" w:rsidRPr="00DE1B21" w:rsidRDefault="00A96DE5" w:rsidP="00E75B8E">
            <w:pPr>
              <w:pStyle w:val="naiskr"/>
              <w:spacing w:before="0" w:after="0"/>
            </w:pPr>
            <w:r w:rsidRPr="00DE1B21">
              <w:t>Saistītie politikas ietekmes novērtējumi un pētījumi</w:t>
            </w:r>
          </w:p>
        </w:tc>
        <w:tc>
          <w:tcPr>
            <w:tcW w:w="6666" w:type="dxa"/>
          </w:tcPr>
          <w:p w14:paraId="05F91ECD" w14:textId="77777777" w:rsidR="00A96DE5" w:rsidRPr="00741B7C" w:rsidRDefault="00A96DE5" w:rsidP="00E75B8E">
            <w:pPr>
              <w:pStyle w:val="naiskr"/>
              <w:spacing w:before="0" w:after="0"/>
              <w:ind w:right="81"/>
              <w:jc w:val="both"/>
            </w:pPr>
            <w:r>
              <w:t>Nav attiecināms</w:t>
            </w:r>
          </w:p>
        </w:tc>
      </w:tr>
      <w:tr w:rsidR="00A96DE5" w:rsidRPr="00DE1B21" w14:paraId="05F91F04" w14:textId="77777777" w:rsidTr="00A64EF6">
        <w:trPr>
          <w:trHeight w:val="384"/>
        </w:trPr>
        <w:tc>
          <w:tcPr>
            <w:tcW w:w="360" w:type="dxa"/>
          </w:tcPr>
          <w:p w14:paraId="05F91ECF" w14:textId="77777777" w:rsidR="00A96DE5" w:rsidRPr="00DE1B21" w:rsidRDefault="00A96DE5" w:rsidP="00E75B8E">
            <w:pPr>
              <w:pStyle w:val="naiskr"/>
              <w:spacing w:before="0" w:after="0"/>
            </w:pPr>
            <w:r w:rsidRPr="00DE1B21">
              <w:lastRenderedPageBreak/>
              <w:t>4.</w:t>
            </w:r>
          </w:p>
        </w:tc>
        <w:tc>
          <w:tcPr>
            <w:tcW w:w="2339" w:type="dxa"/>
          </w:tcPr>
          <w:p w14:paraId="05F91ED0" w14:textId="77777777" w:rsidR="00A96DE5" w:rsidRPr="00DE1B21" w:rsidRDefault="00A96DE5" w:rsidP="00E75B8E">
            <w:pPr>
              <w:pStyle w:val="naiskr"/>
              <w:spacing w:before="0" w:after="0"/>
            </w:pPr>
            <w:r w:rsidRPr="00DE1B21">
              <w:t>Tiesiskā regulējuma mērķis un būtība</w:t>
            </w:r>
          </w:p>
        </w:tc>
        <w:tc>
          <w:tcPr>
            <w:tcW w:w="6666" w:type="dxa"/>
          </w:tcPr>
          <w:p w14:paraId="05F91ED1" w14:textId="20CD25B6" w:rsidR="00A96DE5" w:rsidRDefault="00A96DE5" w:rsidP="00E75B8E">
            <w:pPr>
              <w:pStyle w:val="naiskr"/>
              <w:spacing w:before="0" w:after="0"/>
              <w:ind w:right="81"/>
              <w:jc w:val="both"/>
            </w:pPr>
            <w:r w:rsidRPr="00756EBE">
              <w:t xml:space="preserve">MK noteikumu projekta </w:t>
            </w:r>
            <w:r w:rsidRPr="002606F0">
              <w:t xml:space="preserve">mērķis ir </w:t>
            </w:r>
            <w:r w:rsidRPr="005525C8">
              <w:rPr>
                <w:i/>
              </w:rPr>
              <w:t>euro</w:t>
            </w:r>
            <w:r>
              <w:t xml:space="preserve"> ieviešanas dienā</w:t>
            </w:r>
            <w:r w:rsidRPr="002606F0">
              <w:t xml:space="preserve"> MK noteikumos Nr.</w:t>
            </w:r>
            <w:r>
              <w:t>963</w:t>
            </w:r>
            <w:r w:rsidRPr="002606F0">
              <w:t xml:space="preserve">, ņemot vērā oficiālo maiņas kursu, izteikt </w:t>
            </w:r>
            <w:r w:rsidRPr="002606F0">
              <w:rPr>
                <w:i/>
              </w:rPr>
              <w:t>euro</w:t>
            </w:r>
            <w:r w:rsidRPr="002606F0">
              <w:t xml:space="preserve"> tās summas, kas šobrīd ir noteiktas latos</w:t>
            </w:r>
            <w:r>
              <w:t xml:space="preserve"> un ir saistošas finansējuma saņēmējiem</w:t>
            </w:r>
            <w:r w:rsidRPr="002606F0">
              <w:t>.</w:t>
            </w:r>
          </w:p>
          <w:p w14:paraId="05F91ED2" w14:textId="77777777" w:rsidR="00A96DE5" w:rsidRDefault="00A96DE5" w:rsidP="00E75B8E">
            <w:pPr>
              <w:pStyle w:val="naiskr"/>
              <w:spacing w:before="0" w:after="0"/>
              <w:ind w:right="81"/>
              <w:jc w:val="both"/>
              <w:rPr>
                <w:sz w:val="23"/>
                <w:szCs w:val="23"/>
                <w:lang w:eastAsia="ru-RU"/>
              </w:rPr>
            </w:pPr>
          </w:p>
          <w:p w14:paraId="05F91ED3" w14:textId="2C21B196" w:rsidR="00A96DE5" w:rsidRDefault="00A96DE5" w:rsidP="00E75B8E">
            <w:pPr>
              <w:jc w:val="both"/>
              <w:rPr>
                <w:sz w:val="23"/>
                <w:szCs w:val="23"/>
                <w:lang w:eastAsia="ru-RU"/>
              </w:rPr>
            </w:pPr>
            <w:r>
              <w:rPr>
                <w:sz w:val="23"/>
                <w:szCs w:val="23"/>
                <w:lang w:eastAsia="ru-RU"/>
              </w:rPr>
              <w:t xml:space="preserve">1. </w:t>
            </w:r>
            <w:r w:rsidRPr="00756EBE">
              <w:rPr>
                <w:sz w:val="23"/>
                <w:szCs w:val="23"/>
                <w:lang w:eastAsia="ru-RU"/>
              </w:rPr>
              <w:t>Ņ</w:t>
            </w:r>
            <w:r w:rsidR="00A453D7">
              <w:rPr>
                <w:sz w:val="23"/>
                <w:szCs w:val="23"/>
                <w:lang w:eastAsia="ru-RU"/>
              </w:rPr>
              <w:t>emot vērā oficiālo maiņas kursu</w:t>
            </w:r>
            <w:r w:rsidRPr="00756EBE">
              <w:rPr>
                <w:sz w:val="23"/>
                <w:szCs w:val="23"/>
                <w:lang w:eastAsia="ru-RU"/>
              </w:rPr>
              <w:t xml:space="preserve"> </w:t>
            </w:r>
            <w:r w:rsidR="00A453D7" w:rsidRPr="00741B7C">
              <w:t xml:space="preserve">(1 </w:t>
            </w:r>
            <w:r w:rsidR="00A453D7" w:rsidRPr="006870F5">
              <w:rPr>
                <w:i/>
              </w:rPr>
              <w:t>euro</w:t>
            </w:r>
            <w:r w:rsidR="00A453D7" w:rsidRPr="00741B7C">
              <w:t xml:space="preserve"> ir 0</w:t>
            </w:r>
            <w:r w:rsidR="00A453D7">
              <w:t>,</w:t>
            </w:r>
            <w:r w:rsidR="00A453D7" w:rsidRPr="00741B7C">
              <w:t>702804 lats)</w:t>
            </w:r>
            <w:r w:rsidRPr="00756EBE">
              <w:rPr>
                <w:sz w:val="23"/>
                <w:szCs w:val="23"/>
                <w:lang w:eastAsia="ru-RU"/>
              </w:rPr>
              <w:t xml:space="preserve">, tās summas, kas šobrīd ir noteiktas latos, tiek izteiktas </w:t>
            </w:r>
            <w:r w:rsidRPr="00AD1BDF">
              <w:rPr>
                <w:i/>
                <w:sz w:val="23"/>
                <w:szCs w:val="23"/>
                <w:lang w:eastAsia="ru-RU"/>
              </w:rPr>
              <w:t>euro</w:t>
            </w:r>
            <w:r w:rsidRPr="00756EBE">
              <w:rPr>
                <w:sz w:val="23"/>
                <w:szCs w:val="23"/>
                <w:lang w:eastAsia="ru-RU"/>
              </w:rPr>
              <w:t xml:space="preserve">. </w:t>
            </w:r>
          </w:p>
          <w:p w14:paraId="05F91ED4" w14:textId="77777777" w:rsidR="00A96DE5" w:rsidRDefault="00A96DE5" w:rsidP="00E75B8E">
            <w:pPr>
              <w:jc w:val="both"/>
              <w:rPr>
                <w:sz w:val="23"/>
                <w:szCs w:val="23"/>
                <w:lang w:eastAsia="ru-RU"/>
              </w:rPr>
            </w:pPr>
            <w:r w:rsidRPr="00756EBE">
              <w:rPr>
                <w:sz w:val="23"/>
                <w:szCs w:val="23"/>
                <w:lang w:eastAsia="ru-RU"/>
              </w:rPr>
              <w:t>Summas latos tiek dalītas ar 0,702804</w:t>
            </w:r>
            <w:r>
              <w:rPr>
                <w:sz w:val="23"/>
                <w:szCs w:val="23"/>
                <w:lang w:eastAsia="ru-RU"/>
              </w:rPr>
              <w:t>.</w:t>
            </w:r>
          </w:p>
          <w:p w14:paraId="05F91ED5" w14:textId="77777777" w:rsidR="00A96DE5" w:rsidRDefault="00A96DE5" w:rsidP="00E75B8E">
            <w:pPr>
              <w:pStyle w:val="naisf"/>
              <w:spacing w:before="0" w:after="0"/>
              <w:ind w:right="146"/>
              <w:rPr>
                <w:sz w:val="28"/>
                <w:szCs w:val="28"/>
              </w:rPr>
            </w:pPr>
          </w:p>
          <w:p w14:paraId="05F91ED6" w14:textId="77777777" w:rsidR="003565A0" w:rsidRPr="00930A39" w:rsidRDefault="003565A0" w:rsidP="00E75B8E">
            <w:pPr>
              <w:rPr>
                <w:sz w:val="23"/>
                <w:szCs w:val="23"/>
                <w:u w:val="single"/>
                <w:lang w:eastAsia="ru-RU"/>
              </w:rPr>
            </w:pPr>
            <w:r w:rsidRPr="00930A39">
              <w:rPr>
                <w:sz w:val="23"/>
                <w:szCs w:val="23"/>
                <w:u w:val="single"/>
                <w:lang w:eastAsia="ru-RU"/>
              </w:rPr>
              <w:t>Summu aprēķins MK noteikumu projekta 1.1.apakšpunktā:</w:t>
            </w:r>
          </w:p>
          <w:p w14:paraId="05F91ED7" w14:textId="77777777" w:rsidR="007A4AF1" w:rsidRPr="00930A39" w:rsidRDefault="007A4AF1" w:rsidP="00E75B8E">
            <w:pPr>
              <w:rPr>
                <w:color w:val="000000"/>
                <w:sz w:val="22"/>
                <w:szCs w:val="22"/>
              </w:rPr>
            </w:pPr>
            <w:r w:rsidRPr="00930A39">
              <w:rPr>
                <w:color w:val="000000"/>
                <w:sz w:val="22"/>
                <w:szCs w:val="22"/>
              </w:rPr>
              <w:t>781 084</w:t>
            </w:r>
            <w:r w:rsidRPr="00930A39">
              <w:rPr>
                <w:sz w:val="23"/>
                <w:szCs w:val="23"/>
                <w:lang w:eastAsia="ru-RU"/>
              </w:rPr>
              <w:t xml:space="preserve"> LVL / 0,702804</w:t>
            </w:r>
            <w:r w:rsidR="002F6F0B" w:rsidRPr="00930A39">
              <w:rPr>
                <w:sz w:val="23"/>
                <w:szCs w:val="23"/>
                <w:lang w:eastAsia="ru-RU"/>
              </w:rPr>
              <w:t xml:space="preserve"> </w:t>
            </w:r>
            <w:r w:rsidRPr="00930A39">
              <w:rPr>
                <w:sz w:val="23"/>
                <w:szCs w:val="23"/>
                <w:lang w:eastAsia="ru-RU"/>
              </w:rPr>
              <w:t>=</w:t>
            </w:r>
            <w:r w:rsidRPr="00930A39">
              <w:t xml:space="preserve"> </w:t>
            </w:r>
            <w:r w:rsidRPr="00930A39">
              <w:rPr>
                <w:sz w:val="23"/>
                <w:szCs w:val="23"/>
                <w:lang w:eastAsia="ru-RU"/>
              </w:rPr>
              <w:t>1 111 382,405336 EUR</w:t>
            </w:r>
          </w:p>
          <w:p w14:paraId="05F91ED8" w14:textId="30BB6BE1" w:rsidR="007A4AF1" w:rsidRPr="00930A39" w:rsidRDefault="007A4AF1" w:rsidP="00E75B8E">
            <w:pPr>
              <w:rPr>
                <w:sz w:val="23"/>
                <w:szCs w:val="23"/>
                <w:lang w:eastAsia="ru-RU"/>
              </w:rPr>
            </w:pPr>
            <w:r w:rsidRPr="00930A39">
              <w:rPr>
                <w:sz w:val="23"/>
                <w:szCs w:val="23"/>
                <w:lang w:eastAsia="ru-RU"/>
              </w:rPr>
              <w:t xml:space="preserve">Saskaņā ar </w:t>
            </w:r>
            <w:proofErr w:type="spellStart"/>
            <w:r w:rsidRPr="00930A39">
              <w:rPr>
                <w:i/>
                <w:sz w:val="23"/>
                <w:szCs w:val="23"/>
                <w:lang w:eastAsia="ru-RU"/>
              </w:rPr>
              <w:t>Euro</w:t>
            </w:r>
            <w:proofErr w:type="spellEnd"/>
            <w:r w:rsidRPr="00930A39">
              <w:rPr>
                <w:sz w:val="23"/>
                <w:szCs w:val="23"/>
                <w:lang w:eastAsia="ru-RU"/>
              </w:rPr>
              <w:t xml:space="preserve"> ieviešanas kārtības likuma </w:t>
            </w:r>
            <w:r w:rsidR="003976EE" w:rsidRPr="00930A39">
              <w:rPr>
                <w:sz w:val="23"/>
                <w:szCs w:val="23"/>
                <w:lang w:eastAsia="ru-RU"/>
              </w:rPr>
              <w:t>32</w:t>
            </w:r>
            <w:r w:rsidR="00A64EF6">
              <w:rPr>
                <w:sz w:val="23"/>
                <w:szCs w:val="23"/>
                <w:lang w:eastAsia="ru-RU"/>
              </w:rPr>
              <w:t>.</w:t>
            </w:r>
            <w:r w:rsidRPr="00930A39">
              <w:rPr>
                <w:sz w:val="23"/>
                <w:szCs w:val="23"/>
                <w:lang w:eastAsia="ru-RU"/>
              </w:rPr>
              <w:t>pantu summa noapaļota</w:t>
            </w:r>
            <w:r w:rsidR="00E43726" w:rsidRPr="00930A39">
              <w:rPr>
                <w:sz w:val="23"/>
                <w:szCs w:val="23"/>
                <w:lang w:eastAsia="ru-RU"/>
              </w:rPr>
              <w:t xml:space="preserve"> privātpersonai par labu līdz veseliem eiro</w:t>
            </w:r>
            <w:r w:rsidRPr="00930A39">
              <w:rPr>
                <w:sz w:val="23"/>
                <w:szCs w:val="23"/>
                <w:lang w:eastAsia="ru-RU"/>
              </w:rPr>
              <w:t>:</w:t>
            </w:r>
          </w:p>
          <w:p w14:paraId="05F91ED9" w14:textId="77777777" w:rsidR="007A4AF1" w:rsidRPr="00F35D3D" w:rsidRDefault="007A4AF1" w:rsidP="00E75B8E">
            <w:pPr>
              <w:rPr>
                <w:sz w:val="23"/>
                <w:szCs w:val="23"/>
                <w:lang w:eastAsia="ru-RU"/>
              </w:rPr>
            </w:pPr>
            <w:r w:rsidRPr="00930A39">
              <w:rPr>
                <w:color w:val="000000"/>
                <w:sz w:val="22"/>
                <w:szCs w:val="22"/>
              </w:rPr>
              <w:t xml:space="preserve">1 111 382,405336 </w:t>
            </w:r>
            <w:r w:rsidRPr="00930A39">
              <w:rPr>
                <w:sz w:val="23"/>
                <w:szCs w:val="23"/>
                <w:lang w:eastAsia="ru-RU"/>
              </w:rPr>
              <w:t xml:space="preserve">= </w:t>
            </w:r>
            <w:r w:rsidRPr="00930A39">
              <w:rPr>
                <w:color w:val="000000"/>
                <w:sz w:val="22"/>
                <w:szCs w:val="22"/>
                <w:u w:val="single"/>
              </w:rPr>
              <w:t>1 111</w:t>
            </w:r>
            <w:r w:rsidR="00A24190" w:rsidRPr="00930A39">
              <w:rPr>
                <w:color w:val="000000"/>
                <w:sz w:val="22"/>
                <w:szCs w:val="22"/>
                <w:u w:val="single"/>
              </w:rPr>
              <w:t> </w:t>
            </w:r>
            <w:r w:rsidR="00E43726" w:rsidRPr="00930A39">
              <w:rPr>
                <w:color w:val="000000"/>
                <w:sz w:val="22"/>
                <w:szCs w:val="22"/>
                <w:u w:val="single"/>
              </w:rPr>
              <w:t>383</w:t>
            </w:r>
          </w:p>
          <w:p w14:paraId="05F91EDA" w14:textId="77777777" w:rsidR="003565A0" w:rsidRDefault="003565A0" w:rsidP="00E75B8E">
            <w:pPr>
              <w:pStyle w:val="naisf"/>
              <w:spacing w:before="0" w:after="0"/>
              <w:ind w:right="146" w:firstLine="0"/>
              <w:rPr>
                <w:sz w:val="28"/>
                <w:szCs w:val="28"/>
              </w:rPr>
            </w:pPr>
          </w:p>
          <w:p w14:paraId="05F91EDB" w14:textId="77777777" w:rsidR="00A24190" w:rsidRPr="00756EBE" w:rsidRDefault="00A24190" w:rsidP="00E75B8E">
            <w:pPr>
              <w:rPr>
                <w:sz w:val="23"/>
                <w:szCs w:val="23"/>
                <w:u w:val="single"/>
                <w:lang w:eastAsia="ru-RU"/>
              </w:rPr>
            </w:pPr>
            <w:r w:rsidRPr="00756EBE">
              <w:rPr>
                <w:sz w:val="23"/>
                <w:szCs w:val="23"/>
                <w:u w:val="single"/>
                <w:lang w:eastAsia="ru-RU"/>
              </w:rPr>
              <w:t>Summu aprēķins MK noteikumu projekta 1</w:t>
            </w:r>
            <w:r>
              <w:rPr>
                <w:sz w:val="23"/>
                <w:szCs w:val="23"/>
                <w:u w:val="single"/>
                <w:lang w:eastAsia="ru-RU"/>
              </w:rPr>
              <w:t>.2.apakš</w:t>
            </w:r>
            <w:r w:rsidRPr="00756EBE">
              <w:rPr>
                <w:sz w:val="23"/>
                <w:szCs w:val="23"/>
                <w:u w:val="single"/>
                <w:lang w:eastAsia="ru-RU"/>
              </w:rPr>
              <w:t>punktā:</w:t>
            </w:r>
          </w:p>
          <w:p w14:paraId="05F91EDC" w14:textId="77777777" w:rsidR="007A4AF1" w:rsidRPr="00CC60B8" w:rsidRDefault="007A4AF1" w:rsidP="00E75B8E">
            <w:pPr>
              <w:rPr>
                <w:color w:val="000000"/>
                <w:sz w:val="22"/>
                <w:szCs w:val="22"/>
              </w:rPr>
            </w:pPr>
            <w:r w:rsidRPr="007A4AF1">
              <w:rPr>
                <w:color w:val="000000"/>
                <w:sz w:val="22"/>
                <w:szCs w:val="22"/>
              </w:rPr>
              <w:t>2 584 206,00</w:t>
            </w:r>
            <w:r>
              <w:rPr>
                <w:color w:val="000000"/>
                <w:sz w:val="22"/>
                <w:szCs w:val="22"/>
              </w:rPr>
              <w:t xml:space="preserve"> </w:t>
            </w:r>
            <w:r w:rsidRPr="00756EBE">
              <w:rPr>
                <w:sz w:val="23"/>
                <w:szCs w:val="23"/>
                <w:lang w:eastAsia="ru-RU"/>
              </w:rPr>
              <w:t xml:space="preserve">LVL </w:t>
            </w:r>
            <w:r>
              <w:rPr>
                <w:sz w:val="23"/>
                <w:szCs w:val="23"/>
                <w:lang w:eastAsia="ru-RU"/>
              </w:rPr>
              <w:t>/</w:t>
            </w:r>
            <w:r w:rsidRPr="00756EBE">
              <w:rPr>
                <w:sz w:val="23"/>
                <w:szCs w:val="23"/>
                <w:lang w:eastAsia="ru-RU"/>
              </w:rPr>
              <w:t xml:space="preserve"> 0,702804</w:t>
            </w:r>
            <w:r>
              <w:rPr>
                <w:sz w:val="23"/>
                <w:szCs w:val="23"/>
                <w:lang w:eastAsia="ru-RU"/>
              </w:rPr>
              <w:t>=</w:t>
            </w:r>
            <w:r>
              <w:t xml:space="preserve"> </w:t>
            </w:r>
            <w:r w:rsidRPr="007A4AF1">
              <w:rPr>
                <w:sz w:val="23"/>
                <w:szCs w:val="23"/>
                <w:lang w:eastAsia="ru-RU"/>
              </w:rPr>
              <w:t>3 676 993,870268</w:t>
            </w:r>
            <w:r w:rsidR="00741B7C">
              <w:rPr>
                <w:sz w:val="23"/>
                <w:szCs w:val="23"/>
                <w:lang w:eastAsia="ru-RU"/>
              </w:rPr>
              <w:t xml:space="preserve"> </w:t>
            </w:r>
            <w:r w:rsidRPr="00756EBE">
              <w:rPr>
                <w:sz w:val="23"/>
                <w:szCs w:val="23"/>
                <w:lang w:eastAsia="ru-RU"/>
              </w:rPr>
              <w:t>EUR</w:t>
            </w:r>
          </w:p>
          <w:p w14:paraId="05F91EDD" w14:textId="2DB9B6A1" w:rsidR="007A4AF1" w:rsidRPr="002606F0" w:rsidRDefault="007A4AF1" w:rsidP="00E75B8E">
            <w:pPr>
              <w:rPr>
                <w:sz w:val="23"/>
                <w:szCs w:val="23"/>
                <w:lang w:eastAsia="ru-RU"/>
              </w:rPr>
            </w:pPr>
            <w:r w:rsidRPr="002606F0">
              <w:rPr>
                <w:sz w:val="23"/>
                <w:szCs w:val="23"/>
                <w:lang w:eastAsia="ru-RU"/>
              </w:rPr>
              <w:t xml:space="preserve">Saskaņā ar </w:t>
            </w:r>
            <w:proofErr w:type="spellStart"/>
            <w:r w:rsidRPr="00AD1BDF">
              <w:rPr>
                <w:i/>
                <w:sz w:val="23"/>
                <w:szCs w:val="23"/>
                <w:lang w:eastAsia="ru-RU"/>
              </w:rPr>
              <w:t>Euro</w:t>
            </w:r>
            <w:proofErr w:type="spellEnd"/>
            <w:r w:rsidRPr="002606F0">
              <w:rPr>
                <w:sz w:val="23"/>
                <w:szCs w:val="23"/>
                <w:lang w:eastAsia="ru-RU"/>
              </w:rPr>
              <w:t xml:space="preserve"> ieviešanas kārtības likuma </w:t>
            </w:r>
            <w:r w:rsidR="003976EE">
              <w:rPr>
                <w:sz w:val="23"/>
                <w:szCs w:val="23"/>
                <w:lang w:eastAsia="ru-RU"/>
              </w:rPr>
              <w:t>32</w:t>
            </w:r>
            <w:r w:rsidR="00A64EF6">
              <w:rPr>
                <w:sz w:val="23"/>
                <w:szCs w:val="23"/>
                <w:lang w:eastAsia="ru-RU"/>
              </w:rPr>
              <w:t>.</w:t>
            </w:r>
            <w:r>
              <w:rPr>
                <w:sz w:val="23"/>
                <w:szCs w:val="23"/>
                <w:lang w:eastAsia="ru-RU"/>
              </w:rPr>
              <w:t>pantu summa noapaļota</w:t>
            </w:r>
            <w:r w:rsidRPr="002606F0">
              <w:rPr>
                <w:sz w:val="23"/>
                <w:szCs w:val="23"/>
                <w:lang w:eastAsia="ru-RU"/>
              </w:rPr>
              <w:t>:</w:t>
            </w:r>
          </w:p>
          <w:p w14:paraId="05F91EDE" w14:textId="77777777" w:rsidR="007A4AF1" w:rsidRPr="007A4AF1" w:rsidRDefault="007A4AF1" w:rsidP="00E75B8E">
            <w:pPr>
              <w:rPr>
                <w:color w:val="000000"/>
                <w:sz w:val="22"/>
                <w:szCs w:val="22"/>
              </w:rPr>
            </w:pPr>
            <w:r w:rsidRPr="007A4AF1">
              <w:rPr>
                <w:color w:val="000000"/>
                <w:sz w:val="22"/>
                <w:szCs w:val="22"/>
              </w:rPr>
              <w:t>3 676 993,870268</w:t>
            </w:r>
            <w:r w:rsidR="002F6F0B">
              <w:rPr>
                <w:color w:val="000000"/>
                <w:sz w:val="22"/>
                <w:szCs w:val="22"/>
              </w:rPr>
              <w:t xml:space="preserve"> </w:t>
            </w:r>
            <w:r w:rsidRPr="002606F0">
              <w:rPr>
                <w:sz w:val="23"/>
                <w:szCs w:val="23"/>
                <w:lang w:eastAsia="ru-RU"/>
              </w:rPr>
              <w:t xml:space="preserve">= </w:t>
            </w:r>
            <w:r w:rsidRPr="00AD1BDF">
              <w:rPr>
                <w:color w:val="000000"/>
                <w:sz w:val="22"/>
                <w:szCs w:val="22"/>
                <w:u w:val="single"/>
              </w:rPr>
              <w:t>3 676 994</w:t>
            </w:r>
          </w:p>
          <w:p w14:paraId="05F91EDF" w14:textId="77777777" w:rsidR="007A4AF1" w:rsidRDefault="007A4AF1" w:rsidP="00E75B8E">
            <w:pPr>
              <w:pStyle w:val="naisf"/>
              <w:spacing w:before="0" w:after="0"/>
              <w:ind w:right="146" w:firstLine="0"/>
              <w:rPr>
                <w:sz w:val="28"/>
                <w:szCs w:val="28"/>
              </w:rPr>
            </w:pPr>
          </w:p>
          <w:p w14:paraId="05F91EE0" w14:textId="77777777" w:rsidR="007A4AF1" w:rsidRPr="00AF5047" w:rsidRDefault="007A4AF1" w:rsidP="00E75B8E">
            <w:pPr>
              <w:rPr>
                <w:sz w:val="22"/>
                <w:szCs w:val="22"/>
              </w:rPr>
            </w:pPr>
            <w:r w:rsidRPr="00AF5047">
              <w:rPr>
                <w:sz w:val="22"/>
                <w:szCs w:val="22"/>
              </w:rPr>
              <w:t>2 386 549,00</w:t>
            </w:r>
            <w:r w:rsidR="002F6F0B" w:rsidRPr="00AF5047">
              <w:rPr>
                <w:sz w:val="22"/>
                <w:szCs w:val="22"/>
              </w:rPr>
              <w:t xml:space="preserve"> </w:t>
            </w:r>
            <w:r w:rsidRPr="00AF5047">
              <w:rPr>
                <w:sz w:val="23"/>
                <w:szCs w:val="23"/>
                <w:lang w:eastAsia="ru-RU"/>
              </w:rPr>
              <w:t>LVL / 0,702804</w:t>
            </w:r>
            <w:r w:rsidR="002F6F0B" w:rsidRPr="00AF5047">
              <w:rPr>
                <w:sz w:val="23"/>
                <w:szCs w:val="23"/>
                <w:lang w:eastAsia="ru-RU"/>
              </w:rPr>
              <w:t xml:space="preserve"> </w:t>
            </w:r>
            <w:r w:rsidRPr="00AF5047">
              <w:rPr>
                <w:sz w:val="23"/>
                <w:szCs w:val="23"/>
                <w:lang w:eastAsia="ru-RU"/>
              </w:rPr>
              <w:t>=</w:t>
            </w:r>
            <w:r w:rsidRPr="00AF5047">
              <w:t xml:space="preserve"> </w:t>
            </w:r>
            <w:r w:rsidRPr="00AF5047">
              <w:rPr>
                <w:sz w:val="23"/>
                <w:szCs w:val="23"/>
                <w:lang w:eastAsia="ru-RU"/>
              </w:rPr>
              <w:t>3 676 993,870268 EUR</w:t>
            </w:r>
          </w:p>
          <w:p w14:paraId="05F91EE1" w14:textId="3E87BA92" w:rsidR="007A4AF1" w:rsidRPr="00AF5047" w:rsidRDefault="00AD1BDF" w:rsidP="00E75B8E">
            <w:pPr>
              <w:rPr>
                <w:sz w:val="23"/>
                <w:szCs w:val="23"/>
                <w:lang w:eastAsia="ru-RU"/>
              </w:rPr>
            </w:pPr>
            <w:r w:rsidRPr="00AF5047">
              <w:rPr>
                <w:sz w:val="23"/>
                <w:szCs w:val="23"/>
                <w:lang w:eastAsia="ru-RU"/>
              </w:rPr>
              <w:t xml:space="preserve">Saskaņā ar </w:t>
            </w:r>
            <w:proofErr w:type="spellStart"/>
            <w:r w:rsidRPr="00AF5047">
              <w:rPr>
                <w:i/>
                <w:sz w:val="23"/>
                <w:szCs w:val="23"/>
                <w:lang w:eastAsia="ru-RU"/>
              </w:rPr>
              <w:t>Euro</w:t>
            </w:r>
            <w:proofErr w:type="spellEnd"/>
            <w:r w:rsidRPr="00AF5047">
              <w:rPr>
                <w:sz w:val="23"/>
                <w:szCs w:val="23"/>
                <w:lang w:eastAsia="ru-RU"/>
              </w:rPr>
              <w:t xml:space="preserve"> ieviešanas kārtības likuma </w:t>
            </w:r>
            <w:r w:rsidR="003976EE" w:rsidRPr="00AF5047">
              <w:rPr>
                <w:sz w:val="23"/>
                <w:szCs w:val="23"/>
                <w:lang w:eastAsia="ru-RU"/>
              </w:rPr>
              <w:t>32</w:t>
            </w:r>
            <w:r w:rsidR="00A64EF6">
              <w:rPr>
                <w:sz w:val="23"/>
                <w:szCs w:val="23"/>
                <w:lang w:eastAsia="ru-RU"/>
              </w:rPr>
              <w:t>.</w:t>
            </w:r>
            <w:r w:rsidRPr="00AF5047">
              <w:rPr>
                <w:sz w:val="23"/>
                <w:szCs w:val="23"/>
                <w:lang w:eastAsia="ru-RU"/>
              </w:rPr>
              <w:t>pantu summa noapaļota:</w:t>
            </w:r>
          </w:p>
          <w:p w14:paraId="05F91EE2" w14:textId="77777777" w:rsidR="007A4AF1" w:rsidRPr="00AF5047" w:rsidRDefault="007A4AF1" w:rsidP="00E75B8E">
            <w:pPr>
              <w:rPr>
                <w:sz w:val="22"/>
                <w:szCs w:val="22"/>
              </w:rPr>
            </w:pPr>
            <w:r w:rsidRPr="00AF5047">
              <w:rPr>
                <w:sz w:val="22"/>
                <w:szCs w:val="22"/>
              </w:rPr>
              <w:t>3 395 753,296794</w:t>
            </w:r>
            <w:r w:rsidR="002F6F0B" w:rsidRPr="00AF5047">
              <w:rPr>
                <w:sz w:val="22"/>
                <w:szCs w:val="22"/>
              </w:rPr>
              <w:t xml:space="preserve"> </w:t>
            </w:r>
            <w:r w:rsidRPr="00AF5047">
              <w:rPr>
                <w:sz w:val="23"/>
                <w:szCs w:val="23"/>
                <w:lang w:eastAsia="ru-RU"/>
              </w:rPr>
              <w:t xml:space="preserve">= </w:t>
            </w:r>
            <w:r w:rsidRPr="00AF5047">
              <w:rPr>
                <w:sz w:val="22"/>
                <w:szCs w:val="22"/>
                <w:u w:val="single"/>
              </w:rPr>
              <w:t>3 395</w:t>
            </w:r>
            <w:r w:rsidR="000E3832" w:rsidRPr="00AF5047">
              <w:rPr>
                <w:sz w:val="22"/>
                <w:szCs w:val="22"/>
                <w:u w:val="single"/>
              </w:rPr>
              <w:t> </w:t>
            </w:r>
            <w:r w:rsidR="00E43726" w:rsidRPr="00AF5047">
              <w:rPr>
                <w:sz w:val="22"/>
                <w:szCs w:val="22"/>
                <w:u w:val="single"/>
              </w:rPr>
              <w:t>754</w:t>
            </w:r>
            <w:r w:rsidR="00E43726" w:rsidRPr="00AF5047">
              <w:rPr>
                <w:sz w:val="22"/>
                <w:szCs w:val="22"/>
              </w:rPr>
              <w:t>, taču veikta summas korekcija līdz 3 395 753, lai netiktu pārsniegta finansējuma kopsumma.</w:t>
            </w:r>
          </w:p>
          <w:p w14:paraId="05F91EE3" w14:textId="77777777" w:rsidR="007A4AF1" w:rsidRDefault="007A4AF1" w:rsidP="00E75B8E">
            <w:pPr>
              <w:pStyle w:val="naisf"/>
              <w:spacing w:before="0" w:after="0"/>
              <w:ind w:right="146" w:firstLine="0"/>
              <w:rPr>
                <w:sz w:val="28"/>
                <w:szCs w:val="28"/>
              </w:rPr>
            </w:pPr>
          </w:p>
          <w:p w14:paraId="05F91EE4" w14:textId="77777777" w:rsidR="000E3832" w:rsidRPr="00CC60B8" w:rsidRDefault="000E3832" w:rsidP="00E75B8E">
            <w:pPr>
              <w:rPr>
                <w:color w:val="000000"/>
                <w:sz w:val="22"/>
                <w:szCs w:val="22"/>
              </w:rPr>
            </w:pPr>
            <w:r w:rsidRPr="000E3832">
              <w:rPr>
                <w:color w:val="000000"/>
                <w:sz w:val="22"/>
                <w:szCs w:val="22"/>
              </w:rPr>
              <w:t>197 657,00</w:t>
            </w:r>
            <w:r w:rsidR="002F6F0B">
              <w:rPr>
                <w:color w:val="000000"/>
                <w:sz w:val="22"/>
                <w:szCs w:val="22"/>
              </w:rPr>
              <w:t xml:space="preserve"> </w:t>
            </w:r>
            <w:r w:rsidRPr="00756EBE">
              <w:rPr>
                <w:sz w:val="23"/>
                <w:szCs w:val="23"/>
                <w:lang w:eastAsia="ru-RU"/>
              </w:rPr>
              <w:t xml:space="preserve">LVL </w:t>
            </w:r>
            <w:r>
              <w:rPr>
                <w:sz w:val="23"/>
                <w:szCs w:val="23"/>
                <w:lang w:eastAsia="ru-RU"/>
              </w:rPr>
              <w:t>/</w:t>
            </w:r>
            <w:r w:rsidRPr="00756EBE">
              <w:rPr>
                <w:sz w:val="23"/>
                <w:szCs w:val="23"/>
                <w:lang w:eastAsia="ru-RU"/>
              </w:rPr>
              <w:t xml:space="preserve"> 0,702804</w:t>
            </w:r>
            <w:r>
              <w:rPr>
                <w:sz w:val="23"/>
                <w:szCs w:val="23"/>
                <w:lang w:eastAsia="ru-RU"/>
              </w:rPr>
              <w:t>=</w:t>
            </w:r>
            <w:r>
              <w:t xml:space="preserve"> </w:t>
            </w:r>
            <w:r w:rsidRPr="000E3832">
              <w:rPr>
                <w:sz w:val="23"/>
                <w:szCs w:val="23"/>
                <w:lang w:eastAsia="ru-RU"/>
              </w:rPr>
              <w:t>281 240,573474</w:t>
            </w:r>
            <w:r w:rsidRPr="00756EBE">
              <w:rPr>
                <w:sz w:val="23"/>
                <w:szCs w:val="23"/>
                <w:lang w:eastAsia="ru-RU"/>
              </w:rPr>
              <w:t>EUR</w:t>
            </w:r>
          </w:p>
          <w:p w14:paraId="05F91EE5" w14:textId="570AD9DB" w:rsidR="00CB5A4D" w:rsidRPr="002606F0" w:rsidRDefault="00CB5A4D" w:rsidP="00E75B8E">
            <w:pPr>
              <w:rPr>
                <w:sz w:val="23"/>
                <w:szCs w:val="23"/>
                <w:lang w:eastAsia="ru-RU"/>
              </w:rPr>
            </w:pPr>
            <w:r w:rsidRPr="002606F0">
              <w:rPr>
                <w:sz w:val="23"/>
                <w:szCs w:val="23"/>
                <w:lang w:eastAsia="ru-RU"/>
              </w:rPr>
              <w:t xml:space="preserve">Saskaņā ar </w:t>
            </w:r>
            <w:proofErr w:type="spellStart"/>
            <w:r w:rsidRPr="00AD1BDF">
              <w:rPr>
                <w:i/>
                <w:sz w:val="23"/>
                <w:szCs w:val="23"/>
                <w:lang w:eastAsia="ru-RU"/>
              </w:rPr>
              <w:t>Euro</w:t>
            </w:r>
            <w:proofErr w:type="spellEnd"/>
            <w:r w:rsidRPr="002606F0">
              <w:rPr>
                <w:sz w:val="23"/>
                <w:szCs w:val="23"/>
                <w:lang w:eastAsia="ru-RU"/>
              </w:rPr>
              <w:t xml:space="preserve"> ieviešanas kārtības likuma </w:t>
            </w:r>
            <w:r w:rsidR="001C2EF1">
              <w:rPr>
                <w:sz w:val="23"/>
                <w:szCs w:val="23"/>
                <w:lang w:eastAsia="ru-RU"/>
              </w:rPr>
              <w:t>32</w:t>
            </w:r>
            <w:r w:rsidR="00A64EF6">
              <w:rPr>
                <w:sz w:val="23"/>
                <w:szCs w:val="23"/>
                <w:lang w:eastAsia="ru-RU"/>
              </w:rPr>
              <w:t>.</w:t>
            </w:r>
            <w:r w:rsidR="002D1AA2">
              <w:rPr>
                <w:sz w:val="23"/>
                <w:szCs w:val="23"/>
                <w:lang w:eastAsia="ru-RU"/>
              </w:rPr>
              <w:t>pantu summa noapaļota</w:t>
            </w:r>
            <w:r w:rsidR="002D1AA2" w:rsidRPr="002606F0">
              <w:rPr>
                <w:sz w:val="23"/>
                <w:szCs w:val="23"/>
                <w:lang w:eastAsia="ru-RU"/>
              </w:rPr>
              <w:t xml:space="preserve"> </w:t>
            </w:r>
            <w:r w:rsidRPr="002606F0">
              <w:rPr>
                <w:sz w:val="23"/>
                <w:szCs w:val="23"/>
                <w:lang w:eastAsia="ru-RU"/>
              </w:rPr>
              <w:t>:</w:t>
            </w:r>
          </w:p>
          <w:p w14:paraId="05F91EE6" w14:textId="77777777" w:rsidR="000E3832" w:rsidRDefault="000E3832" w:rsidP="00E75B8E">
            <w:pPr>
              <w:rPr>
                <w:color w:val="000000"/>
                <w:sz w:val="22"/>
                <w:szCs w:val="22"/>
              </w:rPr>
            </w:pPr>
            <w:r w:rsidRPr="000E3832">
              <w:rPr>
                <w:color w:val="000000"/>
                <w:sz w:val="22"/>
                <w:szCs w:val="22"/>
              </w:rPr>
              <w:t>281 240,573474</w:t>
            </w:r>
            <w:r w:rsidR="002F6F0B">
              <w:rPr>
                <w:color w:val="000000"/>
                <w:sz w:val="22"/>
                <w:szCs w:val="22"/>
              </w:rPr>
              <w:t xml:space="preserve"> </w:t>
            </w:r>
            <w:r w:rsidRPr="002606F0">
              <w:rPr>
                <w:sz w:val="23"/>
                <w:szCs w:val="23"/>
                <w:lang w:eastAsia="ru-RU"/>
              </w:rPr>
              <w:t xml:space="preserve">= </w:t>
            </w:r>
            <w:r w:rsidRPr="00801F05">
              <w:rPr>
                <w:color w:val="000000"/>
                <w:sz w:val="22"/>
                <w:szCs w:val="22"/>
                <w:u w:val="single"/>
              </w:rPr>
              <w:t>281</w:t>
            </w:r>
            <w:r w:rsidR="00A24190" w:rsidRPr="00801F05">
              <w:rPr>
                <w:color w:val="000000"/>
                <w:sz w:val="22"/>
                <w:szCs w:val="22"/>
                <w:u w:val="single"/>
              </w:rPr>
              <w:t> </w:t>
            </w:r>
            <w:r w:rsidRPr="00801F05">
              <w:rPr>
                <w:color w:val="000000"/>
                <w:sz w:val="22"/>
                <w:szCs w:val="22"/>
                <w:u w:val="single"/>
              </w:rPr>
              <w:t>241</w:t>
            </w:r>
          </w:p>
          <w:p w14:paraId="05F91EE7" w14:textId="77777777" w:rsidR="000E3832" w:rsidRDefault="000E3832" w:rsidP="00E75B8E">
            <w:pPr>
              <w:rPr>
                <w:color w:val="000000"/>
                <w:sz w:val="22"/>
                <w:szCs w:val="22"/>
              </w:rPr>
            </w:pPr>
          </w:p>
          <w:p w14:paraId="05F91EE8" w14:textId="77777777" w:rsidR="00A24190" w:rsidRPr="00756EBE" w:rsidRDefault="00A24190" w:rsidP="00E75B8E">
            <w:pPr>
              <w:rPr>
                <w:sz w:val="23"/>
                <w:szCs w:val="23"/>
                <w:u w:val="single"/>
                <w:lang w:eastAsia="ru-RU"/>
              </w:rPr>
            </w:pPr>
            <w:r w:rsidRPr="00756EBE">
              <w:rPr>
                <w:sz w:val="23"/>
                <w:szCs w:val="23"/>
                <w:u w:val="single"/>
                <w:lang w:eastAsia="ru-RU"/>
              </w:rPr>
              <w:t>Summu aprēķins MK noteikumu projekta 1</w:t>
            </w:r>
            <w:r>
              <w:rPr>
                <w:sz w:val="23"/>
                <w:szCs w:val="23"/>
                <w:u w:val="single"/>
                <w:lang w:eastAsia="ru-RU"/>
              </w:rPr>
              <w:t>.3.apakš</w:t>
            </w:r>
            <w:r w:rsidRPr="00756EBE">
              <w:rPr>
                <w:sz w:val="23"/>
                <w:szCs w:val="23"/>
                <w:u w:val="single"/>
                <w:lang w:eastAsia="ru-RU"/>
              </w:rPr>
              <w:t>punktā:</w:t>
            </w:r>
          </w:p>
          <w:p w14:paraId="05F91EE9" w14:textId="77777777" w:rsidR="00A24190" w:rsidRPr="00CC60B8" w:rsidRDefault="00A24190" w:rsidP="00E75B8E">
            <w:pPr>
              <w:rPr>
                <w:color w:val="000000"/>
                <w:sz w:val="22"/>
                <w:szCs w:val="22"/>
              </w:rPr>
            </w:pPr>
            <w:r>
              <w:rPr>
                <w:color w:val="000000"/>
                <w:sz w:val="22"/>
                <w:szCs w:val="22"/>
              </w:rPr>
              <w:t xml:space="preserve">1 000,00 </w:t>
            </w:r>
            <w:r w:rsidRPr="00756EBE">
              <w:rPr>
                <w:sz w:val="23"/>
                <w:szCs w:val="23"/>
                <w:lang w:eastAsia="ru-RU"/>
              </w:rPr>
              <w:t xml:space="preserve">LVL </w:t>
            </w:r>
            <w:r>
              <w:rPr>
                <w:sz w:val="23"/>
                <w:szCs w:val="23"/>
                <w:lang w:eastAsia="ru-RU"/>
              </w:rPr>
              <w:t>/</w:t>
            </w:r>
            <w:r w:rsidRPr="00756EBE">
              <w:rPr>
                <w:sz w:val="23"/>
                <w:szCs w:val="23"/>
                <w:lang w:eastAsia="ru-RU"/>
              </w:rPr>
              <w:t xml:space="preserve"> 0,702804</w:t>
            </w:r>
            <w:r>
              <w:rPr>
                <w:sz w:val="23"/>
                <w:szCs w:val="23"/>
                <w:lang w:eastAsia="ru-RU"/>
              </w:rPr>
              <w:t>=</w:t>
            </w:r>
            <w:r>
              <w:t xml:space="preserve"> </w:t>
            </w:r>
            <w:r w:rsidRPr="00A24190">
              <w:rPr>
                <w:sz w:val="23"/>
                <w:szCs w:val="23"/>
                <w:lang w:eastAsia="ru-RU"/>
              </w:rPr>
              <w:t>1 422,871811</w:t>
            </w:r>
          </w:p>
          <w:p w14:paraId="05F91EEA" w14:textId="04164BFD" w:rsidR="00A24190" w:rsidRPr="002606F0" w:rsidRDefault="00CB5A4D" w:rsidP="00E75B8E">
            <w:pPr>
              <w:rPr>
                <w:sz w:val="23"/>
                <w:szCs w:val="23"/>
                <w:lang w:eastAsia="ru-RU"/>
              </w:rPr>
            </w:pPr>
            <w:r w:rsidRPr="002606F0">
              <w:rPr>
                <w:sz w:val="23"/>
                <w:szCs w:val="23"/>
                <w:lang w:eastAsia="ru-RU"/>
              </w:rPr>
              <w:t xml:space="preserve">Saskaņā ar </w:t>
            </w:r>
            <w:proofErr w:type="spellStart"/>
            <w:r w:rsidRPr="00AD1BDF">
              <w:rPr>
                <w:i/>
                <w:sz w:val="23"/>
                <w:szCs w:val="23"/>
                <w:lang w:eastAsia="ru-RU"/>
              </w:rPr>
              <w:t>Euro</w:t>
            </w:r>
            <w:proofErr w:type="spellEnd"/>
            <w:r w:rsidRPr="002606F0">
              <w:rPr>
                <w:sz w:val="23"/>
                <w:szCs w:val="23"/>
                <w:lang w:eastAsia="ru-RU"/>
              </w:rPr>
              <w:t xml:space="preserve"> ieviešanas kārtības likuma </w:t>
            </w:r>
            <w:r w:rsidR="001C2EF1">
              <w:rPr>
                <w:sz w:val="23"/>
                <w:szCs w:val="23"/>
                <w:lang w:eastAsia="ru-RU"/>
              </w:rPr>
              <w:t>32</w:t>
            </w:r>
            <w:r w:rsidR="00A64EF6">
              <w:rPr>
                <w:sz w:val="23"/>
                <w:szCs w:val="23"/>
                <w:lang w:eastAsia="ru-RU"/>
              </w:rPr>
              <w:t>.</w:t>
            </w:r>
            <w:r w:rsidR="002D1AA2">
              <w:rPr>
                <w:sz w:val="23"/>
                <w:szCs w:val="23"/>
                <w:lang w:eastAsia="ru-RU"/>
              </w:rPr>
              <w:t xml:space="preserve">pantu summa noapaļota </w:t>
            </w:r>
            <w:r>
              <w:rPr>
                <w:sz w:val="23"/>
                <w:szCs w:val="23"/>
                <w:lang w:eastAsia="ru-RU"/>
              </w:rPr>
              <w:t>:</w:t>
            </w:r>
          </w:p>
          <w:p w14:paraId="05F91EEB" w14:textId="77777777" w:rsidR="00A24190" w:rsidRPr="007A4AF1" w:rsidRDefault="00A24190" w:rsidP="00E75B8E">
            <w:pPr>
              <w:rPr>
                <w:color w:val="000000"/>
                <w:sz w:val="22"/>
                <w:szCs w:val="22"/>
              </w:rPr>
            </w:pPr>
            <w:r w:rsidRPr="00A24190">
              <w:rPr>
                <w:color w:val="000000"/>
                <w:sz w:val="22"/>
                <w:szCs w:val="22"/>
              </w:rPr>
              <w:t>1 422,871811</w:t>
            </w:r>
            <w:r w:rsidRPr="002606F0">
              <w:rPr>
                <w:sz w:val="23"/>
                <w:szCs w:val="23"/>
                <w:lang w:eastAsia="ru-RU"/>
              </w:rPr>
              <w:t xml:space="preserve">= </w:t>
            </w:r>
            <w:r w:rsidRPr="00801F05">
              <w:rPr>
                <w:color w:val="000000"/>
                <w:sz w:val="22"/>
                <w:szCs w:val="22"/>
                <w:u w:val="single"/>
              </w:rPr>
              <w:t>1</w:t>
            </w:r>
            <w:r w:rsidR="00D17BD6" w:rsidRPr="00801F05">
              <w:rPr>
                <w:color w:val="000000"/>
                <w:sz w:val="22"/>
                <w:szCs w:val="22"/>
                <w:u w:val="single"/>
              </w:rPr>
              <w:t> </w:t>
            </w:r>
            <w:r w:rsidRPr="00801F05">
              <w:rPr>
                <w:color w:val="000000"/>
                <w:sz w:val="22"/>
                <w:szCs w:val="22"/>
                <w:u w:val="single"/>
              </w:rPr>
              <w:t>423</w:t>
            </w:r>
          </w:p>
          <w:p w14:paraId="05F91EEC" w14:textId="77777777" w:rsidR="000E3832" w:rsidRDefault="000E3832" w:rsidP="00E75B8E">
            <w:pPr>
              <w:pStyle w:val="naisf"/>
              <w:spacing w:before="0" w:after="0"/>
              <w:ind w:right="146" w:firstLine="0"/>
              <w:rPr>
                <w:sz w:val="28"/>
                <w:szCs w:val="28"/>
              </w:rPr>
            </w:pPr>
          </w:p>
          <w:p w14:paraId="05F91EED" w14:textId="77777777" w:rsidR="00D17BD6" w:rsidRPr="00CC60B8" w:rsidRDefault="00D17BD6" w:rsidP="00E75B8E">
            <w:pPr>
              <w:rPr>
                <w:color w:val="000000"/>
                <w:sz w:val="22"/>
                <w:szCs w:val="22"/>
              </w:rPr>
            </w:pPr>
            <w:r w:rsidRPr="00D17BD6">
              <w:rPr>
                <w:color w:val="000000"/>
                <w:sz w:val="22"/>
                <w:szCs w:val="22"/>
              </w:rPr>
              <w:t>25 000,00</w:t>
            </w:r>
            <w:r>
              <w:rPr>
                <w:color w:val="000000"/>
                <w:sz w:val="22"/>
                <w:szCs w:val="22"/>
              </w:rPr>
              <w:t xml:space="preserve"> </w:t>
            </w:r>
            <w:r w:rsidRPr="00756EBE">
              <w:rPr>
                <w:sz w:val="23"/>
                <w:szCs w:val="23"/>
                <w:lang w:eastAsia="ru-RU"/>
              </w:rPr>
              <w:t xml:space="preserve">LVL </w:t>
            </w:r>
            <w:r>
              <w:rPr>
                <w:sz w:val="23"/>
                <w:szCs w:val="23"/>
                <w:lang w:eastAsia="ru-RU"/>
              </w:rPr>
              <w:t>/</w:t>
            </w:r>
            <w:r w:rsidRPr="00756EBE">
              <w:rPr>
                <w:sz w:val="23"/>
                <w:szCs w:val="23"/>
                <w:lang w:eastAsia="ru-RU"/>
              </w:rPr>
              <w:t xml:space="preserve"> 0,702804</w:t>
            </w:r>
            <w:r>
              <w:rPr>
                <w:sz w:val="23"/>
                <w:szCs w:val="23"/>
                <w:lang w:eastAsia="ru-RU"/>
              </w:rPr>
              <w:t>=</w:t>
            </w:r>
            <w:r>
              <w:t xml:space="preserve"> </w:t>
            </w:r>
            <w:r w:rsidRPr="00D17BD6">
              <w:rPr>
                <w:sz w:val="23"/>
                <w:szCs w:val="23"/>
                <w:lang w:eastAsia="ru-RU"/>
              </w:rPr>
              <w:t>35 571,795266</w:t>
            </w:r>
          </w:p>
          <w:p w14:paraId="05F91EEE" w14:textId="1E3124B6" w:rsidR="00CB5A4D" w:rsidRPr="002606F0" w:rsidRDefault="00CB5A4D" w:rsidP="00E75B8E">
            <w:pPr>
              <w:rPr>
                <w:sz w:val="23"/>
                <w:szCs w:val="23"/>
                <w:lang w:eastAsia="ru-RU"/>
              </w:rPr>
            </w:pPr>
            <w:r w:rsidRPr="002606F0">
              <w:rPr>
                <w:sz w:val="23"/>
                <w:szCs w:val="23"/>
                <w:lang w:eastAsia="ru-RU"/>
              </w:rPr>
              <w:t xml:space="preserve">Saskaņā ar </w:t>
            </w:r>
            <w:proofErr w:type="spellStart"/>
            <w:r w:rsidRPr="00AD1BDF">
              <w:rPr>
                <w:i/>
                <w:sz w:val="23"/>
                <w:szCs w:val="23"/>
                <w:lang w:eastAsia="ru-RU"/>
              </w:rPr>
              <w:t>Euro</w:t>
            </w:r>
            <w:proofErr w:type="spellEnd"/>
            <w:r w:rsidRPr="002606F0">
              <w:rPr>
                <w:sz w:val="23"/>
                <w:szCs w:val="23"/>
                <w:lang w:eastAsia="ru-RU"/>
              </w:rPr>
              <w:t xml:space="preserve"> ieviešanas kārtības likuma </w:t>
            </w:r>
            <w:r w:rsidR="001C2EF1">
              <w:rPr>
                <w:sz w:val="23"/>
                <w:szCs w:val="23"/>
                <w:lang w:eastAsia="ru-RU"/>
              </w:rPr>
              <w:t>32</w:t>
            </w:r>
            <w:r w:rsidR="00A64EF6">
              <w:rPr>
                <w:sz w:val="23"/>
                <w:szCs w:val="23"/>
                <w:lang w:eastAsia="ru-RU"/>
              </w:rPr>
              <w:t>.</w:t>
            </w:r>
            <w:r w:rsidR="002D1AA2">
              <w:rPr>
                <w:sz w:val="23"/>
                <w:szCs w:val="23"/>
                <w:lang w:eastAsia="ru-RU"/>
              </w:rPr>
              <w:t>pantu summa noapaļota</w:t>
            </w:r>
            <w:r w:rsidR="002D1AA2" w:rsidRPr="002606F0">
              <w:rPr>
                <w:sz w:val="23"/>
                <w:szCs w:val="23"/>
                <w:lang w:eastAsia="ru-RU"/>
              </w:rPr>
              <w:t xml:space="preserve"> </w:t>
            </w:r>
            <w:r w:rsidRPr="002606F0">
              <w:rPr>
                <w:sz w:val="23"/>
                <w:szCs w:val="23"/>
                <w:lang w:eastAsia="ru-RU"/>
              </w:rPr>
              <w:t>:</w:t>
            </w:r>
          </w:p>
          <w:p w14:paraId="05F91EEF" w14:textId="77777777" w:rsidR="00D17BD6" w:rsidRDefault="00D17BD6" w:rsidP="00E75B8E">
            <w:pPr>
              <w:rPr>
                <w:color w:val="000000"/>
                <w:sz w:val="22"/>
                <w:szCs w:val="22"/>
              </w:rPr>
            </w:pPr>
            <w:r w:rsidRPr="00D17BD6">
              <w:rPr>
                <w:color w:val="000000"/>
                <w:sz w:val="22"/>
                <w:szCs w:val="22"/>
              </w:rPr>
              <w:t>35 571,795266</w:t>
            </w:r>
            <w:r w:rsidRPr="002606F0">
              <w:rPr>
                <w:sz w:val="23"/>
                <w:szCs w:val="23"/>
                <w:lang w:eastAsia="ru-RU"/>
              </w:rPr>
              <w:t xml:space="preserve">= </w:t>
            </w:r>
            <w:r w:rsidRPr="00FF5543">
              <w:rPr>
                <w:color w:val="000000"/>
                <w:sz w:val="22"/>
                <w:szCs w:val="22"/>
                <w:u w:val="single"/>
              </w:rPr>
              <w:t>35</w:t>
            </w:r>
            <w:r w:rsidR="00F93AB1" w:rsidRPr="00FF5543">
              <w:rPr>
                <w:color w:val="000000"/>
                <w:sz w:val="22"/>
                <w:szCs w:val="22"/>
                <w:u w:val="single"/>
              </w:rPr>
              <w:t> </w:t>
            </w:r>
            <w:r w:rsidRPr="00FF5543">
              <w:rPr>
                <w:color w:val="000000"/>
                <w:sz w:val="22"/>
                <w:szCs w:val="22"/>
                <w:u w:val="single"/>
              </w:rPr>
              <w:t>572</w:t>
            </w:r>
          </w:p>
          <w:p w14:paraId="05F91EF0" w14:textId="77777777" w:rsidR="00F93AB1" w:rsidRPr="007A4AF1" w:rsidRDefault="00F93AB1" w:rsidP="00E75B8E">
            <w:pPr>
              <w:rPr>
                <w:color w:val="000000"/>
                <w:sz w:val="22"/>
                <w:szCs w:val="22"/>
              </w:rPr>
            </w:pPr>
          </w:p>
          <w:p w14:paraId="05F91EF1" w14:textId="77777777" w:rsidR="00F93AB1" w:rsidRPr="00756EBE" w:rsidRDefault="00F93AB1" w:rsidP="00E75B8E">
            <w:pPr>
              <w:rPr>
                <w:sz w:val="23"/>
                <w:szCs w:val="23"/>
                <w:u w:val="single"/>
                <w:lang w:eastAsia="ru-RU"/>
              </w:rPr>
            </w:pPr>
            <w:r w:rsidRPr="00756EBE">
              <w:rPr>
                <w:sz w:val="23"/>
                <w:szCs w:val="23"/>
                <w:u w:val="single"/>
                <w:lang w:eastAsia="ru-RU"/>
              </w:rPr>
              <w:t>Summu aprēķins MK noteikumu projekta 1</w:t>
            </w:r>
            <w:r>
              <w:rPr>
                <w:sz w:val="23"/>
                <w:szCs w:val="23"/>
                <w:u w:val="single"/>
                <w:lang w:eastAsia="ru-RU"/>
              </w:rPr>
              <w:t>.4.apakš</w:t>
            </w:r>
            <w:r w:rsidRPr="00756EBE">
              <w:rPr>
                <w:sz w:val="23"/>
                <w:szCs w:val="23"/>
                <w:u w:val="single"/>
                <w:lang w:eastAsia="ru-RU"/>
              </w:rPr>
              <w:t>punktā:</w:t>
            </w:r>
          </w:p>
          <w:p w14:paraId="05F91EF2" w14:textId="77777777" w:rsidR="00F93AB1" w:rsidRPr="00CC60B8" w:rsidRDefault="00F93AB1" w:rsidP="00E75B8E">
            <w:pPr>
              <w:rPr>
                <w:color w:val="000000"/>
                <w:sz w:val="22"/>
                <w:szCs w:val="22"/>
              </w:rPr>
            </w:pPr>
            <w:r w:rsidRPr="00F93AB1">
              <w:rPr>
                <w:color w:val="000000"/>
                <w:sz w:val="22"/>
                <w:szCs w:val="22"/>
              </w:rPr>
              <w:t>150,00</w:t>
            </w:r>
            <w:r>
              <w:rPr>
                <w:color w:val="000000"/>
                <w:sz w:val="22"/>
                <w:szCs w:val="22"/>
              </w:rPr>
              <w:t xml:space="preserve"> </w:t>
            </w:r>
            <w:r w:rsidRPr="00756EBE">
              <w:rPr>
                <w:sz w:val="23"/>
                <w:szCs w:val="23"/>
                <w:lang w:eastAsia="ru-RU"/>
              </w:rPr>
              <w:t xml:space="preserve">LVL </w:t>
            </w:r>
            <w:r>
              <w:rPr>
                <w:sz w:val="23"/>
                <w:szCs w:val="23"/>
                <w:lang w:eastAsia="ru-RU"/>
              </w:rPr>
              <w:t>/</w:t>
            </w:r>
            <w:r w:rsidRPr="00756EBE">
              <w:rPr>
                <w:sz w:val="23"/>
                <w:szCs w:val="23"/>
                <w:lang w:eastAsia="ru-RU"/>
              </w:rPr>
              <w:t xml:space="preserve"> 0,702804</w:t>
            </w:r>
            <w:r w:rsidR="002F6F0B">
              <w:rPr>
                <w:sz w:val="23"/>
                <w:szCs w:val="23"/>
                <w:lang w:eastAsia="ru-RU"/>
              </w:rPr>
              <w:t xml:space="preserve"> </w:t>
            </w:r>
            <w:r>
              <w:rPr>
                <w:sz w:val="23"/>
                <w:szCs w:val="23"/>
                <w:lang w:eastAsia="ru-RU"/>
              </w:rPr>
              <w:t>=</w:t>
            </w:r>
            <w:r>
              <w:t xml:space="preserve"> </w:t>
            </w:r>
            <w:r w:rsidRPr="00F93AB1">
              <w:rPr>
                <w:sz w:val="23"/>
                <w:szCs w:val="23"/>
                <w:lang w:eastAsia="ru-RU"/>
              </w:rPr>
              <w:t>213,430772</w:t>
            </w:r>
          </w:p>
          <w:p w14:paraId="05F91EF3" w14:textId="40BF86C5" w:rsidR="00CB5A4D" w:rsidRPr="002606F0" w:rsidRDefault="00CB5A4D" w:rsidP="00E75B8E">
            <w:pPr>
              <w:rPr>
                <w:sz w:val="23"/>
                <w:szCs w:val="23"/>
                <w:lang w:eastAsia="ru-RU"/>
              </w:rPr>
            </w:pPr>
            <w:r w:rsidRPr="002606F0">
              <w:rPr>
                <w:sz w:val="23"/>
                <w:szCs w:val="23"/>
                <w:lang w:eastAsia="ru-RU"/>
              </w:rPr>
              <w:t xml:space="preserve">Saskaņā ar </w:t>
            </w:r>
            <w:proofErr w:type="spellStart"/>
            <w:r w:rsidRPr="00CE1B7A">
              <w:rPr>
                <w:i/>
                <w:sz w:val="23"/>
                <w:szCs w:val="23"/>
                <w:lang w:eastAsia="ru-RU"/>
              </w:rPr>
              <w:t>Euro</w:t>
            </w:r>
            <w:proofErr w:type="spellEnd"/>
            <w:r w:rsidRPr="002606F0">
              <w:rPr>
                <w:sz w:val="23"/>
                <w:szCs w:val="23"/>
                <w:lang w:eastAsia="ru-RU"/>
              </w:rPr>
              <w:t xml:space="preserve"> ieviešanas kārtības likuma </w:t>
            </w:r>
            <w:r w:rsidR="001C2EF1">
              <w:rPr>
                <w:sz w:val="23"/>
                <w:szCs w:val="23"/>
                <w:lang w:eastAsia="ru-RU"/>
              </w:rPr>
              <w:t>32</w:t>
            </w:r>
            <w:r w:rsidR="00A64EF6">
              <w:rPr>
                <w:sz w:val="23"/>
                <w:szCs w:val="23"/>
                <w:lang w:eastAsia="ru-RU"/>
              </w:rPr>
              <w:t>.</w:t>
            </w:r>
            <w:r w:rsidR="002D1AA2">
              <w:rPr>
                <w:sz w:val="23"/>
                <w:szCs w:val="23"/>
                <w:lang w:eastAsia="ru-RU"/>
              </w:rPr>
              <w:t>pantu summa noapaļota</w:t>
            </w:r>
            <w:r w:rsidR="002D1AA2" w:rsidRPr="002606F0">
              <w:rPr>
                <w:sz w:val="23"/>
                <w:szCs w:val="23"/>
                <w:lang w:eastAsia="ru-RU"/>
              </w:rPr>
              <w:t xml:space="preserve"> </w:t>
            </w:r>
            <w:r w:rsidRPr="002606F0">
              <w:rPr>
                <w:sz w:val="23"/>
                <w:szCs w:val="23"/>
                <w:lang w:eastAsia="ru-RU"/>
              </w:rPr>
              <w:t>:</w:t>
            </w:r>
          </w:p>
          <w:p w14:paraId="05F91EF4" w14:textId="77777777" w:rsidR="00F93AB1" w:rsidRPr="007A4AF1" w:rsidRDefault="00F93AB1" w:rsidP="00E75B8E">
            <w:pPr>
              <w:rPr>
                <w:color w:val="000000"/>
                <w:sz w:val="22"/>
                <w:szCs w:val="22"/>
              </w:rPr>
            </w:pPr>
            <w:r w:rsidRPr="00F93AB1">
              <w:rPr>
                <w:color w:val="000000"/>
                <w:sz w:val="22"/>
                <w:szCs w:val="22"/>
              </w:rPr>
              <w:t>213,430772</w:t>
            </w:r>
            <w:r w:rsidRPr="002606F0">
              <w:rPr>
                <w:sz w:val="23"/>
                <w:szCs w:val="23"/>
                <w:lang w:eastAsia="ru-RU"/>
              </w:rPr>
              <w:t xml:space="preserve">= </w:t>
            </w:r>
            <w:r w:rsidRPr="00723D12">
              <w:rPr>
                <w:color w:val="000000"/>
                <w:sz w:val="22"/>
                <w:szCs w:val="22"/>
                <w:u w:val="single"/>
              </w:rPr>
              <w:t>213</w:t>
            </w:r>
          </w:p>
          <w:p w14:paraId="05F91EF5" w14:textId="77777777" w:rsidR="00F93AB1" w:rsidRDefault="00F93AB1" w:rsidP="00E75B8E">
            <w:pPr>
              <w:rPr>
                <w:sz w:val="23"/>
                <w:szCs w:val="23"/>
                <w:u w:val="single"/>
                <w:lang w:eastAsia="ru-RU"/>
              </w:rPr>
            </w:pPr>
          </w:p>
          <w:p w14:paraId="05F91EF6" w14:textId="77777777" w:rsidR="00F93AB1" w:rsidRPr="00672C93" w:rsidRDefault="00F93AB1" w:rsidP="00E75B8E">
            <w:pPr>
              <w:rPr>
                <w:sz w:val="23"/>
                <w:szCs w:val="23"/>
                <w:u w:val="single"/>
                <w:lang w:eastAsia="ru-RU"/>
              </w:rPr>
            </w:pPr>
            <w:r w:rsidRPr="00672C93">
              <w:rPr>
                <w:sz w:val="23"/>
                <w:szCs w:val="23"/>
                <w:u w:val="single"/>
                <w:lang w:eastAsia="ru-RU"/>
              </w:rPr>
              <w:t>Summu aprēķins MK noteikumu projekta 1.</w:t>
            </w:r>
            <w:r w:rsidR="00723D12" w:rsidRPr="00672C93">
              <w:rPr>
                <w:sz w:val="23"/>
                <w:szCs w:val="23"/>
                <w:u w:val="single"/>
                <w:lang w:eastAsia="ru-RU"/>
              </w:rPr>
              <w:t>5</w:t>
            </w:r>
            <w:r w:rsidRPr="00672C93">
              <w:rPr>
                <w:sz w:val="23"/>
                <w:szCs w:val="23"/>
                <w:u w:val="single"/>
                <w:lang w:eastAsia="ru-RU"/>
              </w:rPr>
              <w:t>.apakšpunktā:</w:t>
            </w:r>
          </w:p>
          <w:p w14:paraId="05F91EF7" w14:textId="77777777" w:rsidR="00F93AB1" w:rsidRPr="00672C93" w:rsidRDefault="00F93AB1" w:rsidP="00E75B8E">
            <w:pPr>
              <w:rPr>
                <w:color w:val="000000"/>
                <w:sz w:val="22"/>
                <w:szCs w:val="22"/>
              </w:rPr>
            </w:pPr>
            <w:r w:rsidRPr="00672C93">
              <w:rPr>
                <w:color w:val="000000"/>
                <w:sz w:val="22"/>
                <w:szCs w:val="22"/>
              </w:rPr>
              <w:t>2,50</w:t>
            </w:r>
            <w:r w:rsidR="002F6F0B" w:rsidRPr="00672C93">
              <w:rPr>
                <w:color w:val="000000"/>
                <w:sz w:val="22"/>
                <w:szCs w:val="22"/>
              </w:rPr>
              <w:t xml:space="preserve"> </w:t>
            </w:r>
            <w:r w:rsidRPr="00672C93">
              <w:rPr>
                <w:sz w:val="23"/>
                <w:szCs w:val="23"/>
                <w:lang w:eastAsia="ru-RU"/>
              </w:rPr>
              <w:t>LVL / 0,702804</w:t>
            </w:r>
            <w:r w:rsidR="002F6F0B" w:rsidRPr="00672C93">
              <w:rPr>
                <w:sz w:val="23"/>
                <w:szCs w:val="23"/>
                <w:lang w:eastAsia="ru-RU"/>
              </w:rPr>
              <w:t xml:space="preserve"> </w:t>
            </w:r>
            <w:r w:rsidRPr="00672C93">
              <w:rPr>
                <w:sz w:val="23"/>
                <w:szCs w:val="23"/>
                <w:lang w:eastAsia="ru-RU"/>
              </w:rPr>
              <w:t>=</w:t>
            </w:r>
            <w:r w:rsidRPr="00672C93">
              <w:t xml:space="preserve"> </w:t>
            </w:r>
            <w:r w:rsidRPr="00672C93">
              <w:rPr>
                <w:sz w:val="23"/>
                <w:szCs w:val="23"/>
                <w:lang w:eastAsia="ru-RU"/>
              </w:rPr>
              <w:t>3,557180</w:t>
            </w:r>
          </w:p>
          <w:p w14:paraId="05F91EF8" w14:textId="0060A4C2" w:rsidR="00F93AB1" w:rsidRPr="00672C93" w:rsidRDefault="00F93AB1" w:rsidP="00E75B8E">
            <w:pPr>
              <w:rPr>
                <w:sz w:val="23"/>
                <w:szCs w:val="23"/>
                <w:lang w:eastAsia="ru-RU"/>
              </w:rPr>
            </w:pPr>
            <w:r w:rsidRPr="00672C93">
              <w:rPr>
                <w:sz w:val="23"/>
                <w:szCs w:val="23"/>
                <w:lang w:eastAsia="ru-RU"/>
              </w:rPr>
              <w:t xml:space="preserve">Saskaņā ar </w:t>
            </w:r>
            <w:proofErr w:type="spellStart"/>
            <w:r w:rsidRPr="00672C93">
              <w:rPr>
                <w:i/>
                <w:sz w:val="23"/>
                <w:szCs w:val="23"/>
                <w:lang w:eastAsia="ru-RU"/>
              </w:rPr>
              <w:t>Euro</w:t>
            </w:r>
            <w:proofErr w:type="spellEnd"/>
            <w:r w:rsidRPr="00672C93">
              <w:rPr>
                <w:sz w:val="23"/>
                <w:szCs w:val="23"/>
                <w:lang w:eastAsia="ru-RU"/>
              </w:rPr>
              <w:t xml:space="preserve"> ieviešanas kārtības likuma </w:t>
            </w:r>
            <w:r w:rsidR="0094022C" w:rsidRPr="00672C93">
              <w:rPr>
                <w:sz w:val="23"/>
                <w:szCs w:val="23"/>
                <w:lang w:eastAsia="ru-RU"/>
              </w:rPr>
              <w:t>6</w:t>
            </w:r>
            <w:r w:rsidR="00A64EF6">
              <w:rPr>
                <w:sz w:val="23"/>
                <w:szCs w:val="23"/>
                <w:lang w:eastAsia="ru-RU"/>
              </w:rPr>
              <w:t>.</w:t>
            </w:r>
            <w:r w:rsidRPr="00672C93">
              <w:rPr>
                <w:sz w:val="23"/>
                <w:szCs w:val="23"/>
                <w:lang w:eastAsia="ru-RU"/>
              </w:rPr>
              <w:t>pant</w:t>
            </w:r>
            <w:r w:rsidR="00651D79" w:rsidRPr="00672C93">
              <w:rPr>
                <w:sz w:val="23"/>
                <w:szCs w:val="23"/>
                <w:lang w:eastAsia="ru-RU"/>
              </w:rPr>
              <w:t>u</w:t>
            </w:r>
            <w:r w:rsidRPr="00672C93">
              <w:rPr>
                <w:sz w:val="23"/>
                <w:szCs w:val="23"/>
                <w:lang w:eastAsia="ru-RU"/>
              </w:rPr>
              <w:t xml:space="preserve"> summa noapaļota:</w:t>
            </w:r>
          </w:p>
          <w:p w14:paraId="05F91EF9" w14:textId="77777777" w:rsidR="00F93AB1" w:rsidRPr="00672C93" w:rsidRDefault="00F93AB1" w:rsidP="00E75B8E">
            <w:pPr>
              <w:rPr>
                <w:sz w:val="22"/>
                <w:szCs w:val="22"/>
              </w:rPr>
            </w:pPr>
            <w:r w:rsidRPr="00672C93">
              <w:rPr>
                <w:sz w:val="22"/>
                <w:szCs w:val="22"/>
              </w:rPr>
              <w:t>3,557180</w:t>
            </w:r>
            <w:r w:rsidRPr="00672C93">
              <w:rPr>
                <w:sz w:val="23"/>
                <w:szCs w:val="23"/>
                <w:lang w:eastAsia="ru-RU"/>
              </w:rPr>
              <w:t xml:space="preserve">= </w:t>
            </w:r>
            <w:r w:rsidRPr="00672C93">
              <w:rPr>
                <w:sz w:val="22"/>
                <w:szCs w:val="22"/>
                <w:u w:val="single"/>
              </w:rPr>
              <w:t>3,</w:t>
            </w:r>
            <w:r w:rsidR="0094022C" w:rsidRPr="00672C93">
              <w:rPr>
                <w:sz w:val="22"/>
                <w:szCs w:val="22"/>
                <w:u w:val="single"/>
              </w:rPr>
              <w:t>56</w:t>
            </w:r>
          </w:p>
          <w:p w14:paraId="05F91EFA" w14:textId="77777777" w:rsidR="00D17BD6" w:rsidRPr="00672C93" w:rsidRDefault="00D17BD6" w:rsidP="00E75B8E">
            <w:pPr>
              <w:pStyle w:val="naisf"/>
              <w:spacing w:before="0" w:after="0"/>
              <w:ind w:right="146" w:firstLine="0"/>
              <w:rPr>
                <w:sz w:val="28"/>
                <w:szCs w:val="28"/>
              </w:rPr>
            </w:pPr>
          </w:p>
          <w:p w14:paraId="05F91EFB" w14:textId="77777777" w:rsidR="00F93AB1" w:rsidRPr="00672C93" w:rsidRDefault="00F93AB1" w:rsidP="00E75B8E">
            <w:pPr>
              <w:rPr>
                <w:color w:val="000000"/>
                <w:sz w:val="22"/>
                <w:szCs w:val="22"/>
              </w:rPr>
            </w:pPr>
            <w:r w:rsidRPr="00672C93">
              <w:rPr>
                <w:color w:val="000000"/>
                <w:sz w:val="22"/>
                <w:szCs w:val="22"/>
              </w:rPr>
              <w:t xml:space="preserve">4,00 </w:t>
            </w:r>
            <w:r w:rsidRPr="00672C93">
              <w:rPr>
                <w:sz w:val="23"/>
                <w:szCs w:val="23"/>
                <w:lang w:eastAsia="ru-RU"/>
              </w:rPr>
              <w:t>LVL / 0,702804=</w:t>
            </w:r>
            <w:r w:rsidRPr="00672C93">
              <w:t xml:space="preserve"> </w:t>
            </w:r>
            <w:r w:rsidRPr="00672C93">
              <w:rPr>
                <w:sz w:val="23"/>
                <w:szCs w:val="23"/>
                <w:lang w:eastAsia="ru-RU"/>
              </w:rPr>
              <w:t>5,691487243</w:t>
            </w:r>
          </w:p>
          <w:p w14:paraId="05F91EFC" w14:textId="78793101" w:rsidR="00F93AB1" w:rsidRPr="00672C93" w:rsidRDefault="00F93AB1" w:rsidP="00E75B8E">
            <w:pPr>
              <w:rPr>
                <w:sz w:val="23"/>
                <w:szCs w:val="23"/>
                <w:lang w:eastAsia="ru-RU"/>
              </w:rPr>
            </w:pPr>
            <w:r w:rsidRPr="00672C93">
              <w:rPr>
                <w:sz w:val="23"/>
                <w:szCs w:val="23"/>
                <w:lang w:eastAsia="ru-RU"/>
              </w:rPr>
              <w:t xml:space="preserve">Saskaņā ar </w:t>
            </w:r>
            <w:proofErr w:type="spellStart"/>
            <w:r w:rsidRPr="00672C93">
              <w:rPr>
                <w:i/>
                <w:sz w:val="23"/>
                <w:szCs w:val="23"/>
                <w:lang w:eastAsia="ru-RU"/>
              </w:rPr>
              <w:t>Euro</w:t>
            </w:r>
            <w:proofErr w:type="spellEnd"/>
            <w:r w:rsidRPr="00672C93">
              <w:rPr>
                <w:sz w:val="23"/>
                <w:szCs w:val="23"/>
                <w:lang w:eastAsia="ru-RU"/>
              </w:rPr>
              <w:t xml:space="preserve"> ieviešanas kārtības likuma </w:t>
            </w:r>
            <w:r w:rsidR="0094022C" w:rsidRPr="00672C93">
              <w:rPr>
                <w:sz w:val="23"/>
                <w:szCs w:val="23"/>
                <w:lang w:eastAsia="ru-RU"/>
              </w:rPr>
              <w:t>6</w:t>
            </w:r>
            <w:r w:rsidR="00A64EF6">
              <w:rPr>
                <w:sz w:val="23"/>
                <w:szCs w:val="23"/>
                <w:lang w:eastAsia="ru-RU"/>
              </w:rPr>
              <w:t>.</w:t>
            </w:r>
            <w:r w:rsidR="002D1AA2" w:rsidRPr="00672C93">
              <w:rPr>
                <w:sz w:val="23"/>
                <w:szCs w:val="23"/>
                <w:lang w:eastAsia="ru-RU"/>
              </w:rPr>
              <w:t xml:space="preserve">pantu summa noapaļota </w:t>
            </w:r>
            <w:r w:rsidRPr="00672C93">
              <w:rPr>
                <w:sz w:val="23"/>
                <w:szCs w:val="23"/>
                <w:lang w:eastAsia="ru-RU"/>
              </w:rPr>
              <w:t>:</w:t>
            </w:r>
          </w:p>
          <w:p w14:paraId="05F91EFD" w14:textId="77777777" w:rsidR="00F93AB1" w:rsidRDefault="00F93AB1" w:rsidP="00E75B8E">
            <w:pPr>
              <w:rPr>
                <w:color w:val="000000"/>
                <w:sz w:val="22"/>
                <w:szCs w:val="22"/>
                <w:u w:val="single"/>
              </w:rPr>
            </w:pPr>
            <w:r w:rsidRPr="00672C93">
              <w:rPr>
                <w:color w:val="000000"/>
                <w:sz w:val="22"/>
                <w:szCs w:val="22"/>
              </w:rPr>
              <w:lastRenderedPageBreak/>
              <w:t>5,691487243</w:t>
            </w:r>
            <w:r w:rsidRPr="00672C93">
              <w:rPr>
                <w:sz w:val="23"/>
                <w:szCs w:val="23"/>
                <w:lang w:eastAsia="ru-RU"/>
              </w:rPr>
              <w:t xml:space="preserve">= </w:t>
            </w:r>
            <w:r w:rsidR="0094022C" w:rsidRPr="00672C93">
              <w:rPr>
                <w:color w:val="000000"/>
                <w:sz w:val="22"/>
                <w:szCs w:val="22"/>
                <w:u w:val="single"/>
              </w:rPr>
              <w:t>5,69</w:t>
            </w:r>
          </w:p>
          <w:p w14:paraId="05F91EFE" w14:textId="77777777" w:rsidR="000E6613" w:rsidRDefault="000E6613" w:rsidP="00E75B8E">
            <w:pPr>
              <w:rPr>
                <w:color w:val="000000"/>
                <w:sz w:val="22"/>
                <w:szCs w:val="22"/>
                <w:u w:val="single"/>
              </w:rPr>
            </w:pPr>
          </w:p>
          <w:p w14:paraId="05F91EFF" w14:textId="77777777" w:rsidR="00C01A23" w:rsidRDefault="00C01A23" w:rsidP="00E75B8E">
            <w:pPr>
              <w:jc w:val="both"/>
              <w:rPr>
                <w:szCs w:val="23"/>
                <w:lang w:eastAsia="ru-RU"/>
              </w:rPr>
            </w:pPr>
            <w:r w:rsidRPr="00343FFB">
              <w:rPr>
                <w:szCs w:val="23"/>
                <w:lang w:eastAsia="ru-RU"/>
              </w:rPr>
              <w:t>MK noteikumu projekta punkt</w:t>
            </w:r>
            <w:r>
              <w:rPr>
                <w:szCs w:val="23"/>
                <w:lang w:eastAsia="ru-RU"/>
              </w:rPr>
              <w:t>i</w:t>
            </w:r>
            <w:r w:rsidRPr="00343FFB">
              <w:rPr>
                <w:szCs w:val="23"/>
                <w:lang w:eastAsia="ru-RU"/>
              </w:rPr>
              <w:t>, kur</w:t>
            </w:r>
            <w:r>
              <w:rPr>
                <w:szCs w:val="23"/>
                <w:lang w:eastAsia="ru-RU"/>
              </w:rPr>
              <w:t>os</w:t>
            </w:r>
            <w:r w:rsidRPr="00343FFB">
              <w:rPr>
                <w:szCs w:val="23"/>
                <w:lang w:eastAsia="ru-RU"/>
              </w:rPr>
              <w:t xml:space="preserve"> skaitliskā vērtība tiek izteikta </w:t>
            </w:r>
            <w:r w:rsidRPr="00343FFB">
              <w:rPr>
                <w:i/>
                <w:szCs w:val="23"/>
                <w:lang w:eastAsia="ru-RU"/>
              </w:rPr>
              <w:t>euro</w:t>
            </w:r>
            <w:r w:rsidRPr="00343FFB">
              <w:rPr>
                <w:szCs w:val="23"/>
                <w:lang w:eastAsia="ru-RU"/>
              </w:rPr>
              <w:t xml:space="preserve"> un noapaļota, nav personai nelabvēlīgāks par sākotnējo tiesību normu, kurā skaitl</w:t>
            </w:r>
            <w:r>
              <w:rPr>
                <w:szCs w:val="23"/>
                <w:lang w:eastAsia="ru-RU"/>
              </w:rPr>
              <w:t>iskā vērtība ir izteikta latos.</w:t>
            </w:r>
          </w:p>
          <w:p w14:paraId="05F91F00" w14:textId="77777777" w:rsidR="00C01A23" w:rsidRDefault="00C01A23" w:rsidP="00E75B8E">
            <w:pPr>
              <w:jc w:val="both"/>
              <w:rPr>
                <w:szCs w:val="23"/>
                <w:lang w:eastAsia="ru-RU"/>
              </w:rPr>
            </w:pPr>
          </w:p>
          <w:p w14:paraId="05F91F01" w14:textId="147F2234" w:rsidR="00F93AB1" w:rsidRDefault="00C01A23" w:rsidP="00E75B8E">
            <w:pPr>
              <w:pStyle w:val="naiskr"/>
              <w:spacing w:before="0" w:after="0"/>
              <w:ind w:right="81"/>
              <w:jc w:val="both"/>
              <w:rPr>
                <w:sz w:val="23"/>
                <w:szCs w:val="23"/>
                <w:lang w:eastAsia="ru-RU"/>
              </w:rPr>
            </w:pPr>
            <w:r>
              <w:rPr>
                <w:sz w:val="23"/>
                <w:szCs w:val="23"/>
                <w:lang w:eastAsia="ru-RU"/>
              </w:rPr>
              <w:t>2. MK noteikumu 4</w:t>
            </w:r>
            <w:r w:rsidR="002A1326">
              <w:rPr>
                <w:sz w:val="23"/>
                <w:szCs w:val="23"/>
                <w:lang w:eastAsia="ru-RU"/>
              </w:rPr>
              <w:t>5</w:t>
            </w:r>
            <w:r w:rsidR="00A64EF6">
              <w:rPr>
                <w:sz w:val="23"/>
                <w:szCs w:val="23"/>
                <w:lang w:eastAsia="ru-RU"/>
              </w:rPr>
              <w:t>.11.</w:t>
            </w:r>
            <w:r>
              <w:rPr>
                <w:sz w:val="23"/>
                <w:szCs w:val="23"/>
                <w:lang w:eastAsia="ru-RU"/>
              </w:rPr>
              <w:t xml:space="preserve">apakšpunkta un 2.pielikuma </w:t>
            </w:r>
            <w:r w:rsidRPr="00343FFB">
              <w:rPr>
                <w:szCs w:val="23"/>
                <w:lang w:eastAsia="ru-RU"/>
              </w:rPr>
              <w:t>skaitliskā</w:t>
            </w:r>
            <w:r>
              <w:rPr>
                <w:szCs w:val="23"/>
                <w:lang w:eastAsia="ru-RU"/>
              </w:rPr>
              <w:t>s</w:t>
            </w:r>
            <w:r w:rsidRPr="00343FFB">
              <w:rPr>
                <w:szCs w:val="23"/>
                <w:lang w:eastAsia="ru-RU"/>
              </w:rPr>
              <w:t xml:space="preserve"> vērtība</w:t>
            </w:r>
            <w:r>
              <w:rPr>
                <w:szCs w:val="23"/>
                <w:lang w:eastAsia="ru-RU"/>
              </w:rPr>
              <w:t>s</w:t>
            </w:r>
            <w:r w:rsidRPr="00343FFB">
              <w:rPr>
                <w:szCs w:val="23"/>
                <w:lang w:eastAsia="ru-RU"/>
              </w:rPr>
              <w:t xml:space="preserve"> </w:t>
            </w:r>
            <w:r>
              <w:rPr>
                <w:szCs w:val="23"/>
                <w:lang w:eastAsia="ru-RU"/>
              </w:rPr>
              <w:t>ne</w:t>
            </w:r>
            <w:r w:rsidRPr="00343FFB">
              <w:rPr>
                <w:szCs w:val="23"/>
                <w:lang w:eastAsia="ru-RU"/>
              </w:rPr>
              <w:t>tiek izteikta</w:t>
            </w:r>
            <w:r>
              <w:rPr>
                <w:szCs w:val="23"/>
                <w:lang w:eastAsia="ru-RU"/>
              </w:rPr>
              <w:t>s</w:t>
            </w:r>
            <w:r w:rsidRPr="00343FFB">
              <w:rPr>
                <w:szCs w:val="23"/>
                <w:lang w:eastAsia="ru-RU"/>
              </w:rPr>
              <w:t xml:space="preserve"> </w:t>
            </w:r>
            <w:r w:rsidRPr="00343FFB">
              <w:rPr>
                <w:i/>
                <w:szCs w:val="23"/>
                <w:lang w:eastAsia="ru-RU"/>
              </w:rPr>
              <w:t>euro</w:t>
            </w:r>
            <w:r>
              <w:rPr>
                <w:sz w:val="23"/>
                <w:szCs w:val="23"/>
                <w:lang w:eastAsia="ru-RU"/>
              </w:rPr>
              <w:t xml:space="preserve">, jo tās attiecas uz kārtību, kādā veicama projektu iesniegumu vērtēšana, kas šajā </w:t>
            </w:r>
            <w:r w:rsidR="001D1F0B">
              <w:rPr>
                <w:sz w:val="23"/>
                <w:szCs w:val="23"/>
                <w:lang w:eastAsia="ru-RU"/>
              </w:rPr>
              <w:t>apakš</w:t>
            </w:r>
            <w:r>
              <w:rPr>
                <w:sz w:val="23"/>
                <w:szCs w:val="23"/>
                <w:lang w:eastAsia="ru-RU"/>
              </w:rPr>
              <w:t xml:space="preserve">aktivitātē ir noslēgusies un vairs </w:t>
            </w:r>
            <w:r w:rsidR="00965548">
              <w:rPr>
                <w:sz w:val="23"/>
                <w:szCs w:val="23"/>
                <w:lang w:eastAsia="ru-RU"/>
              </w:rPr>
              <w:t>nenotiks</w:t>
            </w:r>
            <w:r>
              <w:rPr>
                <w:sz w:val="23"/>
                <w:szCs w:val="23"/>
                <w:lang w:eastAsia="ru-RU"/>
              </w:rPr>
              <w:t>.</w:t>
            </w:r>
          </w:p>
          <w:p w14:paraId="05F91F02" w14:textId="77777777" w:rsidR="00F63EA7" w:rsidRDefault="00F63EA7" w:rsidP="00E75B8E">
            <w:pPr>
              <w:pStyle w:val="naiskr"/>
              <w:spacing w:before="0" w:after="0"/>
              <w:ind w:right="81"/>
              <w:jc w:val="both"/>
              <w:rPr>
                <w:sz w:val="23"/>
                <w:szCs w:val="23"/>
                <w:lang w:eastAsia="ru-RU"/>
              </w:rPr>
            </w:pPr>
          </w:p>
          <w:p w14:paraId="05F91F03" w14:textId="30486A36" w:rsidR="00353313" w:rsidRPr="00CA6FBF" w:rsidRDefault="00F63EA7" w:rsidP="005344FD">
            <w:pPr>
              <w:pStyle w:val="naiskr"/>
              <w:spacing w:before="0" w:after="0"/>
              <w:ind w:right="81"/>
              <w:jc w:val="both"/>
              <w:rPr>
                <w:sz w:val="28"/>
                <w:szCs w:val="28"/>
              </w:rPr>
            </w:pPr>
            <w:r w:rsidRPr="00FE1B73">
              <w:rPr>
                <w:szCs w:val="23"/>
                <w:lang w:eastAsia="ru-RU"/>
              </w:rPr>
              <w:t xml:space="preserve">Turklāt pievienotajā pielikumā tiek noteikts MK noteikumu projektā ietverto skaitļu pārrēķins no latiem uz </w:t>
            </w:r>
            <w:r w:rsidRPr="00FE1B73">
              <w:rPr>
                <w:i/>
                <w:szCs w:val="23"/>
                <w:lang w:eastAsia="ru-RU"/>
              </w:rPr>
              <w:t>euro</w:t>
            </w:r>
            <w:r w:rsidRPr="00FE1B73">
              <w:rPr>
                <w:szCs w:val="23"/>
                <w:lang w:eastAsia="ru-RU"/>
              </w:rPr>
              <w:t>, atspoguļojot izmaiņas pret sākotnēji norādīto summu</w:t>
            </w:r>
          </w:p>
        </w:tc>
      </w:tr>
      <w:tr w:rsidR="00A96DE5" w:rsidRPr="00DE1B21" w14:paraId="05F91F08" w14:textId="77777777" w:rsidTr="00A64EF6">
        <w:trPr>
          <w:trHeight w:val="476"/>
        </w:trPr>
        <w:tc>
          <w:tcPr>
            <w:tcW w:w="360" w:type="dxa"/>
          </w:tcPr>
          <w:p w14:paraId="05F91F05" w14:textId="77777777" w:rsidR="00A96DE5" w:rsidRPr="00DE1B21" w:rsidRDefault="00A96DE5" w:rsidP="00E75B8E">
            <w:pPr>
              <w:pStyle w:val="naiskr"/>
              <w:spacing w:before="0" w:after="0"/>
            </w:pPr>
            <w:r w:rsidRPr="00DE1B21">
              <w:lastRenderedPageBreak/>
              <w:t>5.</w:t>
            </w:r>
          </w:p>
        </w:tc>
        <w:tc>
          <w:tcPr>
            <w:tcW w:w="2339" w:type="dxa"/>
          </w:tcPr>
          <w:p w14:paraId="05F91F06" w14:textId="77777777" w:rsidR="00A96DE5" w:rsidRPr="00DE1B21" w:rsidRDefault="00A96DE5" w:rsidP="00E75B8E">
            <w:pPr>
              <w:pStyle w:val="naiskr"/>
              <w:spacing w:before="0" w:after="0"/>
            </w:pPr>
            <w:r w:rsidRPr="00DE1B21">
              <w:t>Projekta izstrādē iesaistītās institūcijas</w:t>
            </w:r>
          </w:p>
        </w:tc>
        <w:tc>
          <w:tcPr>
            <w:tcW w:w="6666" w:type="dxa"/>
          </w:tcPr>
          <w:p w14:paraId="05F91F07" w14:textId="77777777" w:rsidR="00A96DE5" w:rsidRPr="00DE1B21" w:rsidRDefault="00A96DE5" w:rsidP="00E75B8E">
            <w:pPr>
              <w:pStyle w:val="naiskr"/>
              <w:spacing w:before="0" w:after="0"/>
              <w:ind w:right="81"/>
              <w:jc w:val="both"/>
            </w:pPr>
            <w:r w:rsidRPr="00741B7C">
              <w:t xml:space="preserve">Valsts kancelejas Eiropas Savienības struktūrfondu departaments </w:t>
            </w:r>
          </w:p>
        </w:tc>
      </w:tr>
      <w:tr w:rsidR="00A96DE5" w:rsidRPr="00DE1B21" w14:paraId="05F91F0C" w14:textId="77777777" w:rsidTr="00A64EF6">
        <w:trPr>
          <w:trHeight w:val="1036"/>
        </w:trPr>
        <w:tc>
          <w:tcPr>
            <w:tcW w:w="360" w:type="dxa"/>
            <w:tcBorders>
              <w:bottom w:val="single" w:sz="4" w:space="0" w:color="auto"/>
            </w:tcBorders>
          </w:tcPr>
          <w:p w14:paraId="05F91F09" w14:textId="77777777" w:rsidR="00A96DE5" w:rsidRPr="00DE1B21" w:rsidRDefault="00A96DE5" w:rsidP="00E75B8E">
            <w:pPr>
              <w:pStyle w:val="naiskr"/>
              <w:spacing w:before="0" w:after="0"/>
            </w:pPr>
            <w:r w:rsidRPr="00DE1B21">
              <w:t>6.</w:t>
            </w:r>
          </w:p>
        </w:tc>
        <w:tc>
          <w:tcPr>
            <w:tcW w:w="2339" w:type="dxa"/>
            <w:tcBorders>
              <w:bottom w:val="single" w:sz="4" w:space="0" w:color="auto"/>
            </w:tcBorders>
          </w:tcPr>
          <w:p w14:paraId="05F91F0A" w14:textId="77777777" w:rsidR="00A96DE5" w:rsidRPr="00DE1B21" w:rsidRDefault="00A96DE5" w:rsidP="00E75B8E">
            <w:pPr>
              <w:pStyle w:val="naiskr"/>
              <w:spacing w:before="0" w:after="0"/>
              <w:rPr>
                <w:i/>
                <w:highlight w:val="yellow"/>
              </w:rPr>
            </w:pPr>
            <w:r w:rsidRPr="00DE1B21">
              <w:t>Iemesli, kādēļ netika nodrošināta sabiedrības līdzdalība</w:t>
            </w:r>
          </w:p>
        </w:tc>
        <w:tc>
          <w:tcPr>
            <w:tcW w:w="6666" w:type="dxa"/>
            <w:tcBorders>
              <w:bottom w:val="single" w:sz="4" w:space="0" w:color="auto"/>
            </w:tcBorders>
          </w:tcPr>
          <w:p w14:paraId="05F91F0B" w14:textId="6974916A" w:rsidR="00A96DE5" w:rsidRPr="00741B7C" w:rsidRDefault="00A96DE5" w:rsidP="00A64EF6">
            <w:pPr>
              <w:pStyle w:val="naiskr"/>
              <w:spacing w:before="0" w:after="0"/>
              <w:ind w:right="81"/>
              <w:jc w:val="both"/>
            </w:pPr>
            <w:r w:rsidRPr="00A90779">
              <w:t xml:space="preserve">Sabiedrības līdzdalība tika nodrošināta </w:t>
            </w:r>
            <w:proofErr w:type="spellStart"/>
            <w:r w:rsidRPr="00CA74B2">
              <w:rPr>
                <w:i/>
              </w:rPr>
              <w:t>Euro</w:t>
            </w:r>
            <w:proofErr w:type="spellEnd"/>
            <w:r w:rsidRPr="00A90779">
              <w:t xml:space="preserve"> ieviešanas kārtības likuma izstrādes ietvaros, ņemot vērā to, ka MK noteikumu projekts tiek izstrādāts</w:t>
            </w:r>
            <w:r w:rsidR="00A64EF6">
              <w:t>,</w:t>
            </w:r>
            <w:r w:rsidRPr="00A90779">
              <w:t xml:space="preserve"> pamatojoties uz minēto likumu un ietver tikai tehniskos precizējumus, </w:t>
            </w:r>
            <w:r>
              <w:t xml:space="preserve">tad </w:t>
            </w:r>
            <w:r w:rsidRPr="00A90779">
              <w:t>sabiedrības līdzdalība MK noteikumu proje</w:t>
            </w:r>
            <w:r w:rsidR="00E55421">
              <w:t>kta izstrādē netika nodrošināta</w:t>
            </w:r>
          </w:p>
        </w:tc>
      </w:tr>
      <w:tr w:rsidR="00A96DE5" w:rsidRPr="00DE1B21" w14:paraId="05F91F10" w14:textId="77777777" w:rsidTr="00A64EF6">
        <w:tc>
          <w:tcPr>
            <w:tcW w:w="360" w:type="dxa"/>
            <w:tcBorders>
              <w:bottom w:val="single" w:sz="4" w:space="0" w:color="auto"/>
            </w:tcBorders>
          </w:tcPr>
          <w:p w14:paraId="05F91F0D" w14:textId="77777777" w:rsidR="00A96DE5" w:rsidRPr="00DE1B21" w:rsidRDefault="00A96DE5" w:rsidP="00E75B8E">
            <w:pPr>
              <w:pStyle w:val="naiskr"/>
              <w:spacing w:before="0" w:after="0"/>
            </w:pPr>
            <w:r w:rsidRPr="00DE1B21">
              <w:t>7.</w:t>
            </w:r>
          </w:p>
        </w:tc>
        <w:tc>
          <w:tcPr>
            <w:tcW w:w="2339" w:type="dxa"/>
            <w:tcBorders>
              <w:bottom w:val="single" w:sz="4" w:space="0" w:color="auto"/>
            </w:tcBorders>
          </w:tcPr>
          <w:p w14:paraId="05F91F0E" w14:textId="77777777" w:rsidR="00A96DE5" w:rsidRPr="00DE1B21" w:rsidRDefault="00A96DE5" w:rsidP="00E75B8E">
            <w:pPr>
              <w:pStyle w:val="naiskr"/>
              <w:spacing w:before="0" w:after="0"/>
            </w:pPr>
            <w:r w:rsidRPr="00DE1B21">
              <w:t>Cita informācija</w:t>
            </w:r>
          </w:p>
        </w:tc>
        <w:tc>
          <w:tcPr>
            <w:tcW w:w="6666" w:type="dxa"/>
            <w:tcBorders>
              <w:bottom w:val="single" w:sz="4" w:space="0" w:color="auto"/>
            </w:tcBorders>
          </w:tcPr>
          <w:p w14:paraId="05F91F0F" w14:textId="77777777" w:rsidR="00A96DE5" w:rsidRPr="00DE1B21" w:rsidRDefault="00A96DE5" w:rsidP="00E75B8E">
            <w:pPr>
              <w:pStyle w:val="naiskr"/>
              <w:spacing w:before="0" w:after="0"/>
              <w:ind w:right="81"/>
              <w:jc w:val="both"/>
            </w:pPr>
            <w:r w:rsidRPr="00DE1B21">
              <w:t>Nav</w:t>
            </w:r>
          </w:p>
        </w:tc>
      </w:tr>
      <w:tr w:rsidR="00A96DE5" w:rsidRPr="00DE1B21" w14:paraId="05F91F15" w14:textId="77777777" w:rsidTr="00A64EF6">
        <w:tc>
          <w:tcPr>
            <w:tcW w:w="360" w:type="dxa"/>
            <w:tcBorders>
              <w:top w:val="single" w:sz="4" w:space="0" w:color="auto"/>
              <w:left w:val="nil"/>
              <w:bottom w:val="nil"/>
              <w:right w:val="nil"/>
            </w:tcBorders>
          </w:tcPr>
          <w:p w14:paraId="05F91F11" w14:textId="77777777" w:rsidR="00A96DE5" w:rsidRDefault="00A96DE5" w:rsidP="00E75B8E">
            <w:pPr>
              <w:pStyle w:val="naiskr"/>
              <w:spacing w:before="0" w:after="0"/>
            </w:pPr>
          </w:p>
          <w:p w14:paraId="05F91F12" w14:textId="77777777" w:rsidR="00A96DE5" w:rsidRPr="00DE1B21" w:rsidRDefault="00A96DE5" w:rsidP="00E75B8E">
            <w:pPr>
              <w:pStyle w:val="naiskr"/>
              <w:spacing w:before="0" w:after="0"/>
            </w:pPr>
          </w:p>
        </w:tc>
        <w:tc>
          <w:tcPr>
            <w:tcW w:w="2339" w:type="dxa"/>
            <w:tcBorders>
              <w:top w:val="single" w:sz="4" w:space="0" w:color="auto"/>
              <w:left w:val="nil"/>
              <w:bottom w:val="nil"/>
              <w:right w:val="nil"/>
            </w:tcBorders>
          </w:tcPr>
          <w:p w14:paraId="05F91F13" w14:textId="77777777" w:rsidR="00A96DE5" w:rsidRPr="00DE1B21" w:rsidRDefault="00A96DE5" w:rsidP="00E75B8E">
            <w:pPr>
              <w:pStyle w:val="naiskr"/>
              <w:spacing w:before="0" w:after="0"/>
            </w:pPr>
          </w:p>
        </w:tc>
        <w:tc>
          <w:tcPr>
            <w:tcW w:w="6666" w:type="dxa"/>
            <w:tcBorders>
              <w:top w:val="single" w:sz="4" w:space="0" w:color="auto"/>
              <w:left w:val="nil"/>
              <w:bottom w:val="nil"/>
              <w:right w:val="nil"/>
            </w:tcBorders>
          </w:tcPr>
          <w:p w14:paraId="05F91F14" w14:textId="77777777" w:rsidR="00A96DE5" w:rsidRPr="00DE1B21" w:rsidRDefault="00A96DE5" w:rsidP="00E75B8E">
            <w:pPr>
              <w:pStyle w:val="naiskr"/>
              <w:spacing w:before="0" w:after="0"/>
              <w:ind w:left="180"/>
            </w:pPr>
          </w:p>
        </w:tc>
      </w:tr>
    </w:tbl>
    <w:tbl>
      <w:tblPr>
        <w:tblW w:w="9264"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499"/>
        <w:gridCol w:w="5339"/>
      </w:tblGrid>
      <w:tr w:rsidR="00A96DE5" w:rsidRPr="00683EBF" w14:paraId="05F91F17" w14:textId="77777777" w:rsidTr="00C80FE0">
        <w:trPr>
          <w:trHeight w:val="565"/>
          <w:jc w:val="center"/>
        </w:trPr>
        <w:tc>
          <w:tcPr>
            <w:tcW w:w="9264" w:type="dxa"/>
            <w:gridSpan w:val="3"/>
            <w:vAlign w:val="center"/>
          </w:tcPr>
          <w:p w14:paraId="05F91F16" w14:textId="77777777" w:rsidR="00A96DE5" w:rsidRPr="00683EBF" w:rsidRDefault="00A96DE5" w:rsidP="00E75B8E">
            <w:pPr>
              <w:pStyle w:val="naisnod"/>
              <w:spacing w:before="0" w:after="0"/>
            </w:pPr>
            <w:r w:rsidRPr="00683EBF">
              <w:t>II. Tiesību akta projekta ietekme uz sabiedrību</w:t>
            </w:r>
          </w:p>
        </w:tc>
      </w:tr>
      <w:tr w:rsidR="00A96DE5" w:rsidRPr="00683EBF" w14:paraId="05F91F1B" w14:textId="77777777" w:rsidTr="00A64EF6">
        <w:trPr>
          <w:trHeight w:val="467"/>
          <w:jc w:val="center"/>
        </w:trPr>
        <w:tc>
          <w:tcPr>
            <w:tcW w:w="426" w:type="dxa"/>
          </w:tcPr>
          <w:p w14:paraId="05F91F18" w14:textId="77777777" w:rsidR="00A96DE5" w:rsidRPr="00683EBF" w:rsidRDefault="00A96DE5" w:rsidP="00E75B8E">
            <w:pPr>
              <w:pStyle w:val="naiskr"/>
              <w:spacing w:before="0" w:after="0"/>
            </w:pPr>
            <w:r w:rsidRPr="00683EBF">
              <w:t>1.</w:t>
            </w:r>
          </w:p>
        </w:tc>
        <w:tc>
          <w:tcPr>
            <w:tcW w:w="3499" w:type="dxa"/>
          </w:tcPr>
          <w:p w14:paraId="05F91F19" w14:textId="77777777" w:rsidR="00A96DE5" w:rsidRPr="00683EBF" w:rsidRDefault="00A96DE5" w:rsidP="00E75B8E">
            <w:pPr>
              <w:pStyle w:val="naiskr"/>
              <w:spacing w:before="0" w:after="0"/>
            </w:pPr>
            <w:r w:rsidRPr="00683EBF">
              <w:t>Sabiedrības mērķgrupa</w:t>
            </w:r>
          </w:p>
        </w:tc>
        <w:tc>
          <w:tcPr>
            <w:tcW w:w="5339" w:type="dxa"/>
          </w:tcPr>
          <w:p w14:paraId="05F91F1A" w14:textId="4F91FFD4" w:rsidR="00A96DE5" w:rsidRPr="00683EBF" w:rsidRDefault="00A96DE5" w:rsidP="00E75B8E">
            <w:pPr>
              <w:pStyle w:val="naiskr"/>
              <w:spacing w:before="0" w:after="0"/>
              <w:ind w:right="81"/>
              <w:jc w:val="both"/>
            </w:pPr>
            <w:r>
              <w:t xml:space="preserve">MK noteikumu projektā ir iekļautas normas, kas attiecas uz </w:t>
            </w:r>
            <w:r w:rsidR="00E55421">
              <w:t>ES fondu finansējuma saņēmējiem</w:t>
            </w:r>
          </w:p>
        </w:tc>
      </w:tr>
      <w:tr w:rsidR="00A96DE5" w:rsidRPr="00683EBF" w14:paraId="05F91F1F" w14:textId="77777777" w:rsidTr="00A64EF6">
        <w:trPr>
          <w:trHeight w:val="523"/>
          <w:jc w:val="center"/>
        </w:trPr>
        <w:tc>
          <w:tcPr>
            <w:tcW w:w="426" w:type="dxa"/>
          </w:tcPr>
          <w:p w14:paraId="05F91F1C" w14:textId="77777777" w:rsidR="00A96DE5" w:rsidRPr="00683EBF" w:rsidRDefault="00A96DE5" w:rsidP="00E75B8E">
            <w:pPr>
              <w:pStyle w:val="naiskr"/>
              <w:spacing w:before="0" w:after="0"/>
            </w:pPr>
            <w:r w:rsidRPr="00683EBF">
              <w:t>2.</w:t>
            </w:r>
          </w:p>
        </w:tc>
        <w:tc>
          <w:tcPr>
            <w:tcW w:w="3499" w:type="dxa"/>
          </w:tcPr>
          <w:p w14:paraId="05F91F1D" w14:textId="77777777" w:rsidR="00A96DE5" w:rsidRPr="00683EBF" w:rsidRDefault="00A96DE5" w:rsidP="00E75B8E">
            <w:pPr>
              <w:pStyle w:val="naiskr"/>
              <w:spacing w:before="0" w:after="0"/>
            </w:pPr>
            <w:r w:rsidRPr="00683EBF">
              <w:t>Citas sabiedrības grupas (bez mērķgrupas), kuras tiesiskais regulējums arī ietekmē vai varētu ietekmēt</w:t>
            </w:r>
          </w:p>
        </w:tc>
        <w:tc>
          <w:tcPr>
            <w:tcW w:w="5339" w:type="dxa"/>
          </w:tcPr>
          <w:p w14:paraId="05F91F1E" w14:textId="2F4BBC77" w:rsidR="00A96DE5" w:rsidRPr="00683EBF" w:rsidRDefault="00E55421" w:rsidP="00E75B8E">
            <w:pPr>
              <w:pStyle w:val="naiskr"/>
              <w:spacing w:before="0" w:after="0"/>
              <w:ind w:right="81"/>
              <w:jc w:val="both"/>
            </w:pPr>
            <w:r>
              <w:t>Nav</w:t>
            </w:r>
          </w:p>
        </w:tc>
      </w:tr>
      <w:tr w:rsidR="00A96DE5" w:rsidRPr="00683EBF" w14:paraId="05F91F23" w14:textId="77777777" w:rsidTr="00A64EF6">
        <w:trPr>
          <w:trHeight w:val="311"/>
          <w:jc w:val="center"/>
        </w:trPr>
        <w:tc>
          <w:tcPr>
            <w:tcW w:w="426" w:type="dxa"/>
          </w:tcPr>
          <w:p w14:paraId="05F91F20" w14:textId="77777777" w:rsidR="00A96DE5" w:rsidRPr="00683EBF" w:rsidRDefault="00A96DE5" w:rsidP="00E75B8E">
            <w:pPr>
              <w:pStyle w:val="naiskr"/>
              <w:spacing w:before="0" w:after="0"/>
            </w:pPr>
            <w:r w:rsidRPr="00683EBF">
              <w:t>3.</w:t>
            </w:r>
          </w:p>
        </w:tc>
        <w:tc>
          <w:tcPr>
            <w:tcW w:w="3499" w:type="dxa"/>
          </w:tcPr>
          <w:p w14:paraId="05F91F21" w14:textId="77777777" w:rsidR="00A96DE5" w:rsidRPr="00683EBF" w:rsidRDefault="00A96DE5" w:rsidP="00E75B8E">
            <w:pPr>
              <w:pStyle w:val="naiskr"/>
              <w:spacing w:before="0" w:after="0"/>
            </w:pPr>
            <w:r w:rsidRPr="002219E9">
              <w:t>Tiesiskā regulējuma finansiālā ietekme</w:t>
            </w:r>
          </w:p>
        </w:tc>
        <w:tc>
          <w:tcPr>
            <w:tcW w:w="5339" w:type="dxa"/>
          </w:tcPr>
          <w:p w14:paraId="05F91F22" w14:textId="45A7B49E" w:rsidR="00A96DE5" w:rsidRPr="00683EBF" w:rsidRDefault="00E55421" w:rsidP="00E75B8E">
            <w:pPr>
              <w:pStyle w:val="naiskr"/>
              <w:spacing w:before="0" w:after="0"/>
              <w:ind w:right="81"/>
              <w:jc w:val="both"/>
            </w:pPr>
            <w:r>
              <w:t>Projekts šo jomu neskar</w:t>
            </w:r>
          </w:p>
        </w:tc>
      </w:tr>
      <w:tr w:rsidR="00A96DE5" w:rsidRPr="00683EBF" w14:paraId="05F91F27" w14:textId="77777777" w:rsidTr="00A64EF6">
        <w:trPr>
          <w:trHeight w:val="273"/>
          <w:jc w:val="center"/>
        </w:trPr>
        <w:tc>
          <w:tcPr>
            <w:tcW w:w="426" w:type="dxa"/>
          </w:tcPr>
          <w:p w14:paraId="05F91F24" w14:textId="77777777" w:rsidR="00A96DE5" w:rsidRPr="00683EBF" w:rsidRDefault="00A96DE5" w:rsidP="00E75B8E">
            <w:pPr>
              <w:pStyle w:val="naiskr"/>
              <w:spacing w:before="0" w:after="0"/>
            </w:pPr>
            <w:r w:rsidRPr="00683EBF">
              <w:t>4.</w:t>
            </w:r>
          </w:p>
        </w:tc>
        <w:tc>
          <w:tcPr>
            <w:tcW w:w="3499" w:type="dxa"/>
          </w:tcPr>
          <w:p w14:paraId="05F91F25" w14:textId="77777777" w:rsidR="00A96DE5" w:rsidRPr="00683EBF" w:rsidRDefault="00A96DE5" w:rsidP="00E75B8E">
            <w:pPr>
              <w:pStyle w:val="naiskr"/>
              <w:spacing w:before="0" w:after="0"/>
            </w:pPr>
            <w:r w:rsidRPr="00683EBF">
              <w:t>Tiesiskā regulējuma nefinansiālā ietekme</w:t>
            </w:r>
          </w:p>
        </w:tc>
        <w:tc>
          <w:tcPr>
            <w:tcW w:w="5339" w:type="dxa"/>
          </w:tcPr>
          <w:p w14:paraId="05F91F26" w14:textId="6411FD24" w:rsidR="00A96DE5" w:rsidRPr="00683EBF" w:rsidRDefault="00A96DE5" w:rsidP="00E75B8E">
            <w:pPr>
              <w:pStyle w:val="naiskr"/>
              <w:spacing w:before="0" w:after="0"/>
              <w:ind w:right="81"/>
              <w:jc w:val="both"/>
            </w:pPr>
            <w:r>
              <w:t>Projekts šo jomu neskar</w:t>
            </w:r>
          </w:p>
        </w:tc>
      </w:tr>
      <w:tr w:rsidR="00A96DE5" w:rsidRPr="00683EBF" w14:paraId="05F91F2B" w14:textId="77777777" w:rsidTr="00A64EF6">
        <w:trPr>
          <w:trHeight w:val="321"/>
          <w:jc w:val="center"/>
        </w:trPr>
        <w:tc>
          <w:tcPr>
            <w:tcW w:w="426" w:type="dxa"/>
          </w:tcPr>
          <w:p w14:paraId="05F91F28" w14:textId="77777777" w:rsidR="00A96DE5" w:rsidRPr="00683EBF" w:rsidRDefault="00A96DE5" w:rsidP="00E75B8E">
            <w:pPr>
              <w:pStyle w:val="naiskr"/>
              <w:spacing w:before="0" w:after="0"/>
            </w:pPr>
            <w:r w:rsidRPr="00683EBF">
              <w:t>5.</w:t>
            </w:r>
          </w:p>
        </w:tc>
        <w:tc>
          <w:tcPr>
            <w:tcW w:w="3499" w:type="dxa"/>
          </w:tcPr>
          <w:p w14:paraId="05F91F29" w14:textId="77777777" w:rsidR="00A96DE5" w:rsidRPr="00683EBF" w:rsidRDefault="00A96DE5" w:rsidP="00E75B8E">
            <w:pPr>
              <w:pStyle w:val="naiskr"/>
              <w:spacing w:before="0" w:after="0"/>
            </w:pPr>
            <w:r w:rsidRPr="00683EBF">
              <w:t>Administratīvās procedūras raksturojums</w:t>
            </w:r>
          </w:p>
        </w:tc>
        <w:tc>
          <w:tcPr>
            <w:tcW w:w="5339" w:type="dxa"/>
          </w:tcPr>
          <w:p w14:paraId="05F91F2A" w14:textId="28BC8A4A" w:rsidR="00A96DE5" w:rsidRPr="00683EBF" w:rsidRDefault="00A96DE5" w:rsidP="00E75B8E">
            <w:pPr>
              <w:pStyle w:val="naiskr"/>
              <w:spacing w:before="0" w:after="0"/>
              <w:ind w:right="81"/>
              <w:jc w:val="both"/>
            </w:pPr>
            <w:r w:rsidRPr="006C1420">
              <w:t xml:space="preserve">Projekts šo </w:t>
            </w:r>
            <w:r w:rsidR="00E55421">
              <w:t>jomu neskar</w:t>
            </w:r>
          </w:p>
        </w:tc>
      </w:tr>
      <w:tr w:rsidR="00A96DE5" w:rsidRPr="00683EBF" w14:paraId="05F91F2F" w14:textId="77777777" w:rsidTr="00A64EF6">
        <w:trPr>
          <w:trHeight w:val="357"/>
          <w:jc w:val="center"/>
        </w:trPr>
        <w:tc>
          <w:tcPr>
            <w:tcW w:w="426" w:type="dxa"/>
          </w:tcPr>
          <w:p w14:paraId="05F91F2C" w14:textId="77777777" w:rsidR="00A96DE5" w:rsidRPr="00683EBF" w:rsidRDefault="00A96DE5" w:rsidP="00E75B8E">
            <w:pPr>
              <w:pStyle w:val="naiskr"/>
              <w:spacing w:before="0" w:after="0"/>
            </w:pPr>
            <w:r w:rsidRPr="00683EBF">
              <w:t>6.</w:t>
            </w:r>
          </w:p>
        </w:tc>
        <w:tc>
          <w:tcPr>
            <w:tcW w:w="3499" w:type="dxa"/>
          </w:tcPr>
          <w:p w14:paraId="05F91F2D" w14:textId="77777777" w:rsidR="00A96DE5" w:rsidRPr="00683EBF" w:rsidRDefault="00A96DE5" w:rsidP="00E75B8E">
            <w:pPr>
              <w:pStyle w:val="naiskr"/>
              <w:spacing w:before="0" w:after="0"/>
            </w:pPr>
            <w:r w:rsidRPr="00683EBF">
              <w:t>Administratīvo izmaksu monetārs novērtējums</w:t>
            </w:r>
          </w:p>
        </w:tc>
        <w:tc>
          <w:tcPr>
            <w:tcW w:w="5339" w:type="dxa"/>
          </w:tcPr>
          <w:p w14:paraId="05F91F2E" w14:textId="045000AD" w:rsidR="00A96DE5" w:rsidRPr="00683EBF" w:rsidRDefault="00E55421" w:rsidP="00E75B8E">
            <w:pPr>
              <w:pStyle w:val="naiskr"/>
              <w:spacing w:before="0" w:after="0"/>
              <w:ind w:right="81"/>
              <w:jc w:val="both"/>
            </w:pPr>
            <w:r>
              <w:t>Projekts šo jomu neskar</w:t>
            </w:r>
          </w:p>
        </w:tc>
      </w:tr>
      <w:tr w:rsidR="00A96DE5" w:rsidRPr="00683EBF" w14:paraId="05F91F33" w14:textId="77777777" w:rsidTr="00A64EF6">
        <w:trPr>
          <w:trHeight w:val="233"/>
          <w:jc w:val="center"/>
        </w:trPr>
        <w:tc>
          <w:tcPr>
            <w:tcW w:w="426" w:type="dxa"/>
          </w:tcPr>
          <w:p w14:paraId="05F91F30" w14:textId="77777777" w:rsidR="00A96DE5" w:rsidRPr="00683EBF" w:rsidRDefault="00A96DE5" w:rsidP="00E75B8E">
            <w:pPr>
              <w:pStyle w:val="naiskr"/>
              <w:spacing w:before="0" w:after="0"/>
            </w:pPr>
            <w:r w:rsidRPr="00683EBF">
              <w:t>7.</w:t>
            </w:r>
          </w:p>
        </w:tc>
        <w:tc>
          <w:tcPr>
            <w:tcW w:w="3499" w:type="dxa"/>
          </w:tcPr>
          <w:p w14:paraId="05F91F31" w14:textId="77777777" w:rsidR="00A96DE5" w:rsidRPr="00683EBF" w:rsidRDefault="00A96DE5" w:rsidP="00E75B8E">
            <w:pPr>
              <w:pStyle w:val="naiskr"/>
              <w:spacing w:before="0" w:after="0"/>
            </w:pPr>
            <w:r w:rsidRPr="00683EBF">
              <w:t>Cita informācija</w:t>
            </w:r>
          </w:p>
        </w:tc>
        <w:tc>
          <w:tcPr>
            <w:tcW w:w="5339" w:type="dxa"/>
          </w:tcPr>
          <w:p w14:paraId="05F91F32" w14:textId="77777777" w:rsidR="00A96DE5" w:rsidRPr="00683EBF" w:rsidRDefault="00A96DE5" w:rsidP="00E75B8E">
            <w:pPr>
              <w:pStyle w:val="naiskr"/>
              <w:spacing w:before="0" w:after="0"/>
              <w:ind w:right="81"/>
              <w:jc w:val="both"/>
            </w:pPr>
            <w:r w:rsidRPr="00683EBF">
              <w:t>Nav</w:t>
            </w:r>
          </w:p>
        </w:tc>
      </w:tr>
    </w:tbl>
    <w:p w14:paraId="05F91F34" w14:textId="77777777" w:rsidR="00A96DE5" w:rsidRDefault="00A96DE5" w:rsidP="00E75B8E">
      <w:pPr>
        <w:pStyle w:val="naiskr"/>
        <w:tabs>
          <w:tab w:val="left" w:pos="2628"/>
        </w:tabs>
        <w:spacing w:before="0" w:after="0"/>
      </w:pPr>
    </w:p>
    <w:p w14:paraId="05F91F35" w14:textId="37FB7BA1" w:rsidR="00A64EF6" w:rsidRDefault="00A64EF6">
      <w:r>
        <w:br w:type="page"/>
      </w:r>
    </w:p>
    <w:p w14:paraId="45C2AD73" w14:textId="77777777" w:rsidR="00B82598" w:rsidRDefault="00B82598" w:rsidP="00E75B8E">
      <w:pPr>
        <w:pStyle w:val="naiskr"/>
        <w:tabs>
          <w:tab w:val="left" w:pos="2628"/>
        </w:tabs>
        <w:spacing w:before="0" w:after="0"/>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1530"/>
        <w:gridCol w:w="1467"/>
        <w:gridCol w:w="1134"/>
        <w:gridCol w:w="1155"/>
        <w:gridCol w:w="1396"/>
      </w:tblGrid>
      <w:tr w:rsidR="00B82598" w14:paraId="05F91F37" w14:textId="77777777" w:rsidTr="00AA72BE">
        <w:trPr>
          <w:trHeight w:val="415"/>
        </w:trPr>
        <w:tc>
          <w:tcPr>
            <w:tcW w:w="9334" w:type="dxa"/>
            <w:gridSpan w:val="6"/>
            <w:vAlign w:val="center"/>
          </w:tcPr>
          <w:p w14:paraId="05F91F36" w14:textId="60F1DF82" w:rsidR="00B82598" w:rsidRDefault="00B82598" w:rsidP="00AA72BE">
            <w:pPr>
              <w:jc w:val="center"/>
            </w:pPr>
            <w:r>
              <w:br w:type="page"/>
            </w:r>
            <w:r>
              <w:br w:type="page"/>
            </w:r>
            <w:r w:rsidRPr="00B97C36">
              <w:rPr>
                <w:b/>
                <w:bCs/>
              </w:rPr>
              <w:t>III</w:t>
            </w:r>
            <w:r>
              <w:t xml:space="preserve"> </w:t>
            </w:r>
            <w:r w:rsidRPr="00B97C36">
              <w:rPr>
                <w:b/>
                <w:bCs/>
              </w:rPr>
              <w:t>Tiesību akta projekta ietekme uz valsts budžetu un pašvaldību budžetiem</w:t>
            </w:r>
            <w:r w:rsidR="00E55421">
              <w:rPr>
                <w:b/>
                <w:bCs/>
              </w:rPr>
              <w:t xml:space="preserve"> </w:t>
            </w:r>
            <w:r w:rsidR="00E55421" w:rsidRPr="00B97C36">
              <w:rPr>
                <w:sz w:val="22"/>
                <w:szCs w:val="22"/>
              </w:rPr>
              <w:t>(tūkst. latu)</w:t>
            </w:r>
          </w:p>
        </w:tc>
      </w:tr>
      <w:tr w:rsidR="00B82598" w14:paraId="05F91F3E" w14:textId="77777777" w:rsidTr="00E55421">
        <w:tc>
          <w:tcPr>
            <w:tcW w:w="2652" w:type="dxa"/>
            <w:vMerge w:val="restart"/>
            <w:vAlign w:val="center"/>
          </w:tcPr>
          <w:p w14:paraId="05F91F3B" w14:textId="77777777" w:rsidR="00B82598" w:rsidRDefault="00B82598" w:rsidP="00E75B8E">
            <w:pPr>
              <w:jc w:val="center"/>
            </w:pPr>
            <w:r w:rsidRPr="00B97C36">
              <w:rPr>
                <w:b/>
                <w:bCs/>
                <w:sz w:val="22"/>
                <w:szCs w:val="22"/>
              </w:rPr>
              <w:t>Rādītāji</w:t>
            </w:r>
          </w:p>
        </w:tc>
        <w:tc>
          <w:tcPr>
            <w:tcW w:w="2997" w:type="dxa"/>
            <w:gridSpan w:val="2"/>
            <w:vMerge w:val="restart"/>
            <w:vAlign w:val="center"/>
          </w:tcPr>
          <w:p w14:paraId="05F91F3C" w14:textId="77777777" w:rsidR="00B82598" w:rsidRDefault="00B82598" w:rsidP="00E75B8E">
            <w:pPr>
              <w:jc w:val="center"/>
            </w:pPr>
            <w:r w:rsidRPr="00B97C36">
              <w:rPr>
                <w:b/>
                <w:bCs/>
                <w:sz w:val="22"/>
                <w:szCs w:val="22"/>
              </w:rPr>
              <w:t>201</w:t>
            </w:r>
            <w:r>
              <w:rPr>
                <w:b/>
                <w:bCs/>
                <w:sz w:val="22"/>
                <w:szCs w:val="22"/>
              </w:rPr>
              <w:t>3</w:t>
            </w:r>
          </w:p>
        </w:tc>
        <w:tc>
          <w:tcPr>
            <w:tcW w:w="3685" w:type="dxa"/>
            <w:gridSpan w:val="3"/>
            <w:vAlign w:val="center"/>
          </w:tcPr>
          <w:p w14:paraId="05F91F3D" w14:textId="77777777" w:rsidR="00B82598" w:rsidRDefault="00B82598" w:rsidP="00E75B8E">
            <w:pPr>
              <w:jc w:val="center"/>
            </w:pPr>
            <w:r w:rsidRPr="00B97C36">
              <w:rPr>
                <w:sz w:val="22"/>
                <w:szCs w:val="22"/>
              </w:rPr>
              <w:t>Turpmākie trīs gadi</w:t>
            </w:r>
          </w:p>
        </w:tc>
      </w:tr>
      <w:tr w:rsidR="00B82598" w14:paraId="05F91F44" w14:textId="77777777" w:rsidTr="00E55421">
        <w:tc>
          <w:tcPr>
            <w:tcW w:w="2652" w:type="dxa"/>
            <w:vMerge/>
          </w:tcPr>
          <w:p w14:paraId="05F91F3F" w14:textId="77777777" w:rsidR="00B82598" w:rsidRDefault="00B82598" w:rsidP="00E75B8E">
            <w:pPr>
              <w:jc w:val="center"/>
            </w:pPr>
          </w:p>
        </w:tc>
        <w:tc>
          <w:tcPr>
            <w:tcW w:w="2997" w:type="dxa"/>
            <w:gridSpan w:val="2"/>
            <w:vMerge/>
          </w:tcPr>
          <w:p w14:paraId="05F91F40" w14:textId="77777777" w:rsidR="00B82598" w:rsidRPr="00B97C36" w:rsidRDefault="00B82598" w:rsidP="00E75B8E">
            <w:pPr>
              <w:jc w:val="center"/>
              <w:rPr>
                <w:b/>
                <w:bCs/>
              </w:rPr>
            </w:pPr>
          </w:p>
        </w:tc>
        <w:tc>
          <w:tcPr>
            <w:tcW w:w="1134" w:type="dxa"/>
            <w:vAlign w:val="bottom"/>
          </w:tcPr>
          <w:p w14:paraId="05F91F41" w14:textId="77777777" w:rsidR="00B82598" w:rsidRPr="00B97C36" w:rsidRDefault="00B82598" w:rsidP="00E75B8E">
            <w:pPr>
              <w:pStyle w:val="naisf"/>
              <w:spacing w:before="0" w:after="0"/>
              <w:ind w:firstLine="0"/>
              <w:jc w:val="center"/>
              <w:rPr>
                <w:b/>
                <w:bCs/>
                <w:i/>
                <w:iCs/>
              </w:rPr>
            </w:pPr>
            <w:r w:rsidRPr="00B97C36">
              <w:rPr>
                <w:b/>
                <w:bCs/>
                <w:sz w:val="22"/>
                <w:szCs w:val="22"/>
              </w:rPr>
              <w:t>201</w:t>
            </w:r>
            <w:r>
              <w:rPr>
                <w:b/>
                <w:bCs/>
                <w:sz w:val="22"/>
                <w:szCs w:val="22"/>
              </w:rPr>
              <w:t>4</w:t>
            </w:r>
          </w:p>
        </w:tc>
        <w:tc>
          <w:tcPr>
            <w:tcW w:w="1155" w:type="dxa"/>
            <w:vAlign w:val="bottom"/>
          </w:tcPr>
          <w:p w14:paraId="05F91F42" w14:textId="77777777" w:rsidR="00B82598" w:rsidRPr="00B97C36" w:rsidRDefault="00B82598" w:rsidP="00E75B8E">
            <w:pPr>
              <w:pStyle w:val="naisf"/>
              <w:spacing w:before="0" w:after="0"/>
              <w:ind w:firstLine="0"/>
              <w:jc w:val="center"/>
              <w:rPr>
                <w:b/>
                <w:bCs/>
                <w:i/>
                <w:iCs/>
              </w:rPr>
            </w:pPr>
            <w:r w:rsidRPr="00B97C36">
              <w:rPr>
                <w:b/>
                <w:bCs/>
                <w:sz w:val="22"/>
                <w:szCs w:val="22"/>
              </w:rPr>
              <w:t>201</w:t>
            </w:r>
            <w:r>
              <w:rPr>
                <w:b/>
                <w:bCs/>
                <w:sz w:val="22"/>
                <w:szCs w:val="22"/>
              </w:rPr>
              <w:t>5</w:t>
            </w:r>
          </w:p>
        </w:tc>
        <w:tc>
          <w:tcPr>
            <w:tcW w:w="1396" w:type="dxa"/>
            <w:vAlign w:val="bottom"/>
          </w:tcPr>
          <w:p w14:paraId="05F91F43" w14:textId="77777777" w:rsidR="00B82598" w:rsidRPr="00B97C36" w:rsidRDefault="00B82598" w:rsidP="00E75B8E">
            <w:pPr>
              <w:pStyle w:val="naisf"/>
              <w:spacing w:before="0" w:after="0"/>
              <w:ind w:firstLine="0"/>
              <w:jc w:val="center"/>
              <w:rPr>
                <w:b/>
                <w:bCs/>
                <w:i/>
                <w:iCs/>
              </w:rPr>
            </w:pPr>
            <w:r w:rsidRPr="00B97C36">
              <w:rPr>
                <w:b/>
                <w:bCs/>
                <w:sz w:val="22"/>
                <w:szCs w:val="22"/>
              </w:rPr>
              <w:t>201</w:t>
            </w:r>
            <w:r>
              <w:rPr>
                <w:b/>
                <w:bCs/>
                <w:sz w:val="22"/>
                <w:szCs w:val="22"/>
              </w:rPr>
              <w:t>6</w:t>
            </w:r>
          </w:p>
        </w:tc>
      </w:tr>
      <w:tr w:rsidR="00B82598" w:rsidRPr="003B629D" w14:paraId="05F91F4B" w14:textId="77777777" w:rsidTr="00E55421">
        <w:tc>
          <w:tcPr>
            <w:tcW w:w="2652" w:type="dxa"/>
            <w:vMerge/>
            <w:vAlign w:val="bottom"/>
          </w:tcPr>
          <w:p w14:paraId="05F91F45" w14:textId="77777777" w:rsidR="00B82598" w:rsidRPr="00B97C36" w:rsidRDefault="00B82598" w:rsidP="00E75B8E">
            <w:pPr>
              <w:jc w:val="center"/>
            </w:pPr>
          </w:p>
        </w:tc>
        <w:tc>
          <w:tcPr>
            <w:tcW w:w="1530" w:type="dxa"/>
            <w:vAlign w:val="center"/>
          </w:tcPr>
          <w:p w14:paraId="05F91F46" w14:textId="2A268611" w:rsidR="00B82598" w:rsidRPr="00B97C36" w:rsidRDefault="00E55421" w:rsidP="00E55421">
            <w:pPr>
              <w:jc w:val="center"/>
            </w:pPr>
            <w:r>
              <w:rPr>
                <w:sz w:val="22"/>
                <w:szCs w:val="22"/>
              </w:rPr>
              <w:t>s</w:t>
            </w:r>
            <w:r w:rsidR="00B82598" w:rsidRPr="00B97C36">
              <w:rPr>
                <w:sz w:val="22"/>
                <w:szCs w:val="22"/>
              </w:rPr>
              <w:t>askaņā ar valsts budžetu kārtējam gadam</w:t>
            </w:r>
          </w:p>
        </w:tc>
        <w:tc>
          <w:tcPr>
            <w:tcW w:w="1467" w:type="dxa"/>
            <w:vAlign w:val="center"/>
          </w:tcPr>
          <w:p w14:paraId="05F91F47" w14:textId="3A61615C" w:rsidR="00B82598" w:rsidRPr="00B97C36" w:rsidRDefault="00E55421" w:rsidP="00E55421">
            <w:pPr>
              <w:jc w:val="center"/>
            </w:pPr>
            <w:r>
              <w:rPr>
                <w:sz w:val="22"/>
                <w:szCs w:val="22"/>
              </w:rPr>
              <w:t>i</w:t>
            </w:r>
            <w:r w:rsidR="00B82598" w:rsidRPr="00B97C36">
              <w:rPr>
                <w:sz w:val="22"/>
                <w:szCs w:val="22"/>
              </w:rPr>
              <w:t>zmaiņas kārtējā gadā</w:t>
            </w:r>
            <w:r>
              <w:rPr>
                <w:sz w:val="22"/>
                <w:szCs w:val="22"/>
              </w:rPr>
              <w:t>,</w:t>
            </w:r>
            <w:r w:rsidR="00B82598" w:rsidRPr="00B97C36">
              <w:rPr>
                <w:sz w:val="22"/>
                <w:szCs w:val="22"/>
              </w:rPr>
              <w:t xml:space="preserve"> salīdzinot ar budžetu kārtējam gadam</w:t>
            </w:r>
          </w:p>
        </w:tc>
        <w:tc>
          <w:tcPr>
            <w:tcW w:w="1134" w:type="dxa"/>
            <w:vAlign w:val="center"/>
          </w:tcPr>
          <w:p w14:paraId="05F91F48" w14:textId="02CE9318" w:rsidR="00B82598" w:rsidRPr="00B97C36" w:rsidRDefault="00E55421" w:rsidP="00E55421">
            <w:pPr>
              <w:jc w:val="center"/>
            </w:pPr>
            <w:r>
              <w:rPr>
                <w:sz w:val="22"/>
                <w:szCs w:val="22"/>
              </w:rPr>
              <w:t>i</w:t>
            </w:r>
            <w:r w:rsidR="00B82598" w:rsidRPr="00B97C36">
              <w:rPr>
                <w:sz w:val="22"/>
                <w:szCs w:val="22"/>
              </w:rPr>
              <w:t>zmaiņas</w:t>
            </w:r>
            <w:r>
              <w:rPr>
                <w:sz w:val="22"/>
                <w:szCs w:val="22"/>
              </w:rPr>
              <w:t>,</w:t>
            </w:r>
            <w:r w:rsidR="00B82598" w:rsidRPr="00B97C36">
              <w:rPr>
                <w:sz w:val="22"/>
                <w:szCs w:val="22"/>
              </w:rPr>
              <w:t xml:space="preserve"> salīdzinot ar kārtējo (n) gadu</w:t>
            </w:r>
          </w:p>
        </w:tc>
        <w:tc>
          <w:tcPr>
            <w:tcW w:w="1155" w:type="dxa"/>
            <w:vAlign w:val="center"/>
          </w:tcPr>
          <w:p w14:paraId="05F91F49" w14:textId="3C9092E7" w:rsidR="00B82598" w:rsidRPr="00B97C36" w:rsidRDefault="00E55421" w:rsidP="00E55421">
            <w:pPr>
              <w:jc w:val="center"/>
            </w:pPr>
            <w:r>
              <w:rPr>
                <w:sz w:val="22"/>
                <w:szCs w:val="22"/>
              </w:rPr>
              <w:t>i</w:t>
            </w:r>
            <w:r w:rsidR="00B82598" w:rsidRPr="00B97C36">
              <w:rPr>
                <w:sz w:val="22"/>
                <w:szCs w:val="22"/>
              </w:rPr>
              <w:t>zmaiņas</w:t>
            </w:r>
            <w:r>
              <w:rPr>
                <w:sz w:val="22"/>
                <w:szCs w:val="22"/>
              </w:rPr>
              <w:t>,</w:t>
            </w:r>
            <w:r w:rsidR="00B82598" w:rsidRPr="00B97C36">
              <w:rPr>
                <w:sz w:val="22"/>
                <w:szCs w:val="22"/>
              </w:rPr>
              <w:t xml:space="preserve"> salīdzinot ar kārtējo (n) gadu</w:t>
            </w:r>
          </w:p>
        </w:tc>
        <w:tc>
          <w:tcPr>
            <w:tcW w:w="1396" w:type="dxa"/>
            <w:vAlign w:val="center"/>
          </w:tcPr>
          <w:p w14:paraId="05F91F4A" w14:textId="3DC947E0" w:rsidR="00B82598" w:rsidRPr="00B97C36" w:rsidRDefault="00E55421" w:rsidP="00E55421">
            <w:pPr>
              <w:jc w:val="center"/>
            </w:pPr>
            <w:r>
              <w:rPr>
                <w:sz w:val="22"/>
                <w:szCs w:val="22"/>
              </w:rPr>
              <w:t>i</w:t>
            </w:r>
            <w:r w:rsidR="00B82598" w:rsidRPr="00B97C36">
              <w:rPr>
                <w:sz w:val="22"/>
                <w:szCs w:val="22"/>
              </w:rPr>
              <w:t>zmaiņas</w:t>
            </w:r>
            <w:r>
              <w:rPr>
                <w:sz w:val="22"/>
                <w:szCs w:val="22"/>
              </w:rPr>
              <w:t>,</w:t>
            </w:r>
            <w:r w:rsidR="00B82598" w:rsidRPr="00B97C36">
              <w:rPr>
                <w:sz w:val="22"/>
                <w:szCs w:val="22"/>
              </w:rPr>
              <w:t xml:space="preserve"> salīdzinot ar kārtējo (n) gadu</w:t>
            </w:r>
          </w:p>
        </w:tc>
      </w:tr>
      <w:tr w:rsidR="00B82598" w14:paraId="05F91F52" w14:textId="77777777" w:rsidTr="00E55421">
        <w:tc>
          <w:tcPr>
            <w:tcW w:w="2652" w:type="dxa"/>
          </w:tcPr>
          <w:p w14:paraId="05F91F4C" w14:textId="77777777" w:rsidR="00B82598" w:rsidRPr="00B97C36" w:rsidRDefault="00B82598" w:rsidP="00E75B8E">
            <w:pPr>
              <w:pStyle w:val="naisf"/>
              <w:spacing w:before="0" w:after="0"/>
              <w:ind w:firstLine="0"/>
              <w:jc w:val="center"/>
              <w:rPr>
                <w:b/>
                <w:bCs/>
              </w:rPr>
            </w:pPr>
            <w:r w:rsidRPr="00B97C36">
              <w:rPr>
                <w:b/>
                <w:bCs/>
                <w:sz w:val="22"/>
                <w:szCs w:val="22"/>
              </w:rPr>
              <w:t>1</w:t>
            </w:r>
          </w:p>
        </w:tc>
        <w:tc>
          <w:tcPr>
            <w:tcW w:w="1530" w:type="dxa"/>
          </w:tcPr>
          <w:p w14:paraId="05F91F4D" w14:textId="77777777" w:rsidR="00B82598" w:rsidRPr="00B97C36" w:rsidRDefault="00B82598" w:rsidP="00E75B8E">
            <w:pPr>
              <w:pStyle w:val="naisf"/>
              <w:spacing w:before="0" w:after="0"/>
              <w:ind w:firstLine="0"/>
              <w:jc w:val="center"/>
              <w:rPr>
                <w:b/>
                <w:bCs/>
              </w:rPr>
            </w:pPr>
            <w:r w:rsidRPr="00B97C36">
              <w:rPr>
                <w:b/>
                <w:bCs/>
                <w:sz w:val="22"/>
                <w:szCs w:val="22"/>
              </w:rPr>
              <w:t>2</w:t>
            </w:r>
          </w:p>
        </w:tc>
        <w:tc>
          <w:tcPr>
            <w:tcW w:w="1467" w:type="dxa"/>
          </w:tcPr>
          <w:p w14:paraId="05F91F4E" w14:textId="77777777" w:rsidR="00B82598" w:rsidRPr="00B97C36" w:rsidRDefault="00B82598" w:rsidP="00E75B8E">
            <w:pPr>
              <w:pStyle w:val="naisf"/>
              <w:spacing w:before="0" w:after="0"/>
              <w:ind w:firstLine="0"/>
              <w:jc w:val="center"/>
              <w:rPr>
                <w:b/>
                <w:bCs/>
              </w:rPr>
            </w:pPr>
            <w:r w:rsidRPr="00B97C36">
              <w:rPr>
                <w:b/>
                <w:bCs/>
                <w:sz w:val="22"/>
                <w:szCs w:val="22"/>
              </w:rPr>
              <w:t>3</w:t>
            </w:r>
          </w:p>
        </w:tc>
        <w:tc>
          <w:tcPr>
            <w:tcW w:w="1134" w:type="dxa"/>
          </w:tcPr>
          <w:p w14:paraId="05F91F4F" w14:textId="77777777" w:rsidR="00B82598" w:rsidRPr="00B97C36" w:rsidRDefault="00B82598" w:rsidP="00E75B8E">
            <w:pPr>
              <w:pStyle w:val="naisf"/>
              <w:spacing w:before="0" w:after="0"/>
              <w:ind w:firstLine="0"/>
              <w:jc w:val="center"/>
              <w:rPr>
                <w:b/>
                <w:bCs/>
              </w:rPr>
            </w:pPr>
            <w:r w:rsidRPr="00B97C36">
              <w:rPr>
                <w:b/>
                <w:bCs/>
                <w:sz w:val="22"/>
                <w:szCs w:val="22"/>
              </w:rPr>
              <w:t>4</w:t>
            </w:r>
          </w:p>
        </w:tc>
        <w:tc>
          <w:tcPr>
            <w:tcW w:w="1155" w:type="dxa"/>
          </w:tcPr>
          <w:p w14:paraId="05F91F50" w14:textId="77777777" w:rsidR="00B82598" w:rsidRPr="00B97C36" w:rsidRDefault="00B82598" w:rsidP="00E75B8E">
            <w:pPr>
              <w:pStyle w:val="naisf"/>
              <w:spacing w:before="0" w:after="0"/>
              <w:ind w:firstLine="0"/>
              <w:jc w:val="center"/>
              <w:rPr>
                <w:b/>
                <w:bCs/>
              </w:rPr>
            </w:pPr>
            <w:r w:rsidRPr="00B97C36">
              <w:rPr>
                <w:b/>
                <w:bCs/>
                <w:sz w:val="22"/>
                <w:szCs w:val="22"/>
              </w:rPr>
              <w:t>5</w:t>
            </w:r>
          </w:p>
        </w:tc>
        <w:tc>
          <w:tcPr>
            <w:tcW w:w="1396" w:type="dxa"/>
          </w:tcPr>
          <w:p w14:paraId="05F91F51" w14:textId="77777777" w:rsidR="00B82598" w:rsidRPr="00B97C36" w:rsidRDefault="00B82598" w:rsidP="00E75B8E">
            <w:pPr>
              <w:pStyle w:val="naisf"/>
              <w:spacing w:before="0" w:after="0"/>
              <w:ind w:firstLine="0"/>
              <w:jc w:val="center"/>
              <w:rPr>
                <w:b/>
                <w:bCs/>
              </w:rPr>
            </w:pPr>
            <w:r w:rsidRPr="00B97C36">
              <w:rPr>
                <w:b/>
                <w:bCs/>
                <w:sz w:val="22"/>
                <w:szCs w:val="22"/>
              </w:rPr>
              <w:t>6</w:t>
            </w:r>
          </w:p>
        </w:tc>
      </w:tr>
      <w:tr w:rsidR="00B82598" w14:paraId="05F91F59" w14:textId="77777777" w:rsidTr="00E55421">
        <w:tc>
          <w:tcPr>
            <w:tcW w:w="2652" w:type="dxa"/>
          </w:tcPr>
          <w:p w14:paraId="05F91F53" w14:textId="77777777" w:rsidR="00B82598" w:rsidRDefault="00B82598" w:rsidP="00E75B8E">
            <w:r w:rsidRPr="00B97C36">
              <w:rPr>
                <w:sz w:val="22"/>
                <w:szCs w:val="22"/>
              </w:rPr>
              <w:t>1. Budžeta ieņēmumi:</w:t>
            </w:r>
          </w:p>
        </w:tc>
        <w:tc>
          <w:tcPr>
            <w:tcW w:w="1530" w:type="dxa"/>
          </w:tcPr>
          <w:p w14:paraId="05F91F54" w14:textId="77777777" w:rsidR="00B82598" w:rsidRDefault="00B82598" w:rsidP="00E75B8E"/>
        </w:tc>
        <w:tc>
          <w:tcPr>
            <w:tcW w:w="1467" w:type="dxa"/>
          </w:tcPr>
          <w:p w14:paraId="05F91F55" w14:textId="77777777" w:rsidR="00B82598" w:rsidRDefault="00B82598" w:rsidP="00E75B8E"/>
        </w:tc>
        <w:tc>
          <w:tcPr>
            <w:tcW w:w="1134" w:type="dxa"/>
          </w:tcPr>
          <w:p w14:paraId="05F91F56" w14:textId="77777777" w:rsidR="00B82598" w:rsidRDefault="00B82598" w:rsidP="00E75B8E"/>
        </w:tc>
        <w:tc>
          <w:tcPr>
            <w:tcW w:w="1155" w:type="dxa"/>
          </w:tcPr>
          <w:p w14:paraId="05F91F57" w14:textId="77777777" w:rsidR="00B82598" w:rsidRDefault="00B82598" w:rsidP="00E75B8E"/>
        </w:tc>
        <w:tc>
          <w:tcPr>
            <w:tcW w:w="1396" w:type="dxa"/>
          </w:tcPr>
          <w:p w14:paraId="05F91F58" w14:textId="77777777" w:rsidR="00B82598" w:rsidRDefault="00B82598" w:rsidP="00E75B8E"/>
        </w:tc>
      </w:tr>
      <w:tr w:rsidR="00B82598" w:rsidRPr="003F27FC" w14:paraId="05F91F60" w14:textId="77777777" w:rsidTr="00E55421">
        <w:tc>
          <w:tcPr>
            <w:tcW w:w="2652" w:type="dxa"/>
          </w:tcPr>
          <w:p w14:paraId="05F91F5A" w14:textId="77777777" w:rsidR="00B82598" w:rsidRPr="00B97C36" w:rsidRDefault="00B82598" w:rsidP="00E75B8E">
            <w:r w:rsidRPr="00B97C36">
              <w:rPr>
                <w:sz w:val="22"/>
                <w:szCs w:val="22"/>
              </w:rPr>
              <w:t>1.1. valsts pamatbudžets, tai skaitā ieņēmumi no maksas pakalpojumiem un citi pašu ieņēmumi</w:t>
            </w:r>
          </w:p>
        </w:tc>
        <w:tc>
          <w:tcPr>
            <w:tcW w:w="1530" w:type="dxa"/>
            <w:vAlign w:val="center"/>
          </w:tcPr>
          <w:p w14:paraId="05F91F5B" w14:textId="77777777" w:rsidR="00B82598" w:rsidRPr="00B97C36" w:rsidRDefault="00B82598" w:rsidP="00E75B8E">
            <w:pPr>
              <w:jc w:val="center"/>
            </w:pPr>
          </w:p>
        </w:tc>
        <w:tc>
          <w:tcPr>
            <w:tcW w:w="1467" w:type="dxa"/>
            <w:vAlign w:val="center"/>
          </w:tcPr>
          <w:p w14:paraId="05F91F5C" w14:textId="77777777" w:rsidR="00B82598" w:rsidRPr="00B97C36" w:rsidRDefault="00B82598" w:rsidP="00E75B8E">
            <w:pPr>
              <w:jc w:val="center"/>
            </w:pPr>
          </w:p>
        </w:tc>
        <w:tc>
          <w:tcPr>
            <w:tcW w:w="1134" w:type="dxa"/>
            <w:vAlign w:val="center"/>
          </w:tcPr>
          <w:p w14:paraId="05F91F5D" w14:textId="77777777" w:rsidR="00B82598" w:rsidRPr="00B97C36" w:rsidRDefault="00B82598" w:rsidP="00E75B8E">
            <w:pPr>
              <w:jc w:val="center"/>
            </w:pPr>
          </w:p>
        </w:tc>
        <w:tc>
          <w:tcPr>
            <w:tcW w:w="1155" w:type="dxa"/>
            <w:vAlign w:val="center"/>
          </w:tcPr>
          <w:p w14:paraId="05F91F5E" w14:textId="77777777" w:rsidR="00B82598" w:rsidRPr="00B97C36" w:rsidRDefault="00B82598" w:rsidP="00E75B8E">
            <w:pPr>
              <w:jc w:val="center"/>
            </w:pPr>
          </w:p>
        </w:tc>
        <w:tc>
          <w:tcPr>
            <w:tcW w:w="1396" w:type="dxa"/>
            <w:vAlign w:val="center"/>
          </w:tcPr>
          <w:p w14:paraId="05F91F5F" w14:textId="77777777" w:rsidR="00B82598" w:rsidRPr="00B97C36" w:rsidRDefault="00B82598" w:rsidP="00E75B8E">
            <w:pPr>
              <w:jc w:val="center"/>
            </w:pPr>
          </w:p>
        </w:tc>
      </w:tr>
      <w:tr w:rsidR="00B82598" w14:paraId="05F91F67" w14:textId="77777777" w:rsidTr="00E55421">
        <w:tc>
          <w:tcPr>
            <w:tcW w:w="2652" w:type="dxa"/>
          </w:tcPr>
          <w:p w14:paraId="05F91F61" w14:textId="77777777" w:rsidR="00B82598" w:rsidRPr="00B97C36" w:rsidRDefault="00B82598" w:rsidP="00E75B8E">
            <w:pPr>
              <w:pStyle w:val="naisf"/>
              <w:spacing w:before="0" w:after="0"/>
              <w:ind w:firstLine="0"/>
              <w:jc w:val="left"/>
              <w:rPr>
                <w:i/>
                <w:iCs/>
              </w:rPr>
            </w:pPr>
            <w:r w:rsidRPr="00B97C36">
              <w:rPr>
                <w:sz w:val="22"/>
                <w:szCs w:val="22"/>
              </w:rPr>
              <w:t>1.2. valsts speciālais budžets</w:t>
            </w:r>
          </w:p>
        </w:tc>
        <w:tc>
          <w:tcPr>
            <w:tcW w:w="1530" w:type="dxa"/>
            <w:vAlign w:val="center"/>
          </w:tcPr>
          <w:p w14:paraId="05F91F62" w14:textId="77777777" w:rsidR="00B82598" w:rsidRPr="00B97C36" w:rsidRDefault="00B82598" w:rsidP="00E75B8E">
            <w:pPr>
              <w:pStyle w:val="naisf"/>
              <w:spacing w:before="0" w:after="0"/>
              <w:ind w:firstLine="0"/>
              <w:jc w:val="center"/>
            </w:pPr>
          </w:p>
        </w:tc>
        <w:tc>
          <w:tcPr>
            <w:tcW w:w="1467" w:type="dxa"/>
            <w:vAlign w:val="center"/>
          </w:tcPr>
          <w:p w14:paraId="05F91F63" w14:textId="77777777" w:rsidR="00B82598" w:rsidRPr="00B97C36" w:rsidRDefault="00B82598" w:rsidP="00E75B8E">
            <w:pPr>
              <w:pStyle w:val="naisf"/>
              <w:spacing w:before="0" w:after="0"/>
              <w:ind w:firstLine="0"/>
              <w:jc w:val="center"/>
            </w:pPr>
          </w:p>
        </w:tc>
        <w:tc>
          <w:tcPr>
            <w:tcW w:w="1134" w:type="dxa"/>
            <w:vAlign w:val="center"/>
          </w:tcPr>
          <w:p w14:paraId="05F91F64" w14:textId="77777777" w:rsidR="00B82598" w:rsidRPr="00B97C36" w:rsidRDefault="00B82598" w:rsidP="00E75B8E">
            <w:pPr>
              <w:pStyle w:val="naisf"/>
              <w:spacing w:before="0" w:after="0"/>
              <w:ind w:firstLine="0"/>
              <w:jc w:val="center"/>
            </w:pPr>
          </w:p>
        </w:tc>
        <w:tc>
          <w:tcPr>
            <w:tcW w:w="1155" w:type="dxa"/>
            <w:vAlign w:val="center"/>
          </w:tcPr>
          <w:p w14:paraId="05F91F65" w14:textId="77777777" w:rsidR="00B82598" w:rsidRPr="00B97C36" w:rsidRDefault="00B82598" w:rsidP="00E75B8E">
            <w:pPr>
              <w:pStyle w:val="naisf"/>
              <w:spacing w:before="0" w:after="0"/>
              <w:ind w:firstLine="0"/>
              <w:jc w:val="center"/>
            </w:pPr>
          </w:p>
        </w:tc>
        <w:tc>
          <w:tcPr>
            <w:tcW w:w="1396" w:type="dxa"/>
            <w:vAlign w:val="center"/>
          </w:tcPr>
          <w:p w14:paraId="05F91F66" w14:textId="77777777" w:rsidR="00B82598" w:rsidRPr="00B97C36" w:rsidRDefault="00B82598" w:rsidP="00E75B8E">
            <w:pPr>
              <w:pStyle w:val="naisf"/>
              <w:spacing w:before="0" w:after="0"/>
              <w:ind w:firstLine="0"/>
              <w:jc w:val="center"/>
            </w:pPr>
          </w:p>
        </w:tc>
      </w:tr>
      <w:tr w:rsidR="00B82598" w14:paraId="05F91F6E" w14:textId="77777777" w:rsidTr="00E55421">
        <w:tc>
          <w:tcPr>
            <w:tcW w:w="2652" w:type="dxa"/>
          </w:tcPr>
          <w:p w14:paraId="05F91F68" w14:textId="77777777" w:rsidR="00B82598" w:rsidRDefault="00B82598" w:rsidP="00E75B8E">
            <w:r w:rsidRPr="00B97C36">
              <w:rPr>
                <w:sz w:val="22"/>
                <w:szCs w:val="22"/>
              </w:rPr>
              <w:t>1.3. pašvaldību budžets</w:t>
            </w:r>
          </w:p>
        </w:tc>
        <w:tc>
          <w:tcPr>
            <w:tcW w:w="1530" w:type="dxa"/>
            <w:vAlign w:val="center"/>
          </w:tcPr>
          <w:p w14:paraId="05F91F69" w14:textId="77777777" w:rsidR="00B82598" w:rsidRDefault="00B82598" w:rsidP="00E75B8E">
            <w:pPr>
              <w:jc w:val="center"/>
            </w:pPr>
          </w:p>
        </w:tc>
        <w:tc>
          <w:tcPr>
            <w:tcW w:w="1467" w:type="dxa"/>
            <w:vAlign w:val="center"/>
          </w:tcPr>
          <w:p w14:paraId="05F91F6A" w14:textId="77777777" w:rsidR="00B82598" w:rsidRDefault="00B82598" w:rsidP="00E75B8E">
            <w:pPr>
              <w:jc w:val="center"/>
            </w:pPr>
          </w:p>
        </w:tc>
        <w:tc>
          <w:tcPr>
            <w:tcW w:w="1134" w:type="dxa"/>
            <w:vAlign w:val="center"/>
          </w:tcPr>
          <w:p w14:paraId="05F91F6B" w14:textId="77777777" w:rsidR="00B82598" w:rsidRDefault="00B82598" w:rsidP="00E75B8E">
            <w:pPr>
              <w:jc w:val="center"/>
            </w:pPr>
          </w:p>
        </w:tc>
        <w:tc>
          <w:tcPr>
            <w:tcW w:w="1155" w:type="dxa"/>
            <w:vAlign w:val="center"/>
          </w:tcPr>
          <w:p w14:paraId="05F91F6C" w14:textId="77777777" w:rsidR="00B82598" w:rsidRDefault="00B82598" w:rsidP="00E75B8E">
            <w:pPr>
              <w:jc w:val="center"/>
            </w:pPr>
          </w:p>
        </w:tc>
        <w:tc>
          <w:tcPr>
            <w:tcW w:w="1396" w:type="dxa"/>
            <w:vAlign w:val="center"/>
          </w:tcPr>
          <w:p w14:paraId="05F91F6D" w14:textId="77777777" w:rsidR="00B82598" w:rsidRDefault="00B82598" w:rsidP="00E75B8E">
            <w:pPr>
              <w:jc w:val="center"/>
            </w:pPr>
          </w:p>
        </w:tc>
      </w:tr>
      <w:tr w:rsidR="00B82598" w14:paraId="05F91F75" w14:textId="77777777" w:rsidTr="00E55421">
        <w:tc>
          <w:tcPr>
            <w:tcW w:w="2652" w:type="dxa"/>
          </w:tcPr>
          <w:p w14:paraId="05F91F6F" w14:textId="77777777" w:rsidR="00B82598" w:rsidRDefault="00B82598" w:rsidP="00E75B8E">
            <w:r w:rsidRPr="00B97C36">
              <w:rPr>
                <w:sz w:val="22"/>
                <w:szCs w:val="22"/>
              </w:rPr>
              <w:t>2. Budžeta izdevumi:</w:t>
            </w:r>
          </w:p>
        </w:tc>
        <w:tc>
          <w:tcPr>
            <w:tcW w:w="1530" w:type="dxa"/>
          </w:tcPr>
          <w:p w14:paraId="05F91F70" w14:textId="77777777" w:rsidR="00B82598" w:rsidRDefault="00B82598" w:rsidP="00E75B8E"/>
        </w:tc>
        <w:tc>
          <w:tcPr>
            <w:tcW w:w="1467" w:type="dxa"/>
          </w:tcPr>
          <w:p w14:paraId="05F91F71" w14:textId="77777777" w:rsidR="00B82598" w:rsidRDefault="00B82598" w:rsidP="00E75B8E"/>
        </w:tc>
        <w:tc>
          <w:tcPr>
            <w:tcW w:w="1134" w:type="dxa"/>
          </w:tcPr>
          <w:p w14:paraId="05F91F72" w14:textId="77777777" w:rsidR="00B82598" w:rsidRDefault="00B82598" w:rsidP="00E75B8E"/>
        </w:tc>
        <w:tc>
          <w:tcPr>
            <w:tcW w:w="1155" w:type="dxa"/>
          </w:tcPr>
          <w:p w14:paraId="05F91F73" w14:textId="77777777" w:rsidR="00B82598" w:rsidRDefault="00B82598" w:rsidP="00E75B8E"/>
        </w:tc>
        <w:tc>
          <w:tcPr>
            <w:tcW w:w="1396" w:type="dxa"/>
          </w:tcPr>
          <w:p w14:paraId="05F91F74" w14:textId="77777777" w:rsidR="00B82598" w:rsidRDefault="00B82598" w:rsidP="00E75B8E"/>
        </w:tc>
      </w:tr>
      <w:tr w:rsidR="00B82598" w14:paraId="05F91F7C" w14:textId="77777777" w:rsidTr="00E55421">
        <w:tc>
          <w:tcPr>
            <w:tcW w:w="2652" w:type="dxa"/>
          </w:tcPr>
          <w:p w14:paraId="05F91F76" w14:textId="77777777" w:rsidR="00B82598" w:rsidRPr="00B97C36" w:rsidRDefault="00B82598" w:rsidP="00E75B8E">
            <w:r w:rsidRPr="00B97C36">
              <w:rPr>
                <w:sz w:val="22"/>
                <w:szCs w:val="22"/>
              </w:rPr>
              <w:t>2.1. valsts pamatbudžets</w:t>
            </w:r>
          </w:p>
        </w:tc>
        <w:tc>
          <w:tcPr>
            <w:tcW w:w="1530" w:type="dxa"/>
            <w:vAlign w:val="center"/>
          </w:tcPr>
          <w:p w14:paraId="05F91F77" w14:textId="77777777" w:rsidR="00B82598" w:rsidRDefault="00B82598" w:rsidP="00E75B8E">
            <w:pPr>
              <w:jc w:val="center"/>
            </w:pPr>
          </w:p>
        </w:tc>
        <w:tc>
          <w:tcPr>
            <w:tcW w:w="1467" w:type="dxa"/>
            <w:vAlign w:val="center"/>
          </w:tcPr>
          <w:p w14:paraId="05F91F78" w14:textId="77777777" w:rsidR="00B82598" w:rsidRDefault="00B82598" w:rsidP="00E75B8E">
            <w:pPr>
              <w:jc w:val="center"/>
            </w:pPr>
          </w:p>
        </w:tc>
        <w:tc>
          <w:tcPr>
            <w:tcW w:w="1134" w:type="dxa"/>
            <w:vAlign w:val="center"/>
          </w:tcPr>
          <w:p w14:paraId="05F91F79" w14:textId="77777777" w:rsidR="00B82598" w:rsidRDefault="00B82598" w:rsidP="00E75B8E">
            <w:pPr>
              <w:jc w:val="center"/>
            </w:pPr>
          </w:p>
        </w:tc>
        <w:tc>
          <w:tcPr>
            <w:tcW w:w="1155" w:type="dxa"/>
            <w:vAlign w:val="center"/>
          </w:tcPr>
          <w:p w14:paraId="05F91F7A" w14:textId="77777777" w:rsidR="00B82598" w:rsidRDefault="00B82598" w:rsidP="00E75B8E">
            <w:pPr>
              <w:jc w:val="center"/>
            </w:pPr>
          </w:p>
        </w:tc>
        <w:tc>
          <w:tcPr>
            <w:tcW w:w="1396" w:type="dxa"/>
            <w:vAlign w:val="center"/>
          </w:tcPr>
          <w:p w14:paraId="05F91F7B" w14:textId="77777777" w:rsidR="00B82598" w:rsidRDefault="00B82598" w:rsidP="00E75B8E">
            <w:pPr>
              <w:jc w:val="center"/>
            </w:pPr>
          </w:p>
        </w:tc>
      </w:tr>
      <w:tr w:rsidR="00B82598" w14:paraId="05F91F83" w14:textId="77777777" w:rsidTr="00E55421">
        <w:tc>
          <w:tcPr>
            <w:tcW w:w="2652" w:type="dxa"/>
          </w:tcPr>
          <w:p w14:paraId="05F91F7D" w14:textId="77777777" w:rsidR="00B82598" w:rsidRPr="00B97C36" w:rsidRDefault="00B82598" w:rsidP="00E75B8E">
            <w:r w:rsidRPr="00B97C36">
              <w:rPr>
                <w:sz w:val="22"/>
                <w:szCs w:val="22"/>
              </w:rPr>
              <w:t>2.2. valsts speciālais budžets</w:t>
            </w:r>
          </w:p>
        </w:tc>
        <w:tc>
          <w:tcPr>
            <w:tcW w:w="1530" w:type="dxa"/>
            <w:vAlign w:val="center"/>
          </w:tcPr>
          <w:p w14:paraId="05F91F7E" w14:textId="77777777" w:rsidR="00B82598" w:rsidRPr="00B97C36" w:rsidRDefault="00B82598" w:rsidP="00E75B8E">
            <w:pPr>
              <w:pStyle w:val="naisf"/>
              <w:spacing w:before="0" w:after="0"/>
              <w:ind w:firstLine="0"/>
              <w:jc w:val="center"/>
            </w:pPr>
          </w:p>
        </w:tc>
        <w:tc>
          <w:tcPr>
            <w:tcW w:w="1467" w:type="dxa"/>
            <w:vAlign w:val="center"/>
          </w:tcPr>
          <w:p w14:paraId="05F91F7F" w14:textId="77777777" w:rsidR="00B82598" w:rsidRPr="00B97C36" w:rsidRDefault="00B82598" w:rsidP="00E75B8E">
            <w:pPr>
              <w:pStyle w:val="naisf"/>
              <w:spacing w:before="0" w:after="0"/>
              <w:ind w:firstLine="0"/>
              <w:jc w:val="center"/>
            </w:pPr>
          </w:p>
        </w:tc>
        <w:tc>
          <w:tcPr>
            <w:tcW w:w="1134" w:type="dxa"/>
            <w:vAlign w:val="center"/>
          </w:tcPr>
          <w:p w14:paraId="05F91F80" w14:textId="77777777" w:rsidR="00B82598" w:rsidRPr="00B97C36" w:rsidRDefault="00B82598" w:rsidP="00E75B8E">
            <w:pPr>
              <w:pStyle w:val="naisf"/>
              <w:spacing w:before="0" w:after="0"/>
              <w:ind w:firstLine="0"/>
              <w:jc w:val="center"/>
            </w:pPr>
          </w:p>
        </w:tc>
        <w:tc>
          <w:tcPr>
            <w:tcW w:w="1155" w:type="dxa"/>
            <w:vAlign w:val="center"/>
          </w:tcPr>
          <w:p w14:paraId="05F91F81" w14:textId="77777777" w:rsidR="00B82598" w:rsidRPr="00B97C36" w:rsidRDefault="00B82598" w:rsidP="00E75B8E">
            <w:pPr>
              <w:pStyle w:val="naisf"/>
              <w:spacing w:before="0" w:after="0"/>
              <w:ind w:firstLine="0"/>
              <w:jc w:val="center"/>
            </w:pPr>
          </w:p>
        </w:tc>
        <w:tc>
          <w:tcPr>
            <w:tcW w:w="1396" w:type="dxa"/>
            <w:vAlign w:val="center"/>
          </w:tcPr>
          <w:p w14:paraId="05F91F82" w14:textId="77777777" w:rsidR="00B82598" w:rsidRPr="00B97C36" w:rsidRDefault="00B82598" w:rsidP="00E75B8E">
            <w:pPr>
              <w:pStyle w:val="naisf"/>
              <w:spacing w:before="0" w:after="0"/>
              <w:ind w:firstLine="0"/>
              <w:jc w:val="center"/>
            </w:pPr>
          </w:p>
        </w:tc>
      </w:tr>
      <w:tr w:rsidR="00B82598" w14:paraId="05F91F8A" w14:textId="77777777" w:rsidTr="00E55421">
        <w:tc>
          <w:tcPr>
            <w:tcW w:w="2652" w:type="dxa"/>
          </w:tcPr>
          <w:p w14:paraId="05F91F84" w14:textId="77777777" w:rsidR="00B82598" w:rsidRPr="00B97C36" w:rsidRDefault="00B82598" w:rsidP="00E75B8E">
            <w:r w:rsidRPr="00B97C36">
              <w:rPr>
                <w:sz w:val="22"/>
                <w:szCs w:val="22"/>
              </w:rPr>
              <w:t xml:space="preserve">2.3. pašvaldību budžets </w:t>
            </w:r>
          </w:p>
        </w:tc>
        <w:tc>
          <w:tcPr>
            <w:tcW w:w="1530" w:type="dxa"/>
            <w:vAlign w:val="center"/>
          </w:tcPr>
          <w:p w14:paraId="05F91F85" w14:textId="77777777" w:rsidR="00B82598" w:rsidRDefault="00B82598" w:rsidP="00E75B8E">
            <w:pPr>
              <w:jc w:val="center"/>
            </w:pPr>
          </w:p>
        </w:tc>
        <w:tc>
          <w:tcPr>
            <w:tcW w:w="1467" w:type="dxa"/>
            <w:vAlign w:val="center"/>
          </w:tcPr>
          <w:p w14:paraId="05F91F86" w14:textId="77777777" w:rsidR="00B82598" w:rsidRDefault="00B82598" w:rsidP="00E75B8E">
            <w:pPr>
              <w:jc w:val="center"/>
            </w:pPr>
          </w:p>
        </w:tc>
        <w:tc>
          <w:tcPr>
            <w:tcW w:w="1134" w:type="dxa"/>
            <w:vAlign w:val="center"/>
          </w:tcPr>
          <w:p w14:paraId="05F91F87" w14:textId="77777777" w:rsidR="00B82598" w:rsidRDefault="00B82598" w:rsidP="00E75B8E">
            <w:pPr>
              <w:jc w:val="center"/>
            </w:pPr>
          </w:p>
        </w:tc>
        <w:tc>
          <w:tcPr>
            <w:tcW w:w="1155" w:type="dxa"/>
            <w:vAlign w:val="center"/>
          </w:tcPr>
          <w:p w14:paraId="05F91F88" w14:textId="77777777" w:rsidR="00B82598" w:rsidRDefault="00B82598" w:rsidP="00E75B8E">
            <w:pPr>
              <w:jc w:val="center"/>
            </w:pPr>
          </w:p>
        </w:tc>
        <w:tc>
          <w:tcPr>
            <w:tcW w:w="1396" w:type="dxa"/>
            <w:vAlign w:val="center"/>
          </w:tcPr>
          <w:p w14:paraId="05F91F89" w14:textId="77777777" w:rsidR="00B82598" w:rsidRDefault="00B82598" w:rsidP="00E75B8E">
            <w:pPr>
              <w:jc w:val="center"/>
            </w:pPr>
          </w:p>
        </w:tc>
      </w:tr>
      <w:tr w:rsidR="00B82598" w14:paraId="05F91F91" w14:textId="77777777" w:rsidTr="00E55421">
        <w:tc>
          <w:tcPr>
            <w:tcW w:w="2652" w:type="dxa"/>
          </w:tcPr>
          <w:p w14:paraId="05F91F8B" w14:textId="77777777" w:rsidR="00B82598" w:rsidRDefault="00B82598" w:rsidP="00E75B8E">
            <w:r w:rsidRPr="00B97C36">
              <w:rPr>
                <w:sz w:val="22"/>
                <w:szCs w:val="22"/>
              </w:rPr>
              <w:t>3. Finansiālā ietekme:</w:t>
            </w:r>
          </w:p>
        </w:tc>
        <w:tc>
          <w:tcPr>
            <w:tcW w:w="1530" w:type="dxa"/>
          </w:tcPr>
          <w:p w14:paraId="05F91F8C" w14:textId="77777777" w:rsidR="00B82598" w:rsidRDefault="00B82598" w:rsidP="00E75B8E"/>
        </w:tc>
        <w:tc>
          <w:tcPr>
            <w:tcW w:w="1467" w:type="dxa"/>
          </w:tcPr>
          <w:p w14:paraId="05F91F8D" w14:textId="77777777" w:rsidR="00B82598" w:rsidRDefault="00B82598" w:rsidP="00E75B8E"/>
        </w:tc>
        <w:tc>
          <w:tcPr>
            <w:tcW w:w="1134" w:type="dxa"/>
          </w:tcPr>
          <w:p w14:paraId="05F91F8E" w14:textId="77777777" w:rsidR="00B82598" w:rsidRDefault="00B82598" w:rsidP="00E75B8E"/>
        </w:tc>
        <w:tc>
          <w:tcPr>
            <w:tcW w:w="1155" w:type="dxa"/>
          </w:tcPr>
          <w:p w14:paraId="05F91F8F" w14:textId="77777777" w:rsidR="00B82598" w:rsidRDefault="00B82598" w:rsidP="00E75B8E"/>
        </w:tc>
        <w:tc>
          <w:tcPr>
            <w:tcW w:w="1396" w:type="dxa"/>
          </w:tcPr>
          <w:p w14:paraId="05F91F90" w14:textId="77777777" w:rsidR="00B82598" w:rsidRDefault="00B82598" w:rsidP="00E75B8E"/>
        </w:tc>
      </w:tr>
      <w:tr w:rsidR="00B82598" w14:paraId="05F91F98" w14:textId="77777777" w:rsidTr="00E55421">
        <w:tc>
          <w:tcPr>
            <w:tcW w:w="2652" w:type="dxa"/>
          </w:tcPr>
          <w:p w14:paraId="05F91F92" w14:textId="77777777" w:rsidR="00B82598" w:rsidRPr="00B97C36" w:rsidRDefault="00B82598" w:rsidP="00E75B8E">
            <w:pPr>
              <w:jc w:val="both"/>
            </w:pPr>
            <w:r w:rsidRPr="00B97C36">
              <w:rPr>
                <w:sz w:val="22"/>
                <w:szCs w:val="22"/>
              </w:rPr>
              <w:t>3.1. valsts pamatbudžets</w:t>
            </w:r>
          </w:p>
        </w:tc>
        <w:tc>
          <w:tcPr>
            <w:tcW w:w="1530" w:type="dxa"/>
            <w:vAlign w:val="center"/>
          </w:tcPr>
          <w:p w14:paraId="05F91F93" w14:textId="77777777" w:rsidR="00B82598" w:rsidRPr="00B97C36" w:rsidRDefault="00B82598" w:rsidP="00E75B8E">
            <w:pPr>
              <w:pStyle w:val="naisf"/>
              <w:spacing w:before="0" w:after="0"/>
              <w:ind w:firstLine="0"/>
              <w:jc w:val="center"/>
              <w:rPr>
                <w:b/>
                <w:bCs/>
                <w:i/>
                <w:iCs/>
              </w:rPr>
            </w:pPr>
          </w:p>
        </w:tc>
        <w:tc>
          <w:tcPr>
            <w:tcW w:w="1467" w:type="dxa"/>
            <w:vAlign w:val="center"/>
          </w:tcPr>
          <w:p w14:paraId="05F91F94" w14:textId="77777777" w:rsidR="00B82598" w:rsidRPr="00B97C36" w:rsidRDefault="00B82598" w:rsidP="00E75B8E">
            <w:pPr>
              <w:pStyle w:val="naisf"/>
              <w:spacing w:before="0" w:after="0"/>
              <w:ind w:firstLine="0"/>
              <w:jc w:val="center"/>
              <w:rPr>
                <w:b/>
                <w:bCs/>
                <w:i/>
                <w:iCs/>
              </w:rPr>
            </w:pPr>
          </w:p>
        </w:tc>
        <w:tc>
          <w:tcPr>
            <w:tcW w:w="1134" w:type="dxa"/>
            <w:vAlign w:val="center"/>
          </w:tcPr>
          <w:p w14:paraId="05F91F95" w14:textId="77777777" w:rsidR="00B82598" w:rsidRPr="00B97C36" w:rsidRDefault="00B82598" w:rsidP="00E75B8E">
            <w:pPr>
              <w:pStyle w:val="naisf"/>
              <w:spacing w:before="0" w:after="0"/>
              <w:ind w:firstLine="0"/>
              <w:jc w:val="center"/>
              <w:rPr>
                <w:b/>
                <w:bCs/>
                <w:i/>
                <w:iCs/>
              </w:rPr>
            </w:pPr>
          </w:p>
        </w:tc>
        <w:tc>
          <w:tcPr>
            <w:tcW w:w="1155" w:type="dxa"/>
            <w:vAlign w:val="center"/>
          </w:tcPr>
          <w:p w14:paraId="05F91F96" w14:textId="77777777" w:rsidR="00B82598" w:rsidRPr="00B97C36" w:rsidRDefault="00B82598" w:rsidP="00E75B8E">
            <w:pPr>
              <w:pStyle w:val="naisf"/>
              <w:spacing w:before="0" w:after="0"/>
              <w:ind w:firstLine="0"/>
              <w:jc w:val="center"/>
              <w:rPr>
                <w:b/>
                <w:bCs/>
                <w:i/>
                <w:iCs/>
              </w:rPr>
            </w:pPr>
          </w:p>
        </w:tc>
        <w:tc>
          <w:tcPr>
            <w:tcW w:w="1396" w:type="dxa"/>
            <w:vAlign w:val="center"/>
          </w:tcPr>
          <w:p w14:paraId="05F91F97" w14:textId="77777777" w:rsidR="00B82598" w:rsidRPr="00B97C36" w:rsidRDefault="00B82598" w:rsidP="00E75B8E">
            <w:pPr>
              <w:pStyle w:val="naisf"/>
              <w:spacing w:before="0" w:after="0"/>
              <w:ind w:firstLine="0"/>
              <w:jc w:val="center"/>
              <w:rPr>
                <w:b/>
                <w:bCs/>
                <w:i/>
                <w:iCs/>
              </w:rPr>
            </w:pPr>
          </w:p>
        </w:tc>
      </w:tr>
      <w:tr w:rsidR="00B82598" w14:paraId="05F91F9F" w14:textId="77777777" w:rsidTr="00E55421">
        <w:tc>
          <w:tcPr>
            <w:tcW w:w="2652" w:type="dxa"/>
          </w:tcPr>
          <w:p w14:paraId="05F91F99" w14:textId="77777777" w:rsidR="00B82598" w:rsidRPr="00B97C36" w:rsidRDefault="00B82598" w:rsidP="00E75B8E">
            <w:pPr>
              <w:jc w:val="both"/>
            </w:pPr>
            <w:r w:rsidRPr="00B97C36">
              <w:rPr>
                <w:sz w:val="22"/>
                <w:szCs w:val="22"/>
              </w:rPr>
              <w:t>3.2. speciālais budžets</w:t>
            </w:r>
          </w:p>
        </w:tc>
        <w:tc>
          <w:tcPr>
            <w:tcW w:w="1530" w:type="dxa"/>
            <w:vAlign w:val="center"/>
          </w:tcPr>
          <w:p w14:paraId="05F91F9A" w14:textId="77777777" w:rsidR="00B82598" w:rsidRPr="00175494" w:rsidRDefault="00B82598" w:rsidP="00E75B8E">
            <w:pPr>
              <w:pStyle w:val="naisf"/>
              <w:spacing w:before="0" w:after="0"/>
              <w:ind w:firstLine="0"/>
              <w:jc w:val="center"/>
            </w:pPr>
          </w:p>
        </w:tc>
        <w:tc>
          <w:tcPr>
            <w:tcW w:w="1467" w:type="dxa"/>
            <w:vAlign w:val="center"/>
          </w:tcPr>
          <w:p w14:paraId="05F91F9B" w14:textId="77777777" w:rsidR="00B82598" w:rsidRPr="00B97C36" w:rsidRDefault="00B82598" w:rsidP="00E75B8E">
            <w:pPr>
              <w:pStyle w:val="naisf"/>
              <w:spacing w:before="0" w:after="0"/>
              <w:ind w:firstLine="0"/>
              <w:jc w:val="center"/>
              <w:rPr>
                <w:b/>
                <w:bCs/>
                <w:i/>
                <w:iCs/>
              </w:rPr>
            </w:pPr>
          </w:p>
        </w:tc>
        <w:tc>
          <w:tcPr>
            <w:tcW w:w="1134" w:type="dxa"/>
            <w:vAlign w:val="center"/>
          </w:tcPr>
          <w:p w14:paraId="05F91F9C" w14:textId="77777777" w:rsidR="00B82598" w:rsidRPr="00B97C36" w:rsidRDefault="00B82598" w:rsidP="00E75B8E">
            <w:pPr>
              <w:pStyle w:val="naisf"/>
              <w:spacing w:before="0" w:after="0"/>
              <w:ind w:firstLine="0"/>
              <w:jc w:val="center"/>
            </w:pPr>
          </w:p>
        </w:tc>
        <w:tc>
          <w:tcPr>
            <w:tcW w:w="1155" w:type="dxa"/>
            <w:vAlign w:val="center"/>
          </w:tcPr>
          <w:p w14:paraId="05F91F9D" w14:textId="77777777" w:rsidR="00B82598" w:rsidRPr="00B97C36" w:rsidRDefault="00B82598" w:rsidP="00E75B8E">
            <w:pPr>
              <w:pStyle w:val="naisf"/>
              <w:spacing w:before="0" w:after="0"/>
              <w:ind w:firstLine="0"/>
              <w:jc w:val="center"/>
            </w:pPr>
          </w:p>
        </w:tc>
        <w:tc>
          <w:tcPr>
            <w:tcW w:w="1396" w:type="dxa"/>
            <w:vAlign w:val="center"/>
          </w:tcPr>
          <w:p w14:paraId="05F91F9E" w14:textId="77777777" w:rsidR="00B82598" w:rsidRPr="00B97C36" w:rsidRDefault="00B82598" w:rsidP="00E75B8E">
            <w:pPr>
              <w:pStyle w:val="naisf"/>
              <w:spacing w:before="0" w:after="0"/>
              <w:ind w:firstLine="0"/>
              <w:jc w:val="center"/>
            </w:pPr>
          </w:p>
        </w:tc>
      </w:tr>
      <w:tr w:rsidR="00B82598" w14:paraId="05F91FA6" w14:textId="77777777" w:rsidTr="00E55421">
        <w:tc>
          <w:tcPr>
            <w:tcW w:w="2652" w:type="dxa"/>
          </w:tcPr>
          <w:p w14:paraId="05F91FA0" w14:textId="77777777" w:rsidR="00B82598" w:rsidRPr="00B97C36" w:rsidRDefault="00B82598" w:rsidP="00E75B8E">
            <w:pPr>
              <w:jc w:val="both"/>
            </w:pPr>
            <w:r w:rsidRPr="00B97C36">
              <w:rPr>
                <w:sz w:val="22"/>
                <w:szCs w:val="22"/>
              </w:rPr>
              <w:t xml:space="preserve">3.3. pašvaldību budžets </w:t>
            </w:r>
          </w:p>
        </w:tc>
        <w:tc>
          <w:tcPr>
            <w:tcW w:w="1530" w:type="dxa"/>
            <w:vAlign w:val="center"/>
          </w:tcPr>
          <w:p w14:paraId="05F91FA1" w14:textId="77777777" w:rsidR="00B82598" w:rsidRPr="00B97C36" w:rsidRDefault="00B82598" w:rsidP="00E75B8E">
            <w:pPr>
              <w:pStyle w:val="naisf"/>
              <w:spacing w:before="0" w:after="0"/>
              <w:ind w:firstLine="0"/>
              <w:jc w:val="center"/>
              <w:rPr>
                <w:b/>
                <w:bCs/>
                <w:i/>
                <w:iCs/>
              </w:rPr>
            </w:pPr>
          </w:p>
        </w:tc>
        <w:tc>
          <w:tcPr>
            <w:tcW w:w="1467" w:type="dxa"/>
            <w:vAlign w:val="center"/>
          </w:tcPr>
          <w:p w14:paraId="05F91FA2" w14:textId="77777777" w:rsidR="00B82598" w:rsidRPr="00B97C36" w:rsidRDefault="00B82598" w:rsidP="00E75B8E">
            <w:pPr>
              <w:pStyle w:val="naisf"/>
              <w:spacing w:before="0" w:after="0"/>
              <w:ind w:firstLine="0"/>
              <w:jc w:val="center"/>
              <w:rPr>
                <w:b/>
                <w:bCs/>
                <w:i/>
                <w:iCs/>
              </w:rPr>
            </w:pPr>
          </w:p>
        </w:tc>
        <w:tc>
          <w:tcPr>
            <w:tcW w:w="1134" w:type="dxa"/>
            <w:vAlign w:val="center"/>
          </w:tcPr>
          <w:p w14:paraId="05F91FA3" w14:textId="77777777" w:rsidR="00B82598" w:rsidRPr="00B97C36" w:rsidRDefault="00B82598" w:rsidP="00E75B8E">
            <w:pPr>
              <w:pStyle w:val="naisf"/>
              <w:spacing w:before="0" w:after="0"/>
              <w:ind w:firstLine="0"/>
              <w:jc w:val="center"/>
              <w:rPr>
                <w:b/>
                <w:bCs/>
                <w:i/>
                <w:iCs/>
              </w:rPr>
            </w:pPr>
          </w:p>
        </w:tc>
        <w:tc>
          <w:tcPr>
            <w:tcW w:w="1155" w:type="dxa"/>
            <w:vAlign w:val="center"/>
          </w:tcPr>
          <w:p w14:paraId="05F91FA4" w14:textId="77777777" w:rsidR="00B82598" w:rsidRPr="00B97C36" w:rsidRDefault="00B82598" w:rsidP="00E75B8E">
            <w:pPr>
              <w:pStyle w:val="naisf"/>
              <w:spacing w:before="0" w:after="0"/>
              <w:ind w:firstLine="0"/>
              <w:jc w:val="center"/>
              <w:rPr>
                <w:b/>
                <w:bCs/>
                <w:i/>
                <w:iCs/>
              </w:rPr>
            </w:pPr>
          </w:p>
        </w:tc>
        <w:tc>
          <w:tcPr>
            <w:tcW w:w="1396" w:type="dxa"/>
            <w:vAlign w:val="center"/>
          </w:tcPr>
          <w:p w14:paraId="05F91FA5" w14:textId="77777777" w:rsidR="00B82598" w:rsidRPr="00B97C36" w:rsidRDefault="00B82598" w:rsidP="00E75B8E">
            <w:pPr>
              <w:pStyle w:val="naisf"/>
              <w:spacing w:before="0" w:after="0"/>
              <w:ind w:firstLine="0"/>
              <w:jc w:val="center"/>
              <w:rPr>
                <w:b/>
                <w:bCs/>
                <w:i/>
                <w:iCs/>
              </w:rPr>
            </w:pPr>
          </w:p>
        </w:tc>
      </w:tr>
      <w:tr w:rsidR="00B82598" w14:paraId="05F91FAD" w14:textId="77777777" w:rsidTr="00E55421">
        <w:tc>
          <w:tcPr>
            <w:tcW w:w="2652" w:type="dxa"/>
          </w:tcPr>
          <w:p w14:paraId="05F91FA7" w14:textId="7946892A" w:rsidR="00B82598" w:rsidRDefault="00B82598" w:rsidP="00E75B8E">
            <w:r w:rsidRPr="00B97C36">
              <w:rPr>
                <w:sz w:val="22"/>
                <w:szCs w:val="22"/>
              </w:rPr>
              <w:t xml:space="preserve">4. Finanšu līdzekļi papildu izdevumu finansēšanai (kompensējošu izdevumu samazinājumu norāda ar </w:t>
            </w:r>
            <w:r w:rsidR="00E75B8E">
              <w:rPr>
                <w:sz w:val="22"/>
                <w:szCs w:val="22"/>
              </w:rPr>
              <w:t>"</w:t>
            </w:r>
            <w:r w:rsidRPr="00B97C36">
              <w:rPr>
                <w:sz w:val="22"/>
                <w:szCs w:val="22"/>
              </w:rPr>
              <w:t>+</w:t>
            </w:r>
            <w:r w:rsidR="00E75B8E">
              <w:rPr>
                <w:sz w:val="22"/>
                <w:szCs w:val="22"/>
              </w:rPr>
              <w:t>"</w:t>
            </w:r>
            <w:r w:rsidRPr="00B97C36">
              <w:rPr>
                <w:sz w:val="22"/>
                <w:szCs w:val="22"/>
              </w:rPr>
              <w:t xml:space="preserve"> zīmi)</w:t>
            </w:r>
          </w:p>
        </w:tc>
        <w:tc>
          <w:tcPr>
            <w:tcW w:w="1530" w:type="dxa"/>
            <w:vAlign w:val="center"/>
          </w:tcPr>
          <w:p w14:paraId="05F91FA8" w14:textId="77777777" w:rsidR="00B82598" w:rsidRPr="005A2F0C" w:rsidRDefault="005A2F0C" w:rsidP="00E75B8E">
            <w:pPr>
              <w:jc w:val="center"/>
              <w:rPr>
                <w:bCs/>
              </w:rPr>
            </w:pPr>
            <w:r w:rsidRPr="005A2F0C">
              <w:rPr>
                <w:bCs/>
              </w:rPr>
              <w:t>x</w:t>
            </w:r>
          </w:p>
        </w:tc>
        <w:tc>
          <w:tcPr>
            <w:tcW w:w="1467" w:type="dxa"/>
            <w:vAlign w:val="center"/>
          </w:tcPr>
          <w:p w14:paraId="05F91FA9" w14:textId="77777777" w:rsidR="00B82598" w:rsidRDefault="00B82598" w:rsidP="00E75B8E">
            <w:pPr>
              <w:jc w:val="center"/>
            </w:pPr>
          </w:p>
        </w:tc>
        <w:tc>
          <w:tcPr>
            <w:tcW w:w="1134" w:type="dxa"/>
            <w:vAlign w:val="center"/>
          </w:tcPr>
          <w:p w14:paraId="05F91FAA" w14:textId="77777777" w:rsidR="00B82598" w:rsidRDefault="00B82598" w:rsidP="00E75B8E">
            <w:pPr>
              <w:jc w:val="center"/>
            </w:pPr>
          </w:p>
        </w:tc>
        <w:tc>
          <w:tcPr>
            <w:tcW w:w="1155" w:type="dxa"/>
            <w:vAlign w:val="center"/>
          </w:tcPr>
          <w:p w14:paraId="05F91FAB" w14:textId="77777777" w:rsidR="00B82598" w:rsidRDefault="00B82598" w:rsidP="00E75B8E">
            <w:pPr>
              <w:jc w:val="center"/>
            </w:pPr>
          </w:p>
        </w:tc>
        <w:tc>
          <w:tcPr>
            <w:tcW w:w="1396" w:type="dxa"/>
            <w:vAlign w:val="center"/>
          </w:tcPr>
          <w:p w14:paraId="05F91FAC" w14:textId="77777777" w:rsidR="00B82598" w:rsidRDefault="00B82598" w:rsidP="00E75B8E">
            <w:pPr>
              <w:jc w:val="center"/>
            </w:pPr>
          </w:p>
        </w:tc>
      </w:tr>
      <w:tr w:rsidR="00B82598" w14:paraId="05F91FB4" w14:textId="77777777" w:rsidTr="00E55421">
        <w:tc>
          <w:tcPr>
            <w:tcW w:w="2652" w:type="dxa"/>
          </w:tcPr>
          <w:p w14:paraId="05F91FAE" w14:textId="77777777" w:rsidR="00B82598" w:rsidRDefault="00B82598" w:rsidP="00E75B8E">
            <w:r w:rsidRPr="00B97C36">
              <w:rPr>
                <w:sz w:val="22"/>
                <w:szCs w:val="22"/>
              </w:rPr>
              <w:t>5. Precizēta finansiālā ietekme:</w:t>
            </w:r>
          </w:p>
        </w:tc>
        <w:tc>
          <w:tcPr>
            <w:tcW w:w="1530" w:type="dxa"/>
            <w:vMerge w:val="restart"/>
            <w:vAlign w:val="center"/>
          </w:tcPr>
          <w:p w14:paraId="05F91FAF" w14:textId="77777777" w:rsidR="00B82598" w:rsidRPr="00CB25EF" w:rsidRDefault="005A2F0C" w:rsidP="00E75B8E">
            <w:pPr>
              <w:jc w:val="center"/>
            </w:pPr>
            <w:r>
              <w:t>x</w:t>
            </w:r>
          </w:p>
        </w:tc>
        <w:tc>
          <w:tcPr>
            <w:tcW w:w="1467" w:type="dxa"/>
            <w:vAlign w:val="center"/>
          </w:tcPr>
          <w:p w14:paraId="05F91FB0" w14:textId="77777777" w:rsidR="00B82598" w:rsidRDefault="00B82598" w:rsidP="00E75B8E">
            <w:pPr>
              <w:jc w:val="center"/>
            </w:pPr>
          </w:p>
        </w:tc>
        <w:tc>
          <w:tcPr>
            <w:tcW w:w="1134" w:type="dxa"/>
            <w:vAlign w:val="center"/>
          </w:tcPr>
          <w:p w14:paraId="05F91FB1" w14:textId="77777777" w:rsidR="00B82598" w:rsidRDefault="00B82598" w:rsidP="00E75B8E">
            <w:pPr>
              <w:jc w:val="center"/>
            </w:pPr>
          </w:p>
        </w:tc>
        <w:tc>
          <w:tcPr>
            <w:tcW w:w="1155" w:type="dxa"/>
            <w:vAlign w:val="center"/>
          </w:tcPr>
          <w:p w14:paraId="05F91FB2" w14:textId="77777777" w:rsidR="00B82598" w:rsidRDefault="00B82598" w:rsidP="00E75B8E">
            <w:pPr>
              <w:jc w:val="center"/>
            </w:pPr>
          </w:p>
        </w:tc>
        <w:tc>
          <w:tcPr>
            <w:tcW w:w="1396" w:type="dxa"/>
            <w:vAlign w:val="center"/>
          </w:tcPr>
          <w:p w14:paraId="05F91FB3" w14:textId="77777777" w:rsidR="00B82598" w:rsidRDefault="00B82598" w:rsidP="00E75B8E">
            <w:pPr>
              <w:jc w:val="center"/>
            </w:pPr>
          </w:p>
        </w:tc>
      </w:tr>
      <w:tr w:rsidR="00B82598" w14:paraId="05F91FBB" w14:textId="77777777" w:rsidTr="00E55421">
        <w:tc>
          <w:tcPr>
            <w:tcW w:w="2652" w:type="dxa"/>
          </w:tcPr>
          <w:p w14:paraId="05F91FB5" w14:textId="77777777" w:rsidR="00B82598" w:rsidRPr="00B97C36" w:rsidRDefault="00B82598" w:rsidP="00E75B8E">
            <w:pPr>
              <w:jc w:val="both"/>
            </w:pPr>
            <w:r w:rsidRPr="00B97C36">
              <w:rPr>
                <w:sz w:val="22"/>
                <w:szCs w:val="22"/>
              </w:rPr>
              <w:t>5.1. valsts pamatbudžets</w:t>
            </w:r>
          </w:p>
        </w:tc>
        <w:tc>
          <w:tcPr>
            <w:tcW w:w="1530" w:type="dxa"/>
            <w:vMerge/>
          </w:tcPr>
          <w:p w14:paraId="05F91FB6" w14:textId="77777777" w:rsidR="00B82598" w:rsidRDefault="00B82598" w:rsidP="00E75B8E">
            <w:pPr>
              <w:jc w:val="center"/>
            </w:pPr>
          </w:p>
        </w:tc>
        <w:tc>
          <w:tcPr>
            <w:tcW w:w="1467" w:type="dxa"/>
            <w:vAlign w:val="center"/>
          </w:tcPr>
          <w:p w14:paraId="05F91FB7" w14:textId="77777777" w:rsidR="00B82598" w:rsidRDefault="00B82598" w:rsidP="00E75B8E">
            <w:pPr>
              <w:jc w:val="center"/>
            </w:pPr>
          </w:p>
        </w:tc>
        <w:tc>
          <w:tcPr>
            <w:tcW w:w="1134" w:type="dxa"/>
            <w:vAlign w:val="center"/>
          </w:tcPr>
          <w:p w14:paraId="05F91FB8" w14:textId="77777777" w:rsidR="00B82598" w:rsidRDefault="00B82598" w:rsidP="00E75B8E">
            <w:pPr>
              <w:jc w:val="center"/>
            </w:pPr>
          </w:p>
        </w:tc>
        <w:tc>
          <w:tcPr>
            <w:tcW w:w="1155" w:type="dxa"/>
            <w:vAlign w:val="center"/>
          </w:tcPr>
          <w:p w14:paraId="05F91FB9" w14:textId="77777777" w:rsidR="00B82598" w:rsidRDefault="00B82598" w:rsidP="00E75B8E">
            <w:pPr>
              <w:jc w:val="center"/>
            </w:pPr>
          </w:p>
        </w:tc>
        <w:tc>
          <w:tcPr>
            <w:tcW w:w="1396" w:type="dxa"/>
            <w:vAlign w:val="center"/>
          </w:tcPr>
          <w:p w14:paraId="05F91FBA" w14:textId="77777777" w:rsidR="00B82598" w:rsidRDefault="00B82598" w:rsidP="00E75B8E">
            <w:pPr>
              <w:jc w:val="center"/>
            </w:pPr>
          </w:p>
        </w:tc>
      </w:tr>
      <w:tr w:rsidR="00B82598" w14:paraId="05F91FC2" w14:textId="77777777" w:rsidTr="00E55421">
        <w:tc>
          <w:tcPr>
            <w:tcW w:w="2652" w:type="dxa"/>
          </w:tcPr>
          <w:p w14:paraId="05F91FBC" w14:textId="77777777" w:rsidR="00B82598" w:rsidRPr="00B97C36" w:rsidRDefault="00B82598" w:rsidP="00E75B8E">
            <w:pPr>
              <w:jc w:val="both"/>
            </w:pPr>
            <w:r w:rsidRPr="00B97C36">
              <w:rPr>
                <w:sz w:val="22"/>
                <w:szCs w:val="22"/>
              </w:rPr>
              <w:t>5.2. speciālais budžets</w:t>
            </w:r>
          </w:p>
        </w:tc>
        <w:tc>
          <w:tcPr>
            <w:tcW w:w="1530" w:type="dxa"/>
            <w:vMerge/>
          </w:tcPr>
          <w:p w14:paraId="05F91FBD" w14:textId="77777777" w:rsidR="00B82598" w:rsidRDefault="00B82598" w:rsidP="00E75B8E">
            <w:pPr>
              <w:jc w:val="center"/>
            </w:pPr>
          </w:p>
        </w:tc>
        <w:tc>
          <w:tcPr>
            <w:tcW w:w="1467" w:type="dxa"/>
            <w:vAlign w:val="center"/>
          </w:tcPr>
          <w:p w14:paraId="05F91FBE" w14:textId="77777777" w:rsidR="00B82598" w:rsidRDefault="00B82598" w:rsidP="00E75B8E">
            <w:pPr>
              <w:jc w:val="center"/>
            </w:pPr>
          </w:p>
        </w:tc>
        <w:tc>
          <w:tcPr>
            <w:tcW w:w="1134" w:type="dxa"/>
            <w:vAlign w:val="center"/>
          </w:tcPr>
          <w:p w14:paraId="05F91FBF" w14:textId="77777777" w:rsidR="00B82598" w:rsidRDefault="00B82598" w:rsidP="00E75B8E">
            <w:pPr>
              <w:jc w:val="center"/>
            </w:pPr>
          </w:p>
        </w:tc>
        <w:tc>
          <w:tcPr>
            <w:tcW w:w="1155" w:type="dxa"/>
            <w:vAlign w:val="center"/>
          </w:tcPr>
          <w:p w14:paraId="05F91FC0" w14:textId="77777777" w:rsidR="00B82598" w:rsidRDefault="00B82598" w:rsidP="00E75B8E">
            <w:pPr>
              <w:jc w:val="center"/>
            </w:pPr>
          </w:p>
        </w:tc>
        <w:tc>
          <w:tcPr>
            <w:tcW w:w="1396" w:type="dxa"/>
            <w:vAlign w:val="center"/>
          </w:tcPr>
          <w:p w14:paraId="05F91FC1" w14:textId="77777777" w:rsidR="00B82598" w:rsidRDefault="00B82598" w:rsidP="00E75B8E">
            <w:pPr>
              <w:jc w:val="center"/>
            </w:pPr>
          </w:p>
        </w:tc>
      </w:tr>
      <w:tr w:rsidR="00B82598" w14:paraId="05F91FC9" w14:textId="77777777" w:rsidTr="00E55421">
        <w:tc>
          <w:tcPr>
            <w:tcW w:w="2652" w:type="dxa"/>
          </w:tcPr>
          <w:p w14:paraId="05F91FC3" w14:textId="77777777" w:rsidR="00B82598" w:rsidRPr="00B97C36" w:rsidRDefault="00B82598" w:rsidP="00E75B8E">
            <w:pPr>
              <w:jc w:val="both"/>
            </w:pPr>
            <w:r w:rsidRPr="00B97C36">
              <w:rPr>
                <w:sz w:val="22"/>
                <w:szCs w:val="22"/>
              </w:rPr>
              <w:t xml:space="preserve">5.3. pašvaldību budžets </w:t>
            </w:r>
          </w:p>
        </w:tc>
        <w:tc>
          <w:tcPr>
            <w:tcW w:w="1530" w:type="dxa"/>
            <w:vMerge/>
          </w:tcPr>
          <w:p w14:paraId="05F91FC4" w14:textId="77777777" w:rsidR="00B82598" w:rsidRDefault="00B82598" w:rsidP="00E75B8E">
            <w:pPr>
              <w:jc w:val="center"/>
            </w:pPr>
          </w:p>
        </w:tc>
        <w:tc>
          <w:tcPr>
            <w:tcW w:w="1467" w:type="dxa"/>
            <w:vAlign w:val="center"/>
          </w:tcPr>
          <w:p w14:paraId="05F91FC5" w14:textId="77777777" w:rsidR="00B82598" w:rsidRDefault="00B82598" w:rsidP="00E75B8E">
            <w:pPr>
              <w:jc w:val="center"/>
            </w:pPr>
          </w:p>
        </w:tc>
        <w:tc>
          <w:tcPr>
            <w:tcW w:w="1134" w:type="dxa"/>
            <w:vAlign w:val="center"/>
          </w:tcPr>
          <w:p w14:paraId="05F91FC6" w14:textId="77777777" w:rsidR="00B82598" w:rsidRDefault="00B82598" w:rsidP="00E75B8E">
            <w:pPr>
              <w:jc w:val="center"/>
            </w:pPr>
          </w:p>
        </w:tc>
        <w:tc>
          <w:tcPr>
            <w:tcW w:w="1155" w:type="dxa"/>
            <w:vAlign w:val="center"/>
          </w:tcPr>
          <w:p w14:paraId="05F91FC7" w14:textId="77777777" w:rsidR="00B82598" w:rsidRDefault="00B82598" w:rsidP="00E75B8E">
            <w:pPr>
              <w:jc w:val="center"/>
            </w:pPr>
          </w:p>
        </w:tc>
        <w:tc>
          <w:tcPr>
            <w:tcW w:w="1396" w:type="dxa"/>
            <w:vAlign w:val="center"/>
          </w:tcPr>
          <w:p w14:paraId="05F91FC8" w14:textId="77777777" w:rsidR="00B82598" w:rsidRDefault="00B82598" w:rsidP="00E75B8E">
            <w:pPr>
              <w:jc w:val="center"/>
            </w:pPr>
          </w:p>
        </w:tc>
      </w:tr>
      <w:tr w:rsidR="00B82598" w14:paraId="05F91FCB" w14:textId="77777777" w:rsidTr="00C80FE0">
        <w:tc>
          <w:tcPr>
            <w:tcW w:w="9334" w:type="dxa"/>
            <w:gridSpan w:val="6"/>
          </w:tcPr>
          <w:p w14:paraId="05F91FCA" w14:textId="77777777" w:rsidR="00B82598" w:rsidRDefault="00B82598" w:rsidP="00E75B8E">
            <w:r w:rsidRPr="00B97C36">
              <w:rPr>
                <w:sz w:val="22"/>
                <w:szCs w:val="22"/>
              </w:rPr>
              <w:t>6. Detalizēts ieņēmumu un izdevumu aprēķins (ja nepieciešams, detalizētu ieņēmumu un izdevumu aprēķinu var pievienot anotācijas pielikumā):</w:t>
            </w:r>
          </w:p>
        </w:tc>
      </w:tr>
      <w:tr w:rsidR="00B82598" w14:paraId="05F91FCE" w14:textId="77777777" w:rsidTr="00C80FE0">
        <w:tc>
          <w:tcPr>
            <w:tcW w:w="2652" w:type="dxa"/>
          </w:tcPr>
          <w:p w14:paraId="05F91FCC" w14:textId="77777777" w:rsidR="00B82598" w:rsidRPr="00B97C36" w:rsidRDefault="00B82598" w:rsidP="00E75B8E">
            <w:r w:rsidRPr="00B97C36">
              <w:rPr>
                <w:sz w:val="22"/>
                <w:szCs w:val="22"/>
              </w:rPr>
              <w:t>6.1. Detalizēts ieņēmumu aprēķins</w:t>
            </w:r>
          </w:p>
        </w:tc>
        <w:tc>
          <w:tcPr>
            <w:tcW w:w="6682" w:type="dxa"/>
            <w:gridSpan w:val="5"/>
            <w:vAlign w:val="center"/>
          </w:tcPr>
          <w:p w14:paraId="05F91FCD" w14:textId="77777777" w:rsidR="00B82598" w:rsidRDefault="00B82598" w:rsidP="00E75B8E">
            <w:pPr>
              <w:jc w:val="both"/>
            </w:pPr>
          </w:p>
        </w:tc>
      </w:tr>
      <w:tr w:rsidR="00B82598" w14:paraId="05F91FD1" w14:textId="77777777" w:rsidTr="00C80FE0">
        <w:tc>
          <w:tcPr>
            <w:tcW w:w="2652" w:type="dxa"/>
          </w:tcPr>
          <w:p w14:paraId="05F91FCF" w14:textId="77777777" w:rsidR="00B82598" w:rsidRPr="00B97C36" w:rsidRDefault="00B82598" w:rsidP="00E75B8E">
            <w:r w:rsidRPr="00B97C36">
              <w:rPr>
                <w:sz w:val="22"/>
                <w:szCs w:val="22"/>
              </w:rPr>
              <w:t>6.2. Detalizēts izdevumu aprēķins</w:t>
            </w:r>
          </w:p>
        </w:tc>
        <w:tc>
          <w:tcPr>
            <w:tcW w:w="6682" w:type="dxa"/>
            <w:gridSpan w:val="5"/>
          </w:tcPr>
          <w:p w14:paraId="05F91FD0" w14:textId="77777777" w:rsidR="00B82598" w:rsidRDefault="00B82598" w:rsidP="00E75B8E">
            <w:pPr>
              <w:jc w:val="both"/>
            </w:pPr>
          </w:p>
        </w:tc>
      </w:tr>
      <w:tr w:rsidR="00B82598" w14:paraId="05F91FD4" w14:textId="77777777" w:rsidTr="00C80FE0">
        <w:tc>
          <w:tcPr>
            <w:tcW w:w="2652" w:type="dxa"/>
          </w:tcPr>
          <w:p w14:paraId="05F91FD2" w14:textId="77777777" w:rsidR="00B82598" w:rsidRPr="00B97C36" w:rsidRDefault="00B82598" w:rsidP="00E75B8E">
            <w:pPr>
              <w:jc w:val="both"/>
            </w:pPr>
            <w:r w:rsidRPr="00B97C36">
              <w:rPr>
                <w:sz w:val="22"/>
                <w:szCs w:val="22"/>
              </w:rPr>
              <w:t>7. Cita informācija</w:t>
            </w:r>
          </w:p>
        </w:tc>
        <w:tc>
          <w:tcPr>
            <w:tcW w:w="6682" w:type="dxa"/>
            <w:gridSpan w:val="5"/>
          </w:tcPr>
          <w:p w14:paraId="05F91FD3" w14:textId="77777777" w:rsidR="00B82598" w:rsidRPr="00215B93" w:rsidRDefault="00B82598" w:rsidP="00E75B8E">
            <w:pPr>
              <w:jc w:val="both"/>
            </w:pPr>
            <w:r w:rsidRPr="008F285C">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14:paraId="05F91FD5" w14:textId="77777777" w:rsidR="00B82598" w:rsidRDefault="00B82598" w:rsidP="00E75B8E">
      <w:pPr>
        <w:pStyle w:val="naiskr"/>
        <w:tabs>
          <w:tab w:val="left" w:pos="2628"/>
        </w:tabs>
        <w:spacing w:before="0" w:after="0"/>
      </w:pPr>
    </w:p>
    <w:p w14:paraId="05F91FD6" w14:textId="43442973" w:rsidR="00A96DE5" w:rsidRPr="005344FD" w:rsidRDefault="00A96DE5" w:rsidP="00E75B8E">
      <w:pPr>
        <w:pStyle w:val="naisf"/>
        <w:spacing w:before="0" w:after="0"/>
      </w:pPr>
      <w:r w:rsidRPr="005344FD">
        <w:lastRenderedPageBreak/>
        <w:t>Anotācijas IV, V</w:t>
      </w:r>
      <w:r w:rsidR="00D628D1" w:rsidRPr="005344FD">
        <w:t>,</w:t>
      </w:r>
      <w:r w:rsidR="005344FD">
        <w:t xml:space="preserve"> VI un</w:t>
      </w:r>
      <w:r w:rsidRPr="005344FD">
        <w:t xml:space="preserve"> VII sadaļa – projekts šo jomu neskar.</w:t>
      </w:r>
    </w:p>
    <w:p w14:paraId="05F91FD7" w14:textId="77777777" w:rsidR="00A96DE5" w:rsidRDefault="00A96DE5" w:rsidP="00E75B8E">
      <w:pPr>
        <w:pStyle w:val="Heading5"/>
        <w:spacing w:before="0" w:after="0"/>
        <w:rPr>
          <w:sz w:val="24"/>
          <w:szCs w:val="24"/>
        </w:rPr>
      </w:pPr>
    </w:p>
    <w:p w14:paraId="05F91FD8" w14:textId="77777777" w:rsidR="00A96DE5" w:rsidRDefault="00A96DE5" w:rsidP="00E75B8E">
      <w:pPr>
        <w:pStyle w:val="Heading5"/>
        <w:spacing w:before="0" w:after="0"/>
        <w:rPr>
          <w:sz w:val="24"/>
          <w:szCs w:val="24"/>
        </w:rPr>
      </w:pPr>
    </w:p>
    <w:p w14:paraId="30B11DD5" w14:textId="77777777" w:rsidR="00E75B8E" w:rsidRPr="00E75B8E" w:rsidRDefault="00E75B8E" w:rsidP="00E75B8E"/>
    <w:p w14:paraId="05F91FD9" w14:textId="54FFC1A2" w:rsidR="00E53C35" w:rsidRPr="00E75B8E" w:rsidRDefault="00E53C35" w:rsidP="00E75B8E">
      <w:pPr>
        <w:pStyle w:val="Signature"/>
        <w:widowControl/>
        <w:tabs>
          <w:tab w:val="left" w:pos="6237"/>
          <w:tab w:val="left" w:pos="6820"/>
        </w:tabs>
        <w:spacing w:before="0"/>
        <w:ind w:firstLine="709"/>
        <w:rPr>
          <w:color w:val="000000"/>
          <w:sz w:val="28"/>
          <w:szCs w:val="24"/>
          <w:lang w:val="lv-LV"/>
        </w:rPr>
      </w:pPr>
      <w:r w:rsidRPr="00E75B8E">
        <w:rPr>
          <w:color w:val="000000"/>
          <w:sz w:val="28"/>
          <w:szCs w:val="24"/>
          <w:lang w:val="lv-LV"/>
        </w:rPr>
        <w:t>Ministru prezidents</w:t>
      </w:r>
      <w:r w:rsidRPr="00E75B8E">
        <w:rPr>
          <w:color w:val="000000"/>
          <w:sz w:val="28"/>
          <w:szCs w:val="24"/>
          <w:lang w:val="lv-LV"/>
        </w:rPr>
        <w:tab/>
      </w:r>
      <w:r w:rsidR="00E75B8E" w:rsidRPr="00E75B8E">
        <w:rPr>
          <w:color w:val="000000"/>
          <w:sz w:val="28"/>
          <w:szCs w:val="28"/>
          <w:lang w:val="lv-LV"/>
        </w:rPr>
        <w:t>Valdis</w:t>
      </w:r>
      <w:r w:rsidR="00E75B8E">
        <w:rPr>
          <w:color w:val="000000"/>
          <w:sz w:val="28"/>
          <w:szCs w:val="24"/>
          <w:lang w:val="lv-LV"/>
        </w:rPr>
        <w:t xml:space="preserve"> </w:t>
      </w:r>
      <w:r w:rsidRPr="00E75B8E">
        <w:rPr>
          <w:color w:val="000000"/>
          <w:sz w:val="28"/>
          <w:szCs w:val="24"/>
          <w:lang w:val="lv-LV"/>
        </w:rPr>
        <w:t>Dombrovskis</w:t>
      </w:r>
    </w:p>
    <w:p w14:paraId="05F91FDA" w14:textId="77777777" w:rsidR="00E53C35" w:rsidRPr="00E75B8E" w:rsidRDefault="00E53C35" w:rsidP="00E75B8E">
      <w:pPr>
        <w:pStyle w:val="EnvelopeReturn"/>
        <w:tabs>
          <w:tab w:val="left" w:pos="6237"/>
        </w:tabs>
        <w:spacing w:before="0"/>
        <w:ind w:firstLine="709"/>
        <w:rPr>
          <w:color w:val="000000"/>
          <w:sz w:val="28"/>
          <w:szCs w:val="24"/>
          <w:lang w:val="lv-LV"/>
        </w:rPr>
      </w:pPr>
    </w:p>
    <w:p w14:paraId="05F91FDB" w14:textId="77777777" w:rsidR="00E53C35" w:rsidRPr="00E75B8E" w:rsidRDefault="00E53C35" w:rsidP="00E75B8E">
      <w:pPr>
        <w:pStyle w:val="EnvelopeReturn"/>
        <w:tabs>
          <w:tab w:val="left" w:pos="6237"/>
        </w:tabs>
        <w:spacing w:before="0"/>
        <w:ind w:firstLine="709"/>
        <w:rPr>
          <w:color w:val="000000"/>
          <w:sz w:val="28"/>
          <w:szCs w:val="24"/>
          <w:lang w:val="lv-LV"/>
        </w:rPr>
      </w:pPr>
    </w:p>
    <w:p w14:paraId="05F91FDC" w14:textId="77777777" w:rsidR="00E53C35" w:rsidRPr="00E75B8E" w:rsidRDefault="00E53C35" w:rsidP="00E75B8E">
      <w:pPr>
        <w:pStyle w:val="EnvelopeReturn"/>
        <w:tabs>
          <w:tab w:val="left" w:pos="6237"/>
        </w:tabs>
        <w:spacing w:before="0"/>
        <w:ind w:firstLine="709"/>
        <w:rPr>
          <w:color w:val="000000"/>
          <w:sz w:val="28"/>
          <w:szCs w:val="24"/>
          <w:lang w:val="lv-LV"/>
        </w:rPr>
      </w:pPr>
    </w:p>
    <w:p w14:paraId="15D23A5D" w14:textId="77777777" w:rsidR="00E75B8E" w:rsidRDefault="00E53C35" w:rsidP="00E75B8E">
      <w:pPr>
        <w:pStyle w:val="Signature"/>
        <w:widowControl/>
        <w:tabs>
          <w:tab w:val="left" w:pos="6237"/>
          <w:tab w:val="left" w:pos="6820"/>
        </w:tabs>
        <w:spacing w:before="0"/>
        <w:ind w:firstLine="709"/>
        <w:rPr>
          <w:color w:val="000000"/>
          <w:sz w:val="28"/>
          <w:szCs w:val="24"/>
          <w:lang w:val="lv-LV"/>
        </w:rPr>
      </w:pPr>
      <w:r w:rsidRPr="00E75B8E">
        <w:rPr>
          <w:color w:val="000000"/>
          <w:sz w:val="28"/>
          <w:szCs w:val="24"/>
          <w:lang w:val="lv-LV"/>
        </w:rPr>
        <w:t xml:space="preserve">Vizē: </w:t>
      </w:r>
    </w:p>
    <w:p w14:paraId="05F91FDD" w14:textId="6B19DF60" w:rsidR="00E53C35" w:rsidRPr="00E75B8E" w:rsidRDefault="00E53C35" w:rsidP="00E75B8E">
      <w:pPr>
        <w:pStyle w:val="Signature"/>
        <w:widowControl/>
        <w:tabs>
          <w:tab w:val="left" w:pos="6237"/>
          <w:tab w:val="left" w:pos="6820"/>
        </w:tabs>
        <w:spacing w:before="0"/>
        <w:ind w:firstLine="709"/>
        <w:rPr>
          <w:color w:val="000000"/>
          <w:sz w:val="28"/>
          <w:szCs w:val="24"/>
          <w:lang w:val="lv-LV"/>
        </w:rPr>
      </w:pPr>
      <w:r w:rsidRPr="00E75B8E">
        <w:rPr>
          <w:color w:val="000000"/>
          <w:sz w:val="28"/>
          <w:szCs w:val="24"/>
          <w:lang w:val="lv-LV"/>
        </w:rPr>
        <w:t>Valsts kancelejas direktore</w:t>
      </w:r>
      <w:r w:rsidRPr="00E75B8E">
        <w:rPr>
          <w:color w:val="000000"/>
          <w:sz w:val="28"/>
          <w:szCs w:val="24"/>
          <w:u w:val="single"/>
          <w:lang w:val="lv-LV"/>
        </w:rPr>
        <w:tab/>
      </w:r>
      <w:r w:rsidRPr="00E75B8E">
        <w:rPr>
          <w:color w:val="000000"/>
          <w:sz w:val="28"/>
          <w:szCs w:val="24"/>
          <w:lang w:val="lv-LV"/>
        </w:rPr>
        <w:t>E</w:t>
      </w:r>
      <w:r w:rsidR="00E75B8E">
        <w:rPr>
          <w:color w:val="000000"/>
          <w:sz w:val="28"/>
          <w:szCs w:val="24"/>
          <w:lang w:val="lv-LV"/>
        </w:rPr>
        <w:t xml:space="preserve">lita </w:t>
      </w:r>
      <w:r w:rsidRPr="00E75B8E">
        <w:rPr>
          <w:color w:val="000000"/>
          <w:sz w:val="28"/>
          <w:szCs w:val="24"/>
          <w:lang w:val="lv-LV"/>
        </w:rPr>
        <w:t>Dreimane</w:t>
      </w:r>
    </w:p>
    <w:p w14:paraId="05F91FDE" w14:textId="77777777" w:rsidR="00E53C35" w:rsidRPr="00E75B8E" w:rsidRDefault="00E53C35" w:rsidP="00E75B8E">
      <w:pPr>
        <w:tabs>
          <w:tab w:val="left" w:pos="6237"/>
        </w:tabs>
        <w:ind w:firstLine="709"/>
        <w:jc w:val="both"/>
        <w:rPr>
          <w:color w:val="000000"/>
          <w:sz w:val="32"/>
          <w:szCs w:val="28"/>
        </w:rPr>
      </w:pPr>
    </w:p>
    <w:p w14:paraId="05F91FDF" w14:textId="77777777" w:rsidR="00E53C35" w:rsidRDefault="00E53C35" w:rsidP="00E75B8E">
      <w:pPr>
        <w:jc w:val="both"/>
        <w:rPr>
          <w:color w:val="000000"/>
          <w:sz w:val="28"/>
          <w:szCs w:val="28"/>
        </w:rPr>
      </w:pPr>
    </w:p>
    <w:p w14:paraId="05F91FE0" w14:textId="77777777" w:rsidR="00E53C35" w:rsidRPr="008C506E" w:rsidRDefault="00E53C35" w:rsidP="00E75B8E">
      <w:pPr>
        <w:jc w:val="both"/>
        <w:rPr>
          <w:color w:val="000000"/>
          <w:sz w:val="28"/>
          <w:szCs w:val="28"/>
        </w:rPr>
      </w:pPr>
    </w:p>
    <w:p w14:paraId="05F91FE1" w14:textId="77777777" w:rsidR="00E53C35" w:rsidRPr="00231D60" w:rsidRDefault="00E53C35" w:rsidP="00E75B8E">
      <w:pPr>
        <w:jc w:val="both"/>
        <w:rPr>
          <w:color w:val="000000"/>
          <w:sz w:val="20"/>
          <w:szCs w:val="20"/>
        </w:rPr>
      </w:pPr>
      <w:r w:rsidRPr="00231D60">
        <w:rPr>
          <w:color w:val="000000"/>
          <w:sz w:val="20"/>
          <w:szCs w:val="20"/>
        </w:rPr>
        <w:fldChar w:fldCharType="begin"/>
      </w:r>
      <w:r w:rsidRPr="00231D60">
        <w:rPr>
          <w:color w:val="000000"/>
          <w:sz w:val="20"/>
          <w:szCs w:val="20"/>
        </w:rPr>
        <w:instrText xml:space="preserve"> TIME  \@ "yyyy.MM.dd. H:mm"  \* MERGEFORMAT </w:instrText>
      </w:r>
      <w:r w:rsidRPr="00231D60">
        <w:rPr>
          <w:color w:val="000000"/>
          <w:sz w:val="20"/>
          <w:szCs w:val="20"/>
        </w:rPr>
        <w:fldChar w:fldCharType="separate"/>
      </w:r>
      <w:r w:rsidR="004A14F7">
        <w:rPr>
          <w:noProof/>
          <w:color w:val="000000"/>
          <w:sz w:val="20"/>
          <w:szCs w:val="20"/>
        </w:rPr>
        <w:t>2013.10.28. 13:59</w:t>
      </w:r>
      <w:r w:rsidRPr="00231D60">
        <w:rPr>
          <w:color w:val="000000"/>
          <w:sz w:val="20"/>
          <w:szCs w:val="20"/>
        </w:rPr>
        <w:fldChar w:fldCharType="end"/>
      </w:r>
    </w:p>
    <w:p w14:paraId="05F91FE2" w14:textId="6DF4B070" w:rsidR="00E53C35" w:rsidRPr="00231D60" w:rsidRDefault="00AC11FD" w:rsidP="00E75B8E">
      <w:pPr>
        <w:jc w:val="both"/>
        <w:rPr>
          <w:color w:val="000000"/>
          <w:sz w:val="20"/>
          <w:szCs w:val="20"/>
        </w:rPr>
      </w:pPr>
      <w:r>
        <w:rPr>
          <w:color w:val="000000"/>
          <w:sz w:val="20"/>
          <w:szCs w:val="20"/>
        </w:rPr>
        <w:t>10</w:t>
      </w:r>
      <w:r w:rsidR="005344FD">
        <w:rPr>
          <w:color w:val="000000"/>
          <w:sz w:val="20"/>
          <w:szCs w:val="20"/>
        </w:rPr>
        <w:t>43</w:t>
      </w:r>
    </w:p>
    <w:p w14:paraId="05F91FE3" w14:textId="088B973D" w:rsidR="00E53C35" w:rsidRPr="00BC46D8" w:rsidRDefault="00E53C35" w:rsidP="00E75B8E">
      <w:pPr>
        <w:jc w:val="both"/>
        <w:rPr>
          <w:color w:val="000000"/>
          <w:sz w:val="20"/>
          <w:szCs w:val="20"/>
        </w:rPr>
      </w:pPr>
      <w:r w:rsidRPr="00BC46D8">
        <w:rPr>
          <w:color w:val="000000"/>
          <w:sz w:val="20"/>
          <w:szCs w:val="20"/>
        </w:rPr>
        <w:t>Garkalne, 67082950</w:t>
      </w:r>
    </w:p>
    <w:p w14:paraId="05F91FE4" w14:textId="77777777" w:rsidR="00E53C35" w:rsidRPr="00BC46D8" w:rsidRDefault="004A14F7" w:rsidP="00E75B8E">
      <w:pPr>
        <w:jc w:val="both"/>
        <w:rPr>
          <w:color w:val="000000"/>
          <w:sz w:val="20"/>
          <w:szCs w:val="20"/>
        </w:rPr>
      </w:pPr>
      <w:hyperlink r:id="rId8" w:history="1">
        <w:r w:rsidR="00E53C35" w:rsidRPr="00BC46D8">
          <w:rPr>
            <w:rStyle w:val="Hyperlink"/>
            <w:sz w:val="20"/>
            <w:szCs w:val="20"/>
          </w:rPr>
          <w:t>maruta.garkalne@mk.gov.lv</w:t>
        </w:r>
      </w:hyperlink>
    </w:p>
    <w:p w14:paraId="05F91FE5" w14:textId="77777777" w:rsidR="00E53C35" w:rsidRPr="00BC46D8" w:rsidRDefault="00E53C35" w:rsidP="00E75B8E">
      <w:pPr>
        <w:jc w:val="both"/>
        <w:rPr>
          <w:color w:val="000000"/>
          <w:sz w:val="20"/>
          <w:szCs w:val="20"/>
        </w:rPr>
      </w:pPr>
    </w:p>
    <w:p w14:paraId="05F91FE6" w14:textId="6E35A752" w:rsidR="00E53C35" w:rsidRPr="00BC46D8" w:rsidRDefault="00E53C35" w:rsidP="00E75B8E">
      <w:pPr>
        <w:jc w:val="both"/>
        <w:rPr>
          <w:color w:val="000000"/>
          <w:sz w:val="20"/>
          <w:szCs w:val="20"/>
        </w:rPr>
      </w:pPr>
      <w:proofErr w:type="spellStart"/>
      <w:r w:rsidRPr="00BC46D8">
        <w:rPr>
          <w:color w:val="000000"/>
          <w:sz w:val="20"/>
          <w:szCs w:val="20"/>
        </w:rPr>
        <w:t>Rezebergs</w:t>
      </w:r>
      <w:proofErr w:type="spellEnd"/>
      <w:r w:rsidRPr="00BC46D8">
        <w:rPr>
          <w:color w:val="000000"/>
          <w:sz w:val="20"/>
          <w:szCs w:val="20"/>
        </w:rPr>
        <w:t>, 67082913</w:t>
      </w:r>
    </w:p>
    <w:p w14:paraId="05F91FE7" w14:textId="77777777" w:rsidR="00E53C35" w:rsidRPr="00BC46D8" w:rsidRDefault="004A14F7" w:rsidP="00E75B8E">
      <w:pPr>
        <w:jc w:val="both"/>
        <w:rPr>
          <w:color w:val="000000"/>
          <w:sz w:val="20"/>
          <w:szCs w:val="20"/>
        </w:rPr>
      </w:pPr>
      <w:hyperlink r:id="rId9" w:history="1">
        <w:r w:rsidR="00E53C35" w:rsidRPr="00430A8A">
          <w:rPr>
            <w:rStyle w:val="Hyperlink"/>
            <w:sz w:val="20"/>
            <w:szCs w:val="20"/>
          </w:rPr>
          <w:t>edgars.rezebergs@mk.gov.lv</w:t>
        </w:r>
      </w:hyperlink>
    </w:p>
    <w:p w14:paraId="05F91FE8" w14:textId="77777777" w:rsidR="00E53C35" w:rsidRPr="00902D9C" w:rsidRDefault="00E53C35" w:rsidP="00E75B8E">
      <w:pPr>
        <w:jc w:val="both"/>
        <w:rPr>
          <w:color w:val="000000"/>
        </w:rPr>
      </w:pPr>
    </w:p>
    <w:p w14:paraId="05F91FE9" w14:textId="77777777" w:rsidR="00502A50" w:rsidRDefault="00502A50" w:rsidP="00E75B8E">
      <w:pPr>
        <w:pStyle w:val="Heading5"/>
        <w:spacing w:before="0" w:after="0"/>
      </w:pPr>
    </w:p>
    <w:sectPr w:rsidR="00502A50" w:rsidSect="00845811">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91FEC" w14:textId="77777777" w:rsidR="000807A6" w:rsidRDefault="000807A6">
      <w:r>
        <w:separator/>
      </w:r>
    </w:p>
  </w:endnote>
  <w:endnote w:type="continuationSeparator" w:id="0">
    <w:p w14:paraId="05F91FED" w14:textId="77777777" w:rsidR="000807A6" w:rsidRDefault="0008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EB83" w14:textId="77777777" w:rsidR="00E75B8E" w:rsidRPr="003D59DF" w:rsidRDefault="00E75B8E" w:rsidP="00E75B8E">
    <w:pPr>
      <w:spacing w:after="120"/>
      <w:jc w:val="both"/>
      <w:rPr>
        <w:szCs w:val="16"/>
      </w:rPr>
    </w:pPr>
    <w:r w:rsidRPr="000D00EB">
      <w:rPr>
        <w:sz w:val="20"/>
        <w:szCs w:val="20"/>
      </w:rPr>
      <w:t>MKAnot_</w:t>
    </w:r>
    <w:r>
      <w:rPr>
        <w:sz w:val="20"/>
        <w:szCs w:val="20"/>
      </w:rPr>
      <w:t xml:space="preserve">groz963_01082013_euro; Ministru kabineta noteikumu projekts </w:t>
    </w:r>
    <w:r w:rsidRPr="00856AF3">
      <w:rPr>
        <w:sz w:val="20"/>
        <w:szCs w:val="20"/>
      </w:rPr>
      <w:t>"Grozījumi Ministru kabineta 2008.gada 25.novembra noteikumos Nr.963 "Noteikumi par darbības programmas "Cilvēkresursi un nodarbinātība" papildinājuma 1.5.2.2.2.apakšaktivitāti "Nevalstisko organizāciju administratīvās kapacitātes stiprināšana""</w:t>
    </w:r>
    <w:r>
      <w:rPr>
        <w:sz w:val="20"/>
        <w:szCs w:val="20"/>
      </w:rPr>
      <w:t xml:space="preserve"> (66278)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1FF7" w14:textId="00F0FDB3" w:rsidR="00567037" w:rsidRPr="003D59DF" w:rsidRDefault="00747CCA" w:rsidP="00E75B8E">
    <w:pPr>
      <w:spacing w:after="120"/>
      <w:jc w:val="both"/>
      <w:rPr>
        <w:szCs w:val="16"/>
      </w:rPr>
    </w:pPr>
    <w:r w:rsidRPr="000D00EB">
      <w:rPr>
        <w:sz w:val="20"/>
        <w:szCs w:val="20"/>
      </w:rPr>
      <w:t>MKAnot_</w:t>
    </w:r>
    <w:r>
      <w:rPr>
        <w:sz w:val="20"/>
        <w:szCs w:val="20"/>
      </w:rPr>
      <w:t>groz963_</w:t>
    </w:r>
    <w:r w:rsidR="00276A85">
      <w:rPr>
        <w:sz w:val="20"/>
        <w:szCs w:val="20"/>
      </w:rPr>
      <w:t>01082013</w:t>
    </w:r>
    <w:r w:rsidR="006C480C">
      <w:rPr>
        <w:sz w:val="20"/>
        <w:szCs w:val="20"/>
      </w:rPr>
      <w:t>_euro</w:t>
    </w:r>
    <w:r>
      <w:rPr>
        <w:sz w:val="20"/>
        <w:szCs w:val="20"/>
      </w:rPr>
      <w:t xml:space="preserve">; Ministru kabineta noteikumu projekts </w:t>
    </w:r>
    <w:r w:rsidRPr="00856AF3">
      <w:rPr>
        <w:sz w:val="20"/>
        <w:szCs w:val="20"/>
      </w:rPr>
      <w:t>"Grozījumi Ministru kabineta 2008.gada 25.novembra noteikumos Nr.963 "Noteikumi par darbības programmas "Cilvēkresursi un nodarbinātība" papildinājuma 1.5.2.2.2.apakšaktivitāti "Nevalstisko organizāciju administratīvās kapacitātes stiprināšana""</w:t>
    </w:r>
    <w:r w:rsidR="00E75B8E">
      <w:rPr>
        <w:sz w:val="20"/>
        <w:szCs w:val="20"/>
      </w:rPr>
      <w:t xml:space="preserve"> (66278)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91FEA" w14:textId="77777777" w:rsidR="000807A6" w:rsidRDefault="000807A6">
      <w:r>
        <w:separator/>
      </w:r>
    </w:p>
  </w:footnote>
  <w:footnote w:type="continuationSeparator" w:id="0">
    <w:p w14:paraId="05F91FEB" w14:textId="77777777" w:rsidR="000807A6" w:rsidRDefault="0008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1FEE" w14:textId="77777777" w:rsidR="00567037" w:rsidRDefault="00747CCA" w:rsidP="003C449B">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5F91FEF" w14:textId="77777777" w:rsidR="00567037" w:rsidRDefault="004A1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1FF0" w14:textId="77777777" w:rsidR="00567037" w:rsidRDefault="00747CCA" w:rsidP="003C449B">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4A14F7">
      <w:rPr>
        <w:rStyle w:val="PageNumber"/>
        <w:rFonts w:eastAsiaTheme="majorEastAsia"/>
        <w:noProof/>
      </w:rPr>
      <w:t>5</w:t>
    </w:r>
    <w:r>
      <w:rPr>
        <w:rStyle w:val="PageNumber"/>
        <w:rFonts w:eastAsiaTheme="majorEastAsia"/>
      </w:rPr>
      <w:fldChar w:fldCharType="end"/>
    </w:r>
  </w:p>
  <w:p w14:paraId="05F91FF1" w14:textId="77777777" w:rsidR="00567037" w:rsidRDefault="004A1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E5"/>
    <w:rsid w:val="000807A6"/>
    <w:rsid w:val="00096105"/>
    <w:rsid w:val="000E3832"/>
    <w:rsid w:val="000E6613"/>
    <w:rsid w:val="00165820"/>
    <w:rsid w:val="001B6680"/>
    <w:rsid w:val="001C2EF1"/>
    <w:rsid w:val="001C4860"/>
    <w:rsid w:val="001D1F0B"/>
    <w:rsid w:val="00276A85"/>
    <w:rsid w:val="002A1326"/>
    <w:rsid w:val="002A3237"/>
    <w:rsid w:val="002A5F61"/>
    <w:rsid w:val="002D1AA2"/>
    <w:rsid w:val="002F6F0B"/>
    <w:rsid w:val="0032170B"/>
    <w:rsid w:val="00353313"/>
    <w:rsid w:val="003565A0"/>
    <w:rsid w:val="003976EE"/>
    <w:rsid w:val="003D0BBA"/>
    <w:rsid w:val="00425E1A"/>
    <w:rsid w:val="004326CB"/>
    <w:rsid w:val="00455EEE"/>
    <w:rsid w:val="00492B8D"/>
    <w:rsid w:val="004A14F7"/>
    <w:rsid w:val="00502A50"/>
    <w:rsid w:val="00515553"/>
    <w:rsid w:val="005344FD"/>
    <w:rsid w:val="005966CF"/>
    <w:rsid w:val="005A2F0C"/>
    <w:rsid w:val="006176EA"/>
    <w:rsid w:val="00651D79"/>
    <w:rsid w:val="00653E89"/>
    <w:rsid w:val="00672C93"/>
    <w:rsid w:val="00680C30"/>
    <w:rsid w:val="006870F5"/>
    <w:rsid w:val="006C480C"/>
    <w:rsid w:val="00723D12"/>
    <w:rsid w:val="00741B7C"/>
    <w:rsid w:val="00747CCA"/>
    <w:rsid w:val="00781E04"/>
    <w:rsid w:val="007A146F"/>
    <w:rsid w:val="007A4AF1"/>
    <w:rsid w:val="007B0E4E"/>
    <w:rsid w:val="007E203A"/>
    <w:rsid w:val="00801F05"/>
    <w:rsid w:val="008120AD"/>
    <w:rsid w:val="00817029"/>
    <w:rsid w:val="0082707A"/>
    <w:rsid w:val="00830DA8"/>
    <w:rsid w:val="008B0D67"/>
    <w:rsid w:val="008E7E24"/>
    <w:rsid w:val="00930A39"/>
    <w:rsid w:val="0094022C"/>
    <w:rsid w:val="00965548"/>
    <w:rsid w:val="00987F35"/>
    <w:rsid w:val="00A24190"/>
    <w:rsid w:val="00A40189"/>
    <w:rsid w:val="00A453D7"/>
    <w:rsid w:val="00A64EF6"/>
    <w:rsid w:val="00A65087"/>
    <w:rsid w:val="00A758C9"/>
    <w:rsid w:val="00A84C9B"/>
    <w:rsid w:val="00A96DE5"/>
    <w:rsid w:val="00AA72BE"/>
    <w:rsid w:val="00AC11FD"/>
    <w:rsid w:val="00AC173F"/>
    <w:rsid w:val="00AD1BDF"/>
    <w:rsid w:val="00AE6D05"/>
    <w:rsid w:val="00AF5047"/>
    <w:rsid w:val="00B031CC"/>
    <w:rsid w:val="00B82598"/>
    <w:rsid w:val="00C01A23"/>
    <w:rsid w:val="00C21227"/>
    <w:rsid w:val="00C80FE0"/>
    <w:rsid w:val="00CA74B2"/>
    <w:rsid w:val="00CA7B1A"/>
    <w:rsid w:val="00CB25EF"/>
    <w:rsid w:val="00CB5A4D"/>
    <w:rsid w:val="00CE1B7A"/>
    <w:rsid w:val="00D17BD6"/>
    <w:rsid w:val="00D628D1"/>
    <w:rsid w:val="00DC5726"/>
    <w:rsid w:val="00E43726"/>
    <w:rsid w:val="00E53C35"/>
    <w:rsid w:val="00E55421"/>
    <w:rsid w:val="00E6102C"/>
    <w:rsid w:val="00E75B8E"/>
    <w:rsid w:val="00F17229"/>
    <w:rsid w:val="00F20789"/>
    <w:rsid w:val="00F4769C"/>
    <w:rsid w:val="00F63EA7"/>
    <w:rsid w:val="00F727E4"/>
    <w:rsid w:val="00F924C1"/>
    <w:rsid w:val="00F93AB1"/>
    <w:rsid w:val="00FE50BB"/>
    <w:rsid w:val="00FF5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envelope return"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89"/>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987F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7F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7F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7F35"/>
    <w:pPr>
      <w:keepNext/>
      <w:spacing w:before="240" w:after="60"/>
      <w:outlineLvl w:val="3"/>
    </w:pPr>
    <w:rPr>
      <w:b/>
      <w:bCs/>
      <w:sz w:val="28"/>
      <w:szCs w:val="28"/>
    </w:rPr>
  </w:style>
  <w:style w:type="paragraph" w:styleId="Heading5">
    <w:name w:val="heading 5"/>
    <w:basedOn w:val="Normal"/>
    <w:next w:val="Normal"/>
    <w:link w:val="Heading5Char"/>
    <w:unhideWhenUsed/>
    <w:qFormat/>
    <w:rsid w:val="00987F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7F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7F35"/>
    <w:pPr>
      <w:spacing w:before="240" w:after="60"/>
      <w:outlineLvl w:val="6"/>
    </w:pPr>
  </w:style>
  <w:style w:type="paragraph" w:styleId="Heading8">
    <w:name w:val="heading 8"/>
    <w:basedOn w:val="Normal"/>
    <w:next w:val="Normal"/>
    <w:link w:val="Heading8Char"/>
    <w:uiPriority w:val="9"/>
    <w:semiHidden/>
    <w:unhideWhenUsed/>
    <w:qFormat/>
    <w:rsid w:val="00987F35"/>
    <w:pPr>
      <w:spacing w:before="240" w:after="60"/>
      <w:outlineLvl w:val="7"/>
    </w:pPr>
    <w:rPr>
      <w:i/>
      <w:iCs/>
    </w:rPr>
  </w:style>
  <w:style w:type="paragraph" w:styleId="Heading9">
    <w:name w:val="heading 9"/>
    <w:basedOn w:val="Normal"/>
    <w:next w:val="Normal"/>
    <w:link w:val="Heading9Char"/>
    <w:uiPriority w:val="9"/>
    <w:semiHidden/>
    <w:unhideWhenUsed/>
    <w:qFormat/>
    <w:rsid w:val="00987F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F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7F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7F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7F35"/>
    <w:rPr>
      <w:b/>
      <w:bCs/>
      <w:sz w:val="28"/>
      <w:szCs w:val="28"/>
    </w:rPr>
  </w:style>
  <w:style w:type="character" w:customStyle="1" w:styleId="Heading5Char">
    <w:name w:val="Heading 5 Char"/>
    <w:basedOn w:val="DefaultParagraphFont"/>
    <w:link w:val="Heading5"/>
    <w:rsid w:val="00987F35"/>
    <w:rPr>
      <w:b/>
      <w:bCs/>
      <w:i/>
      <w:iCs/>
      <w:sz w:val="26"/>
      <w:szCs w:val="26"/>
    </w:rPr>
  </w:style>
  <w:style w:type="character" w:customStyle="1" w:styleId="Heading6Char">
    <w:name w:val="Heading 6 Char"/>
    <w:basedOn w:val="DefaultParagraphFont"/>
    <w:link w:val="Heading6"/>
    <w:uiPriority w:val="9"/>
    <w:semiHidden/>
    <w:rsid w:val="00987F35"/>
    <w:rPr>
      <w:b/>
      <w:bCs/>
    </w:rPr>
  </w:style>
  <w:style w:type="character" w:customStyle="1" w:styleId="Heading7Char">
    <w:name w:val="Heading 7 Char"/>
    <w:basedOn w:val="DefaultParagraphFont"/>
    <w:link w:val="Heading7"/>
    <w:uiPriority w:val="9"/>
    <w:semiHidden/>
    <w:rsid w:val="00987F35"/>
    <w:rPr>
      <w:sz w:val="24"/>
      <w:szCs w:val="24"/>
    </w:rPr>
  </w:style>
  <w:style w:type="character" w:customStyle="1" w:styleId="Heading8Char">
    <w:name w:val="Heading 8 Char"/>
    <w:basedOn w:val="DefaultParagraphFont"/>
    <w:link w:val="Heading8"/>
    <w:uiPriority w:val="9"/>
    <w:semiHidden/>
    <w:rsid w:val="00987F35"/>
    <w:rPr>
      <w:i/>
      <w:iCs/>
      <w:sz w:val="24"/>
      <w:szCs w:val="24"/>
    </w:rPr>
  </w:style>
  <w:style w:type="character" w:customStyle="1" w:styleId="Heading9Char">
    <w:name w:val="Heading 9 Char"/>
    <w:basedOn w:val="DefaultParagraphFont"/>
    <w:link w:val="Heading9"/>
    <w:uiPriority w:val="9"/>
    <w:semiHidden/>
    <w:rsid w:val="00987F35"/>
    <w:rPr>
      <w:rFonts w:asciiTheme="majorHAnsi" w:eastAsiaTheme="majorEastAsia" w:hAnsiTheme="majorHAnsi"/>
    </w:rPr>
  </w:style>
  <w:style w:type="paragraph" w:styleId="Title">
    <w:name w:val="Title"/>
    <w:basedOn w:val="Normal"/>
    <w:next w:val="Normal"/>
    <w:link w:val="TitleChar"/>
    <w:uiPriority w:val="10"/>
    <w:qFormat/>
    <w:rsid w:val="00987F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7F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7F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7F35"/>
    <w:rPr>
      <w:rFonts w:asciiTheme="majorHAnsi" w:eastAsiaTheme="majorEastAsia" w:hAnsiTheme="majorHAnsi"/>
      <w:sz w:val="24"/>
      <w:szCs w:val="24"/>
    </w:rPr>
  </w:style>
  <w:style w:type="character" w:styleId="Strong">
    <w:name w:val="Strong"/>
    <w:basedOn w:val="DefaultParagraphFont"/>
    <w:uiPriority w:val="22"/>
    <w:qFormat/>
    <w:rsid w:val="00987F35"/>
    <w:rPr>
      <w:b/>
      <w:bCs/>
    </w:rPr>
  </w:style>
  <w:style w:type="character" w:styleId="Emphasis">
    <w:name w:val="Emphasis"/>
    <w:basedOn w:val="DefaultParagraphFont"/>
    <w:uiPriority w:val="20"/>
    <w:qFormat/>
    <w:rsid w:val="00987F35"/>
    <w:rPr>
      <w:rFonts w:asciiTheme="minorHAnsi" w:hAnsiTheme="minorHAnsi"/>
      <w:b/>
      <w:i/>
      <w:iCs/>
    </w:rPr>
  </w:style>
  <w:style w:type="paragraph" w:styleId="NoSpacing">
    <w:name w:val="No Spacing"/>
    <w:basedOn w:val="Normal"/>
    <w:uiPriority w:val="1"/>
    <w:qFormat/>
    <w:rsid w:val="00987F35"/>
    <w:rPr>
      <w:szCs w:val="32"/>
    </w:rPr>
  </w:style>
  <w:style w:type="paragraph" w:styleId="ListParagraph">
    <w:name w:val="List Paragraph"/>
    <w:basedOn w:val="Normal"/>
    <w:uiPriority w:val="34"/>
    <w:qFormat/>
    <w:rsid w:val="00987F35"/>
    <w:pPr>
      <w:ind w:left="720"/>
      <w:contextualSpacing/>
    </w:pPr>
  </w:style>
  <w:style w:type="paragraph" w:styleId="Quote">
    <w:name w:val="Quote"/>
    <w:basedOn w:val="Normal"/>
    <w:next w:val="Normal"/>
    <w:link w:val="QuoteChar"/>
    <w:uiPriority w:val="29"/>
    <w:qFormat/>
    <w:rsid w:val="00987F35"/>
    <w:rPr>
      <w:i/>
    </w:rPr>
  </w:style>
  <w:style w:type="character" w:customStyle="1" w:styleId="QuoteChar">
    <w:name w:val="Quote Char"/>
    <w:basedOn w:val="DefaultParagraphFont"/>
    <w:link w:val="Quote"/>
    <w:uiPriority w:val="29"/>
    <w:rsid w:val="00987F35"/>
    <w:rPr>
      <w:i/>
      <w:sz w:val="24"/>
      <w:szCs w:val="24"/>
    </w:rPr>
  </w:style>
  <w:style w:type="paragraph" w:styleId="IntenseQuote">
    <w:name w:val="Intense Quote"/>
    <w:basedOn w:val="Normal"/>
    <w:next w:val="Normal"/>
    <w:link w:val="IntenseQuoteChar"/>
    <w:uiPriority w:val="30"/>
    <w:qFormat/>
    <w:rsid w:val="00987F35"/>
    <w:pPr>
      <w:ind w:left="720" w:right="720"/>
    </w:pPr>
    <w:rPr>
      <w:b/>
      <w:i/>
      <w:szCs w:val="22"/>
    </w:rPr>
  </w:style>
  <w:style w:type="character" w:customStyle="1" w:styleId="IntenseQuoteChar">
    <w:name w:val="Intense Quote Char"/>
    <w:basedOn w:val="DefaultParagraphFont"/>
    <w:link w:val="IntenseQuote"/>
    <w:uiPriority w:val="30"/>
    <w:rsid w:val="00987F35"/>
    <w:rPr>
      <w:b/>
      <w:i/>
      <w:sz w:val="24"/>
    </w:rPr>
  </w:style>
  <w:style w:type="character" w:styleId="SubtleEmphasis">
    <w:name w:val="Subtle Emphasis"/>
    <w:uiPriority w:val="19"/>
    <w:qFormat/>
    <w:rsid w:val="00987F35"/>
    <w:rPr>
      <w:i/>
      <w:color w:val="5A5A5A" w:themeColor="text1" w:themeTint="A5"/>
    </w:rPr>
  </w:style>
  <w:style w:type="character" w:styleId="IntenseEmphasis">
    <w:name w:val="Intense Emphasis"/>
    <w:basedOn w:val="DefaultParagraphFont"/>
    <w:uiPriority w:val="21"/>
    <w:qFormat/>
    <w:rsid w:val="00987F35"/>
    <w:rPr>
      <w:b/>
      <w:i/>
      <w:sz w:val="24"/>
      <w:szCs w:val="24"/>
      <w:u w:val="single"/>
    </w:rPr>
  </w:style>
  <w:style w:type="character" w:styleId="SubtleReference">
    <w:name w:val="Subtle Reference"/>
    <w:basedOn w:val="DefaultParagraphFont"/>
    <w:uiPriority w:val="31"/>
    <w:qFormat/>
    <w:rsid w:val="00987F35"/>
    <w:rPr>
      <w:sz w:val="24"/>
      <w:szCs w:val="24"/>
      <w:u w:val="single"/>
    </w:rPr>
  </w:style>
  <w:style w:type="character" w:styleId="IntenseReference">
    <w:name w:val="Intense Reference"/>
    <w:basedOn w:val="DefaultParagraphFont"/>
    <w:uiPriority w:val="32"/>
    <w:qFormat/>
    <w:rsid w:val="00987F35"/>
    <w:rPr>
      <w:b/>
      <w:sz w:val="24"/>
      <w:u w:val="single"/>
    </w:rPr>
  </w:style>
  <w:style w:type="character" w:styleId="BookTitle">
    <w:name w:val="Book Title"/>
    <w:basedOn w:val="DefaultParagraphFont"/>
    <w:uiPriority w:val="33"/>
    <w:qFormat/>
    <w:rsid w:val="00987F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7F35"/>
    <w:pPr>
      <w:outlineLvl w:val="9"/>
    </w:pPr>
  </w:style>
  <w:style w:type="paragraph" w:styleId="Header">
    <w:name w:val="header"/>
    <w:basedOn w:val="Normal"/>
    <w:link w:val="HeaderChar"/>
    <w:rsid w:val="00A96DE5"/>
    <w:pPr>
      <w:tabs>
        <w:tab w:val="center" w:pos="4153"/>
        <w:tab w:val="right" w:pos="8306"/>
      </w:tabs>
    </w:pPr>
  </w:style>
  <w:style w:type="character" w:customStyle="1" w:styleId="HeaderChar">
    <w:name w:val="Header Char"/>
    <w:basedOn w:val="DefaultParagraphFont"/>
    <w:link w:val="Header"/>
    <w:rsid w:val="00A96DE5"/>
    <w:rPr>
      <w:rFonts w:ascii="Times New Roman" w:eastAsia="Times New Roman" w:hAnsi="Times New Roman"/>
      <w:sz w:val="24"/>
      <w:szCs w:val="24"/>
      <w:lang w:eastAsia="lv-LV"/>
    </w:rPr>
  </w:style>
  <w:style w:type="character" w:styleId="PageNumber">
    <w:name w:val="page number"/>
    <w:basedOn w:val="DefaultParagraphFont"/>
    <w:rsid w:val="00A96DE5"/>
  </w:style>
  <w:style w:type="paragraph" w:customStyle="1" w:styleId="naisf">
    <w:name w:val="naisf"/>
    <w:basedOn w:val="Normal"/>
    <w:uiPriority w:val="99"/>
    <w:rsid w:val="00A96DE5"/>
    <w:pPr>
      <w:spacing w:before="75" w:after="75"/>
      <w:ind w:firstLine="375"/>
      <w:jc w:val="both"/>
    </w:pPr>
  </w:style>
  <w:style w:type="paragraph" w:customStyle="1" w:styleId="naisnod">
    <w:name w:val="naisnod"/>
    <w:basedOn w:val="Normal"/>
    <w:rsid w:val="00A96DE5"/>
    <w:pPr>
      <w:spacing w:before="150" w:after="150"/>
      <w:jc w:val="center"/>
    </w:pPr>
    <w:rPr>
      <w:b/>
      <w:bCs/>
    </w:rPr>
  </w:style>
  <w:style w:type="paragraph" w:customStyle="1" w:styleId="naiskr">
    <w:name w:val="naiskr"/>
    <w:basedOn w:val="Normal"/>
    <w:rsid w:val="00A96DE5"/>
    <w:pPr>
      <w:spacing w:before="75" w:after="75"/>
    </w:pPr>
  </w:style>
  <w:style w:type="paragraph" w:styleId="Footer">
    <w:name w:val="footer"/>
    <w:basedOn w:val="Normal"/>
    <w:link w:val="FooterChar"/>
    <w:rsid w:val="00A96DE5"/>
    <w:pPr>
      <w:tabs>
        <w:tab w:val="center" w:pos="4153"/>
        <w:tab w:val="right" w:pos="8306"/>
      </w:tabs>
    </w:pPr>
  </w:style>
  <w:style w:type="character" w:customStyle="1" w:styleId="FooterChar">
    <w:name w:val="Footer Char"/>
    <w:basedOn w:val="DefaultParagraphFont"/>
    <w:link w:val="Footer"/>
    <w:rsid w:val="00A96DE5"/>
    <w:rPr>
      <w:rFonts w:ascii="Times New Roman" w:eastAsia="Times New Roman" w:hAnsi="Times New Roman"/>
      <w:sz w:val="24"/>
      <w:szCs w:val="24"/>
      <w:lang w:eastAsia="lv-LV"/>
    </w:rPr>
  </w:style>
  <w:style w:type="paragraph" w:styleId="Signature">
    <w:name w:val="Signature"/>
    <w:basedOn w:val="Normal"/>
    <w:next w:val="EnvelopeReturn"/>
    <w:link w:val="SignatureChar"/>
    <w:rsid w:val="00A96DE5"/>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A96DE5"/>
    <w:rPr>
      <w:rFonts w:ascii="Times New Roman" w:eastAsia="Times New Roman" w:hAnsi="Times New Roman"/>
      <w:sz w:val="26"/>
      <w:szCs w:val="20"/>
      <w:lang w:val="en-AU"/>
    </w:rPr>
  </w:style>
  <w:style w:type="paragraph" w:styleId="EnvelopeReturn">
    <w:name w:val="envelope return"/>
    <w:basedOn w:val="Normal"/>
    <w:rsid w:val="00A96DE5"/>
    <w:pPr>
      <w:keepLines/>
      <w:widowControl w:val="0"/>
      <w:spacing w:before="600"/>
    </w:pPr>
    <w:rPr>
      <w:sz w:val="26"/>
      <w:szCs w:val="20"/>
      <w:lang w:val="en-AU" w:eastAsia="en-US"/>
    </w:rPr>
  </w:style>
  <w:style w:type="paragraph" w:styleId="BodyTextIndent3">
    <w:name w:val="Body Text Indent 3"/>
    <w:basedOn w:val="Normal"/>
    <w:link w:val="BodyTextIndent3Char"/>
    <w:uiPriority w:val="99"/>
    <w:unhideWhenUsed/>
    <w:rsid w:val="00A96DE5"/>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rsid w:val="00A96DE5"/>
    <w:rPr>
      <w:rFonts w:ascii="Times New Roman" w:eastAsia="Calibri" w:hAnsi="Times New Roman"/>
      <w:sz w:val="16"/>
      <w:szCs w:val="16"/>
    </w:rPr>
  </w:style>
  <w:style w:type="character" w:styleId="CommentReference">
    <w:name w:val="annotation reference"/>
    <w:basedOn w:val="DefaultParagraphFont"/>
    <w:uiPriority w:val="99"/>
    <w:semiHidden/>
    <w:unhideWhenUsed/>
    <w:rsid w:val="00741B7C"/>
    <w:rPr>
      <w:sz w:val="16"/>
      <w:szCs w:val="16"/>
    </w:rPr>
  </w:style>
  <w:style w:type="paragraph" w:styleId="CommentText">
    <w:name w:val="annotation text"/>
    <w:basedOn w:val="Normal"/>
    <w:link w:val="CommentTextChar"/>
    <w:uiPriority w:val="99"/>
    <w:semiHidden/>
    <w:unhideWhenUsed/>
    <w:rsid w:val="00741B7C"/>
    <w:rPr>
      <w:sz w:val="20"/>
      <w:szCs w:val="20"/>
    </w:rPr>
  </w:style>
  <w:style w:type="character" w:customStyle="1" w:styleId="CommentTextChar">
    <w:name w:val="Comment Text Char"/>
    <w:basedOn w:val="DefaultParagraphFont"/>
    <w:link w:val="CommentText"/>
    <w:uiPriority w:val="99"/>
    <w:semiHidden/>
    <w:rsid w:val="00741B7C"/>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1B7C"/>
    <w:rPr>
      <w:b/>
      <w:bCs/>
    </w:rPr>
  </w:style>
  <w:style w:type="character" w:customStyle="1" w:styleId="CommentSubjectChar">
    <w:name w:val="Comment Subject Char"/>
    <w:basedOn w:val="CommentTextChar"/>
    <w:link w:val="CommentSubject"/>
    <w:uiPriority w:val="99"/>
    <w:semiHidden/>
    <w:rsid w:val="00741B7C"/>
    <w:rPr>
      <w:rFonts w:ascii="Times New Roman" w:eastAsia="Times New Roman" w:hAnsi="Times New Roman"/>
      <w:b/>
      <w:bCs/>
      <w:sz w:val="20"/>
      <w:szCs w:val="20"/>
      <w:lang w:eastAsia="lv-LV"/>
    </w:rPr>
  </w:style>
  <w:style w:type="paragraph" w:styleId="Revision">
    <w:name w:val="Revision"/>
    <w:hidden/>
    <w:uiPriority w:val="99"/>
    <w:semiHidden/>
    <w:rsid w:val="00741B7C"/>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41B7C"/>
    <w:rPr>
      <w:rFonts w:ascii="Tahoma" w:hAnsi="Tahoma" w:cs="Tahoma"/>
      <w:sz w:val="16"/>
      <w:szCs w:val="16"/>
    </w:rPr>
  </w:style>
  <w:style w:type="character" w:customStyle="1" w:styleId="BalloonTextChar">
    <w:name w:val="Balloon Text Char"/>
    <w:basedOn w:val="DefaultParagraphFont"/>
    <w:link w:val="BalloonText"/>
    <w:uiPriority w:val="99"/>
    <w:semiHidden/>
    <w:rsid w:val="00741B7C"/>
    <w:rPr>
      <w:rFonts w:ascii="Tahoma" w:eastAsia="Times New Roman" w:hAnsi="Tahoma" w:cs="Tahoma"/>
      <w:sz w:val="16"/>
      <w:szCs w:val="16"/>
      <w:lang w:eastAsia="lv-LV"/>
    </w:rPr>
  </w:style>
  <w:style w:type="character" w:styleId="Hyperlink">
    <w:name w:val="Hyperlink"/>
    <w:uiPriority w:val="99"/>
    <w:rsid w:val="00E53C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envelope return"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89"/>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987F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7F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7F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7F35"/>
    <w:pPr>
      <w:keepNext/>
      <w:spacing w:before="240" w:after="60"/>
      <w:outlineLvl w:val="3"/>
    </w:pPr>
    <w:rPr>
      <w:b/>
      <w:bCs/>
      <w:sz w:val="28"/>
      <w:szCs w:val="28"/>
    </w:rPr>
  </w:style>
  <w:style w:type="paragraph" w:styleId="Heading5">
    <w:name w:val="heading 5"/>
    <w:basedOn w:val="Normal"/>
    <w:next w:val="Normal"/>
    <w:link w:val="Heading5Char"/>
    <w:unhideWhenUsed/>
    <w:qFormat/>
    <w:rsid w:val="00987F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7F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7F35"/>
    <w:pPr>
      <w:spacing w:before="240" w:after="60"/>
      <w:outlineLvl w:val="6"/>
    </w:pPr>
  </w:style>
  <w:style w:type="paragraph" w:styleId="Heading8">
    <w:name w:val="heading 8"/>
    <w:basedOn w:val="Normal"/>
    <w:next w:val="Normal"/>
    <w:link w:val="Heading8Char"/>
    <w:uiPriority w:val="9"/>
    <w:semiHidden/>
    <w:unhideWhenUsed/>
    <w:qFormat/>
    <w:rsid w:val="00987F35"/>
    <w:pPr>
      <w:spacing w:before="240" w:after="60"/>
      <w:outlineLvl w:val="7"/>
    </w:pPr>
    <w:rPr>
      <w:i/>
      <w:iCs/>
    </w:rPr>
  </w:style>
  <w:style w:type="paragraph" w:styleId="Heading9">
    <w:name w:val="heading 9"/>
    <w:basedOn w:val="Normal"/>
    <w:next w:val="Normal"/>
    <w:link w:val="Heading9Char"/>
    <w:uiPriority w:val="9"/>
    <w:semiHidden/>
    <w:unhideWhenUsed/>
    <w:qFormat/>
    <w:rsid w:val="00987F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F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7F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7F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7F35"/>
    <w:rPr>
      <w:b/>
      <w:bCs/>
      <w:sz w:val="28"/>
      <w:szCs w:val="28"/>
    </w:rPr>
  </w:style>
  <w:style w:type="character" w:customStyle="1" w:styleId="Heading5Char">
    <w:name w:val="Heading 5 Char"/>
    <w:basedOn w:val="DefaultParagraphFont"/>
    <w:link w:val="Heading5"/>
    <w:rsid w:val="00987F35"/>
    <w:rPr>
      <w:b/>
      <w:bCs/>
      <w:i/>
      <w:iCs/>
      <w:sz w:val="26"/>
      <w:szCs w:val="26"/>
    </w:rPr>
  </w:style>
  <w:style w:type="character" w:customStyle="1" w:styleId="Heading6Char">
    <w:name w:val="Heading 6 Char"/>
    <w:basedOn w:val="DefaultParagraphFont"/>
    <w:link w:val="Heading6"/>
    <w:uiPriority w:val="9"/>
    <w:semiHidden/>
    <w:rsid w:val="00987F35"/>
    <w:rPr>
      <w:b/>
      <w:bCs/>
    </w:rPr>
  </w:style>
  <w:style w:type="character" w:customStyle="1" w:styleId="Heading7Char">
    <w:name w:val="Heading 7 Char"/>
    <w:basedOn w:val="DefaultParagraphFont"/>
    <w:link w:val="Heading7"/>
    <w:uiPriority w:val="9"/>
    <w:semiHidden/>
    <w:rsid w:val="00987F35"/>
    <w:rPr>
      <w:sz w:val="24"/>
      <w:szCs w:val="24"/>
    </w:rPr>
  </w:style>
  <w:style w:type="character" w:customStyle="1" w:styleId="Heading8Char">
    <w:name w:val="Heading 8 Char"/>
    <w:basedOn w:val="DefaultParagraphFont"/>
    <w:link w:val="Heading8"/>
    <w:uiPriority w:val="9"/>
    <w:semiHidden/>
    <w:rsid w:val="00987F35"/>
    <w:rPr>
      <w:i/>
      <w:iCs/>
      <w:sz w:val="24"/>
      <w:szCs w:val="24"/>
    </w:rPr>
  </w:style>
  <w:style w:type="character" w:customStyle="1" w:styleId="Heading9Char">
    <w:name w:val="Heading 9 Char"/>
    <w:basedOn w:val="DefaultParagraphFont"/>
    <w:link w:val="Heading9"/>
    <w:uiPriority w:val="9"/>
    <w:semiHidden/>
    <w:rsid w:val="00987F35"/>
    <w:rPr>
      <w:rFonts w:asciiTheme="majorHAnsi" w:eastAsiaTheme="majorEastAsia" w:hAnsiTheme="majorHAnsi"/>
    </w:rPr>
  </w:style>
  <w:style w:type="paragraph" w:styleId="Title">
    <w:name w:val="Title"/>
    <w:basedOn w:val="Normal"/>
    <w:next w:val="Normal"/>
    <w:link w:val="TitleChar"/>
    <w:uiPriority w:val="10"/>
    <w:qFormat/>
    <w:rsid w:val="00987F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7F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7F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7F35"/>
    <w:rPr>
      <w:rFonts w:asciiTheme="majorHAnsi" w:eastAsiaTheme="majorEastAsia" w:hAnsiTheme="majorHAnsi"/>
      <w:sz w:val="24"/>
      <w:szCs w:val="24"/>
    </w:rPr>
  </w:style>
  <w:style w:type="character" w:styleId="Strong">
    <w:name w:val="Strong"/>
    <w:basedOn w:val="DefaultParagraphFont"/>
    <w:uiPriority w:val="22"/>
    <w:qFormat/>
    <w:rsid w:val="00987F35"/>
    <w:rPr>
      <w:b/>
      <w:bCs/>
    </w:rPr>
  </w:style>
  <w:style w:type="character" w:styleId="Emphasis">
    <w:name w:val="Emphasis"/>
    <w:basedOn w:val="DefaultParagraphFont"/>
    <w:uiPriority w:val="20"/>
    <w:qFormat/>
    <w:rsid w:val="00987F35"/>
    <w:rPr>
      <w:rFonts w:asciiTheme="minorHAnsi" w:hAnsiTheme="minorHAnsi"/>
      <w:b/>
      <w:i/>
      <w:iCs/>
    </w:rPr>
  </w:style>
  <w:style w:type="paragraph" w:styleId="NoSpacing">
    <w:name w:val="No Spacing"/>
    <w:basedOn w:val="Normal"/>
    <w:uiPriority w:val="1"/>
    <w:qFormat/>
    <w:rsid w:val="00987F35"/>
    <w:rPr>
      <w:szCs w:val="32"/>
    </w:rPr>
  </w:style>
  <w:style w:type="paragraph" w:styleId="ListParagraph">
    <w:name w:val="List Paragraph"/>
    <w:basedOn w:val="Normal"/>
    <w:uiPriority w:val="34"/>
    <w:qFormat/>
    <w:rsid w:val="00987F35"/>
    <w:pPr>
      <w:ind w:left="720"/>
      <w:contextualSpacing/>
    </w:pPr>
  </w:style>
  <w:style w:type="paragraph" w:styleId="Quote">
    <w:name w:val="Quote"/>
    <w:basedOn w:val="Normal"/>
    <w:next w:val="Normal"/>
    <w:link w:val="QuoteChar"/>
    <w:uiPriority w:val="29"/>
    <w:qFormat/>
    <w:rsid w:val="00987F35"/>
    <w:rPr>
      <w:i/>
    </w:rPr>
  </w:style>
  <w:style w:type="character" w:customStyle="1" w:styleId="QuoteChar">
    <w:name w:val="Quote Char"/>
    <w:basedOn w:val="DefaultParagraphFont"/>
    <w:link w:val="Quote"/>
    <w:uiPriority w:val="29"/>
    <w:rsid w:val="00987F35"/>
    <w:rPr>
      <w:i/>
      <w:sz w:val="24"/>
      <w:szCs w:val="24"/>
    </w:rPr>
  </w:style>
  <w:style w:type="paragraph" w:styleId="IntenseQuote">
    <w:name w:val="Intense Quote"/>
    <w:basedOn w:val="Normal"/>
    <w:next w:val="Normal"/>
    <w:link w:val="IntenseQuoteChar"/>
    <w:uiPriority w:val="30"/>
    <w:qFormat/>
    <w:rsid w:val="00987F35"/>
    <w:pPr>
      <w:ind w:left="720" w:right="720"/>
    </w:pPr>
    <w:rPr>
      <w:b/>
      <w:i/>
      <w:szCs w:val="22"/>
    </w:rPr>
  </w:style>
  <w:style w:type="character" w:customStyle="1" w:styleId="IntenseQuoteChar">
    <w:name w:val="Intense Quote Char"/>
    <w:basedOn w:val="DefaultParagraphFont"/>
    <w:link w:val="IntenseQuote"/>
    <w:uiPriority w:val="30"/>
    <w:rsid w:val="00987F35"/>
    <w:rPr>
      <w:b/>
      <w:i/>
      <w:sz w:val="24"/>
    </w:rPr>
  </w:style>
  <w:style w:type="character" w:styleId="SubtleEmphasis">
    <w:name w:val="Subtle Emphasis"/>
    <w:uiPriority w:val="19"/>
    <w:qFormat/>
    <w:rsid w:val="00987F35"/>
    <w:rPr>
      <w:i/>
      <w:color w:val="5A5A5A" w:themeColor="text1" w:themeTint="A5"/>
    </w:rPr>
  </w:style>
  <w:style w:type="character" w:styleId="IntenseEmphasis">
    <w:name w:val="Intense Emphasis"/>
    <w:basedOn w:val="DefaultParagraphFont"/>
    <w:uiPriority w:val="21"/>
    <w:qFormat/>
    <w:rsid w:val="00987F35"/>
    <w:rPr>
      <w:b/>
      <w:i/>
      <w:sz w:val="24"/>
      <w:szCs w:val="24"/>
      <w:u w:val="single"/>
    </w:rPr>
  </w:style>
  <w:style w:type="character" w:styleId="SubtleReference">
    <w:name w:val="Subtle Reference"/>
    <w:basedOn w:val="DefaultParagraphFont"/>
    <w:uiPriority w:val="31"/>
    <w:qFormat/>
    <w:rsid w:val="00987F35"/>
    <w:rPr>
      <w:sz w:val="24"/>
      <w:szCs w:val="24"/>
      <w:u w:val="single"/>
    </w:rPr>
  </w:style>
  <w:style w:type="character" w:styleId="IntenseReference">
    <w:name w:val="Intense Reference"/>
    <w:basedOn w:val="DefaultParagraphFont"/>
    <w:uiPriority w:val="32"/>
    <w:qFormat/>
    <w:rsid w:val="00987F35"/>
    <w:rPr>
      <w:b/>
      <w:sz w:val="24"/>
      <w:u w:val="single"/>
    </w:rPr>
  </w:style>
  <w:style w:type="character" w:styleId="BookTitle">
    <w:name w:val="Book Title"/>
    <w:basedOn w:val="DefaultParagraphFont"/>
    <w:uiPriority w:val="33"/>
    <w:qFormat/>
    <w:rsid w:val="00987F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7F35"/>
    <w:pPr>
      <w:outlineLvl w:val="9"/>
    </w:pPr>
  </w:style>
  <w:style w:type="paragraph" w:styleId="Header">
    <w:name w:val="header"/>
    <w:basedOn w:val="Normal"/>
    <w:link w:val="HeaderChar"/>
    <w:rsid w:val="00A96DE5"/>
    <w:pPr>
      <w:tabs>
        <w:tab w:val="center" w:pos="4153"/>
        <w:tab w:val="right" w:pos="8306"/>
      </w:tabs>
    </w:pPr>
  </w:style>
  <w:style w:type="character" w:customStyle="1" w:styleId="HeaderChar">
    <w:name w:val="Header Char"/>
    <w:basedOn w:val="DefaultParagraphFont"/>
    <w:link w:val="Header"/>
    <w:rsid w:val="00A96DE5"/>
    <w:rPr>
      <w:rFonts w:ascii="Times New Roman" w:eastAsia="Times New Roman" w:hAnsi="Times New Roman"/>
      <w:sz w:val="24"/>
      <w:szCs w:val="24"/>
      <w:lang w:eastAsia="lv-LV"/>
    </w:rPr>
  </w:style>
  <w:style w:type="character" w:styleId="PageNumber">
    <w:name w:val="page number"/>
    <w:basedOn w:val="DefaultParagraphFont"/>
    <w:rsid w:val="00A96DE5"/>
  </w:style>
  <w:style w:type="paragraph" w:customStyle="1" w:styleId="naisf">
    <w:name w:val="naisf"/>
    <w:basedOn w:val="Normal"/>
    <w:uiPriority w:val="99"/>
    <w:rsid w:val="00A96DE5"/>
    <w:pPr>
      <w:spacing w:before="75" w:after="75"/>
      <w:ind w:firstLine="375"/>
      <w:jc w:val="both"/>
    </w:pPr>
  </w:style>
  <w:style w:type="paragraph" w:customStyle="1" w:styleId="naisnod">
    <w:name w:val="naisnod"/>
    <w:basedOn w:val="Normal"/>
    <w:rsid w:val="00A96DE5"/>
    <w:pPr>
      <w:spacing w:before="150" w:after="150"/>
      <w:jc w:val="center"/>
    </w:pPr>
    <w:rPr>
      <w:b/>
      <w:bCs/>
    </w:rPr>
  </w:style>
  <w:style w:type="paragraph" w:customStyle="1" w:styleId="naiskr">
    <w:name w:val="naiskr"/>
    <w:basedOn w:val="Normal"/>
    <w:rsid w:val="00A96DE5"/>
    <w:pPr>
      <w:spacing w:before="75" w:after="75"/>
    </w:pPr>
  </w:style>
  <w:style w:type="paragraph" w:styleId="Footer">
    <w:name w:val="footer"/>
    <w:basedOn w:val="Normal"/>
    <w:link w:val="FooterChar"/>
    <w:rsid w:val="00A96DE5"/>
    <w:pPr>
      <w:tabs>
        <w:tab w:val="center" w:pos="4153"/>
        <w:tab w:val="right" w:pos="8306"/>
      </w:tabs>
    </w:pPr>
  </w:style>
  <w:style w:type="character" w:customStyle="1" w:styleId="FooterChar">
    <w:name w:val="Footer Char"/>
    <w:basedOn w:val="DefaultParagraphFont"/>
    <w:link w:val="Footer"/>
    <w:rsid w:val="00A96DE5"/>
    <w:rPr>
      <w:rFonts w:ascii="Times New Roman" w:eastAsia="Times New Roman" w:hAnsi="Times New Roman"/>
      <w:sz w:val="24"/>
      <w:szCs w:val="24"/>
      <w:lang w:eastAsia="lv-LV"/>
    </w:rPr>
  </w:style>
  <w:style w:type="paragraph" w:styleId="Signature">
    <w:name w:val="Signature"/>
    <w:basedOn w:val="Normal"/>
    <w:next w:val="EnvelopeReturn"/>
    <w:link w:val="SignatureChar"/>
    <w:rsid w:val="00A96DE5"/>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A96DE5"/>
    <w:rPr>
      <w:rFonts w:ascii="Times New Roman" w:eastAsia="Times New Roman" w:hAnsi="Times New Roman"/>
      <w:sz w:val="26"/>
      <w:szCs w:val="20"/>
      <w:lang w:val="en-AU"/>
    </w:rPr>
  </w:style>
  <w:style w:type="paragraph" w:styleId="EnvelopeReturn">
    <w:name w:val="envelope return"/>
    <w:basedOn w:val="Normal"/>
    <w:rsid w:val="00A96DE5"/>
    <w:pPr>
      <w:keepLines/>
      <w:widowControl w:val="0"/>
      <w:spacing w:before="600"/>
    </w:pPr>
    <w:rPr>
      <w:sz w:val="26"/>
      <w:szCs w:val="20"/>
      <w:lang w:val="en-AU" w:eastAsia="en-US"/>
    </w:rPr>
  </w:style>
  <w:style w:type="paragraph" w:styleId="BodyTextIndent3">
    <w:name w:val="Body Text Indent 3"/>
    <w:basedOn w:val="Normal"/>
    <w:link w:val="BodyTextIndent3Char"/>
    <w:uiPriority w:val="99"/>
    <w:unhideWhenUsed/>
    <w:rsid w:val="00A96DE5"/>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rsid w:val="00A96DE5"/>
    <w:rPr>
      <w:rFonts w:ascii="Times New Roman" w:eastAsia="Calibri" w:hAnsi="Times New Roman"/>
      <w:sz w:val="16"/>
      <w:szCs w:val="16"/>
    </w:rPr>
  </w:style>
  <w:style w:type="character" w:styleId="CommentReference">
    <w:name w:val="annotation reference"/>
    <w:basedOn w:val="DefaultParagraphFont"/>
    <w:uiPriority w:val="99"/>
    <w:semiHidden/>
    <w:unhideWhenUsed/>
    <w:rsid w:val="00741B7C"/>
    <w:rPr>
      <w:sz w:val="16"/>
      <w:szCs w:val="16"/>
    </w:rPr>
  </w:style>
  <w:style w:type="paragraph" w:styleId="CommentText">
    <w:name w:val="annotation text"/>
    <w:basedOn w:val="Normal"/>
    <w:link w:val="CommentTextChar"/>
    <w:uiPriority w:val="99"/>
    <w:semiHidden/>
    <w:unhideWhenUsed/>
    <w:rsid w:val="00741B7C"/>
    <w:rPr>
      <w:sz w:val="20"/>
      <w:szCs w:val="20"/>
    </w:rPr>
  </w:style>
  <w:style w:type="character" w:customStyle="1" w:styleId="CommentTextChar">
    <w:name w:val="Comment Text Char"/>
    <w:basedOn w:val="DefaultParagraphFont"/>
    <w:link w:val="CommentText"/>
    <w:uiPriority w:val="99"/>
    <w:semiHidden/>
    <w:rsid w:val="00741B7C"/>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1B7C"/>
    <w:rPr>
      <w:b/>
      <w:bCs/>
    </w:rPr>
  </w:style>
  <w:style w:type="character" w:customStyle="1" w:styleId="CommentSubjectChar">
    <w:name w:val="Comment Subject Char"/>
    <w:basedOn w:val="CommentTextChar"/>
    <w:link w:val="CommentSubject"/>
    <w:uiPriority w:val="99"/>
    <w:semiHidden/>
    <w:rsid w:val="00741B7C"/>
    <w:rPr>
      <w:rFonts w:ascii="Times New Roman" w:eastAsia="Times New Roman" w:hAnsi="Times New Roman"/>
      <w:b/>
      <w:bCs/>
      <w:sz w:val="20"/>
      <w:szCs w:val="20"/>
      <w:lang w:eastAsia="lv-LV"/>
    </w:rPr>
  </w:style>
  <w:style w:type="paragraph" w:styleId="Revision">
    <w:name w:val="Revision"/>
    <w:hidden/>
    <w:uiPriority w:val="99"/>
    <w:semiHidden/>
    <w:rsid w:val="00741B7C"/>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41B7C"/>
    <w:rPr>
      <w:rFonts w:ascii="Tahoma" w:hAnsi="Tahoma" w:cs="Tahoma"/>
      <w:sz w:val="16"/>
      <w:szCs w:val="16"/>
    </w:rPr>
  </w:style>
  <w:style w:type="character" w:customStyle="1" w:styleId="BalloonTextChar">
    <w:name w:val="Balloon Text Char"/>
    <w:basedOn w:val="DefaultParagraphFont"/>
    <w:link w:val="BalloonText"/>
    <w:uiPriority w:val="99"/>
    <w:semiHidden/>
    <w:rsid w:val="00741B7C"/>
    <w:rPr>
      <w:rFonts w:ascii="Tahoma" w:eastAsia="Times New Roman" w:hAnsi="Tahoma" w:cs="Tahoma"/>
      <w:sz w:val="16"/>
      <w:szCs w:val="16"/>
      <w:lang w:eastAsia="lv-LV"/>
    </w:rPr>
  </w:style>
  <w:style w:type="character" w:styleId="Hyperlink">
    <w:name w:val="Hyperlink"/>
    <w:uiPriority w:val="99"/>
    <w:rsid w:val="00E53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954">
      <w:bodyDiv w:val="1"/>
      <w:marLeft w:val="0"/>
      <w:marRight w:val="0"/>
      <w:marTop w:val="0"/>
      <w:marBottom w:val="0"/>
      <w:divBdr>
        <w:top w:val="none" w:sz="0" w:space="0" w:color="auto"/>
        <w:left w:val="none" w:sz="0" w:space="0" w:color="auto"/>
        <w:bottom w:val="none" w:sz="0" w:space="0" w:color="auto"/>
        <w:right w:val="none" w:sz="0" w:space="0" w:color="auto"/>
      </w:divBdr>
    </w:div>
    <w:div w:id="10769210">
      <w:bodyDiv w:val="1"/>
      <w:marLeft w:val="0"/>
      <w:marRight w:val="0"/>
      <w:marTop w:val="0"/>
      <w:marBottom w:val="0"/>
      <w:divBdr>
        <w:top w:val="none" w:sz="0" w:space="0" w:color="auto"/>
        <w:left w:val="none" w:sz="0" w:space="0" w:color="auto"/>
        <w:bottom w:val="none" w:sz="0" w:space="0" w:color="auto"/>
        <w:right w:val="none" w:sz="0" w:space="0" w:color="auto"/>
      </w:divBdr>
    </w:div>
    <w:div w:id="37749970">
      <w:bodyDiv w:val="1"/>
      <w:marLeft w:val="0"/>
      <w:marRight w:val="0"/>
      <w:marTop w:val="0"/>
      <w:marBottom w:val="0"/>
      <w:divBdr>
        <w:top w:val="none" w:sz="0" w:space="0" w:color="auto"/>
        <w:left w:val="none" w:sz="0" w:space="0" w:color="auto"/>
        <w:bottom w:val="none" w:sz="0" w:space="0" w:color="auto"/>
        <w:right w:val="none" w:sz="0" w:space="0" w:color="auto"/>
      </w:divBdr>
    </w:div>
    <w:div w:id="38939077">
      <w:bodyDiv w:val="1"/>
      <w:marLeft w:val="0"/>
      <w:marRight w:val="0"/>
      <w:marTop w:val="0"/>
      <w:marBottom w:val="0"/>
      <w:divBdr>
        <w:top w:val="none" w:sz="0" w:space="0" w:color="auto"/>
        <w:left w:val="none" w:sz="0" w:space="0" w:color="auto"/>
        <w:bottom w:val="none" w:sz="0" w:space="0" w:color="auto"/>
        <w:right w:val="none" w:sz="0" w:space="0" w:color="auto"/>
      </w:divBdr>
    </w:div>
    <w:div w:id="82920834">
      <w:bodyDiv w:val="1"/>
      <w:marLeft w:val="0"/>
      <w:marRight w:val="0"/>
      <w:marTop w:val="0"/>
      <w:marBottom w:val="0"/>
      <w:divBdr>
        <w:top w:val="none" w:sz="0" w:space="0" w:color="auto"/>
        <w:left w:val="none" w:sz="0" w:space="0" w:color="auto"/>
        <w:bottom w:val="none" w:sz="0" w:space="0" w:color="auto"/>
        <w:right w:val="none" w:sz="0" w:space="0" w:color="auto"/>
      </w:divBdr>
    </w:div>
    <w:div w:id="87970041">
      <w:bodyDiv w:val="1"/>
      <w:marLeft w:val="0"/>
      <w:marRight w:val="0"/>
      <w:marTop w:val="0"/>
      <w:marBottom w:val="0"/>
      <w:divBdr>
        <w:top w:val="none" w:sz="0" w:space="0" w:color="auto"/>
        <w:left w:val="none" w:sz="0" w:space="0" w:color="auto"/>
        <w:bottom w:val="none" w:sz="0" w:space="0" w:color="auto"/>
        <w:right w:val="none" w:sz="0" w:space="0" w:color="auto"/>
      </w:divBdr>
    </w:div>
    <w:div w:id="165563611">
      <w:bodyDiv w:val="1"/>
      <w:marLeft w:val="0"/>
      <w:marRight w:val="0"/>
      <w:marTop w:val="0"/>
      <w:marBottom w:val="0"/>
      <w:divBdr>
        <w:top w:val="none" w:sz="0" w:space="0" w:color="auto"/>
        <w:left w:val="none" w:sz="0" w:space="0" w:color="auto"/>
        <w:bottom w:val="none" w:sz="0" w:space="0" w:color="auto"/>
        <w:right w:val="none" w:sz="0" w:space="0" w:color="auto"/>
      </w:divBdr>
    </w:div>
    <w:div w:id="402413323">
      <w:bodyDiv w:val="1"/>
      <w:marLeft w:val="0"/>
      <w:marRight w:val="0"/>
      <w:marTop w:val="0"/>
      <w:marBottom w:val="0"/>
      <w:divBdr>
        <w:top w:val="none" w:sz="0" w:space="0" w:color="auto"/>
        <w:left w:val="none" w:sz="0" w:space="0" w:color="auto"/>
        <w:bottom w:val="none" w:sz="0" w:space="0" w:color="auto"/>
        <w:right w:val="none" w:sz="0" w:space="0" w:color="auto"/>
      </w:divBdr>
    </w:div>
    <w:div w:id="543299102">
      <w:bodyDiv w:val="1"/>
      <w:marLeft w:val="0"/>
      <w:marRight w:val="0"/>
      <w:marTop w:val="0"/>
      <w:marBottom w:val="0"/>
      <w:divBdr>
        <w:top w:val="none" w:sz="0" w:space="0" w:color="auto"/>
        <w:left w:val="none" w:sz="0" w:space="0" w:color="auto"/>
        <w:bottom w:val="none" w:sz="0" w:space="0" w:color="auto"/>
        <w:right w:val="none" w:sz="0" w:space="0" w:color="auto"/>
      </w:divBdr>
    </w:div>
    <w:div w:id="626469583">
      <w:bodyDiv w:val="1"/>
      <w:marLeft w:val="0"/>
      <w:marRight w:val="0"/>
      <w:marTop w:val="0"/>
      <w:marBottom w:val="0"/>
      <w:divBdr>
        <w:top w:val="none" w:sz="0" w:space="0" w:color="auto"/>
        <w:left w:val="none" w:sz="0" w:space="0" w:color="auto"/>
        <w:bottom w:val="none" w:sz="0" w:space="0" w:color="auto"/>
        <w:right w:val="none" w:sz="0" w:space="0" w:color="auto"/>
      </w:divBdr>
    </w:div>
    <w:div w:id="652103314">
      <w:bodyDiv w:val="1"/>
      <w:marLeft w:val="0"/>
      <w:marRight w:val="0"/>
      <w:marTop w:val="0"/>
      <w:marBottom w:val="0"/>
      <w:divBdr>
        <w:top w:val="none" w:sz="0" w:space="0" w:color="auto"/>
        <w:left w:val="none" w:sz="0" w:space="0" w:color="auto"/>
        <w:bottom w:val="none" w:sz="0" w:space="0" w:color="auto"/>
        <w:right w:val="none" w:sz="0" w:space="0" w:color="auto"/>
      </w:divBdr>
    </w:div>
    <w:div w:id="700787680">
      <w:bodyDiv w:val="1"/>
      <w:marLeft w:val="0"/>
      <w:marRight w:val="0"/>
      <w:marTop w:val="0"/>
      <w:marBottom w:val="0"/>
      <w:divBdr>
        <w:top w:val="none" w:sz="0" w:space="0" w:color="auto"/>
        <w:left w:val="none" w:sz="0" w:space="0" w:color="auto"/>
        <w:bottom w:val="none" w:sz="0" w:space="0" w:color="auto"/>
        <w:right w:val="none" w:sz="0" w:space="0" w:color="auto"/>
      </w:divBdr>
    </w:div>
    <w:div w:id="738669536">
      <w:bodyDiv w:val="1"/>
      <w:marLeft w:val="0"/>
      <w:marRight w:val="0"/>
      <w:marTop w:val="0"/>
      <w:marBottom w:val="0"/>
      <w:divBdr>
        <w:top w:val="none" w:sz="0" w:space="0" w:color="auto"/>
        <w:left w:val="none" w:sz="0" w:space="0" w:color="auto"/>
        <w:bottom w:val="none" w:sz="0" w:space="0" w:color="auto"/>
        <w:right w:val="none" w:sz="0" w:space="0" w:color="auto"/>
      </w:divBdr>
    </w:div>
    <w:div w:id="741100962">
      <w:bodyDiv w:val="1"/>
      <w:marLeft w:val="0"/>
      <w:marRight w:val="0"/>
      <w:marTop w:val="0"/>
      <w:marBottom w:val="0"/>
      <w:divBdr>
        <w:top w:val="none" w:sz="0" w:space="0" w:color="auto"/>
        <w:left w:val="none" w:sz="0" w:space="0" w:color="auto"/>
        <w:bottom w:val="none" w:sz="0" w:space="0" w:color="auto"/>
        <w:right w:val="none" w:sz="0" w:space="0" w:color="auto"/>
      </w:divBdr>
    </w:div>
    <w:div w:id="769861630">
      <w:bodyDiv w:val="1"/>
      <w:marLeft w:val="0"/>
      <w:marRight w:val="0"/>
      <w:marTop w:val="0"/>
      <w:marBottom w:val="0"/>
      <w:divBdr>
        <w:top w:val="none" w:sz="0" w:space="0" w:color="auto"/>
        <w:left w:val="none" w:sz="0" w:space="0" w:color="auto"/>
        <w:bottom w:val="none" w:sz="0" w:space="0" w:color="auto"/>
        <w:right w:val="none" w:sz="0" w:space="0" w:color="auto"/>
      </w:divBdr>
    </w:div>
    <w:div w:id="948587174">
      <w:bodyDiv w:val="1"/>
      <w:marLeft w:val="0"/>
      <w:marRight w:val="0"/>
      <w:marTop w:val="0"/>
      <w:marBottom w:val="0"/>
      <w:divBdr>
        <w:top w:val="none" w:sz="0" w:space="0" w:color="auto"/>
        <w:left w:val="none" w:sz="0" w:space="0" w:color="auto"/>
        <w:bottom w:val="none" w:sz="0" w:space="0" w:color="auto"/>
        <w:right w:val="none" w:sz="0" w:space="0" w:color="auto"/>
      </w:divBdr>
    </w:div>
    <w:div w:id="1066730342">
      <w:bodyDiv w:val="1"/>
      <w:marLeft w:val="0"/>
      <w:marRight w:val="0"/>
      <w:marTop w:val="0"/>
      <w:marBottom w:val="0"/>
      <w:divBdr>
        <w:top w:val="none" w:sz="0" w:space="0" w:color="auto"/>
        <w:left w:val="none" w:sz="0" w:space="0" w:color="auto"/>
        <w:bottom w:val="none" w:sz="0" w:space="0" w:color="auto"/>
        <w:right w:val="none" w:sz="0" w:space="0" w:color="auto"/>
      </w:divBdr>
    </w:div>
    <w:div w:id="1105156260">
      <w:bodyDiv w:val="1"/>
      <w:marLeft w:val="0"/>
      <w:marRight w:val="0"/>
      <w:marTop w:val="0"/>
      <w:marBottom w:val="0"/>
      <w:divBdr>
        <w:top w:val="none" w:sz="0" w:space="0" w:color="auto"/>
        <w:left w:val="none" w:sz="0" w:space="0" w:color="auto"/>
        <w:bottom w:val="none" w:sz="0" w:space="0" w:color="auto"/>
        <w:right w:val="none" w:sz="0" w:space="0" w:color="auto"/>
      </w:divBdr>
    </w:div>
    <w:div w:id="1125732868">
      <w:bodyDiv w:val="1"/>
      <w:marLeft w:val="0"/>
      <w:marRight w:val="0"/>
      <w:marTop w:val="0"/>
      <w:marBottom w:val="0"/>
      <w:divBdr>
        <w:top w:val="none" w:sz="0" w:space="0" w:color="auto"/>
        <w:left w:val="none" w:sz="0" w:space="0" w:color="auto"/>
        <w:bottom w:val="none" w:sz="0" w:space="0" w:color="auto"/>
        <w:right w:val="none" w:sz="0" w:space="0" w:color="auto"/>
      </w:divBdr>
    </w:div>
    <w:div w:id="1139301392">
      <w:bodyDiv w:val="1"/>
      <w:marLeft w:val="0"/>
      <w:marRight w:val="0"/>
      <w:marTop w:val="0"/>
      <w:marBottom w:val="0"/>
      <w:divBdr>
        <w:top w:val="none" w:sz="0" w:space="0" w:color="auto"/>
        <w:left w:val="none" w:sz="0" w:space="0" w:color="auto"/>
        <w:bottom w:val="none" w:sz="0" w:space="0" w:color="auto"/>
        <w:right w:val="none" w:sz="0" w:space="0" w:color="auto"/>
      </w:divBdr>
    </w:div>
    <w:div w:id="1187131795">
      <w:bodyDiv w:val="1"/>
      <w:marLeft w:val="0"/>
      <w:marRight w:val="0"/>
      <w:marTop w:val="0"/>
      <w:marBottom w:val="0"/>
      <w:divBdr>
        <w:top w:val="none" w:sz="0" w:space="0" w:color="auto"/>
        <w:left w:val="none" w:sz="0" w:space="0" w:color="auto"/>
        <w:bottom w:val="none" w:sz="0" w:space="0" w:color="auto"/>
        <w:right w:val="none" w:sz="0" w:space="0" w:color="auto"/>
      </w:divBdr>
    </w:div>
    <w:div w:id="1334800018">
      <w:bodyDiv w:val="1"/>
      <w:marLeft w:val="0"/>
      <w:marRight w:val="0"/>
      <w:marTop w:val="0"/>
      <w:marBottom w:val="0"/>
      <w:divBdr>
        <w:top w:val="none" w:sz="0" w:space="0" w:color="auto"/>
        <w:left w:val="none" w:sz="0" w:space="0" w:color="auto"/>
        <w:bottom w:val="none" w:sz="0" w:space="0" w:color="auto"/>
        <w:right w:val="none" w:sz="0" w:space="0" w:color="auto"/>
      </w:divBdr>
    </w:div>
    <w:div w:id="1391727355">
      <w:bodyDiv w:val="1"/>
      <w:marLeft w:val="0"/>
      <w:marRight w:val="0"/>
      <w:marTop w:val="0"/>
      <w:marBottom w:val="0"/>
      <w:divBdr>
        <w:top w:val="none" w:sz="0" w:space="0" w:color="auto"/>
        <w:left w:val="none" w:sz="0" w:space="0" w:color="auto"/>
        <w:bottom w:val="none" w:sz="0" w:space="0" w:color="auto"/>
        <w:right w:val="none" w:sz="0" w:space="0" w:color="auto"/>
      </w:divBdr>
    </w:div>
    <w:div w:id="1529028728">
      <w:bodyDiv w:val="1"/>
      <w:marLeft w:val="0"/>
      <w:marRight w:val="0"/>
      <w:marTop w:val="0"/>
      <w:marBottom w:val="0"/>
      <w:divBdr>
        <w:top w:val="none" w:sz="0" w:space="0" w:color="auto"/>
        <w:left w:val="none" w:sz="0" w:space="0" w:color="auto"/>
        <w:bottom w:val="none" w:sz="0" w:space="0" w:color="auto"/>
        <w:right w:val="none" w:sz="0" w:space="0" w:color="auto"/>
      </w:divBdr>
    </w:div>
    <w:div w:id="1547377612">
      <w:bodyDiv w:val="1"/>
      <w:marLeft w:val="0"/>
      <w:marRight w:val="0"/>
      <w:marTop w:val="0"/>
      <w:marBottom w:val="0"/>
      <w:divBdr>
        <w:top w:val="none" w:sz="0" w:space="0" w:color="auto"/>
        <w:left w:val="none" w:sz="0" w:space="0" w:color="auto"/>
        <w:bottom w:val="none" w:sz="0" w:space="0" w:color="auto"/>
        <w:right w:val="none" w:sz="0" w:space="0" w:color="auto"/>
      </w:divBdr>
    </w:div>
    <w:div w:id="1557936034">
      <w:bodyDiv w:val="1"/>
      <w:marLeft w:val="0"/>
      <w:marRight w:val="0"/>
      <w:marTop w:val="0"/>
      <w:marBottom w:val="0"/>
      <w:divBdr>
        <w:top w:val="none" w:sz="0" w:space="0" w:color="auto"/>
        <w:left w:val="none" w:sz="0" w:space="0" w:color="auto"/>
        <w:bottom w:val="none" w:sz="0" w:space="0" w:color="auto"/>
        <w:right w:val="none" w:sz="0" w:space="0" w:color="auto"/>
      </w:divBdr>
    </w:div>
    <w:div w:id="1599556797">
      <w:bodyDiv w:val="1"/>
      <w:marLeft w:val="0"/>
      <w:marRight w:val="0"/>
      <w:marTop w:val="0"/>
      <w:marBottom w:val="0"/>
      <w:divBdr>
        <w:top w:val="none" w:sz="0" w:space="0" w:color="auto"/>
        <w:left w:val="none" w:sz="0" w:space="0" w:color="auto"/>
        <w:bottom w:val="none" w:sz="0" w:space="0" w:color="auto"/>
        <w:right w:val="none" w:sz="0" w:space="0" w:color="auto"/>
      </w:divBdr>
    </w:div>
    <w:div w:id="1673145843">
      <w:bodyDiv w:val="1"/>
      <w:marLeft w:val="0"/>
      <w:marRight w:val="0"/>
      <w:marTop w:val="0"/>
      <w:marBottom w:val="0"/>
      <w:divBdr>
        <w:top w:val="none" w:sz="0" w:space="0" w:color="auto"/>
        <w:left w:val="none" w:sz="0" w:space="0" w:color="auto"/>
        <w:bottom w:val="none" w:sz="0" w:space="0" w:color="auto"/>
        <w:right w:val="none" w:sz="0" w:space="0" w:color="auto"/>
      </w:divBdr>
    </w:div>
    <w:div w:id="1767076511">
      <w:bodyDiv w:val="1"/>
      <w:marLeft w:val="0"/>
      <w:marRight w:val="0"/>
      <w:marTop w:val="0"/>
      <w:marBottom w:val="0"/>
      <w:divBdr>
        <w:top w:val="none" w:sz="0" w:space="0" w:color="auto"/>
        <w:left w:val="none" w:sz="0" w:space="0" w:color="auto"/>
        <w:bottom w:val="none" w:sz="0" w:space="0" w:color="auto"/>
        <w:right w:val="none" w:sz="0" w:space="0" w:color="auto"/>
      </w:divBdr>
    </w:div>
    <w:div w:id="1901402104">
      <w:bodyDiv w:val="1"/>
      <w:marLeft w:val="0"/>
      <w:marRight w:val="0"/>
      <w:marTop w:val="0"/>
      <w:marBottom w:val="0"/>
      <w:divBdr>
        <w:top w:val="none" w:sz="0" w:space="0" w:color="auto"/>
        <w:left w:val="none" w:sz="0" w:space="0" w:color="auto"/>
        <w:bottom w:val="none" w:sz="0" w:space="0" w:color="auto"/>
        <w:right w:val="none" w:sz="0" w:space="0" w:color="auto"/>
      </w:divBdr>
    </w:div>
    <w:div w:id="1927881895">
      <w:bodyDiv w:val="1"/>
      <w:marLeft w:val="0"/>
      <w:marRight w:val="0"/>
      <w:marTop w:val="0"/>
      <w:marBottom w:val="0"/>
      <w:divBdr>
        <w:top w:val="none" w:sz="0" w:space="0" w:color="auto"/>
        <w:left w:val="none" w:sz="0" w:space="0" w:color="auto"/>
        <w:bottom w:val="none" w:sz="0" w:space="0" w:color="auto"/>
        <w:right w:val="none" w:sz="0" w:space="0" w:color="auto"/>
      </w:divBdr>
    </w:div>
    <w:div w:id="1995642864">
      <w:bodyDiv w:val="1"/>
      <w:marLeft w:val="0"/>
      <w:marRight w:val="0"/>
      <w:marTop w:val="0"/>
      <w:marBottom w:val="0"/>
      <w:divBdr>
        <w:top w:val="none" w:sz="0" w:space="0" w:color="auto"/>
        <w:left w:val="none" w:sz="0" w:space="0" w:color="auto"/>
        <w:bottom w:val="none" w:sz="0" w:space="0" w:color="auto"/>
        <w:right w:val="none" w:sz="0" w:space="0" w:color="auto"/>
      </w:divBdr>
    </w:div>
    <w:div w:id="2009089722">
      <w:bodyDiv w:val="1"/>
      <w:marLeft w:val="0"/>
      <w:marRight w:val="0"/>
      <w:marTop w:val="0"/>
      <w:marBottom w:val="0"/>
      <w:divBdr>
        <w:top w:val="none" w:sz="0" w:space="0" w:color="auto"/>
        <w:left w:val="none" w:sz="0" w:space="0" w:color="auto"/>
        <w:bottom w:val="none" w:sz="0" w:space="0" w:color="auto"/>
        <w:right w:val="none" w:sz="0" w:space="0" w:color="auto"/>
      </w:divBdr>
    </w:div>
    <w:div w:id="20537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ta.garkalne@mk.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gars.rezebergs@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188A-2CCA-4A35-A487-B51DB2EE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1043</Words>
  <Characters>7286</Characters>
  <Application>Microsoft Office Word</Application>
  <DocSecurity>0</DocSecurity>
  <Lines>165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Rezebergs</dc:creator>
  <cp:lastModifiedBy>Sandra Liniņa</cp:lastModifiedBy>
  <cp:revision>13</cp:revision>
  <cp:lastPrinted>2013-10-28T11:59:00Z</cp:lastPrinted>
  <dcterms:created xsi:type="dcterms:W3CDTF">2013-09-19T12:02:00Z</dcterms:created>
  <dcterms:modified xsi:type="dcterms:W3CDTF">2013-10-28T12:00:00Z</dcterms:modified>
</cp:coreProperties>
</file>