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A233C" w14:textId="76BE78AD" w:rsidR="008C5649" w:rsidRPr="007267F0" w:rsidRDefault="000913D3" w:rsidP="000913D3">
      <w:pPr>
        <w:jc w:val="center"/>
        <w:rPr>
          <w:b/>
          <w:sz w:val="28"/>
        </w:rPr>
      </w:pPr>
      <w:r>
        <w:rPr>
          <w:b/>
          <w:sz w:val="28"/>
        </w:rPr>
        <w:t>N</w:t>
      </w:r>
      <w:r w:rsidR="006F3FE9" w:rsidRPr="007267F0">
        <w:rPr>
          <w:b/>
          <w:sz w:val="28"/>
        </w:rPr>
        <w:t>oteikumu projekta</w:t>
      </w:r>
      <w:r>
        <w:rPr>
          <w:b/>
          <w:sz w:val="28"/>
        </w:rPr>
        <w:t xml:space="preserve"> "</w:t>
      </w:r>
      <w:r w:rsidR="006F3FE9" w:rsidRPr="007267F0">
        <w:rPr>
          <w:b/>
          <w:sz w:val="28"/>
        </w:rPr>
        <w:t>Grozījum</w:t>
      </w:r>
      <w:r w:rsidR="00EC3271" w:rsidRPr="007267F0">
        <w:rPr>
          <w:b/>
          <w:sz w:val="28"/>
        </w:rPr>
        <w:t>i</w:t>
      </w:r>
      <w:r w:rsidR="006F3FE9" w:rsidRPr="007267F0">
        <w:rPr>
          <w:b/>
          <w:sz w:val="28"/>
        </w:rPr>
        <w:t xml:space="preserve"> </w:t>
      </w:r>
      <w:r w:rsidR="00171CB8" w:rsidRPr="007267F0">
        <w:rPr>
          <w:b/>
          <w:sz w:val="28"/>
        </w:rPr>
        <w:t xml:space="preserve">Ministru kabineta 2008.gada 25.novembra noteikumos Nr.963 </w:t>
      </w:r>
      <w:r>
        <w:rPr>
          <w:b/>
          <w:sz w:val="28"/>
        </w:rPr>
        <w:t>"</w:t>
      </w:r>
      <w:r w:rsidR="00171CB8" w:rsidRPr="007267F0">
        <w:rPr>
          <w:b/>
          <w:sz w:val="28"/>
        </w:rPr>
        <w:t xml:space="preserve">Noteikumi par darbības programmas </w:t>
      </w:r>
      <w:r>
        <w:rPr>
          <w:b/>
          <w:sz w:val="28"/>
        </w:rPr>
        <w:t>"</w:t>
      </w:r>
      <w:r w:rsidR="00171CB8" w:rsidRPr="007267F0">
        <w:rPr>
          <w:b/>
          <w:sz w:val="28"/>
        </w:rPr>
        <w:t>Cilvēkresursi un nodarbinātība</w:t>
      </w:r>
      <w:r>
        <w:rPr>
          <w:b/>
          <w:sz w:val="28"/>
        </w:rPr>
        <w:t>"</w:t>
      </w:r>
      <w:r w:rsidR="00171CB8" w:rsidRPr="007267F0">
        <w:rPr>
          <w:b/>
          <w:sz w:val="28"/>
        </w:rPr>
        <w:t xml:space="preserve"> papildinājuma 1.5.2.2.2.apakšaktivitāti </w:t>
      </w:r>
      <w:r>
        <w:rPr>
          <w:b/>
          <w:sz w:val="28"/>
        </w:rPr>
        <w:t>"</w:t>
      </w:r>
      <w:r w:rsidR="00171CB8" w:rsidRPr="007267F0">
        <w:rPr>
          <w:b/>
          <w:sz w:val="28"/>
        </w:rPr>
        <w:t>Nevalstisko organizāciju administratīvās kapacitātes stiprināšana</w:t>
      </w:r>
      <w:r>
        <w:rPr>
          <w:b/>
          <w:sz w:val="28"/>
        </w:rPr>
        <w:t>"""</w:t>
      </w:r>
      <w:r w:rsidR="00171CB8" w:rsidRPr="007267F0">
        <w:rPr>
          <w:b/>
          <w:sz w:val="28"/>
        </w:rPr>
        <w:t xml:space="preserve"> </w:t>
      </w:r>
      <w:r w:rsidR="00852042" w:rsidRPr="007267F0">
        <w:rPr>
          <w:b/>
          <w:sz w:val="28"/>
        </w:rPr>
        <w:t>sākotnējā</w:t>
      </w:r>
      <w:r w:rsidR="002D3306" w:rsidRPr="007267F0">
        <w:rPr>
          <w:b/>
          <w:sz w:val="28"/>
        </w:rPr>
        <w:t>s</w:t>
      </w:r>
      <w:r w:rsidR="00852042" w:rsidRPr="007267F0">
        <w:rPr>
          <w:b/>
          <w:sz w:val="28"/>
        </w:rPr>
        <w:t xml:space="preserve">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="00852042" w:rsidRPr="007267F0">
          <w:rPr>
            <w:b/>
            <w:sz w:val="28"/>
          </w:rPr>
          <w:t>ziņojums</w:t>
        </w:r>
      </w:smartTag>
      <w:r w:rsidR="00852042" w:rsidRPr="007267F0">
        <w:rPr>
          <w:b/>
          <w:sz w:val="28"/>
        </w:rPr>
        <w:t xml:space="preserve"> (anotācija)</w:t>
      </w:r>
    </w:p>
    <w:p w14:paraId="351A233D" w14:textId="77777777" w:rsidR="00481A81" w:rsidRPr="00893256" w:rsidRDefault="00481A81" w:rsidP="007267F0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49"/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065"/>
        <w:gridCol w:w="5940"/>
      </w:tblGrid>
      <w:tr w:rsidR="00852042" w:rsidRPr="00DE1B21" w14:paraId="351A233F" w14:textId="77777777">
        <w:tc>
          <w:tcPr>
            <w:tcW w:w="9365" w:type="dxa"/>
            <w:gridSpan w:val="3"/>
            <w:vAlign w:val="center"/>
          </w:tcPr>
          <w:p w14:paraId="351A233E" w14:textId="77777777" w:rsidR="00852042" w:rsidRPr="00DE1B21" w:rsidRDefault="00852042" w:rsidP="007267F0">
            <w:pPr>
              <w:pStyle w:val="naisnod"/>
              <w:spacing w:before="0" w:after="0"/>
            </w:pPr>
            <w:r w:rsidRPr="00DE1B21">
              <w:t>I</w:t>
            </w:r>
            <w:r w:rsidR="000941C5" w:rsidRPr="00DE1B21">
              <w:t>.</w:t>
            </w:r>
            <w:r w:rsidRPr="00DE1B21">
              <w:t xml:space="preserve"> Tiesību akta </w:t>
            </w:r>
            <w:r w:rsidR="002E3FF4" w:rsidRPr="00DE1B21">
              <w:t xml:space="preserve">projekta </w:t>
            </w:r>
            <w:r w:rsidRPr="00DE1B21">
              <w:t>izstrādes nepieciešamība</w:t>
            </w:r>
          </w:p>
        </w:tc>
      </w:tr>
      <w:tr w:rsidR="00262E2B" w:rsidRPr="00DE1B21" w14:paraId="351A2343" w14:textId="77777777">
        <w:trPr>
          <w:trHeight w:val="630"/>
        </w:trPr>
        <w:tc>
          <w:tcPr>
            <w:tcW w:w="360" w:type="dxa"/>
          </w:tcPr>
          <w:p w14:paraId="351A2340" w14:textId="77777777" w:rsidR="00262E2B" w:rsidRPr="00DE1B21" w:rsidRDefault="00262E2B" w:rsidP="007267F0">
            <w:pPr>
              <w:pStyle w:val="naiskr"/>
              <w:spacing w:before="0" w:after="0"/>
            </w:pPr>
            <w:r w:rsidRPr="00DE1B21">
              <w:t>1.</w:t>
            </w:r>
          </w:p>
        </w:tc>
        <w:tc>
          <w:tcPr>
            <w:tcW w:w="3065" w:type="dxa"/>
          </w:tcPr>
          <w:p w14:paraId="351A2341" w14:textId="77777777" w:rsidR="00262E2B" w:rsidRPr="00DE1B21" w:rsidRDefault="002D7F54" w:rsidP="007267F0">
            <w:pPr>
              <w:pStyle w:val="naiskr"/>
              <w:spacing w:before="0" w:after="0"/>
              <w:ind w:hanging="10"/>
            </w:pPr>
            <w:r w:rsidRPr="00DE1B21">
              <w:t>Pamatojums</w:t>
            </w:r>
          </w:p>
        </w:tc>
        <w:tc>
          <w:tcPr>
            <w:tcW w:w="5940" w:type="dxa"/>
          </w:tcPr>
          <w:p w14:paraId="351A2342" w14:textId="048767E5" w:rsidR="00871D2C" w:rsidRPr="00DE1B21" w:rsidRDefault="00A72278" w:rsidP="000913D3">
            <w:pPr>
              <w:pStyle w:val="naiskr"/>
              <w:spacing w:before="0" w:after="0"/>
              <w:ind w:left="180" w:right="170" w:hanging="5"/>
              <w:jc w:val="both"/>
            </w:pPr>
            <w:r>
              <w:t>Noteikumu projekts</w:t>
            </w:r>
            <w:r w:rsidR="0039185A">
              <w:t xml:space="preserve"> </w:t>
            </w:r>
            <w:r w:rsidR="000913D3">
              <w:t>"</w:t>
            </w:r>
            <w:r w:rsidR="00915045" w:rsidRPr="006D3383">
              <w:t>Grozījum</w:t>
            </w:r>
            <w:r w:rsidR="00EC3271">
              <w:t>i</w:t>
            </w:r>
            <w:r w:rsidR="00915045" w:rsidRPr="006D3383">
              <w:t xml:space="preserve"> Ministru kabineta 2008.gada 25.novembra noteikumos Nr.963 </w:t>
            </w:r>
            <w:bookmarkStart w:id="0" w:name="OLE_LINK1"/>
            <w:bookmarkStart w:id="1" w:name="OLE_LINK2"/>
            <w:r w:rsidR="000913D3">
              <w:t>"</w:t>
            </w:r>
            <w:r w:rsidR="00915045" w:rsidRPr="006D3383">
              <w:t xml:space="preserve">Noteikumi par darbības programmas </w:t>
            </w:r>
            <w:r w:rsidR="000913D3">
              <w:t>"</w:t>
            </w:r>
            <w:r w:rsidR="00915045" w:rsidRPr="006D3383">
              <w:t>Cilvēkresursi un nodarbinātība</w:t>
            </w:r>
            <w:r w:rsidR="000913D3">
              <w:t>"</w:t>
            </w:r>
            <w:r w:rsidR="00915045" w:rsidRPr="006D3383">
              <w:t xml:space="preserve"> papildinājuma 1.5.2.2.2.apakšaktivitāti </w:t>
            </w:r>
            <w:r w:rsidR="000913D3">
              <w:t>"</w:t>
            </w:r>
            <w:r w:rsidR="00915045" w:rsidRPr="006D3383">
              <w:t>Nevalstisko organizāciju administratīvās kapacitātes stiprināšana</w:t>
            </w:r>
            <w:bookmarkEnd w:id="0"/>
            <w:bookmarkEnd w:id="1"/>
            <w:r w:rsidR="000913D3">
              <w:t>"""</w:t>
            </w:r>
            <w:r w:rsidR="00915045">
              <w:t xml:space="preserve"> (turpmāk – noteikumu projekts) </w:t>
            </w:r>
            <w:r w:rsidR="0039185A">
              <w:t>saga</w:t>
            </w:r>
            <w:r w:rsidR="000913D3">
              <w:softHyphen/>
            </w:r>
            <w:r w:rsidR="0039185A">
              <w:t>tavots</w:t>
            </w:r>
            <w:r w:rsidR="00DE1B21" w:rsidRPr="00DE1B21">
              <w:t xml:space="preserve">, </w:t>
            </w:r>
            <w:r w:rsidR="00B42F75">
              <w:t xml:space="preserve">lai </w:t>
            </w:r>
            <w:r w:rsidR="00F5465B">
              <w:t xml:space="preserve">nodrošinātu darbības programmas </w:t>
            </w:r>
            <w:r w:rsidR="000913D3">
              <w:t>"</w:t>
            </w:r>
            <w:r w:rsidR="00F5465B">
              <w:t>Cilvēkresursi un nodarbinātība</w:t>
            </w:r>
            <w:r w:rsidR="000913D3">
              <w:t>"</w:t>
            </w:r>
            <w:proofErr w:type="gramStart"/>
            <w:r w:rsidR="00F5465B">
              <w:t xml:space="preserve"> </w:t>
            </w:r>
            <w:r w:rsidR="00576604">
              <w:t xml:space="preserve"> </w:t>
            </w:r>
            <w:proofErr w:type="gramEnd"/>
            <w:r w:rsidR="00576604">
              <w:t xml:space="preserve">papildinājumā </w:t>
            </w:r>
            <w:r w:rsidR="00F5465B">
              <w:t xml:space="preserve">Valsts kancelejas administrētajās aktivitātēs un apakšaktivitātēs noteiktā finansējuma pilnīgu apguvi, veicot 1.5.1.2.aktivitātē </w:t>
            </w:r>
            <w:r w:rsidR="000913D3">
              <w:t>"</w:t>
            </w:r>
            <w:r w:rsidR="00F5465B" w:rsidRPr="008E02CB">
              <w:t>Administratīvo šķēršļu samazināšana un publisko pakalpojumu kvalitātes uzlabošana</w:t>
            </w:r>
            <w:r w:rsidR="000913D3">
              <w:t>"</w:t>
            </w:r>
            <w:r w:rsidR="00F5465B">
              <w:t xml:space="preserve">, 1.5.1.3.2.apakšaktivitātē </w:t>
            </w:r>
            <w:r w:rsidR="000913D3">
              <w:t>"</w:t>
            </w:r>
            <w:r w:rsidR="00F5465B" w:rsidRPr="00B75AB3">
              <w:t>Publisko pakalpojumu kvalitātes paaugstināšana vals</w:t>
            </w:r>
            <w:r w:rsidR="00F5465B">
              <w:t>ts, reģionālā un vietējā līmenī</w:t>
            </w:r>
            <w:r w:rsidR="000913D3">
              <w:t>"</w:t>
            </w:r>
            <w:r w:rsidR="00F5465B">
              <w:t xml:space="preserve">, 1.5.2.2.3.apakšaktivitātē </w:t>
            </w:r>
            <w:r w:rsidR="000913D3">
              <w:t>"</w:t>
            </w:r>
            <w:r w:rsidR="00F5465B">
              <w:t>Atbalsts pašvaldībām kapacitātes stiprināšanā Eiropas Savienības politiku instrumentu un pārējās ārvalstu finanšu palīdzības līdzfinansēto projektu un pasākumu īstenošanai</w:t>
            </w:r>
            <w:r w:rsidR="000913D3">
              <w:t>"</w:t>
            </w:r>
            <w:r w:rsidR="00F5465B">
              <w:t xml:space="preserve"> un 1.5.2.2.1.apakšaktivitātē </w:t>
            </w:r>
            <w:r w:rsidR="000913D3">
              <w:t>"</w:t>
            </w:r>
            <w:r w:rsidR="00F5465B">
              <w:t>Sociālo partneru administratīvās kapacitātes stiprināšana</w:t>
            </w:r>
            <w:r w:rsidR="000913D3">
              <w:t>"</w:t>
            </w:r>
            <w:r w:rsidR="00F5465B">
              <w:t xml:space="preserve"> atbrīvotā un atlikušā finansējuma pārdali uz </w:t>
            </w:r>
            <w:r w:rsidR="00962268">
              <w:t>1.5.2.2.2.apakšaktivitāt</w:t>
            </w:r>
            <w:r w:rsidR="00F5465B">
              <w:t>i</w:t>
            </w:r>
            <w:r w:rsidR="00962268">
              <w:t xml:space="preserve"> </w:t>
            </w:r>
            <w:r w:rsidR="000913D3">
              <w:t>"</w:t>
            </w:r>
            <w:r w:rsidR="00962268">
              <w:t>Nevalstisko organizāciju administratīvās kapacitātes stiprināšana</w:t>
            </w:r>
            <w:r w:rsidR="000913D3">
              <w:t>"</w:t>
            </w:r>
            <w:r w:rsidR="00962268">
              <w:t xml:space="preserve"> (turpmāk </w:t>
            </w:r>
            <w:r w:rsidR="000913D3">
              <w:t>–</w:t>
            </w:r>
            <w:r w:rsidR="00962268">
              <w:t xml:space="preserve"> 1.5.2.2.2.apakšaktivitāte)</w:t>
            </w:r>
            <w:r w:rsidR="0098379F">
              <w:t>,</w:t>
            </w:r>
            <w:r w:rsidR="00BA5722">
              <w:t xml:space="preserve"> lai pagarinātu 1.5.2.2.2.apakšaktivitātes īstenošanas termiņu</w:t>
            </w:r>
            <w:r w:rsidR="0098379F">
              <w:t xml:space="preserve"> un lai ievērotu finansējum</w:t>
            </w:r>
            <w:r w:rsidR="000913D3">
              <w:t>a</w:t>
            </w:r>
            <w:r w:rsidR="0098379F">
              <w:t xml:space="preserve"> pārdales secību starp 1.5.1.2.aktivitāti un 1.5.2.2.2.apakšaktivitāti</w:t>
            </w:r>
          </w:p>
        </w:tc>
      </w:tr>
      <w:tr w:rsidR="00262E2B" w:rsidRPr="00DE1B21" w14:paraId="351A234A" w14:textId="77777777">
        <w:trPr>
          <w:trHeight w:val="472"/>
        </w:trPr>
        <w:tc>
          <w:tcPr>
            <w:tcW w:w="360" w:type="dxa"/>
          </w:tcPr>
          <w:p w14:paraId="351A2344" w14:textId="77777777" w:rsidR="00262E2B" w:rsidRPr="00DE1B21" w:rsidRDefault="00262E2B" w:rsidP="007267F0">
            <w:pPr>
              <w:pStyle w:val="naiskr"/>
              <w:spacing w:before="0" w:after="0"/>
            </w:pPr>
            <w:r w:rsidRPr="00DE1B21">
              <w:t>2.</w:t>
            </w:r>
          </w:p>
        </w:tc>
        <w:tc>
          <w:tcPr>
            <w:tcW w:w="3065" w:type="dxa"/>
          </w:tcPr>
          <w:p w14:paraId="351A2345" w14:textId="77777777" w:rsidR="00262E2B" w:rsidRPr="00DE1B21" w:rsidRDefault="00262E2B" w:rsidP="007267F0">
            <w:pPr>
              <w:pStyle w:val="naiskr"/>
              <w:tabs>
                <w:tab w:val="left" w:pos="170"/>
              </w:tabs>
              <w:spacing w:before="0" w:after="0"/>
            </w:pPr>
            <w:r w:rsidRPr="00DE1B21">
              <w:t>Pašreizējā situācija</w:t>
            </w:r>
            <w:r w:rsidR="001F5CD6" w:rsidRPr="00DE1B21">
              <w:t xml:space="preserve"> un problēmas</w:t>
            </w:r>
          </w:p>
        </w:tc>
        <w:tc>
          <w:tcPr>
            <w:tcW w:w="5940" w:type="dxa"/>
          </w:tcPr>
          <w:p w14:paraId="351A2347" w14:textId="08D4E9AB" w:rsidR="00AF608B" w:rsidRDefault="00746AD6" w:rsidP="007267F0">
            <w:pPr>
              <w:ind w:left="124" w:right="146"/>
              <w:jc w:val="both"/>
            </w:pPr>
            <w:r>
              <w:t xml:space="preserve">1.5.2.2.2.apakšaktivitātes </w:t>
            </w:r>
            <w:r w:rsidRPr="00A63AC0">
              <w:t>pēdējā atklātās p</w:t>
            </w:r>
            <w:r w:rsidR="00E01089">
              <w:t>rojektu iesniegumu atlases kārta</w:t>
            </w:r>
            <w:r w:rsidRPr="00A63AC0">
              <w:t xml:space="preserve"> tika </w:t>
            </w:r>
            <w:r>
              <w:t>izsludināta 2012.gada 17.februārī</w:t>
            </w:r>
            <w:r w:rsidR="000913D3">
              <w:t>,</w:t>
            </w:r>
            <w:r>
              <w:t xml:space="preserve"> un </w:t>
            </w:r>
            <w:r w:rsidRPr="00A63AC0">
              <w:t xml:space="preserve">atlasē pieejamais finansējums </w:t>
            </w:r>
            <w:r w:rsidR="00F5465B">
              <w:t>bija</w:t>
            </w:r>
            <w:r>
              <w:t xml:space="preserve"> </w:t>
            </w:r>
            <w:r w:rsidR="00A92F84" w:rsidRPr="00A63AC0">
              <w:t>LVL</w:t>
            </w:r>
            <w:r w:rsidR="00A92F84">
              <w:t> </w:t>
            </w:r>
            <w:r w:rsidRPr="00A63AC0">
              <w:t>710 007,63</w:t>
            </w:r>
            <w:r>
              <w:t xml:space="preserve">. Atlases ietvaros tika </w:t>
            </w:r>
            <w:r w:rsidRPr="00A63AC0">
              <w:t xml:space="preserve">iesniegti </w:t>
            </w:r>
            <w:r w:rsidR="000913D3">
              <w:br/>
            </w:r>
            <w:r w:rsidRPr="00A63AC0">
              <w:t xml:space="preserve">249 projektu iesniegumi par kopējo attiecināmo izmaksu summu </w:t>
            </w:r>
            <w:r w:rsidR="00A92F84" w:rsidRPr="00A63AC0">
              <w:t>LVL</w:t>
            </w:r>
            <w:r w:rsidR="00A92F84">
              <w:t> </w:t>
            </w:r>
            <w:r w:rsidRPr="00A63AC0">
              <w:t xml:space="preserve">4 958 264,50, </w:t>
            </w:r>
            <w:r>
              <w:t xml:space="preserve">kas </w:t>
            </w:r>
            <w:r w:rsidR="000913D3">
              <w:t>septiņas</w:t>
            </w:r>
            <w:r w:rsidRPr="00A63AC0">
              <w:t xml:space="preserve"> reizes pārsniedza</w:t>
            </w:r>
            <w:r>
              <w:t xml:space="preserve"> atlasē pieejamo finansējumu, kā rezultātā </w:t>
            </w:r>
            <w:r w:rsidRPr="00A63AC0">
              <w:t>nepietiekama finansējuma dēļ ir noraidīti 129 projekti</w:t>
            </w:r>
            <w:r>
              <w:t>. Valsts kanceleja</w:t>
            </w:r>
            <w:r w:rsidR="00F5465B">
              <w:t xml:space="preserve"> kā atbildīgā iestāde</w:t>
            </w:r>
            <w:r>
              <w:t>, izvērt</w:t>
            </w:r>
            <w:r w:rsidR="0041131D">
              <w:t>ējot</w:t>
            </w:r>
            <w:r>
              <w:t xml:space="preserve"> </w:t>
            </w:r>
            <w:r w:rsidR="0041131D">
              <w:t xml:space="preserve">tās administrēto </w:t>
            </w:r>
            <w:r w:rsidR="00F5465B">
              <w:t xml:space="preserve">Eiropas Sociālā fonda </w:t>
            </w:r>
            <w:r>
              <w:t>aktivitāšu un apakšaktivitāšu ieviešanas progresu</w:t>
            </w:r>
            <w:r w:rsidR="00E421DF">
              <w:t xml:space="preserve">, </w:t>
            </w:r>
            <w:r w:rsidR="00C864F6">
              <w:t>finansējuma</w:t>
            </w:r>
            <w:r w:rsidR="00E421DF">
              <w:t xml:space="preserve"> atlikumu</w:t>
            </w:r>
            <w:r w:rsidR="00C864F6">
              <w:t>s</w:t>
            </w:r>
            <w:r w:rsidR="00E421DF">
              <w:t>, kas ir izveidoj</w:t>
            </w:r>
            <w:r w:rsidR="00C864F6">
              <w:t>ušies</w:t>
            </w:r>
            <w:r w:rsidR="00E421DF">
              <w:t xml:space="preserve"> pēc pēdējās atklātās projektu iesniegumu atlases noslēgšanā</w:t>
            </w:r>
            <w:r w:rsidR="00E01089">
              <w:t>s</w:t>
            </w:r>
            <w:r w:rsidR="00E421DF">
              <w:t xml:space="preserve"> un </w:t>
            </w:r>
            <w:r w:rsidR="002A1DE6">
              <w:t>konstatētajām neattiecināmajām izmaksām</w:t>
            </w:r>
            <w:r w:rsidR="00E421DF">
              <w:t xml:space="preserve">, </w:t>
            </w:r>
            <w:r w:rsidR="0041131D">
              <w:t xml:space="preserve">ir </w:t>
            </w:r>
            <w:r w:rsidR="00C864F6">
              <w:t>sagatavojusi priekšlikumus par</w:t>
            </w:r>
            <w:r w:rsidR="0041131D">
              <w:t xml:space="preserve"> </w:t>
            </w:r>
            <w:r w:rsidR="00C864F6">
              <w:t xml:space="preserve">finansējuma </w:t>
            </w:r>
            <w:r w:rsidR="0041131D">
              <w:t>samazinājumu 1.5.1.2.</w:t>
            </w:r>
            <w:r w:rsidR="00BA2E63">
              <w:t>aktivitāt</w:t>
            </w:r>
            <w:r w:rsidR="00C864F6">
              <w:t>ē</w:t>
            </w:r>
            <w:r w:rsidR="00BA2E63">
              <w:t xml:space="preserve"> </w:t>
            </w:r>
            <w:r w:rsidR="000913D3">
              <w:t>"</w:t>
            </w:r>
            <w:r w:rsidR="0041131D" w:rsidRPr="008E02CB">
              <w:t>Administratīvo šķēršļu samazināšana un publisko pakalpojumu kvalitātes uzlabošana</w:t>
            </w:r>
            <w:r w:rsidR="000913D3">
              <w:t>"</w:t>
            </w:r>
            <w:r w:rsidR="0041131D">
              <w:t>, 1.5.1.3.2.</w:t>
            </w:r>
            <w:r w:rsidR="00BA2E63">
              <w:t>apakšaktivitāt</w:t>
            </w:r>
            <w:r w:rsidR="00C864F6">
              <w:t>ē</w:t>
            </w:r>
            <w:r w:rsidR="00BA2E63">
              <w:t xml:space="preserve"> </w:t>
            </w:r>
            <w:r w:rsidR="000913D3">
              <w:t>"</w:t>
            </w:r>
            <w:r w:rsidR="0041131D" w:rsidRPr="00B75AB3">
              <w:t xml:space="preserve">Publisko pakalpojumu kvalitātes </w:t>
            </w:r>
            <w:r w:rsidR="0041131D" w:rsidRPr="00B75AB3">
              <w:lastRenderedPageBreak/>
              <w:t>paaugstināšana vals</w:t>
            </w:r>
            <w:r w:rsidR="0041131D">
              <w:t>ts, reģionālā un vietējā līmenī</w:t>
            </w:r>
            <w:r w:rsidR="000913D3">
              <w:t>"</w:t>
            </w:r>
            <w:r w:rsidR="0041131D">
              <w:t>, 1.5.2.2.3.</w:t>
            </w:r>
            <w:r w:rsidR="00BA2E63">
              <w:t>apakšaktivitāt</w:t>
            </w:r>
            <w:r w:rsidR="00C864F6">
              <w:t>ē</w:t>
            </w:r>
            <w:r w:rsidR="00BA2E63">
              <w:t xml:space="preserve"> </w:t>
            </w:r>
            <w:r w:rsidR="000913D3">
              <w:t>"</w:t>
            </w:r>
            <w:r w:rsidR="0041131D">
              <w:t>Atbalsts pašvaldībām kapacitātes stiprināšanā Eiropas Savienības politiku instrumentu un pārējās ārvalstu finanšu palīdzības līdzfinansēto projektu un pasākumu īstenošanai</w:t>
            </w:r>
            <w:r w:rsidR="000913D3">
              <w:t>"</w:t>
            </w:r>
            <w:r w:rsidR="0041131D">
              <w:t xml:space="preserve"> un 1.5.2.2.1.</w:t>
            </w:r>
            <w:r w:rsidR="00BA2E63">
              <w:t>apakšaktivitāt</w:t>
            </w:r>
            <w:r w:rsidR="00C864F6">
              <w:t>ē</w:t>
            </w:r>
            <w:r w:rsidR="0041131D">
              <w:t xml:space="preserve"> </w:t>
            </w:r>
            <w:r w:rsidR="000913D3">
              <w:t>"</w:t>
            </w:r>
            <w:r w:rsidR="0041131D">
              <w:t>Sociālo partneru administratīvās kapacitātes stiprināšana</w:t>
            </w:r>
            <w:r w:rsidR="000913D3">
              <w:t>"</w:t>
            </w:r>
            <w:r w:rsidR="0041131D">
              <w:t xml:space="preserve"> </w:t>
            </w:r>
            <w:r w:rsidR="000913D3">
              <w:t>–</w:t>
            </w:r>
            <w:r w:rsidR="00C864F6">
              <w:t xml:space="preserve"> </w:t>
            </w:r>
            <w:r w:rsidR="002A1DE6">
              <w:t>kopsummā par</w:t>
            </w:r>
            <w:r w:rsidR="0041131D">
              <w:t xml:space="preserve"> </w:t>
            </w:r>
            <w:r w:rsidR="00A92F84" w:rsidRPr="00C864F6">
              <w:t>LVL</w:t>
            </w:r>
            <w:r w:rsidR="00A92F84">
              <w:t xml:space="preserve"> </w:t>
            </w:r>
            <w:r w:rsidR="007755F3">
              <w:t>18</w:t>
            </w:r>
            <w:r w:rsidR="00432DE4">
              <w:t>3</w:t>
            </w:r>
            <w:r w:rsidR="007755F3">
              <w:t xml:space="preserve"> </w:t>
            </w:r>
            <w:r w:rsidR="00432DE4">
              <w:t>475</w:t>
            </w:r>
            <w:r w:rsidR="00676DA6" w:rsidRPr="00C864F6">
              <w:t xml:space="preserve"> </w:t>
            </w:r>
            <w:r w:rsidR="00C864F6">
              <w:t>(tai skaitā</w:t>
            </w:r>
            <w:r w:rsidR="000913D3">
              <w:t xml:space="preserve"> </w:t>
            </w:r>
            <w:r w:rsidR="00676DA6">
              <w:t>ESF finansējums</w:t>
            </w:r>
            <w:r w:rsidR="00E421DF">
              <w:t xml:space="preserve"> </w:t>
            </w:r>
            <w:r w:rsidR="00A92F84">
              <w:t xml:space="preserve">LVL </w:t>
            </w:r>
            <w:r w:rsidR="007755F3">
              <w:t>1</w:t>
            </w:r>
            <w:r w:rsidR="00E20978">
              <w:t>6</w:t>
            </w:r>
            <w:r w:rsidR="00432DE4">
              <w:t>8</w:t>
            </w:r>
            <w:r w:rsidR="007755F3">
              <w:t xml:space="preserve"> </w:t>
            </w:r>
            <w:r w:rsidR="00432DE4">
              <w:t>9</w:t>
            </w:r>
            <w:r w:rsidR="00E20978">
              <w:t>25</w:t>
            </w:r>
            <w:r w:rsidR="00C864F6">
              <w:t>)</w:t>
            </w:r>
            <w:r w:rsidR="00E421DF">
              <w:t>.</w:t>
            </w:r>
            <w:r w:rsidR="000913D3">
              <w:t xml:space="preserve"> </w:t>
            </w:r>
            <w:r w:rsidR="001F4285">
              <w:t xml:space="preserve">Tā kā iepriekš minētās aktivitātes dod tikai </w:t>
            </w:r>
            <w:r w:rsidR="00A92F84">
              <w:t xml:space="preserve">LVL </w:t>
            </w:r>
            <w:r w:rsidR="001F4285">
              <w:t>8 028 no nepieciešamā nacionālā publiskā finansējuma</w:t>
            </w:r>
            <w:r w:rsidR="000C31D0">
              <w:t xml:space="preserve"> </w:t>
            </w:r>
            <w:r w:rsidR="003C3A1A">
              <w:t>(</w:t>
            </w:r>
            <w:r w:rsidR="000C31D0">
              <w:t>valsts budžeta finansējums</w:t>
            </w:r>
            <w:r w:rsidR="003C3A1A">
              <w:t>)</w:t>
            </w:r>
            <w:r w:rsidR="000C31D0">
              <w:t>, bet kopējais 1.5.2.2.2.apakšaktivitātei nepieciešamais nacionālais publiskais finansējums ir</w:t>
            </w:r>
            <w:proofErr w:type="gramStart"/>
            <w:r w:rsidR="000C31D0">
              <w:t xml:space="preserve"> </w:t>
            </w:r>
            <w:r w:rsidR="00A92F84">
              <w:t xml:space="preserve"> </w:t>
            </w:r>
            <w:proofErr w:type="gramEnd"/>
            <w:r w:rsidR="00A92F84">
              <w:t>LVL </w:t>
            </w:r>
            <w:r w:rsidR="000C31D0">
              <w:t xml:space="preserve">14 550 </w:t>
            </w:r>
            <w:r w:rsidR="003C3A1A">
              <w:t>(</w:t>
            </w:r>
            <w:r w:rsidR="000C31D0">
              <w:t>nacionālais privātais finansējums</w:t>
            </w:r>
            <w:r w:rsidR="003C3A1A">
              <w:t>)</w:t>
            </w:r>
            <w:r w:rsidR="000C31D0">
              <w:t xml:space="preserve">, tad </w:t>
            </w:r>
            <w:r w:rsidR="003C3A1A">
              <w:t xml:space="preserve">nacionālā publiskā finansējuma (nacionālais </w:t>
            </w:r>
            <w:r w:rsidR="00C12A47">
              <w:t>privātais</w:t>
            </w:r>
            <w:r w:rsidR="003C3A1A">
              <w:t xml:space="preserve"> finansējums) summa tiek palielināta par </w:t>
            </w:r>
            <w:r w:rsidR="00A92F84">
              <w:t xml:space="preserve">LVL </w:t>
            </w:r>
            <w:r w:rsidR="003C3A1A">
              <w:t xml:space="preserve">6 522. </w:t>
            </w:r>
            <w:r w:rsidR="00C9297C">
              <w:t xml:space="preserve">Līdz ar to </w:t>
            </w:r>
            <w:r w:rsidR="00E421DF">
              <w:t>palielināts 1.5.2.2.2.apakšaktivitāt</w:t>
            </w:r>
            <w:r w:rsidR="00C864F6">
              <w:t>ē pieejamais</w:t>
            </w:r>
            <w:r w:rsidR="00E421DF">
              <w:t xml:space="preserve"> finansējums, kas ļaus papildus apstiprināt projektus, kas </w:t>
            </w:r>
            <w:r w:rsidR="003051FF">
              <w:t xml:space="preserve">iepriekš </w:t>
            </w:r>
            <w:r w:rsidR="00C864F6">
              <w:t>1.5.2.2.2.apakšaktivitātē tika</w:t>
            </w:r>
            <w:r w:rsidR="00E421DF">
              <w:t xml:space="preserve"> noraidī</w:t>
            </w:r>
            <w:r w:rsidR="00C864F6">
              <w:t>ti nepietiekama finansējuma dēļ.</w:t>
            </w:r>
          </w:p>
          <w:p w14:paraId="351A2348" w14:textId="6B710CBA" w:rsidR="006C1EDA" w:rsidRDefault="00BA5722" w:rsidP="007267F0">
            <w:pPr>
              <w:ind w:left="124" w:right="146"/>
              <w:jc w:val="both"/>
            </w:pPr>
            <w:r>
              <w:t>Tā kā projektu īstenošanas termiņš 1.5.2.2.2.apakš</w:t>
            </w:r>
            <w:r w:rsidR="000913D3">
              <w:softHyphen/>
            </w:r>
            <w:r w:rsidR="00A92F84">
              <w:t>aktivitā</w:t>
            </w:r>
            <w:r>
              <w:t>tē ir līdz 12 mēnešiem, tad</w:t>
            </w:r>
            <w:r w:rsidR="000913D3">
              <w:t>,</w:t>
            </w:r>
            <w:r>
              <w:t xml:space="preserve"> lai nodrošinātu iespēju īstenot projektus, ar kuriem tiks slēgt</w:t>
            </w:r>
            <w:r w:rsidR="00A869A5">
              <w:t>i</w:t>
            </w:r>
            <w:r>
              <w:t xml:space="preserve"> </w:t>
            </w:r>
            <w:r w:rsidR="00A869A5">
              <w:t xml:space="preserve">līgumi </w:t>
            </w:r>
            <w:r>
              <w:t xml:space="preserve">pēc šo noteikumu projekta stāšanās spēkā, </w:t>
            </w:r>
            <w:r w:rsidR="00197E8A">
              <w:t>nepieciešams</w:t>
            </w:r>
            <w:r w:rsidR="00A869A5">
              <w:t xml:space="preserve"> pagarin</w:t>
            </w:r>
            <w:r w:rsidR="00197E8A">
              <w:t>āt</w:t>
            </w:r>
            <w:r w:rsidR="00A869A5">
              <w:t xml:space="preserve"> apakšaktivitātes īstenošanas termiņ</w:t>
            </w:r>
            <w:r w:rsidR="00197E8A">
              <w:t>u</w:t>
            </w:r>
            <w:r w:rsidR="00A869A5">
              <w:t>.</w:t>
            </w:r>
          </w:p>
          <w:p w14:paraId="351A2349" w14:textId="4B5DBF0F" w:rsidR="008509EF" w:rsidRPr="00DE1B21" w:rsidRDefault="008509EF" w:rsidP="000913D3">
            <w:pPr>
              <w:ind w:left="124" w:right="146"/>
              <w:jc w:val="both"/>
            </w:pPr>
            <w:r>
              <w:t xml:space="preserve">Lai ievērotu finansējuma pārdales secību noteikumu projekts tiek papildināts ar </w:t>
            </w:r>
            <w:r w:rsidR="00950394">
              <w:t>punktu</w:t>
            </w:r>
            <w:r>
              <w:t xml:space="preserve">, </w:t>
            </w:r>
            <w:r w:rsidR="00567037">
              <w:t xml:space="preserve">kas </w:t>
            </w:r>
            <w:r w:rsidR="004022EC">
              <w:t>nodrošin</w:t>
            </w:r>
            <w:r w:rsidR="00567037">
              <w:t>a</w:t>
            </w:r>
            <w:r>
              <w:t xml:space="preserve"> </w:t>
            </w:r>
            <w:r w:rsidR="00567037">
              <w:t xml:space="preserve">sākotnēji </w:t>
            </w:r>
            <w:r>
              <w:t>finansējuma noņemšanu 1.5.2.1.apakšaktivitātē</w:t>
            </w:r>
            <w:r w:rsidR="00A92F84">
              <w:t>,</w:t>
            </w:r>
            <w:r>
              <w:t xml:space="preserve"> pirms tas tiek pārdalīts uz 1.5.2.2.2.apakšaktivitāti</w:t>
            </w:r>
          </w:p>
        </w:tc>
      </w:tr>
      <w:tr w:rsidR="00262E2B" w:rsidRPr="00DE1B21" w14:paraId="351A234E" w14:textId="77777777">
        <w:trPr>
          <w:trHeight w:val="545"/>
        </w:trPr>
        <w:tc>
          <w:tcPr>
            <w:tcW w:w="360" w:type="dxa"/>
          </w:tcPr>
          <w:p w14:paraId="351A234B" w14:textId="77777777" w:rsidR="00262E2B" w:rsidRPr="00DE1B21" w:rsidRDefault="00262E2B" w:rsidP="007267F0">
            <w:pPr>
              <w:pStyle w:val="naiskr"/>
              <w:spacing w:before="0" w:after="0"/>
            </w:pPr>
            <w:r w:rsidRPr="00DE1B21">
              <w:lastRenderedPageBreak/>
              <w:t>3.</w:t>
            </w:r>
          </w:p>
        </w:tc>
        <w:tc>
          <w:tcPr>
            <w:tcW w:w="3065" w:type="dxa"/>
          </w:tcPr>
          <w:p w14:paraId="351A234C" w14:textId="77777777" w:rsidR="00262E2B" w:rsidRPr="00DE1B21" w:rsidRDefault="00420870" w:rsidP="007267F0">
            <w:pPr>
              <w:pStyle w:val="naiskr"/>
              <w:spacing w:before="0" w:after="0"/>
            </w:pPr>
            <w:r w:rsidRPr="00DE1B21">
              <w:t>S</w:t>
            </w:r>
            <w:r w:rsidR="000B69CF" w:rsidRPr="00DE1B21">
              <w:t xml:space="preserve">aistītie </w:t>
            </w:r>
            <w:r w:rsidR="001A6AE4" w:rsidRPr="00DE1B21">
              <w:t>politikas ietekmes novērtējumi</w:t>
            </w:r>
            <w:r w:rsidR="00CB0247" w:rsidRPr="00DE1B21">
              <w:t xml:space="preserve"> un</w:t>
            </w:r>
            <w:r w:rsidR="001A6AE4" w:rsidRPr="00DE1B21">
              <w:t xml:space="preserve"> </w:t>
            </w:r>
            <w:r w:rsidR="000B69CF" w:rsidRPr="00DE1B21">
              <w:t>pētījumi</w:t>
            </w:r>
          </w:p>
        </w:tc>
        <w:tc>
          <w:tcPr>
            <w:tcW w:w="5940" w:type="dxa"/>
          </w:tcPr>
          <w:p w14:paraId="351A234D" w14:textId="77777777" w:rsidR="00D20FF4" w:rsidRPr="006274DE" w:rsidRDefault="006274DE" w:rsidP="007267F0">
            <w:pPr>
              <w:pStyle w:val="naiskr"/>
              <w:spacing w:before="0" w:after="0"/>
              <w:ind w:left="180"/>
              <w:rPr>
                <w:iCs/>
              </w:rPr>
            </w:pPr>
            <w:r>
              <w:t>Nav attiecināms</w:t>
            </w:r>
          </w:p>
        </w:tc>
      </w:tr>
      <w:tr w:rsidR="00262E2B" w:rsidRPr="00DE1B21" w14:paraId="351A2352" w14:textId="77777777">
        <w:trPr>
          <w:trHeight w:val="384"/>
        </w:trPr>
        <w:tc>
          <w:tcPr>
            <w:tcW w:w="360" w:type="dxa"/>
          </w:tcPr>
          <w:p w14:paraId="351A234F" w14:textId="77777777" w:rsidR="00262E2B" w:rsidRPr="00DE1B21" w:rsidRDefault="00262E2B" w:rsidP="007267F0">
            <w:pPr>
              <w:pStyle w:val="naiskr"/>
              <w:spacing w:before="0" w:after="0"/>
            </w:pPr>
            <w:r w:rsidRPr="00DE1B21">
              <w:t>4.</w:t>
            </w:r>
          </w:p>
        </w:tc>
        <w:tc>
          <w:tcPr>
            <w:tcW w:w="3065" w:type="dxa"/>
          </w:tcPr>
          <w:p w14:paraId="351A2350" w14:textId="77777777" w:rsidR="00262E2B" w:rsidRPr="00DE1B21" w:rsidRDefault="000C790C" w:rsidP="007267F0">
            <w:pPr>
              <w:pStyle w:val="naiskr"/>
              <w:spacing w:before="0" w:after="0"/>
            </w:pPr>
            <w:r w:rsidRPr="00DE1B21">
              <w:t>Tiesiskā r</w:t>
            </w:r>
            <w:r w:rsidR="00400032" w:rsidRPr="00DE1B21">
              <w:t xml:space="preserve">egulējuma </w:t>
            </w:r>
            <w:r w:rsidR="00262E2B" w:rsidRPr="00DE1B21">
              <w:t>mērķis un būtība</w:t>
            </w:r>
          </w:p>
        </w:tc>
        <w:tc>
          <w:tcPr>
            <w:tcW w:w="5940" w:type="dxa"/>
          </w:tcPr>
          <w:p w14:paraId="351A2351" w14:textId="1A4F2EC7" w:rsidR="00262E2B" w:rsidRPr="00CA6FBF" w:rsidRDefault="00AF5348" w:rsidP="007267F0">
            <w:pPr>
              <w:pStyle w:val="naisf"/>
              <w:spacing w:before="0" w:after="0"/>
              <w:ind w:left="124" w:right="146" w:firstLine="0"/>
              <w:rPr>
                <w:sz w:val="28"/>
                <w:szCs w:val="28"/>
              </w:rPr>
            </w:pPr>
            <w:r>
              <w:t>Noteikumu projekts paredz veikt grozījumu</w:t>
            </w:r>
            <w:r w:rsidR="006A6229">
              <w:t>s</w:t>
            </w:r>
            <w:r>
              <w:t xml:space="preserve"> </w:t>
            </w:r>
            <w:r w:rsidRPr="006D3383">
              <w:t xml:space="preserve">Ministru kabineta 2008.gada 25.novembra noteikumos Nr.963 </w:t>
            </w:r>
            <w:r w:rsidR="000913D3">
              <w:t>"</w:t>
            </w:r>
            <w:r w:rsidRPr="006D3383">
              <w:t xml:space="preserve">Noteikumi par darbības programmas </w:t>
            </w:r>
            <w:r w:rsidR="000913D3">
              <w:t>"</w:t>
            </w:r>
            <w:r w:rsidR="0043237B">
              <w:t>Cilvēkresursi un nodarbinātība</w:t>
            </w:r>
            <w:r w:rsidR="000913D3">
              <w:t>"</w:t>
            </w:r>
            <w:r w:rsidRPr="006D3383">
              <w:t xml:space="preserve"> papildinājuma 1.5.2.2.2.apakšaktivitāti </w:t>
            </w:r>
            <w:r w:rsidR="000913D3">
              <w:t>"</w:t>
            </w:r>
            <w:r w:rsidRPr="006D3383">
              <w:t>Nevalstisko organizāciju administratīvās kapacitātes stiprināšana</w:t>
            </w:r>
            <w:r w:rsidR="000913D3">
              <w:t>""</w:t>
            </w:r>
            <w:r w:rsidR="000A70B1">
              <w:t xml:space="preserve">, </w:t>
            </w:r>
            <w:r w:rsidR="00947E3F">
              <w:t xml:space="preserve">15.punktā </w:t>
            </w:r>
            <w:r w:rsidR="00186F19">
              <w:t>palielinot k</w:t>
            </w:r>
            <w:r w:rsidR="00186F19" w:rsidRPr="00455AF2">
              <w:t>opēj</w:t>
            </w:r>
            <w:r w:rsidR="00186F19">
              <w:t>o</w:t>
            </w:r>
            <w:r w:rsidR="00186F19" w:rsidRPr="00455AF2">
              <w:t xml:space="preserve"> apakšaktivitāt</w:t>
            </w:r>
            <w:r w:rsidR="00186F19">
              <w:t>ei</w:t>
            </w:r>
            <w:r w:rsidR="00186F19" w:rsidRPr="00455AF2">
              <w:t xml:space="preserve"> pieejam</w:t>
            </w:r>
            <w:r w:rsidR="00186F19">
              <w:t>o</w:t>
            </w:r>
            <w:r w:rsidR="00186F19" w:rsidRPr="00455AF2">
              <w:t xml:space="preserve"> finansējum</w:t>
            </w:r>
            <w:r w:rsidR="00186F19">
              <w:t>u no</w:t>
            </w:r>
            <w:r w:rsidR="00186F19" w:rsidRPr="00476837">
              <w:t xml:space="preserve"> </w:t>
            </w:r>
            <w:r w:rsidR="000913D3">
              <w:br/>
            </w:r>
            <w:r w:rsidR="00CA6FBF">
              <w:t>2</w:t>
            </w:r>
            <w:r w:rsidR="003E688B">
              <w:t> </w:t>
            </w:r>
            <w:r w:rsidR="00CA6FBF">
              <w:t>263</w:t>
            </w:r>
            <w:r w:rsidR="003E688B">
              <w:t xml:space="preserve"> </w:t>
            </w:r>
            <w:r w:rsidR="00CA6FBF">
              <w:t xml:space="preserve">029 latiem uz </w:t>
            </w:r>
            <w:r w:rsidR="00CA6FBF" w:rsidRPr="0043237B">
              <w:t>2 </w:t>
            </w:r>
            <w:r w:rsidR="00CF40EC">
              <w:t>44</w:t>
            </w:r>
            <w:r w:rsidR="000230E8">
              <w:t>6</w:t>
            </w:r>
            <w:r w:rsidR="00CA6FBF" w:rsidRPr="0043237B">
              <w:t> </w:t>
            </w:r>
            <w:r w:rsidR="000230E8">
              <w:t>504</w:t>
            </w:r>
            <w:r w:rsidR="003E688B">
              <w:t xml:space="preserve"> lat</w:t>
            </w:r>
            <w:r w:rsidR="00CF40EC">
              <w:t>iem</w:t>
            </w:r>
            <w:r w:rsidR="003E688B" w:rsidRPr="0043237B">
              <w:t xml:space="preserve">, </w:t>
            </w:r>
            <w:r w:rsidR="00186F19">
              <w:t xml:space="preserve">kā arī attiecīgi mainot </w:t>
            </w:r>
            <w:r w:rsidR="00186F19" w:rsidRPr="004408E3">
              <w:t>Eiropas Sociālā fonda finansējum</w:t>
            </w:r>
            <w:r w:rsidR="00186F19">
              <w:t xml:space="preserve">u no </w:t>
            </w:r>
            <w:r w:rsidR="00CA6FBF">
              <w:t xml:space="preserve">2 090 842 </w:t>
            </w:r>
            <w:r w:rsidR="00186F19">
              <w:t xml:space="preserve">latiem uz </w:t>
            </w:r>
            <w:r w:rsidR="00CA6FBF" w:rsidRPr="0043237B">
              <w:t>2 </w:t>
            </w:r>
            <w:r w:rsidR="00CF40EC">
              <w:t>2</w:t>
            </w:r>
            <w:r w:rsidR="000230E8">
              <w:t>59</w:t>
            </w:r>
            <w:r w:rsidR="00CA6FBF" w:rsidRPr="0043237B">
              <w:t> </w:t>
            </w:r>
            <w:r w:rsidR="000230E8">
              <w:t>7</w:t>
            </w:r>
            <w:r w:rsidR="000F0018">
              <w:t>67</w:t>
            </w:r>
            <w:r w:rsidR="00CA6FBF" w:rsidRPr="0043237B">
              <w:t xml:space="preserve"> </w:t>
            </w:r>
            <w:r w:rsidR="00186F19">
              <w:t xml:space="preserve">latiem un </w:t>
            </w:r>
            <w:r w:rsidR="00CA6FBF" w:rsidRPr="00CA6FBF">
              <w:t>privāt</w:t>
            </w:r>
            <w:r w:rsidR="0043237B">
              <w:t>o</w:t>
            </w:r>
            <w:r w:rsidR="00CA6FBF" w:rsidRPr="00CA6FBF">
              <w:t xml:space="preserve"> </w:t>
            </w:r>
            <w:r w:rsidR="00186F19" w:rsidRPr="00CA6FBF">
              <w:t xml:space="preserve">finansējumu no </w:t>
            </w:r>
            <w:r w:rsidR="000913D3">
              <w:br/>
            </w:r>
            <w:r w:rsidR="00CA6FBF" w:rsidRPr="00CA6FBF">
              <w:t xml:space="preserve">172 187 </w:t>
            </w:r>
            <w:r w:rsidR="00186F19" w:rsidRPr="00CA6FBF">
              <w:t xml:space="preserve">latiem uz </w:t>
            </w:r>
            <w:r w:rsidR="00CA6FBF" w:rsidRPr="0043237B">
              <w:t>18</w:t>
            </w:r>
            <w:r w:rsidR="00CF40EC">
              <w:t>6</w:t>
            </w:r>
            <w:r w:rsidR="00CA6FBF" w:rsidRPr="0043237B">
              <w:t xml:space="preserve"> </w:t>
            </w:r>
            <w:r w:rsidR="000230E8">
              <w:t>737</w:t>
            </w:r>
            <w:r w:rsidR="00CA6FBF" w:rsidRPr="0043237B">
              <w:t xml:space="preserve"> </w:t>
            </w:r>
            <w:r w:rsidR="00CA6FBF" w:rsidRPr="00CA6FBF">
              <w:t>latiem</w:t>
            </w:r>
            <w:r w:rsidR="006A6229">
              <w:t xml:space="preserve"> un </w:t>
            </w:r>
            <w:r w:rsidR="00014A55">
              <w:t xml:space="preserve">pagarinot </w:t>
            </w:r>
            <w:r w:rsidR="006A6229">
              <w:t>apakšaktivitātes īstenošanas termiņ</w:t>
            </w:r>
            <w:r w:rsidR="00014A55">
              <w:t>u</w:t>
            </w:r>
            <w:r w:rsidR="006A6229">
              <w:t xml:space="preserve"> par vienu gadu, t.i.</w:t>
            </w:r>
            <w:r w:rsidR="00A92F84">
              <w:t>,</w:t>
            </w:r>
            <w:r w:rsidR="006A6229">
              <w:t xml:space="preserve"> no 2013.gada 31.decembra </w:t>
            </w:r>
            <w:r w:rsidR="00947E3F">
              <w:t>uz</w:t>
            </w:r>
            <w:r w:rsidR="00A92F84">
              <w:t xml:space="preserve"> 2014.</w:t>
            </w:r>
            <w:r w:rsidR="00842C5E">
              <w:t>gada 31.decembri</w:t>
            </w:r>
            <w:r w:rsidR="006A6229">
              <w:t>.</w:t>
            </w:r>
            <w:r w:rsidR="008B690F">
              <w:t xml:space="preserve"> </w:t>
            </w:r>
            <w:r w:rsidR="00B1286B">
              <w:t>N</w:t>
            </w:r>
            <w:r w:rsidR="008B690F">
              <w:t xml:space="preserve">oteikumu projekts tiek papildināts </w:t>
            </w:r>
            <w:r w:rsidR="00B1286B">
              <w:t xml:space="preserve">arī </w:t>
            </w:r>
            <w:r w:rsidR="00A92F84">
              <w:t xml:space="preserve">ar </w:t>
            </w:r>
            <w:r w:rsidR="00BB6FE9">
              <w:t>punktu</w:t>
            </w:r>
            <w:r w:rsidR="008B690F">
              <w:t xml:space="preserve">, nosakot, ka noteikumi stājas spēkā divu </w:t>
            </w:r>
            <w:r w:rsidR="008B690F" w:rsidRPr="008B690F">
              <w:t>nedēļu laikā pēc</w:t>
            </w:r>
            <w:proofErr w:type="gramStart"/>
            <w:r w:rsidR="008B690F" w:rsidRPr="008B690F">
              <w:t xml:space="preserve">  </w:t>
            </w:r>
            <w:proofErr w:type="gramEnd"/>
            <w:r w:rsidR="008B690F" w:rsidRPr="008B690F">
              <w:t xml:space="preserve">noteikumu </w:t>
            </w:r>
            <w:r w:rsidR="000913D3">
              <w:t>"</w:t>
            </w:r>
            <w:r w:rsidR="008B690F" w:rsidRPr="008B690F">
              <w:t xml:space="preserve">Grozījumi Ministru kabineta 2008.gada 19.maija noteikumos Nr.333 </w:t>
            </w:r>
            <w:r w:rsidR="000913D3">
              <w:t>"</w:t>
            </w:r>
            <w:r w:rsidR="008B690F" w:rsidRPr="008B690F">
              <w:t xml:space="preserve">Noteikumi par darbības programmas </w:t>
            </w:r>
            <w:r w:rsidR="000913D3">
              <w:t>"</w:t>
            </w:r>
            <w:r w:rsidR="008B690F" w:rsidRPr="008B690F">
              <w:t>Cilvēkresursi un nodarbinātība</w:t>
            </w:r>
            <w:r w:rsidR="000913D3">
              <w:t>"</w:t>
            </w:r>
            <w:r w:rsidR="008B690F" w:rsidRPr="008B690F">
              <w:t xml:space="preserve"> papildinājuma aktivitāti </w:t>
            </w:r>
            <w:r w:rsidR="000913D3">
              <w:t>"</w:t>
            </w:r>
            <w:r w:rsidR="008B690F" w:rsidRPr="008B690F">
              <w:t>Administratīvo šķēršļu samazināšana un publisko pakalpojumu kvalitātes uzlabošana</w:t>
            </w:r>
            <w:r w:rsidR="000913D3">
              <w:t>"""</w:t>
            </w:r>
            <w:r w:rsidR="008B690F" w:rsidRPr="008B690F">
              <w:t xml:space="preserve"> stāšanās spēkā</w:t>
            </w:r>
          </w:p>
        </w:tc>
      </w:tr>
      <w:tr w:rsidR="00262E2B" w:rsidRPr="00DE1B21" w14:paraId="351A2356" w14:textId="77777777">
        <w:trPr>
          <w:trHeight w:val="476"/>
        </w:trPr>
        <w:tc>
          <w:tcPr>
            <w:tcW w:w="360" w:type="dxa"/>
          </w:tcPr>
          <w:p w14:paraId="351A2353" w14:textId="77777777" w:rsidR="00262E2B" w:rsidRPr="00DE1B21" w:rsidRDefault="00262E2B" w:rsidP="007267F0">
            <w:pPr>
              <w:pStyle w:val="naiskr"/>
              <w:spacing w:before="0" w:after="0"/>
            </w:pPr>
            <w:r w:rsidRPr="00DE1B21">
              <w:lastRenderedPageBreak/>
              <w:t>5.</w:t>
            </w:r>
          </w:p>
        </w:tc>
        <w:tc>
          <w:tcPr>
            <w:tcW w:w="3065" w:type="dxa"/>
          </w:tcPr>
          <w:p w14:paraId="351A2354" w14:textId="77777777" w:rsidR="00262E2B" w:rsidRPr="00DE1B21" w:rsidRDefault="001A4066" w:rsidP="007267F0">
            <w:pPr>
              <w:pStyle w:val="naiskr"/>
              <w:spacing w:before="0" w:after="0"/>
            </w:pPr>
            <w:r w:rsidRPr="00DE1B21">
              <w:t>Projekta i</w:t>
            </w:r>
            <w:r w:rsidR="00262E2B" w:rsidRPr="00DE1B21">
              <w:t>zstrād</w:t>
            </w:r>
            <w:r w:rsidR="00420870" w:rsidRPr="00DE1B21">
              <w:t xml:space="preserve">ē </w:t>
            </w:r>
            <w:r w:rsidR="00262E2B" w:rsidRPr="00DE1B21">
              <w:t>iesaistītās institūcijas</w:t>
            </w:r>
          </w:p>
        </w:tc>
        <w:tc>
          <w:tcPr>
            <w:tcW w:w="5940" w:type="dxa"/>
          </w:tcPr>
          <w:p w14:paraId="351A2355" w14:textId="77777777" w:rsidR="00262E2B" w:rsidRPr="00DE1B21" w:rsidRDefault="002D664B" w:rsidP="007267F0">
            <w:pPr>
              <w:pStyle w:val="naiskr"/>
              <w:spacing w:before="0" w:after="0"/>
              <w:ind w:left="180" w:right="180"/>
              <w:jc w:val="both"/>
            </w:pPr>
            <w:r>
              <w:rPr>
                <w:iCs/>
              </w:rPr>
              <w:t xml:space="preserve">Valsts kancelejas Eiropas Savienības struktūrfondu departaments </w:t>
            </w:r>
          </w:p>
        </w:tc>
      </w:tr>
      <w:tr w:rsidR="00262E2B" w:rsidRPr="00DE1B21" w14:paraId="351A235A" w14:textId="77777777">
        <w:trPr>
          <w:trHeight w:val="1036"/>
        </w:trPr>
        <w:tc>
          <w:tcPr>
            <w:tcW w:w="360" w:type="dxa"/>
          </w:tcPr>
          <w:p w14:paraId="351A2357" w14:textId="77777777" w:rsidR="00262E2B" w:rsidRPr="00DE1B21" w:rsidRDefault="00262E2B" w:rsidP="007267F0">
            <w:pPr>
              <w:pStyle w:val="naiskr"/>
              <w:spacing w:before="0" w:after="0"/>
            </w:pPr>
            <w:r w:rsidRPr="00DE1B21">
              <w:t>6.</w:t>
            </w:r>
          </w:p>
        </w:tc>
        <w:tc>
          <w:tcPr>
            <w:tcW w:w="3065" w:type="dxa"/>
          </w:tcPr>
          <w:p w14:paraId="351A2358" w14:textId="77777777" w:rsidR="00262E2B" w:rsidRPr="00DE1B21" w:rsidRDefault="00BB7C94" w:rsidP="007267F0">
            <w:pPr>
              <w:pStyle w:val="naiskr"/>
              <w:spacing w:before="0" w:after="0"/>
              <w:rPr>
                <w:i/>
                <w:highlight w:val="yellow"/>
              </w:rPr>
            </w:pPr>
            <w:r w:rsidRPr="00DE1B21">
              <w:t xml:space="preserve">Iemesli, kādēļ netika nodrošināta </w:t>
            </w:r>
            <w:r w:rsidR="00262E2B" w:rsidRPr="00DE1B21">
              <w:t xml:space="preserve">sabiedrības </w:t>
            </w:r>
            <w:r w:rsidRPr="00DE1B21">
              <w:t>līdzdalība</w:t>
            </w:r>
          </w:p>
        </w:tc>
        <w:tc>
          <w:tcPr>
            <w:tcW w:w="5940" w:type="dxa"/>
          </w:tcPr>
          <w:p w14:paraId="351A2359" w14:textId="77777777" w:rsidR="00D20FF4" w:rsidRPr="0053110A" w:rsidRDefault="00DF6337" w:rsidP="007267F0">
            <w:pPr>
              <w:pStyle w:val="naiskr"/>
              <w:spacing w:before="0" w:after="0"/>
              <w:ind w:left="180" w:right="180"/>
              <w:jc w:val="both"/>
              <w:rPr>
                <w:iCs/>
              </w:rPr>
            </w:pPr>
            <w:r>
              <w:rPr>
                <w:iCs/>
              </w:rPr>
              <w:t>Nav attiecināms</w:t>
            </w:r>
          </w:p>
        </w:tc>
      </w:tr>
      <w:tr w:rsidR="00262E2B" w:rsidRPr="00DE1B21" w14:paraId="351A235E" w14:textId="77777777">
        <w:tc>
          <w:tcPr>
            <w:tcW w:w="360" w:type="dxa"/>
          </w:tcPr>
          <w:p w14:paraId="351A235B" w14:textId="77777777" w:rsidR="00262E2B" w:rsidRPr="00DE1B21" w:rsidRDefault="00262E2B" w:rsidP="007267F0">
            <w:pPr>
              <w:pStyle w:val="naiskr"/>
              <w:spacing w:before="0" w:after="0"/>
            </w:pPr>
            <w:r w:rsidRPr="00DE1B21">
              <w:t>7.</w:t>
            </w:r>
          </w:p>
        </w:tc>
        <w:tc>
          <w:tcPr>
            <w:tcW w:w="3065" w:type="dxa"/>
          </w:tcPr>
          <w:p w14:paraId="351A235C" w14:textId="77777777" w:rsidR="00262E2B" w:rsidRPr="00DE1B21" w:rsidRDefault="00262E2B" w:rsidP="007267F0">
            <w:pPr>
              <w:pStyle w:val="naiskr"/>
              <w:spacing w:before="0" w:after="0"/>
            </w:pPr>
            <w:r w:rsidRPr="00DE1B21">
              <w:t>Cita informācija</w:t>
            </w:r>
          </w:p>
        </w:tc>
        <w:tc>
          <w:tcPr>
            <w:tcW w:w="5940" w:type="dxa"/>
          </w:tcPr>
          <w:p w14:paraId="351A235D" w14:textId="77777777" w:rsidR="00262E2B" w:rsidRPr="00DE1B21" w:rsidRDefault="00262E2B" w:rsidP="007267F0">
            <w:pPr>
              <w:pStyle w:val="naiskr"/>
              <w:spacing w:before="0" w:after="0"/>
              <w:ind w:left="180"/>
            </w:pPr>
            <w:r w:rsidRPr="00DE1B21">
              <w:t>Nav</w:t>
            </w:r>
          </w:p>
        </w:tc>
      </w:tr>
      <w:tr w:rsidR="00CD18E4" w:rsidRPr="00DE1B21" w14:paraId="351A2360" w14:textId="77777777">
        <w:tc>
          <w:tcPr>
            <w:tcW w:w="9365" w:type="dxa"/>
            <w:gridSpan w:val="3"/>
          </w:tcPr>
          <w:p w14:paraId="351A235F" w14:textId="6AC25697" w:rsidR="00CD18E4" w:rsidRPr="00DE1B21" w:rsidRDefault="00CD18E4" w:rsidP="007267F0">
            <w:pPr>
              <w:pStyle w:val="naiskr"/>
              <w:spacing w:before="0" w:after="0"/>
              <w:ind w:left="180"/>
              <w:jc w:val="center"/>
            </w:pPr>
            <w:r>
              <w:t>Anotācijas</w:t>
            </w:r>
            <w:r w:rsidR="001C0534">
              <w:t xml:space="preserve"> II un III </w:t>
            </w:r>
            <w:r>
              <w:t xml:space="preserve">sadaļa – </w:t>
            </w:r>
            <w:r w:rsidR="00A8305D">
              <w:t>projekts šīs jomas neskar</w:t>
            </w:r>
          </w:p>
        </w:tc>
      </w:tr>
    </w:tbl>
    <w:p w14:paraId="351A2361" w14:textId="77777777" w:rsidR="000C1F89" w:rsidRDefault="000C1F89" w:rsidP="007267F0">
      <w:pPr>
        <w:pStyle w:val="naiskr"/>
        <w:tabs>
          <w:tab w:val="left" w:pos="2628"/>
        </w:tabs>
        <w:spacing w:before="0"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2714"/>
        <w:gridCol w:w="5918"/>
      </w:tblGrid>
      <w:tr w:rsidR="000C1F89" w:rsidRPr="009329FF" w14:paraId="351A2363" w14:textId="77777777" w:rsidTr="004E6885">
        <w:trPr>
          <w:trHeight w:val="553"/>
        </w:trPr>
        <w:tc>
          <w:tcPr>
            <w:tcW w:w="9287" w:type="dxa"/>
            <w:gridSpan w:val="3"/>
            <w:vAlign w:val="center"/>
          </w:tcPr>
          <w:p w14:paraId="351A2362" w14:textId="77777777" w:rsidR="000C1F89" w:rsidRPr="009329FF" w:rsidRDefault="000C1F89" w:rsidP="007267F0">
            <w:pPr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9329FF">
              <w:rPr>
                <w:b/>
                <w:lang w:bidi="lo-LA"/>
              </w:rPr>
              <w:t>IV. Tiesību akta projekta ietekme uz spēkā esošo tiesību normu sistēmu</w:t>
            </w:r>
          </w:p>
        </w:tc>
      </w:tr>
      <w:tr w:rsidR="000C1F89" w:rsidRPr="009329FF" w14:paraId="351A2367" w14:textId="77777777" w:rsidTr="004E6885">
        <w:tc>
          <w:tcPr>
            <w:tcW w:w="655" w:type="dxa"/>
          </w:tcPr>
          <w:p w14:paraId="351A2364" w14:textId="77777777" w:rsidR="000C1F89" w:rsidRPr="009329FF" w:rsidRDefault="000C1F89" w:rsidP="007267F0">
            <w:pPr>
              <w:rPr>
                <w:lang w:bidi="lo-LA"/>
              </w:rPr>
            </w:pPr>
            <w:r w:rsidRPr="009329FF">
              <w:rPr>
                <w:lang w:bidi="lo-LA"/>
              </w:rPr>
              <w:t> 1.</w:t>
            </w:r>
          </w:p>
        </w:tc>
        <w:tc>
          <w:tcPr>
            <w:tcW w:w="2714" w:type="dxa"/>
          </w:tcPr>
          <w:p w14:paraId="351A2365" w14:textId="77777777" w:rsidR="000C1F89" w:rsidRPr="009329FF" w:rsidRDefault="000C1F89" w:rsidP="007267F0">
            <w:pPr>
              <w:rPr>
                <w:lang w:bidi="lo-LA"/>
              </w:rPr>
            </w:pPr>
            <w:r w:rsidRPr="009329FF">
              <w:rPr>
                <w:lang w:bidi="lo-LA"/>
              </w:rPr>
              <w:t>Nepieciešamie saistītie tiesību aktu projekti</w:t>
            </w:r>
          </w:p>
        </w:tc>
        <w:tc>
          <w:tcPr>
            <w:tcW w:w="5918" w:type="dxa"/>
            <w:vAlign w:val="center"/>
          </w:tcPr>
          <w:p w14:paraId="351A2366" w14:textId="35E90068" w:rsidR="002245C0" w:rsidRPr="00D8614D" w:rsidRDefault="00CA6FBF" w:rsidP="000913D3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color w:val="2A2A2A"/>
                <w:sz w:val="14"/>
                <w:szCs w:val="14"/>
              </w:rPr>
            </w:pPr>
            <w:r w:rsidRPr="009A217A">
              <w:t xml:space="preserve">Nepieciešams veikt grozījumus </w:t>
            </w:r>
            <w:r w:rsidRPr="009A217A">
              <w:rPr>
                <w:bCs/>
              </w:rPr>
              <w:t xml:space="preserve">darbības programmas </w:t>
            </w:r>
            <w:r w:rsidR="000913D3">
              <w:rPr>
                <w:bCs/>
              </w:rPr>
              <w:t>"</w:t>
            </w:r>
            <w:r w:rsidRPr="009A217A">
              <w:rPr>
                <w:bCs/>
              </w:rPr>
              <w:t>Cilvēkresursi un nodarbinātība</w:t>
            </w:r>
            <w:r w:rsidR="000913D3">
              <w:rPr>
                <w:bCs/>
              </w:rPr>
              <w:t>"</w:t>
            </w:r>
            <w:r w:rsidRPr="009A217A">
              <w:rPr>
                <w:bCs/>
              </w:rPr>
              <w:t xml:space="preserve"> papildinājumā (apstiprināts ar </w:t>
            </w:r>
            <w:r w:rsidRPr="009A217A">
              <w:t xml:space="preserve">Ministru kabineta 2008.gada 9.aprīļa rīkojumu Nr.197 </w:t>
            </w:r>
            <w:r w:rsidR="000913D3">
              <w:t>"</w:t>
            </w:r>
            <w:r w:rsidRPr="009A217A">
              <w:t xml:space="preserve">Par darbības programmas </w:t>
            </w:r>
            <w:r w:rsidR="000913D3">
              <w:t>"</w:t>
            </w:r>
            <w:r w:rsidRPr="009A217A">
              <w:t>Cilvēkresursi un nodarbinātība</w:t>
            </w:r>
            <w:r w:rsidR="000913D3">
              <w:t>"</w:t>
            </w:r>
            <w:r w:rsidRPr="009A217A">
              <w:t xml:space="preserve"> papildinājuma apstiprināšanu</w:t>
            </w:r>
            <w:r w:rsidR="000913D3">
              <w:t>"</w:t>
            </w:r>
            <w:r w:rsidRPr="009A217A">
              <w:t xml:space="preserve">), precizējot </w:t>
            </w:r>
            <w:r>
              <w:t xml:space="preserve">1.5.1.2., </w:t>
            </w:r>
            <w:r w:rsidRPr="009A217A">
              <w:t>1.5.1.3.2.</w:t>
            </w:r>
            <w:r>
              <w:t>, 1.5.2.2.1. un 1.5.2.2.3</w:t>
            </w:r>
            <w:r w:rsidR="000913D3">
              <w:t>.</w:t>
            </w:r>
            <w:r w:rsidRPr="009A217A">
              <w:t>apakšaktivitātes finansējumu</w:t>
            </w:r>
            <w:r w:rsidR="00871F96">
              <w:t xml:space="preserve"> un pievienojot papildus </w:t>
            </w:r>
            <w:r w:rsidR="006B3753">
              <w:t xml:space="preserve">privāto </w:t>
            </w:r>
            <w:r w:rsidR="00871F96">
              <w:t xml:space="preserve">finansējumu </w:t>
            </w:r>
            <w:r w:rsidR="006B3753">
              <w:t>1.5.2.2.2.apakšaktivitātē</w:t>
            </w:r>
            <w:r w:rsidRPr="009A217A">
              <w:rPr>
                <w:bCs/>
              </w:rPr>
              <w:t>. Noteikumu projekts izskatāms Ministru kabinetā vienlai</w:t>
            </w:r>
            <w:r w:rsidR="000913D3">
              <w:rPr>
                <w:bCs/>
              </w:rPr>
              <w:t>kus</w:t>
            </w:r>
            <w:r w:rsidRPr="009A217A">
              <w:rPr>
                <w:bCs/>
              </w:rPr>
              <w:t xml:space="preserve"> ar grozījumiem darbības programmas </w:t>
            </w:r>
            <w:r w:rsidR="000913D3">
              <w:rPr>
                <w:bCs/>
              </w:rPr>
              <w:t>"</w:t>
            </w:r>
            <w:r w:rsidRPr="009A217A">
              <w:rPr>
                <w:bCs/>
              </w:rPr>
              <w:t>Cilvēk</w:t>
            </w:r>
            <w:r w:rsidR="000913D3">
              <w:rPr>
                <w:bCs/>
              </w:rPr>
              <w:softHyphen/>
            </w:r>
            <w:r w:rsidRPr="009A217A">
              <w:rPr>
                <w:bCs/>
              </w:rPr>
              <w:t>resursi un nodarbinātība</w:t>
            </w:r>
            <w:r w:rsidR="000913D3">
              <w:rPr>
                <w:bCs/>
              </w:rPr>
              <w:t>"</w:t>
            </w:r>
            <w:r w:rsidR="005D30FE">
              <w:rPr>
                <w:bCs/>
              </w:rPr>
              <w:t xml:space="preserve"> papildinājumā</w:t>
            </w:r>
            <w:r w:rsidRPr="009A217A">
              <w:rPr>
                <w:bCs/>
              </w:rPr>
              <w:t xml:space="preserve">, grozījumiem Ministru kabineta </w:t>
            </w:r>
            <w:r w:rsidRPr="001076DE">
              <w:rPr>
                <w:szCs w:val="28"/>
              </w:rPr>
              <w:t xml:space="preserve">2008.gada 2.jūnija noteikumos Nr.396 </w:t>
            </w:r>
            <w:r w:rsidR="000913D3">
              <w:rPr>
                <w:szCs w:val="28"/>
              </w:rPr>
              <w:t>"</w:t>
            </w:r>
            <w:r w:rsidRPr="001076DE">
              <w:rPr>
                <w:bCs/>
                <w:szCs w:val="28"/>
              </w:rPr>
              <w:t xml:space="preserve">Noteikumi par darbības programmas </w:t>
            </w:r>
            <w:r w:rsidR="000913D3">
              <w:rPr>
                <w:bCs/>
                <w:szCs w:val="28"/>
              </w:rPr>
              <w:t>"</w:t>
            </w:r>
            <w:r w:rsidRPr="001076DE">
              <w:rPr>
                <w:bCs/>
                <w:szCs w:val="28"/>
              </w:rPr>
              <w:t>Cilvēkresursi un nodarbinātība</w:t>
            </w:r>
            <w:r w:rsidR="000913D3">
              <w:rPr>
                <w:bCs/>
                <w:szCs w:val="28"/>
              </w:rPr>
              <w:t>"</w:t>
            </w:r>
            <w:r w:rsidRPr="001076DE">
              <w:rPr>
                <w:bCs/>
                <w:szCs w:val="28"/>
              </w:rPr>
              <w:t xml:space="preserve"> papildinājuma apakšaktivitāti </w:t>
            </w:r>
            <w:r w:rsidR="000913D3">
              <w:rPr>
                <w:bCs/>
                <w:szCs w:val="28"/>
              </w:rPr>
              <w:t>"</w:t>
            </w:r>
            <w:r w:rsidRPr="001076DE">
              <w:rPr>
                <w:bCs/>
                <w:szCs w:val="28"/>
              </w:rPr>
              <w:t>Sociālo partneru administratīvās kapacitātes stiprināšana</w:t>
            </w:r>
            <w:r w:rsidR="000913D3">
              <w:rPr>
                <w:bCs/>
                <w:szCs w:val="28"/>
              </w:rPr>
              <w:t>""</w:t>
            </w:r>
            <w:r>
              <w:rPr>
                <w:bCs/>
                <w:szCs w:val="28"/>
              </w:rPr>
              <w:t xml:space="preserve">, </w:t>
            </w:r>
            <w:r w:rsidRPr="009A217A">
              <w:rPr>
                <w:bCs/>
              </w:rPr>
              <w:t xml:space="preserve">grozījumiem Ministru kabineta </w:t>
            </w:r>
            <w:r w:rsidRPr="006D3383">
              <w:t>2008.gada 25.novembra noteikumos Nr.96</w:t>
            </w:r>
            <w:r>
              <w:t>2</w:t>
            </w:r>
            <w:r w:rsidRPr="006D3383">
              <w:t xml:space="preserve"> </w:t>
            </w:r>
            <w:r w:rsidR="000913D3">
              <w:t>"</w:t>
            </w:r>
            <w:r w:rsidRPr="006D3383">
              <w:t xml:space="preserve">Noteikumi par darbības programmas </w:t>
            </w:r>
            <w:r w:rsidR="000913D3">
              <w:t>"</w:t>
            </w:r>
            <w:r w:rsidRPr="006D3383">
              <w:t>Cilvēkresursi un nodarbinātība</w:t>
            </w:r>
            <w:r w:rsidR="000913D3">
              <w:t>"</w:t>
            </w:r>
            <w:r w:rsidRPr="006D3383">
              <w:t xml:space="preserve"> papildinājuma </w:t>
            </w:r>
            <w:r>
              <w:t xml:space="preserve">1.5.2.2.3.apakšaktivitāti </w:t>
            </w:r>
            <w:r w:rsidR="000913D3">
              <w:t>"</w:t>
            </w:r>
            <w:r>
              <w:t>Atbalsts pašvaldībām kapacitātes stiprināšanā Eiropas Savienības politiku instrumentu un pārējās ārvalstu finanšu palīdzības līdzfinansēto projektu un pasākumu īstenošanai</w:t>
            </w:r>
            <w:r w:rsidR="000913D3">
              <w:t>""</w:t>
            </w:r>
            <w:r>
              <w:t xml:space="preserve">, </w:t>
            </w:r>
            <w:r w:rsidRPr="009A217A">
              <w:rPr>
                <w:bCs/>
              </w:rPr>
              <w:t xml:space="preserve">grozījumiem Ministru kabineta </w:t>
            </w:r>
            <w:r w:rsidRPr="00DB1632">
              <w:t xml:space="preserve">2008.gada </w:t>
            </w:r>
            <w:r>
              <w:t xml:space="preserve">14.oktobra </w:t>
            </w:r>
            <w:r w:rsidRPr="00DB1632">
              <w:t xml:space="preserve">noteikumos </w:t>
            </w:r>
            <w:r>
              <w:t>Nr.850</w:t>
            </w:r>
            <w:r w:rsidRPr="00DB1632">
              <w:t xml:space="preserve"> </w:t>
            </w:r>
            <w:r w:rsidR="000913D3">
              <w:t>"</w:t>
            </w:r>
            <w:r w:rsidRPr="00DB1632">
              <w:t xml:space="preserve">Noteikumi par </w:t>
            </w:r>
            <w:r w:rsidR="00774F4F" w:rsidRPr="000B223D">
              <w:t xml:space="preserve">darbības programmas </w:t>
            </w:r>
            <w:r w:rsidR="000913D3">
              <w:t>"</w:t>
            </w:r>
            <w:r w:rsidR="00774F4F" w:rsidRPr="000B223D">
              <w:t>Cilvēkresursi un nodarbinātība</w:t>
            </w:r>
            <w:r w:rsidR="000913D3">
              <w:t>"</w:t>
            </w:r>
            <w:r w:rsidR="00774F4F" w:rsidRPr="000B223D">
              <w:t xml:space="preserve"> papildinājuma </w:t>
            </w:r>
            <w:r w:rsidR="00774F4F">
              <w:t>1.5.1.3.2.</w:t>
            </w:r>
            <w:r w:rsidR="00774F4F" w:rsidRPr="000B223D">
              <w:t xml:space="preserve">apakšaktivitāti </w:t>
            </w:r>
            <w:r w:rsidR="000913D3">
              <w:t>"</w:t>
            </w:r>
            <w:r w:rsidR="00774F4F" w:rsidRPr="000B223D">
              <w:t>Publisko pakalpojumu kvalitātes paaugstināšana valsts, reģionālā un vietējā līmenī</w:t>
            </w:r>
            <w:r w:rsidR="00A92F84">
              <w:t>""</w:t>
            </w:r>
            <w:r>
              <w:t xml:space="preserve">, </w:t>
            </w:r>
            <w:r w:rsidR="00D8614D" w:rsidRPr="009A217A">
              <w:rPr>
                <w:bCs/>
              </w:rPr>
              <w:t xml:space="preserve">grozījumiem Ministru kabineta </w:t>
            </w:r>
            <w:r w:rsidRPr="006D3383">
              <w:t xml:space="preserve">2008.gada </w:t>
            </w:r>
            <w:r>
              <w:t>19.maija</w:t>
            </w:r>
            <w:r w:rsidRPr="006D3383">
              <w:t xml:space="preserve"> noteikumos Nr.</w:t>
            </w:r>
            <w:r>
              <w:t>33</w:t>
            </w:r>
            <w:r w:rsidRPr="006D3383">
              <w:t xml:space="preserve">3 </w:t>
            </w:r>
            <w:r w:rsidR="000913D3">
              <w:t>"</w:t>
            </w:r>
            <w:r w:rsidRPr="006D3383">
              <w:t xml:space="preserve">Noteikumi par darbības programmas </w:t>
            </w:r>
            <w:r w:rsidR="000913D3">
              <w:t>"</w:t>
            </w:r>
            <w:r w:rsidRPr="006D3383">
              <w:t>Cilvēkresursi un nodarbinātība</w:t>
            </w:r>
            <w:r w:rsidR="000913D3">
              <w:t>"</w:t>
            </w:r>
            <w:r w:rsidRPr="006D3383">
              <w:t xml:space="preserve"> papildinājuma aktivitāti </w:t>
            </w:r>
            <w:r w:rsidR="000913D3">
              <w:t>"</w:t>
            </w:r>
            <w:r w:rsidRPr="008E02CB">
              <w:t>Administratīvo šķēršļu samazināšana un publisko pakalpojumu kvalitātes uzlabošana</w:t>
            </w:r>
            <w:r w:rsidR="000913D3">
              <w:t>""</w:t>
            </w:r>
          </w:p>
        </w:tc>
      </w:tr>
    </w:tbl>
    <w:p w14:paraId="15275CDB" w14:textId="77777777" w:rsidR="007267F0" w:rsidRDefault="007267F0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2714"/>
        <w:gridCol w:w="5918"/>
      </w:tblGrid>
      <w:tr w:rsidR="000C1F89" w:rsidRPr="009329FF" w14:paraId="351A236B" w14:textId="77777777" w:rsidTr="004E6885">
        <w:tc>
          <w:tcPr>
            <w:tcW w:w="655" w:type="dxa"/>
          </w:tcPr>
          <w:p w14:paraId="351A2368" w14:textId="656CACA0" w:rsidR="000C1F89" w:rsidRPr="009329FF" w:rsidRDefault="000C1F89" w:rsidP="007267F0">
            <w:pPr>
              <w:rPr>
                <w:lang w:bidi="lo-LA"/>
              </w:rPr>
            </w:pPr>
            <w:r w:rsidRPr="009329FF">
              <w:rPr>
                <w:lang w:bidi="lo-LA"/>
              </w:rPr>
              <w:lastRenderedPageBreak/>
              <w:t> 2.</w:t>
            </w:r>
          </w:p>
        </w:tc>
        <w:tc>
          <w:tcPr>
            <w:tcW w:w="2714" w:type="dxa"/>
          </w:tcPr>
          <w:p w14:paraId="351A2369" w14:textId="77777777" w:rsidR="000C1F89" w:rsidRPr="009329FF" w:rsidRDefault="000C1F89" w:rsidP="007267F0">
            <w:pPr>
              <w:rPr>
                <w:lang w:bidi="lo-LA"/>
              </w:rPr>
            </w:pPr>
            <w:r w:rsidRPr="009329FF">
              <w:rPr>
                <w:lang w:bidi="lo-LA"/>
              </w:rPr>
              <w:t>Cita informācija</w:t>
            </w:r>
          </w:p>
        </w:tc>
        <w:tc>
          <w:tcPr>
            <w:tcW w:w="5918" w:type="dxa"/>
            <w:vAlign w:val="center"/>
          </w:tcPr>
          <w:p w14:paraId="351A236A" w14:textId="77777777" w:rsidR="000C1F89" w:rsidRPr="009329FF" w:rsidRDefault="000C1F89" w:rsidP="007267F0">
            <w:pPr>
              <w:autoSpaceDE w:val="0"/>
              <w:autoSpaceDN w:val="0"/>
              <w:adjustRightInd w:val="0"/>
              <w:jc w:val="both"/>
            </w:pPr>
            <w:r w:rsidRPr="009329FF">
              <w:t>Nav</w:t>
            </w:r>
          </w:p>
        </w:tc>
      </w:tr>
      <w:tr w:rsidR="000C1F89" w:rsidRPr="00BC4092" w14:paraId="351A236D" w14:textId="77777777" w:rsidTr="004E6885">
        <w:tc>
          <w:tcPr>
            <w:tcW w:w="9287" w:type="dxa"/>
            <w:gridSpan w:val="3"/>
          </w:tcPr>
          <w:p w14:paraId="351A236C" w14:textId="07008BA2" w:rsidR="000C1F89" w:rsidRPr="00BC4092" w:rsidRDefault="00A92F84" w:rsidP="000913D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t>Anotācijas V, VI</w:t>
            </w:r>
            <w:r w:rsidR="000C1F89">
              <w:t xml:space="preserve"> un VII sadaļa – </w:t>
            </w:r>
            <w:r w:rsidR="00A8305D">
              <w:t>projekts šīs jomas neskar</w:t>
            </w:r>
          </w:p>
        </w:tc>
      </w:tr>
    </w:tbl>
    <w:p w14:paraId="351A236E" w14:textId="77777777" w:rsidR="000C1F89" w:rsidRDefault="000C1F89" w:rsidP="007267F0">
      <w:pPr>
        <w:pStyle w:val="naiskr"/>
        <w:tabs>
          <w:tab w:val="left" w:pos="2628"/>
        </w:tabs>
        <w:spacing w:before="0" w:after="0"/>
      </w:pPr>
    </w:p>
    <w:p w14:paraId="2221F229" w14:textId="77777777" w:rsidR="007267F0" w:rsidRPr="007267F0" w:rsidRDefault="007267F0" w:rsidP="007267F0">
      <w:pPr>
        <w:pStyle w:val="naiskr"/>
        <w:tabs>
          <w:tab w:val="left" w:pos="2628"/>
        </w:tabs>
        <w:spacing w:before="0" w:after="0"/>
        <w:ind w:firstLine="709"/>
        <w:rPr>
          <w:sz w:val="28"/>
        </w:rPr>
      </w:pPr>
    </w:p>
    <w:p w14:paraId="351A236F" w14:textId="77777777" w:rsidR="000C1F89" w:rsidRPr="007267F0" w:rsidRDefault="000C1F89" w:rsidP="007267F0">
      <w:pPr>
        <w:pStyle w:val="naiskr"/>
        <w:tabs>
          <w:tab w:val="left" w:pos="2628"/>
        </w:tabs>
        <w:spacing w:before="0" w:after="0"/>
        <w:ind w:firstLine="709"/>
        <w:rPr>
          <w:i/>
          <w:szCs w:val="22"/>
        </w:rPr>
      </w:pPr>
    </w:p>
    <w:p w14:paraId="351A2370" w14:textId="7C5B0551" w:rsidR="00395C6B" w:rsidRPr="007267F0" w:rsidRDefault="00FA09F3" w:rsidP="002A1EA0">
      <w:pPr>
        <w:pStyle w:val="Signature"/>
        <w:widowControl/>
        <w:tabs>
          <w:tab w:val="left" w:pos="6820"/>
        </w:tabs>
        <w:spacing w:before="0"/>
        <w:ind w:firstLine="709"/>
        <w:rPr>
          <w:color w:val="000000"/>
          <w:sz w:val="28"/>
          <w:szCs w:val="24"/>
          <w:lang w:val="lv-LV"/>
        </w:rPr>
      </w:pPr>
      <w:r w:rsidRPr="007267F0">
        <w:rPr>
          <w:color w:val="000000"/>
          <w:sz w:val="28"/>
          <w:szCs w:val="24"/>
          <w:lang w:val="lv-LV"/>
        </w:rPr>
        <w:t>Ministru prezident</w:t>
      </w:r>
      <w:r w:rsidR="002A1EA0">
        <w:rPr>
          <w:color w:val="000000"/>
          <w:sz w:val="28"/>
          <w:szCs w:val="24"/>
          <w:lang w:val="lv-LV"/>
        </w:rPr>
        <w:t>s</w:t>
      </w:r>
      <w:r w:rsidRPr="007267F0">
        <w:rPr>
          <w:color w:val="000000"/>
          <w:sz w:val="28"/>
          <w:szCs w:val="24"/>
          <w:lang w:val="lv-LV"/>
        </w:rPr>
        <w:tab/>
      </w:r>
      <w:proofErr w:type="spellStart"/>
      <w:r w:rsidR="002A1EA0" w:rsidRPr="002A1EA0">
        <w:rPr>
          <w:sz w:val="28"/>
          <w:szCs w:val="28"/>
        </w:rPr>
        <w:t>V.Dombrovskis</w:t>
      </w:r>
      <w:proofErr w:type="spellEnd"/>
    </w:p>
    <w:p w14:paraId="351A2371" w14:textId="77777777" w:rsidR="00395C6B" w:rsidRPr="007267F0" w:rsidRDefault="00395C6B" w:rsidP="007267F0">
      <w:pPr>
        <w:pStyle w:val="EnvelopeReturn"/>
        <w:spacing w:before="0"/>
        <w:ind w:firstLine="709"/>
        <w:rPr>
          <w:color w:val="000000"/>
          <w:sz w:val="28"/>
          <w:szCs w:val="24"/>
          <w:lang w:val="lv-LV"/>
        </w:rPr>
      </w:pPr>
    </w:p>
    <w:p w14:paraId="351A2372" w14:textId="77777777" w:rsidR="00395C6B" w:rsidRPr="007267F0" w:rsidRDefault="00395C6B" w:rsidP="007267F0">
      <w:pPr>
        <w:pStyle w:val="EnvelopeReturn"/>
        <w:spacing w:before="0"/>
        <w:ind w:firstLine="709"/>
        <w:rPr>
          <w:color w:val="000000"/>
          <w:sz w:val="28"/>
          <w:szCs w:val="24"/>
          <w:lang w:val="lv-LV"/>
        </w:rPr>
      </w:pPr>
    </w:p>
    <w:p w14:paraId="2CDCB89B" w14:textId="77777777" w:rsidR="007267F0" w:rsidRDefault="00395C6B" w:rsidP="007267F0">
      <w:pPr>
        <w:pStyle w:val="Signature"/>
        <w:widowControl/>
        <w:tabs>
          <w:tab w:val="left" w:pos="6820"/>
        </w:tabs>
        <w:spacing w:before="0"/>
        <w:ind w:firstLine="709"/>
        <w:rPr>
          <w:color w:val="000000"/>
          <w:sz w:val="28"/>
          <w:szCs w:val="24"/>
          <w:lang w:val="lv-LV"/>
        </w:rPr>
      </w:pPr>
      <w:r w:rsidRPr="007267F0">
        <w:rPr>
          <w:color w:val="000000"/>
          <w:sz w:val="28"/>
          <w:szCs w:val="24"/>
          <w:lang w:val="lv-LV"/>
        </w:rPr>
        <w:t xml:space="preserve">Vizē: </w:t>
      </w:r>
    </w:p>
    <w:p w14:paraId="351A2373" w14:textId="2AA2D6CB" w:rsidR="00395C6B" w:rsidRPr="007267F0" w:rsidRDefault="00395C6B" w:rsidP="007267F0">
      <w:pPr>
        <w:pStyle w:val="Signature"/>
        <w:widowControl/>
        <w:tabs>
          <w:tab w:val="left" w:pos="6820"/>
        </w:tabs>
        <w:spacing w:before="0"/>
        <w:ind w:firstLine="709"/>
        <w:rPr>
          <w:color w:val="000000"/>
          <w:sz w:val="28"/>
          <w:szCs w:val="24"/>
          <w:lang w:val="lv-LV"/>
        </w:rPr>
      </w:pPr>
      <w:r w:rsidRPr="007267F0">
        <w:rPr>
          <w:color w:val="000000"/>
          <w:sz w:val="28"/>
          <w:szCs w:val="24"/>
          <w:lang w:val="lv-LV"/>
        </w:rPr>
        <w:t>Valsts kancelejas direktore</w:t>
      </w:r>
      <w:r w:rsidRPr="007267F0">
        <w:rPr>
          <w:color w:val="000000"/>
          <w:sz w:val="28"/>
          <w:szCs w:val="24"/>
          <w:u w:val="single"/>
          <w:lang w:val="lv-LV"/>
        </w:rPr>
        <w:tab/>
      </w:r>
      <w:r w:rsidR="003600AF" w:rsidRPr="007267F0">
        <w:rPr>
          <w:color w:val="000000"/>
          <w:sz w:val="28"/>
          <w:szCs w:val="24"/>
          <w:lang w:val="lv-LV"/>
        </w:rPr>
        <w:t>E.Dreimane</w:t>
      </w:r>
    </w:p>
    <w:p w14:paraId="351A2374" w14:textId="77777777" w:rsidR="00721B5C" w:rsidRDefault="00721B5C" w:rsidP="00A92F84">
      <w:pPr>
        <w:jc w:val="both"/>
        <w:rPr>
          <w:color w:val="000000"/>
          <w:sz w:val="32"/>
          <w:szCs w:val="28"/>
        </w:rPr>
      </w:pPr>
    </w:p>
    <w:p w14:paraId="3AF986E4" w14:textId="77777777" w:rsidR="00A92F84" w:rsidRDefault="00A92F84" w:rsidP="00A92F84">
      <w:pPr>
        <w:jc w:val="both"/>
        <w:rPr>
          <w:color w:val="000000"/>
          <w:sz w:val="32"/>
          <w:szCs w:val="28"/>
        </w:rPr>
      </w:pPr>
    </w:p>
    <w:p w14:paraId="11B8A5C8" w14:textId="77777777" w:rsidR="00A92F84" w:rsidRPr="007267F0" w:rsidRDefault="00A92F84" w:rsidP="00A92F84">
      <w:pPr>
        <w:jc w:val="both"/>
        <w:rPr>
          <w:color w:val="000000"/>
          <w:sz w:val="32"/>
          <w:szCs w:val="28"/>
        </w:rPr>
      </w:pPr>
    </w:p>
    <w:p w14:paraId="351A2375" w14:textId="77777777" w:rsidR="00507528" w:rsidRPr="008C506E" w:rsidRDefault="00507528" w:rsidP="007267F0">
      <w:pPr>
        <w:jc w:val="both"/>
        <w:rPr>
          <w:color w:val="000000"/>
          <w:sz w:val="28"/>
          <w:szCs w:val="28"/>
        </w:rPr>
      </w:pPr>
    </w:p>
    <w:p w14:paraId="351A2376" w14:textId="0E0658AC" w:rsidR="00395C6B" w:rsidRPr="005A3927" w:rsidRDefault="00BA42B8" w:rsidP="007267F0">
      <w:pPr>
        <w:jc w:val="both"/>
        <w:rPr>
          <w:color w:val="000000"/>
          <w:sz w:val="22"/>
          <w:szCs w:val="22"/>
        </w:rPr>
      </w:pPr>
      <w:r w:rsidRPr="005A3927">
        <w:rPr>
          <w:color w:val="000000"/>
          <w:sz w:val="22"/>
          <w:szCs w:val="22"/>
        </w:rPr>
        <w:fldChar w:fldCharType="begin"/>
      </w:r>
      <w:r w:rsidR="00395C6B" w:rsidRPr="005A3927">
        <w:rPr>
          <w:color w:val="000000"/>
          <w:sz w:val="22"/>
          <w:szCs w:val="22"/>
        </w:rPr>
        <w:instrText xml:space="preserve"> TIME  \@ "yyyy.MM.dd. H:mm"  \* MERGEFORMAT </w:instrText>
      </w:r>
      <w:r w:rsidRPr="005A3927">
        <w:rPr>
          <w:color w:val="000000"/>
          <w:sz w:val="22"/>
          <w:szCs w:val="22"/>
        </w:rPr>
        <w:fldChar w:fldCharType="separate"/>
      </w:r>
      <w:r w:rsidR="0073442B">
        <w:rPr>
          <w:noProof/>
          <w:color w:val="000000"/>
          <w:sz w:val="22"/>
          <w:szCs w:val="22"/>
        </w:rPr>
        <w:t>2012.12.14. 11:29</w:t>
      </w:r>
      <w:r w:rsidRPr="005A3927">
        <w:rPr>
          <w:color w:val="000000"/>
          <w:sz w:val="22"/>
          <w:szCs w:val="22"/>
        </w:rPr>
        <w:fldChar w:fldCharType="end"/>
      </w:r>
    </w:p>
    <w:p w14:paraId="351A2377" w14:textId="0D42CB74" w:rsidR="00395C6B" w:rsidRPr="005A3927" w:rsidRDefault="006A21B7" w:rsidP="007267F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4201EB">
        <w:rPr>
          <w:color w:val="000000"/>
          <w:sz w:val="22"/>
          <w:szCs w:val="22"/>
        </w:rPr>
        <w:t>0</w:t>
      </w:r>
      <w:r w:rsidR="0077747F">
        <w:rPr>
          <w:color w:val="000000"/>
          <w:sz w:val="22"/>
          <w:szCs w:val="22"/>
        </w:rPr>
        <w:t>5</w:t>
      </w:r>
      <w:bookmarkStart w:id="2" w:name="_GoBack"/>
      <w:bookmarkEnd w:id="2"/>
    </w:p>
    <w:p w14:paraId="351A2378" w14:textId="7025A5BC" w:rsidR="00AF5348" w:rsidRPr="00902D9C" w:rsidRDefault="00A37F4F" w:rsidP="007267F0">
      <w:pPr>
        <w:jc w:val="both"/>
        <w:rPr>
          <w:color w:val="000000"/>
        </w:rPr>
      </w:pPr>
      <w:r>
        <w:rPr>
          <w:color w:val="000000"/>
        </w:rPr>
        <w:t>Garkalne</w:t>
      </w:r>
      <w:r w:rsidR="000E4EDC">
        <w:rPr>
          <w:color w:val="000000"/>
        </w:rPr>
        <w:t>,</w:t>
      </w:r>
      <w:r w:rsidR="00D8614D">
        <w:rPr>
          <w:color w:val="000000"/>
        </w:rPr>
        <w:t xml:space="preserve"> 670829</w:t>
      </w:r>
      <w:r>
        <w:rPr>
          <w:color w:val="000000"/>
        </w:rPr>
        <w:t>50</w:t>
      </w:r>
    </w:p>
    <w:p w14:paraId="351A2379" w14:textId="77777777" w:rsidR="00AF5348" w:rsidRDefault="00A37F4F" w:rsidP="007267F0">
      <w:pPr>
        <w:jc w:val="both"/>
        <w:rPr>
          <w:color w:val="000000"/>
        </w:rPr>
      </w:pPr>
      <w:r>
        <w:rPr>
          <w:color w:val="000000"/>
        </w:rPr>
        <w:t>maruta.garkalne</w:t>
      </w:r>
      <w:r w:rsidR="00871D2C" w:rsidRPr="00871D2C">
        <w:rPr>
          <w:color w:val="000000"/>
        </w:rPr>
        <w:t>@mk.gov.lv</w:t>
      </w:r>
    </w:p>
    <w:p w14:paraId="351A237A" w14:textId="77777777" w:rsidR="00871D2C" w:rsidRPr="00902D9C" w:rsidRDefault="00871D2C" w:rsidP="007267F0">
      <w:pPr>
        <w:jc w:val="both"/>
        <w:rPr>
          <w:color w:val="000000"/>
        </w:rPr>
      </w:pPr>
    </w:p>
    <w:sectPr w:rsidR="00871D2C" w:rsidRPr="00902D9C" w:rsidSect="007267F0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A237D" w14:textId="77777777" w:rsidR="00567037" w:rsidRDefault="00567037">
      <w:r>
        <w:separator/>
      </w:r>
    </w:p>
  </w:endnote>
  <w:endnote w:type="continuationSeparator" w:id="0">
    <w:p w14:paraId="351A237E" w14:textId="77777777" w:rsidR="00567037" w:rsidRDefault="0056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59F96" w14:textId="77777777" w:rsidR="007267F0" w:rsidRPr="007267F0" w:rsidRDefault="007267F0" w:rsidP="007267F0">
    <w:pPr>
      <w:pStyle w:val="Footer"/>
      <w:rPr>
        <w:sz w:val="16"/>
      </w:rPr>
    </w:pPr>
    <w:r w:rsidRPr="007267F0">
      <w:rPr>
        <w:sz w:val="16"/>
      </w:rPr>
      <w:fldChar w:fldCharType="begin"/>
    </w:r>
    <w:r w:rsidRPr="007267F0">
      <w:rPr>
        <w:sz w:val="16"/>
      </w:rPr>
      <w:instrText xml:space="preserve"> FILENAME  \* MERGEFORMAT </w:instrText>
    </w:r>
    <w:r w:rsidRPr="007267F0">
      <w:rPr>
        <w:sz w:val="16"/>
      </w:rPr>
      <w:fldChar w:fldCharType="separate"/>
    </w:r>
    <w:r w:rsidR="0073442B">
      <w:rPr>
        <w:noProof/>
        <w:sz w:val="16"/>
      </w:rPr>
      <w:t>MKAnot_groz963_0612201220121213151917</w:t>
    </w:r>
    <w:r w:rsidRPr="007267F0">
      <w:rPr>
        <w:sz w:val="16"/>
      </w:rPr>
      <w:fldChar w:fldCharType="end"/>
    </w:r>
    <w:r>
      <w:rPr>
        <w:sz w:val="16"/>
      </w:rPr>
      <w:t xml:space="preserve"> (66204)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A2386" w14:textId="04B4E716" w:rsidR="00567037" w:rsidRPr="007267F0" w:rsidRDefault="007267F0" w:rsidP="007267F0">
    <w:pPr>
      <w:pStyle w:val="Footer"/>
      <w:rPr>
        <w:sz w:val="16"/>
      </w:rPr>
    </w:pPr>
    <w:r w:rsidRPr="007267F0">
      <w:rPr>
        <w:sz w:val="16"/>
      </w:rPr>
      <w:fldChar w:fldCharType="begin"/>
    </w:r>
    <w:r w:rsidRPr="007267F0">
      <w:rPr>
        <w:sz w:val="16"/>
      </w:rPr>
      <w:instrText xml:space="preserve"> FILENAME  \* MERGEFORMAT </w:instrText>
    </w:r>
    <w:r w:rsidRPr="007267F0">
      <w:rPr>
        <w:sz w:val="16"/>
      </w:rPr>
      <w:fldChar w:fldCharType="separate"/>
    </w:r>
    <w:r w:rsidR="0073442B">
      <w:rPr>
        <w:noProof/>
        <w:sz w:val="16"/>
      </w:rPr>
      <w:t>MKAnot_groz963_0612201220121213151917</w:t>
    </w:r>
    <w:r w:rsidRPr="007267F0">
      <w:rPr>
        <w:sz w:val="16"/>
      </w:rPr>
      <w:fldChar w:fldCharType="end"/>
    </w:r>
    <w:r>
      <w:rPr>
        <w:sz w:val="16"/>
      </w:rPr>
      <w:t xml:space="preserve"> (66204)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A237B" w14:textId="77777777" w:rsidR="00567037" w:rsidRDefault="00567037">
      <w:r>
        <w:separator/>
      </w:r>
    </w:p>
  </w:footnote>
  <w:footnote w:type="continuationSeparator" w:id="0">
    <w:p w14:paraId="351A237C" w14:textId="77777777" w:rsidR="00567037" w:rsidRDefault="00567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A237F" w14:textId="77777777" w:rsidR="00567037" w:rsidRDefault="00567037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1A2380" w14:textId="77777777" w:rsidR="00567037" w:rsidRDefault="005670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A2381" w14:textId="77777777" w:rsidR="00567037" w:rsidRDefault="00567037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442B">
      <w:rPr>
        <w:rStyle w:val="PageNumber"/>
        <w:noProof/>
      </w:rPr>
      <w:t>4</w:t>
    </w:r>
    <w:r>
      <w:rPr>
        <w:rStyle w:val="PageNumber"/>
      </w:rPr>
      <w:fldChar w:fldCharType="end"/>
    </w:r>
  </w:p>
  <w:p w14:paraId="351A2382" w14:textId="77777777" w:rsidR="00567037" w:rsidRDefault="005670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48583A"/>
    <w:multiLevelType w:val="hybridMultilevel"/>
    <w:tmpl w:val="AD865A30"/>
    <w:lvl w:ilvl="0" w:tplc="3FD67F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FA0E8C"/>
    <w:multiLevelType w:val="multilevel"/>
    <w:tmpl w:val="C030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A29073A"/>
    <w:multiLevelType w:val="hybridMultilevel"/>
    <w:tmpl w:val="EE3040FE"/>
    <w:lvl w:ilvl="0" w:tplc="3FD67F12">
      <w:start w:val="1"/>
      <w:numFmt w:val="bullet"/>
      <w:lvlText w:val=""/>
      <w:lvlJc w:val="left"/>
      <w:pPr>
        <w:tabs>
          <w:tab w:val="num" w:pos="1638"/>
        </w:tabs>
        <w:ind w:left="163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6">
    <w:nsid w:val="6AD96420"/>
    <w:multiLevelType w:val="hybridMultilevel"/>
    <w:tmpl w:val="C030A44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14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10"/>
  </w:num>
  <w:num w:numId="13">
    <w:abstractNumId w:val="12"/>
  </w:num>
  <w:num w:numId="14">
    <w:abstractNumId w:val="15"/>
  </w:num>
  <w:num w:numId="15">
    <w:abstractNumId w:val="16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649"/>
    <w:rsid w:val="00010798"/>
    <w:rsid w:val="00011D24"/>
    <w:rsid w:val="00013DA8"/>
    <w:rsid w:val="00013FF4"/>
    <w:rsid w:val="00014A55"/>
    <w:rsid w:val="00020148"/>
    <w:rsid w:val="00020FE1"/>
    <w:rsid w:val="00022E02"/>
    <w:rsid w:val="00022E13"/>
    <w:rsid w:val="000230E8"/>
    <w:rsid w:val="000255E3"/>
    <w:rsid w:val="00032388"/>
    <w:rsid w:val="00035CE2"/>
    <w:rsid w:val="0004200C"/>
    <w:rsid w:val="00047245"/>
    <w:rsid w:val="0005553B"/>
    <w:rsid w:val="000604D2"/>
    <w:rsid w:val="00061116"/>
    <w:rsid w:val="000723A5"/>
    <w:rsid w:val="00073F41"/>
    <w:rsid w:val="00084E8D"/>
    <w:rsid w:val="0009005E"/>
    <w:rsid w:val="000913D3"/>
    <w:rsid w:val="000941C5"/>
    <w:rsid w:val="000A6451"/>
    <w:rsid w:val="000A67D7"/>
    <w:rsid w:val="000A70B1"/>
    <w:rsid w:val="000A7E25"/>
    <w:rsid w:val="000B064E"/>
    <w:rsid w:val="000B69CF"/>
    <w:rsid w:val="000C1F89"/>
    <w:rsid w:val="000C31D0"/>
    <w:rsid w:val="000C326F"/>
    <w:rsid w:val="000C3952"/>
    <w:rsid w:val="000C790C"/>
    <w:rsid w:val="000D538F"/>
    <w:rsid w:val="000E4EDC"/>
    <w:rsid w:val="000F0018"/>
    <w:rsid w:val="000F061D"/>
    <w:rsid w:val="000F3455"/>
    <w:rsid w:val="000F4794"/>
    <w:rsid w:val="00103480"/>
    <w:rsid w:val="00103527"/>
    <w:rsid w:val="00112735"/>
    <w:rsid w:val="0011467F"/>
    <w:rsid w:val="00117FA9"/>
    <w:rsid w:val="0012323C"/>
    <w:rsid w:val="00124F12"/>
    <w:rsid w:val="001341D0"/>
    <w:rsid w:val="001351A3"/>
    <w:rsid w:val="00144E3A"/>
    <w:rsid w:val="0015060C"/>
    <w:rsid w:val="0016018A"/>
    <w:rsid w:val="00161F0E"/>
    <w:rsid w:val="00170498"/>
    <w:rsid w:val="00170E2A"/>
    <w:rsid w:val="00171CB8"/>
    <w:rsid w:val="00172C81"/>
    <w:rsid w:val="00173F0B"/>
    <w:rsid w:val="00177394"/>
    <w:rsid w:val="00182C18"/>
    <w:rsid w:val="00183CC2"/>
    <w:rsid w:val="00186F19"/>
    <w:rsid w:val="001900E4"/>
    <w:rsid w:val="001906AF"/>
    <w:rsid w:val="00190F88"/>
    <w:rsid w:val="00197E8A"/>
    <w:rsid w:val="001A4066"/>
    <w:rsid w:val="001A6AE4"/>
    <w:rsid w:val="001B01FD"/>
    <w:rsid w:val="001B1DD7"/>
    <w:rsid w:val="001B4A71"/>
    <w:rsid w:val="001B68A0"/>
    <w:rsid w:val="001C0534"/>
    <w:rsid w:val="001D5B54"/>
    <w:rsid w:val="001E09E3"/>
    <w:rsid w:val="001E1DBF"/>
    <w:rsid w:val="001E4639"/>
    <w:rsid w:val="001E4A7D"/>
    <w:rsid w:val="001F4285"/>
    <w:rsid w:val="001F43A8"/>
    <w:rsid w:val="001F5CD6"/>
    <w:rsid w:val="001F5E84"/>
    <w:rsid w:val="00200759"/>
    <w:rsid w:val="00203BC8"/>
    <w:rsid w:val="0021263D"/>
    <w:rsid w:val="00213F0C"/>
    <w:rsid w:val="00214094"/>
    <w:rsid w:val="0021592D"/>
    <w:rsid w:val="002218DD"/>
    <w:rsid w:val="00222D76"/>
    <w:rsid w:val="00223EB1"/>
    <w:rsid w:val="002245C0"/>
    <w:rsid w:val="00224CA0"/>
    <w:rsid w:val="00231344"/>
    <w:rsid w:val="00231E7E"/>
    <w:rsid w:val="0023436E"/>
    <w:rsid w:val="002347C0"/>
    <w:rsid w:val="00237B27"/>
    <w:rsid w:val="00241A6C"/>
    <w:rsid w:val="00242D2B"/>
    <w:rsid w:val="002507B3"/>
    <w:rsid w:val="00254247"/>
    <w:rsid w:val="002607D6"/>
    <w:rsid w:val="00262E2B"/>
    <w:rsid w:val="002703D7"/>
    <w:rsid w:val="00270429"/>
    <w:rsid w:val="002723E9"/>
    <w:rsid w:val="00273319"/>
    <w:rsid w:val="00277929"/>
    <w:rsid w:val="00283B82"/>
    <w:rsid w:val="002846E9"/>
    <w:rsid w:val="00284C34"/>
    <w:rsid w:val="00287EF4"/>
    <w:rsid w:val="0029066C"/>
    <w:rsid w:val="002951F3"/>
    <w:rsid w:val="002A15C5"/>
    <w:rsid w:val="002A1DE6"/>
    <w:rsid w:val="002A1EA0"/>
    <w:rsid w:val="002A32CD"/>
    <w:rsid w:val="002A4F15"/>
    <w:rsid w:val="002B50DB"/>
    <w:rsid w:val="002C0238"/>
    <w:rsid w:val="002C12AB"/>
    <w:rsid w:val="002C3A89"/>
    <w:rsid w:val="002C7CAC"/>
    <w:rsid w:val="002D3306"/>
    <w:rsid w:val="002D48AA"/>
    <w:rsid w:val="002D664B"/>
    <w:rsid w:val="002D7BAA"/>
    <w:rsid w:val="002D7F54"/>
    <w:rsid w:val="002E3A0A"/>
    <w:rsid w:val="002E3FF4"/>
    <w:rsid w:val="002E5BE7"/>
    <w:rsid w:val="002F78C8"/>
    <w:rsid w:val="00301CF3"/>
    <w:rsid w:val="00301ECC"/>
    <w:rsid w:val="00302811"/>
    <w:rsid w:val="003051FF"/>
    <w:rsid w:val="00306013"/>
    <w:rsid w:val="0032715C"/>
    <w:rsid w:val="00337CA5"/>
    <w:rsid w:val="00343395"/>
    <w:rsid w:val="00355DB5"/>
    <w:rsid w:val="003600AF"/>
    <w:rsid w:val="00360F83"/>
    <w:rsid w:val="00362478"/>
    <w:rsid w:val="0037568F"/>
    <w:rsid w:val="00375B25"/>
    <w:rsid w:val="00380780"/>
    <w:rsid w:val="0039185A"/>
    <w:rsid w:val="00391B35"/>
    <w:rsid w:val="00395C6B"/>
    <w:rsid w:val="00396542"/>
    <w:rsid w:val="0039685B"/>
    <w:rsid w:val="003A31A6"/>
    <w:rsid w:val="003A4AFF"/>
    <w:rsid w:val="003A5A8F"/>
    <w:rsid w:val="003A6077"/>
    <w:rsid w:val="003A60C3"/>
    <w:rsid w:val="003A7F0C"/>
    <w:rsid w:val="003A7F79"/>
    <w:rsid w:val="003B1EE5"/>
    <w:rsid w:val="003B4C17"/>
    <w:rsid w:val="003B5F1D"/>
    <w:rsid w:val="003B6404"/>
    <w:rsid w:val="003B77D8"/>
    <w:rsid w:val="003C3A1A"/>
    <w:rsid w:val="003C449B"/>
    <w:rsid w:val="003D21FF"/>
    <w:rsid w:val="003D59DF"/>
    <w:rsid w:val="003E1195"/>
    <w:rsid w:val="003E688B"/>
    <w:rsid w:val="003F004D"/>
    <w:rsid w:val="003F0112"/>
    <w:rsid w:val="003F071A"/>
    <w:rsid w:val="003F15C8"/>
    <w:rsid w:val="003F160B"/>
    <w:rsid w:val="003F4B91"/>
    <w:rsid w:val="003F6918"/>
    <w:rsid w:val="003F72E1"/>
    <w:rsid w:val="00400032"/>
    <w:rsid w:val="0040042F"/>
    <w:rsid w:val="0040080B"/>
    <w:rsid w:val="00400B5B"/>
    <w:rsid w:val="004022EC"/>
    <w:rsid w:val="00405A00"/>
    <w:rsid w:val="0041131D"/>
    <w:rsid w:val="0041293C"/>
    <w:rsid w:val="004201EB"/>
    <w:rsid w:val="00420870"/>
    <w:rsid w:val="004232F1"/>
    <w:rsid w:val="0042496F"/>
    <w:rsid w:val="0043237B"/>
    <w:rsid w:val="00432DE4"/>
    <w:rsid w:val="004336F3"/>
    <w:rsid w:val="00434EB3"/>
    <w:rsid w:val="0043791B"/>
    <w:rsid w:val="00441483"/>
    <w:rsid w:val="00441BCB"/>
    <w:rsid w:val="00447DA8"/>
    <w:rsid w:val="0045176A"/>
    <w:rsid w:val="00451813"/>
    <w:rsid w:val="0045212B"/>
    <w:rsid w:val="00453A0B"/>
    <w:rsid w:val="00456332"/>
    <w:rsid w:val="00461826"/>
    <w:rsid w:val="00461963"/>
    <w:rsid w:val="004667AB"/>
    <w:rsid w:val="00476869"/>
    <w:rsid w:val="004800F9"/>
    <w:rsid w:val="00481A81"/>
    <w:rsid w:val="0049134A"/>
    <w:rsid w:val="004A58CB"/>
    <w:rsid w:val="004B1795"/>
    <w:rsid w:val="004B33AA"/>
    <w:rsid w:val="004B56DD"/>
    <w:rsid w:val="004B5FE6"/>
    <w:rsid w:val="004C020F"/>
    <w:rsid w:val="004C1AFD"/>
    <w:rsid w:val="004C4F97"/>
    <w:rsid w:val="004C558B"/>
    <w:rsid w:val="004D2CDD"/>
    <w:rsid w:val="004E6885"/>
    <w:rsid w:val="004F1A74"/>
    <w:rsid w:val="004F1F88"/>
    <w:rsid w:val="004F3F7C"/>
    <w:rsid w:val="004F5F1B"/>
    <w:rsid w:val="004F756A"/>
    <w:rsid w:val="00502374"/>
    <w:rsid w:val="005060A1"/>
    <w:rsid w:val="00507528"/>
    <w:rsid w:val="00516072"/>
    <w:rsid w:val="0053110A"/>
    <w:rsid w:val="005332EC"/>
    <w:rsid w:val="00534418"/>
    <w:rsid w:val="005353AB"/>
    <w:rsid w:val="005529EF"/>
    <w:rsid w:val="0055582C"/>
    <w:rsid w:val="005560BC"/>
    <w:rsid w:val="005573BE"/>
    <w:rsid w:val="00561357"/>
    <w:rsid w:val="00566552"/>
    <w:rsid w:val="00566DFD"/>
    <w:rsid w:val="00567037"/>
    <w:rsid w:val="00571126"/>
    <w:rsid w:val="00572700"/>
    <w:rsid w:val="00576604"/>
    <w:rsid w:val="00580468"/>
    <w:rsid w:val="0058603B"/>
    <w:rsid w:val="00591F51"/>
    <w:rsid w:val="0059431B"/>
    <w:rsid w:val="00594B47"/>
    <w:rsid w:val="005A1CD9"/>
    <w:rsid w:val="005A2F78"/>
    <w:rsid w:val="005A3927"/>
    <w:rsid w:val="005A39CC"/>
    <w:rsid w:val="005B4730"/>
    <w:rsid w:val="005B625C"/>
    <w:rsid w:val="005D30FE"/>
    <w:rsid w:val="005E05D7"/>
    <w:rsid w:val="005E41E7"/>
    <w:rsid w:val="005E450F"/>
    <w:rsid w:val="005F12AE"/>
    <w:rsid w:val="005F5D1C"/>
    <w:rsid w:val="005F6DC9"/>
    <w:rsid w:val="00604FE4"/>
    <w:rsid w:val="0062298A"/>
    <w:rsid w:val="00626514"/>
    <w:rsid w:val="00626589"/>
    <w:rsid w:val="006274DE"/>
    <w:rsid w:val="00632A24"/>
    <w:rsid w:val="006339A0"/>
    <w:rsid w:val="00640099"/>
    <w:rsid w:val="006413A8"/>
    <w:rsid w:val="00642E56"/>
    <w:rsid w:val="00651E00"/>
    <w:rsid w:val="00655364"/>
    <w:rsid w:val="006618E8"/>
    <w:rsid w:val="00664A46"/>
    <w:rsid w:val="00673AB7"/>
    <w:rsid w:val="00674572"/>
    <w:rsid w:val="00676A4D"/>
    <w:rsid w:val="00676DA6"/>
    <w:rsid w:val="006862EF"/>
    <w:rsid w:val="00687763"/>
    <w:rsid w:val="00690C2E"/>
    <w:rsid w:val="00692B0D"/>
    <w:rsid w:val="00693E0E"/>
    <w:rsid w:val="006A1AE3"/>
    <w:rsid w:val="006A21B7"/>
    <w:rsid w:val="006A240D"/>
    <w:rsid w:val="006A523D"/>
    <w:rsid w:val="006A6229"/>
    <w:rsid w:val="006B00C9"/>
    <w:rsid w:val="006B3753"/>
    <w:rsid w:val="006C1337"/>
    <w:rsid w:val="006C1EDA"/>
    <w:rsid w:val="006C30E1"/>
    <w:rsid w:val="006C4607"/>
    <w:rsid w:val="006D1ABE"/>
    <w:rsid w:val="006D315C"/>
    <w:rsid w:val="006D3383"/>
    <w:rsid w:val="006D48F1"/>
    <w:rsid w:val="006D72C5"/>
    <w:rsid w:val="006E2B65"/>
    <w:rsid w:val="006E5A55"/>
    <w:rsid w:val="006E6F31"/>
    <w:rsid w:val="006F3FE9"/>
    <w:rsid w:val="006F45BE"/>
    <w:rsid w:val="007004FC"/>
    <w:rsid w:val="00706670"/>
    <w:rsid w:val="00711644"/>
    <w:rsid w:val="0071175C"/>
    <w:rsid w:val="00721B5C"/>
    <w:rsid w:val="0072417C"/>
    <w:rsid w:val="007267F0"/>
    <w:rsid w:val="00733DA2"/>
    <w:rsid w:val="0073442B"/>
    <w:rsid w:val="00734450"/>
    <w:rsid w:val="007375E8"/>
    <w:rsid w:val="00745F67"/>
    <w:rsid w:val="00746AD6"/>
    <w:rsid w:val="0075039E"/>
    <w:rsid w:val="00752D9D"/>
    <w:rsid w:val="00754784"/>
    <w:rsid w:val="00757C6E"/>
    <w:rsid w:val="00762BDA"/>
    <w:rsid w:val="00774F4F"/>
    <w:rsid w:val="00775278"/>
    <w:rsid w:val="007755F3"/>
    <w:rsid w:val="0077747F"/>
    <w:rsid w:val="007805FD"/>
    <w:rsid w:val="00783F26"/>
    <w:rsid w:val="00784422"/>
    <w:rsid w:val="00784A70"/>
    <w:rsid w:val="007A3707"/>
    <w:rsid w:val="007A3D3C"/>
    <w:rsid w:val="007A4B3B"/>
    <w:rsid w:val="007B3B54"/>
    <w:rsid w:val="007B3FA0"/>
    <w:rsid w:val="007C0F2C"/>
    <w:rsid w:val="007C2BCC"/>
    <w:rsid w:val="007C4EF0"/>
    <w:rsid w:val="007C5DE1"/>
    <w:rsid w:val="007D099D"/>
    <w:rsid w:val="007D0C29"/>
    <w:rsid w:val="007D3721"/>
    <w:rsid w:val="007D4A16"/>
    <w:rsid w:val="007D5996"/>
    <w:rsid w:val="007E0C6B"/>
    <w:rsid w:val="007E2664"/>
    <w:rsid w:val="007E3ABF"/>
    <w:rsid w:val="007E3E06"/>
    <w:rsid w:val="007E5BFA"/>
    <w:rsid w:val="007E6689"/>
    <w:rsid w:val="007E731C"/>
    <w:rsid w:val="007F0A03"/>
    <w:rsid w:val="007F212D"/>
    <w:rsid w:val="007F731A"/>
    <w:rsid w:val="00810040"/>
    <w:rsid w:val="00810696"/>
    <w:rsid w:val="0082023A"/>
    <w:rsid w:val="008211A0"/>
    <w:rsid w:val="00821A7A"/>
    <w:rsid w:val="008253F8"/>
    <w:rsid w:val="008325E4"/>
    <w:rsid w:val="00832A2B"/>
    <w:rsid w:val="00842C5E"/>
    <w:rsid w:val="00843758"/>
    <w:rsid w:val="00845811"/>
    <w:rsid w:val="00846994"/>
    <w:rsid w:val="00847653"/>
    <w:rsid w:val="00850451"/>
    <w:rsid w:val="008509EF"/>
    <w:rsid w:val="00850F77"/>
    <w:rsid w:val="00852042"/>
    <w:rsid w:val="008534C9"/>
    <w:rsid w:val="008539E1"/>
    <w:rsid w:val="0085599D"/>
    <w:rsid w:val="00856AF3"/>
    <w:rsid w:val="00856C56"/>
    <w:rsid w:val="00865B04"/>
    <w:rsid w:val="00866CB1"/>
    <w:rsid w:val="008673C7"/>
    <w:rsid w:val="00871D2C"/>
    <w:rsid w:val="00871F96"/>
    <w:rsid w:val="0087510C"/>
    <w:rsid w:val="00893256"/>
    <w:rsid w:val="00894398"/>
    <w:rsid w:val="00894544"/>
    <w:rsid w:val="00894DA5"/>
    <w:rsid w:val="00896ACF"/>
    <w:rsid w:val="0089738E"/>
    <w:rsid w:val="008B2545"/>
    <w:rsid w:val="008B5FDB"/>
    <w:rsid w:val="008B690F"/>
    <w:rsid w:val="008C50F4"/>
    <w:rsid w:val="008C5649"/>
    <w:rsid w:val="008D68CD"/>
    <w:rsid w:val="008E2AA7"/>
    <w:rsid w:val="008E44A2"/>
    <w:rsid w:val="008E697D"/>
    <w:rsid w:val="00901AA4"/>
    <w:rsid w:val="00903263"/>
    <w:rsid w:val="009046F2"/>
    <w:rsid w:val="00906A21"/>
    <w:rsid w:val="009079C3"/>
    <w:rsid w:val="00910462"/>
    <w:rsid w:val="00915045"/>
    <w:rsid w:val="00915AB1"/>
    <w:rsid w:val="00917532"/>
    <w:rsid w:val="009235BA"/>
    <w:rsid w:val="00924023"/>
    <w:rsid w:val="00924841"/>
    <w:rsid w:val="00924CE2"/>
    <w:rsid w:val="00925B9F"/>
    <w:rsid w:val="00931AED"/>
    <w:rsid w:val="009327A1"/>
    <w:rsid w:val="009329FF"/>
    <w:rsid w:val="009476A3"/>
    <w:rsid w:val="00947E3F"/>
    <w:rsid w:val="00950394"/>
    <w:rsid w:val="009506BA"/>
    <w:rsid w:val="00951F82"/>
    <w:rsid w:val="0095334F"/>
    <w:rsid w:val="009533ED"/>
    <w:rsid w:val="00955C78"/>
    <w:rsid w:val="009560A3"/>
    <w:rsid w:val="00960921"/>
    <w:rsid w:val="00962268"/>
    <w:rsid w:val="00963EB0"/>
    <w:rsid w:val="0096407C"/>
    <w:rsid w:val="009644BC"/>
    <w:rsid w:val="00965897"/>
    <w:rsid w:val="0096765C"/>
    <w:rsid w:val="00970B72"/>
    <w:rsid w:val="009727E4"/>
    <w:rsid w:val="0098379F"/>
    <w:rsid w:val="00984545"/>
    <w:rsid w:val="009850C4"/>
    <w:rsid w:val="00985703"/>
    <w:rsid w:val="009934C5"/>
    <w:rsid w:val="00993904"/>
    <w:rsid w:val="00994AC8"/>
    <w:rsid w:val="00994C0F"/>
    <w:rsid w:val="009B22D7"/>
    <w:rsid w:val="009B4D66"/>
    <w:rsid w:val="009B72ED"/>
    <w:rsid w:val="009C307A"/>
    <w:rsid w:val="009C550B"/>
    <w:rsid w:val="009C6DEB"/>
    <w:rsid w:val="009D6504"/>
    <w:rsid w:val="009D7EB7"/>
    <w:rsid w:val="009E12D7"/>
    <w:rsid w:val="009E661A"/>
    <w:rsid w:val="009F77F2"/>
    <w:rsid w:val="00A06781"/>
    <w:rsid w:val="00A074C3"/>
    <w:rsid w:val="00A1161C"/>
    <w:rsid w:val="00A1509C"/>
    <w:rsid w:val="00A3274B"/>
    <w:rsid w:val="00A33891"/>
    <w:rsid w:val="00A34260"/>
    <w:rsid w:val="00A35E61"/>
    <w:rsid w:val="00A37F4F"/>
    <w:rsid w:val="00A41FB3"/>
    <w:rsid w:val="00A54115"/>
    <w:rsid w:val="00A566F7"/>
    <w:rsid w:val="00A70CFD"/>
    <w:rsid w:val="00A720D3"/>
    <w:rsid w:val="00A72278"/>
    <w:rsid w:val="00A72A0B"/>
    <w:rsid w:val="00A75E1F"/>
    <w:rsid w:val="00A81E42"/>
    <w:rsid w:val="00A8305D"/>
    <w:rsid w:val="00A864FE"/>
    <w:rsid w:val="00A869A5"/>
    <w:rsid w:val="00A86F41"/>
    <w:rsid w:val="00A87D04"/>
    <w:rsid w:val="00A908A1"/>
    <w:rsid w:val="00A92F84"/>
    <w:rsid w:val="00A950C5"/>
    <w:rsid w:val="00AA1D25"/>
    <w:rsid w:val="00AB2937"/>
    <w:rsid w:val="00AB2B1A"/>
    <w:rsid w:val="00AB397F"/>
    <w:rsid w:val="00AB5832"/>
    <w:rsid w:val="00AC51F2"/>
    <w:rsid w:val="00AE5066"/>
    <w:rsid w:val="00AE5E24"/>
    <w:rsid w:val="00AE61B7"/>
    <w:rsid w:val="00AE6CBA"/>
    <w:rsid w:val="00AE79AD"/>
    <w:rsid w:val="00AF23F1"/>
    <w:rsid w:val="00AF35E4"/>
    <w:rsid w:val="00AF5348"/>
    <w:rsid w:val="00AF5CDE"/>
    <w:rsid w:val="00AF608B"/>
    <w:rsid w:val="00B11A57"/>
    <w:rsid w:val="00B1286B"/>
    <w:rsid w:val="00B211C3"/>
    <w:rsid w:val="00B25597"/>
    <w:rsid w:val="00B267B9"/>
    <w:rsid w:val="00B27CD6"/>
    <w:rsid w:val="00B320C6"/>
    <w:rsid w:val="00B3276F"/>
    <w:rsid w:val="00B33E09"/>
    <w:rsid w:val="00B42F75"/>
    <w:rsid w:val="00B4359D"/>
    <w:rsid w:val="00B50708"/>
    <w:rsid w:val="00B50C68"/>
    <w:rsid w:val="00B51293"/>
    <w:rsid w:val="00B52B1E"/>
    <w:rsid w:val="00B55481"/>
    <w:rsid w:val="00B566EB"/>
    <w:rsid w:val="00B56C32"/>
    <w:rsid w:val="00B57ACF"/>
    <w:rsid w:val="00B6304A"/>
    <w:rsid w:val="00B6305B"/>
    <w:rsid w:val="00B63AB7"/>
    <w:rsid w:val="00B64BB1"/>
    <w:rsid w:val="00B66305"/>
    <w:rsid w:val="00B67D81"/>
    <w:rsid w:val="00B72755"/>
    <w:rsid w:val="00B73166"/>
    <w:rsid w:val="00B737D0"/>
    <w:rsid w:val="00B80DB9"/>
    <w:rsid w:val="00B8104E"/>
    <w:rsid w:val="00B81FBC"/>
    <w:rsid w:val="00B8426C"/>
    <w:rsid w:val="00B91B8D"/>
    <w:rsid w:val="00B94E90"/>
    <w:rsid w:val="00BA1141"/>
    <w:rsid w:val="00BA2D96"/>
    <w:rsid w:val="00BA2E63"/>
    <w:rsid w:val="00BA42B8"/>
    <w:rsid w:val="00BA5722"/>
    <w:rsid w:val="00BB0A82"/>
    <w:rsid w:val="00BB0E46"/>
    <w:rsid w:val="00BB6FE9"/>
    <w:rsid w:val="00BB7C94"/>
    <w:rsid w:val="00BC0A9D"/>
    <w:rsid w:val="00BC2FEB"/>
    <w:rsid w:val="00BC65B7"/>
    <w:rsid w:val="00BE7E05"/>
    <w:rsid w:val="00BF40ED"/>
    <w:rsid w:val="00BF5BC2"/>
    <w:rsid w:val="00C10671"/>
    <w:rsid w:val="00C1133D"/>
    <w:rsid w:val="00C12A47"/>
    <w:rsid w:val="00C142BE"/>
    <w:rsid w:val="00C15FB4"/>
    <w:rsid w:val="00C21E8A"/>
    <w:rsid w:val="00C22AA6"/>
    <w:rsid w:val="00C24FE9"/>
    <w:rsid w:val="00C27A08"/>
    <w:rsid w:val="00C3017B"/>
    <w:rsid w:val="00C31312"/>
    <w:rsid w:val="00C326C6"/>
    <w:rsid w:val="00C35295"/>
    <w:rsid w:val="00C36ADD"/>
    <w:rsid w:val="00C36E74"/>
    <w:rsid w:val="00C37A61"/>
    <w:rsid w:val="00C40595"/>
    <w:rsid w:val="00C41621"/>
    <w:rsid w:val="00C449FA"/>
    <w:rsid w:val="00C5384F"/>
    <w:rsid w:val="00C55233"/>
    <w:rsid w:val="00C56964"/>
    <w:rsid w:val="00C6360A"/>
    <w:rsid w:val="00C637D0"/>
    <w:rsid w:val="00C656D5"/>
    <w:rsid w:val="00C67103"/>
    <w:rsid w:val="00C71BB9"/>
    <w:rsid w:val="00C80EEE"/>
    <w:rsid w:val="00C864F6"/>
    <w:rsid w:val="00C9297C"/>
    <w:rsid w:val="00C94C28"/>
    <w:rsid w:val="00CA025B"/>
    <w:rsid w:val="00CA6FBF"/>
    <w:rsid w:val="00CB0247"/>
    <w:rsid w:val="00CB1BE6"/>
    <w:rsid w:val="00CB3440"/>
    <w:rsid w:val="00CC1692"/>
    <w:rsid w:val="00CD138B"/>
    <w:rsid w:val="00CD18E4"/>
    <w:rsid w:val="00CD3E31"/>
    <w:rsid w:val="00CD408F"/>
    <w:rsid w:val="00CD74A3"/>
    <w:rsid w:val="00CE0527"/>
    <w:rsid w:val="00CE5B23"/>
    <w:rsid w:val="00CF40EC"/>
    <w:rsid w:val="00CF70AD"/>
    <w:rsid w:val="00CF7729"/>
    <w:rsid w:val="00D00059"/>
    <w:rsid w:val="00D05C24"/>
    <w:rsid w:val="00D107FA"/>
    <w:rsid w:val="00D12275"/>
    <w:rsid w:val="00D12766"/>
    <w:rsid w:val="00D177C0"/>
    <w:rsid w:val="00D20FF4"/>
    <w:rsid w:val="00D24D2C"/>
    <w:rsid w:val="00D259A0"/>
    <w:rsid w:val="00D25DBC"/>
    <w:rsid w:val="00D2758C"/>
    <w:rsid w:val="00D35881"/>
    <w:rsid w:val="00D406B3"/>
    <w:rsid w:val="00D549B2"/>
    <w:rsid w:val="00D570D8"/>
    <w:rsid w:val="00D62137"/>
    <w:rsid w:val="00D73DDD"/>
    <w:rsid w:val="00D8614D"/>
    <w:rsid w:val="00D92D3C"/>
    <w:rsid w:val="00DA7DA5"/>
    <w:rsid w:val="00DB073B"/>
    <w:rsid w:val="00DB78F0"/>
    <w:rsid w:val="00DC2E43"/>
    <w:rsid w:val="00DD095C"/>
    <w:rsid w:val="00DD1020"/>
    <w:rsid w:val="00DD1330"/>
    <w:rsid w:val="00DD2860"/>
    <w:rsid w:val="00DD5200"/>
    <w:rsid w:val="00DE0B83"/>
    <w:rsid w:val="00DE1A81"/>
    <w:rsid w:val="00DE1B21"/>
    <w:rsid w:val="00DE1C13"/>
    <w:rsid w:val="00DE32B2"/>
    <w:rsid w:val="00DE4E10"/>
    <w:rsid w:val="00DF6337"/>
    <w:rsid w:val="00E01089"/>
    <w:rsid w:val="00E02ABF"/>
    <w:rsid w:val="00E14995"/>
    <w:rsid w:val="00E16C7A"/>
    <w:rsid w:val="00E179CD"/>
    <w:rsid w:val="00E20978"/>
    <w:rsid w:val="00E23E8D"/>
    <w:rsid w:val="00E24FA3"/>
    <w:rsid w:val="00E31B6E"/>
    <w:rsid w:val="00E31BAB"/>
    <w:rsid w:val="00E37F98"/>
    <w:rsid w:val="00E421DF"/>
    <w:rsid w:val="00E46559"/>
    <w:rsid w:val="00E50939"/>
    <w:rsid w:val="00E53B56"/>
    <w:rsid w:val="00E56DC6"/>
    <w:rsid w:val="00E641A8"/>
    <w:rsid w:val="00E6670C"/>
    <w:rsid w:val="00E70640"/>
    <w:rsid w:val="00E718C8"/>
    <w:rsid w:val="00E72FF5"/>
    <w:rsid w:val="00E776E8"/>
    <w:rsid w:val="00E92C1F"/>
    <w:rsid w:val="00E95D4B"/>
    <w:rsid w:val="00EA6E11"/>
    <w:rsid w:val="00EB199F"/>
    <w:rsid w:val="00EB64DE"/>
    <w:rsid w:val="00EC23F7"/>
    <w:rsid w:val="00EC3271"/>
    <w:rsid w:val="00EC4BD8"/>
    <w:rsid w:val="00EC63EB"/>
    <w:rsid w:val="00ED3BB1"/>
    <w:rsid w:val="00ED412F"/>
    <w:rsid w:val="00EE56B0"/>
    <w:rsid w:val="00EE633A"/>
    <w:rsid w:val="00EF1FB4"/>
    <w:rsid w:val="00EF36B2"/>
    <w:rsid w:val="00EF6E0E"/>
    <w:rsid w:val="00F201EC"/>
    <w:rsid w:val="00F208A9"/>
    <w:rsid w:val="00F278A5"/>
    <w:rsid w:val="00F34024"/>
    <w:rsid w:val="00F411EF"/>
    <w:rsid w:val="00F41D75"/>
    <w:rsid w:val="00F5121F"/>
    <w:rsid w:val="00F5139D"/>
    <w:rsid w:val="00F5465B"/>
    <w:rsid w:val="00F63DAC"/>
    <w:rsid w:val="00F7262E"/>
    <w:rsid w:val="00F729EC"/>
    <w:rsid w:val="00F7454F"/>
    <w:rsid w:val="00F766A7"/>
    <w:rsid w:val="00F77988"/>
    <w:rsid w:val="00F77F48"/>
    <w:rsid w:val="00F80188"/>
    <w:rsid w:val="00F83966"/>
    <w:rsid w:val="00F87BEC"/>
    <w:rsid w:val="00F92B43"/>
    <w:rsid w:val="00F93646"/>
    <w:rsid w:val="00FA09F3"/>
    <w:rsid w:val="00FB30F1"/>
    <w:rsid w:val="00FB53E7"/>
    <w:rsid w:val="00FD2411"/>
    <w:rsid w:val="00FE495B"/>
    <w:rsid w:val="00FE7E16"/>
    <w:rsid w:val="00FF0C70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,"/>
  <w:listSeparator w:val=";"/>
  <w14:docId w14:val="351A2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F3FE9"/>
    <w:rPr>
      <w:sz w:val="24"/>
      <w:szCs w:val="24"/>
      <w:lang w:val="lv-LV" w:eastAsia="lv-LV" w:bidi="ar-SA"/>
    </w:rPr>
  </w:style>
  <w:style w:type="paragraph" w:styleId="Signature">
    <w:name w:val="Signature"/>
    <w:basedOn w:val="Normal"/>
    <w:next w:val="EnvelopeReturn"/>
    <w:link w:val="SignatureChar"/>
    <w:rsid w:val="00395C6B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 w:eastAsia="en-US"/>
    </w:rPr>
  </w:style>
  <w:style w:type="character" w:customStyle="1" w:styleId="SignatureChar">
    <w:name w:val="Signature Char"/>
    <w:basedOn w:val="DefaultParagraphFont"/>
    <w:link w:val="Signature"/>
    <w:rsid w:val="00395C6B"/>
    <w:rPr>
      <w:sz w:val="26"/>
      <w:lang w:val="en-AU" w:eastAsia="en-US" w:bidi="ar-SA"/>
    </w:rPr>
  </w:style>
  <w:style w:type="paragraph" w:styleId="EnvelopeReturn">
    <w:name w:val="envelope return"/>
    <w:basedOn w:val="Normal"/>
    <w:rsid w:val="00395C6B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spelle">
    <w:name w:val="spelle"/>
    <w:basedOn w:val="DefaultParagraphFont"/>
    <w:rsid w:val="00604FE4"/>
  </w:style>
  <w:style w:type="paragraph" w:customStyle="1" w:styleId="Default">
    <w:name w:val="Default"/>
    <w:rsid w:val="009329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664A4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6076B-3018-4DC8-A54B-26DA4308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814</Words>
  <Characters>6843</Characters>
  <Application>Microsoft Office Word</Application>
  <DocSecurity>0</DocSecurity>
  <Lines>190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</vt:lpstr>
    </vt:vector>
  </TitlesOfParts>
  <Manager>Solvita Gulbe</Manager>
  <Company>Valsts kanceleja, ES struktūrfondu departaments</Company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</dc:title>
  <dc:subject>MK noteikumu anotācija</dc:subject>
  <dc:creator>Zane Fridrihsberga</dc:creator>
  <cp:keywords/>
  <dc:description>67082913_x000d_
zane.fridrihsberga@mk.gov.lv</dc:description>
  <cp:lastModifiedBy>Inese Šņickovska</cp:lastModifiedBy>
  <cp:revision>49</cp:revision>
  <cp:lastPrinted>2012-12-14T09:29:00Z</cp:lastPrinted>
  <dcterms:created xsi:type="dcterms:W3CDTF">2012-12-10T08:05:00Z</dcterms:created>
  <dcterms:modified xsi:type="dcterms:W3CDTF">2012-12-14T09:29:00Z</dcterms:modified>
</cp:coreProperties>
</file>