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A3" w:rsidRPr="004C0A81" w:rsidRDefault="00C167A3" w:rsidP="004C0A81">
      <w:pPr>
        <w:tabs>
          <w:tab w:val="left" w:pos="3969"/>
          <w:tab w:val="left" w:pos="6521"/>
          <w:tab w:val="left" w:pos="7655"/>
        </w:tabs>
        <w:jc w:val="right"/>
        <w:rPr>
          <w:rFonts w:ascii="Times New Roman" w:hAnsi="Times New Roman"/>
          <w:i/>
          <w:sz w:val="28"/>
          <w:szCs w:val="28"/>
        </w:rPr>
      </w:pPr>
      <w:r w:rsidRPr="004E4032">
        <w:rPr>
          <w:rFonts w:ascii="Times New Roman" w:hAnsi="Times New Roman"/>
          <w:i/>
          <w:sz w:val="28"/>
          <w:szCs w:val="28"/>
        </w:rPr>
        <w:t>Projekts</w:t>
      </w:r>
    </w:p>
    <w:p w:rsidR="00C167A3" w:rsidRPr="004E4032" w:rsidRDefault="00C167A3" w:rsidP="00C167A3">
      <w:pPr>
        <w:tabs>
          <w:tab w:val="left" w:pos="3969"/>
          <w:tab w:val="left" w:pos="6521"/>
          <w:tab w:val="left" w:pos="7655"/>
        </w:tabs>
        <w:jc w:val="right"/>
        <w:rPr>
          <w:rFonts w:ascii="Times New Roman" w:hAnsi="Times New Roman"/>
          <w:sz w:val="28"/>
          <w:szCs w:val="28"/>
        </w:rPr>
      </w:pPr>
      <w:r>
        <w:rPr>
          <w:rFonts w:ascii="Times New Roman" w:hAnsi="Times New Roman"/>
          <w:sz w:val="28"/>
          <w:szCs w:val="28"/>
        </w:rPr>
        <w:t>Salaspils novada domei</w:t>
      </w:r>
    </w:p>
    <w:p w:rsidR="00C167A3" w:rsidRDefault="00C167A3" w:rsidP="00C167A3">
      <w:pPr>
        <w:pStyle w:val="Heading1"/>
        <w:tabs>
          <w:tab w:val="left" w:pos="6521"/>
        </w:tabs>
        <w:rPr>
          <w:rFonts w:ascii="Times New Roman" w:hAnsi="Times New Roman"/>
          <w:sz w:val="28"/>
          <w:szCs w:val="28"/>
        </w:rPr>
      </w:pPr>
      <w:r>
        <w:rPr>
          <w:rFonts w:ascii="Times New Roman" w:hAnsi="Times New Roman"/>
          <w:sz w:val="28"/>
          <w:szCs w:val="28"/>
        </w:rPr>
        <w:tab/>
      </w:r>
    </w:p>
    <w:p w:rsidR="00C167A3" w:rsidRPr="00C83183" w:rsidRDefault="00C167A3" w:rsidP="00C167A3">
      <w:pPr>
        <w:pStyle w:val="Heading1"/>
        <w:tabs>
          <w:tab w:val="left" w:pos="6521"/>
        </w:tabs>
        <w:rPr>
          <w:rFonts w:ascii="Times New Roman" w:hAnsi="Times New Roman"/>
          <w:sz w:val="28"/>
          <w:szCs w:val="28"/>
        </w:rPr>
      </w:pPr>
      <w:r w:rsidRPr="00C83183">
        <w:rPr>
          <w:rFonts w:ascii="Times New Roman" w:hAnsi="Times New Roman"/>
          <w:sz w:val="28"/>
          <w:szCs w:val="28"/>
        </w:rPr>
        <w:tab/>
      </w:r>
      <w:r w:rsidRPr="00C83183">
        <w:rPr>
          <w:rFonts w:ascii="Times New Roman" w:hAnsi="Times New Roman"/>
          <w:noProof/>
          <w:sz w:val="28"/>
          <w:szCs w:val="28"/>
          <w:lang w:eastAsia="lv-LV"/>
        </w:rPr>
        <mc:AlternateContent>
          <mc:Choice Requires="wps">
            <w:drawing>
              <wp:anchor distT="0" distB="0" distL="114300" distR="114300" simplePos="0" relativeHeight="251659264" behindDoc="0" locked="0" layoutInCell="0" allowOverlap="1" wp14:anchorId="3340A1A7" wp14:editId="51865BB5">
                <wp:simplePos x="0" y="0"/>
                <wp:positionH relativeFrom="column">
                  <wp:posOffset>17145</wp:posOffset>
                </wp:positionH>
                <wp:positionV relativeFrom="paragraph">
                  <wp:posOffset>223520</wp:posOffset>
                </wp:positionV>
                <wp:extent cx="182880" cy="0"/>
                <wp:effectExtent l="11430"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6pt" to="15.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" o:allowincell="f"/>
            </w:pict>
          </mc:Fallback>
        </mc:AlternateContent>
      </w:r>
    </w:p>
    <w:p w:rsidR="00C167A3" w:rsidRDefault="00C167A3" w:rsidP="00C167A3">
      <w:pPr>
        <w:ind w:right="4110"/>
        <w:jc w:val="both"/>
        <w:rPr>
          <w:rFonts w:ascii="Times New Roman" w:hAnsi="Times New Roman"/>
          <w:sz w:val="28"/>
          <w:szCs w:val="28"/>
        </w:rPr>
      </w:pPr>
      <w:r w:rsidRPr="00C83183">
        <w:rPr>
          <w:rFonts w:ascii="Times New Roman" w:hAnsi="Times New Roman"/>
          <w:sz w:val="28"/>
          <w:szCs w:val="28"/>
        </w:rPr>
        <w:t>|</w:t>
      </w:r>
      <w:r>
        <w:rPr>
          <w:rFonts w:ascii="Times New Roman" w:hAnsi="Times New Roman"/>
          <w:sz w:val="28"/>
          <w:szCs w:val="28"/>
        </w:rPr>
        <w:t>Par Ministru kabineta viedokli</w:t>
      </w:r>
    </w:p>
    <w:p w:rsidR="00C167A3" w:rsidRDefault="00C167A3" w:rsidP="00C167A3">
      <w:pPr>
        <w:ind w:right="4110"/>
        <w:jc w:val="both"/>
        <w:rPr>
          <w:rFonts w:ascii="Times New Roman" w:hAnsi="Times New Roman"/>
          <w:sz w:val="28"/>
          <w:szCs w:val="28"/>
        </w:rPr>
      </w:pPr>
    </w:p>
    <w:p w:rsidR="00C167A3" w:rsidRDefault="00C167A3" w:rsidP="00C167A3">
      <w:pPr>
        <w:ind w:right="4110"/>
        <w:jc w:val="both"/>
        <w:rPr>
          <w:rFonts w:ascii="Times New Roman" w:hAnsi="Times New Roman"/>
          <w:sz w:val="28"/>
          <w:szCs w:val="28"/>
        </w:rPr>
      </w:pPr>
    </w:p>
    <w:p w:rsidR="00C167A3" w:rsidRDefault="00C167A3" w:rsidP="00C167A3">
      <w:pPr>
        <w:jc w:val="both"/>
        <w:rPr>
          <w:rFonts w:ascii="Times New Roman" w:hAnsi="Times New Roman"/>
          <w:sz w:val="28"/>
          <w:szCs w:val="28"/>
        </w:rPr>
      </w:pPr>
      <w:r>
        <w:rPr>
          <w:rFonts w:ascii="Times New Roman" w:hAnsi="Times New Roman"/>
          <w:sz w:val="28"/>
          <w:szCs w:val="28"/>
        </w:rPr>
        <w:tab/>
        <w:t>Ministru kabinetā ir izskatīta Salaspils novada domes 2013.gada 8.augusta vēstule Nr.1-15/13/1853 (turpmāk – vēstule) par ziņu par deklarēto dzīvesvietu</w:t>
      </w:r>
      <w:r w:rsidR="00C15335">
        <w:rPr>
          <w:rFonts w:ascii="Times New Roman" w:hAnsi="Times New Roman"/>
          <w:sz w:val="28"/>
          <w:szCs w:val="28"/>
        </w:rPr>
        <w:t xml:space="preserve"> anulēšanas tiesisko pamatu</w:t>
      </w:r>
      <w:r>
        <w:rPr>
          <w:rFonts w:ascii="Times New Roman" w:hAnsi="Times New Roman"/>
          <w:sz w:val="28"/>
          <w:szCs w:val="28"/>
        </w:rPr>
        <w:t>, kurā Salaspils novada dome vēstulē Ministru kabinetam ir uzdevusi šādus jautājumus.</w:t>
      </w:r>
    </w:p>
    <w:p w:rsidR="00C167A3" w:rsidRPr="00C167A3" w:rsidRDefault="00C167A3" w:rsidP="00C167A3">
      <w:pPr>
        <w:ind w:firstLine="720"/>
        <w:jc w:val="both"/>
        <w:rPr>
          <w:rFonts w:ascii="Times New Roman" w:hAnsi="Times New Roman"/>
          <w:sz w:val="28"/>
          <w:szCs w:val="28"/>
        </w:rPr>
      </w:pPr>
      <w:r>
        <w:rPr>
          <w:rFonts w:ascii="Times New Roman" w:hAnsi="Times New Roman"/>
          <w:sz w:val="28"/>
          <w:szCs w:val="28"/>
        </w:rPr>
        <w:t xml:space="preserve">1. </w:t>
      </w:r>
      <w:r w:rsidRPr="00C167A3">
        <w:rPr>
          <w:rFonts w:ascii="Times New Roman" w:hAnsi="Times New Roman"/>
          <w:sz w:val="28"/>
          <w:szCs w:val="28"/>
        </w:rPr>
        <w:t>Kādu likumisko vai līgumisko tiesisko pamatu Ministru kabinets bija domājis, iekļaujot Ministru kabineta 2009.gada 20.oktobru noteikumu Nr.1194 „</w:t>
      </w:r>
      <w:r w:rsidRPr="00C167A3">
        <w:rPr>
          <w:sz w:val="28"/>
          <w:szCs w:val="28"/>
        </w:rPr>
        <w:t>Noteikumi par dzīvesvietas deklarācijas veidlapu, deklarācijā sniegto ziņu pārbaudes kārtību un dzīvesvietas elektroniskās deklarēšanas kārtību” veidlapās „Dzīvesvietas deklarācija” un „Dzīvesvietas deklarācijas iesniegums” tiesisko pamatojumu „vienošanās ar īpašnieku”?</w:t>
      </w:r>
    </w:p>
    <w:p w:rsidR="00C167A3" w:rsidRDefault="00C167A3" w:rsidP="00C167A3">
      <w:pPr>
        <w:ind w:firstLine="720"/>
        <w:jc w:val="both"/>
        <w:rPr>
          <w:sz w:val="28"/>
          <w:szCs w:val="28"/>
        </w:rPr>
      </w:pPr>
      <w:r>
        <w:rPr>
          <w:sz w:val="28"/>
          <w:szCs w:val="28"/>
        </w:rPr>
        <w:t xml:space="preserve">2. </w:t>
      </w:r>
      <w:r w:rsidRPr="00C167A3">
        <w:rPr>
          <w:sz w:val="28"/>
          <w:szCs w:val="28"/>
        </w:rPr>
        <w:t xml:space="preserve">Ar kādiem dokumentiem vai faktiem var apliecināt, ka tiesiskais pamats „vienošanās ar īpašnieku”, t.sk. mutiska, ir zudis? </w:t>
      </w:r>
    </w:p>
    <w:p w:rsidR="00C15335" w:rsidRDefault="00C15335" w:rsidP="00C15335">
      <w:pPr>
        <w:ind w:firstLine="720"/>
        <w:jc w:val="both"/>
        <w:rPr>
          <w:sz w:val="26"/>
          <w:szCs w:val="26"/>
        </w:rPr>
      </w:pPr>
      <w:r w:rsidRPr="00F55DDD">
        <w:rPr>
          <w:sz w:val="26"/>
          <w:szCs w:val="26"/>
        </w:rPr>
        <w:t>Dzīvesvietas deklarēšanas likuma 3.panta otr</w:t>
      </w:r>
      <w:r>
        <w:rPr>
          <w:sz w:val="26"/>
          <w:szCs w:val="26"/>
        </w:rPr>
        <w:t>ā daļa</w:t>
      </w:r>
      <w:r w:rsidRPr="00F55DDD">
        <w:rPr>
          <w:sz w:val="26"/>
          <w:szCs w:val="26"/>
        </w:rPr>
        <w:t xml:space="preserve"> </w:t>
      </w:r>
      <w:r>
        <w:rPr>
          <w:sz w:val="26"/>
          <w:szCs w:val="26"/>
        </w:rPr>
        <w:t>paredz</w:t>
      </w:r>
      <w:r w:rsidRPr="00F55DDD">
        <w:rPr>
          <w:sz w:val="26"/>
          <w:szCs w:val="26"/>
        </w:rPr>
        <w:t>, ka personai ir tiesisks pamats apmesties uz dzīvi noteiktā nekustamā īpašumā, ja tai pieder šis nekustamais īpašums, attiecībā uz to ir noslēgts īres vai nomas līgums vai šā īpašuma lietošanas tiesības tā ieguvusi uz laulības, radniecības, svainības vai cita likumiska vai līgumiska pamata. Savukārt minētā likuma 6.panta ceturtajā daļā noteikts, ja personas dzīvesvieta ir Latvijā, dzīvesvietas deklarēšanas pienākums ir izpildīts, ja persona iesniegusi dzīvesvietas deklarēšanas iestādei šajā likumā noteiktajā kārtībā aizpildītu un parakstītu dzī</w:t>
      </w:r>
      <w:r>
        <w:rPr>
          <w:sz w:val="26"/>
          <w:szCs w:val="26"/>
        </w:rPr>
        <w:t>vesvietas deklarēšanas veidlapu.</w:t>
      </w:r>
    </w:p>
    <w:p w:rsidR="00C15335" w:rsidRDefault="00C15335" w:rsidP="00C15335">
      <w:pPr>
        <w:ind w:firstLine="720"/>
        <w:jc w:val="both"/>
        <w:rPr>
          <w:sz w:val="26"/>
          <w:szCs w:val="26"/>
        </w:rPr>
      </w:pPr>
      <w:r w:rsidRPr="00F55DDD">
        <w:rPr>
          <w:bCs/>
          <w:sz w:val="26"/>
          <w:szCs w:val="26"/>
        </w:rPr>
        <w:t xml:space="preserve">Ministru kabineta </w:t>
      </w:r>
      <w:r w:rsidRPr="00F55DDD">
        <w:rPr>
          <w:sz w:val="26"/>
          <w:szCs w:val="26"/>
        </w:rPr>
        <w:t xml:space="preserve">2009.gada 20.oktobra </w:t>
      </w:r>
      <w:r w:rsidRPr="00F55DDD">
        <w:rPr>
          <w:bCs/>
          <w:sz w:val="26"/>
          <w:szCs w:val="26"/>
        </w:rPr>
        <w:t>noteikumi Nr.1194</w:t>
      </w:r>
      <w:r w:rsidRPr="00F55DDD">
        <w:rPr>
          <w:sz w:val="26"/>
          <w:szCs w:val="26"/>
        </w:rPr>
        <w:t xml:space="preserve"> „Noteikumi par dzīvesvietas deklarācijas veidlapu, deklarācijā sniegto ziņu pārbaudes kārtību un dzīvesvietas elektroniskās deklarēšanas kārtību” nosaka veidlapas paraugu, kurā</w:t>
      </w:r>
      <w:r>
        <w:rPr>
          <w:sz w:val="26"/>
          <w:szCs w:val="26"/>
        </w:rPr>
        <w:t xml:space="preserve"> ir</w:t>
      </w:r>
      <w:r w:rsidRPr="00F55DDD">
        <w:rPr>
          <w:sz w:val="26"/>
          <w:szCs w:val="26"/>
        </w:rPr>
        <w:t xml:space="preserve"> paredzēti visbiežāk </w:t>
      </w:r>
      <w:r>
        <w:rPr>
          <w:sz w:val="26"/>
          <w:szCs w:val="26"/>
        </w:rPr>
        <w:t>esošie</w:t>
      </w:r>
      <w:r w:rsidRPr="00F55DDD">
        <w:rPr>
          <w:sz w:val="26"/>
          <w:szCs w:val="26"/>
        </w:rPr>
        <w:t xml:space="preserve"> dzīvesvietas</w:t>
      </w:r>
      <w:r>
        <w:rPr>
          <w:sz w:val="26"/>
          <w:szCs w:val="26"/>
        </w:rPr>
        <w:t xml:space="preserve"> deklarēšanas tiesiskie pamati, tādējādi </w:t>
      </w:r>
      <w:r w:rsidRPr="00F55DDD">
        <w:rPr>
          <w:sz w:val="26"/>
          <w:szCs w:val="26"/>
        </w:rPr>
        <w:t>dzīvesvietas deklarēšanas procedūru padar</w:t>
      </w:r>
      <w:r>
        <w:rPr>
          <w:sz w:val="26"/>
          <w:szCs w:val="26"/>
        </w:rPr>
        <w:t xml:space="preserve">ot </w:t>
      </w:r>
      <w:r w:rsidRPr="00F55DDD">
        <w:rPr>
          <w:sz w:val="26"/>
          <w:szCs w:val="26"/>
        </w:rPr>
        <w:t>personai saprotamāk</w:t>
      </w:r>
      <w:r>
        <w:rPr>
          <w:sz w:val="26"/>
          <w:szCs w:val="26"/>
        </w:rPr>
        <w:t>u un pieejamāku. Ņemot vērā to, ka nekustamā</w:t>
      </w:r>
      <w:r w:rsidRPr="00F55DDD">
        <w:rPr>
          <w:sz w:val="26"/>
          <w:szCs w:val="26"/>
        </w:rPr>
        <w:t xml:space="preserve"> īpašu</w:t>
      </w:r>
      <w:r>
        <w:rPr>
          <w:sz w:val="26"/>
          <w:szCs w:val="26"/>
        </w:rPr>
        <w:t xml:space="preserve">ma lietošanas tiesiskie pamati </w:t>
      </w:r>
      <w:r w:rsidRPr="00F55DDD">
        <w:rPr>
          <w:sz w:val="26"/>
          <w:szCs w:val="26"/>
        </w:rPr>
        <w:t xml:space="preserve">var būt </w:t>
      </w:r>
      <w:r w:rsidR="004C0A81">
        <w:rPr>
          <w:sz w:val="26"/>
          <w:szCs w:val="26"/>
        </w:rPr>
        <w:t xml:space="preserve">dažādi </w:t>
      </w:r>
      <w:r w:rsidR="00F8595F">
        <w:rPr>
          <w:sz w:val="26"/>
          <w:szCs w:val="26"/>
        </w:rPr>
        <w:t>un tādējādi</w:t>
      </w:r>
      <w:r w:rsidRPr="00F55DDD">
        <w:rPr>
          <w:sz w:val="26"/>
          <w:szCs w:val="26"/>
        </w:rPr>
        <w:t xml:space="preserve"> visus </w:t>
      </w:r>
      <w:r w:rsidR="00F8595F">
        <w:rPr>
          <w:sz w:val="26"/>
          <w:szCs w:val="26"/>
        </w:rPr>
        <w:t xml:space="preserve">dzīvesvietas deklarēšanas tiesiskos </w:t>
      </w:r>
      <w:r w:rsidRPr="00F55DDD">
        <w:rPr>
          <w:sz w:val="26"/>
          <w:szCs w:val="26"/>
        </w:rPr>
        <w:t xml:space="preserve">pamatus uzskaitīt </w:t>
      </w:r>
      <w:r>
        <w:rPr>
          <w:sz w:val="26"/>
          <w:szCs w:val="26"/>
        </w:rPr>
        <w:t xml:space="preserve">dzīvesvietas deklarēšanas </w:t>
      </w:r>
      <w:r w:rsidRPr="00F55DDD">
        <w:rPr>
          <w:sz w:val="26"/>
          <w:szCs w:val="26"/>
        </w:rPr>
        <w:t xml:space="preserve">veidlapā nebūtu lietderīgi, </w:t>
      </w:r>
      <w:r w:rsidR="00F8595F">
        <w:rPr>
          <w:sz w:val="26"/>
          <w:szCs w:val="26"/>
        </w:rPr>
        <w:t xml:space="preserve">līdz ar to </w:t>
      </w:r>
      <w:r w:rsidRPr="00F55DDD">
        <w:rPr>
          <w:sz w:val="26"/>
          <w:szCs w:val="26"/>
        </w:rPr>
        <w:t xml:space="preserve">personai </w:t>
      </w:r>
      <w:r>
        <w:rPr>
          <w:sz w:val="26"/>
          <w:szCs w:val="26"/>
        </w:rPr>
        <w:t xml:space="preserve">ir dota iespēja </w:t>
      </w:r>
      <w:r w:rsidRPr="00F55DDD">
        <w:rPr>
          <w:sz w:val="26"/>
          <w:szCs w:val="26"/>
        </w:rPr>
        <w:t>pašai norādīt citu līgumisku vai likumisku pamatu dzīvesvietas deklarēšanai.</w:t>
      </w:r>
    </w:p>
    <w:p w:rsidR="00F8595F" w:rsidRDefault="00F8595F" w:rsidP="00F8595F">
      <w:pPr>
        <w:ind w:firstLine="720"/>
        <w:jc w:val="both"/>
        <w:rPr>
          <w:sz w:val="26"/>
          <w:szCs w:val="26"/>
        </w:rPr>
      </w:pPr>
      <w:r w:rsidRPr="00F55DDD">
        <w:rPr>
          <w:sz w:val="26"/>
          <w:szCs w:val="26"/>
        </w:rPr>
        <w:t xml:space="preserve">Civillikuma </w:t>
      </w:r>
      <w:r w:rsidRPr="00F55DDD">
        <w:rPr>
          <w:bCs/>
          <w:sz w:val="26"/>
          <w:szCs w:val="26"/>
        </w:rPr>
        <w:t>1473.pantā noteikts, ka t</w:t>
      </w:r>
      <w:r w:rsidRPr="00F55DDD">
        <w:rPr>
          <w:sz w:val="26"/>
          <w:szCs w:val="26"/>
        </w:rPr>
        <w:t xml:space="preserve">iesiska darījuma forma </w:t>
      </w:r>
      <w:r>
        <w:rPr>
          <w:sz w:val="26"/>
          <w:szCs w:val="26"/>
        </w:rPr>
        <w:t xml:space="preserve">ir </w:t>
      </w:r>
      <w:r w:rsidRPr="00F55DDD">
        <w:rPr>
          <w:sz w:val="26"/>
          <w:szCs w:val="26"/>
        </w:rPr>
        <w:t>atkar</w:t>
      </w:r>
      <w:r>
        <w:rPr>
          <w:sz w:val="26"/>
          <w:szCs w:val="26"/>
        </w:rPr>
        <w:t>īga</w:t>
      </w:r>
      <w:r w:rsidRPr="00F55DDD">
        <w:rPr>
          <w:sz w:val="26"/>
          <w:szCs w:val="26"/>
        </w:rPr>
        <w:t xml:space="preserve"> no lietas dalībnieku ieskata, izņemot likumā tieši norādītus gadījumus. Savukārt </w:t>
      </w:r>
      <w:bookmarkStart w:id="0" w:name="p1474"/>
      <w:bookmarkStart w:id="1" w:name="p-54388"/>
      <w:bookmarkEnd w:id="0"/>
      <w:bookmarkEnd w:id="1"/>
      <w:r w:rsidRPr="00F55DDD">
        <w:rPr>
          <w:bCs/>
          <w:sz w:val="26"/>
          <w:szCs w:val="26"/>
        </w:rPr>
        <w:t>1474.pant</w:t>
      </w:r>
      <w:r>
        <w:rPr>
          <w:bCs/>
          <w:sz w:val="26"/>
          <w:szCs w:val="26"/>
        </w:rPr>
        <w:t>a pirmajā daļā</w:t>
      </w:r>
      <w:r w:rsidRPr="00F55DDD">
        <w:rPr>
          <w:bCs/>
          <w:sz w:val="26"/>
          <w:szCs w:val="26"/>
        </w:rPr>
        <w:t xml:space="preserve"> noteikts, ka d</w:t>
      </w:r>
      <w:r w:rsidRPr="00F55DDD">
        <w:rPr>
          <w:sz w:val="26"/>
          <w:szCs w:val="26"/>
        </w:rPr>
        <w:t xml:space="preserve">arījuma dalībnieki var noslēgt to notariālā vai Bāriņtiesu likumā paredzētā vai privātā kārtībā, apmierināties ar mutisku vienošanos vai sastādīt rakstisku aktu, slēgt darījumu liecinieku klātbūtnē vai bez tiem, kā arī darīt to atklātībai zināmu vai ne. Šis noteikums neattiecas uz tiem gadījumiem, kuros likums prasa noteiktu darījuma noslēgšanas kārtību. </w:t>
      </w:r>
    </w:p>
    <w:p w:rsidR="00F8595F" w:rsidRDefault="00F8595F" w:rsidP="00F8595F">
      <w:pPr>
        <w:ind w:firstLine="720"/>
        <w:jc w:val="both"/>
        <w:rPr>
          <w:sz w:val="26"/>
          <w:szCs w:val="26"/>
        </w:rPr>
      </w:pPr>
      <w:r>
        <w:rPr>
          <w:sz w:val="26"/>
          <w:szCs w:val="26"/>
        </w:rPr>
        <w:t xml:space="preserve">Ņemot vērā to, ka Civillikums nosaka darījumu dalībniekiem brīvību izvēlēties darījuma formu, atrunājot vienīgi to, ka izņēmums ir likumā tieši norādītie gadījumi, </w:t>
      </w:r>
      <w:r>
        <w:rPr>
          <w:sz w:val="26"/>
          <w:szCs w:val="26"/>
        </w:rPr>
        <w:lastRenderedPageBreak/>
        <w:t>kad vajadzīga īpaša forma, (piemēram,</w:t>
      </w:r>
      <w:r w:rsidRPr="00F8595F">
        <w:rPr>
          <w:sz w:val="26"/>
          <w:szCs w:val="26"/>
        </w:rPr>
        <w:t xml:space="preserve"> </w:t>
      </w:r>
      <w:r w:rsidRPr="00F55DDD">
        <w:rPr>
          <w:sz w:val="26"/>
          <w:szCs w:val="26"/>
        </w:rPr>
        <w:t>likums „Par dzīv</w:t>
      </w:r>
      <w:r>
        <w:rPr>
          <w:sz w:val="26"/>
          <w:szCs w:val="26"/>
        </w:rPr>
        <w:t xml:space="preserve">ojamo telpu īri” nosaka, </w:t>
      </w:r>
      <w:r w:rsidRPr="00F55DDD">
        <w:rPr>
          <w:sz w:val="26"/>
          <w:szCs w:val="26"/>
        </w:rPr>
        <w:t>ka dzīvojamās telpas īres līgumu slēdz rakstveidā izīrētājs un īrnieks</w:t>
      </w:r>
      <w:r>
        <w:rPr>
          <w:sz w:val="26"/>
          <w:szCs w:val="26"/>
        </w:rPr>
        <w:t xml:space="preserve">), ir </w:t>
      </w:r>
      <w:r w:rsidRPr="00F55DDD">
        <w:rPr>
          <w:sz w:val="26"/>
          <w:szCs w:val="26"/>
        </w:rPr>
        <w:t>secināms, ka</w:t>
      </w:r>
      <w:r>
        <w:rPr>
          <w:sz w:val="26"/>
          <w:szCs w:val="26"/>
        </w:rPr>
        <w:t xml:space="preserve"> nekustamā īpašuma</w:t>
      </w:r>
      <w:r w:rsidRPr="00F55DDD">
        <w:rPr>
          <w:b/>
          <w:i/>
          <w:sz w:val="26"/>
          <w:szCs w:val="26"/>
        </w:rPr>
        <w:t xml:space="preserve"> </w:t>
      </w:r>
      <w:r w:rsidRPr="00F55DDD">
        <w:rPr>
          <w:sz w:val="26"/>
          <w:szCs w:val="26"/>
        </w:rPr>
        <w:t xml:space="preserve">lietošanas tiesību pamatā (dzīvesvietas deklarēšanas pamatā) var būt ne tikai rakstiski, bet arī mutiski noslēgtā vienošanās </w:t>
      </w:r>
      <w:r>
        <w:rPr>
          <w:sz w:val="26"/>
          <w:szCs w:val="26"/>
        </w:rPr>
        <w:t xml:space="preserve">par darījuma būtiskajām sastāvdaļām </w:t>
      </w:r>
      <w:r w:rsidRPr="00F55DDD">
        <w:rPr>
          <w:sz w:val="26"/>
          <w:szCs w:val="26"/>
        </w:rPr>
        <w:t>ar īpašnieku</w:t>
      </w:r>
      <w:r>
        <w:rPr>
          <w:sz w:val="26"/>
          <w:szCs w:val="26"/>
        </w:rPr>
        <w:t xml:space="preserve"> </w:t>
      </w:r>
      <w:r w:rsidRPr="00F55DDD">
        <w:rPr>
          <w:sz w:val="26"/>
          <w:szCs w:val="26"/>
        </w:rPr>
        <w:t>par nekustam</w:t>
      </w:r>
      <w:r>
        <w:rPr>
          <w:sz w:val="26"/>
          <w:szCs w:val="26"/>
        </w:rPr>
        <w:t>ā</w:t>
      </w:r>
      <w:r w:rsidRPr="00F55DDD">
        <w:rPr>
          <w:sz w:val="26"/>
          <w:szCs w:val="26"/>
        </w:rPr>
        <w:t xml:space="preserve"> īpašuma lietošanas tiesību iegūšanu</w:t>
      </w:r>
      <w:r>
        <w:rPr>
          <w:sz w:val="26"/>
          <w:szCs w:val="26"/>
        </w:rPr>
        <w:t>.</w:t>
      </w:r>
      <w:r w:rsidR="00D01407">
        <w:rPr>
          <w:sz w:val="26"/>
          <w:szCs w:val="26"/>
        </w:rPr>
        <w:t xml:space="preserve"> </w:t>
      </w:r>
      <w:r w:rsidR="00D01407" w:rsidRPr="00F55DDD">
        <w:rPr>
          <w:sz w:val="26"/>
          <w:szCs w:val="26"/>
        </w:rPr>
        <w:t xml:space="preserve">Tādējādi vienošanās ar īpašnieku </w:t>
      </w:r>
      <w:r w:rsidR="00D01407">
        <w:rPr>
          <w:sz w:val="26"/>
          <w:szCs w:val="26"/>
        </w:rPr>
        <w:t xml:space="preserve">par nekustamā īpašuma lietošanu </w:t>
      </w:r>
      <w:r w:rsidR="00D01407" w:rsidRPr="00F55DDD">
        <w:rPr>
          <w:sz w:val="26"/>
          <w:szCs w:val="26"/>
        </w:rPr>
        <w:t xml:space="preserve">var būt </w:t>
      </w:r>
      <w:r w:rsidR="004C0A81">
        <w:rPr>
          <w:sz w:val="26"/>
          <w:szCs w:val="26"/>
        </w:rPr>
        <w:t xml:space="preserve">dažādas (piemēram, </w:t>
      </w:r>
      <w:r w:rsidR="004C0A81" w:rsidRPr="00F55DDD">
        <w:rPr>
          <w:sz w:val="26"/>
          <w:szCs w:val="26"/>
        </w:rPr>
        <w:t>vienošanās par nekustamā īpašuma lietošanu - tiesības īpašumu lietot radiniekam bez atlīdzības, tiesības lietot īpašumu personai bez atlīdzības kā kompensācija par īpašnieka apkopšanu, tiesības lietot īpašumu bez atlīdzības, lai īpašums tiktu pieskatīts vai apkurināts (īpaši populāri šobrīd lauku apv</w:t>
      </w:r>
      <w:r w:rsidR="004C0A81">
        <w:rPr>
          <w:sz w:val="26"/>
          <w:szCs w:val="26"/>
        </w:rPr>
        <w:t>idos), patapinājuma līgums).</w:t>
      </w:r>
    </w:p>
    <w:p w:rsidR="00D01407" w:rsidRPr="00F55DDD" w:rsidRDefault="00D01407" w:rsidP="00D01407">
      <w:pPr>
        <w:ind w:firstLine="720"/>
        <w:jc w:val="both"/>
        <w:rPr>
          <w:sz w:val="26"/>
          <w:szCs w:val="26"/>
        </w:rPr>
      </w:pPr>
      <w:r w:rsidRPr="00F55DDD">
        <w:rPr>
          <w:sz w:val="26"/>
          <w:szCs w:val="26"/>
        </w:rPr>
        <w:t xml:space="preserve">Attiecībā uz jautājumu par dokumentiem vai faktiem, kas var apliecināt, ka </w:t>
      </w:r>
      <w:r>
        <w:rPr>
          <w:sz w:val="26"/>
          <w:szCs w:val="26"/>
        </w:rPr>
        <w:t xml:space="preserve">dzīvesvietas deklarēšanas </w:t>
      </w:r>
      <w:r w:rsidRPr="00F55DDD">
        <w:rPr>
          <w:sz w:val="26"/>
          <w:szCs w:val="26"/>
        </w:rPr>
        <w:t xml:space="preserve">tiesiskais pamats „vienošanās ar īpašnieku” ir zudis, </w:t>
      </w:r>
      <w:r>
        <w:rPr>
          <w:sz w:val="26"/>
          <w:szCs w:val="26"/>
        </w:rPr>
        <w:t xml:space="preserve">norādām, </w:t>
      </w:r>
      <w:r w:rsidRPr="00F55DDD">
        <w:rPr>
          <w:sz w:val="26"/>
          <w:szCs w:val="26"/>
        </w:rPr>
        <w:t xml:space="preserve">ka vienošanās par nekustamā īpašuma lietošanu ar īpašnieku izbeidzas un ir pierādāma Civillikumā noteiktajā kārtībā un var būt atšķirīga katrā konkrētajā lietā, atkarībā no tā, kāda veida līgums (t.sk. mutiskā vienošanās) ir bijis noslēgts un kādi ir bijuši tā nosacījumi. </w:t>
      </w:r>
      <w:r>
        <w:rPr>
          <w:sz w:val="26"/>
          <w:szCs w:val="26"/>
        </w:rPr>
        <w:t>Vēršam uzmanību, ka v</w:t>
      </w:r>
      <w:r w:rsidRPr="00F55DDD">
        <w:rPr>
          <w:sz w:val="26"/>
          <w:szCs w:val="26"/>
        </w:rPr>
        <w:t>iens no izplatītākajiem vienošanās izbeigšanas iemesliem ir pušu savstarpēja vienošanās, kas dzīvesvietas deklarācijas anulēšanas procedūrā tiek apliecināta pašvaldības vai tās iestādes darbiniekam. Gadījumā, ja šāda vienošanās izbeigšana netiek pašvaldībā vai tās iestādē apliecināta, lemjot par dzīvesvietas deklarācijas anulēšanu, pašvaldībai vai tās iestādei ir jāveic rūpīga lietas faktisko un tiesisko apstākļu pārbaude, lai konstatētu</w:t>
      </w:r>
      <w:r>
        <w:rPr>
          <w:sz w:val="26"/>
          <w:szCs w:val="26"/>
        </w:rPr>
        <w:t>,</w:t>
      </w:r>
      <w:r w:rsidRPr="00F55DDD">
        <w:rPr>
          <w:sz w:val="26"/>
          <w:szCs w:val="26"/>
        </w:rPr>
        <w:t xml:space="preserve"> vai persona konkrēto nekustamo īpa</w:t>
      </w:r>
      <w:r>
        <w:rPr>
          <w:sz w:val="26"/>
          <w:szCs w:val="26"/>
        </w:rPr>
        <w:t>šumu lieto, vai pastāv nekustamā</w:t>
      </w:r>
      <w:r w:rsidRPr="00F55DDD">
        <w:rPr>
          <w:sz w:val="26"/>
          <w:szCs w:val="26"/>
        </w:rPr>
        <w:t xml:space="preserve"> īpašuma lietošanas tiesiskais pamats un vai ir pamats </w:t>
      </w:r>
      <w:r>
        <w:rPr>
          <w:sz w:val="26"/>
          <w:szCs w:val="26"/>
        </w:rPr>
        <w:t>ziņu par deklarēto</w:t>
      </w:r>
      <w:r w:rsidRPr="00F55DDD">
        <w:rPr>
          <w:sz w:val="26"/>
          <w:szCs w:val="26"/>
        </w:rPr>
        <w:t xml:space="preserve"> dzīvesviet</w:t>
      </w:r>
      <w:r>
        <w:rPr>
          <w:sz w:val="26"/>
          <w:szCs w:val="26"/>
        </w:rPr>
        <w:t>u</w:t>
      </w:r>
      <w:r w:rsidRPr="00F55DDD">
        <w:rPr>
          <w:sz w:val="26"/>
          <w:szCs w:val="26"/>
        </w:rPr>
        <w:t xml:space="preserve"> </w:t>
      </w:r>
      <w:r>
        <w:rPr>
          <w:sz w:val="26"/>
          <w:szCs w:val="26"/>
        </w:rPr>
        <w:t xml:space="preserve">anulēšanai. </w:t>
      </w:r>
      <w:r w:rsidRPr="00F55DDD">
        <w:rPr>
          <w:sz w:val="26"/>
          <w:szCs w:val="26"/>
        </w:rPr>
        <w:t>Tādējādi pašvaldībai vai tās iestādei, lemjot par ziņu par deklarēto dzīvesvietu anulēšanu, jā</w:t>
      </w:r>
      <w:r>
        <w:rPr>
          <w:sz w:val="26"/>
          <w:szCs w:val="26"/>
        </w:rPr>
        <w:t>ievēro</w:t>
      </w:r>
      <w:r w:rsidRPr="00F55DDD">
        <w:rPr>
          <w:sz w:val="26"/>
          <w:szCs w:val="26"/>
        </w:rPr>
        <w:t xml:space="preserve"> ne tikai Dzīvesvietas deklarēšanas likum</w:t>
      </w:r>
      <w:r>
        <w:rPr>
          <w:sz w:val="26"/>
          <w:szCs w:val="26"/>
        </w:rPr>
        <w:t>ā noteiktais</w:t>
      </w:r>
      <w:r w:rsidRPr="00F55DDD">
        <w:rPr>
          <w:sz w:val="26"/>
          <w:szCs w:val="26"/>
        </w:rPr>
        <w:t xml:space="preserve">, bet arī </w:t>
      </w:r>
      <w:r>
        <w:rPr>
          <w:sz w:val="26"/>
          <w:szCs w:val="26"/>
        </w:rPr>
        <w:t xml:space="preserve">jāievēro </w:t>
      </w:r>
      <w:r w:rsidRPr="00F55DDD">
        <w:rPr>
          <w:sz w:val="26"/>
          <w:szCs w:val="26"/>
        </w:rPr>
        <w:t>Civillikum</w:t>
      </w:r>
      <w:r>
        <w:rPr>
          <w:sz w:val="26"/>
          <w:szCs w:val="26"/>
        </w:rPr>
        <w:t>ā</w:t>
      </w:r>
      <w:r w:rsidRPr="00F55DDD">
        <w:rPr>
          <w:sz w:val="26"/>
          <w:szCs w:val="26"/>
        </w:rPr>
        <w:t>, likum</w:t>
      </w:r>
      <w:r>
        <w:rPr>
          <w:sz w:val="26"/>
          <w:szCs w:val="26"/>
        </w:rPr>
        <w:t>ā</w:t>
      </w:r>
      <w:r w:rsidR="004C0A81">
        <w:rPr>
          <w:sz w:val="26"/>
          <w:szCs w:val="26"/>
        </w:rPr>
        <w:t xml:space="preserve"> „Par dzīvojamo telpu īri” un </w:t>
      </w:r>
      <w:r w:rsidRPr="00F55DDD">
        <w:rPr>
          <w:sz w:val="26"/>
          <w:szCs w:val="26"/>
        </w:rPr>
        <w:t>Dzīvokļa īpašuma likum</w:t>
      </w:r>
      <w:r>
        <w:rPr>
          <w:sz w:val="26"/>
          <w:szCs w:val="26"/>
        </w:rPr>
        <w:t>ā</w:t>
      </w:r>
      <w:r w:rsidRPr="00F55DDD">
        <w:rPr>
          <w:sz w:val="26"/>
          <w:szCs w:val="26"/>
        </w:rPr>
        <w:t xml:space="preserve"> </w:t>
      </w:r>
      <w:r>
        <w:rPr>
          <w:sz w:val="26"/>
          <w:szCs w:val="26"/>
        </w:rPr>
        <w:t>noteiktais.</w:t>
      </w:r>
      <w:r w:rsidRPr="00F55DDD">
        <w:rPr>
          <w:sz w:val="26"/>
          <w:szCs w:val="26"/>
        </w:rPr>
        <w:t xml:space="preserve"> </w:t>
      </w:r>
    </w:p>
    <w:p w:rsidR="00D01407" w:rsidRPr="00F55DDD" w:rsidRDefault="00D01407" w:rsidP="00D01407">
      <w:pPr>
        <w:ind w:firstLine="720"/>
        <w:jc w:val="both"/>
        <w:rPr>
          <w:sz w:val="26"/>
          <w:szCs w:val="26"/>
        </w:rPr>
      </w:pPr>
      <w:r>
        <w:rPr>
          <w:sz w:val="26"/>
          <w:szCs w:val="26"/>
        </w:rPr>
        <w:t>Vienlaikus i</w:t>
      </w:r>
      <w:r w:rsidRPr="00F55DDD">
        <w:rPr>
          <w:sz w:val="26"/>
          <w:szCs w:val="26"/>
        </w:rPr>
        <w:t>nformējam, ka saskaņā ar Dzīvesvietas deklarēšanas likuma 15.panta pirmo daļu pašvaldības iestāžu darbības dzīvesvietas deklarēšanas jomā metodisko vadību nodrošina Pilsonības un migrācijas lietu pārvalde,</w:t>
      </w:r>
      <w:r>
        <w:rPr>
          <w:sz w:val="26"/>
          <w:szCs w:val="26"/>
        </w:rPr>
        <w:t xml:space="preserve"> līdz ar to lūdzam</w:t>
      </w:r>
      <w:r w:rsidRPr="00F55DDD">
        <w:rPr>
          <w:sz w:val="26"/>
          <w:szCs w:val="26"/>
        </w:rPr>
        <w:t xml:space="preserve"> </w:t>
      </w:r>
      <w:r>
        <w:rPr>
          <w:sz w:val="26"/>
          <w:szCs w:val="26"/>
        </w:rPr>
        <w:t>pašvaldīb</w:t>
      </w:r>
      <w:r w:rsidR="004C0A81">
        <w:rPr>
          <w:sz w:val="26"/>
          <w:szCs w:val="26"/>
        </w:rPr>
        <w:t>u</w:t>
      </w:r>
      <w:r>
        <w:rPr>
          <w:sz w:val="26"/>
          <w:szCs w:val="26"/>
        </w:rPr>
        <w:t xml:space="preserve"> </w:t>
      </w:r>
      <w:r w:rsidRPr="00F55DDD">
        <w:rPr>
          <w:sz w:val="26"/>
          <w:szCs w:val="26"/>
        </w:rPr>
        <w:t xml:space="preserve">ar jautājumiem </w:t>
      </w:r>
      <w:r>
        <w:rPr>
          <w:sz w:val="26"/>
          <w:szCs w:val="26"/>
        </w:rPr>
        <w:t xml:space="preserve">dzīvesvietas </w:t>
      </w:r>
      <w:r w:rsidRPr="00F55DDD">
        <w:rPr>
          <w:sz w:val="26"/>
          <w:szCs w:val="26"/>
        </w:rPr>
        <w:t xml:space="preserve">deklarēšanas </w:t>
      </w:r>
      <w:r>
        <w:rPr>
          <w:sz w:val="26"/>
          <w:szCs w:val="26"/>
        </w:rPr>
        <w:t>jomā</w:t>
      </w:r>
      <w:r w:rsidRPr="00F55DDD">
        <w:rPr>
          <w:sz w:val="26"/>
          <w:szCs w:val="26"/>
        </w:rPr>
        <w:t xml:space="preserve"> </w:t>
      </w:r>
      <w:r>
        <w:rPr>
          <w:sz w:val="26"/>
          <w:szCs w:val="26"/>
        </w:rPr>
        <w:t>vērsties Pilsonības un migrācijas lietu pārvaldē.</w:t>
      </w:r>
    </w:p>
    <w:p w:rsidR="00C167A3" w:rsidRPr="000A5D4A" w:rsidRDefault="00C167A3" w:rsidP="00C167A3">
      <w:pPr>
        <w:jc w:val="both"/>
        <w:rPr>
          <w:rFonts w:ascii="Times New Roman" w:hAnsi="Times New Roman"/>
          <w:sz w:val="28"/>
          <w:szCs w:val="28"/>
        </w:rPr>
      </w:pPr>
    </w:p>
    <w:p w:rsidR="00C167A3" w:rsidRDefault="00C167A3" w:rsidP="00C167A3">
      <w:pPr>
        <w:tabs>
          <w:tab w:val="left" w:pos="6840"/>
        </w:tabs>
        <w:jc w:val="both"/>
        <w:rPr>
          <w:szCs w:val="28"/>
        </w:rPr>
      </w:pPr>
    </w:p>
    <w:p w:rsidR="00C167A3" w:rsidRPr="00667B5E" w:rsidRDefault="00C167A3" w:rsidP="004C0A81">
      <w:pPr>
        <w:tabs>
          <w:tab w:val="left" w:pos="6096"/>
          <w:tab w:val="left" w:pos="6840"/>
        </w:tabs>
        <w:jc w:val="both"/>
        <w:rPr>
          <w:rFonts w:ascii="Times New Roman" w:hAnsi="Times New Roman"/>
          <w:sz w:val="28"/>
          <w:szCs w:val="28"/>
        </w:rPr>
      </w:pPr>
      <w:r>
        <w:rPr>
          <w:rFonts w:ascii="Times New Roman" w:hAnsi="Times New Roman"/>
          <w:sz w:val="28"/>
          <w:szCs w:val="28"/>
        </w:rPr>
        <w:t>Ministru prezidents</w:t>
      </w:r>
      <w:proofErr w:type="gramStart"/>
      <w:r>
        <w:rPr>
          <w:rFonts w:ascii="Times New Roman" w:hAnsi="Times New Roman"/>
          <w:sz w:val="28"/>
          <w:szCs w:val="28"/>
        </w:rPr>
        <w:t xml:space="preserve">                                                 </w:t>
      </w:r>
      <w:r w:rsidR="008B657E">
        <w:rPr>
          <w:rFonts w:ascii="Times New Roman" w:hAnsi="Times New Roman"/>
          <w:sz w:val="28"/>
          <w:szCs w:val="28"/>
        </w:rPr>
        <w:t xml:space="preserve">     </w:t>
      </w:r>
      <w:r>
        <w:rPr>
          <w:rFonts w:ascii="Times New Roman" w:hAnsi="Times New Roman"/>
          <w:sz w:val="28"/>
          <w:szCs w:val="28"/>
        </w:rPr>
        <w:t xml:space="preserve"> </w:t>
      </w:r>
      <w:proofErr w:type="gramEnd"/>
      <w:r w:rsidR="004C0A81">
        <w:rPr>
          <w:rFonts w:ascii="Times New Roman" w:hAnsi="Times New Roman"/>
          <w:sz w:val="28"/>
          <w:szCs w:val="28"/>
        </w:rPr>
        <w:tab/>
        <w:t xml:space="preserve">       </w:t>
      </w:r>
      <w:r w:rsidR="004C0A81">
        <w:rPr>
          <w:rFonts w:ascii="Times New Roman" w:hAnsi="Times New Roman"/>
          <w:sz w:val="28"/>
          <w:szCs w:val="28"/>
        </w:rPr>
        <w:tab/>
      </w:r>
      <w:r w:rsidRPr="00667B5E">
        <w:rPr>
          <w:rFonts w:ascii="Times New Roman" w:hAnsi="Times New Roman"/>
          <w:sz w:val="28"/>
          <w:szCs w:val="28"/>
        </w:rPr>
        <w:t>V.Dombrovskis</w:t>
      </w:r>
    </w:p>
    <w:p w:rsidR="00C167A3" w:rsidRPr="00667B5E" w:rsidRDefault="00C167A3" w:rsidP="00C167A3">
      <w:pPr>
        <w:jc w:val="both"/>
        <w:rPr>
          <w:rFonts w:ascii="Times New Roman" w:hAnsi="Times New Roman"/>
          <w:sz w:val="28"/>
          <w:szCs w:val="28"/>
        </w:rPr>
      </w:pPr>
    </w:p>
    <w:p w:rsidR="00C167A3" w:rsidRPr="00667B5E" w:rsidRDefault="00C167A3" w:rsidP="00C167A3">
      <w:pPr>
        <w:tabs>
          <w:tab w:val="left" w:pos="6840"/>
        </w:tabs>
        <w:jc w:val="both"/>
        <w:rPr>
          <w:rFonts w:ascii="Times New Roman" w:hAnsi="Times New Roman"/>
          <w:sz w:val="28"/>
          <w:szCs w:val="28"/>
        </w:rPr>
      </w:pPr>
      <w:r w:rsidRPr="00667B5E">
        <w:rPr>
          <w:rFonts w:ascii="Times New Roman" w:hAnsi="Times New Roman"/>
          <w:sz w:val="28"/>
          <w:szCs w:val="28"/>
        </w:rPr>
        <w:t>Iesniedzējs:</w:t>
      </w:r>
    </w:p>
    <w:p w:rsidR="00C167A3" w:rsidRPr="00667B5E" w:rsidRDefault="00C167A3" w:rsidP="008B657E">
      <w:pPr>
        <w:tabs>
          <w:tab w:val="left" w:pos="3686"/>
          <w:tab w:val="left" w:pos="6096"/>
          <w:tab w:val="left" w:pos="6237"/>
          <w:tab w:val="left" w:pos="6840"/>
        </w:tabs>
        <w:jc w:val="both"/>
        <w:rPr>
          <w:rFonts w:ascii="Times New Roman" w:hAnsi="Times New Roman"/>
          <w:sz w:val="28"/>
          <w:szCs w:val="28"/>
        </w:rPr>
      </w:pPr>
      <w:r>
        <w:rPr>
          <w:rFonts w:ascii="Times New Roman" w:hAnsi="Times New Roman"/>
          <w:sz w:val="28"/>
          <w:szCs w:val="28"/>
        </w:rPr>
        <w:t>Iekšlietu ministrs</w:t>
      </w:r>
      <w:r>
        <w:rPr>
          <w:rFonts w:ascii="Times New Roman" w:hAnsi="Times New Roman"/>
          <w:sz w:val="28"/>
          <w:szCs w:val="28"/>
        </w:rPr>
        <w:tab/>
      </w:r>
      <w:proofErr w:type="gramStart"/>
      <w:r>
        <w:rPr>
          <w:rFonts w:ascii="Times New Roman" w:hAnsi="Times New Roman"/>
          <w:sz w:val="28"/>
          <w:szCs w:val="28"/>
        </w:rPr>
        <w:t xml:space="preserve">                                </w:t>
      </w:r>
      <w:r w:rsidR="008B657E">
        <w:rPr>
          <w:rFonts w:ascii="Times New Roman" w:hAnsi="Times New Roman"/>
          <w:sz w:val="28"/>
          <w:szCs w:val="28"/>
        </w:rPr>
        <w:t xml:space="preserve">  </w:t>
      </w:r>
      <w:proofErr w:type="gramEnd"/>
      <w:r w:rsidR="004C0A81">
        <w:rPr>
          <w:rFonts w:ascii="Times New Roman" w:hAnsi="Times New Roman"/>
          <w:sz w:val="28"/>
          <w:szCs w:val="28"/>
        </w:rPr>
        <w:tab/>
      </w:r>
      <w:r w:rsidR="004C0A81">
        <w:rPr>
          <w:rFonts w:ascii="Times New Roman" w:hAnsi="Times New Roman"/>
          <w:sz w:val="28"/>
          <w:szCs w:val="28"/>
        </w:rPr>
        <w:tab/>
        <w:t xml:space="preserve">        </w:t>
      </w:r>
      <w:r w:rsidRPr="00667B5E">
        <w:rPr>
          <w:rFonts w:ascii="Times New Roman" w:hAnsi="Times New Roman"/>
          <w:sz w:val="28"/>
          <w:szCs w:val="28"/>
        </w:rPr>
        <w:t>R. Kozlovskis</w:t>
      </w:r>
    </w:p>
    <w:p w:rsidR="00C167A3" w:rsidRPr="00667B5E" w:rsidRDefault="00C167A3" w:rsidP="00C167A3">
      <w:pPr>
        <w:tabs>
          <w:tab w:val="left" w:pos="774"/>
        </w:tabs>
        <w:ind w:right="26"/>
        <w:rPr>
          <w:rFonts w:ascii="Times New Roman" w:hAnsi="Times New Roman"/>
          <w:sz w:val="28"/>
          <w:szCs w:val="28"/>
        </w:rPr>
      </w:pPr>
    </w:p>
    <w:p w:rsidR="00C167A3" w:rsidRPr="00667B5E" w:rsidRDefault="00C167A3" w:rsidP="00C167A3">
      <w:pPr>
        <w:tabs>
          <w:tab w:val="left" w:pos="709"/>
          <w:tab w:val="left" w:pos="6804"/>
        </w:tabs>
        <w:ind w:right="26"/>
        <w:rPr>
          <w:rFonts w:ascii="Times New Roman" w:hAnsi="Times New Roman"/>
          <w:sz w:val="28"/>
          <w:szCs w:val="28"/>
        </w:rPr>
      </w:pPr>
      <w:r w:rsidRPr="00667B5E">
        <w:rPr>
          <w:rFonts w:ascii="Times New Roman" w:hAnsi="Times New Roman"/>
          <w:sz w:val="28"/>
          <w:szCs w:val="28"/>
        </w:rPr>
        <w:t>Vīza:</w:t>
      </w:r>
    </w:p>
    <w:p w:rsidR="004C0A81" w:rsidRDefault="00C167A3" w:rsidP="00C167A3">
      <w:pPr>
        <w:tabs>
          <w:tab w:val="left" w:pos="709"/>
          <w:tab w:val="left" w:pos="6804"/>
          <w:tab w:val="left" w:pos="7088"/>
          <w:tab w:val="left" w:pos="8364"/>
        </w:tabs>
        <w:ind w:right="26"/>
        <w:rPr>
          <w:rFonts w:ascii="Times New Roman" w:hAnsi="Times New Roman"/>
          <w:sz w:val="28"/>
          <w:szCs w:val="28"/>
        </w:rPr>
      </w:pPr>
      <w:r w:rsidRPr="00667B5E">
        <w:rPr>
          <w:rFonts w:ascii="Times New Roman" w:hAnsi="Times New Roman"/>
          <w:sz w:val="28"/>
          <w:szCs w:val="28"/>
        </w:rPr>
        <w:t>Valsts sekretāre</w:t>
      </w:r>
      <w:r w:rsidR="004C0A81">
        <w:rPr>
          <w:rFonts w:ascii="Times New Roman" w:hAnsi="Times New Roman"/>
          <w:sz w:val="28"/>
          <w:szCs w:val="28"/>
        </w:rPr>
        <w:t>s</w:t>
      </w:r>
    </w:p>
    <w:p w:rsidR="00C167A3" w:rsidRPr="00667B5E" w:rsidRDefault="00572137" w:rsidP="004C0A81">
      <w:pPr>
        <w:tabs>
          <w:tab w:val="left" w:pos="709"/>
          <w:tab w:val="left" w:pos="4253"/>
          <w:tab w:val="left" w:pos="6804"/>
          <w:tab w:val="left" w:pos="8364"/>
        </w:tabs>
        <w:ind w:right="26"/>
        <w:rPr>
          <w:rFonts w:ascii="Times New Roman" w:hAnsi="Times New Roman"/>
          <w:sz w:val="28"/>
          <w:szCs w:val="28"/>
        </w:rPr>
      </w:pPr>
      <w:r>
        <w:rPr>
          <w:rFonts w:ascii="Times New Roman" w:hAnsi="Times New Roman"/>
          <w:sz w:val="28"/>
          <w:szCs w:val="28"/>
        </w:rPr>
        <w:t>p</w:t>
      </w:r>
      <w:bookmarkStart w:id="2" w:name="_GoBack"/>
      <w:bookmarkEnd w:id="2"/>
      <w:r w:rsidR="004C0A81">
        <w:rPr>
          <w:rFonts w:ascii="Times New Roman" w:hAnsi="Times New Roman"/>
          <w:sz w:val="28"/>
          <w:szCs w:val="28"/>
        </w:rPr>
        <w:t>ienākumu izpildītāja</w:t>
      </w:r>
      <w:proofErr w:type="gramStart"/>
      <w:r w:rsidR="00C167A3" w:rsidRPr="00667B5E">
        <w:rPr>
          <w:rFonts w:ascii="Times New Roman" w:hAnsi="Times New Roman"/>
          <w:sz w:val="28"/>
          <w:szCs w:val="28"/>
        </w:rPr>
        <w:t xml:space="preserve">                              </w:t>
      </w:r>
      <w:r w:rsidR="004C0A81">
        <w:rPr>
          <w:rFonts w:ascii="Times New Roman" w:hAnsi="Times New Roman"/>
          <w:sz w:val="28"/>
          <w:szCs w:val="28"/>
        </w:rPr>
        <w:t xml:space="preserve">                       </w:t>
      </w:r>
      <w:proofErr w:type="gramEnd"/>
      <w:r w:rsidR="004C0A81">
        <w:rPr>
          <w:rFonts w:ascii="Times New Roman" w:hAnsi="Times New Roman"/>
          <w:sz w:val="28"/>
          <w:szCs w:val="28"/>
        </w:rPr>
        <w:tab/>
      </w:r>
      <w:proofErr w:type="spellStart"/>
      <w:r w:rsidR="004C0A81">
        <w:rPr>
          <w:rFonts w:ascii="Times New Roman" w:hAnsi="Times New Roman"/>
          <w:sz w:val="28"/>
          <w:szCs w:val="28"/>
        </w:rPr>
        <w:t>I.Aire</w:t>
      </w:r>
      <w:proofErr w:type="spellEnd"/>
    </w:p>
    <w:p w:rsidR="00C167A3" w:rsidRPr="00667B5E" w:rsidRDefault="00C167A3" w:rsidP="00C167A3">
      <w:pPr>
        <w:jc w:val="both"/>
        <w:rPr>
          <w:rFonts w:ascii="Times New Roman" w:hAnsi="Times New Roman"/>
          <w:sz w:val="28"/>
          <w:szCs w:val="28"/>
        </w:rPr>
      </w:pPr>
    </w:p>
    <w:p w:rsidR="00C167A3" w:rsidRPr="004C0A81" w:rsidRDefault="004C0A81" w:rsidP="00C167A3">
      <w:pPr>
        <w:ind w:right="4110"/>
        <w:jc w:val="both"/>
        <w:rPr>
          <w:rFonts w:ascii="Times New Roman" w:hAnsi="Times New Roman"/>
        </w:rPr>
      </w:pPr>
      <w:r w:rsidRPr="004C0A81">
        <w:rPr>
          <w:rFonts w:ascii="Times New Roman" w:hAnsi="Times New Roman"/>
        </w:rPr>
        <w:t>Austruma</w:t>
      </w:r>
    </w:p>
    <w:p w:rsidR="004C0A81" w:rsidRPr="004C0A81" w:rsidRDefault="004C0A81" w:rsidP="00C167A3">
      <w:pPr>
        <w:ind w:right="4110"/>
        <w:jc w:val="both"/>
        <w:rPr>
          <w:rFonts w:ascii="Times New Roman" w:hAnsi="Times New Roman"/>
        </w:rPr>
      </w:pPr>
      <w:r w:rsidRPr="004C0A81">
        <w:rPr>
          <w:rFonts w:ascii="Times New Roman" w:hAnsi="Times New Roman"/>
        </w:rPr>
        <w:t>67219236, inna.austruma@pmlp.gov.lv</w:t>
      </w:r>
    </w:p>
    <w:p w:rsidR="00C167A3" w:rsidRPr="000A5D4A" w:rsidRDefault="00C167A3" w:rsidP="00C167A3">
      <w:pPr>
        <w:ind w:firstLine="720"/>
        <w:jc w:val="both"/>
        <w:rPr>
          <w:rFonts w:ascii="Times New Roman" w:hAnsi="Times New Roman"/>
          <w:sz w:val="28"/>
          <w:szCs w:val="28"/>
        </w:rPr>
      </w:pPr>
    </w:p>
    <w:p w:rsidR="00D01407" w:rsidRPr="00667B5E" w:rsidRDefault="00D01407" w:rsidP="00D01407">
      <w:pPr>
        <w:ind w:right="64"/>
        <w:jc w:val="both"/>
        <w:rPr>
          <w:rFonts w:ascii="Times New Roman" w:hAnsi="Times New Roman"/>
        </w:rPr>
      </w:pPr>
      <w:r w:rsidRPr="00667B5E">
        <w:rPr>
          <w:rFonts w:ascii="Times New Roman" w:hAnsi="Times New Roman"/>
        </w:rPr>
        <w:t>Radzeviča</w:t>
      </w:r>
    </w:p>
    <w:p w:rsidR="00D01407" w:rsidRPr="00667B5E" w:rsidRDefault="00D01407" w:rsidP="00D01407">
      <w:pPr>
        <w:ind w:right="64"/>
        <w:jc w:val="both"/>
        <w:rPr>
          <w:rFonts w:ascii="Times New Roman" w:hAnsi="Times New Roman"/>
        </w:rPr>
      </w:pPr>
      <w:r w:rsidRPr="00667B5E">
        <w:rPr>
          <w:rFonts w:ascii="Times New Roman" w:hAnsi="Times New Roman"/>
        </w:rPr>
        <w:t xml:space="preserve">67219418, </w:t>
      </w:r>
      <w:hyperlink r:id="rId8" w:history="1">
        <w:r w:rsidRPr="00667B5E">
          <w:rPr>
            <w:rStyle w:val="Hyperlink"/>
            <w:rFonts w:ascii="Times New Roman" w:hAnsi="Times New Roman"/>
          </w:rPr>
          <w:t>dace.radzevica@iem.gov.lv</w:t>
        </w:r>
      </w:hyperlink>
    </w:p>
    <w:sectPr w:rsidR="00D01407" w:rsidRPr="00667B5E" w:rsidSect="004C0A81">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701"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A0" w:rsidRDefault="006040A0" w:rsidP="00D01407">
      <w:r>
        <w:separator/>
      </w:r>
    </w:p>
  </w:endnote>
  <w:endnote w:type="continuationSeparator" w:id="0">
    <w:p w:rsidR="006040A0" w:rsidRDefault="006040A0" w:rsidP="00D0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RimHelvetica">
    <w:altName w:val="Times New Roman"/>
    <w:panose1 w:val="00000000000000000000"/>
    <w:charset w:val="BA"/>
    <w:family w:val="swiss"/>
    <w:notTrueType/>
    <w:pitch w:val="variable"/>
    <w:sig w:usb0="00000005" w:usb1="00000000" w:usb2="00000000" w:usb3="00000000" w:csb0="00000080" w:csb1="00000000"/>
  </w:font>
  <w:font w:name="RimTime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7E" w:rsidRDefault="008B6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D0" w:rsidRPr="00C21BD0" w:rsidRDefault="00D01407" w:rsidP="00D01407">
    <w:pPr>
      <w:pStyle w:val="Footer"/>
      <w:jc w:val="both"/>
      <w:rPr>
        <w:rFonts w:ascii="Times New Roman" w:hAnsi="Times New Roman"/>
        <w:sz w:val="22"/>
        <w:szCs w:val="22"/>
      </w:rPr>
    </w:pPr>
    <w:r>
      <w:rPr>
        <w:rFonts w:ascii="Times New Roman" w:hAnsi="Times New Roman"/>
        <w:sz w:val="22"/>
        <w:szCs w:val="22"/>
      </w:rPr>
      <w:t>MKAtbVest_2</w:t>
    </w:r>
    <w:r w:rsidR="006040A0" w:rsidRPr="00C21BD0">
      <w:rPr>
        <w:rFonts w:ascii="Times New Roman" w:hAnsi="Times New Roman"/>
        <w:sz w:val="22"/>
        <w:szCs w:val="22"/>
      </w:rPr>
      <w:t>90</w:t>
    </w:r>
    <w:r>
      <w:rPr>
        <w:rFonts w:ascii="Times New Roman" w:hAnsi="Times New Roman"/>
        <w:sz w:val="22"/>
        <w:szCs w:val="22"/>
      </w:rPr>
      <w:t>8</w:t>
    </w:r>
    <w:r w:rsidR="006040A0" w:rsidRPr="00C21BD0">
      <w:rPr>
        <w:rFonts w:ascii="Times New Roman" w:hAnsi="Times New Roman"/>
        <w:sz w:val="22"/>
        <w:szCs w:val="22"/>
      </w:rPr>
      <w:t xml:space="preserve">2013.doc; Ministru kabineta atbildes projekta vēstule uz </w:t>
    </w:r>
    <w:r>
      <w:rPr>
        <w:rFonts w:ascii="Times New Roman" w:hAnsi="Times New Roman"/>
        <w:sz w:val="22"/>
        <w:szCs w:val="22"/>
      </w:rPr>
      <w:t>Salaspils novada domes 2013.gada 8.augusta vēstulē Nr. 1-15/13/1853</w:t>
    </w:r>
    <w:r w:rsidR="006040A0" w:rsidRPr="00C21BD0">
      <w:rPr>
        <w:rFonts w:ascii="Times New Roman" w:hAnsi="Times New Roman"/>
        <w:sz w:val="22"/>
        <w:szCs w:val="22"/>
      </w:rPr>
      <w:t xml:space="preserve"> </w:t>
    </w:r>
    <w:r>
      <w:rPr>
        <w:rFonts w:ascii="Times New Roman" w:hAnsi="Times New Roman"/>
        <w:sz w:val="22"/>
        <w:szCs w:val="22"/>
      </w:rPr>
      <w:t>pausto</w:t>
    </w:r>
  </w:p>
  <w:p w:rsidR="00C21BD0" w:rsidRDefault="00572137" w:rsidP="00D01407">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07" w:rsidRPr="00C21BD0" w:rsidRDefault="00D01407" w:rsidP="00D01407">
    <w:pPr>
      <w:pStyle w:val="Footer"/>
      <w:jc w:val="both"/>
      <w:rPr>
        <w:rFonts w:ascii="Times New Roman" w:hAnsi="Times New Roman"/>
        <w:sz w:val="22"/>
        <w:szCs w:val="22"/>
      </w:rPr>
    </w:pPr>
    <w:r>
      <w:rPr>
        <w:rFonts w:ascii="Times New Roman" w:hAnsi="Times New Roman"/>
        <w:sz w:val="22"/>
        <w:szCs w:val="22"/>
      </w:rPr>
      <w:t>MKAtbVest_2</w:t>
    </w:r>
    <w:r w:rsidRPr="00C21BD0">
      <w:rPr>
        <w:rFonts w:ascii="Times New Roman" w:hAnsi="Times New Roman"/>
        <w:sz w:val="22"/>
        <w:szCs w:val="22"/>
      </w:rPr>
      <w:t>90</w:t>
    </w:r>
    <w:r>
      <w:rPr>
        <w:rFonts w:ascii="Times New Roman" w:hAnsi="Times New Roman"/>
        <w:sz w:val="22"/>
        <w:szCs w:val="22"/>
      </w:rPr>
      <w:t>8</w:t>
    </w:r>
    <w:r w:rsidRPr="00C21BD0">
      <w:rPr>
        <w:rFonts w:ascii="Times New Roman" w:hAnsi="Times New Roman"/>
        <w:sz w:val="22"/>
        <w:szCs w:val="22"/>
      </w:rPr>
      <w:t xml:space="preserve">2013.doc; Ministru kabineta atbildes projekta vēstule uz </w:t>
    </w:r>
    <w:r>
      <w:rPr>
        <w:rFonts w:ascii="Times New Roman" w:hAnsi="Times New Roman"/>
        <w:sz w:val="22"/>
        <w:szCs w:val="22"/>
      </w:rPr>
      <w:t>Salaspils novada domes 2013.gada 8.augusta vēstulē Nr. 1-15/13/1853</w:t>
    </w:r>
    <w:r w:rsidRPr="00C21BD0">
      <w:rPr>
        <w:rFonts w:ascii="Times New Roman" w:hAnsi="Times New Roman"/>
        <w:sz w:val="22"/>
        <w:szCs w:val="22"/>
      </w:rPr>
      <w:t xml:space="preserve"> </w:t>
    </w:r>
    <w:r>
      <w:rPr>
        <w:rFonts w:ascii="Times New Roman" w:hAnsi="Times New Roman"/>
        <w:sz w:val="22"/>
        <w:szCs w:val="22"/>
      </w:rPr>
      <w:t>pausto</w:t>
    </w:r>
  </w:p>
  <w:p w:rsidR="00D01407" w:rsidRDefault="00D01407" w:rsidP="00D01407">
    <w:pPr>
      <w:pStyle w:val="Footer"/>
      <w:jc w:val="both"/>
    </w:pPr>
  </w:p>
  <w:p w:rsidR="00C21BD0" w:rsidRPr="00D01407" w:rsidRDefault="00572137" w:rsidP="00D01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A0" w:rsidRDefault="006040A0" w:rsidP="00D01407">
      <w:r>
        <w:separator/>
      </w:r>
    </w:p>
  </w:footnote>
  <w:footnote w:type="continuationSeparator" w:id="0">
    <w:p w:rsidR="006040A0" w:rsidRDefault="006040A0" w:rsidP="00D01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7E" w:rsidRDefault="008B6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710638"/>
      <w:docPartObj>
        <w:docPartGallery w:val="Page Numbers (Top of Page)"/>
        <w:docPartUnique/>
      </w:docPartObj>
    </w:sdtPr>
    <w:sdtEndPr>
      <w:rPr>
        <w:rFonts w:ascii="Times New Roman" w:hAnsi="Times New Roman"/>
        <w:noProof/>
      </w:rPr>
    </w:sdtEndPr>
    <w:sdtContent>
      <w:p w:rsidR="009F1E28" w:rsidRPr="00127D29" w:rsidRDefault="006040A0">
        <w:pPr>
          <w:pStyle w:val="Header"/>
          <w:jc w:val="center"/>
          <w:rPr>
            <w:rFonts w:ascii="Times New Roman" w:hAnsi="Times New Roman"/>
          </w:rPr>
        </w:pPr>
        <w:r w:rsidRPr="00127D29">
          <w:rPr>
            <w:rFonts w:ascii="Times New Roman" w:hAnsi="Times New Roman"/>
          </w:rPr>
          <w:fldChar w:fldCharType="begin"/>
        </w:r>
        <w:r w:rsidRPr="00127D29">
          <w:rPr>
            <w:rFonts w:ascii="Times New Roman" w:hAnsi="Times New Roman"/>
          </w:rPr>
          <w:instrText xml:space="preserve"> PAGE   \* MERGEFORMAT </w:instrText>
        </w:r>
        <w:r w:rsidRPr="00127D29">
          <w:rPr>
            <w:rFonts w:ascii="Times New Roman" w:hAnsi="Times New Roman"/>
          </w:rPr>
          <w:fldChar w:fldCharType="separate"/>
        </w:r>
        <w:r w:rsidR="00572137">
          <w:rPr>
            <w:rFonts w:ascii="Times New Roman" w:hAnsi="Times New Roman"/>
            <w:noProof/>
          </w:rPr>
          <w:t>2</w:t>
        </w:r>
        <w:r w:rsidRPr="00127D29">
          <w:rPr>
            <w:rFonts w:ascii="Times New Roman" w:hAnsi="Times New Roman"/>
            <w:noProof/>
          </w:rPr>
          <w:fldChar w:fldCharType="end"/>
        </w:r>
      </w:p>
    </w:sdtContent>
  </w:sdt>
  <w:p w:rsidR="009F1E28" w:rsidRDefault="005721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7E" w:rsidRDefault="008B6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90EC9"/>
    <w:multiLevelType w:val="hybridMultilevel"/>
    <w:tmpl w:val="5EF8ABA0"/>
    <w:lvl w:ilvl="0" w:tplc="33EAF0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A3"/>
    <w:rsid w:val="00293E24"/>
    <w:rsid w:val="004C0A81"/>
    <w:rsid w:val="00572137"/>
    <w:rsid w:val="006040A0"/>
    <w:rsid w:val="008B657E"/>
    <w:rsid w:val="00C15335"/>
    <w:rsid w:val="00C167A3"/>
    <w:rsid w:val="00D01407"/>
    <w:rsid w:val="00D22685"/>
    <w:rsid w:val="00F859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A3"/>
    <w:pPr>
      <w:spacing w:after="0" w:line="240" w:lineRule="auto"/>
    </w:pPr>
    <w:rPr>
      <w:rFonts w:ascii="RimHelvetica" w:eastAsia="Times New Roman" w:hAnsi="RimHelvetica" w:cs="Times New Roman"/>
      <w:sz w:val="20"/>
      <w:szCs w:val="20"/>
    </w:rPr>
  </w:style>
  <w:style w:type="paragraph" w:styleId="Heading1">
    <w:name w:val="heading 1"/>
    <w:basedOn w:val="Normal"/>
    <w:next w:val="Normal"/>
    <w:link w:val="Heading1Char"/>
    <w:qFormat/>
    <w:rsid w:val="00C167A3"/>
    <w:pPr>
      <w:keepNext/>
      <w:jc w:val="both"/>
      <w:outlineLvl w:val="0"/>
    </w:pPr>
    <w:rPr>
      <w:rFonts w:ascii="RimTimes" w:hAnsi="Rim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7A3"/>
    <w:rPr>
      <w:rFonts w:ascii="RimTimes" w:eastAsia="Times New Roman" w:hAnsi="RimTimes" w:cs="Times New Roman"/>
      <w:sz w:val="24"/>
      <w:szCs w:val="20"/>
    </w:rPr>
  </w:style>
  <w:style w:type="paragraph" w:styleId="Header">
    <w:name w:val="header"/>
    <w:basedOn w:val="Normal"/>
    <w:link w:val="HeaderChar"/>
    <w:uiPriority w:val="99"/>
    <w:unhideWhenUsed/>
    <w:rsid w:val="00C167A3"/>
    <w:pPr>
      <w:tabs>
        <w:tab w:val="center" w:pos="4153"/>
        <w:tab w:val="right" w:pos="8306"/>
      </w:tabs>
    </w:pPr>
  </w:style>
  <w:style w:type="character" w:customStyle="1" w:styleId="HeaderChar">
    <w:name w:val="Header Char"/>
    <w:basedOn w:val="DefaultParagraphFont"/>
    <w:link w:val="Header"/>
    <w:uiPriority w:val="99"/>
    <w:rsid w:val="00C167A3"/>
    <w:rPr>
      <w:rFonts w:ascii="RimHelvetica" w:eastAsia="Times New Roman" w:hAnsi="RimHelvetica" w:cs="Times New Roman"/>
      <w:sz w:val="20"/>
      <w:szCs w:val="20"/>
    </w:rPr>
  </w:style>
  <w:style w:type="paragraph" w:customStyle="1" w:styleId="tv213">
    <w:name w:val="tv213"/>
    <w:basedOn w:val="Normal"/>
    <w:rsid w:val="00C167A3"/>
    <w:pPr>
      <w:spacing w:before="100" w:beforeAutospacing="1" w:after="100" w:afterAutospacing="1"/>
    </w:pPr>
    <w:rPr>
      <w:rFonts w:ascii="Times New Roman" w:hAnsi="Times New Roman"/>
      <w:sz w:val="24"/>
      <w:szCs w:val="24"/>
      <w:lang w:eastAsia="lv-LV"/>
    </w:rPr>
  </w:style>
  <w:style w:type="character" w:styleId="Hyperlink">
    <w:name w:val="Hyperlink"/>
    <w:basedOn w:val="DefaultParagraphFont"/>
    <w:rsid w:val="00C167A3"/>
    <w:rPr>
      <w:color w:val="0000FF"/>
      <w:u w:val="single"/>
    </w:rPr>
  </w:style>
  <w:style w:type="paragraph" w:styleId="Footer">
    <w:name w:val="footer"/>
    <w:basedOn w:val="Normal"/>
    <w:link w:val="FooterChar"/>
    <w:uiPriority w:val="99"/>
    <w:unhideWhenUsed/>
    <w:rsid w:val="00C167A3"/>
    <w:pPr>
      <w:tabs>
        <w:tab w:val="center" w:pos="4153"/>
        <w:tab w:val="right" w:pos="8306"/>
      </w:tabs>
    </w:pPr>
  </w:style>
  <w:style w:type="character" w:customStyle="1" w:styleId="FooterChar">
    <w:name w:val="Footer Char"/>
    <w:basedOn w:val="DefaultParagraphFont"/>
    <w:link w:val="Footer"/>
    <w:uiPriority w:val="99"/>
    <w:rsid w:val="00C167A3"/>
    <w:rPr>
      <w:rFonts w:ascii="RimHelvetica" w:eastAsia="Times New Roman" w:hAnsi="RimHelvetica" w:cs="Times New Roman"/>
      <w:sz w:val="20"/>
      <w:szCs w:val="20"/>
    </w:rPr>
  </w:style>
  <w:style w:type="paragraph" w:styleId="ListParagraph">
    <w:name w:val="List Paragraph"/>
    <w:basedOn w:val="Normal"/>
    <w:uiPriority w:val="34"/>
    <w:qFormat/>
    <w:rsid w:val="00C16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A3"/>
    <w:pPr>
      <w:spacing w:after="0" w:line="240" w:lineRule="auto"/>
    </w:pPr>
    <w:rPr>
      <w:rFonts w:ascii="RimHelvetica" w:eastAsia="Times New Roman" w:hAnsi="RimHelvetica" w:cs="Times New Roman"/>
      <w:sz w:val="20"/>
      <w:szCs w:val="20"/>
    </w:rPr>
  </w:style>
  <w:style w:type="paragraph" w:styleId="Heading1">
    <w:name w:val="heading 1"/>
    <w:basedOn w:val="Normal"/>
    <w:next w:val="Normal"/>
    <w:link w:val="Heading1Char"/>
    <w:qFormat/>
    <w:rsid w:val="00C167A3"/>
    <w:pPr>
      <w:keepNext/>
      <w:jc w:val="both"/>
      <w:outlineLvl w:val="0"/>
    </w:pPr>
    <w:rPr>
      <w:rFonts w:ascii="RimTimes" w:hAnsi="Rim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7A3"/>
    <w:rPr>
      <w:rFonts w:ascii="RimTimes" w:eastAsia="Times New Roman" w:hAnsi="RimTimes" w:cs="Times New Roman"/>
      <w:sz w:val="24"/>
      <w:szCs w:val="20"/>
    </w:rPr>
  </w:style>
  <w:style w:type="paragraph" w:styleId="Header">
    <w:name w:val="header"/>
    <w:basedOn w:val="Normal"/>
    <w:link w:val="HeaderChar"/>
    <w:uiPriority w:val="99"/>
    <w:unhideWhenUsed/>
    <w:rsid w:val="00C167A3"/>
    <w:pPr>
      <w:tabs>
        <w:tab w:val="center" w:pos="4153"/>
        <w:tab w:val="right" w:pos="8306"/>
      </w:tabs>
    </w:pPr>
  </w:style>
  <w:style w:type="character" w:customStyle="1" w:styleId="HeaderChar">
    <w:name w:val="Header Char"/>
    <w:basedOn w:val="DefaultParagraphFont"/>
    <w:link w:val="Header"/>
    <w:uiPriority w:val="99"/>
    <w:rsid w:val="00C167A3"/>
    <w:rPr>
      <w:rFonts w:ascii="RimHelvetica" w:eastAsia="Times New Roman" w:hAnsi="RimHelvetica" w:cs="Times New Roman"/>
      <w:sz w:val="20"/>
      <w:szCs w:val="20"/>
    </w:rPr>
  </w:style>
  <w:style w:type="paragraph" w:customStyle="1" w:styleId="tv213">
    <w:name w:val="tv213"/>
    <w:basedOn w:val="Normal"/>
    <w:rsid w:val="00C167A3"/>
    <w:pPr>
      <w:spacing w:before="100" w:beforeAutospacing="1" w:after="100" w:afterAutospacing="1"/>
    </w:pPr>
    <w:rPr>
      <w:rFonts w:ascii="Times New Roman" w:hAnsi="Times New Roman"/>
      <w:sz w:val="24"/>
      <w:szCs w:val="24"/>
      <w:lang w:eastAsia="lv-LV"/>
    </w:rPr>
  </w:style>
  <w:style w:type="character" w:styleId="Hyperlink">
    <w:name w:val="Hyperlink"/>
    <w:basedOn w:val="DefaultParagraphFont"/>
    <w:rsid w:val="00C167A3"/>
    <w:rPr>
      <w:color w:val="0000FF"/>
      <w:u w:val="single"/>
    </w:rPr>
  </w:style>
  <w:style w:type="paragraph" w:styleId="Footer">
    <w:name w:val="footer"/>
    <w:basedOn w:val="Normal"/>
    <w:link w:val="FooterChar"/>
    <w:uiPriority w:val="99"/>
    <w:unhideWhenUsed/>
    <w:rsid w:val="00C167A3"/>
    <w:pPr>
      <w:tabs>
        <w:tab w:val="center" w:pos="4153"/>
        <w:tab w:val="right" w:pos="8306"/>
      </w:tabs>
    </w:pPr>
  </w:style>
  <w:style w:type="character" w:customStyle="1" w:styleId="FooterChar">
    <w:name w:val="Footer Char"/>
    <w:basedOn w:val="DefaultParagraphFont"/>
    <w:link w:val="Footer"/>
    <w:uiPriority w:val="99"/>
    <w:rsid w:val="00C167A3"/>
    <w:rPr>
      <w:rFonts w:ascii="RimHelvetica" w:eastAsia="Times New Roman" w:hAnsi="RimHelvetica" w:cs="Times New Roman"/>
      <w:sz w:val="20"/>
      <w:szCs w:val="20"/>
    </w:rPr>
  </w:style>
  <w:style w:type="paragraph" w:styleId="ListParagraph">
    <w:name w:val="List Paragraph"/>
    <w:basedOn w:val="Normal"/>
    <w:uiPriority w:val="34"/>
    <w:qFormat/>
    <w:rsid w:val="00C16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radzevica@ie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3751</Words>
  <Characters>2139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4</cp:revision>
  <cp:lastPrinted>2013-08-30T13:04:00Z</cp:lastPrinted>
  <dcterms:created xsi:type="dcterms:W3CDTF">2013-08-29T07:27:00Z</dcterms:created>
  <dcterms:modified xsi:type="dcterms:W3CDTF">2013-08-30T13:17:00Z</dcterms:modified>
</cp:coreProperties>
</file>