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8110" w14:textId="283CED9E" w:rsidR="00D9070F" w:rsidRPr="00E4691F" w:rsidRDefault="00804D4D" w:rsidP="00E4691F">
      <w:pPr>
        <w:pStyle w:val="Heading1"/>
        <w:spacing w:before="0" w:after="0"/>
        <w:jc w:val="center"/>
        <w:rPr>
          <w:rFonts w:ascii="Times New Roman" w:hAnsi="Times New Roman"/>
          <w:bCs w:val="0"/>
          <w:sz w:val="28"/>
          <w:szCs w:val="24"/>
          <w:lang w:eastAsia="en-US"/>
        </w:rPr>
      </w:pPr>
      <w:r w:rsidRPr="00E4691F">
        <w:rPr>
          <w:rFonts w:ascii="Times New Roman" w:hAnsi="Times New Roman"/>
          <w:spacing w:val="-4"/>
          <w:sz w:val="28"/>
          <w:szCs w:val="24"/>
        </w:rPr>
        <w:t xml:space="preserve">Ministru kabineta </w:t>
      </w:r>
      <w:r w:rsidR="005E2D40" w:rsidRPr="00E4691F">
        <w:rPr>
          <w:rFonts w:ascii="Times New Roman" w:hAnsi="Times New Roman"/>
          <w:spacing w:val="-4"/>
          <w:sz w:val="28"/>
          <w:szCs w:val="24"/>
        </w:rPr>
        <w:t>instrukcijas</w:t>
      </w:r>
      <w:r w:rsidRPr="00E4691F">
        <w:rPr>
          <w:rFonts w:ascii="Times New Roman" w:hAnsi="Times New Roman"/>
          <w:spacing w:val="-4"/>
          <w:sz w:val="28"/>
          <w:szCs w:val="24"/>
        </w:rPr>
        <w:t xml:space="preserve"> projekta </w:t>
      </w:r>
      <w:r w:rsidR="000A0034">
        <w:rPr>
          <w:rFonts w:ascii="Times New Roman" w:hAnsi="Times New Roman"/>
          <w:sz w:val="28"/>
          <w:szCs w:val="24"/>
        </w:rPr>
        <w:t>"</w:t>
      </w:r>
      <w:r w:rsidR="005E2D40" w:rsidRPr="00E4691F">
        <w:rPr>
          <w:rFonts w:ascii="Times New Roman" w:hAnsi="Times New Roman"/>
          <w:bCs w:val="0"/>
          <w:sz w:val="28"/>
          <w:szCs w:val="24"/>
          <w:lang w:eastAsia="en-US"/>
        </w:rPr>
        <w:t>Grozījum</w:t>
      </w:r>
      <w:r w:rsidR="00FC0548" w:rsidRPr="00E4691F">
        <w:rPr>
          <w:rFonts w:ascii="Times New Roman" w:hAnsi="Times New Roman"/>
          <w:bCs w:val="0"/>
          <w:sz w:val="28"/>
          <w:szCs w:val="24"/>
          <w:lang w:eastAsia="en-US"/>
        </w:rPr>
        <w:t>i</w:t>
      </w:r>
      <w:r w:rsidR="005E2D40" w:rsidRPr="00E4691F">
        <w:rPr>
          <w:rFonts w:ascii="Times New Roman" w:hAnsi="Times New Roman"/>
          <w:bCs w:val="0"/>
          <w:sz w:val="28"/>
          <w:szCs w:val="24"/>
          <w:lang w:eastAsia="en-US"/>
        </w:rPr>
        <w:t xml:space="preserve"> Ministru kabineta </w:t>
      </w:r>
    </w:p>
    <w:p w14:paraId="789F8111" w14:textId="486A6BE8" w:rsidR="00D9070F" w:rsidRPr="00E4691F" w:rsidRDefault="005E2D40" w:rsidP="00E4691F">
      <w:pPr>
        <w:pStyle w:val="Heading1"/>
        <w:spacing w:before="0" w:after="0"/>
        <w:jc w:val="center"/>
        <w:rPr>
          <w:rFonts w:ascii="Times New Roman" w:hAnsi="Times New Roman"/>
          <w:bCs w:val="0"/>
          <w:sz w:val="28"/>
          <w:szCs w:val="24"/>
          <w:lang w:eastAsia="en-US"/>
        </w:rPr>
      </w:pPr>
      <w:r w:rsidRPr="00E4691F">
        <w:rPr>
          <w:rFonts w:ascii="Times New Roman" w:hAnsi="Times New Roman"/>
          <w:bCs w:val="0"/>
          <w:sz w:val="28"/>
          <w:szCs w:val="24"/>
          <w:lang w:eastAsia="en-US"/>
        </w:rPr>
        <w:t xml:space="preserve">2011.gada </w:t>
      </w:r>
      <w:proofErr w:type="spellStart"/>
      <w:r w:rsidRPr="00E4691F">
        <w:rPr>
          <w:rFonts w:ascii="Times New Roman" w:hAnsi="Times New Roman"/>
          <w:bCs w:val="0"/>
          <w:sz w:val="28"/>
          <w:szCs w:val="24"/>
          <w:lang w:eastAsia="en-US"/>
        </w:rPr>
        <w:t>4.janvāra</w:t>
      </w:r>
      <w:proofErr w:type="spellEnd"/>
      <w:r w:rsidRPr="00E4691F">
        <w:rPr>
          <w:rFonts w:ascii="Times New Roman" w:hAnsi="Times New Roman"/>
          <w:bCs w:val="0"/>
          <w:sz w:val="28"/>
          <w:szCs w:val="24"/>
          <w:lang w:eastAsia="en-US"/>
        </w:rPr>
        <w:t xml:space="preserve"> instrukcijā </w:t>
      </w:r>
      <w:proofErr w:type="spellStart"/>
      <w:r w:rsidRPr="00E4691F">
        <w:rPr>
          <w:rFonts w:ascii="Times New Roman" w:hAnsi="Times New Roman"/>
          <w:bCs w:val="0"/>
          <w:sz w:val="28"/>
          <w:szCs w:val="24"/>
          <w:lang w:eastAsia="en-US"/>
        </w:rPr>
        <w:t>Nr.1</w:t>
      </w:r>
      <w:proofErr w:type="spellEnd"/>
      <w:r w:rsidRPr="00E4691F">
        <w:rPr>
          <w:rFonts w:ascii="Times New Roman" w:hAnsi="Times New Roman"/>
          <w:bCs w:val="0"/>
          <w:sz w:val="28"/>
          <w:szCs w:val="24"/>
          <w:lang w:eastAsia="en-US"/>
        </w:rPr>
        <w:t xml:space="preserve"> </w:t>
      </w:r>
      <w:r w:rsidR="000A0034">
        <w:rPr>
          <w:rFonts w:ascii="Times New Roman" w:hAnsi="Times New Roman"/>
          <w:sz w:val="28"/>
          <w:szCs w:val="24"/>
        </w:rPr>
        <w:t>"</w:t>
      </w:r>
      <w:r w:rsidRPr="00E4691F">
        <w:rPr>
          <w:rFonts w:ascii="Times New Roman" w:hAnsi="Times New Roman"/>
          <w:bCs w:val="0"/>
          <w:sz w:val="28"/>
          <w:szCs w:val="24"/>
          <w:lang w:eastAsia="en-US"/>
        </w:rPr>
        <w:t xml:space="preserve">Kārtība, kādā izstrādā un aktualizē </w:t>
      </w:r>
    </w:p>
    <w:p w14:paraId="789F8112" w14:textId="040C0268" w:rsidR="00D9070F" w:rsidRPr="00E4691F" w:rsidRDefault="005E2D40" w:rsidP="00E4691F">
      <w:pPr>
        <w:pStyle w:val="Heading1"/>
        <w:spacing w:before="0" w:after="0"/>
        <w:jc w:val="center"/>
        <w:rPr>
          <w:rFonts w:ascii="Times New Roman" w:hAnsi="Times New Roman"/>
          <w:bCs w:val="0"/>
          <w:sz w:val="28"/>
          <w:szCs w:val="24"/>
          <w:lang w:eastAsia="en-US"/>
        </w:rPr>
      </w:pPr>
      <w:r w:rsidRPr="00E4691F">
        <w:rPr>
          <w:rFonts w:ascii="Times New Roman" w:hAnsi="Times New Roman"/>
          <w:bCs w:val="0"/>
          <w:sz w:val="28"/>
          <w:szCs w:val="24"/>
          <w:lang w:eastAsia="en-US"/>
        </w:rPr>
        <w:t>institūcijas darbības stratēģiju un novērtē tās ieviešanu</w:t>
      </w:r>
      <w:r w:rsidR="000A0034">
        <w:rPr>
          <w:rFonts w:ascii="Times New Roman" w:hAnsi="Times New Roman"/>
          <w:sz w:val="28"/>
          <w:szCs w:val="24"/>
        </w:rPr>
        <w:t>""</w:t>
      </w:r>
      <w:r w:rsidRPr="00E4691F">
        <w:rPr>
          <w:rFonts w:ascii="Times New Roman" w:hAnsi="Times New Roman"/>
          <w:bCs w:val="0"/>
          <w:sz w:val="28"/>
          <w:szCs w:val="24"/>
          <w:lang w:eastAsia="en-US"/>
        </w:rPr>
        <w:t xml:space="preserve"> </w:t>
      </w:r>
    </w:p>
    <w:p w14:paraId="789F8113" w14:textId="77777777" w:rsidR="00804D4D" w:rsidRPr="00E4691F" w:rsidRDefault="00804D4D" w:rsidP="00980F1B">
      <w:pPr>
        <w:pStyle w:val="Heading1"/>
        <w:spacing w:before="0" w:after="0"/>
        <w:jc w:val="center"/>
        <w:rPr>
          <w:rFonts w:ascii="Times New Roman" w:hAnsi="Times New Roman"/>
          <w:spacing w:val="-4"/>
          <w:sz w:val="28"/>
          <w:szCs w:val="24"/>
        </w:rPr>
      </w:pPr>
      <w:r w:rsidRPr="00E4691F">
        <w:rPr>
          <w:rFonts w:ascii="Times New Roman" w:hAnsi="Times New Roman"/>
          <w:spacing w:val="-4"/>
          <w:sz w:val="28"/>
          <w:szCs w:val="24"/>
        </w:rPr>
        <w:t>sākotnējās ietekmes novērtējuma ziņojums (anotācija)</w:t>
      </w:r>
    </w:p>
    <w:p w14:paraId="789F8114" w14:textId="77777777" w:rsidR="00FA338D" w:rsidRPr="00A14EF2" w:rsidRDefault="00FA338D" w:rsidP="00E4691F">
      <w:pPr>
        <w:pStyle w:val="naislab"/>
        <w:spacing w:before="0" w:after="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697"/>
        <w:gridCol w:w="7194"/>
      </w:tblGrid>
      <w:tr w:rsidR="00FA338D" w:rsidRPr="00344C35" w14:paraId="789F8116" w14:textId="77777777" w:rsidTr="00DD25A1">
        <w:tc>
          <w:tcPr>
            <w:tcW w:w="9287" w:type="dxa"/>
            <w:gridSpan w:val="3"/>
          </w:tcPr>
          <w:p w14:paraId="789F8115" w14:textId="77777777" w:rsidR="00FA338D" w:rsidRPr="00344C35" w:rsidRDefault="00FA338D" w:rsidP="00924EAB">
            <w:pPr>
              <w:pStyle w:val="naislab"/>
              <w:spacing w:before="60" w:after="60"/>
              <w:jc w:val="center"/>
              <w:outlineLvl w:val="0"/>
              <w:rPr>
                <w:b/>
              </w:rPr>
            </w:pPr>
            <w:r w:rsidRPr="00344C35">
              <w:rPr>
                <w:b/>
              </w:rPr>
              <w:t>I. Tiesību akta projekta izstrādes nepieciešamība</w:t>
            </w:r>
          </w:p>
        </w:tc>
      </w:tr>
      <w:tr w:rsidR="009538C1" w:rsidRPr="00344C35" w14:paraId="789F811C" w14:textId="77777777" w:rsidTr="00F91125">
        <w:tc>
          <w:tcPr>
            <w:tcW w:w="396" w:type="dxa"/>
          </w:tcPr>
          <w:p w14:paraId="789F8117" w14:textId="77777777" w:rsidR="00FA338D" w:rsidRPr="00344C35" w:rsidRDefault="00FA338D" w:rsidP="009A27D7">
            <w:pPr>
              <w:pStyle w:val="naislab"/>
              <w:spacing w:before="0" w:after="0"/>
              <w:jc w:val="left"/>
              <w:outlineLvl w:val="0"/>
            </w:pPr>
            <w:r w:rsidRPr="00344C35">
              <w:t>1.</w:t>
            </w:r>
          </w:p>
        </w:tc>
        <w:tc>
          <w:tcPr>
            <w:tcW w:w="1697" w:type="dxa"/>
          </w:tcPr>
          <w:p w14:paraId="789F8118" w14:textId="77777777" w:rsidR="00FA338D" w:rsidRPr="00344C35" w:rsidRDefault="00FA338D" w:rsidP="009A27D7">
            <w:pPr>
              <w:pStyle w:val="naislab"/>
              <w:spacing w:before="0" w:after="0"/>
              <w:jc w:val="left"/>
              <w:outlineLvl w:val="0"/>
            </w:pPr>
            <w:r w:rsidRPr="00344C35">
              <w:t>Pamatojums</w:t>
            </w:r>
          </w:p>
        </w:tc>
        <w:tc>
          <w:tcPr>
            <w:tcW w:w="7194" w:type="dxa"/>
          </w:tcPr>
          <w:p w14:paraId="789F8119" w14:textId="01246F52" w:rsidR="00FA338D" w:rsidRPr="00F91125" w:rsidRDefault="005E2D40" w:rsidP="009A27D7">
            <w:pPr>
              <w:pStyle w:val="naislab"/>
              <w:spacing w:before="0" w:after="0"/>
              <w:jc w:val="left"/>
              <w:rPr>
                <w:iCs/>
                <w:spacing w:val="-2"/>
              </w:rPr>
            </w:pPr>
            <w:r w:rsidRPr="00F91125">
              <w:rPr>
                <w:iCs/>
                <w:spacing w:val="-2"/>
              </w:rPr>
              <w:t xml:space="preserve">Ministru kabineta </w:t>
            </w:r>
            <w:proofErr w:type="spellStart"/>
            <w:r w:rsidRPr="00F91125">
              <w:rPr>
                <w:iCs/>
                <w:spacing w:val="-2"/>
              </w:rPr>
              <w:t>2009.gada</w:t>
            </w:r>
            <w:proofErr w:type="spellEnd"/>
            <w:r w:rsidRPr="00F91125">
              <w:rPr>
                <w:iCs/>
                <w:spacing w:val="-2"/>
              </w:rPr>
              <w:t xml:space="preserve"> </w:t>
            </w:r>
            <w:proofErr w:type="spellStart"/>
            <w:r w:rsidRPr="00F91125">
              <w:rPr>
                <w:iCs/>
                <w:spacing w:val="-2"/>
              </w:rPr>
              <w:t>13.oktobra</w:t>
            </w:r>
            <w:proofErr w:type="spellEnd"/>
            <w:r w:rsidRPr="00F91125">
              <w:rPr>
                <w:iCs/>
                <w:spacing w:val="-2"/>
              </w:rPr>
              <w:t xml:space="preserve"> noteikumu </w:t>
            </w:r>
            <w:proofErr w:type="spellStart"/>
            <w:r w:rsidRPr="00F91125">
              <w:rPr>
                <w:iCs/>
                <w:spacing w:val="-2"/>
              </w:rPr>
              <w:t>Nr.1178</w:t>
            </w:r>
            <w:proofErr w:type="spellEnd"/>
            <w:r w:rsidRPr="00F91125">
              <w:rPr>
                <w:iCs/>
                <w:spacing w:val="-2"/>
              </w:rPr>
              <w:t xml:space="preserve"> </w:t>
            </w:r>
            <w:r w:rsidR="000A0034" w:rsidRPr="00F91125">
              <w:rPr>
                <w:iCs/>
                <w:spacing w:val="-2"/>
              </w:rPr>
              <w:t>"</w:t>
            </w:r>
            <w:hyperlink r:id="rId9" w:tgtFrame="_blank" w:tooltip="Attīstības plānošanas dokumentu izstrādes un ietekmes izvērtēšanas noteikumi /Spēkā esošs/" w:history="1">
              <w:r w:rsidRPr="00F91125">
                <w:rPr>
                  <w:iCs/>
                  <w:spacing w:val="-2"/>
                </w:rPr>
                <w:t>Attīstības plānošanas dokumentu izstrādes un ietekmes izvērtēšanas noteikumi</w:t>
              </w:r>
            </w:hyperlink>
            <w:r w:rsidR="000A0034" w:rsidRPr="00F91125">
              <w:rPr>
                <w:iCs/>
                <w:spacing w:val="-2"/>
              </w:rPr>
              <w:t>"</w:t>
            </w:r>
            <w:r w:rsidRPr="00F91125">
              <w:rPr>
                <w:iCs/>
                <w:spacing w:val="-2"/>
              </w:rPr>
              <w:t xml:space="preserve"> </w:t>
            </w:r>
            <w:proofErr w:type="spellStart"/>
            <w:r w:rsidRPr="00F91125">
              <w:rPr>
                <w:iCs/>
                <w:spacing w:val="-2"/>
              </w:rPr>
              <w:t>25.punkts</w:t>
            </w:r>
            <w:proofErr w:type="spellEnd"/>
            <w:r w:rsidR="00F23E27">
              <w:rPr>
                <w:iCs/>
                <w:spacing w:val="-2"/>
              </w:rPr>
              <w:t>.</w:t>
            </w:r>
          </w:p>
          <w:p w14:paraId="789F811A" w14:textId="107AD61B" w:rsidR="000D5EFD" w:rsidRPr="00F91125" w:rsidRDefault="004C3DB0" w:rsidP="009A27D7">
            <w:pPr>
              <w:pStyle w:val="naislab"/>
              <w:spacing w:before="0" w:after="0"/>
              <w:jc w:val="left"/>
              <w:rPr>
                <w:spacing w:val="-2"/>
              </w:rPr>
            </w:pPr>
            <w:r w:rsidRPr="00F91125">
              <w:rPr>
                <w:spacing w:val="-2"/>
              </w:rPr>
              <w:t xml:space="preserve">Ministru kabineta 2012.gada </w:t>
            </w:r>
            <w:proofErr w:type="spellStart"/>
            <w:r w:rsidRPr="00F91125">
              <w:rPr>
                <w:spacing w:val="-2"/>
              </w:rPr>
              <w:t>10.aprīļa</w:t>
            </w:r>
            <w:proofErr w:type="spellEnd"/>
            <w:r w:rsidRPr="00F91125">
              <w:rPr>
                <w:spacing w:val="-2"/>
              </w:rPr>
              <w:t xml:space="preserve"> sēdes </w:t>
            </w:r>
            <w:proofErr w:type="spellStart"/>
            <w:r w:rsidRPr="00F91125">
              <w:rPr>
                <w:spacing w:val="-2"/>
              </w:rPr>
              <w:t>protokollēmuma</w:t>
            </w:r>
            <w:proofErr w:type="spellEnd"/>
            <w:r w:rsidRPr="00F91125">
              <w:rPr>
                <w:spacing w:val="-2"/>
              </w:rPr>
              <w:t xml:space="preserve"> (</w:t>
            </w:r>
            <w:r w:rsidR="00F23E27">
              <w:rPr>
                <w:spacing w:val="-2"/>
              </w:rPr>
              <w:t xml:space="preserve">prot. </w:t>
            </w:r>
            <w:proofErr w:type="spellStart"/>
            <w:r w:rsidRPr="00F91125">
              <w:rPr>
                <w:spacing w:val="-2"/>
              </w:rPr>
              <w:t>Nr.19</w:t>
            </w:r>
            <w:proofErr w:type="spellEnd"/>
            <w:r w:rsidRPr="00F91125">
              <w:rPr>
                <w:spacing w:val="-2"/>
              </w:rPr>
              <w:t xml:space="preserve"> 8.§) </w:t>
            </w:r>
            <w:r w:rsidR="000A0034" w:rsidRPr="00F91125">
              <w:rPr>
                <w:spacing w:val="-2"/>
              </w:rPr>
              <w:t>"</w:t>
            </w:r>
            <w:r w:rsidRPr="00F91125">
              <w:rPr>
                <w:spacing w:val="-2"/>
              </w:rPr>
              <w:t xml:space="preserve">Instrukcijas projekts </w:t>
            </w:r>
            <w:r w:rsidR="000A0034" w:rsidRPr="00F91125">
              <w:rPr>
                <w:spacing w:val="-2"/>
              </w:rPr>
              <w:t>"</w:t>
            </w:r>
            <w:r w:rsidRPr="00F91125">
              <w:rPr>
                <w:spacing w:val="-2"/>
              </w:rPr>
              <w:t xml:space="preserve">Grozījumi Ministru kabineta 2011.gada </w:t>
            </w:r>
            <w:proofErr w:type="spellStart"/>
            <w:r w:rsidRPr="00F91125">
              <w:rPr>
                <w:spacing w:val="-2"/>
              </w:rPr>
              <w:t>4.janvāra</w:t>
            </w:r>
            <w:proofErr w:type="spellEnd"/>
            <w:r w:rsidRPr="00F91125">
              <w:rPr>
                <w:spacing w:val="-2"/>
              </w:rPr>
              <w:t xml:space="preserve"> instrukcijā </w:t>
            </w:r>
            <w:proofErr w:type="spellStart"/>
            <w:r w:rsidRPr="00F91125">
              <w:rPr>
                <w:spacing w:val="-2"/>
              </w:rPr>
              <w:t>Nr.1</w:t>
            </w:r>
            <w:proofErr w:type="spellEnd"/>
            <w:r w:rsidRPr="00F91125">
              <w:rPr>
                <w:spacing w:val="-2"/>
              </w:rPr>
              <w:t xml:space="preserve"> </w:t>
            </w:r>
            <w:r w:rsidR="000A0034" w:rsidRPr="00F91125">
              <w:rPr>
                <w:spacing w:val="-2"/>
              </w:rPr>
              <w:t>"</w:t>
            </w:r>
            <w:r w:rsidRPr="00F91125">
              <w:rPr>
                <w:spacing w:val="-2"/>
              </w:rPr>
              <w:t>Kārtība, kādā izstrādā un aktualizē institūcijas darbības stratēģiju un novērtē tās ieviešanu</w:t>
            </w:r>
            <w:r w:rsidR="000A0034" w:rsidRPr="00F91125">
              <w:rPr>
                <w:spacing w:val="-2"/>
              </w:rPr>
              <w:t>"""</w:t>
            </w:r>
            <w:r w:rsidRPr="00F91125">
              <w:rPr>
                <w:spacing w:val="-2"/>
              </w:rPr>
              <w:t xml:space="preserve"> (</w:t>
            </w:r>
            <w:proofErr w:type="spellStart"/>
            <w:r w:rsidRPr="00F91125">
              <w:rPr>
                <w:spacing w:val="-2"/>
              </w:rPr>
              <w:t>TA-802)</w:t>
            </w:r>
            <w:proofErr w:type="spellEnd"/>
            <w:r w:rsidRPr="00F91125">
              <w:rPr>
                <w:spacing w:val="-2"/>
              </w:rPr>
              <w:t xml:space="preserve"> </w:t>
            </w:r>
            <w:proofErr w:type="spellStart"/>
            <w:r w:rsidRPr="00F91125">
              <w:rPr>
                <w:spacing w:val="-2"/>
              </w:rPr>
              <w:t>2.2.apakšpunkts</w:t>
            </w:r>
            <w:proofErr w:type="spellEnd"/>
            <w:r w:rsidR="00F23E27">
              <w:rPr>
                <w:spacing w:val="-2"/>
              </w:rPr>
              <w:t>.</w:t>
            </w:r>
          </w:p>
          <w:p w14:paraId="789F811B" w14:textId="17A12BA2" w:rsidR="00C470AC" w:rsidRPr="00F91125" w:rsidRDefault="00C470AC" w:rsidP="00980F1B">
            <w:pPr>
              <w:pStyle w:val="naislab"/>
              <w:spacing w:before="0" w:after="0"/>
              <w:jc w:val="left"/>
              <w:rPr>
                <w:spacing w:val="-2"/>
              </w:rPr>
            </w:pPr>
            <w:r w:rsidRPr="00F91125">
              <w:rPr>
                <w:spacing w:val="-2"/>
              </w:rPr>
              <w:t xml:space="preserve">Valsts kancelejas direktora 2012.gada </w:t>
            </w:r>
            <w:proofErr w:type="spellStart"/>
            <w:r w:rsidRPr="00F91125">
              <w:rPr>
                <w:spacing w:val="-2"/>
              </w:rPr>
              <w:t>16.aprīļa</w:t>
            </w:r>
            <w:proofErr w:type="spellEnd"/>
            <w:r w:rsidRPr="00F91125">
              <w:rPr>
                <w:spacing w:val="-2"/>
              </w:rPr>
              <w:t xml:space="preserve"> rezolūcija </w:t>
            </w:r>
            <w:proofErr w:type="spellStart"/>
            <w:r w:rsidRPr="00F91125">
              <w:rPr>
                <w:spacing w:val="-2"/>
              </w:rPr>
              <w:t>Nr.05</w:t>
            </w:r>
            <w:proofErr w:type="spellEnd"/>
            <w:r w:rsidRPr="00F91125">
              <w:rPr>
                <w:spacing w:val="-2"/>
              </w:rPr>
              <w:t>/</w:t>
            </w:r>
            <w:proofErr w:type="spellStart"/>
            <w:r w:rsidRPr="00F91125">
              <w:rPr>
                <w:spacing w:val="-2"/>
              </w:rPr>
              <w:t>2012-MK.PROT-19#8</w:t>
            </w:r>
            <w:proofErr w:type="spellEnd"/>
          </w:p>
        </w:tc>
      </w:tr>
      <w:tr w:rsidR="009538C1" w:rsidRPr="00344C35" w14:paraId="789F8125" w14:textId="77777777" w:rsidTr="00F91125">
        <w:tc>
          <w:tcPr>
            <w:tcW w:w="396" w:type="dxa"/>
          </w:tcPr>
          <w:p w14:paraId="789F811D" w14:textId="77777777" w:rsidR="00FA338D" w:rsidRPr="00344C35" w:rsidRDefault="00FA338D" w:rsidP="009A27D7">
            <w:pPr>
              <w:pStyle w:val="naislab"/>
              <w:spacing w:before="0" w:after="0"/>
              <w:jc w:val="left"/>
              <w:outlineLvl w:val="0"/>
            </w:pPr>
            <w:r w:rsidRPr="00344C35">
              <w:t>2.</w:t>
            </w:r>
          </w:p>
        </w:tc>
        <w:tc>
          <w:tcPr>
            <w:tcW w:w="1697" w:type="dxa"/>
          </w:tcPr>
          <w:p w14:paraId="789F811E" w14:textId="77777777" w:rsidR="00FA338D" w:rsidRPr="00344C35" w:rsidRDefault="00FA338D" w:rsidP="009A27D7">
            <w:pPr>
              <w:pStyle w:val="naislab"/>
              <w:spacing w:before="0" w:after="0"/>
              <w:jc w:val="left"/>
              <w:outlineLvl w:val="0"/>
            </w:pPr>
            <w:r w:rsidRPr="00344C35">
              <w:t>Pašreizējā situācija un problēmas</w:t>
            </w:r>
          </w:p>
        </w:tc>
        <w:tc>
          <w:tcPr>
            <w:tcW w:w="7194" w:type="dxa"/>
          </w:tcPr>
          <w:p w14:paraId="789F811F" w14:textId="1115B16B" w:rsidR="000C3D81" w:rsidRPr="00344C35" w:rsidRDefault="000C3D81" w:rsidP="009A27D7">
            <w:r w:rsidRPr="00344C35">
              <w:t>Ministru kabineta</w:t>
            </w:r>
            <w:r w:rsidR="008B0F92" w:rsidRPr="00344C35">
              <w:t xml:space="preserve"> 2011.gada </w:t>
            </w:r>
            <w:proofErr w:type="spellStart"/>
            <w:r w:rsidR="008B0F92" w:rsidRPr="00344C35">
              <w:t>4.janvāra</w:t>
            </w:r>
            <w:proofErr w:type="spellEnd"/>
            <w:r w:rsidR="008B0F92" w:rsidRPr="00344C35">
              <w:t xml:space="preserve"> </w:t>
            </w:r>
            <w:r w:rsidRPr="00344C35">
              <w:t xml:space="preserve">instrukcija </w:t>
            </w:r>
            <w:proofErr w:type="spellStart"/>
            <w:r w:rsidR="00C77DF3">
              <w:t>Nr.1</w:t>
            </w:r>
            <w:proofErr w:type="spellEnd"/>
            <w:r w:rsidR="00C77DF3">
              <w:t xml:space="preserve"> </w:t>
            </w:r>
            <w:r w:rsidR="000A0034">
              <w:t>"</w:t>
            </w:r>
            <w:r w:rsidR="00B20919" w:rsidRPr="00344C35">
              <w:t>Kārtība, kādā izstrādā un aktualizē institūcijas darbības stratēģiju un novērtē tās ie</w:t>
            </w:r>
            <w:r w:rsidR="00E41C9A" w:rsidRPr="00344C35">
              <w:t>viešanu</w:t>
            </w:r>
            <w:r w:rsidR="000A0034">
              <w:t>"</w:t>
            </w:r>
            <w:r w:rsidR="00E41C9A" w:rsidRPr="00344C35">
              <w:t xml:space="preserve"> (turpmāk – instrukcija</w:t>
            </w:r>
            <w:r w:rsidR="004A0D5E">
              <w:t xml:space="preserve"> </w:t>
            </w:r>
            <w:proofErr w:type="spellStart"/>
            <w:r w:rsidR="004A0D5E">
              <w:t>Nr.1</w:t>
            </w:r>
            <w:proofErr w:type="spellEnd"/>
            <w:r w:rsidR="00B20919" w:rsidRPr="00344C35">
              <w:t>) izstrādāt</w:t>
            </w:r>
            <w:r w:rsidRPr="00344C35">
              <w:t>a</w:t>
            </w:r>
            <w:r w:rsidR="00B20919" w:rsidRPr="00344C35">
              <w:t xml:space="preserve">, pamatojoties uz Ministru kabineta </w:t>
            </w:r>
            <w:proofErr w:type="spellStart"/>
            <w:r w:rsidR="00B20919" w:rsidRPr="00344C35">
              <w:t>2009.gada</w:t>
            </w:r>
            <w:proofErr w:type="spellEnd"/>
            <w:r w:rsidR="00B20919" w:rsidRPr="00344C35">
              <w:t xml:space="preserve"> </w:t>
            </w:r>
            <w:proofErr w:type="spellStart"/>
            <w:r w:rsidR="00B20919" w:rsidRPr="00344C35">
              <w:t>13.oktobra</w:t>
            </w:r>
            <w:proofErr w:type="spellEnd"/>
            <w:r w:rsidR="00B20919" w:rsidRPr="00344C35">
              <w:t xml:space="preserve"> noteikumu </w:t>
            </w:r>
            <w:proofErr w:type="spellStart"/>
            <w:r w:rsidR="00B20919" w:rsidRPr="00344C35">
              <w:t>Nr.1178</w:t>
            </w:r>
            <w:proofErr w:type="spellEnd"/>
            <w:r w:rsidR="00B20919" w:rsidRPr="00344C35">
              <w:t xml:space="preserve"> </w:t>
            </w:r>
            <w:r w:rsidR="000A0034">
              <w:t>"</w:t>
            </w:r>
            <w:r w:rsidR="00B20919" w:rsidRPr="00344C35">
              <w:t>Attīstības plānošanas dokumentu izstrādes un ietekmes izvērtēšanas noteikumi</w:t>
            </w:r>
            <w:r w:rsidR="000A0034">
              <w:t>"</w:t>
            </w:r>
            <w:r w:rsidR="00B20919" w:rsidRPr="00344C35">
              <w:t xml:space="preserve"> </w:t>
            </w:r>
            <w:r w:rsidR="00C716E2" w:rsidRPr="00344C35">
              <w:t>(turpmāk – noteikum</w:t>
            </w:r>
            <w:r w:rsidR="00C716E2">
              <w:t>i</w:t>
            </w:r>
            <w:r w:rsidR="00C716E2" w:rsidRPr="00344C35">
              <w:t xml:space="preserve"> </w:t>
            </w:r>
            <w:proofErr w:type="spellStart"/>
            <w:r w:rsidR="00C716E2" w:rsidRPr="00344C35">
              <w:t>Nr.1178</w:t>
            </w:r>
            <w:proofErr w:type="spellEnd"/>
            <w:r w:rsidR="00C716E2" w:rsidRPr="00344C35">
              <w:t xml:space="preserve">) </w:t>
            </w:r>
            <w:proofErr w:type="spellStart"/>
            <w:r w:rsidR="00B20919" w:rsidRPr="00344C35">
              <w:t>25.punktu</w:t>
            </w:r>
            <w:proofErr w:type="spellEnd"/>
            <w:r w:rsidR="00FC50CB" w:rsidRPr="00344C35">
              <w:t xml:space="preserve">, kas nosaka, ka </w:t>
            </w:r>
            <w:r w:rsidR="000A0034">
              <w:t>"</w:t>
            </w:r>
            <w:r w:rsidR="00FC50CB" w:rsidRPr="00344C35">
              <w:t>i</w:t>
            </w:r>
            <w:r w:rsidR="00B20919" w:rsidRPr="00344C35">
              <w:t>nstitūcijas darbības stratēģijas saturu, kā arī kārtību, kādā to izstrādā, aktualizē un novērtē tās ieviešanu, nosak</w:t>
            </w:r>
            <w:r w:rsidR="00FC50CB" w:rsidRPr="00344C35">
              <w:t>a Ministru kabineta instrukcija</w:t>
            </w:r>
            <w:r w:rsidR="000A0034">
              <w:t>"</w:t>
            </w:r>
            <w:r w:rsidR="00B20919" w:rsidRPr="00344C35">
              <w:t xml:space="preserve">. </w:t>
            </w:r>
          </w:p>
          <w:p w14:paraId="09947D01" w14:textId="1E71942E" w:rsidR="009D4ACE" w:rsidRDefault="00B20919" w:rsidP="009A27D7">
            <w:r w:rsidRPr="00344C35">
              <w:t xml:space="preserve">Instrukcijas noslēguma jautājumos </w:t>
            </w:r>
            <w:r w:rsidR="00032CCD">
              <w:t xml:space="preserve">sākotnēji bija </w:t>
            </w:r>
            <w:r w:rsidRPr="00344C35">
              <w:t>noteikts, ka nākamais plānošanas cikls ilgst no 2012. līdz 2014.gadam, bet stratēģiju projektus izskatīšanai Ministru kabinetā iesniedz līdz 2012.gada 1.martam.</w:t>
            </w:r>
            <w:r w:rsidR="00032CCD">
              <w:t xml:space="preserve"> </w:t>
            </w:r>
            <w:r w:rsidR="000C3D81" w:rsidRPr="00344C35">
              <w:t>T</w:t>
            </w:r>
            <w:r w:rsidR="00901EDF">
              <w:t>aču</w:t>
            </w:r>
            <w:r w:rsidR="000C3D81" w:rsidRPr="00344C35">
              <w:t xml:space="preserve"> </w:t>
            </w:r>
            <w:r w:rsidR="008E02D9" w:rsidRPr="00344C35">
              <w:t xml:space="preserve">sakarā ar </w:t>
            </w:r>
            <w:r w:rsidR="000C3D81" w:rsidRPr="00344C35">
              <w:t xml:space="preserve">ārkārtas </w:t>
            </w:r>
            <w:proofErr w:type="spellStart"/>
            <w:r w:rsidR="008E02D9" w:rsidRPr="00344C35">
              <w:t>11.</w:t>
            </w:r>
            <w:r w:rsidR="000C3D81" w:rsidRPr="00344C35">
              <w:t>Saeimas</w:t>
            </w:r>
            <w:proofErr w:type="spellEnd"/>
            <w:r w:rsidR="000C3D81" w:rsidRPr="00344C35">
              <w:t xml:space="preserve"> vēl</w:t>
            </w:r>
            <w:r w:rsidR="008E02D9" w:rsidRPr="00344C35">
              <w:t xml:space="preserve">ēšanām likums </w:t>
            </w:r>
            <w:r w:rsidR="000A0034">
              <w:t>"</w:t>
            </w:r>
            <w:r w:rsidR="008E02D9" w:rsidRPr="00344C35">
              <w:t>Par valsts budžetu 2012.gadam</w:t>
            </w:r>
            <w:r w:rsidR="000A0034">
              <w:t>"</w:t>
            </w:r>
            <w:r w:rsidR="008E02D9" w:rsidRPr="00344C35">
              <w:t xml:space="preserve"> tika apsti</w:t>
            </w:r>
            <w:r w:rsidR="00555FFD" w:rsidRPr="00344C35">
              <w:t xml:space="preserve">prināts tikai 2011.gada </w:t>
            </w:r>
            <w:proofErr w:type="spellStart"/>
            <w:r w:rsidR="00654723" w:rsidRPr="00344C35">
              <w:t>15.</w:t>
            </w:r>
            <w:r w:rsidR="00555FFD" w:rsidRPr="00344C35">
              <w:t>decembrī</w:t>
            </w:r>
            <w:proofErr w:type="spellEnd"/>
            <w:r w:rsidR="00555FFD" w:rsidRPr="00344C35">
              <w:t xml:space="preserve">, </w:t>
            </w:r>
            <w:r w:rsidR="00901EDF">
              <w:t xml:space="preserve">tāpēc </w:t>
            </w:r>
            <w:r w:rsidR="00555FFD" w:rsidRPr="00344C35">
              <w:t xml:space="preserve">institūcijas </w:t>
            </w:r>
            <w:r w:rsidR="00F23E27" w:rsidRPr="00344C35">
              <w:t xml:space="preserve">nevarēja </w:t>
            </w:r>
            <w:r w:rsidR="00F23E27">
              <w:t>laikus</w:t>
            </w:r>
            <w:r w:rsidR="00F23E27" w:rsidRPr="00344C35">
              <w:t xml:space="preserve"> uzsākt</w:t>
            </w:r>
            <w:r w:rsidR="00F23E27">
              <w:t xml:space="preserve"> </w:t>
            </w:r>
            <w:r w:rsidR="00C77DF3">
              <w:t>to darbības stratēģiju 2012.</w:t>
            </w:r>
            <w:r w:rsidR="00901EDF">
              <w:t>–</w:t>
            </w:r>
            <w:proofErr w:type="spellStart"/>
            <w:r w:rsidR="00C77DF3">
              <w:t>2014.gadam</w:t>
            </w:r>
            <w:proofErr w:type="spellEnd"/>
            <w:r w:rsidR="00C77DF3">
              <w:t xml:space="preserve"> </w:t>
            </w:r>
            <w:r w:rsidR="00555FFD" w:rsidRPr="00344C35">
              <w:t>izst</w:t>
            </w:r>
            <w:r w:rsidR="00CB5932" w:rsidRPr="00344C35">
              <w:t xml:space="preserve">rādi. </w:t>
            </w:r>
          </w:p>
          <w:p w14:paraId="789F8121" w14:textId="37D1D57F" w:rsidR="001B31ED" w:rsidRDefault="00901EDF" w:rsidP="009A27D7">
            <w:r w:rsidRPr="001925DA">
              <w:rPr>
                <w:spacing w:val="-2"/>
              </w:rPr>
              <w:t>Turklāt</w:t>
            </w:r>
            <w:r w:rsidR="00CB5932" w:rsidRPr="001925DA">
              <w:rPr>
                <w:spacing w:val="-2"/>
              </w:rPr>
              <w:t xml:space="preserve"> </w:t>
            </w:r>
            <w:r w:rsidR="00CB5932" w:rsidRPr="001925DA">
              <w:rPr>
                <w:rFonts w:eastAsia="Calibri"/>
                <w:spacing w:val="-2"/>
              </w:rPr>
              <w:t xml:space="preserve">2012.gada </w:t>
            </w:r>
            <w:proofErr w:type="spellStart"/>
            <w:r w:rsidR="00CB5932" w:rsidRPr="001925DA">
              <w:rPr>
                <w:rFonts w:eastAsia="Calibri"/>
                <w:spacing w:val="-2"/>
              </w:rPr>
              <w:t>1.janvārī</w:t>
            </w:r>
            <w:proofErr w:type="spellEnd"/>
            <w:r w:rsidR="00CB5932" w:rsidRPr="001925DA">
              <w:rPr>
                <w:rFonts w:eastAsia="Calibri"/>
                <w:spacing w:val="-2"/>
              </w:rPr>
              <w:t xml:space="preserve"> </w:t>
            </w:r>
            <w:r w:rsidR="00B2258B" w:rsidRPr="001925DA">
              <w:rPr>
                <w:rFonts w:eastAsia="Calibri"/>
                <w:spacing w:val="-2"/>
              </w:rPr>
              <w:t>stājās spēkā grozījumi Likumā par budžet</w:t>
            </w:r>
            <w:r w:rsidR="004A0D5E" w:rsidRPr="001925DA">
              <w:rPr>
                <w:rFonts w:eastAsia="Calibri"/>
                <w:spacing w:val="-2"/>
              </w:rPr>
              <w:t>u</w:t>
            </w:r>
            <w:r w:rsidR="00B2258B" w:rsidRPr="001925DA">
              <w:rPr>
                <w:rFonts w:eastAsia="Calibri"/>
                <w:spacing w:val="-2"/>
              </w:rPr>
              <w:t xml:space="preserve"> un finanšu vadību</w:t>
            </w:r>
            <w:r w:rsidR="00CB5932" w:rsidRPr="001925DA">
              <w:rPr>
                <w:rFonts w:eastAsia="Calibri"/>
                <w:spacing w:val="-2"/>
              </w:rPr>
              <w:t>, kas paredz, ka f</w:t>
            </w:r>
            <w:r w:rsidR="00CB5932" w:rsidRPr="001925DA">
              <w:rPr>
                <w:spacing w:val="-2"/>
              </w:rPr>
              <w:t>inanšu ministrs ir atbildīgs par vidēja termiņa budžeta ietvara likuma projekta, gadskārtējā valsts budžeta likuma projekta (budžeta likumprojektu paketes) un tam pievienojamo paskaidrojumu izstrādāšanu</w:t>
            </w:r>
            <w:r w:rsidR="00CB5932" w:rsidRPr="001925DA">
              <w:rPr>
                <w:rFonts w:eastAsia="Calibri"/>
                <w:spacing w:val="-2"/>
              </w:rPr>
              <w:t>. Likums nosaka, ka f</w:t>
            </w:r>
            <w:r w:rsidR="00CB5932" w:rsidRPr="001925DA">
              <w:rPr>
                <w:spacing w:val="-2"/>
              </w:rPr>
              <w:t xml:space="preserve">inanšu ministrs katru gadu izstrādā </w:t>
            </w:r>
            <w:r w:rsidRPr="001925DA">
              <w:rPr>
                <w:spacing w:val="-2"/>
              </w:rPr>
              <w:t xml:space="preserve">un iesniedz Ministru kabinetā </w:t>
            </w:r>
            <w:r w:rsidR="00CB5932" w:rsidRPr="001925DA">
              <w:rPr>
                <w:spacing w:val="-2"/>
              </w:rPr>
              <w:t xml:space="preserve">vidēja termiņa budžeta ietvara likumprojektu nākamajiem trim saimnieciskajiem gadiem, </w:t>
            </w:r>
            <w:r w:rsidR="00F23E27">
              <w:rPr>
                <w:spacing w:val="-2"/>
              </w:rPr>
              <w:t>tajā</w:t>
            </w:r>
            <w:r w:rsidRPr="001925DA">
              <w:rPr>
                <w:spacing w:val="-2"/>
              </w:rPr>
              <w:t xml:space="preserve"> </w:t>
            </w:r>
            <w:r w:rsidR="00CB5932" w:rsidRPr="001925DA">
              <w:rPr>
                <w:spacing w:val="-2"/>
              </w:rPr>
              <w:t>nosakot maksimāli pieļaujamo valsts budžeta izdevumu kopapjomu, kā arī maksimāli pieļaujamo valsts budžeta kopējo izdevumu apjomu katrai ministrijai un citai centrālajai valsts iestādei.</w:t>
            </w:r>
            <w:r w:rsidR="00B2258B" w:rsidRPr="001925DA">
              <w:rPr>
                <w:spacing w:val="-2"/>
              </w:rPr>
              <w:t xml:space="preserve"> </w:t>
            </w:r>
            <w:r w:rsidR="00CB5932" w:rsidRPr="001925DA">
              <w:rPr>
                <w:spacing w:val="-2"/>
              </w:rPr>
              <w:t xml:space="preserve">Saskaņā ar Likuma par budžetu un finanšu vadību pārejas noteikumu </w:t>
            </w:r>
            <w:proofErr w:type="spellStart"/>
            <w:r w:rsidR="00CB5932" w:rsidRPr="001925DA">
              <w:rPr>
                <w:spacing w:val="-2"/>
              </w:rPr>
              <w:t>62.punktu</w:t>
            </w:r>
            <w:proofErr w:type="spellEnd"/>
            <w:r w:rsidR="00CB5932" w:rsidRPr="001925DA">
              <w:rPr>
                <w:spacing w:val="-2"/>
              </w:rPr>
              <w:t xml:space="preserve"> kopā ar </w:t>
            </w:r>
            <w:r w:rsidRPr="001925DA">
              <w:rPr>
                <w:spacing w:val="-2"/>
              </w:rPr>
              <w:t xml:space="preserve">likumprojektu </w:t>
            </w:r>
            <w:r w:rsidR="000A0034" w:rsidRPr="001925DA">
              <w:rPr>
                <w:spacing w:val="-2"/>
              </w:rPr>
              <w:t>"</w:t>
            </w:r>
            <w:r w:rsidR="00CB5932" w:rsidRPr="001925DA">
              <w:rPr>
                <w:spacing w:val="-2"/>
              </w:rPr>
              <w:t xml:space="preserve">Par valsts budžetu </w:t>
            </w:r>
            <w:proofErr w:type="spellStart"/>
            <w:r w:rsidR="00CB5932" w:rsidRPr="001925DA">
              <w:rPr>
                <w:spacing w:val="-2"/>
              </w:rPr>
              <w:t>2013.gadam</w:t>
            </w:r>
            <w:proofErr w:type="spellEnd"/>
            <w:r w:rsidR="000A0034" w:rsidRPr="001925DA">
              <w:rPr>
                <w:spacing w:val="-2"/>
              </w:rPr>
              <w:t>"</w:t>
            </w:r>
            <w:r w:rsidR="00CB5932" w:rsidRPr="001925DA">
              <w:rPr>
                <w:spacing w:val="-2"/>
              </w:rPr>
              <w:t xml:space="preserve"> (budžeta likumpr</w:t>
            </w:r>
            <w:r w:rsidR="00514379" w:rsidRPr="001925DA">
              <w:rPr>
                <w:spacing w:val="-2"/>
              </w:rPr>
              <w:t xml:space="preserve">ojektu paketē) Ministru kabinetam </w:t>
            </w:r>
            <w:r w:rsidR="009D4ACE" w:rsidRPr="001925DA">
              <w:rPr>
                <w:spacing w:val="-2"/>
              </w:rPr>
              <w:t xml:space="preserve">līdz 2012.gada </w:t>
            </w:r>
            <w:proofErr w:type="spellStart"/>
            <w:r w:rsidR="009D4ACE" w:rsidRPr="001925DA">
              <w:rPr>
                <w:spacing w:val="-2"/>
              </w:rPr>
              <w:t>1.oktobrim</w:t>
            </w:r>
            <w:proofErr w:type="spellEnd"/>
            <w:r w:rsidR="009D4ACE" w:rsidRPr="001925DA">
              <w:rPr>
                <w:spacing w:val="-2"/>
              </w:rPr>
              <w:t xml:space="preserve"> </w:t>
            </w:r>
            <w:r w:rsidR="00514379" w:rsidRPr="001925DA">
              <w:rPr>
                <w:spacing w:val="-2"/>
              </w:rPr>
              <w:t>bija jāiesniedz</w:t>
            </w:r>
            <w:r w:rsidR="00CB5932" w:rsidRPr="001925DA">
              <w:rPr>
                <w:spacing w:val="-2"/>
              </w:rPr>
              <w:t xml:space="preserve"> Saeim</w:t>
            </w:r>
            <w:r w:rsidRPr="001925DA">
              <w:rPr>
                <w:spacing w:val="-2"/>
              </w:rPr>
              <w:t>ā</w:t>
            </w:r>
            <w:r w:rsidR="00CB5932" w:rsidRPr="001925DA">
              <w:rPr>
                <w:spacing w:val="-2"/>
              </w:rPr>
              <w:t xml:space="preserve"> </w:t>
            </w:r>
            <w:r w:rsidR="001925DA" w:rsidRPr="001925DA">
              <w:rPr>
                <w:spacing w:val="-2"/>
              </w:rPr>
              <w:t>likumprojekts "Par vidēja termiņa budžeta ietvara likumu 2013.–</w:t>
            </w:r>
            <w:proofErr w:type="spellStart"/>
            <w:r w:rsidR="001925DA" w:rsidRPr="001925DA">
              <w:rPr>
                <w:spacing w:val="-2"/>
              </w:rPr>
              <w:t>2015.gadam</w:t>
            </w:r>
            <w:proofErr w:type="spellEnd"/>
            <w:r w:rsidR="001925DA" w:rsidRPr="001925DA">
              <w:rPr>
                <w:spacing w:val="-2"/>
              </w:rPr>
              <w:t>"</w:t>
            </w:r>
            <w:r w:rsidR="00CB5932" w:rsidRPr="001925DA">
              <w:rPr>
                <w:spacing w:val="-2"/>
              </w:rPr>
              <w:t>, kurš būtu uzskatāms par pamatu finansējuma norādīšanai institūcijas darbības stratēģijā 2013. un turpmāk</w:t>
            </w:r>
            <w:r w:rsidR="009D4ACE" w:rsidRPr="001925DA">
              <w:rPr>
                <w:spacing w:val="-2"/>
              </w:rPr>
              <w:t>ajie</w:t>
            </w:r>
            <w:r w:rsidR="00CB5932" w:rsidRPr="001925DA">
              <w:rPr>
                <w:spacing w:val="-2"/>
              </w:rPr>
              <w:t>m gadiem.</w:t>
            </w:r>
            <w:r w:rsidR="00B2258B" w:rsidRPr="001925DA">
              <w:rPr>
                <w:spacing w:val="-2"/>
              </w:rPr>
              <w:t xml:space="preserve"> </w:t>
            </w:r>
            <w:r w:rsidR="009D4ACE" w:rsidRPr="001925DA">
              <w:rPr>
                <w:spacing w:val="-2"/>
              </w:rPr>
              <w:t>T</w:t>
            </w:r>
            <w:r w:rsidR="00CB5932" w:rsidRPr="001925DA">
              <w:rPr>
                <w:spacing w:val="-2"/>
              </w:rPr>
              <w:t>urpmāk saskaņā ar Likuma par budžetu un finanšu vadību 16</w:t>
            </w:r>
            <w:r w:rsidR="009D4ACE" w:rsidRPr="001925DA">
              <w:rPr>
                <w:spacing w:val="-2"/>
              </w:rPr>
              <w:t>.</w:t>
            </w:r>
            <w:r w:rsidR="00CB5932" w:rsidRPr="001925DA">
              <w:rPr>
                <w:spacing w:val="-2"/>
                <w:vertAlign w:val="superscript"/>
              </w:rPr>
              <w:t>2</w:t>
            </w:r>
            <w:r w:rsidR="009D4ACE" w:rsidRPr="001925DA">
              <w:rPr>
                <w:spacing w:val="-2"/>
                <w:vertAlign w:val="superscript"/>
              </w:rPr>
              <w:t> </w:t>
            </w:r>
            <w:r w:rsidR="00B2258B" w:rsidRPr="001925DA">
              <w:rPr>
                <w:spacing w:val="-2"/>
              </w:rPr>
              <w:t xml:space="preserve">panta </w:t>
            </w:r>
            <w:r w:rsidR="008C19A6" w:rsidRPr="001925DA">
              <w:rPr>
                <w:spacing w:val="-2"/>
              </w:rPr>
              <w:t>desmito daļu</w:t>
            </w:r>
            <w:r w:rsidR="00CB5932" w:rsidRPr="001925DA">
              <w:rPr>
                <w:spacing w:val="-2"/>
              </w:rPr>
              <w:t xml:space="preserve"> Ministru kabinetam </w:t>
            </w:r>
            <w:r w:rsidR="009D4ACE" w:rsidRPr="001925DA">
              <w:rPr>
                <w:spacing w:val="-2"/>
              </w:rPr>
              <w:t>v</w:t>
            </w:r>
            <w:r w:rsidR="00CB5932" w:rsidRPr="001925DA">
              <w:rPr>
                <w:spacing w:val="-2"/>
              </w:rPr>
              <w:t>idēja termiņa budžeta ietvara likumprojekts trim turpmā</w:t>
            </w:r>
            <w:r w:rsidR="009D4ACE" w:rsidRPr="001925DA">
              <w:rPr>
                <w:spacing w:val="-2"/>
              </w:rPr>
              <w:t>kajiem gadiem jāiesniedz Saeimā</w:t>
            </w:r>
            <w:r w:rsidR="00CB5932" w:rsidRPr="001925DA">
              <w:rPr>
                <w:spacing w:val="-2"/>
              </w:rPr>
              <w:t xml:space="preserve"> līdz kārtējā gada </w:t>
            </w:r>
            <w:proofErr w:type="spellStart"/>
            <w:r w:rsidR="004743C9" w:rsidRPr="001925DA">
              <w:rPr>
                <w:spacing w:val="-2"/>
              </w:rPr>
              <w:t>15.maijam</w:t>
            </w:r>
            <w:proofErr w:type="spellEnd"/>
            <w:r w:rsidR="00EC0300" w:rsidRPr="001925DA">
              <w:rPr>
                <w:spacing w:val="-2"/>
              </w:rPr>
              <w:t xml:space="preserve"> (iepriekš </w:t>
            </w:r>
            <w:r w:rsidR="009D4ACE" w:rsidRPr="001925DA">
              <w:rPr>
                <w:spacing w:val="-2"/>
              </w:rPr>
              <w:t xml:space="preserve">– līdz </w:t>
            </w:r>
            <w:proofErr w:type="spellStart"/>
            <w:r w:rsidR="00EC0300" w:rsidRPr="001925DA">
              <w:rPr>
                <w:spacing w:val="-2"/>
              </w:rPr>
              <w:t>30.aprīlim</w:t>
            </w:r>
            <w:proofErr w:type="spellEnd"/>
            <w:r w:rsidR="00EC0300" w:rsidRPr="001925DA">
              <w:rPr>
                <w:spacing w:val="-2"/>
              </w:rPr>
              <w:t xml:space="preserve">, grozījumi </w:t>
            </w:r>
            <w:r w:rsidR="00EC0300" w:rsidRPr="001925DA">
              <w:rPr>
                <w:spacing w:val="-2"/>
              </w:rPr>
              <w:lastRenderedPageBreak/>
              <w:t xml:space="preserve">termiņā izdarīti ar 15.11.2012. </w:t>
            </w:r>
            <w:r w:rsidR="009D4ACE" w:rsidRPr="001925DA">
              <w:rPr>
                <w:spacing w:val="-2"/>
              </w:rPr>
              <w:t>likumu, kas stājā</w:t>
            </w:r>
            <w:r w:rsidR="00EC0300" w:rsidRPr="001925DA">
              <w:rPr>
                <w:spacing w:val="-2"/>
              </w:rPr>
              <w:t>s spēkā 01.01.2013</w:t>
            </w:r>
            <w:r w:rsidR="009D4ACE" w:rsidRPr="001925DA">
              <w:rPr>
                <w:spacing w:val="-2"/>
              </w:rPr>
              <w:t>.</w:t>
            </w:r>
            <w:r w:rsidR="00EC0300" w:rsidRPr="001925DA">
              <w:rPr>
                <w:spacing w:val="-2"/>
              </w:rPr>
              <w:t>)</w:t>
            </w:r>
            <w:r w:rsidR="00324524" w:rsidRPr="001925DA">
              <w:rPr>
                <w:spacing w:val="-2"/>
              </w:rPr>
              <w:t xml:space="preserve">, savukārt saskaņā ar </w:t>
            </w:r>
            <w:r w:rsidR="004A0D5E" w:rsidRPr="001925DA">
              <w:rPr>
                <w:spacing w:val="-2"/>
              </w:rPr>
              <w:t xml:space="preserve">Likuma par budžetu un finanšu vadību </w:t>
            </w:r>
            <w:proofErr w:type="spellStart"/>
            <w:r w:rsidR="00324524" w:rsidRPr="001925DA">
              <w:rPr>
                <w:spacing w:val="-2"/>
              </w:rPr>
              <w:t>21.panta</w:t>
            </w:r>
            <w:proofErr w:type="spellEnd"/>
            <w:r w:rsidR="00324524" w:rsidRPr="001925DA">
              <w:rPr>
                <w:spacing w:val="-2"/>
              </w:rPr>
              <w:t xml:space="preserve"> pirmo daļu nāk</w:t>
            </w:r>
            <w:r w:rsidR="004A0D5E" w:rsidRPr="001925DA">
              <w:rPr>
                <w:spacing w:val="-2"/>
              </w:rPr>
              <w:t>am</w:t>
            </w:r>
            <w:r w:rsidR="00324524" w:rsidRPr="001925DA">
              <w:rPr>
                <w:spacing w:val="-2"/>
              </w:rPr>
              <w:t>ā gada budžeta projekt</w:t>
            </w:r>
            <w:r w:rsidR="004A0D5E" w:rsidRPr="001925DA">
              <w:rPr>
                <w:spacing w:val="-2"/>
              </w:rPr>
              <w:t>s</w:t>
            </w:r>
            <w:r w:rsidR="00324524" w:rsidRPr="001925DA">
              <w:rPr>
                <w:spacing w:val="-2"/>
              </w:rPr>
              <w:t xml:space="preserve"> Ministru kabinetam </w:t>
            </w:r>
            <w:r w:rsidR="004A0D5E" w:rsidRPr="001925DA">
              <w:rPr>
                <w:spacing w:val="-2"/>
              </w:rPr>
              <w:t xml:space="preserve">jāiesniedz </w:t>
            </w:r>
            <w:r w:rsidR="00324524" w:rsidRPr="001925DA">
              <w:rPr>
                <w:spacing w:val="-2"/>
              </w:rPr>
              <w:t>Saeimā līdz kārtējā gada 1.oktobrim</w:t>
            </w:r>
            <w:r w:rsidR="00324524">
              <w:t xml:space="preserve">. </w:t>
            </w:r>
          </w:p>
          <w:p w14:paraId="789F8122" w14:textId="2C00F8B8" w:rsidR="001B31ED" w:rsidRPr="00C716E2" w:rsidRDefault="001B31ED" w:rsidP="009A27D7">
            <w:pPr>
              <w:rPr>
                <w:spacing w:val="-2"/>
              </w:rPr>
            </w:pPr>
            <w:r w:rsidRPr="00C716E2">
              <w:rPr>
                <w:spacing w:val="-2"/>
              </w:rPr>
              <w:t>Ņemot vērā minēto</w:t>
            </w:r>
            <w:r w:rsidR="004A0D5E" w:rsidRPr="00C716E2">
              <w:rPr>
                <w:spacing w:val="-2"/>
              </w:rPr>
              <w:t>,</w:t>
            </w:r>
            <w:r w:rsidRPr="00C716E2">
              <w:rPr>
                <w:spacing w:val="-2"/>
              </w:rPr>
              <w:t xml:space="preserve"> 2012.gada </w:t>
            </w:r>
            <w:proofErr w:type="spellStart"/>
            <w:r w:rsidRPr="00C716E2">
              <w:rPr>
                <w:spacing w:val="-2"/>
              </w:rPr>
              <w:t>10.aprīlī</w:t>
            </w:r>
            <w:proofErr w:type="spellEnd"/>
            <w:r w:rsidRPr="00C716E2">
              <w:rPr>
                <w:spacing w:val="-2"/>
              </w:rPr>
              <w:t xml:space="preserve"> Ministru kabinets apstiprināja Valsts kancelejas sagatavotos grozījumus instrukcijā </w:t>
            </w:r>
            <w:proofErr w:type="spellStart"/>
            <w:r w:rsidRPr="00C716E2">
              <w:rPr>
                <w:spacing w:val="-2"/>
              </w:rPr>
              <w:t>Nr.1</w:t>
            </w:r>
            <w:proofErr w:type="spellEnd"/>
            <w:r w:rsidRPr="00C716E2">
              <w:rPr>
                <w:spacing w:val="-2"/>
              </w:rPr>
              <w:t>, paredzot, ka tiek mainīts plānošanas cikls, kuram jāizstrādā institūcijas darbības stratēģija</w:t>
            </w:r>
            <w:r w:rsidR="001925DA" w:rsidRPr="00C716E2">
              <w:rPr>
                <w:spacing w:val="-2"/>
              </w:rPr>
              <w:t>,</w:t>
            </w:r>
            <w:r w:rsidRPr="00C716E2">
              <w:rPr>
                <w:spacing w:val="-2"/>
              </w:rPr>
              <w:t xml:space="preserve"> – saskaņā ar grozījumiem stratēģija tiktu izstrādāta 2013.</w:t>
            </w:r>
            <w:r w:rsidR="00121D9C" w:rsidRPr="00C716E2">
              <w:rPr>
                <w:spacing w:val="-2"/>
              </w:rPr>
              <w:t>–</w:t>
            </w:r>
            <w:proofErr w:type="spellStart"/>
            <w:r w:rsidRPr="00C716E2">
              <w:rPr>
                <w:spacing w:val="-2"/>
              </w:rPr>
              <w:t>2015.gadam</w:t>
            </w:r>
            <w:proofErr w:type="spellEnd"/>
            <w:r w:rsidRPr="00C716E2">
              <w:rPr>
                <w:spacing w:val="-2"/>
              </w:rPr>
              <w:t xml:space="preserve"> un </w:t>
            </w:r>
            <w:r w:rsidR="00EC0300" w:rsidRPr="00C716E2">
              <w:rPr>
                <w:spacing w:val="-2"/>
              </w:rPr>
              <w:t xml:space="preserve">tiktu iesniegta izskatīšanai Ministru kabinetā līdz 2013.gada </w:t>
            </w:r>
            <w:proofErr w:type="spellStart"/>
            <w:r w:rsidR="00EC0300" w:rsidRPr="00C716E2">
              <w:rPr>
                <w:spacing w:val="-2"/>
              </w:rPr>
              <w:t>30.aprīlim</w:t>
            </w:r>
            <w:proofErr w:type="spellEnd"/>
            <w:r w:rsidR="00EC0300" w:rsidRPr="00C716E2">
              <w:rPr>
                <w:spacing w:val="-2"/>
              </w:rPr>
              <w:t xml:space="preserve">. </w:t>
            </w:r>
            <w:r w:rsidR="00A12F05" w:rsidRPr="00C716E2">
              <w:rPr>
                <w:spacing w:val="-2"/>
              </w:rPr>
              <w:t>P</w:t>
            </w:r>
            <w:r w:rsidR="00EC0300" w:rsidRPr="00C716E2">
              <w:rPr>
                <w:spacing w:val="-2"/>
              </w:rPr>
              <w:t>apildus</w:t>
            </w:r>
            <w:r w:rsidR="00C716E2" w:rsidRPr="00C716E2">
              <w:rPr>
                <w:spacing w:val="-2"/>
              </w:rPr>
              <w:t xml:space="preserve"> tam</w:t>
            </w:r>
            <w:r w:rsidR="00EC0300" w:rsidRPr="00C716E2">
              <w:rPr>
                <w:spacing w:val="-2"/>
              </w:rPr>
              <w:t xml:space="preserve"> ar Ministru kabineta sēdes </w:t>
            </w:r>
            <w:proofErr w:type="spellStart"/>
            <w:r w:rsidR="00EC0300" w:rsidRPr="00C716E2">
              <w:rPr>
                <w:spacing w:val="-2"/>
              </w:rPr>
              <w:t>protokollēmuma</w:t>
            </w:r>
            <w:proofErr w:type="spellEnd"/>
            <w:r w:rsidR="00EC0300" w:rsidRPr="00C716E2">
              <w:rPr>
                <w:spacing w:val="-2"/>
              </w:rPr>
              <w:t xml:space="preserve"> (</w:t>
            </w:r>
            <w:r w:rsidR="00F23E27">
              <w:rPr>
                <w:spacing w:val="-2"/>
              </w:rPr>
              <w:t xml:space="preserve">prot. </w:t>
            </w:r>
            <w:proofErr w:type="spellStart"/>
            <w:r w:rsidR="00EC0300" w:rsidRPr="00C716E2">
              <w:rPr>
                <w:spacing w:val="-2"/>
              </w:rPr>
              <w:t>Nr.19</w:t>
            </w:r>
            <w:proofErr w:type="spellEnd"/>
            <w:r w:rsidR="00EC0300" w:rsidRPr="00C716E2">
              <w:rPr>
                <w:spacing w:val="-2"/>
              </w:rPr>
              <w:t xml:space="preserve"> </w:t>
            </w:r>
            <w:r w:rsidR="00F23E27">
              <w:rPr>
                <w:spacing w:val="-2"/>
              </w:rPr>
              <w:t> </w:t>
            </w:r>
            <w:r w:rsidR="00EC0300" w:rsidRPr="00C716E2">
              <w:rPr>
                <w:spacing w:val="-2"/>
              </w:rPr>
              <w:t xml:space="preserve">8.§) </w:t>
            </w:r>
            <w:r w:rsidR="000A0034" w:rsidRPr="00C716E2">
              <w:rPr>
                <w:spacing w:val="-2"/>
              </w:rPr>
              <w:t>"</w:t>
            </w:r>
            <w:r w:rsidR="00EC0300" w:rsidRPr="00C716E2">
              <w:rPr>
                <w:spacing w:val="-2"/>
              </w:rPr>
              <w:t xml:space="preserve">Instrukcijas projekts </w:t>
            </w:r>
            <w:r w:rsidR="000A0034" w:rsidRPr="00C716E2">
              <w:rPr>
                <w:spacing w:val="-2"/>
              </w:rPr>
              <w:t>"</w:t>
            </w:r>
            <w:r w:rsidR="00EC0300" w:rsidRPr="00C716E2">
              <w:rPr>
                <w:spacing w:val="-2"/>
              </w:rPr>
              <w:t xml:space="preserve">Grozījumi Ministru kabineta 2011.gada </w:t>
            </w:r>
            <w:proofErr w:type="spellStart"/>
            <w:r w:rsidR="00EC0300" w:rsidRPr="00C716E2">
              <w:rPr>
                <w:spacing w:val="-2"/>
              </w:rPr>
              <w:t>4.janvāra</w:t>
            </w:r>
            <w:proofErr w:type="spellEnd"/>
            <w:r w:rsidR="00EC0300" w:rsidRPr="00C716E2">
              <w:rPr>
                <w:spacing w:val="-2"/>
              </w:rPr>
              <w:t xml:space="preserve"> instrukcijā </w:t>
            </w:r>
            <w:proofErr w:type="spellStart"/>
            <w:r w:rsidR="00EC0300" w:rsidRPr="00C716E2">
              <w:rPr>
                <w:spacing w:val="-2"/>
              </w:rPr>
              <w:t>Nr.1</w:t>
            </w:r>
            <w:proofErr w:type="spellEnd"/>
            <w:r w:rsidR="00EC0300" w:rsidRPr="00C716E2">
              <w:rPr>
                <w:spacing w:val="-2"/>
              </w:rPr>
              <w:t xml:space="preserve"> </w:t>
            </w:r>
            <w:r w:rsidR="000A0034" w:rsidRPr="00C716E2">
              <w:rPr>
                <w:spacing w:val="-2"/>
              </w:rPr>
              <w:t>"</w:t>
            </w:r>
            <w:r w:rsidR="00EC0300" w:rsidRPr="00C716E2">
              <w:rPr>
                <w:spacing w:val="-2"/>
              </w:rPr>
              <w:t>Kārtība, kādā izstrādā un aktualizē institūcijas darbības stratēģiju un novērtē tās ieviešanu</w:t>
            </w:r>
            <w:r w:rsidR="000A0034" w:rsidRPr="00C716E2">
              <w:rPr>
                <w:spacing w:val="-2"/>
              </w:rPr>
              <w:t>"""</w:t>
            </w:r>
            <w:r w:rsidR="00EC0300" w:rsidRPr="00C716E2">
              <w:rPr>
                <w:spacing w:val="-2"/>
              </w:rPr>
              <w:t xml:space="preserve"> (</w:t>
            </w:r>
            <w:proofErr w:type="spellStart"/>
            <w:r w:rsidR="00EC0300" w:rsidRPr="00C716E2">
              <w:rPr>
                <w:spacing w:val="-2"/>
              </w:rPr>
              <w:t>TA-802)</w:t>
            </w:r>
            <w:proofErr w:type="spellEnd"/>
            <w:r w:rsidR="00EC0300" w:rsidRPr="00C716E2">
              <w:rPr>
                <w:spacing w:val="-2"/>
              </w:rPr>
              <w:t xml:space="preserve"> </w:t>
            </w:r>
            <w:proofErr w:type="spellStart"/>
            <w:r w:rsidR="00EC0300" w:rsidRPr="00C716E2">
              <w:rPr>
                <w:spacing w:val="-2"/>
              </w:rPr>
              <w:t>2.punktu</w:t>
            </w:r>
            <w:proofErr w:type="spellEnd"/>
            <w:r w:rsidR="00EC0300" w:rsidRPr="00C716E2">
              <w:rPr>
                <w:spacing w:val="-2"/>
              </w:rPr>
              <w:t xml:space="preserve"> tika noteikts, ka </w:t>
            </w:r>
            <w:r w:rsidR="00A12F05" w:rsidRPr="00C716E2">
              <w:rPr>
                <w:spacing w:val="-2"/>
              </w:rPr>
              <w:t xml:space="preserve">Valsts kancelejai četru mēnešu laikā pēc likumprojekta </w:t>
            </w:r>
            <w:r w:rsidR="000A0034" w:rsidRPr="00C716E2">
              <w:rPr>
                <w:spacing w:val="-2"/>
              </w:rPr>
              <w:t>"</w:t>
            </w:r>
            <w:r w:rsidR="00A12F05" w:rsidRPr="00C716E2">
              <w:rPr>
                <w:spacing w:val="-2"/>
              </w:rPr>
              <w:t>Par vidēja termiņa budžeta ietvara likum</w:t>
            </w:r>
            <w:r w:rsidR="004A0D5E" w:rsidRPr="00C716E2">
              <w:rPr>
                <w:spacing w:val="-2"/>
              </w:rPr>
              <w:t>u</w:t>
            </w:r>
            <w:r w:rsidR="00A12F05" w:rsidRPr="00C716E2">
              <w:rPr>
                <w:spacing w:val="-2"/>
              </w:rPr>
              <w:t xml:space="preserve"> 2013.–</w:t>
            </w:r>
            <w:proofErr w:type="spellStart"/>
            <w:r w:rsidR="00A12F05" w:rsidRPr="00C716E2">
              <w:rPr>
                <w:spacing w:val="-2"/>
              </w:rPr>
              <w:t>2015.gadam</w:t>
            </w:r>
            <w:proofErr w:type="spellEnd"/>
            <w:r w:rsidR="000A0034" w:rsidRPr="00C716E2">
              <w:rPr>
                <w:spacing w:val="-2"/>
              </w:rPr>
              <w:t>"</w:t>
            </w:r>
            <w:r w:rsidR="00A12F05" w:rsidRPr="00C716E2">
              <w:rPr>
                <w:spacing w:val="-2"/>
              </w:rPr>
              <w:t xml:space="preserve"> pieņemšanas Saeimā jāsagatavo un jāiesniedz izskatīšanai Ministru kabinetā, pirmkārt, tiesību akta projekt</w:t>
            </w:r>
            <w:r w:rsidR="00C716E2" w:rsidRPr="00C716E2">
              <w:rPr>
                <w:spacing w:val="-2"/>
              </w:rPr>
              <w:t>s</w:t>
            </w:r>
            <w:r w:rsidR="00A12F05" w:rsidRPr="00C716E2">
              <w:rPr>
                <w:spacing w:val="-2"/>
              </w:rPr>
              <w:t xml:space="preserve"> par grozījumiem noteikumos </w:t>
            </w:r>
            <w:proofErr w:type="spellStart"/>
            <w:r w:rsidR="00A12F05" w:rsidRPr="00C716E2">
              <w:rPr>
                <w:spacing w:val="-2"/>
              </w:rPr>
              <w:t>Nr.1178</w:t>
            </w:r>
            <w:proofErr w:type="spellEnd"/>
            <w:r w:rsidR="00A12F05" w:rsidRPr="00C716E2">
              <w:rPr>
                <w:spacing w:val="-2"/>
              </w:rPr>
              <w:t>, paredzot, ka Ministru kabineta loceklis apstiprina ministrijas, kā arī padotības iestādes un ministrijas padotības iestādes darbības stratēģiju, ja normatīvajos aktos nav note</w:t>
            </w:r>
            <w:r w:rsidR="003A596B" w:rsidRPr="00C716E2">
              <w:rPr>
                <w:spacing w:val="-2"/>
              </w:rPr>
              <w:t>ikts citādi</w:t>
            </w:r>
            <w:r w:rsidR="00C716E2" w:rsidRPr="00C716E2">
              <w:rPr>
                <w:spacing w:val="-2"/>
              </w:rPr>
              <w:t xml:space="preserve">, un ka </w:t>
            </w:r>
            <w:r w:rsidR="003A596B" w:rsidRPr="00C716E2">
              <w:rPr>
                <w:spacing w:val="-2"/>
              </w:rPr>
              <w:t>Valsts kancelejas</w:t>
            </w:r>
            <w:r w:rsidR="00A12F05" w:rsidRPr="00C716E2">
              <w:rPr>
                <w:spacing w:val="-2"/>
              </w:rPr>
              <w:t>, Korupcijas novēršanas un apkarošanas biroja un Pārresoru koordinācijas centra darbības stratēģiju apstiprina Ministru prezidents</w:t>
            </w:r>
            <w:r w:rsidR="00C716E2" w:rsidRPr="00C716E2">
              <w:rPr>
                <w:spacing w:val="-2"/>
              </w:rPr>
              <w:t>,</w:t>
            </w:r>
            <w:r w:rsidR="00A12F05" w:rsidRPr="00C716E2">
              <w:rPr>
                <w:spacing w:val="-2"/>
              </w:rPr>
              <w:t xml:space="preserve"> un, otrkārt, tiesību akta projekt</w:t>
            </w:r>
            <w:r w:rsidR="00C716E2" w:rsidRPr="00C716E2">
              <w:rPr>
                <w:spacing w:val="-2"/>
              </w:rPr>
              <w:t>s</w:t>
            </w:r>
            <w:r w:rsidR="00A12F05" w:rsidRPr="00C716E2">
              <w:rPr>
                <w:spacing w:val="-2"/>
              </w:rPr>
              <w:t xml:space="preserve"> par grozījumiem </w:t>
            </w:r>
            <w:r w:rsidR="00A4232C" w:rsidRPr="00C716E2">
              <w:rPr>
                <w:spacing w:val="-2"/>
              </w:rPr>
              <w:t xml:space="preserve">instrukcijā </w:t>
            </w:r>
            <w:proofErr w:type="spellStart"/>
            <w:r w:rsidR="00A4232C" w:rsidRPr="00C716E2">
              <w:rPr>
                <w:spacing w:val="-2"/>
              </w:rPr>
              <w:t>Nr.1</w:t>
            </w:r>
            <w:proofErr w:type="spellEnd"/>
            <w:r w:rsidR="00A12F05" w:rsidRPr="00C716E2">
              <w:rPr>
                <w:spacing w:val="-2"/>
              </w:rPr>
              <w:t xml:space="preserve">. </w:t>
            </w:r>
          </w:p>
          <w:p w14:paraId="789F8123" w14:textId="2B760489" w:rsidR="003D010D" w:rsidRDefault="00F6461D" w:rsidP="009A27D7">
            <w:r>
              <w:t xml:space="preserve">Likumus </w:t>
            </w:r>
            <w:r w:rsidR="000A0034">
              <w:t>"</w:t>
            </w:r>
            <w:r>
              <w:t xml:space="preserve">Par valsts budžetu </w:t>
            </w:r>
            <w:proofErr w:type="spellStart"/>
            <w:r>
              <w:t>2013.gadam</w:t>
            </w:r>
            <w:proofErr w:type="spellEnd"/>
            <w:r w:rsidR="000A0034">
              <w:t>"</w:t>
            </w:r>
            <w:r>
              <w:t xml:space="preserve"> un </w:t>
            </w:r>
            <w:r w:rsidR="000A0034">
              <w:t>"</w:t>
            </w:r>
            <w:r w:rsidRPr="004743C9">
              <w:t xml:space="preserve">Par vidēja termiņa budžeta ietvaru 2013., 2014. un </w:t>
            </w:r>
            <w:proofErr w:type="spellStart"/>
            <w:r w:rsidRPr="004743C9">
              <w:t>2015.gadam</w:t>
            </w:r>
            <w:proofErr w:type="spellEnd"/>
            <w:r w:rsidR="000A0034">
              <w:t>"</w:t>
            </w:r>
            <w:r w:rsidRPr="004743C9">
              <w:t xml:space="preserve"> </w:t>
            </w:r>
            <w:r>
              <w:t xml:space="preserve">Saeima pieņēma 2012.gada 15.novembrī, savukārt </w:t>
            </w:r>
            <w:r w:rsidR="00C716E2">
              <w:t>V</w:t>
            </w:r>
            <w:r>
              <w:t xml:space="preserve">alsts prezidents tos izsludināja 2012.gada 6.decembrī, paredzot, ka likumi stāsies spēkā 2013.gada </w:t>
            </w:r>
            <w:proofErr w:type="spellStart"/>
            <w:r>
              <w:t>1.janvār</w:t>
            </w:r>
            <w:r w:rsidR="00C716E2">
              <w:t>ī</w:t>
            </w:r>
            <w:proofErr w:type="spellEnd"/>
            <w:r>
              <w:t xml:space="preserve">. Papildus Saeima </w:t>
            </w:r>
            <w:r w:rsidR="00C716E2">
              <w:t xml:space="preserve">2013.gada </w:t>
            </w:r>
            <w:proofErr w:type="spellStart"/>
            <w:r w:rsidR="00C716E2">
              <w:t>31.janvārī</w:t>
            </w:r>
            <w:proofErr w:type="spellEnd"/>
            <w:r w:rsidR="00C716E2">
              <w:t xml:space="preserve"> </w:t>
            </w:r>
            <w:r>
              <w:t>pieņēma Fiskālās disciplīnas likumu, kas stā</w:t>
            </w:r>
            <w:r w:rsidR="00C716E2">
              <w:t>jā</w:t>
            </w:r>
            <w:r>
              <w:t xml:space="preserve">s spēkā </w:t>
            </w:r>
            <w:r w:rsidR="00C716E2">
              <w:t xml:space="preserve">2013.gada </w:t>
            </w:r>
            <w:proofErr w:type="spellStart"/>
            <w:r w:rsidR="004743C9">
              <w:t>6.</w:t>
            </w:r>
            <w:r w:rsidR="00C716E2">
              <w:t>martā</w:t>
            </w:r>
            <w:proofErr w:type="spellEnd"/>
            <w:r w:rsidR="002E71A2">
              <w:t xml:space="preserve">. Atbilstoši šiem likumiem </w:t>
            </w:r>
            <w:r w:rsidR="004743C9">
              <w:t xml:space="preserve">Ministru kabinets 2013.gada </w:t>
            </w:r>
            <w:proofErr w:type="spellStart"/>
            <w:r w:rsidR="004743C9">
              <w:t>5.februārī</w:t>
            </w:r>
            <w:proofErr w:type="spellEnd"/>
            <w:r w:rsidR="004743C9">
              <w:t xml:space="preserve"> ar rīkojumu </w:t>
            </w:r>
            <w:proofErr w:type="spellStart"/>
            <w:r w:rsidR="004743C9">
              <w:t>Nr.40</w:t>
            </w:r>
            <w:proofErr w:type="spellEnd"/>
            <w:r w:rsidR="004743C9">
              <w:t xml:space="preserve"> </w:t>
            </w:r>
            <w:r w:rsidR="000A0034">
              <w:t>"</w:t>
            </w:r>
            <w:r w:rsidR="004743C9" w:rsidRPr="004743C9">
              <w:t xml:space="preserve">Par likumprojekta </w:t>
            </w:r>
            <w:r w:rsidR="000A0034">
              <w:t>"</w:t>
            </w:r>
            <w:r w:rsidR="004743C9" w:rsidRPr="004743C9">
              <w:t xml:space="preserve">Par vidēja termiņa budžeta ietvaru 2014., 2015. un </w:t>
            </w:r>
            <w:proofErr w:type="spellStart"/>
            <w:r w:rsidR="004743C9" w:rsidRPr="004743C9">
              <w:t>2016.gadam</w:t>
            </w:r>
            <w:proofErr w:type="spellEnd"/>
            <w:r w:rsidR="000A0034">
              <w:t>"</w:t>
            </w:r>
            <w:r w:rsidR="004743C9" w:rsidRPr="004743C9">
              <w:t xml:space="preserve"> un likumprojekta </w:t>
            </w:r>
            <w:r w:rsidR="000A0034">
              <w:t>"</w:t>
            </w:r>
            <w:r w:rsidR="004743C9" w:rsidRPr="004743C9">
              <w:t xml:space="preserve">Par valsts budžetu </w:t>
            </w:r>
            <w:proofErr w:type="spellStart"/>
            <w:r w:rsidR="004743C9" w:rsidRPr="004743C9">
              <w:t>2014.gadam</w:t>
            </w:r>
            <w:proofErr w:type="spellEnd"/>
            <w:r w:rsidR="000A0034">
              <w:t>"</w:t>
            </w:r>
            <w:r w:rsidR="004743C9" w:rsidRPr="004743C9">
              <w:t xml:space="preserve"> sagatavošanas grafiku</w:t>
            </w:r>
            <w:r w:rsidR="000A0034">
              <w:t>"</w:t>
            </w:r>
            <w:r w:rsidR="00830D9C">
              <w:t xml:space="preserve"> apstiprināja veicamās darbības un termiņus to izpildei, lai sagatavotu </w:t>
            </w:r>
            <w:r w:rsidR="00830D9C" w:rsidRPr="004743C9">
              <w:t>vidēja termiņa budžeta iet</w:t>
            </w:r>
            <w:r w:rsidR="00830D9C">
              <w:t xml:space="preserve">varu 2014., 2015. un </w:t>
            </w:r>
            <w:proofErr w:type="spellStart"/>
            <w:r w:rsidR="00830D9C">
              <w:t>2016.gadam</w:t>
            </w:r>
            <w:proofErr w:type="spellEnd"/>
            <w:r w:rsidR="00830D9C">
              <w:t xml:space="preserve"> un likumprojektu</w:t>
            </w:r>
            <w:r w:rsidR="00830D9C" w:rsidRPr="004743C9">
              <w:t xml:space="preserve"> </w:t>
            </w:r>
            <w:r w:rsidR="000A0034">
              <w:t>"</w:t>
            </w:r>
            <w:r w:rsidR="00830D9C" w:rsidRPr="004743C9">
              <w:t xml:space="preserve">Par valsts budžetu </w:t>
            </w:r>
            <w:proofErr w:type="spellStart"/>
            <w:r w:rsidR="00830D9C" w:rsidRPr="004743C9">
              <w:t>2014.gadam</w:t>
            </w:r>
            <w:proofErr w:type="spellEnd"/>
            <w:r w:rsidR="000A0034">
              <w:t>"</w:t>
            </w:r>
            <w:r w:rsidR="00C716E2">
              <w:t>.</w:t>
            </w:r>
            <w:r w:rsidR="00830D9C">
              <w:t xml:space="preserve"> </w:t>
            </w:r>
            <w:r w:rsidR="00C716E2">
              <w:t>R</w:t>
            </w:r>
            <w:r w:rsidR="00324524">
              <w:t xml:space="preserve">īkojums paredz, ka likumprojektu </w:t>
            </w:r>
            <w:r w:rsidR="000A0034">
              <w:t>"</w:t>
            </w:r>
            <w:r w:rsidR="00324524" w:rsidRPr="004743C9">
              <w:t>Par vidēja termiņa budžeta ietvaru 2014., 2015.</w:t>
            </w:r>
            <w:r w:rsidR="00324524">
              <w:t xml:space="preserve"> un </w:t>
            </w:r>
            <w:proofErr w:type="spellStart"/>
            <w:r w:rsidR="00324524">
              <w:t>2016.gadam</w:t>
            </w:r>
            <w:proofErr w:type="spellEnd"/>
            <w:r w:rsidR="000A0034">
              <w:t>"</w:t>
            </w:r>
            <w:r w:rsidR="00324524">
              <w:t xml:space="preserve"> un likumprojektu</w:t>
            </w:r>
            <w:r w:rsidR="00324524" w:rsidRPr="004743C9">
              <w:t xml:space="preserve"> </w:t>
            </w:r>
            <w:r w:rsidR="000A0034">
              <w:t>"</w:t>
            </w:r>
            <w:r w:rsidR="00324524" w:rsidRPr="004743C9">
              <w:t xml:space="preserve">Par valsts budžetu </w:t>
            </w:r>
            <w:proofErr w:type="spellStart"/>
            <w:r w:rsidR="00324524" w:rsidRPr="004743C9">
              <w:t>2014.gadam</w:t>
            </w:r>
            <w:proofErr w:type="spellEnd"/>
            <w:r w:rsidR="000A0034">
              <w:t>"</w:t>
            </w:r>
            <w:r w:rsidR="00324524">
              <w:t xml:space="preserve"> Ministru kabinets apstiprinās 2013.gada 23.septembra sēdē un 27.septembrī abi likumprojekti tiks iesniegti Saeimā. </w:t>
            </w:r>
          </w:p>
          <w:p w14:paraId="789F8124" w14:textId="5BBD9080" w:rsidR="00201453" w:rsidRPr="00344C35" w:rsidRDefault="002E71A2" w:rsidP="00343E0C">
            <w:r>
              <w:t>Valsts kanceleja, ņemot vērā tai doto uzdevumu</w:t>
            </w:r>
            <w:r w:rsidR="000A0034">
              <w:t xml:space="preserve"> izstrādāt grozījumus </w:t>
            </w:r>
            <w:r w:rsidR="005409D4" w:rsidRPr="00A12F05">
              <w:t xml:space="preserve">noteikumos </w:t>
            </w:r>
            <w:proofErr w:type="spellStart"/>
            <w:r w:rsidR="005409D4" w:rsidRPr="00A12F05">
              <w:t>Nr.1178</w:t>
            </w:r>
            <w:proofErr w:type="spellEnd"/>
            <w:r w:rsidR="005409D4" w:rsidRPr="00A12F05">
              <w:t xml:space="preserve"> </w:t>
            </w:r>
            <w:r w:rsidR="005409D4">
              <w:t>un</w:t>
            </w:r>
            <w:r w:rsidR="005409D4" w:rsidRPr="00A12F05">
              <w:t xml:space="preserve"> </w:t>
            </w:r>
            <w:r w:rsidR="00A4232C">
              <w:t xml:space="preserve">instrukcijā </w:t>
            </w:r>
            <w:proofErr w:type="spellStart"/>
            <w:r w:rsidR="00A4232C">
              <w:t>Nr.1</w:t>
            </w:r>
            <w:proofErr w:type="spellEnd"/>
            <w:r w:rsidR="005409D4">
              <w:t xml:space="preserve">, </w:t>
            </w:r>
            <w:r>
              <w:t xml:space="preserve">2013.gada </w:t>
            </w:r>
            <w:proofErr w:type="spellStart"/>
            <w:r w:rsidR="005409D4">
              <w:t>15.februārī</w:t>
            </w:r>
            <w:proofErr w:type="spellEnd"/>
            <w:r w:rsidR="005409D4">
              <w:t xml:space="preserve"> organizēja sanāksmi ar visu ministriju un Pārresoru koordinācijas centra pārstāvju līdzdalību, kurā tika pārrunāti provizoriskie grozījumi tiesību aktos saistībā ar institūciju darbības stratēģiju izstrādi un panākta vienošanās par termiņiem darbības stratēģiju izstrādei</w:t>
            </w:r>
            <w:r w:rsidR="00343E0C">
              <w:t xml:space="preserve"> un</w:t>
            </w:r>
            <w:r w:rsidR="00514079">
              <w:t xml:space="preserve"> stratēģiju</w:t>
            </w:r>
            <w:r w:rsidR="005409D4">
              <w:t xml:space="preserve"> satur</w:t>
            </w:r>
            <w:r w:rsidR="00514079">
              <w:t>u</w:t>
            </w:r>
            <w:r w:rsidR="005409D4">
              <w:t xml:space="preserve">. Līdz ar to Valsts kanceleja ir sagatavojusi atbilstošus grozījumus </w:t>
            </w:r>
            <w:r w:rsidR="005409D4" w:rsidRPr="00A12F05">
              <w:t xml:space="preserve">noteikumos </w:t>
            </w:r>
            <w:proofErr w:type="spellStart"/>
            <w:r w:rsidR="005409D4" w:rsidRPr="00A12F05">
              <w:t>Nr.1178</w:t>
            </w:r>
            <w:proofErr w:type="spellEnd"/>
            <w:r w:rsidR="005409D4" w:rsidRPr="00A12F05">
              <w:t xml:space="preserve"> </w:t>
            </w:r>
            <w:r w:rsidR="005409D4">
              <w:t>un</w:t>
            </w:r>
            <w:r w:rsidR="005409D4" w:rsidRPr="00A12F05">
              <w:t xml:space="preserve"> </w:t>
            </w:r>
            <w:r w:rsidR="00A4232C">
              <w:t xml:space="preserve">instrukcijā </w:t>
            </w:r>
            <w:proofErr w:type="spellStart"/>
            <w:r w:rsidR="00A4232C">
              <w:t>Nr.1</w:t>
            </w:r>
            <w:proofErr w:type="spellEnd"/>
            <w:r w:rsidR="00343E0C">
              <w:t>. A</w:t>
            </w:r>
            <w:r w:rsidR="00514079">
              <w:t xml:space="preserve">bi tiesību akti apstiprināšanai Ministru </w:t>
            </w:r>
            <w:r w:rsidR="0017608E">
              <w:rPr>
                <w:bCs/>
              </w:rPr>
              <w:t xml:space="preserve">kabineta sēdē </w:t>
            </w:r>
            <w:r w:rsidR="00514079">
              <w:t>tiks virzīti vienlai</w:t>
            </w:r>
            <w:r w:rsidR="00A4232C">
              <w:t>kus</w:t>
            </w:r>
          </w:p>
        </w:tc>
      </w:tr>
      <w:tr w:rsidR="009538C1" w:rsidRPr="00344C35" w14:paraId="789F8129" w14:textId="77777777" w:rsidTr="00F91125">
        <w:tc>
          <w:tcPr>
            <w:tcW w:w="396" w:type="dxa"/>
          </w:tcPr>
          <w:p w14:paraId="789F8126" w14:textId="77777777" w:rsidR="00FA338D" w:rsidRPr="00344C35" w:rsidRDefault="00FA338D" w:rsidP="009A27D7">
            <w:pPr>
              <w:pStyle w:val="naislab"/>
              <w:spacing w:before="0" w:after="0"/>
              <w:jc w:val="left"/>
              <w:outlineLvl w:val="0"/>
            </w:pPr>
            <w:r w:rsidRPr="00344C35">
              <w:lastRenderedPageBreak/>
              <w:t>3.</w:t>
            </w:r>
          </w:p>
        </w:tc>
        <w:tc>
          <w:tcPr>
            <w:tcW w:w="1697" w:type="dxa"/>
          </w:tcPr>
          <w:p w14:paraId="789F8127" w14:textId="77777777" w:rsidR="00FA338D" w:rsidRPr="00344C35" w:rsidRDefault="00FA338D" w:rsidP="009A27D7">
            <w:pPr>
              <w:pStyle w:val="naislab"/>
              <w:spacing w:before="0" w:after="0"/>
              <w:jc w:val="left"/>
              <w:outlineLvl w:val="0"/>
            </w:pPr>
            <w:r w:rsidRPr="00344C35">
              <w:t>Saistītie politikas ietekmes novērtējumi un pētījumi</w:t>
            </w:r>
          </w:p>
        </w:tc>
        <w:tc>
          <w:tcPr>
            <w:tcW w:w="7194" w:type="dxa"/>
          </w:tcPr>
          <w:p w14:paraId="789F8128" w14:textId="7614D2BF" w:rsidR="00FA338D" w:rsidRPr="00344C35" w:rsidRDefault="00FC0548" w:rsidP="009A27D7">
            <w:r>
              <w:t>Instrukcijas projekts šo jomu neskar</w:t>
            </w:r>
          </w:p>
        </w:tc>
      </w:tr>
      <w:tr w:rsidR="009538C1" w:rsidRPr="00344C35" w14:paraId="789F8130" w14:textId="77777777" w:rsidTr="00F91125">
        <w:tc>
          <w:tcPr>
            <w:tcW w:w="396" w:type="dxa"/>
          </w:tcPr>
          <w:p w14:paraId="789F812A" w14:textId="77777777" w:rsidR="00FA338D" w:rsidRPr="00344C35" w:rsidRDefault="00FA338D" w:rsidP="009A27D7">
            <w:pPr>
              <w:pStyle w:val="naislab"/>
              <w:spacing w:before="0" w:after="0"/>
              <w:jc w:val="left"/>
              <w:outlineLvl w:val="0"/>
            </w:pPr>
            <w:r w:rsidRPr="00344C35">
              <w:t>4.</w:t>
            </w:r>
          </w:p>
        </w:tc>
        <w:tc>
          <w:tcPr>
            <w:tcW w:w="1697" w:type="dxa"/>
          </w:tcPr>
          <w:p w14:paraId="789F812B" w14:textId="77777777" w:rsidR="00FA338D" w:rsidRPr="00344C35" w:rsidRDefault="00FA338D" w:rsidP="009A27D7">
            <w:pPr>
              <w:pStyle w:val="naislab"/>
              <w:spacing w:before="0" w:after="0"/>
              <w:jc w:val="left"/>
              <w:outlineLvl w:val="0"/>
            </w:pPr>
            <w:r w:rsidRPr="00344C35">
              <w:t>Tiesiskā regulējuma mērķis un būtība</w:t>
            </w:r>
          </w:p>
        </w:tc>
        <w:tc>
          <w:tcPr>
            <w:tcW w:w="7194" w:type="dxa"/>
          </w:tcPr>
          <w:p w14:paraId="789F812C" w14:textId="21B5EF3B" w:rsidR="001D0F94" w:rsidRPr="00344C35" w:rsidRDefault="00606618" w:rsidP="009A27D7">
            <w:r w:rsidRPr="00343E0C">
              <w:rPr>
                <w:spacing w:val="-2"/>
              </w:rPr>
              <w:t>Ministru kabineta i</w:t>
            </w:r>
            <w:r w:rsidR="00E41C9A" w:rsidRPr="00343E0C">
              <w:rPr>
                <w:spacing w:val="-2"/>
              </w:rPr>
              <w:t>nstrukcijas</w:t>
            </w:r>
            <w:r w:rsidR="00CA1002" w:rsidRPr="00343E0C">
              <w:rPr>
                <w:spacing w:val="-2"/>
              </w:rPr>
              <w:t xml:space="preserve"> </w:t>
            </w:r>
            <w:r w:rsidR="000A0034" w:rsidRPr="00343E0C">
              <w:rPr>
                <w:spacing w:val="-2"/>
              </w:rPr>
              <w:t>"</w:t>
            </w:r>
            <w:r w:rsidR="00FC50CB" w:rsidRPr="00343E0C">
              <w:rPr>
                <w:spacing w:val="-2"/>
              </w:rPr>
              <w:t xml:space="preserve">Grozījumi Ministru kabineta 2011.gada </w:t>
            </w:r>
            <w:proofErr w:type="spellStart"/>
            <w:r w:rsidR="00FC50CB" w:rsidRPr="00343E0C">
              <w:rPr>
                <w:spacing w:val="-2"/>
              </w:rPr>
              <w:t>4.janvāra</w:t>
            </w:r>
            <w:proofErr w:type="spellEnd"/>
            <w:r w:rsidR="00FC50CB" w:rsidRPr="00343E0C">
              <w:rPr>
                <w:spacing w:val="-2"/>
              </w:rPr>
              <w:t xml:space="preserve"> instrukcijā </w:t>
            </w:r>
            <w:proofErr w:type="spellStart"/>
            <w:r w:rsidR="00FC50CB" w:rsidRPr="00343E0C">
              <w:rPr>
                <w:spacing w:val="-2"/>
              </w:rPr>
              <w:t>Nr.1</w:t>
            </w:r>
            <w:proofErr w:type="spellEnd"/>
            <w:r w:rsidR="00FC50CB" w:rsidRPr="00343E0C">
              <w:rPr>
                <w:spacing w:val="-2"/>
              </w:rPr>
              <w:t xml:space="preserve"> </w:t>
            </w:r>
            <w:r w:rsidR="000A0034" w:rsidRPr="00343E0C">
              <w:rPr>
                <w:spacing w:val="-2"/>
              </w:rPr>
              <w:t>"</w:t>
            </w:r>
            <w:r w:rsidR="00FC50CB" w:rsidRPr="00343E0C">
              <w:rPr>
                <w:spacing w:val="-2"/>
              </w:rPr>
              <w:t>Kārtība, kādā izstrādā un aktualizē institūcijas darbības stratēģiju un novērtē tās ieviešanu</w:t>
            </w:r>
            <w:r w:rsidR="000A0034" w:rsidRPr="00343E0C">
              <w:rPr>
                <w:spacing w:val="-2"/>
              </w:rPr>
              <w:t>""</w:t>
            </w:r>
            <w:r w:rsidR="00FC50CB" w:rsidRPr="00343E0C">
              <w:rPr>
                <w:spacing w:val="-2"/>
              </w:rPr>
              <w:t xml:space="preserve"> </w:t>
            </w:r>
            <w:r w:rsidR="00CA1002" w:rsidRPr="00343E0C">
              <w:rPr>
                <w:spacing w:val="-2"/>
              </w:rPr>
              <w:t xml:space="preserve">projekta </w:t>
            </w:r>
            <w:r w:rsidR="00FC50CB" w:rsidRPr="00343E0C">
              <w:rPr>
                <w:spacing w:val="-2"/>
              </w:rPr>
              <w:t xml:space="preserve">(turpmāk – instrukcijas projekts) </w:t>
            </w:r>
            <w:r w:rsidR="007E018A" w:rsidRPr="00343E0C">
              <w:rPr>
                <w:spacing w:val="-2"/>
              </w:rPr>
              <w:t xml:space="preserve">mērķis ir </w:t>
            </w:r>
            <w:r w:rsidR="00B2258B" w:rsidRPr="00343E0C">
              <w:rPr>
                <w:spacing w:val="-2"/>
              </w:rPr>
              <w:t xml:space="preserve">saskaņot institūciju darbības plānošanas instrumenta – darbības stratēģijas </w:t>
            </w:r>
            <w:r w:rsidR="00343E0C" w:rsidRPr="00343E0C">
              <w:rPr>
                <w:spacing w:val="-2"/>
              </w:rPr>
              <w:t xml:space="preserve">– </w:t>
            </w:r>
            <w:r w:rsidR="00B2258B" w:rsidRPr="00343E0C">
              <w:rPr>
                <w:spacing w:val="-2"/>
              </w:rPr>
              <w:t xml:space="preserve">izstrādi ar </w:t>
            </w:r>
            <w:r w:rsidR="008B0F92" w:rsidRPr="00343E0C">
              <w:rPr>
                <w:spacing w:val="-2"/>
              </w:rPr>
              <w:t>aktuālo pieeju budžeta plānošanā, saskaņojot gan plānošanas ciklu, gan arī termiņu</w:t>
            </w:r>
            <w:r w:rsidR="00312F18" w:rsidRPr="00343E0C">
              <w:rPr>
                <w:spacing w:val="-2"/>
              </w:rPr>
              <w:t xml:space="preserve"> ministriju darbības stratēģiju izstrādei</w:t>
            </w:r>
            <w:r w:rsidR="008B0F92" w:rsidRPr="00343E0C">
              <w:rPr>
                <w:spacing w:val="-2"/>
              </w:rPr>
              <w:t xml:space="preserve">. </w:t>
            </w:r>
            <w:r w:rsidR="007A0B2A" w:rsidRPr="00343E0C">
              <w:rPr>
                <w:spacing w:val="-2"/>
              </w:rPr>
              <w:t xml:space="preserve">Papildus instrukcijas projekta izstrādes mērķis ir </w:t>
            </w:r>
            <w:r w:rsidR="00343E0C" w:rsidRPr="00343E0C">
              <w:rPr>
                <w:spacing w:val="-2"/>
              </w:rPr>
              <w:t xml:space="preserve">arī </w:t>
            </w:r>
            <w:r w:rsidR="007A0B2A" w:rsidRPr="00343E0C">
              <w:rPr>
                <w:spacing w:val="-2"/>
              </w:rPr>
              <w:t>vienkāršot darbības stratēģiju izstrādes un apstiprināšanas kārtību un novēr</w:t>
            </w:r>
            <w:r w:rsidR="009538C1" w:rsidRPr="00343E0C">
              <w:rPr>
                <w:spacing w:val="-2"/>
              </w:rPr>
              <w:t>s</w:t>
            </w:r>
            <w:r w:rsidR="007A0B2A" w:rsidRPr="00343E0C">
              <w:rPr>
                <w:spacing w:val="-2"/>
              </w:rPr>
              <w:t>t līdzīgas informācijas dublēšanos dažādos dokumentos</w:t>
            </w:r>
            <w:r w:rsidR="007A0B2A">
              <w:t xml:space="preserve">. </w:t>
            </w:r>
          </w:p>
          <w:p w14:paraId="54A4E431" w14:textId="3A51A65C" w:rsidR="00343E0C" w:rsidRDefault="00FC50CB" w:rsidP="009A27D7">
            <w:pPr>
              <w:pStyle w:val="tv213"/>
              <w:shd w:val="clear" w:color="auto" w:fill="FFFFFF"/>
              <w:spacing w:before="0" w:beforeAutospacing="0" w:after="0" w:afterAutospacing="0"/>
              <w:ind w:right="57"/>
            </w:pPr>
            <w:r w:rsidRPr="00343E0C">
              <w:rPr>
                <w:spacing w:val="-2"/>
              </w:rPr>
              <w:t xml:space="preserve">Instrukcijas projekta būtība </w:t>
            </w:r>
            <w:r w:rsidR="00343E0C" w:rsidRPr="00343E0C">
              <w:rPr>
                <w:spacing w:val="-2"/>
              </w:rPr>
              <w:t>–</w:t>
            </w:r>
            <w:r w:rsidRPr="00343E0C">
              <w:rPr>
                <w:spacing w:val="-2"/>
              </w:rPr>
              <w:t xml:space="preserve"> noteikt, ka nākamais plānošanas </w:t>
            </w:r>
            <w:r w:rsidR="007A0B2A" w:rsidRPr="00343E0C">
              <w:rPr>
                <w:spacing w:val="-2"/>
              </w:rPr>
              <w:t>cikls ilgst no 2014. līdz 2016</w:t>
            </w:r>
            <w:r w:rsidRPr="00343E0C">
              <w:rPr>
                <w:spacing w:val="-2"/>
              </w:rPr>
              <w:t>.gadam</w:t>
            </w:r>
            <w:r w:rsidR="00260C5D" w:rsidRPr="00343E0C">
              <w:rPr>
                <w:spacing w:val="-2"/>
              </w:rPr>
              <w:t xml:space="preserve"> un institūcijas darbības stratēģijas projektus </w:t>
            </w:r>
            <w:r w:rsidR="007A0B2A" w:rsidRPr="00343E0C">
              <w:rPr>
                <w:spacing w:val="-2"/>
              </w:rPr>
              <w:t>ministrijas izstrādās</w:t>
            </w:r>
            <w:r w:rsidR="00383156" w:rsidRPr="00343E0C">
              <w:rPr>
                <w:spacing w:val="-2"/>
              </w:rPr>
              <w:t xml:space="preserve"> un iesniegs apstiprināšanai triju mēnešu laikā pēc vidēja termiņa budžeta ietvara likuma izsludināšanas</w:t>
            </w:r>
            <w:r w:rsidR="00343E0C" w:rsidRPr="00343E0C">
              <w:rPr>
                <w:spacing w:val="-2"/>
              </w:rPr>
              <w:t xml:space="preserve"> (</w:t>
            </w:r>
            <w:r w:rsidR="00343E0C">
              <w:rPr>
                <w:spacing w:val="-2"/>
              </w:rPr>
              <w:t>padotības iestādes </w:t>
            </w:r>
            <w:r w:rsidR="00343E0C" w:rsidRPr="00343E0C">
              <w:rPr>
                <w:spacing w:val="-2"/>
              </w:rPr>
              <w:t xml:space="preserve">– attiecīgi </w:t>
            </w:r>
            <w:r w:rsidR="00B07FAB" w:rsidRPr="00343E0C">
              <w:rPr>
                <w:spacing w:val="-2"/>
              </w:rPr>
              <w:t>divu mēnešu laikā pēc hierarhiski augstākās institūcijas stratēģijas apstiprināšanas</w:t>
            </w:r>
            <w:r w:rsidR="00343E0C">
              <w:t>)</w:t>
            </w:r>
            <w:r w:rsidR="00260C5D" w:rsidRPr="00344C35">
              <w:t xml:space="preserve">. </w:t>
            </w:r>
          </w:p>
          <w:p w14:paraId="26100FD0" w14:textId="77777777" w:rsidR="00343E0C" w:rsidRDefault="00343E0C" w:rsidP="009A27D7">
            <w:pPr>
              <w:pStyle w:val="tv213"/>
              <w:shd w:val="clear" w:color="auto" w:fill="FFFFFF"/>
              <w:spacing w:before="0" w:beforeAutospacing="0" w:after="0" w:afterAutospacing="0"/>
              <w:ind w:right="57"/>
            </w:pPr>
            <w:r w:rsidRPr="00343E0C">
              <w:rPr>
                <w:spacing w:val="-2"/>
              </w:rPr>
              <w:t>A</w:t>
            </w:r>
            <w:r w:rsidR="009538C1" w:rsidRPr="00343E0C">
              <w:rPr>
                <w:spacing w:val="-2"/>
              </w:rPr>
              <w:t>r instrukcijas projektu paredzēts no</w:t>
            </w:r>
            <w:r w:rsidR="007926C6" w:rsidRPr="00343E0C">
              <w:rPr>
                <w:spacing w:val="-2"/>
              </w:rPr>
              <w:t>teikt</w:t>
            </w:r>
            <w:r w:rsidR="009538C1" w:rsidRPr="00343E0C">
              <w:rPr>
                <w:spacing w:val="-2"/>
              </w:rPr>
              <w:t xml:space="preserve">, ka </w:t>
            </w:r>
            <w:r w:rsidR="00DD25A1" w:rsidRPr="00343E0C">
              <w:rPr>
                <w:spacing w:val="-2"/>
              </w:rPr>
              <w:t xml:space="preserve">institūcijas </w:t>
            </w:r>
            <w:r w:rsidR="009538C1" w:rsidRPr="00343E0C">
              <w:rPr>
                <w:spacing w:val="-2"/>
              </w:rPr>
              <w:t xml:space="preserve">darbības stratēģiju apstiprina attiecīgais Ministru kabineta loceklis, kura padotībā </w:t>
            </w:r>
            <w:r w:rsidR="00DD25A1" w:rsidRPr="00343E0C">
              <w:rPr>
                <w:spacing w:val="-2"/>
              </w:rPr>
              <w:t>tā</w:t>
            </w:r>
            <w:r w:rsidR="009538C1" w:rsidRPr="00343E0C">
              <w:rPr>
                <w:spacing w:val="-2"/>
              </w:rPr>
              <w:t xml:space="preserve"> atrodas, līdz ar to atbilstoši vienkāršota arī darbības stratēģijas aktualizācijas kārtība</w:t>
            </w:r>
            <w:r w:rsidR="00557F6D" w:rsidRPr="00343E0C">
              <w:rPr>
                <w:spacing w:val="-2"/>
              </w:rPr>
              <w:t xml:space="preserve">, paredzot, ka institūcija var </w:t>
            </w:r>
            <w:r w:rsidR="00557F6D" w:rsidRPr="00343E0C">
              <w:rPr>
                <w:color w:val="000000"/>
                <w:spacing w:val="-2"/>
              </w:rPr>
              <w:t>sagatavo</w:t>
            </w:r>
            <w:r w:rsidR="003B0575" w:rsidRPr="00343E0C">
              <w:rPr>
                <w:color w:val="000000"/>
                <w:spacing w:val="-2"/>
              </w:rPr>
              <w:t>t</w:t>
            </w:r>
            <w:r w:rsidR="00557F6D" w:rsidRPr="00343E0C">
              <w:rPr>
                <w:color w:val="000000"/>
                <w:spacing w:val="-2"/>
              </w:rPr>
              <w:t xml:space="preserve"> attiecīgā Ministru kabineta locekļa rīkojuma projektu ar nepieciešamajiem grozījumiem stratēģijas tekstā vai jaunu stratēģijas projektu</w:t>
            </w:r>
            <w:r w:rsidR="009538C1" w:rsidRPr="003B0575">
              <w:t>.</w:t>
            </w:r>
            <w:r w:rsidR="009538C1">
              <w:t xml:space="preserve"> </w:t>
            </w:r>
          </w:p>
          <w:p w14:paraId="45D2D50E" w14:textId="77777777" w:rsidR="00343E0C" w:rsidRDefault="00343E0C" w:rsidP="009A27D7">
            <w:pPr>
              <w:pStyle w:val="tv213"/>
              <w:shd w:val="clear" w:color="auto" w:fill="FFFFFF"/>
              <w:spacing w:before="0" w:beforeAutospacing="0" w:after="0" w:afterAutospacing="0"/>
              <w:ind w:right="57"/>
            </w:pPr>
            <w:r>
              <w:t>In</w:t>
            </w:r>
            <w:r w:rsidR="003B0575">
              <w:t>strukcijas projekts paredz, ka turpmāk institūcijas apstiprinātās stratēģijas ievieto tikai savās mājaslapās</w:t>
            </w:r>
            <w:r>
              <w:t xml:space="preserve"> internetā</w:t>
            </w:r>
            <w:r w:rsidR="003B0575">
              <w:t xml:space="preserve">. </w:t>
            </w:r>
          </w:p>
          <w:p w14:paraId="74372D73" w14:textId="77777777" w:rsidR="00343E0C" w:rsidRDefault="00343E0C" w:rsidP="009A27D7">
            <w:pPr>
              <w:pStyle w:val="tv213"/>
              <w:shd w:val="clear" w:color="auto" w:fill="FFFFFF"/>
              <w:spacing w:before="0" w:beforeAutospacing="0" w:after="0" w:afterAutospacing="0"/>
              <w:ind w:right="57"/>
            </w:pPr>
            <w:r>
              <w:t>Ņ</w:t>
            </w:r>
            <w:r w:rsidR="009538C1">
              <w:t xml:space="preserve">emot vērā, ka ministrijas sagatavo detalizētus paskaidrojumus par ministrijas darbības īstenošanai nepieciešamajiem budžeta līdzekļiem valsts budžeta izstrādes procesā, vienkāršota institūcijas darbības stratēģijas </w:t>
            </w:r>
            <w:r w:rsidR="00F047D4">
              <w:t xml:space="preserve">vispārīgā un </w:t>
            </w:r>
            <w:r w:rsidR="009538C1">
              <w:t>budžeta sadaļa</w:t>
            </w:r>
            <w:r w:rsidR="00F047D4">
              <w:t xml:space="preserve">. </w:t>
            </w:r>
            <w:r w:rsidR="00676D8A">
              <w:t>Vispārīgajā sadaļā galvenais uzsvars turpmāk būs uz attīstības tendenču un risināmo problēmu apraksta veidošanu</w:t>
            </w:r>
            <w:r w:rsidR="00557F6D">
              <w:t xml:space="preserve"> un sasaistes nodrošināšanu ar spēkā esošos attīstības plānošanas dokumentos noteikt</w:t>
            </w:r>
            <w:r>
              <w:t>aj</w:t>
            </w:r>
            <w:r w:rsidR="00557F6D">
              <w:t>iem uzdevumiem un pasākumiem, vienlai</w:t>
            </w:r>
            <w:r w:rsidR="00EF3CD2">
              <w:t>kus</w:t>
            </w:r>
            <w:r w:rsidR="00557F6D">
              <w:t xml:space="preserve"> neizslēdzot iespējas izvirzīt jaunus uzdevumus. </w:t>
            </w:r>
            <w:r w:rsidR="00F047D4">
              <w:t xml:space="preserve">Budžeta sadaļā </w:t>
            </w:r>
            <w:r w:rsidR="009538C1">
              <w:t xml:space="preserve">turpmāk būs jānorāda tikai atbilstošajam </w:t>
            </w:r>
            <w:r w:rsidR="007926C6">
              <w:t xml:space="preserve">institūcijas </w:t>
            </w:r>
            <w:r w:rsidR="009538C1">
              <w:t>darbības virzienam nepieciešamais finansējums un amata vietas stratēģijas plānošanas cikl</w:t>
            </w:r>
            <w:r w:rsidR="003461BF">
              <w:t>ā</w:t>
            </w:r>
            <w:r>
              <w:t xml:space="preserve"> (</w:t>
            </w:r>
            <w:r w:rsidR="003461BF">
              <w:t>attiecīgi</w:t>
            </w:r>
            <w:r w:rsidR="007926C6">
              <w:t xml:space="preserve"> </w:t>
            </w:r>
            <w:r w:rsidR="00B07FAB">
              <w:t xml:space="preserve">precizēti divi punkti instrukcijas 1.pielikumā un </w:t>
            </w:r>
            <w:r w:rsidR="007926C6">
              <w:t xml:space="preserve">jaunā redakcijā izteikts </w:t>
            </w:r>
            <w:r w:rsidR="003461BF">
              <w:t xml:space="preserve">instrukcijas </w:t>
            </w:r>
            <w:proofErr w:type="spellStart"/>
            <w:r w:rsidR="003461BF">
              <w:t>2.pielikums</w:t>
            </w:r>
            <w:proofErr w:type="spellEnd"/>
            <w:r>
              <w:t>)</w:t>
            </w:r>
            <w:r w:rsidR="003461BF">
              <w:t>.</w:t>
            </w:r>
            <w:r w:rsidR="009538C1">
              <w:t xml:space="preserve"> </w:t>
            </w:r>
          </w:p>
          <w:p w14:paraId="2DEDCE5D" w14:textId="77777777" w:rsidR="00343E0C" w:rsidRDefault="00F047D4" w:rsidP="009A27D7">
            <w:pPr>
              <w:pStyle w:val="tv213"/>
              <w:shd w:val="clear" w:color="auto" w:fill="FFFFFF"/>
              <w:spacing w:before="0" w:beforeAutospacing="0" w:after="0" w:afterAutospacing="0"/>
              <w:ind w:right="57"/>
            </w:pPr>
            <w:r>
              <w:t xml:space="preserve">Vienkāršota institūcijas darbības stratēģijas precizēšanas kārtība, izslēdzot no instrukcijas </w:t>
            </w:r>
            <w:r w:rsidR="00343E0C">
              <w:t xml:space="preserve">prasību </w:t>
            </w:r>
            <w:r>
              <w:t>sagatavot pārskatu par precizēšanas procesā veiktajām i</w:t>
            </w:r>
            <w:r w:rsidR="00343E0C">
              <w:t>zmaiņām un tā publicēšanu mājas</w:t>
            </w:r>
            <w:r>
              <w:t>lapā</w:t>
            </w:r>
            <w:r w:rsidR="00343E0C">
              <w:t xml:space="preserve"> internetā (</w:t>
            </w:r>
            <w:r w:rsidR="00557F6D">
              <w:t>attiecīgi</w:t>
            </w:r>
            <w:r>
              <w:t xml:space="preserve"> svītrots arī </w:t>
            </w:r>
            <w:proofErr w:type="spellStart"/>
            <w:r>
              <w:t>3.pielikums</w:t>
            </w:r>
            <w:proofErr w:type="spellEnd"/>
            <w:r w:rsidR="00343E0C">
              <w:t>)</w:t>
            </w:r>
            <w:r>
              <w:t xml:space="preserve">. </w:t>
            </w:r>
          </w:p>
          <w:p w14:paraId="789F812D" w14:textId="5E2BBA6C" w:rsidR="00AF711F" w:rsidRPr="00AF711F" w:rsidRDefault="00343E0C" w:rsidP="009A27D7">
            <w:pPr>
              <w:pStyle w:val="tv213"/>
              <w:shd w:val="clear" w:color="auto" w:fill="FFFFFF"/>
              <w:spacing w:before="0" w:beforeAutospacing="0" w:after="0" w:afterAutospacing="0"/>
              <w:ind w:right="57"/>
            </w:pPr>
            <w:r>
              <w:t>P</w:t>
            </w:r>
            <w:r w:rsidR="00AF711F">
              <w:t xml:space="preserve">aredzēts, ka stratēģijas izpildes novērtēšana notiek ikgadējās precizēšanas procesā un sagatavojot institūcijas gada publisko pārskatu. </w:t>
            </w:r>
            <w:r>
              <w:t>I</w:t>
            </w:r>
            <w:r w:rsidR="00AF711F">
              <w:t>nstrukcijas projekts nosaka, ka</w:t>
            </w:r>
            <w:r>
              <w:t>,</w:t>
            </w:r>
            <w:r w:rsidR="00AF711F">
              <w:t xml:space="preserve"> i</w:t>
            </w:r>
            <w:r w:rsidR="00AF711F" w:rsidRPr="00AF711F">
              <w:t xml:space="preserve">esniedzot izskatīšanai Ministru kabinetā budžeta nefinansētas iestādes nākamā gada budžeta projektu, kā papildmateriālu iesniedz arī </w:t>
            </w:r>
            <w:r w:rsidR="00C61C49">
              <w:t xml:space="preserve">stratēģiju, kuru </w:t>
            </w:r>
            <w:r w:rsidR="00C61C49" w:rsidRPr="00AF711F">
              <w:t>apstiprinā</w:t>
            </w:r>
            <w:r w:rsidR="00C61C49">
              <w:t xml:space="preserve">jis </w:t>
            </w:r>
            <w:r w:rsidR="00AF711F" w:rsidRPr="00AF711F">
              <w:t>Ministru kabineta locek</w:t>
            </w:r>
            <w:r w:rsidR="00C61C49">
              <w:t>lis</w:t>
            </w:r>
            <w:r w:rsidR="00AF711F" w:rsidRPr="00AF711F">
              <w:t xml:space="preserve">, kura padotībā atrodas attiecīgā budžeta nefinansētā iestāde, </w:t>
            </w:r>
            <w:r w:rsidR="00AF711F">
              <w:t>vien</w:t>
            </w:r>
            <w:r w:rsidR="00EF3CD2">
              <w:t>laikus</w:t>
            </w:r>
            <w:r w:rsidR="00AF711F">
              <w:t xml:space="preserve"> paredzot, ka valsts aģentūras stratēģijas saturu veido atbilstoši Publisko aģentūru likumam. </w:t>
            </w:r>
          </w:p>
          <w:p w14:paraId="789F812E" w14:textId="77E42B5D" w:rsidR="00A66FCF" w:rsidRPr="00344C35" w:rsidRDefault="00343E0C" w:rsidP="009A27D7">
            <w:r w:rsidRPr="00343E0C">
              <w:rPr>
                <w:spacing w:val="-2"/>
              </w:rPr>
              <w:t xml:space="preserve">Instrukcijas </w:t>
            </w:r>
            <w:r w:rsidR="00260C5D" w:rsidRPr="00343E0C">
              <w:rPr>
                <w:spacing w:val="-2"/>
              </w:rPr>
              <w:t xml:space="preserve">projekts paredz precizēt darbības stratēģijas aktualizācijas atspoguļošanas termiņa piemēru instrukcijas 6.punktā, </w:t>
            </w:r>
            <w:r w:rsidR="007926C6" w:rsidRPr="00343E0C">
              <w:rPr>
                <w:spacing w:val="-2"/>
              </w:rPr>
              <w:t xml:space="preserve">kā arī </w:t>
            </w:r>
            <w:r w:rsidR="00260C5D" w:rsidRPr="00343E0C">
              <w:rPr>
                <w:spacing w:val="-2"/>
              </w:rPr>
              <w:t xml:space="preserve">atbilstoši grozījumam par darbības stratēģijas plānošanas ciklu noteikt, ka </w:t>
            </w:r>
            <w:r w:rsidR="000A0034" w:rsidRPr="00343E0C">
              <w:rPr>
                <w:spacing w:val="-2"/>
              </w:rPr>
              <w:t>"</w:t>
            </w:r>
            <w:r w:rsidR="00260C5D" w:rsidRPr="00343E0C">
              <w:rPr>
                <w:spacing w:val="-2"/>
              </w:rPr>
              <w:t>n</w:t>
            </w:r>
            <w:r w:rsidR="000A0034" w:rsidRPr="00343E0C">
              <w:rPr>
                <w:spacing w:val="-2"/>
              </w:rPr>
              <w:t>"</w:t>
            </w:r>
            <w:r w:rsidR="00260C5D" w:rsidRPr="00343E0C">
              <w:rPr>
                <w:spacing w:val="-2"/>
              </w:rPr>
              <w:t xml:space="preserve"> gads ir </w:t>
            </w:r>
            <w:proofErr w:type="spellStart"/>
            <w:r w:rsidR="00260C5D" w:rsidRPr="00343E0C">
              <w:rPr>
                <w:spacing w:val="-2"/>
              </w:rPr>
              <w:t>20</w:t>
            </w:r>
            <w:r w:rsidR="007A0B2A" w:rsidRPr="00343E0C">
              <w:rPr>
                <w:spacing w:val="-2"/>
              </w:rPr>
              <w:t>1</w:t>
            </w:r>
            <w:r w:rsidR="00312F18" w:rsidRPr="00343E0C">
              <w:rPr>
                <w:spacing w:val="-2"/>
              </w:rPr>
              <w:t>3</w:t>
            </w:r>
            <w:r w:rsidR="007A0B2A">
              <w:t>.gads</w:t>
            </w:r>
            <w:proofErr w:type="spellEnd"/>
            <w:r w:rsidR="007A0B2A">
              <w:t xml:space="preserve">. </w:t>
            </w:r>
          </w:p>
          <w:p w14:paraId="789F812F" w14:textId="332ACEFD" w:rsidR="001D0F94" w:rsidRPr="00344C35" w:rsidRDefault="001D0F94" w:rsidP="00441776">
            <w:r w:rsidRPr="00441776">
              <w:rPr>
                <w:spacing w:val="-2"/>
              </w:rPr>
              <w:t>Veicot grozījumus</w:t>
            </w:r>
            <w:r w:rsidR="00441776" w:rsidRPr="00441776">
              <w:rPr>
                <w:spacing w:val="-2"/>
              </w:rPr>
              <w:t xml:space="preserve"> saskaņā ar</w:t>
            </w:r>
            <w:r w:rsidRPr="00441776">
              <w:rPr>
                <w:spacing w:val="-2"/>
              </w:rPr>
              <w:t xml:space="preserve"> instrukcij</w:t>
            </w:r>
            <w:r w:rsidR="00441776" w:rsidRPr="00441776">
              <w:rPr>
                <w:spacing w:val="-2"/>
              </w:rPr>
              <w:t>as projekt</w:t>
            </w:r>
            <w:r w:rsidRPr="00441776">
              <w:rPr>
                <w:spacing w:val="-2"/>
              </w:rPr>
              <w:t>ā piedāvāt</w:t>
            </w:r>
            <w:r w:rsidR="00441776" w:rsidRPr="00441776">
              <w:rPr>
                <w:spacing w:val="-2"/>
              </w:rPr>
              <w:t>o</w:t>
            </w:r>
            <w:r w:rsidRPr="00441776">
              <w:rPr>
                <w:spacing w:val="-2"/>
              </w:rPr>
              <w:t xml:space="preserve"> redakcij</w:t>
            </w:r>
            <w:r w:rsidR="00441776" w:rsidRPr="00441776">
              <w:rPr>
                <w:spacing w:val="-2"/>
              </w:rPr>
              <w:t>u</w:t>
            </w:r>
            <w:r w:rsidRPr="00441776">
              <w:rPr>
                <w:spacing w:val="-2"/>
              </w:rPr>
              <w:t xml:space="preserve">, šīs sadaļas 2.punktā identificētā problēma tiks atrisināta pilnībā un institūcijas </w:t>
            </w:r>
            <w:r w:rsidR="00EF3CD2" w:rsidRPr="00441776">
              <w:rPr>
                <w:spacing w:val="-2"/>
              </w:rPr>
              <w:t>laikus</w:t>
            </w:r>
            <w:r w:rsidRPr="00441776">
              <w:rPr>
                <w:spacing w:val="-2"/>
              </w:rPr>
              <w:t xml:space="preserve"> varēs uzsākt sav</w:t>
            </w:r>
            <w:r w:rsidR="00441776" w:rsidRPr="00441776">
              <w:rPr>
                <w:spacing w:val="-2"/>
              </w:rPr>
              <w:t>as</w:t>
            </w:r>
            <w:r w:rsidRPr="00441776">
              <w:rPr>
                <w:spacing w:val="-2"/>
              </w:rPr>
              <w:t xml:space="preserve"> darbības stratēģij</w:t>
            </w:r>
            <w:r w:rsidR="00441776" w:rsidRPr="00441776">
              <w:rPr>
                <w:spacing w:val="-2"/>
              </w:rPr>
              <w:t>as</w:t>
            </w:r>
            <w:r w:rsidRPr="00441776">
              <w:rPr>
                <w:spacing w:val="-2"/>
              </w:rPr>
              <w:t xml:space="preserve"> izstrādi atbilstoši</w:t>
            </w:r>
            <w:r w:rsidRPr="00344C35">
              <w:t xml:space="preserve"> valsts budžeta plānošanas, izstrādes un saskaņošanas procesam</w:t>
            </w:r>
          </w:p>
        </w:tc>
      </w:tr>
      <w:tr w:rsidR="009538C1" w:rsidRPr="00344C35" w14:paraId="789F8134" w14:textId="77777777" w:rsidTr="00F91125">
        <w:tc>
          <w:tcPr>
            <w:tcW w:w="396" w:type="dxa"/>
          </w:tcPr>
          <w:p w14:paraId="789F8131" w14:textId="77777777" w:rsidR="00FA338D" w:rsidRPr="00344C35" w:rsidRDefault="00FA338D" w:rsidP="009A27D7">
            <w:pPr>
              <w:pStyle w:val="naislab"/>
              <w:spacing w:before="0" w:after="0"/>
              <w:jc w:val="left"/>
              <w:outlineLvl w:val="0"/>
            </w:pPr>
            <w:r w:rsidRPr="00344C35">
              <w:t>5.</w:t>
            </w:r>
          </w:p>
        </w:tc>
        <w:tc>
          <w:tcPr>
            <w:tcW w:w="1697" w:type="dxa"/>
          </w:tcPr>
          <w:p w14:paraId="789F8132" w14:textId="77777777" w:rsidR="00FA338D" w:rsidRPr="00344C35" w:rsidRDefault="00FA338D" w:rsidP="009A27D7">
            <w:pPr>
              <w:pStyle w:val="naislab"/>
              <w:spacing w:before="0" w:after="0"/>
              <w:jc w:val="left"/>
              <w:outlineLvl w:val="0"/>
            </w:pPr>
            <w:r w:rsidRPr="00344C35">
              <w:t>Projekta izstrādē iesaistītās institūcijas</w:t>
            </w:r>
          </w:p>
        </w:tc>
        <w:tc>
          <w:tcPr>
            <w:tcW w:w="7194" w:type="dxa"/>
          </w:tcPr>
          <w:p w14:paraId="789F8133" w14:textId="77777777" w:rsidR="007E018A" w:rsidRPr="00344C35" w:rsidRDefault="001D0F94" w:rsidP="009A27D7">
            <w:pPr>
              <w:pStyle w:val="naiskr"/>
              <w:spacing w:before="0" w:after="0"/>
            </w:pPr>
            <w:r w:rsidRPr="00344C35">
              <w:t>Valsts kanceleja</w:t>
            </w:r>
          </w:p>
        </w:tc>
      </w:tr>
      <w:tr w:rsidR="009538C1" w:rsidRPr="00344C35" w14:paraId="789F8138" w14:textId="77777777" w:rsidTr="00F91125">
        <w:tc>
          <w:tcPr>
            <w:tcW w:w="396" w:type="dxa"/>
          </w:tcPr>
          <w:p w14:paraId="789F8135" w14:textId="77777777" w:rsidR="00FA338D" w:rsidRPr="00344C35" w:rsidRDefault="00FA338D" w:rsidP="009A27D7">
            <w:pPr>
              <w:pStyle w:val="naislab"/>
              <w:spacing w:before="0" w:after="0"/>
              <w:jc w:val="left"/>
              <w:outlineLvl w:val="0"/>
            </w:pPr>
            <w:r w:rsidRPr="00344C35">
              <w:t>6.</w:t>
            </w:r>
          </w:p>
        </w:tc>
        <w:tc>
          <w:tcPr>
            <w:tcW w:w="1697" w:type="dxa"/>
          </w:tcPr>
          <w:p w14:paraId="789F8136" w14:textId="77777777" w:rsidR="00FA338D" w:rsidRPr="00344C35" w:rsidRDefault="00FA338D" w:rsidP="009A27D7">
            <w:pPr>
              <w:pStyle w:val="naislab"/>
              <w:spacing w:before="0" w:after="0"/>
              <w:jc w:val="left"/>
              <w:outlineLvl w:val="0"/>
            </w:pPr>
            <w:r w:rsidRPr="00344C35">
              <w:t>Iemesli, kādēļ netika nodrošināta sabiedrības līdzdalība</w:t>
            </w:r>
          </w:p>
        </w:tc>
        <w:tc>
          <w:tcPr>
            <w:tcW w:w="7194" w:type="dxa"/>
          </w:tcPr>
          <w:p w14:paraId="789F8137" w14:textId="0C53855F" w:rsidR="00FA338D" w:rsidRPr="00441776" w:rsidRDefault="00344C35" w:rsidP="009A27D7">
            <w:pPr>
              <w:rPr>
                <w:spacing w:val="-2"/>
              </w:rPr>
            </w:pPr>
            <w:r w:rsidRPr="00441776">
              <w:rPr>
                <w:spacing w:val="-2"/>
              </w:rPr>
              <w:t xml:space="preserve">Instrukcijas projekta izstrādē netika iesaistīta sabiedrība, jo </w:t>
            </w:r>
            <w:r w:rsidR="00520E31" w:rsidRPr="00441776">
              <w:rPr>
                <w:spacing w:val="-2"/>
              </w:rPr>
              <w:t>institūcijas darbības stratēģija nodrošina tiešās pārvaldes institūcijas darbības plānošanu tās kompetencē esošajās politikas nozarēs atbilstoši attiecīgajā nozarē apstiprināt</w:t>
            </w:r>
            <w:r w:rsidR="00441776" w:rsidRPr="00441776">
              <w:rPr>
                <w:spacing w:val="-2"/>
              </w:rPr>
              <w:t>aj</w:t>
            </w:r>
            <w:r w:rsidR="00520E31" w:rsidRPr="00441776">
              <w:rPr>
                <w:spacing w:val="-2"/>
              </w:rPr>
              <w:t>iem attīstības plānošanas dokumentiem, tiesību aktiem un plānotajam institūcijas valsts budžeta izdevumu kopapjomam vidējam termiņam un tiešā veidā sabiedrības intereses neskar</w:t>
            </w:r>
          </w:p>
        </w:tc>
      </w:tr>
      <w:tr w:rsidR="009538C1" w:rsidRPr="00344C35" w14:paraId="789F813C" w14:textId="77777777" w:rsidTr="00F91125">
        <w:tc>
          <w:tcPr>
            <w:tcW w:w="396" w:type="dxa"/>
          </w:tcPr>
          <w:p w14:paraId="789F8139" w14:textId="77777777" w:rsidR="00FA338D" w:rsidRPr="00344C35" w:rsidRDefault="00FA338D" w:rsidP="009A27D7">
            <w:pPr>
              <w:pStyle w:val="naislab"/>
              <w:spacing w:before="0" w:after="0"/>
              <w:jc w:val="left"/>
              <w:outlineLvl w:val="0"/>
            </w:pPr>
            <w:r w:rsidRPr="00344C35">
              <w:t>7.</w:t>
            </w:r>
          </w:p>
        </w:tc>
        <w:tc>
          <w:tcPr>
            <w:tcW w:w="1697" w:type="dxa"/>
          </w:tcPr>
          <w:p w14:paraId="789F813A" w14:textId="77777777" w:rsidR="00FA338D" w:rsidRPr="00344C35" w:rsidRDefault="00FA338D" w:rsidP="009A27D7">
            <w:pPr>
              <w:pStyle w:val="naislab"/>
              <w:spacing w:before="0" w:after="0"/>
              <w:jc w:val="left"/>
              <w:outlineLvl w:val="0"/>
            </w:pPr>
            <w:r w:rsidRPr="00344C35">
              <w:t>Cita informācija</w:t>
            </w:r>
          </w:p>
        </w:tc>
        <w:tc>
          <w:tcPr>
            <w:tcW w:w="7194" w:type="dxa"/>
          </w:tcPr>
          <w:p w14:paraId="789F813B" w14:textId="77777777" w:rsidR="007E018A" w:rsidRPr="00344C35" w:rsidRDefault="00FA338D" w:rsidP="009A27D7">
            <w:r w:rsidRPr="00344C35">
              <w:t>Nav</w:t>
            </w:r>
          </w:p>
        </w:tc>
      </w:tr>
    </w:tbl>
    <w:p w14:paraId="789F813D" w14:textId="77777777" w:rsidR="00B05965" w:rsidRDefault="00B05965" w:rsidP="00E4691F"/>
    <w:p w14:paraId="789F813E" w14:textId="77777777" w:rsidR="00FA338D" w:rsidRDefault="006B6CB8" w:rsidP="00E4691F">
      <w:r>
        <w:t xml:space="preserve">II, </w:t>
      </w:r>
      <w:r w:rsidR="00C20699">
        <w:t>III</w:t>
      </w:r>
      <w:r w:rsidR="00D34120">
        <w:t xml:space="preserve">, </w:t>
      </w:r>
      <w:r w:rsidR="00DF4CAD">
        <w:t>V un VI sadaļa</w:t>
      </w:r>
      <w:r w:rsidR="00520E31">
        <w:t xml:space="preserve"> – </w:t>
      </w:r>
      <w:r w:rsidR="00FC0548">
        <w:t xml:space="preserve">instrukcijas </w:t>
      </w:r>
      <w:r w:rsidR="00520E31">
        <w:t>projekts šīs jomu neskar.</w:t>
      </w:r>
    </w:p>
    <w:p w14:paraId="789F813F" w14:textId="77777777" w:rsidR="00670636" w:rsidRDefault="00670636" w:rsidP="00E469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804"/>
      </w:tblGrid>
      <w:tr w:rsidR="00670636" w:rsidRPr="00546898" w14:paraId="789F8141" w14:textId="77777777" w:rsidTr="002501EE">
        <w:tc>
          <w:tcPr>
            <w:tcW w:w="9322" w:type="dxa"/>
            <w:gridSpan w:val="3"/>
            <w:tcBorders>
              <w:top w:val="single" w:sz="4" w:space="0" w:color="auto"/>
              <w:left w:val="single" w:sz="4" w:space="0" w:color="auto"/>
              <w:bottom w:val="single" w:sz="4" w:space="0" w:color="auto"/>
              <w:right w:val="single" w:sz="4" w:space="0" w:color="auto"/>
            </w:tcBorders>
            <w:vAlign w:val="center"/>
          </w:tcPr>
          <w:p w14:paraId="789F8140" w14:textId="495D4B7D" w:rsidR="00670636" w:rsidRPr="007F01F9" w:rsidRDefault="002501EE" w:rsidP="00924EAB">
            <w:pPr>
              <w:spacing w:before="60" w:after="60"/>
              <w:ind w:left="57" w:right="57"/>
              <w:jc w:val="center"/>
              <w:rPr>
                <w:b/>
                <w:bCs/>
              </w:rPr>
            </w:pPr>
            <w:r>
              <w:rPr>
                <w:b/>
                <w:bCs/>
              </w:rPr>
              <w:t xml:space="preserve">IV. </w:t>
            </w:r>
            <w:r w:rsidR="00670636" w:rsidRPr="007F01F9">
              <w:rPr>
                <w:b/>
                <w:bCs/>
              </w:rPr>
              <w:t>Tiesību akta projekta ietekme uz</w:t>
            </w:r>
            <w:r w:rsidR="00670636">
              <w:rPr>
                <w:b/>
                <w:bCs/>
              </w:rPr>
              <w:t xml:space="preserve"> </w:t>
            </w:r>
            <w:r w:rsidR="00670636" w:rsidRPr="007F01F9">
              <w:rPr>
                <w:b/>
                <w:bCs/>
              </w:rPr>
              <w:t>spēkā esošo tiesību normu sistēmu</w:t>
            </w:r>
          </w:p>
        </w:tc>
      </w:tr>
      <w:tr w:rsidR="00670636" w:rsidRPr="008F120A" w14:paraId="789F8146" w14:textId="77777777" w:rsidTr="004C4F37">
        <w:trPr>
          <w:trHeight w:val="335"/>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789F8142" w14:textId="77777777" w:rsidR="00670636" w:rsidRPr="00E10805" w:rsidRDefault="00670636" w:rsidP="009A27D7">
            <w:pPr>
              <w:ind w:left="57" w:right="57"/>
              <w:rPr>
                <w:bCs/>
              </w:rPr>
            </w:pPr>
            <w:r w:rsidRPr="00E10805">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9F8143" w14:textId="77777777" w:rsidR="00670636" w:rsidRPr="007F01F9" w:rsidRDefault="00670636" w:rsidP="009A27D7">
            <w:pPr>
              <w:ind w:left="57" w:right="57"/>
              <w:rPr>
                <w:bCs/>
              </w:rPr>
            </w:pPr>
            <w:r w:rsidRPr="007F01F9">
              <w:rPr>
                <w:bCs/>
              </w:rPr>
              <w:t>Nepieciešamie saistītie tiesību aktu projekti</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89F8144" w14:textId="6308C623" w:rsidR="00670636" w:rsidRPr="0017608E" w:rsidRDefault="003E53EF" w:rsidP="009A27D7">
            <w:pPr>
              <w:ind w:right="57"/>
              <w:rPr>
                <w:bCs/>
                <w:spacing w:val="-2"/>
              </w:rPr>
            </w:pPr>
            <w:r w:rsidRPr="0017608E">
              <w:rPr>
                <w:bCs/>
                <w:spacing w:val="-2"/>
              </w:rPr>
              <w:t>Vienlai</w:t>
            </w:r>
            <w:r w:rsidR="00A4232C" w:rsidRPr="0017608E">
              <w:rPr>
                <w:bCs/>
                <w:spacing w:val="-2"/>
              </w:rPr>
              <w:t>kus</w:t>
            </w:r>
            <w:r w:rsidRPr="0017608E">
              <w:rPr>
                <w:bCs/>
                <w:spacing w:val="-2"/>
              </w:rPr>
              <w:t xml:space="preserve"> ar </w:t>
            </w:r>
            <w:r w:rsidRPr="0017608E">
              <w:rPr>
                <w:spacing w:val="-2"/>
              </w:rPr>
              <w:t>instrukcijas</w:t>
            </w:r>
            <w:r w:rsidR="00955009" w:rsidRPr="0017608E">
              <w:rPr>
                <w:spacing w:val="-2"/>
              </w:rPr>
              <w:t xml:space="preserve"> projektu</w:t>
            </w:r>
            <w:r w:rsidRPr="0017608E">
              <w:rPr>
                <w:spacing w:val="-2"/>
              </w:rPr>
              <w:t xml:space="preserve"> </w:t>
            </w:r>
            <w:r w:rsidR="00670636" w:rsidRPr="0017608E">
              <w:rPr>
                <w:bCs/>
                <w:spacing w:val="-2"/>
              </w:rPr>
              <w:t>Vals</w:t>
            </w:r>
            <w:r w:rsidRPr="0017608E">
              <w:rPr>
                <w:bCs/>
                <w:spacing w:val="-2"/>
              </w:rPr>
              <w:t xml:space="preserve">ts kanceleja ir izstrādājusi </w:t>
            </w:r>
            <w:r w:rsidRPr="0017608E">
              <w:rPr>
                <w:spacing w:val="-2"/>
              </w:rPr>
              <w:t xml:space="preserve">grozījumus noteikumos </w:t>
            </w:r>
            <w:proofErr w:type="spellStart"/>
            <w:r w:rsidR="00C716E2" w:rsidRPr="0017608E">
              <w:rPr>
                <w:spacing w:val="-2"/>
              </w:rPr>
              <w:t>Nr.1178</w:t>
            </w:r>
            <w:proofErr w:type="spellEnd"/>
            <w:r w:rsidR="0017608E" w:rsidRPr="0017608E">
              <w:rPr>
                <w:bCs/>
                <w:spacing w:val="-2"/>
              </w:rPr>
              <w:t>. A</w:t>
            </w:r>
            <w:r w:rsidRPr="0017608E">
              <w:rPr>
                <w:bCs/>
                <w:spacing w:val="-2"/>
              </w:rPr>
              <w:t xml:space="preserve">bus </w:t>
            </w:r>
            <w:r w:rsidR="00670636" w:rsidRPr="0017608E">
              <w:rPr>
                <w:bCs/>
                <w:spacing w:val="-2"/>
              </w:rPr>
              <w:t>projektus apstiprināšanai Ministru kabineta sēdē ir plānots virzīt vienlai</w:t>
            </w:r>
            <w:r w:rsidR="00A4232C" w:rsidRPr="0017608E">
              <w:rPr>
                <w:bCs/>
                <w:spacing w:val="-2"/>
              </w:rPr>
              <w:t>kus</w:t>
            </w:r>
            <w:r w:rsidR="00670636" w:rsidRPr="0017608E">
              <w:rPr>
                <w:bCs/>
                <w:spacing w:val="-2"/>
              </w:rPr>
              <w:t xml:space="preserve">. </w:t>
            </w:r>
          </w:p>
          <w:p w14:paraId="789F8145" w14:textId="01484FCE" w:rsidR="00955009" w:rsidRPr="008F120A" w:rsidRDefault="00955009" w:rsidP="0017608E">
            <w:pPr>
              <w:ind w:right="57"/>
              <w:rPr>
                <w:bCs/>
              </w:rPr>
            </w:pPr>
            <w:r w:rsidRPr="0017608E">
              <w:rPr>
                <w:bCs/>
                <w:spacing w:val="-2"/>
              </w:rPr>
              <w:t>Papildus nepieciešams izstrādāt grozījumus Publisko aģentūru likumā, paredzot, ka valsts aģentūras vidēja termiņa darbības stratēģiju apstiprina attiecīgais Ministru kabineta loceklis, kura padotībā aģentūra atrodas</w:t>
            </w:r>
            <w:r w:rsidR="0017608E" w:rsidRPr="0017608E">
              <w:rPr>
                <w:bCs/>
                <w:spacing w:val="-2"/>
              </w:rPr>
              <w:t>,</w:t>
            </w:r>
            <w:r w:rsidR="007A0B2A" w:rsidRPr="0017608E">
              <w:rPr>
                <w:bCs/>
                <w:spacing w:val="-2"/>
              </w:rPr>
              <w:t xml:space="preserve"> un </w:t>
            </w:r>
            <w:r w:rsidR="0017608E" w:rsidRPr="0017608E">
              <w:rPr>
                <w:bCs/>
                <w:spacing w:val="-2"/>
              </w:rPr>
              <w:t xml:space="preserve">ka </w:t>
            </w:r>
            <w:r w:rsidR="007A0B2A" w:rsidRPr="0017608E">
              <w:rPr>
                <w:bCs/>
                <w:spacing w:val="-2"/>
              </w:rPr>
              <w:t>darbības stratēģija ir paskaidrojošais dokuments valsts aģ</w:t>
            </w:r>
            <w:r w:rsidR="00F67A63" w:rsidRPr="0017608E">
              <w:rPr>
                <w:bCs/>
                <w:spacing w:val="-2"/>
              </w:rPr>
              <w:t xml:space="preserve">entūras budžeta pieprasījumam. Ņemot vērā Ministru kabineta </w:t>
            </w:r>
            <w:proofErr w:type="spellStart"/>
            <w:r w:rsidR="00F67A63" w:rsidRPr="0017608E">
              <w:rPr>
                <w:bCs/>
                <w:spacing w:val="-2"/>
              </w:rPr>
              <w:t>2009.gada</w:t>
            </w:r>
            <w:proofErr w:type="spellEnd"/>
            <w:r w:rsidR="00F67A63" w:rsidRPr="0017608E">
              <w:rPr>
                <w:bCs/>
                <w:spacing w:val="-2"/>
              </w:rPr>
              <w:t xml:space="preserve"> </w:t>
            </w:r>
            <w:proofErr w:type="spellStart"/>
            <w:r w:rsidR="00F67A63" w:rsidRPr="0017608E">
              <w:rPr>
                <w:bCs/>
                <w:spacing w:val="-2"/>
              </w:rPr>
              <w:t>3.februāra</w:t>
            </w:r>
            <w:proofErr w:type="spellEnd"/>
            <w:r w:rsidR="00F67A63" w:rsidRPr="0017608E">
              <w:rPr>
                <w:bCs/>
                <w:spacing w:val="-2"/>
              </w:rPr>
              <w:t xml:space="preserve"> noteikumu </w:t>
            </w:r>
            <w:proofErr w:type="spellStart"/>
            <w:r w:rsidR="00F67A63" w:rsidRPr="0017608E">
              <w:rPr>
                <w:bCs/>
                <w:spacing w:val="-2"/>
              </w:rPr>
              <w:t>Nr.108</w:t>
            </w:r>
            <w:proofErr w:type="spellEnd"/>
            <w:r w:rsidR="00F67A63" w:rsidRPr="0017608E">
              <w:rPr>
                <w:bCs/>
                <w:spacing w:val="-2"/>
              </w:rPr>
              <w:t xml:space="preserve"> </w:t>
            </w:r>
            <w:r w:rsidR="000A0034" w:rsidRPr="0017608E">
              <w:rPr>
                <w:bCs/>
                <w:spacing w:val="-2"/>
              </w:rPr>
              <w:t>"</w:t>
            </w:r>
            <w:r w:rsidR="00F67A63" w:rsidRPr="0017608E">
              <w:rPr>
                <w:bCs/>
                <w:spacing w:val="-2"/>
              </w:rPr>
              <w:t>Normatīvo aktu projektu sagatavošanas noteikumi</w:t>
            </w:r>
            <w:r w:rsidR="000A0034" w:rsidRPr="0017608E">
              <w:rPr>
                <w:bCs/>
                <w:spacing w:val="-2"/>
              </w:rPr>
              <w:t>"</w:t>
            </w:r>
            <w:r w:rsidR="00F67A63" w:rsidRPr="0017608E">
              <w:rPr>
                <w:bCs/>
                <w:spacing w:val="-2"/>
              </w:rPr>
              <w:t xml:space="preserve"> 3.</w:t>
            </w:r>
            <w:r w:rsidR="00F67A63" w:rsidRPr="0017608E">
              <w:rPr>
                <w:bCs/>
                <w:spacing w:val="-2"/>
                <w:vertAlign w:val="superscript"/>
              </w:rPr>
              <w:t>1</w:t>
            </w:r>
            <w:r w:rsidR="00A4232C" w:rsidRPr="0017608E">
              <w:rPr>
                <w:bCs/>
                <w:spacing w:val="-2"/>
                <w:vertAlign w:val="superscript"/>
              </w:rPr>
              <w:t> </w:t>
            </w:r>
            <w:r w:rsidR="00F67A63" w:rsidRPr="0017608E">
              <w:rPr>
                <w:bCs/>
                <w:spacing w:val="-2"/>
              </w:rPr>
              <w:t>punkt</w:t>
            </w:r>
            <w:r w:rsidR="0017608E" w:rsidRPr="0017608E">
              <w:rPr>
                <w:bCs/>
                <w:spacing w:val="-2"/>
              </w:rPr>
              <w:t>u</w:t>
            </w:r>
            <w:r w:rsidR="00F67A63" w:rsidRPr="0017608E">
              <w:rPr>
                <w:bCs/>
                <w:spacing w:val="-2"/>
              </w:rPr>
              <w:t>, minētie grozījumi Publisko aģentūru likumā tiks sagatavoti, kad likums tiks grozīts pēc būtības un par grozījumu sagatavošanu</w:t>
            </w:r>
            <w:r w:rsidR="00F67A63" w:rsidRPr="00F67A63">
              <w:rPr>
                <w:bCs/>
              </w:rPr>
              <w:t xml:space="preserve"> atbildīgā institūcija būs Valsts kanceleja</w:t>
            </w:r>
          </w:p>
        </w:tc>
      </w:tr>
      <w:tr w:rsidR="00670636" w:rsidRPr="007F01F9" w14:paraId="789F814B" w14:textId="77777777" w:rsidTr="004C4F37">
        <w:trPr>
          <w:trHeight w:val="335"/>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789F8147" w14:textId="77777777" w:rsidR="00670636" w:rsidRPr="007F01F9" w:rsidRDefault="00670636" w:rsidP="009A27D7">
            <w:pPr>
              <w:ind w:left="57" w:right="57"/>
              <w:rPr>
                <w:bCs/>
              </w:rPr>
            </w:pPr>
            <w:r w:rsidRPr="007F01F9">
              <w:rPr>
                <w:bC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9F8149" w14:textId="1ECA6A20" w:rsidR="00670636" w:rsidRPr="007F01F9" w:rsidRDefault="00670636" w:rsidP="000A0034">
            <w:pPr>
              <w:ind w:left="57" w:right="57"/>
              <w:rPr>
                <w:bCs/>
              </w:rPr>
            </w:pPr>
            <w:r w:rsidRPr="007F01F9">
              <w:rPr>
                <w:bCs/>
              </w:rPr>
              <w:t>Cita</w:t>
            </w:r>
            <w:r w:rsidR="000A0034">
              <w:rPr>
                <w:bCs/>
              </w:rPr>
              <w:t xml:space="preserve"> </w:t>
            </w:r>
            <w:r w:rsidRPr="007F01F9">
              <w:rPr>
                <w:bCs/>
              </w:rPr>
              <w:t>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89F814A" w14:textId="77777777" w:rsidR="00670636" w:rsidRPr="007F01F9" w:rsidRDefault="00670636" w:rsidP="009A27D7">
            <w:pPr>
              <w:ind w:right="57"/>
              <w:rPr>
                <w:bCs/>
              </w:rPr>
            </w:pPr>
            <w:r w:rsidRPr="007F01F9">
              <w:rPr>
                <w:bCs/>
              </w:rPr>
              <w:t>Nav</w:t>
            </w:r>
          </w:p>
        </w:tc>
      </w:tr>
    </w:tbl>
    <w:p w14:paraId="789F814C" w14:textId="77777777" w:rsidR="00670636" w:rsidRDefault="00670636" w:rsidP="00E46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57"/>
        <w:gridCol w:w="5734"/>
      </w:tblGrid>
      <w:tr w:rsidR="00FA338D" w:rsidRPr="00D47E57" w14:paraId="789F8150" w14:textId="77777777" w:rsidTr="009A27D7">
        <w:trPr>
          <w:trHeight w:val="279"/>
        </w:trPr>
        <w:tc>
          <w:tcPr>
            <w:tcW w:w="9379" w:type="dxa"/>
            <w:gridSpan w:val="3"/>
          </w:tcPr>
          <w:p w14:paraId="789F814F" w14:textId="77777777" w:rsidR="00FA338D" w:rsidRPr="00D47E57" w:rsidRDefault="00FA338D" w:rsidP="00924EAB">
            <w:pPr>
              <w:spacing w:before="60" w:after="60"/>
              <w:jc w:val="center"/>
              <w:rPr>
                <w:b/>
              </w:rPr>
            </w:pPr>
            <w:r w:rsidRPr="00D47E57">
              <w:rPr>
                <w:b/>
              </w:rPr>
              <w:t>VII. Tiesību akta projekta izpildes nodrošināšana un tās ietekme uz institūcijām</w:t>
            </w:r>
          </w:p>
        </w:tc>
      </w:tr>
      <w:tr w:rsidR="00FA338D" w:rsidRPr="00D47E57" w14:paraId="789F8154" w14:textId="77777777" w:rsidTr="009A27D7">
        <w:trPr>
          <w:trHeight w:val="279"/>
        </w:trPr>
        <w:tc>
          <w:tcPr>
            <w:tcW w:w="396" w:type="dxa"/>
          </w:tcPr>
          <w:p w14:paraId="789F8151" w14:textId="77777777" w:rsidR="00FA338D" w:rsidRPr="00D47E57" w:rsidRDefault="00FA338D" w:rsidP="002501EE">
            <w:r w:rsidRPr="00D47E57">
              <w:t>1.</w:t>
            </w:r>
          </w:p>
        </w:tc>
        <w:tc>
          <w:tcPr>
            <w:tcW w:w="3182" w:type="dxa"/>
          </w:tcPr>
          <w:p w14:paraId="789F8152" w14:textId="77777777" w:rsidR="00FA338D" w:rsidRPr="00D47E57" w:rsidRDefault="00FA338D" w:rsidP="002501EE">
            <w:r w:rsidRPr="00D47E57">
              <w:t>Projekta izpildē iesaistītās institūcijas</w:t>
            </w:r>
          </w:p>
        </w:tc>
        <w:tc>
          <w:tcPr>
            <w:tcW w:w="5801" w:type="dxa"/>
          </w:tcPr>
          <w:p w14:paraId="789F8153" w14:textId="77777777" w:rsidR="00FA338D" w:rsidRPr="00D47E57" w:rsidRDefault="007E018A" w:rsidP="002501EE">
            <w:r w:rsidRPr="00D47E57">
              <w:t>Instrukcijas</w:t>
            </w:r>
            <w:r w:rsidR="00520E31" w:rsidRPr="00D47E57">
              <w:t xml:space="preserve"> </w:t>
            </w:r>
            <w:r w:rsidR="00FC0548" w:rsidRPr="00D47E57">
              <w:t xml:space="preserve">projekta </w:t>
            </w:r>
            <w:r w:rsidR="00520E31" w:rsidRPr="00D47E57">
              <w:t>izpildi nodrošinās visas ministrijas, Korupcijas novēršanas un apkarošanas birojs, Valsts kanceleja</w:t>
            </w:r>
            <w:r w:rsidR="008E48B9" w:rsidRPr="00D47E57">
              <w:t>, Pārresoru koordinācijas centrs</w:t>
            </w:r>
            <w:r w:rsidR="00520E31" w:rsidRPr="00D47E57">
              <w:t xml:space="preserve"> un citas tiešās pārvaldes institūcijas, kā arī to </w:t>
            </w:r>
            <w:r w:rsidR="00FC0548" w:rsidRPr="00D47E57">
              <w:t>padotībā esošās iestādes</w:t>
            </w:r>
          </w:p>
        </w:tc>
      </w:tr>
      <w:tr w:rsidR="00FA338D" w:rsidRPr="00D47E57" w14:paraId="789F8158" w14:textId="77777777" w:rsidTr="009A27D7">
        <w:trPr>
          <w:trHeight w:val="279"/>
        </w:trPr>
        <w:tc>
          <w:tcPr>
            <w:tcW w:w="396" w:type="dxa"/>
          </w:tcPr>
          <w:p w14:paraId="789F8155" w14:textId="77777777" w:rsidR="00FA338D" w:rsidRPr="00D47E57" w:rsidRDefault="00FA338D" w:rsidP="002501EE">
            <w:r w:rsidRPr="00D47E57">
              <w:t>2.</w:t>
            </w:r>
          </w:p>
        </w:tc>
        <w:tc>
          <w:tcPr>
            <w:tcW w:w="3182" w:type="dxa"/>
          </w:tcPr>
          <w:p w14:paraId="789F8156" w14:textId="77777777" w:rsidR="00FA338D" w:rsidRPr="00D47E57" w:rsidRDefault="00FA338D" w:rsidP="002501EE">
            <w:r w:rsidRPr="00D47E57">
              <w:t>Projekta izpildes ietekme uz pārvaldes funkcijām</w:t>
            </w:r>
          </w:p>
        </w:tc>
        <w:tc>
          <w:tcPr>
            <w:tcW w:w="5801" w:type="dxa"/>
          </w:tcPr>
          <w:p w14:paraId="789F8157" w14:textId="44A99725" w:rsidR="00FA338D" w:rsidRPr="00D47E57" w:rsidRDefault="00FC0548" w:rsidP="0017608E">
            <w:r w:rsidRPr="00D47E57">
              <w:t>Instrukcijas projekta izpildi š</w:t>
            </w:r>
            <w:r w:rsidR="0017608E">
              <w:t>ī</w:t>
            </w:r>
            <w:r w:rsidRPr="00D47E57">
              <w:t xml:space="preserve">s sadaļas </w:t>
            </w:r>
            <w:proofErr w:type="spellStart"/>
            <w:r w:rsidRPr="00D47E57">
              <w:t>1.punktā</w:t>
            </w:r>
            <w:proofErr w:type="spellEnd"/>
            <w:r w:rsidRPr="00D47E57">
              <w:t xml:space="preserve"> minētās institūcijas nodrošinās esošo funkciju ietvaros</w:t>
            </w:r>
          </w:p>
        </w:tc>
      </w:tr>
      <w:tr w:rsidR="00FA338D" w:rsidRPr="00D47E57" w14:paraId="789F815D" w14:textId="77777777" w:rsidTr="009A27D7">
        <w:trPr>
          <w:trHeight w:val="279"/>
        </w:trPr>
        <w:tc>
          <w:tcPr>
            <w:tcW w:w="396" w:type="dxa"/>
          </w:tcPr>
          <w:p w14:paraId="789F8159" w14:textId="77777777" w:rsidR="00FA338D" w:rsidRPr="00D47E57" w:rsidRDefault="00FA338D" w:rsidP="002501EE">
            <w:r w:rsidRPr="00D47E57">
              <w:t>3.</w:t>
            </w:r>
          </w:p>
        </w:tc>
        <w:tc>
          <w:tcPr>
            <w:tcW w:w="3182" w:type="dxa"/>
          </w:tcPr>
          <w:p w14:paraId="789F815A" w14:textId="77777777" w:rsidR="00FA338D" w:rsidRPr="00D47E57" w:rsidRDefault="00FA338D" w:rsidP="002501EE">
            <w:pPr>
              <w:pStyle w:val="naisf"/>
              <w:spacing w:before="0" w:after="0"/>
              <w:ind w:right="57" w:firstLine="0"/>
              <w:jc w:val="left"/>
            </w:pPr>
            <w:r w:rsidRPr="00D47E57">
              <w:t>Projekta izpildes ietekme uz pārvaldes institucionālo struktūru.</w:t>
            </w:r>
          </w:p>
          <w:p w14:paraId="789F815B" w14:textId="77777777" w:rsidR="00FA338D" w:rsidRPr="00D47E57" w:rsidRDefault="00FA338D" w:rsidP="002501EE">
            <w:r w:rsidRPr="00D47E57">
              <w:t>Jaunu institūciju izveide</w:t>
            </w:r>
          </w:p>
        </w:tc>
        <w:tc>
          <w:tcPr>
            <w:tcW w:w="5801" w:type="dxa"/>
          </w:tcPr>
          <w:p w14:paraId="789F815C" w14:textId="77777777" w:rsidR="00FA338D" w:rsidRPr="00D47E57" w:rsidRDefault="00FC0548" w:rsidP="002501EE">
            <w:r w:rsidRPr="00D47E57">
              <w:t>Instrukcijas projekts šo jomu neskar</w:t>
            </w:r>
          </w:p>
        </w:tc>
      </w:tr>
      <w:tr w:rsidR="00FA338D" w:rsidRPr="00D47E57" w14:paraId="789F8162" w14:textId="77777777" w:rsidTr="009A27D7">
        <w:trPr>
          <w:trHeight w:val="279"/>
        </w:trPr>
        <w:tc>
          <w:tcPr>
            <w:tcW w:w="396" w:type="dxa"/>
          </w:tcPr>
          <w:p w14:paraId="789F815E" w14:textId="77777777" w:rsidR="00FA338D" w:rsidRPr="00D47E57" w:rsidRDefault="00FA338D" w:rsidP="002501EE">
            <w:r w:rsidRPr="00D47E57">
              <w:t>4.</w:t>
            </w:r>
          </w:p>
        </w:tc>
        <w:tc>
          <w:tcPr>
            <w:tcW w:w="3182" w:type="dxa"/>
          </w:tcPr>
          <w:p w14:paraId="789F815F" w14:textId="77777777" w:rsidR="00FA338D" w:rsidRPr="00D47E57" w:rsidRDefault="00FA338D" w:rsidP="002501EE">
            <w:pPr>
              <w:pStyle w:val="naisf"/>
              <w:spacing w:before="0" w:after="0"/>
              <w:ind w:right="57" w:firstLine="0"/>
              <w:jc w:val="left"/>
            </w:pPr>
            <w:r w:rsidRPr="00D47E57">
              <w:t>Projekta izpildes ietekme uz pārvaldes institucionālo struktūru.</w:t>
            </w:r>
          </w:p>
          <w:p w14:paraId="789F8160" w14:textId="77777777" w:rsidR="00FA338D" w:rsidRPr="00D47E57" w:rsidRDefault="00FA338D" w:rsidP="002501EE">
            <w:r w:rsidRPr="00D47E57">
              <w:t>Esošu institūciju likvidācija</w:t>
            </w:r>
          </w:p>
        </w:tc>
        <w:tc>
          <w:tcPr>
            <w:tcW w:w="5801" w:type="dxa"/>
          </w:tcPr>
          <w:p w14:paraId="789F8161" w14:textId="77777777" w:rsidR="00FA338D" w:rsidRPr="00D47E57" w:rsidRDefault="00FC0548" w:rsidP="002501EE">
            <w:r w:rsidRPr="00D47E57">
              <w:t>Instrukcijas projekts šo jomu neskar</w:t>
            </w:r>
          </w:p>
        </w:tc>
      </w:tr>
      <w:tr w:rsidR="00FA338D" w:rsidRPr="00D47E57" w14:paraId="789F8167" w14:textId="77777777" w:rsidTr="009A27D7">
        <w:trPr>
          <w:trHeight w:val="279"/>
        </w:trPr>
        <w:tc>
          <w:tcPr>
            <w:tcW w:w="396" w:type="dxa"/>
          </w:tcPr>
          <w:p w14:paraId="789F8163" w14:textId="77777777" w:rsidR="00FA338D" w:rsidRPr="00D47E57" w:rsidRDefault="00FA338D" w:rsidP="002501EE">
            <w:r w:rsidRPr="00D47E57">
              <w:t>5.</w:t>
            </w:r>
          </w:p>
        </w:tc>
        <w:tc>
          <w:tcPr>
            <w:tcW w:w="3182" w:type="dxa"/>
          </w:tcPr>
          <w:p w14:paraId="789F8164" w14:textId="77777777" w:rsidR="00FA338D" w:rsidRPr="0017608E" w:rsidRDefault="00FA338D" w:rsidP="002501EE">
            <w:pPr>
              <w:pStyle w:val="naisf"/>
              <w:spacing w:before="0" w:after="0"/>
              <w:ind w:right="57" w:firstLine="0"/>
              <w:jc w:val="left"/>
              <w:rPr>
                <w:spacing w:val="-3"/>
              </w:rPr>
            </w:pPr>
            <w:r w:rsidRPr="0017608E">
              <w:rPr>
                <w:spacing w:val="-3"/>
              </w:rPr>
              <w:t>Projekta izpildes ietekme uz pārvaldes institucionālo struktūru.</w:t>
            </w:r>
          </w:p>
          <w:p w14:paraId="789F8165" w14:textId="77777777" w:rsidR="00FA338D" w:rsidRPr="0017608E" w:rsidRDefault="00FA338D" w:rsidP="002501EE">
            <w:pPr>
              <w:rPr>
                <w:spacing w:val="-3"/>
              </w:rPr>
            </w:pPr>
            <w:r w:rsidRPr="0017608E">
              <w:rPr>
                <w:spacing w:val="-3"/>
              </w:rPr>
              <w:t>Esošu institūciju reorganizācija</w:t>
            </w:r>
          </w:p>
        </w:tc>
        <w:tc>
          <w:tcPr>
            <w:tcW w:w="5801" w:type="dxa"/>
          </w:tcPr>
          <w:p w14:paraId="789F8166" w14:textId="77777777" w:rsidR="00FA338D" w:rsidRPr="00D47E57" w:rsidRDefault="00FC0548" w:rsidP="002501EE">
            <w:r w:rsidRPr="00D47E57">
              <w:t>Instrukcijas projekts šo jomu neskar</w:t>
            </w:r>
          </w:p>
        </w:tc>
      </w:tr>
      <w:tr w:rsidR="00FA338D" w:rsidRPr="00D47E57" w14:paraId="789F816B" w14:textId="77777777" w:rsidTr="009A27D7">
        <w:trPr>
          <w:trHeight w:val="279"/>
        </w:trPr>
        <w:tc>
          <w:tcPr>
            <w:tcW w:w="396" w:type="dxa"/>
          </w:tcPr>
          <w:p w14:paraId="789F8168" w14:textId="77777777" w:rsidR="00FA338D" w:rsidRPr="00D47E57" w:rsidRDefault="00FA338D" w:rsidP="002501EE">
            <w:r w:rsidRPr="00D47E57">
              <w:t>6.</w:t>
            </w:r>
          </w:p>
        </w:tc>
        <w:tc>
          <w:tcPr>
            <w:tcW w:w="3182" w:type="dxa"/>
          </w:tcPr>
          <w:p w14:paraId="789F8169" w14:textId="77777777" w:rsidR="00FA338D" w:rsidRPr="00D47E57" w:rsidRDefault="00FA338D" w:rsidP="002501EE">
            <w:r w:rsidRPr="00D47E57">
              <w:t>Cita informācija</w:t>
            </w:r>
          </w:p>
        </w:tc>
        <w:tc>
          <w:tcPr>
            <w:tcW w:w="5801" w:type="dxa"/>
          </w:tcPr>
          <w:p w14:paraId="789F816A" w14:textId="77777777" w:rsidR="007E018A" w:rsidRPr="00D47E57" w:rsidRDefault="00FA338D" w:rsidP="002501EE">
            <w:r w:rsidRPr="00D47E57">
              <w:t>Nav</w:t>
            </w:r>
          </w:p>
        </w:tc>
      </w:tr>
    </w:tbl>
    <w:p w14:paraId="789F816C" w14:textId="77777777" w:rsidR="00FA338D" w:rsidRPr="00E4691F" w:rsidRDefault="00FA338D" w:rsidP="00E4691F">
      <w:pPr>
        <w:rPr>
          <w:sz w:val="28"/>
          <w:szCs w:val="28"/>
        </w:rPr>
      </w:pPr>
    </w:p>
    <w:p w14:paraId="5BCE96D9" w14:textId="77777777" w:rsidR="00E4691F" w:rsidRPr="00E4691F" w:rsidRDefault="00E4691F" w:rsidP="00E4691F">
      <w:pPr>
        <w:rPr>
          <w:sz w:val="28"/>
          <w:szCs w:val="28"/>
        </w:rPr>
      </w:pPr>
    </w:p>
    <w:p w14:paraId="1F7DE36B" w14:textId="77777777" w:rsidR="00E4691F" w:rsidRPr="00E4691F" w:rsidRDefault="00E4691F" w:rsidP="00E4691F">
      <w:pPr>
        <w:rPr>
          <w:sz w:val="28"/>
          <w:szCs w:val="28"/>
        </w:rPr>
      </w:pPr>
    </w:p>
    <w:p w14:paraId="07A0D841" w14:textId="77777777" w:rsidR="00336C62" w:rsidRPr="003F6B47" w:rsidRDefault="00336C62" w:rsidP="00336C62">
      <w:pPr>
        <w:tabs>
          <w:tab w:val="left" w:pos="5954"/>
        </w:tabs>
        <w:ind w:right="57" w:firstLine="720"/>
        <w:jc w:val="both"/>
        <w:rPr>
          <w:sz w:val="28"/>
          <w:szCs w:val="28"/>
        </w:rPr>
      </w:pPr>
      <w:r w:rsidRPr="003F6B47">
        <w:rPr>
          <w:sz w:val="28"/>
          <w:szCs w:val="28"/>
        </w:rPr>
        <w:t>Ministru prezidents</w:t>
      </w:r>
      <w:r>
        <w:rPr>
          <w:sz w:val="28"/>
          <w:szCs w:val="28"/>
        </w:rPr>
        <w:t xml:space="preserve"> </w:t>
      </w:r>
      <w:r w:rsidRPr="00551510">
        <w:rPr>
          <w:sz w:val="28"/>
          <w:szCs w:val="28"/>
          <w:u w:val="single"/>
        </w:rPr>
        <w:tab/>
      </w:r>
      <w:r w:rsidRPr="00BD71E2">
        <w:rPr>
          <w:sz w:val="28"/>
          <w:szCs w:val="28"/>
        </w:rPr>
        <w:t xml:space="preserve"> </w:t>
      </w:r>
      <w:r w:rsidRPr="003F6B47">
        <w:rPr>
          <w:sz w:val="28"/>
          <w:szCs w:val="28"/>
        </w:rPr>
        <w:t>V</w:t>
      </w:r>
      <w:r>
        <w:rPr>
          <w:sz w:val="28"/>
          <w:szCs w:val="28"/>
        </w:rPr>
        <w:t xml:space="preserve">aldis </w:t>
      </w:r>
      <w:r w:rsidRPr="003F6B47">
        <w:rPr>
          <w:sz w:val="28"/>
          <w:szCs w:val="28"/>
        </w:rPr>
        <w:t>Dombrovskis</w:t>
      </w:r>
    </w:p>
    <w:p w14:paraId="4094FC92" w14:textId="77777777" w:rsidR="00336C62" w:rsidRPr="003F6B47" w:rsidRDefault="00336C62" w:rsidP="00336C62">
      <w:pPr>
        <w:tabs>
          <w:tab w:val="left" w:pos="5954"/>
        </w:tabs>
        <w:ind w:right="57" w:firstLine="720"/>
        <w:jc w:val="both"/>
        <w:rPr>
          <w:sz w:val="28"/>
          <w:szCs w:val="28"/>
        </w:rPr>
      </w:pPr>
    </w:p>
    <w:p w14:paraId="2EAA52E8" w14:textId="77777777" w:rsidR="00336C62" w:rsidRPr="003F6B47" w:rsidRDefault="00336C62" w:rsidP="00336C62">
      <w:pPr>
        <w:tabs>
          <w:tab w:val="left" w:pos="5954"/>
        </w:tabs>
        <w:ind w:right="57" w:firstLine="720"/>
        <w:jc w:val="both"/>
        <w:rPr>
          <w:sz w:val="28"/>
          <w:szCs w:val="28"/>
        </w:rPr>
      </w:pPr>
      <w:bookmarkStart w:id="0" w:name="_GoBack"/>
      <w:bookmarkEnd w:id="0"/>
    </w:p>
    <w:p w14:paraId="573B52B1" w14:textId="77777777" w:rsidR="00336C62" w:rsidRPr="003F6B47" w:rsidRDefault="00336C62" w:rsidP="00336C62">
      <w:pPr>
        <w:tabs>
          <w:tab w:val="left" w:pos="5954"/>
        </w:tabs>
        <w:ind w:right="57" w:firstLine="720"/>
        <w:jc w:val="both"/>
        <w:rPr>
          <w:sz w:val="28"/>
          <w:szCs w:val="28"/>
        </w:rPr>
      </w:pPr>
    </w:p>
    <w:p w14:paraId="19E023EC" w14:textId="77777777" w:rsidR="00336C62" w:rsidRPr="003F6B47" w:rsidRDefault="00336C62" w:rsidP="00336C62">
      <w:pPr>
        <w:tabs>
          <w:tab w:val="left" w:pos="5954"/>
        </w:tabs>
        <w:ind w:right="57" w:firstLine="720"/>
        <w:jc w:val="both"/>
        <w:rPr>
          <w:sz w:val="28"/>
          <w:szCs w:val="28"/>
        </w:rPr>
      </w:pPr>
      <w:r w:rsidRPr="003F6B47">
        <w:rPr>
          <w:sz w:val="28"/>
          <w:szCs w:val="28"/>
        </w:rPr>
        <w:t>Vizē:</w:t>
      </w:r>
    </w:p>
    <w:p w14:paraId="46CEE37C" w14:textId="77777777" w:rsidR="00336C62" w:rsidRPr="003F6B47" w:rsidRDefault="00336C62" w:rsidP="00336C62">
      <w:pPr>
        <w:tabs>
          <w:tab w:val="left" w:pos="5954"/>
        </w:tabs>
        <w:ind w:right="57" w:firstLine="720"/>
        <w:jc w:val="both"/>
        <w:rPr>
          <w:sz w:val="28"/>
          <w:szCs w:val="28"/>
        </w:rPr>
      </w:pPr>
      <w:r w:rsidRPr="003F6B47">
        <w:rPr>
          <w:sz w:val="28"/>
          <w:szCs w:val="28"/>
        </w:rPr>
        <w:t>Valsts kancelejas direktore</w:t>
      </w:r>
      <w:r>
        <w:rPr>
          <w:sz w:val="28"/>
          <w:szCs w:val="28"/>
        </w:rPr>
        <w:t xml:space="preserve"> </w:t>
      </w:r>
      <w:r w:rsidRPr="00551510">
        <w:rPr>
          <w:sz w:val="28"/>
          <w:szCs w:val="28"/>
          <w:u w:val="single"/>
        </w:rPr>
        <w:tab/>
      </w:r>
      <w:r w:rsidRPr="00BD71E2">
        <w:rPr>
          <w:sz w:val="28"/>
          <w:szCs w:val="28"/>
        </w:rPr>
        <w:t xml:space="preserve"> </w:t>
      </w:r>
      <w:r w:rsidRPr="003F6B47">
        <w:rPr>
          <w:sz w:val="28"/>
          <w:szCs w:val="28"/>
        </w:rPr>
        <w:t>E</w:t>
      </w:r>
      <w:r>
        <w:rPr>
          <w:sz w:val="28"/>
          <w:szCs w:val="28"/>
        </w:rPr>
        <w:t xml:space="preserve">lita </w:t>
      </w:r>
      <w:r w:rsidRPr="003F6B47">
        <w:rPr>
          <w:sz w:val="28"/>
          <w:szCs w:val="28"/>
        </w:rPr>
        <w:t>Dreimane</w:t>
      </w:r>
    </w:p>
    <w:p w14:paraId="789F817C" w14:textId="77777777" w:rsidR="00FA338D" w:rsidRDefault="00FA338D" w:rsidP="00E4691F">
      <w:pPr>
        <w:ind w:firstLine="709"/>
        <w:jc w:val="both"/>
      </w:pPr>
    </w:p>
    <w:p w14:paraId="2D431773" w14:textId="77777777" w:rsidR="00E4691F" w:rsidRPr="00D47E57" w:rsidRDefault="00E4691F" w:rsidP="00E4691F">
      <w:pPr>
        <w:ind w:firstLine="709"/>
        <w:jc w:val="both"/>
      </w:pPr>
    </w:p>
    <w:p w14:paraId="789F8188" w14:textId="09F9E238" w:rsidR="00383156" w:rsidRDefault="00383156" w:rsidP="00E4691F">
      <w:pPr>
        <w:pStyle w:val="naisf"/>
        <w:spacing w:before="0" w:after="0"/>
        <w:ind w:firstLine="0"/>
        <w:contextualSpacing/>
        <w:rPr>
          <w:sz w:val="20"/>
          <w:szCs w:val="20"/>
        </w:rPr>
      </w:pPr>
      <w:r>
        <w:rPr>
          <w:sz w:val="20"/>
          <w:szCs w:val="20"/>
        </w:rPr>
        <w:fldChar w:fldCharType="begin"/>
      </w:r>
      <w:r>
        <w:rPr>
          <w:sz w:val="20"/>
          <w:szCs w:val="20"/>
        </w:rPr>
        <w:instrText xml:space="preserve"> TIME \@ "dd.MM.yyyy" </w:instrText>
      </w:r>
      <w:r>
        <w:rPr>
          <w:sz w:val="20"/>
          <w:szCs w:val="20"/>
        </w:rPr>
        <w:fldChar w:fldCharType="separate"/>
      </w:r>
      <w:r w:rsidR="00F23E27">
        <w:rPr>
          <w:noProof/>
          <w:sz w:val="20"/>
          <w:szCs w:val="20"/>
        </w:rPr>
        <w:t>16.05.2013</w:t>
      </w:r>
      <w:r>
        <w:rPr>
          <w:sz w:val="20"/>
          <w:szCs w:val="20"/>
        </w:rPr>
        <w:fldChar w:fldCharType="end"/>
      </w:r>
    </w:p>
    <w:p w14:paraId="789F8189" w14:textId="46C36998" w:rsidR="00CC4A11" w:rsidRDefault="00383156" w:rsidP="00E4691F">
      <w:pPr>
        <w:pStyle w:val="naisf"/>
        <w:spacing w:before="0" w:after="0"/>
        <w:ind w:firstLine="0"/>
        <w:contextualSpacing/>
        <w:rPr>
          <w:sz w:val="20"/>
          <w:szCs w:val="20"/>
        </w:rPr>
      </w:pPr>
      <w:r>
        <w:rPr>
          <w:sz w:val="20"/>
          <w:szCs w:val="20"/>
        </w:rPr>
        <w:t>1</w:t>
      </w:r>
      <w:r w:rsidR="00167A12">
        <w:rPr>
          <w:sz w:val="20"/>
          <w:szCs w:val="20"/>
        </w:rPr>
        <w:t>52</w:t>
      </w:r>
      <w:r w:rsidR="00C61C49">
        <w:rPr>
          <w:sz w:val="20"/>
          <w:szCs w:val="20"/>
        </w:rPr>
        <w:t>5</w:t>
      </w:r>
    </w:p>
    <w:p w14:paraId="789F818A" w14:textId="77777777" w:rsidR="00CC4A11" w:rsidRDefault="00FC0548" w:rsidP="00E4691F">
      <w:pPr>
        <w:pStyle w:val="naisf"/>
        <w:spacing w:before="0" w:after="0"/>
        <w:ind w:firstLine="0"/>
        <w:contextualSpacing/>
        <w:rPr>
          <w:sz w:val="20"/>
          <w:szCs w:val="20"/>
        </w:rPr>
      </w:pPr>
      <w:r>
        <w:rPr>
          <w:sz w:val="20"/>
          <w:szCs w:val="20"/>
        </w:rPr>
        <w:t>Z.Legzdiņa-Joja</w:t>
      </w:r>
      <w:r w:rsidR="00CC4A11" w:rsidRPr="00C15608">
        <w:rPr>
          <w:sz w:val="20"/>
          <w:szCs w:val="20"/>
        </w:rPr>
        <w:t xml:space="preserve">, </w:t>
      </w:r>
      <w:r>
        <w:rPr>
          <w:sz w:val="20"/>
          <w:szCs w:val="20"/>
        </w:rPr>
        <w:t>67082904</w:t>
      </w:r>
    </w:p>
    <w:p w14:paraId="789F818B" w14:textId="77777777" w:rsidR="00FA338D" w:rsidRPr="00CC4A11" w:rsidRDefault="00BA0F69" w:rsidP="00E4691F">
      <w:pPr>
        <w:pStyle w:val="naisf"/>
        <w:spacing w:before="0" w:after="0"/>
        <w:ind w:firstLine="0"/>
        <w:contextualSpacing/>
        <w:rPr>
          <w:sz w:val="20"/>
          <w:szCs w:val="20"/>
        </w:rPr>
      </w:pPr>
      <w:hyperlink r:id="rId10" w:history="1">
        <w:r w:rsidR="00FC0548" w:rsidRPr="00767C98">
          <w:rPr>
            <w:rStyle w:val="Hyperlink"/>
            <w:sz w:val="20"/>
            <w:szCs w:val="20"/>
          </w:rPr>
          <w:t>zane.legzdina@mk.gov.lv</w:t>
        </w:r>
      </w:hyperlink>
      <w:r w:rsidR="00FC0548">
        <w:rPr>
          <w:sz w:val="20"/>
          <w:szCs w:val="20"/>
        </w:rPr>
        <w:t xml:space="preserve"> </w:t>
      </w:r>
    </w:p>
    <w:sectPr w:rsidR="00FA338D" w:rsidRPr="00CC4A11" w:rsidSect="003539DD">
      <w:headerReference w:type="even" r:id="rId11"/>
      <w:headerReference w:type="default" r:id="rId12"/>
      <w:footerReference w:type="defaul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818E" w14:textId="77777777" w:rsidR="001859C8" w:rsidRDefault="001859C8">
      <w:r>
        <w:separator/>
      </w:r>
    </w:p>
  </w:endnote>
  <w:endnote w:type="continuationSeparator" w:id="0">
    <w:p w14:paraId="789F818F" w14:textId="77777777" w:rsidR="001859C8" w:rsidRDefault="0018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F352" w14:textId="77777777" w:rsidR="00E4691F" w:rsidRPr="00E4691F" w:rsidRDefault="00E4691F" w:rsidP="00E4691F">
    <w:pPr>
      <w:pStyle w:val="Heading1"/>
      <w:spacing w:before="0" w:after="0"/>
      <w:jc w:val="both"/>
      <w:rPr>
        <w:rFonts w:ascii="Times New Roman" w:hAnsi="Times New Roman"/>
        <w:b w:val="0"/>
        <w:bCs w:val="0"/>
        <w:sz w:val="16"/>
        <w:szCs w:val="16"/>
        <w:lang w:eastAsia="en-US"/>
      </w:rPr>
    </w:pPr>
    <w:proofErr w:type="spellStart"/>
    <w:r w:rsidRPr="00E4691F">
      <w:rPr>
        <w:rFonts w:ascii="Times New Roman" w:hAnsi="Times New Roman"/>
        <w:b w:val="0"/>
        <w:sz w:val="16"/>
        <w:szCs w:val="16"/>
      </w:rPr>
      <w:t>MKanot_groz_instr_1_070513</w:t>
    </w:r>
    <w:proofErr w:type="spellEnd"/>
    <w:r w:rsidRPr="00E4691F">
      <w:rPr>
        <w:rFonts w:ascii="Times New Roman" w:hAnsi="Times New Roman"/>
        <w:b w:val="0"/>
        <w:sz w:val="16"/>
        <w:szCs w:val="16"/>
      </w:rPr>
      <w:t xml:space="preserve">; </w:t>
    </w:r>
    <w:r w:rsidRPr="00E4691F">
      <w:rPr>
        <w:rFonts w:ascii="Times New Roman" w:hAnsi="Times New Roman"/>
        <w:b w:val="0"/>
        <w:spacing w:val="-4"/>
        <w:sz w:val="16"/>
        <w:szCs w:val="16"/>
      </w:rPr>
      <w:t xml:space="preserve">Ministru kabineta instrukcijas projekta </w:t>
    </w:r>
    <w:r w:rsidRPr="00E4691F">
      <w:rPr>
        <w:rFonts w:ascii="Times New Roman" w:hAnsi="Times New Roman"/>
        <w:b w:val="0"/>
        <w:sz w:val="16"/>
        <w:szCs w:val="16"/>
      </w:rPr>
      <w:t>"</w:t>
    </w:r>
    <w:r w:rsidRPr="00E4691F">
      <w:rPr>
        <w:rFonts w:ascii="Times New Roman" w:hAnsi="Times New Roman"/>
        <w:b w:val="0"/>
        <w:bCs w:val="0"/>
        <w:sz w:val="16"/>
        <w:szCs w:val="16"/>
        <w:lang w:eastAsia="en-US"/>
      </w:rPr>
      <w:t xml:space="preserve">Grozījumi Ministru kabineta 2011.gada </w:t>
    </w:r>
    <w:proofErr w:type="spellStart"/>
    <w:r w:rsidRPr="00E4691F">
      <w:rPr>
        <w:rFonts w:ascii="Times New Roman" w:hAnsi="Times New Roman"/>
        <w:b w:val="0"/>
        <w:bCs w:val="0"/>
        <w:sz w:val="16"/>
        <w:szCs w:val="16"/>
        <w:lang w:eastAsia="en-US"/>
      </w:rPr>
      <w:t>4.janvāra</w:t>
    </w:r>
    <w:proofErr w:type="spellEnd"/>
    <w:r w:rsidRPr="00E4691F">
      <w:rPr>
        <w:rFonts w:ascii="Times New Roman" w:hAnsi="Times New Roman"/>
        <w:b w:val="0"/>
        <w:bCs w:val="0"/>
        <w:sz w:val="16"/>
        <w:szCs w:val="16"/>
        <w:lang w:eastAsia="en-US"/>
      </w:rPr>
      <w:t xml:space="preserve"> instrukcijā </w:t>
    </w:r>
    <w:proofErr w:type="spellStart"/>
    <w:r w:rsidRPr="00E4691F">
      <w:rPr>
        <w:rFonts w:ascii="Times New Roman" w:hAnsi="Times New Roman"/>
        <w:b w:val="0"/>
        <w:bCs w:val="0"/>
        <w:sz w:val="16"/>
        <w:szCs w:val="16"/>
        <w:lang w:eastAsia="en-US"/>
      </w:rPr>
      <w:t>Nr.1</w:t>
    </w:r>
    <w:proofErr w:type="spellEnd"/>
    <w:r w:rsidRPr="00E4691F">
      <w:rPr>
        <w:rFonts w:ascii="Times New Roman" w:hAnsi="Times New Roman"/>
        <w:b w:val="0"/>
        <w:bCs w:val="0"/>
        <w:sz w:val="16"/>
        <w:szCs w:val="16"/>
        <w:lang w:eastAsia="en-US"/>
      </w:rPr>
      <w:t xml:space="preserve"> </w:t>
    </w:r>
    <w:r w:rsidRPr="00E4691F">
      <w:rPr>
        <w:rFonts w:ascii="Times New Roman" w:hAnsi="Times New Roman"/>
        <w:b w:val="0"/>
        <w:sz w:val="16"/>
        <w:szCs w:val="16"/>
      </w:rPr>
      <w:t>"</w:t>
    </w:r>
    <w:r w:rsidRPr="00E4691F">
      <w:rPr>
        <w:rFonts w:ascii="Times New Roman" w:hAnsi="Times New Roman"/>
        <w:b w:val="0"/>
        <w:bCs w:val="0"/>
        <w:sz w:val="16"/>
        <w:szCs w:val="16"/>
        <w:lang w:eastAsia="en-US"/>
      </w:rPr>
      <w:t>Kārtība, kādā izstrādā un aktualizē institūcijas darbības stratēģiju un novērtē tās ieviešanu</w:t>
    </w:r>
    <w:r w:rsidRPr="00E4691F">
      <w:rPr>
        <w:rFonts w:ascii="Times New Roman" w:hAnsi="Times New Roman"/>
        <w:b w:val="0"/>
        <w:sz w:val="16"/>
        <w:szCs w:val="16"/>
      </w:rPr>
      <w:t>""</w:t>
    </w:r>
    <w:r w:rsidRPr="00E4691F">
      <w:rPr>
        <w:rFonts w:ascii="Times New Roman" w:hAnsi="Times New Roman"/>
        <w:b w:val="0"/>
        <w:bCs w:val="0"/>
        <w:sz w:val="16"/>
        <w:szCs w:val="16"/>
        <w:lang w:eastAsia="en-US"/>
      </w:rPr>
      <w:t xml:space="preserve"> </w:t>
    </w:r>
    <w:r w:rsidRPr="00E4691F">
      <w:rPr>
        <w:rFonts w:ascii="Times New Roman" w:hAnsi="Times New Roman"/>
        <w:b w:val="0"/>
        <w:spacing w:val="-4"/>
        <w:sz w:val="16"/>
        <w:szCs w:val="16"/>
      </w:rPr>
      <w:t>sākotnējās ietekmes novērtējuma ziņojums (anotācija) (25177)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8195" w14:textId="7A1F069E" w:rsidR="002A5629" w:rsidRPr="00E4691F" w:rsidRDefault="008E48B9" w:rsidP="008E48B9">
    <w:pPr>
      <w:pStyle w:val="Heading1"/>
      <w:spacing w:before="0" w:after="0"/>
      <w:jc w:val="both"/>
      <w:rPr>
        <w:rFonts w:ascii="Times New Roman" w:hAnsi="Times New Roman"/>
        <w:b w:val="0"/>
        <w:bCs w:val="0"/>
        <w:sz w:val="16"/>
        <w:szCs w:val="16"/>
        <w:lang w:eastAsia="en-US"/>
      </w:rPr>
    </w:pPr>
    <w:r w:rsidRPr="00E4691F">
      <w:rPr>
        <w:rFonts w:ascii="Times New Roman" w:hAnsi="Times New Roman"/>
        <w:b w:val="0"/>
        <w:sz w:val="16"/>
        <w:szCs w:val="16"/>
      </w:rPr>
      <w:t>MKanot_groz_instr_1_</w:t>
    </w:r>
    <w:r w:rsidR="00383156" w:rsidRPr="00E4691F">
      <w:rPr>
        <w:rFonts w:ascii="Times New Roman" w:hAnsi="Times New Roman"/>
        <w:b w:val="0"/>
        <w:sz w:val="16"/>
        <w:szCs w:val="16"/>
      </w:rPr>
      <w:t>0705</w:t>
    </w:r>
    <w:r w:rsidRPr="00E4691F">
      <w:rPr>
        <w:rFonts w:ascii="Times New Roman" w:hAnsi="Times New Roman"/>
        <w:b w:val="0"/>
        <w:sz w:val="16"/>
        <w:szCs w:val="16"/>
      </w:rPr>
      <w:t xml:space="preserve">13; </w:t>
    </w:r>
    <w:r w:rsidRPr="00E4691F">
      <w:rPr>
        <w:rFonts w:ascii="Times New Roman" w:hAnsi="Times New Roman"/>
        <w:b w:val="0"/>
        <w:spacing w:val="-4"/>
        <w:sz w:val="16"/>
        <w:szCs w:val="16"/>
      </w:rPr>
      <w:t xml:space="preserve">Ministru kabineta instrukcijas projekta </w:t>
    </w:r>
    <w:r w:rsidR="00514379" w:rsidRPr="00E4691F">
      <w:rPr>
        <w:rFonts w:ascii="Times New Roman" w:hAnsi="Times New Roman"/>
        <w:b w:val="0"/>
        <w:sz w:val="16"/>
        <w:szCs w:val="16"/>
      </w:rPr>
      <w:t>"</w:t>
    </w:r>
    <w:r w:rsidRPr="00E4691F">
      <w:rPr>
        <w:rFonts w:ascii="Times New Roman" w:hAnsi="Times New Roman"/>
        <w:b w:val="0"/>
        <w:bCs w:val="0"/>
        <w:sz w:val="16"/>
        <w:szCs w:val="16"/>
        <w:lang w:eastAsia="en-US"/>
      </w:rPr>
      <w:t xml:space="preserve">Grozījumi Ministru kabineta 2011.gada 4.janvāra instrukcijā Nr.1 </w:t>
    </w:r>
    <w:r w:rsidR="00514379" w:rsidRPr="00E4691F">
      <w:rPr>
        <w:rFonts w:ascii="Times New Roman" w:hAnsi="Times New Roman"/>
        <w:b w:val="0"/>
        <w:sz w:val="16"/>
        <w:szCs w:val="16"/>
      </w:rPr>
      <w:t>"</w:t>
    </w:r>
    <w:r w:rsidRPr="00E4691F">
      <w:rPr>
        <w:rFonts w:ascii="Times New Roman" w:hAnsi="Times New Roman"/>
        <w:b w:val="0"/>
        <w:bCs w:val="0"/>
        <w:sz w:val="16"/>
        <w:szCs w:val="16"/>
        <w:lang w:eastAsia="en-US"/>
      </w:rPr>
      <w:t>Kārtība, kādā izstrādā un aktualizē institūcijas darbības stratēģiju un novērtē tās ieviešanu</w:t>
    </w:r>
    <w:r w:rsidR="00514379" w:rsidRPr="00E4691F">
      <w:rPr>
        <w:rFonts w:ascii="Times New Roman" w:hAnsi="Times New Roman"/>
        <w:b w:val="0"/>
        <w:sz w:val="16"/>
        <w:szCs w:val="16"/>
      </w:rPr>
      <w:t>""</w:t>
    </w:r>
    <w:r w:rsidRPr="00E4691F">
      <w:rPr>
        <w:rFonts w:ascii="Times New Roman" w:hAnsi="Times New Roman"/>
        <w:b w:val="0"/>
        <w:bCs w:val="0"/>
        <w:sz w:val="16"/>
        <w:szCs w:val="16"/>
        <w:lang w:eastAsia="en-US"/>
      </w:rPr>
      <w:t xml:space="preserve"> </w:t>
    </w:r>
    <w:r w:rsidRPr="00E4691F">
      <w:rPr>
        <w:rFonts w:ascii="Times New Roman" w:hAnsi="Times New Roman"/>
        <w:b w:val="0"/>
        <w:spacing w:val="-4"/>
        <w:sz w:val="16"/>
        <w:szCs w:val="16"/>
      </w:rPr>
      <w:t>sākotnējās ietekmes novērtējuma ziņojums (anotācija)</w:t>
    </w:r>
    <w:r w:rsidR="00E4691F" w:rsidRPr="00E4691F">
      <w:rPr>
        <w:rFonts w:ascii="Times New Roman" w:hAnsi="Times New Roman"/>
        <w:b w:val="0"/>
        <w:spacing w:val="-4"/>
        <w:sz w:val="16"/>
        <w:szCs w:val="16"/>
      </w:rPr>
      <w:t xml:space="preserve"> (25177)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F818C" w14:textId="77777777" w:rsidR="001859C8" w:rsidRDefault="001859C8">
      <w:r>
        <w:separator/>
      </w:r>
    </w:p>
  </w:footnote>
  <w:footnote w:type="continuationSeparator" w:id="0">
    <w:p w14:paraId="789F818D" w14:textId="77777777" w:rsidR="001859C8" w:rsidRDefault="0018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8190" w14:textId="77777777" w:rsidR="002A5629" w:rsidRDefault="00E603FE" w:rsidP="006562F3">
    <w:pPr>
      <w:pStyle w:val="Header"/>
      <w:framePr w:wrap="around" w:vAnchor="text" w:hAnchor="margin" w:xAlign="center" w:y="1"/>
      <w:rPr>
        <w:rStyle w:val="PageNumber"/>
      </w:rPr>
    </w:pPr>
    <w:r>
      <w:rPr>
        <w:rStyle w:val="PageNumber"/>
      </w:rPr>
      <w:fldChar w:fldCharType="begin"/>
    </w:r>
    <w:r w:rsidR="002A5629">
      <w:rPr>
        <w:rStyle w:val="PageNumber"/>
      </w:rPr>
      <w:instrText xml:space="preserve">PAGE  </w:instrText>
    </w:r>
    <w:r>
      <w:rPr>
        <w:rStyle w:val="PageNumber"/>
      </w:rPr>
      <w:fldChar w:fldCharType="end"/>
    </w:r>
  </w:p>
  <w:p w14:paraId="789F8191" w14:textId="77777777" w:rsidR="002A5629" w:rsidRDefault="002A5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8192" w14:textId="77777777" w:rsidR="002A5629" w:rsidRDefault="00E603FE" w:rsidP="006562F3">
    <w:pPr>
      <w:pStyle w:val="Header"/>
      <w:framePr w:wrap="around" w:vAnchor="text" w:hAnchor="margin" w:xAlign="center" w:y="1"/>
      <w:rPr>
        <w:rStyle w:val="PageNumber"/>
      </w:rPr>
    </w:pPr>
    <w:r>
      <w:rPr>
        <w:rStyle w:val="PageNumber"/>
      </w:rPr>
      <w:fldChar w:fldCharType="begin"/>
    </w:r>
    <w:r w:rsidR="002A5629">
      <w:rPr>
        <w:rStyle w:val="PageNumber"/>
      </w:rPr>
      <w:instrText xml:space="preserve">PAGE  </w:instrText>
    </w:r>
    <w:r>
      <w:rPr>
        <w:rStyle w:val="PageNumber"/>
      </w:rPr>
      <w:fldChar w:fldCharType="separate"/>
    </w:r>
    <w:r w:rsidR="00C61C49">
      <w:rPr>
        <w:rStyle w:val="PageNumber"/>
        <w:noProof/>
      </w:rPr>
      <w:t>5</w:t>
    </w:r>
    <w:r>
      <w:rPr>
        <w:rStyle w:val="PageNumber"/>
      </w:rPr>
      <w:fldChar w:fldCharType="end"/>
    </w:r>
  </w:p>
  <w:p w14:paraId="789F8193" w14:textId="77777777" w:rsidR="002A5629" w:rsidRDefault="002A5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5BE82029"/>
    <w:multiLevelType w:val="multilevel"/>
    <w:tmpl w:val="03AE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2F3"/>
    <w:rsid w:val="00010932"/>
    <w:rsid w:val="000134EB"/>
    <w:rsid w:val="000147AB"/>
    <w:rsid w:val="000232E2"/>
    <w:rsid w:val="000323BC"/>
    <w:rsid w:val="00032788"/>
    <w:rsid w:val="00032CCD"/>
    <w:rsid w:val="0003538A"/>
    <w:rsid w:val="00050A53"/>
    <w:rsid w:val="00055357"/>
    <w:rsid w:val="00057841"/>
    <w:rsid w:val="000644C8"/>
    <w:rsid w:val="000663EC"/>
    <w:rsid w:val="00082B98"/>
    <w:rsid w:val="0008501C"/>
    <w:rsid w:val="000879C9"/>
    <w:rsid w:val="00090F6A"/>
    <w:rsid w:val="00094CBC"/>
    <w:rsid w:val="000A0034"/>
    <w:rsid w:val="000A15B9"/>
    <w:rsid w:val="000A1E2F"/>
    <w:rsid w:val="000A2D9A"/>
    <w:rsid w:val="000B55EA"/>
    <w:rsid w:val="000C0552"/>
    <w:rsid w:val="000C3D81"/>
    <w:rsid w:val="000C5CA6"/>
    <w:rsid w:val="000C5EC6"/>
    <w:rsid w:val="000D4DDD"/>
    <w:rsid w:val="000D5EFD"/>
    <w:rsid w:val="000D7093"/>
    <w:rsid w:val="000E6D8C"/>
    <w:rsid w:val="000F0DCC"/>
    <w:rsid w:val="000F335C"/>
    <w:rsid w:val="000F46BC"/>
    <w:rsid w:val="001004EC"/>
    <w:rsid w:val="00113A33"/>
    <w:rsid w:val="001159AC"/>
    <w:rsid w:val="00116345"/>
    <w:rsid w:val="00121D9C"/>
    <w:rsid w:val="00122115"/>
    <w:rsid w:val="00127270"/>
    <w:rsid w:val="00127706"/>
    <w:rsid w:val="001401C2"/>
    <w:rsid w:val="00150D41"/>
    <w:rsid w:val="0015426F"/>
    <w:rsid w:val="00157AA8"/>
    <w:rsid w:val="001678E9"/>
    <w:rsid w:val="00167A12"/>
    <w:rsid w:val="0017159E"/>
    <w:rsid w:val="001715F1"/>
    <w:rsid w:val="0017608E"/>
    <w:rsid w:val="00181B86"/>
    <w:rsid w:val="001859C8"/>
    <w:rsid w:val="00190814"/>
    <w:rsid w:val="001921A9"/>
    <w:rsid w:val="001925DA"/>
    <w:rsid w:val="001969BD"/>
    <w:rsid w:val="001974EC"/>
    <w:rsid w:val="001A1034"/>
    <w:rsid w:val="001A2C9A"/>
    <w:rsid w:val="001B31ED"/>
    <w:rsid w:val="001B3DD3"/>
    <w:rsid w:val="001B40F5"/>
    <w:rsid w:val="001C331C"/>
    <w:rsid w:val="001C6DC1"/>
    <w:rsid w:val="001D0F94"/>
    <w:rsid w:val="001E06DA"/>
    <w:rsid w:val="001E341A"/>
    <w:rsid w:val="001E384A"/>
    <w:rsid w:val="001E65FF"/>
    <w:rsid w:val="001F0A7D"/>
    <w:rsid w:val="001F5548"/>
    <w:rsid w:val="001F79A8"/>
    <w:rsid w:val="00201453"/>
    <w:rsid w:val="002037F6"/>
    <w:rsid w:val="002043B8"/>
    <w:rsid w:val="002048EC"/>
    <w:rsid w:val="002139CF"/>
    <w:rsid w:val="00222385"/>
    <w:rsid w:val="00223905"/>
    <w:rsid w:val="00225880"/>
    <w:rsid w:val="00225EAE"/>
    <w:rsid w:val="002261CF"/>
    <w:rsid w:val="00230205"/>
    <w:rsid w:val="00230CF8"/>
    <w:rsid w:val="00232978"/>
    <w:rsid w:val="00235AAA"/>
    <w:rsid w:val="00236D7E"/>
    <w:rsid w:val="00237191"/>
    <w:rsid w:val="00240E4A"/>
    <w:rsid w:val="002501EE"/>
    <w:rsid w:val="00251D2B"/>
    <w:rsid w:val="00251F9C"/>
    <w:rsid w:val="0025416C"/>
    <w:rsid w:val="00257624"/>
    <w:rsid w:val="00260C5D"/>
    <w:rsid w:val="00262E51"/>
    <w:rsid w:val="00265854"/>
    <w:rsid w:val="002716C1"/>
    <w:rsid w:val="00276901"/>
    <w:rsid w:val="002778B3"/>
    <w:rsid w:val="00277CCA"/>
    <w:rsid w:val="00290E8A"/>
    <w:rsid w:val="00297367"/>
    <w:rsid w:val="002A1090"/>
    <w:rsid w:val="002A5629"/>
    <w:rsid w:val="002A5BA6"/>
    <w:rsid w:val="002B0133"/>
    <w:rsid w:val="002B3643"/>
    <w:rsid w:val="002B430F"/>
    <w:rsid w:val="002C45EB"/>
    <w:rsid w:val="002C597A"/>
    <w:rsid w:val="002D0EF6"/>
    <w:rsid w:val="002D2F6B"/>
    <w:rsid w:val="002D3468"/>
    <w:rsid w:val="002E0387"/>
    <w:rsid w:val="002E4490"/>
    <w:rsid w:val="002E5A3F"/>
    <w:rsid w:val="002E5EA1"/>
    <w:rsid w:val="002E71A2"/>
    <w:rsid w:val="0030233A"/>
    <w:rsid w:val="00306767"/>
    <w:rsid w:val="00306E83"/>
    <w:rsid w:val="00312F18"/>
    <w:rsid w:val="0031315A"/>
    <w:rsid w:val="003167E8"/>
    <w:rsid w:val="00322D3F"/>
    <w:rsid w:val="00324524"/>
    <w:rsid w:val="003258B3"/>
    <w:rsid w:val="00336159"/>
    <w:rsid w:val="00336C62"/>
    <w:rsid w:val="0033751D"/>
    <w:rsid w:val="00343E0C"/>
    <w:rsid w:val="00344C35"/>
    <w:rsid w:val="003461BF"/>
    <w:rsid w:val="00346B12"/>
    <w:rsid w:val="003539DD"/>
    <w:rsid w:val="003568D9"/>
    <w:rsid w:val="003574AD"/>
    <w:rsid w:val="003628AE"/>
    <w:rsid w:val="00362C33"/>
    <w:rsid w:val="0036419C"/>
    <w:rsid w:val="00374181"/>
    <w:rsid w:val="00383156"/>
    <w:rsid w:val="003902AF"/>
    <w:rsid w:val="0039112F"/>
    <w:rsid w:val="003970C8"/>
    <w:rsid w:val="003A0C41"/>
    <w:rsid w:val="003A1506"/>
    <w:rsid w:val="003A3F9C"/>
    <w:rsid w:val="003A596B"/>
    <w:rsid w:val="003A68E5"/>
    <w:rsid w:val="003A74E9"/>
    <w:rsid w:val="003B0575"/>
    <w:rsid w:val="003B26A6"/>
    <w:rsid w:val="003B6950"/>
    <w:rsid w:val="003C4183"/>
    <w:rsid w:val="003C60A4"/>
    <w:rsid w:val="003D010D"/>
    <w:rsid w:val="003D1ACF"/>
    <w:rsid w:val="003D4902"/>
    <w:rsid w:val="003D4FFD"/>
    <w:rsid w:val="003D6645"/>
    <w:rsid w:val="003E1D1C"/>
    <w:rsid w:val="003E53EF"/>
    <w:rsid w:val="003E5826"/>
    <w:rsid w:val="00416BAF"/>
    <w:rsid w:val="00422C63"/>
    <w:rsid w:val="0042371B"/>
    <w:rsid w:val="004341B4"/>
    <w:rsid w:val="0043451A"/>
    <w:rsid w:val="00441776"/>
    <w:rsid w:val="0044238D"/>
    <w:rsid w:val="00445C82"/>
    <w:rsid w:val="004566AB"/>
    <w:rsid w:val="004627BA"/>
    <w:rsid w:val="00465887"/>
    <w:rsid w:val="004743C9"/>
    <w:rsid w:val="004746B0"/>
    <w:rsid w:val="004768EF"/>
    <w:rsid w:val="00492A4F"/>
    <w:rsid w:val="004A0D5E"/>
    <w:rsid w:val="004A2652"/>
    <w:rsid w:val="004A5833"/>
    <w:rsid w:val="004B68A5"/>
    <w:rsid w:val="004C06EE"/>
    <w:rsid w:val="004C0CE6"/>
    <w:rsid w:val="004C3DB0"/>
    <w:rsid w:val="004C4F37"/>
    <w:rsid w:val="004E1696"/>
    <w:rsid w:val="004E1F1A"/>
    <w:rsid w:val="004E474D"/>
    <w:rsid w:val="004F67AE"/>
    <w:rsid w:val="00503853"/>
    <w:rsid w:val="00514079"/>
    <w:rsid w:val="00514379"/>
    <w:rsid w:val="0052071D"/>
    <w:rsid w:val="00520799"/>
    <w:rsid w:val="00520E31"/>
    <w:rsid w:val="005310A0"/>
    <w:rsid w:val="005409D4"/>
    <w:rsid w:val="0054286B"/>
    <w:rsid w:val="00542D35"/>
    <w:rsid w:val="00544D38"/>
    <w:rsid w:val="0054776A"/>
    <w:rsid w:val="00547841"/>
    <w:rsid w:val="00554495"/>
    <w:rsid w:val="00555FFD"/>
    <w:rsid w:val="005565A0"/>
    <w:rsid w:val="00557F6D"/>
    <w:rsid w:val="00560324"/>
    <w:rsid w:val="00560C85"/>
    <w:rsid w:val="00563C1A"/>
    <w:rsid w:val="00564A95"/>
    <w:rsid w:val="005A19E4"/>
    <w:rsid w:val="005A3757"/>
    <w:rsid w:val="005A53A8"/>
    <w:rsid w:val="005B3A6E"/>
    <w:rsid w:val="005C47A5"/>
    <w:rsid w:val="005C6994"/>
    <w:rsid w:val="005C6F53"/>
    <w:rsid w:val="005D0154"/>
    <w:rsid w:val="005D1B62"/>
    <w:rsid w:val="005D517D"/>
    <w:rsid w:val="005D6453"/>
    <w:rsid w:val="005D6F07"/>
    <w:rsid w:val="005D75C9"/>
    <w:rsid w:val="005D7756"/>
    <w:rsid w:val="005E2894"/>
    <w:rsid w:val="005E2D40"/>
    <w:rsid w:val="005E7B98"/>
    <w:rsid w:val="005F6419"/>
    <w:rsid w:val="00601C4B"/>
    <w:rsid w:val="00606618"/>
    <w:rsid w:val="00607B1C"/>
    <w:rsid w:val="006128E1"/>
    <w:rsid w:val="00612D32"/>
    <w:rsid w:val="00617DD9"/>
    <w:rsid w:val="006200B7"/>
    <w:rsid w:val="0062354E"/>
    <w:rsid w:val="00627C56"/>
    <w:rsid w:val="00631832"/>
    <w:rsid w:val="00636ABC"/>
    <w:rsid w:val="006408D7"/>
    <w:rsid w:val="006436B4"/>
    <w:rsid w:val="00654723"/>
    <w:rsid w:val="006562F3"/>
    <w:rsid w:val="00660958"/>
    <w:rsid w:val="006617E0"/>
    <w:rsid w:val="00670636"/>
    <w:rsid w:val="006715EE"/>
    <w:rsid w:val="00676D8A"/>
    <w:rsid w:val="00682106"/>
    <w:rsid w:val="0069661D"/>
    <w:rsid w:val="006A1E4C"/>
    <w:rsid w:val="006A320B"/>
    <w:rsid w:val="006A7CFB"/>
    <w:rsid w:val="006B026F"/>
    <w:rsid w:val="006B02B1"/>
    <w:rsid w:val="006B3E41"/>
    <w:rsid w:val="006B6CB8"/>
    <w:rsid w:val="006C244B"/>
    <w:rsid w:val="006C64A7"/>
    <w:rsid w:val="006C6D59"/>
    <w:rsid w:val="006D073A"/>
    <w:rsid w:val="006D2797"/>
    <w:rsid w:val="006D330D"/>
    <w:rsid w:val="006D3966"/>
    <w:rsid w:val="006D6461"/>
    <w:rsid w:val="006E0A77"/>
    <w:rsid w:val="006E3E16"/>
    <w:rsid w:val="006F260C"/>
    <w:rsid w:val="006F4417"/>
    <w:rsid w:val="006F73EC"/>
    <w:rsid w:val="00707A1B"/>
    <w:rsid w:val="00715A92"/>
    <w:rsid w:val="00716480"/>
    <w:rsid w:val="007167F5"/>
    <w:rsid w:val="007170AE"/>
    <w:rsid w:val="00725D98"/>
    <w:rsid w:val="00725F61"/>
    <w:rsid w:val="00726563"/>
    <w:rsid w:val="007332BC"/>
    <w:rsid w:val="007403AD"/>
    <w:rsid w:val="00752472"/>
    <w:rsid w:val="007644F4"/>
    <w:rsid w:val="00765AAB"/>
    <w:rsid w:val="0077752F"/>
    <w:rsid w:val="00784F74"/>
    <w:rsid w:val="007909BB"/>
    <w:rsid w:val="007919E3"/>
    <w:rsid w:val="00791CC8"/>
    <w:rsid w:val="007926C6"/>
    <w:rsid w:val="00796E9E"/>
    <w:rsid w:val="007979F3"/>
    <w:rsid w:val="007A0B2A"/>
    <w:rsid w:val="007A6E32"/>
    <w:rsid w:val="007B159C"/>
    <w:rsid w:val="007B75E7"/>
    <w:rsid w:val="007C3854"/>
    <w:rsid w:val="007D0376"/>
    <w:rsid w:val="007D17F8"/>
    <w:rsid w:val="007D1858"/>
    <w:rsid w:val="007D2ED4"/>
    <w:rsid w:val="007E018A"/>
    <w:rsid w:val="007F1045"/>
    <w:rsid w:val="00800A74"/>
    <w:rsid w:val="008038A5"/>
    <w:rsid w:val="00804D4D"/>
    <w:rsid w:val="00824D0A"/>
    <w:rsid w:val="00830D9C"/>
    <w:rsid w:val="00836AC3"/>
    <w:rsid w:val="00840632"/>
    <w:rsid w:val="008408B6"/>
    <w:rsid w:val="00841E5F"/>
    <w:rsid w:val="00844CE6"/>
    <w:rsid w:val="00853B01"/>
    <w:rsid w:val="00864915"/>
    <w:rsid w:val="008671CF"/>
    <w:rsid w:val="008711FE"/>
    <w:rsid w:val="008717F3"/>
    <w:rsid w:val="00872C01"/>
    <w:rsid w:val="00874451"/>
    <w:rsid w:val="00876495"/>
    <w:rsid w:val="0088027F"/>
    <w:rsid w:val="00881A6E"/>
    <w:rsid w:val="00882125"/>
    <w:rsid w:val="00892830"/>
    <w:rsid w:val="00894427"/>
    <w:rsid w:val="00894543"/>
    <w:rsid w:val="008A0AE7"/>
    <w:rsid w:val="008B0975"/>
    <w:rsid w:val="008B0F92"/>
    <w:rsid w:val="008C0C7F"/>
    <w:rsid w:val="008C19A6"/>
    <w:rsid w:val="008C2AA4"/>
    <w:rsid w:val="008D6AE0"/>
    <w:rsid w:val="008E02D9"/>
    <w:rsid w:val="008E27C4"/>
    <w:rsid w:val="008E48B9"/>
    <w:rsid w:val="008F1A39"/>
    <w:rsid w:val="008F53F2"/>
    <w:rsid w:val="008F71D6"/>
    <w:rsid w:val="008F7F20"/>
    <w:rsid w:val="00901EDF"/>
    <w:rsid w:val="00902A6A"/>
    <w:rsid w:val="009051DD"/>
    <w:rsid w:val="0090743C"/>
    <w:rsid w:val="009079D4"/>
    <w:rsid w:val="00913C69"/>
    <w:rsid w:val="00917392"/>
    <w:rsid w:val="0092351C"/>
    <w:rsid w:val="00924EAB"/>
    <w:rsid w:val="00927380"/>
    <w:rsid w:val="00944350"/>
    <w:rsid w:val="00945297"/>
    <w:rsid w:val="00945DC0"/>
    <w:rsid w:val="0094627D"/>
    <w:rsid w:val="009538C1"/>
    <w:rsid w:val="00955009"/>
    <w:rsid w:val="00955BC1"/>
    <w:rsid w:val="0096499F"/>
    <w:rsid w:val="00972C18"/>
    <w:rsid w:val="00980F1B"/>
    <w:rsid w:val="009A09FC"/>
    <w:rsid w:val="009A2160"/>
    <w:rsid w:val="009A27D7"/>
    <w:rsid w:val="009A5151"/>
    <w:rsid w:val="009A716E"/>
    <w:rsid w:val="009B67B4"/>
    <w:rsid w:val="009B6C7E"/>
    <w:rsid w:val="009C1C78"/>
    <w:rsid w:val="009D366B"/>
    <w:rsid w:val="009D4A0A"/>
    <w:rsid w:val="009D4ACE"/>
    <w:rsid w:val="009D7933"/>
    <w:rsid w:val="009E55E6"/>
    <w:rsid w:val="009E7309"/>
    <w:rsid w:val="009F321A"/>
    <w:rsid w:val="009F6CAC"/>
    <w:rsid w:val="00A00081"/>
    <w:rsid w:val="00A006EA"/>
    <w:rsid w:val="00A12F05"/>
    <w:rsid w:val="00A14EF2"/>
    <w:rsid w:val="00A2282A"/>
    <w:rsid w:val="00A23075"/>
    <w:rsid w:val="00A2489F"/>
    <w:rsid w:val="00A26152"/>
    <w:rsid w:val="00A4232C"/>
    <w:rsid w:val="00A44107"/>
    <w:rsid w:val="00A4449F"/>
    <w:rsid w:val="00A44B0A"/>
    <w:rsid w:val="00A45B2B"/>
    <w:rsid w:val="00A45B4C"/>
    <w:rsid w:val="00A53DF1"/>
    <w:rsid w:val="00A57643"/>
    <w:rsid w:val="00A61740"/>
    <w:rsid w:val="00A62694"/>
    <w:rsid w:val="00A641AA"/>
    <w:rsid w:val="00A66FCF"/>
    <w:rsid w:val="00A75CCD"/>
    <w:rsid w:val="00A7607D"/>
    <w:rsid w:val="00A77091"/>
    <w:rsid w:val="00A90694"/>
    <w:rsid w:val="00A93DD1"/>
    <w:rsid w:val="00AA02C9"/>
    <w:rsid w:val="00AA3B01"/>
    <w:rsid w:val="00AA7E11"/>
    <w:rsid w:val="00AB2C11"/>
    <w:rsid w:val="00AC14C5"/>
    <w:rsid w:val="00AC1A08"/>
    <w:rsid w:val="00AC2B3D"/>
    <w:rsid w:val="00AC613B"/>
    <w:rsid w:val="00AC6E03"/>
    <w:rsid w:val="00AD1043"/>
    <w:rsid w:val="00AD705D"/>
    <w:rsid w:val="00AE2156"/>
    <w:rsid w:val="00AF2EA9"/>
    <w:rsid w:val="00AF58FA"/>
    <w:rsid w:val="00AF711F"/>
    <w:rsid w:val="00B05863"/>
    <w:rsid w:val="00B05965"/>
    <w:rsid w:val="00B0601E"/>
    <w:rsid w:val="00B07FAB"/>
    <w:rsid w:val="00B135B4"/>
    <w:rsid w:val="00B13BB5"/>
    <w:rsid w:val="00B13D6D"/>
    <w:rsid w:val="00B207F2"/>
    <w:rsid w:val="00B20919"/>
    <w:rsid w:val="00B2258B"/>
    <w:rsid w:val="00B26BBD"/>
    <w:rsid w:val="00B43716"/>
    <w:rsid w:val="00B45B17"/>
    <w:rsid w:val="00B464DA"/>
    <w:rsid w:val="00B46741"/>
    <w:rsid w:val="00B531E4"/>
    <w:rsid w:val="00B66B87"/>
    <w:rsid w:val="00B67D85"/>
    <w:rsid w:val="00B727EE"/>
    <w:rsid w:val="00B734D1"/>
    <w:rsid w:val="00B82925"/>
    <w:rsid w:val="00B8696C"/>
    <w:rsid w:val="00B873A7"/>
    <w:rsid w:val="00B90194"/>
    <w:rsid w:val="00B90865"/>
    <w:rsid w:val="00BA0F69"/>
    <w:rsid w:val="00BA72C7"/>
    <w:rsid w:val="00BA7D02"/>
    <w:rsid w:val="00BA7F8C"/>
    <w:rsid w:val="00BB38A4"/>
    <w:rsid w:val="00BB3E61"/>
    <w:rsid w:val="00BB76A2"/>
    <w:rsid w:val="00BC4ECE"/>
    <w:rsid w:val="00BC68ED"/>
    <w:rsid w:val="00BE1FED"/>
    <w:rsid w:val="00BF3A80"/>
    <w:rsid w:val="00BF6620"/>
    <w:rsid w:val="00BF6A88"/>
    <w:rsid w:val="00C029E9"/>
    <w:rsid w:val="00C20699"/>
    <w:rsid w:val="00C23A9F"/>
    <w:rsid w:val="00C24119"/>
    <w:rsid w:val="00C245D4"/>
    <w:rsid w:val="00C275D9"/>
    <w:rsid w:val="00C37B65"/>
    <w:rsid w:val="00C40BFC"/>
    <w:rsid w:val="00C44FD5"/>
    <w:rsid w:val="00C470AC"/>
    <w:rsid w:val="00C5236F"/>
    <w:rsid w:val="00C52A37"/>
    <w:rsid w:val="00C53ACF"/>
    <w:rsid w:val="00C546AC"/>
    <w:rsid w:val="00C5661F"/>
    <w:rsid w:val="00C61C49"/>
    <w:rsid w:val="00C62185"/>
    <w:rsid w:val="00C6495D"/>
    <w:rsid w:val="00C716E2"/>
    <w:rsid w:val="00C757FE"/>
    <w:rsid w:val="00C77DF3"/>
    <w:rsid w:val="00C9125A"/>
    <w:rsid w:val="00CA1002"/>
    <w:rsid w:val="00CB136C"/>
    <w:rsid w:val="00CB29E5"/>
    <w:rsid w:val="00CB5932"/>
    <w:rsid w:val="00CB73FE"/>
    <w:rsid w:val="00CC08A3"/>
    <w:rsid w:val="00CC0F55"/>
    <w:rsid w:val="00CC3722"/>
    <w:rsid w:val="00CC4A11"/>
    <w:rsid w:val="00CD292E"/>
    <w:rsid w:val="00CD45D7"/>
    <w:rsid w:val="00CD47EB"/>
    <w:rsid w:val="00CD5851"/>
    <w:rsid w:val="00CE4718"/>
    <w:rsid w:val="00CE52CE"/>
    <w:rsid w:val="00CF37E9"/>
    <w:rsid w:val="00CF6BD7"/>
    <w:rsid w:val="00D058F3"/>
    <w:rsid w:val="00D12137"/>
    <w:rsid w:val="00D15074"/>
    <w:rsid w:val="00D1761B"/>
    <w:rsid w:val="00D26078"/>
    <w:rsid w:val="00D34120"/>
    <w:rsid w:val="00D359F4"/>
    <w:rsid w:val="00D367C6"/>
    <w:rsid w:val="00D4233F"/>
    <w:rsid w:val="00D47E57"/>
    <w:rsid w:val="00D577A8"/>
    <w:rsid w:val="00D61320"/>
    <w:rsid w:val="00D73923"/>
    <w:rsid w:val="00D9070F"/>
    <w:rsid w:val="00D96FD9"/>
    <w:rsid w:val="00DA2A37"/>
    <w:rsid w:val="00DA5EA4"/>
    <w:rsid w:val="00DA63C8"/>
    <w:rsid w:val="00DB419A"/>
    <w:rsid w:val="00DC07F9"/>
    <w:rsid w:val="00DC0B02"/>
    <w:rsid w:val="00DC0B12"/>
    <w:rsid w:val="00DD25A1"/>
    <w:rsid w:val="00DD3DFE"/>
    <w:rsid w:val="00DD5E14"/>
    <w:rsid w:val="00DD7875"/>
    <w:rsid w:val="00DE1A9D"/>
    <w:rsid w:val="00DE3A5E"/>
    <w:rsid w:val="00DF4CAD"/>
    <w:rsid w:val="00DF59A5"/>
    <w:rsid w:val="00DF618C"/>
    <w:rsid w:val="00E02FAE"/>
    <w:rsid w:val="00E0394B"/>
    <w:rsid w:val="00E052A6"/>
    <w:rsid w:val="00E072B3"/>
    <w:rsid w:val="00E10E02"/>
    <w:rsid w:val="00E163CE"/>
    <w:rsid w:val="00E25067"/>
    <w:rsid w:val="00E31AF3"/>
    <w:rsid w:val="00E354CC"/>
    <w:rsid w:val="00E37D39"/>
    <w:rsid w:val="00E41C9A"/>
    <w:rsid w:val="00E4691F"/>
    <w:rsid w:val="00E52B70"/>
    <w:rsid w:val="00E53DA2"/>
    <w:rsid w:val="00E56394"/>
    <w:rsid w:val="00E603FE"/>
    <w:rsid w:val="00E607FD"/>
    <w:rsid w:val="00E66A05"/>
    <w:rsid w:val="00E71F89"/>
    <w:rsid w:val="00E7701B"/>
    <w:rsid w:val="00E80F25"/>
    <w:rsid w:val="00E905DA"/>
    <w:rsid w:val="00E91ACE"/>
    <w:rsid w:val="00E9295B"/>
    <w:rsid w:val="00EA2349"/>
    <w:rsid w:val="00EA56C3"/>
    <w:rsid w:val="00EA78E6"/>
    <w:rsid w:val="00EB0DF3"/>
    <w:rsid w:val="00EB4852"/>
    <w:rsid w:val="00EC0300"/>
    <w:rsid w:val="00EC2D5D"/>
    <w:rsid w:val="00EC2EDD"/>
    <w:rsid w:val="00EC4A64"/>
    <w:rsid w:val="00ED2689"/>
    <w:rsid w:val="00ED419C"/>
    <w:rsid w:val="00EE3CBC"/>
    <w:rsid w:val="00EF3CD2"/>
    <w:rsid w:val="00F022D1"/>
    <w:rsid w:val="00F025EF"/>
    <w:rsid w:val="00F03A4B"/>
    <w:rsid w:val="00F04392"/>
    <w:rsid w:val="00F047D4"/>
    <w:rsid w:val="00F04EB3"/>
    <w:rsid w:val="00F05E20"/>
    <w:rsid w:val="00F13A6B"/>
    <w:rsid w:val="00F23E27"/>
    <w:rsid w:val="00F27F0F"/>
    <w:rsid w:val="00F32BF0"/>
    <w:rsid w:val="00F32CAD"/>
    <w:rsid w:val="00F33A6A"/>
    <w:rsid w:val="00F36871"/>
    <w:rsid w:val="00F4235D"/>
    <w:rsid w:val="00F47A66"/>
    <w:rsid w:val="00F51403"/>
    <w:rsid w:val="00F60502"/>
    <w:rsid w:val="00F6461D"/>
    <w:rsid w:val="00F67A63"/>
    <w:rsid w:val="00F7003C"/>
    <w:rsid w:val="00F71AD9"/>
    <w:rsid w:val="00F739F6"/>
    <w:rsid w:val="00F7408B"/>
    <w:rsid w:val="00F758F5"/>
    <w:rsid w:val="00F77537"/>
    <w:rsid w:val="00F86E82"/>
    <w:rsid w:val="00F91125"/>
    <w:rsid w:val="00F959F9"/>
    <w:rsid w:val="00FA12FC"/>
    <w:rsid w:val="00FA338D"/>
    <w:rsid w:val="00FC0548"/>
    <w:rsid w:val="00FC0F38"/>
    <w:rsid w:val="00FC50CB"/>
    <w:rsid w:val="00FC6657"/>
    <w:rsid w:val="00FD0315"/>
    <w:rsid w:val="00FD3C28"/>
    <w:rsid w:val="00FD6855"/>
    <w:rsid w:val="00FF2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89F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38D"/>
    <w:rPr>
      <w:sz w:val="24"/>
      <w:szCs w:val="24"/>
    </w:rPr>
  </w:style>
  <w:style w:type="paragraph" w:styleId="Heading1">
    <w:name w:val="heading 1"/>
    <w:basedOn w:val="Normal"/>
    <w:next w:val="Normal"/>
    <w:link w:val="Heading1Char"/>
    <w:qFormat/>
    <w:rsid w:val="005E2D40"/>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541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62F3"/>
    <w:pPr>
      <w:spacing w:before="75" w:after="75"/>
      <w:jc w:val="right"/>
    </w:pPr>
  </w:style>
  <w:style w:type="table" w:styleId="TableGrid">
    <w:name w:val="Table Grid"/>
    <w:basedOn w:val="TableNormal"/>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6562F3"/>
    <w:pPr>
      <w:spacing w:before="75" w:after="75"/>
    </w:pPr>
  </w:style>
  <w:style w:type="paragraph" w:customStyle="1" w:styleId="naispant">
    <w:name w:val="naispant"/>
    <w:basedOn w:val="Normal"/>
    <w:rsid w:val="006562F3"/>
    <w:pPr>
      <w:spacing w:before="100" w:beforeAutospacing="1" w:after="100" w:afterAutospacing="1"/>
    </w:pPr>
  </w:style>
  <w:style w:type="paragraph" w:styleId="Header">
    <w:name w:val="header"/>
    <w:basedOn w:val="Normal"/>
    <w:rsid w:val="006562F3"/>
    <w:pPr>
      <w:tabs>
        <w:tab w:val="center" w:pos="4153"/>
        <w:tab w:val="right" w:pos="8306"/>
      </w:tabs>
    </w:pPr>
  </w:style>
  <w:style w:type="character" w:styleId="PageNumber">
    <w:name w:val="page number"/>
    <w:basedOn w:val="DefaultParagraphFont"/>
    <w:rsid w:val="006562F3"/>
  </w:style>
  <w:style w:type="paragraph" w:customStyle="1" w:styleId="naisnod">
    <w:name w:val="naisnod"/>
    <w:basedOn w:val="Normal"/>
    <w:rsid w:val="006562F3"/>
    <w:pPr>
      <w:spacing w:before="150" w:after="150"/>
      <w:jc w:val="center"/>
    </w:pPr>
    <w:rPr>
      <w:b/>
      <w:bCs/>
    </w:rPr>
  </w:style>
  <w:style w:type="paragraph" w:customStyle="1" w:styleId="naisf">
    <w:name w:val="naisf"/>
    <w:basedOn w:val="Normal"/>
    <w:rsid w:val="006562F3"/>
    <w:pPr>
      <w:spacing w:before="75" w:after="75"/>
      <w:ind w:firstLine="375"/>
      <w:jc w:val="both"/>
    </w:pPr>
  </w:style>
  <w:style w:type="paragraph" w:customStyle="1" w:styleId="CharChar">
    <w:name w:val="Char Char"/>
    <w:basedOn w:val="Normal"/>
    <w:rsid w:val="006562F3"/>
    <w:pPr>
      <w:spacing w:before="40"/>
    </w:pPr>
    <w:rPr>
      <w:lang w:val="pl-PL" w:eastAsia="pl-PL"/>
    </w:rPr>
  </w:style>
  <w:style w:type="character" w:styleId="Strong">
    <w:name w:val="Strong"/>
    <w:basedOn w:val="DefaultParagraphFont"/>
    <w:qFormat/>
    <w:rsid w:val="006562F3"/>
    <w:rPr>
      <w:b/>
      <w:bCs/>
    </w:rPr>
  </w:style>
  <w:style w:type="paragraph" w:styleId="Footer">
    <w:name w:val="footer"/>
    <w:basedOn w:val="Normal"/>
    <w:link w:val="FooterChar"/>
    <w:rsid w:val="00BA72C7"/>
    <w:pPr>
      <w:tabs>
        <w:tab w:val="center" w:pos="4153"/>
        <w:tab w:val="right" w:pos="8306"/>
      </w:tabs>
    </w:pPr>
  </w:style>
  <w:style w:type="character" w:styleId="Hyperlink">
    <w:name w:val="Hyperlink"/>
    <w:basedOn w:val="DefaultParagraphFont"/>
    <w:rsid w:val="002716C1"/>
    <w:rPr>
      <w:color w:val="0000FF"/>
      <w:u w:val="single"/>
    </w:rPr>
  </w:style>
  <w:style w:type="paragraph" w:customStyle="1" w:styleId="naisc">
    <w:name w:val="naisc"/>
    <w:basedOn w:val="Normal"/>
    <w:rsid w:val="006408D7"/>
    <w:pPr>
      <w:spacing w:before="450" w:after="300"/>
      <w:jc w:val="center"/>
    </w:pPr>
    <w:rPr>
      <w:sz w:val="26"/>
      <w:szCs w:val="26"/>
    </w:rPr>
  </w:style>
  <w:style w:type="paragraph" w:styleId="BodyText">
    <w:name w:val="Body Text"/>
    <w:basedOn w:val="Normal"/>
    <w:link w:val="BodyTextChar"/>
    <w:rsid w:val="00CD292E"/>
    <w:pPr>
      <w:jc w:val="center"/>
    </w:pPr>
    <w:rPr>
      <w:bCs/>
      <w:lang w:val="en-GB" w:eastAsia="en-US"/>
    </w:rPr>
  </w:style>
  <w:style w:type="character" w:customStyle="1" w:styleId="BodyTextChar">
    <w:name w:val="Body Text Char"/>
    <w:basedOn w:val="DefaultParagraphFont"/>
    <w:link w:val="BodyText"/>
    <w:rsid w:val="00CD292E"/>
    <w:rPr>
      <w:bCs/>
      <w:sz w:val="24"/>
      <w:szCs w:val="24"/>
      <w:lang w:val="en-GB" w:eastAsia="en-US"/>
    </w:rPr>
  </w:style>
  <w:style w:type="paragraph" w:customStyle="1" w:styleId="Preformatted">
    <w:name w:val="Preformatted"/>
    <w:basedOn w:val="Normal"/>
    <w:rsid w:val="00CD29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alloonText">
    <w:name w:val="Balloon Text"/>
    <w:basedOn w:val="Normal"/>
    <w:semiHidden/>
    <w:rsid w:val="00AC2B3D"/>
    <w:rPr>
      <w:rFonts w:ascii="Tahoma" w:hAnsi="Tahoma" w:cs="Tahoma"/>
      <w:sz w:val="16"/>
      <w:szCs w:val="16"/>
    </w:rPr>
  </w:style>
  <w:style w:type="character" w:customStyle="1" w:styleId="Heading3Char">
    <w:name w:val="Heading 3 Char"/>
    <w:basedOn w:val="DefaultParagraphFont"/>
    <w:link w:val="Heading3"/>
    <w:uiPriority w:val="9"/>
    <w:rsid w:val="0025416C"/>
    <w:rPr>
      <w:b/>
      <w:bCs/>
      <w:sz w:val="27"/>
      <w:szCs w:val="27"/>
    </w:rPr>
  </w:style>
  <w:style w:type="paragraph" w:styleId="NormalWeb">
    <w:name w:val="Normal (Web)"/>
    <w:basedOn w:val="Normal"/>
    <w:rsid w:val="001715F1"/>
    <w:pPr>
      <w:spacing w:before="100" w:beforeAutospacing="1" w:after="100" w:afterAutospacing="1"/>
    </w:pPr>
  </w:style>
  <w:style w:type="character" w:customStyle="1" w:styleId="FooterChar">
    <w:name w:val="Footer Char"/>
    <w:basedOn w:val="DefaultParagraphFont"/>
    <w:link w:val="Footer"/>
    <w:rsid w:val="001715F1"/>
    <w:rPr>
      <w:sz w:val="24"/>
      <w:szCs w:val="24"/>
      <w:lang w:val="lv-LV" w:eastAsia="lv-LV"/>
    </w:rPr>
  </w:style>
  <w:style w:type="paragraph" w:customStyle="1" w:styleId="naisvisr">
    <w:name w:val="naisvisr"/>
    <w:basedOn w:val="Normal"/>
    <w:uiPriority w:val="99"/>
    <w:rsid w:val="00804D4D"/>
    <w:pPr>
      <w:spacing w:before="150" w:after="150"/>
      <w:jc w:val="center"/>
    </w:pPr>
    <w:rPr>
      <w:b/>
      <w:bCs/>
      <w:sz w:val="28"/>
      <w:szCs w:val="28"/>
    </w:rPr>
  </w:style>
  <w:style w:type="character" w:customStyle="1" w:styleId="Heading1Char">
    <w:name w:val="Heading 1 Char"/>
    <w:basedOn w:val="DefaultParagraphFont"/>
    <w:link w:val="Heading1"/>
    <w:rsid w:val="005E2D40"/>
    <w:rPr>
      <w:rFonts w:ascii="Cambria" w:eastAsia="Times New Roman" w:hAnsi="Cambria" w:cs="Times New Roman"/>
      <w:b/>
      <w:bCs/>
      <w:kern w:val="32"/>
      <w:sz w:val="32"/>
      <w:szCs w:val="32"/>
      <w:lang w:val="lv-LV" w:eastAsia="lv-LV"/>
    </w:rPr>
  </w:style>
  <w:style w:type="character" w:customStyle="1" w:styleId="apple-converted-space">
    <w:name w:val="apple-converted-space"/>
    <w:basedOn w:val="DefaultParagraphFont"/>
    <w:rsid w:val="00F67A63"/>
  </w:style>
  <w:style w:type="paragraph" w:customStyle="1" w:styleId="tv213">
    <w:name w:val="tv213"/>
    <w:basedOn w:val="Normal"/>
    <w:rsid w:val="00AF71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217">
      <w:bodyDiv w:val="1"/>
      <w:marLeft w:val="0"/>
      <w:marRight w:val="0"/>
      <w:marTop w:val="0"/>
      <w:marBottom w:val="0"/>
      <w:divBdr>
        <w:top w:val="none" w:sz="0" w:space="0" w:color="auto"/>
        <w:left w:val="none" w:sz="0" w:space="0" w:color="auto"/>
        <w:bottom w:val="none" w:sz="0" w:space="0" w:color="auto"/>
        <w:right w:val="none" w:sz="0" w:space="0" w:color="auto"/>
      </w:divBdr>
    </w:div>
    <w:div w:id="165830702">
      <w:bodyDiv w:val="1"/>
      <w:marLeft w:val="0"/>
      <w:marRight w:val="0"/>
      <w:marTop w:val="0"/>
      <w:marBottom w:val="0"/>
      <w:divBdr>
        <w:top w:val="none" w:sz="0" w:space="0" w:color="auto"/>
        <w:left w:val="none" w:sz="0" w:space="0" w:color="auto"/>
        <w:bottom w:val="none" w:sz="0" w:space="0" w:color="auto"/>
        <w:right w:val="none" w:sz="0" w:space="0" w:color="auto"/>
      </w:divBdr>
    </w:div>
    <w:div w:id="285704179">
      <w:bodyDiv w:val="1"/>
      <w:marLeft w:val="0"/>
      <w:marRight w:val="0"/>
      <w:marTop w:val="0"/>
      <w:marBottom w:val="0"/>
      <w:divBdr>
        <w:top w:val="none" w:sz="0" w:space="0" w:color="auto"/>
        <w:left w:val="none" w:sz="0" w:space="0" w:color="auto"/>
        <w:bottom w:val="none" w:sz="0" w:space="0" w:color="auto"/>
        <w:right w:val="none" w:sz="0" w:space="0" w:color="auto"/>
      </w:divBdr>
    </w:div>
    <w:div w:id="554389238">
      <w:bodyDiv w:val="1"/>
      <w:marLeft w:val="0"/>
      <w:marRight w:val="0"/>
      <w:marTop w:val="0"/>
      <w:marBottom w:val="0"/>
      <w:divBdr>
        <w:top w:val="none" w:sz="0" w:space="0" w:color="auto"/>
        <w:left w:val="none" w:sz="0" w:space="0" w:color="auto"/>
        <w:bottom w:val="none" w:sz="0" w:space="0" w:color="auto"/>
        <w:right w:val="none" w:sz="0" w:space="0" w:color="auto"/>
      </w:divBdr>
    </w:div>
    <w:div w:id="723455595">
      <w:bodyDiv w:val="1"/>
      <w:marLeft w:val="0"/>
      <w:marRight w:val="0"/>
      <w:marTop w:val="0"/>
      <w:marBottom w:val="0"/>
      <w:divBdr>
        <w:top w:val="none" w:sz="0" w:space="0" w:color="auto"/>
        <w:left w:val="none" w:sz="0" w:space="0" w:color="auto"/>
        <w:bottom w:val="none" w:sz="0" w:space="0" w:color="auto"/>
        <w:right w:val="none" w:sz="0" w:space="0" w:color="auto"/>
      </w:divBdr>
    </w:div>
    <w:div w:id="1352339927">
      <w:bodyDiv w:val="1"/>
      <w:marLeft w:val="0"/>
      <w:marRight w:val="0"/>
      <w:marTop w:val="0"/>
      <w:marBottom w:val="0"/>
      <w:divBdr>
        <w:top w:val="none" w:sz="0" w:space="0" w:color="auto"/>
        <w:left w:val="none" w:sz="0" w:space="0" w:color="auto"/>
        <w:bottom w:val="none" w:sz="0" w:space="0" w:color="auto"/>
        <w:right w:val="none" w:sz="0" w:space="0" w:color="auto"/>
      </w:divBdr>
    </w:div>
    <w:div w:id="1947884436">
      <w:bodyDiv w:val="1"/>
      <w:marLeft w:val="0"/>
      <w:marRight w:val="0"/>
      <w:marTop w:val="0"/>
      <w:marBottom w:val="0"/>
      <w:divBdr>
        <w:top w:val="none" w:sz="0" w:space="0" w:color="auto"/>
        <w:left w:val="none" w:sz="0" w:space="0" w:color="auto"/>
        <w:bottom w:val="none" w:sz="0" w:space="0" w:color="auto"/>
        <w:right w:val="none" w:sz="0" w:space="0" w:color="auto"/>
      </w:divBdr>
    </w:div>
    <w:div w:id="2080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e.legzdina@mk.gov.lv" TargetMode="External"/><Relationship Id="rId4" Type="http://schemas.microsoft.com/office/2007/relationships/stylesWithEffects" Target="stylesWithEffects.xml"/><Relationship Id="rId9" Type="http://schemas.openxmlformats.org/officeDocument/2006/relationships/hyperlink" Target="http://www.likumi.lv/doc.php?id=2005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2D61-AF01-4483-AE7A-BBE0A5E0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Pages>
  <Words>1525</Words>
  <Characters>11689</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vt:lpstr>
      <vt:lpstr>"Krūmcidoniju atšķirīguma, viendabīguma un stabilitātes pārbaudes metodika" sākotnējās ietekmes novērtējuma ziņojums (anotācijas)</vt:lpstr>
    </vt:vector>
  </TitlesOfParts>
  <Company>zm</Company>
  <LinksUpToDate>false</LinksUpToDate>
  <CharactersWithSpaces>13188</CharactersWithSpaces>
  <SharedDoc>false</SharedDoc>
  <HLinks>
    <vt:vector size="12" baseType="variant">
      <vt:variant>
        <vt:i4>3866649</vt:i4>
      </vt:variant>
      <vt:variant>
        <vt:i4>3</vt:i4>
      </vt:variant>
      <vt:variant>
        <vt:i4>0</vt:i4>
      </vt:variant>
      <vt:variant>
        <vt:i4>5</vt:i4>
      </vt:variant>
      <vt:variant>
        <vt:lpwstr>mailto:zane.legzdina@mk.gov.lv</vt:lpwstr>
      </vt:variant>
      <vt:variant>
        <vt:lpwstr/>
      </vt:variant>
      <vt:variant>
        <vt:i4>7929889</vt:i4>
      </vt:variant>
      <vt:variant>
        <vt:i4>0</vt:i4>
      </vt:variant>
      <vt:variant>
        <vt:i4>0</vt:i4>
      </vt:variant>
      <vt:variant>
        <vt:i4>5</vt:i4>
      </vt:variant>
      <vt:variant>
        <vt:lpwstr>http://www.likumi.lv/doc.php?id=200576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„Grozījums Ministru kabineta 2011.gada 4.janvāra instrukcijā Nr.1 „Kārtība, kādā izstrādā un aktualizē institūcijas darbības stratēģiju un novērtē tās ieviešanu””</dc:subject>
  <dc:creator>Zane Legzdiņa-Joja</dc:creator>
  <cp:keywords/>
  <dc:description>zane.legzdina@mk.gov.lv, 67082904</dc:description>
  <cp:lastModifiedBy>Inese Lismane</cp:lastModifiedBy>
  <cp:revision>64</cp:revision>
  <cp:lastPrinted>2013-05-15T13:35:00Z</cp:lastPrinted>
  <dcterms:created xsi:type="dcterms:W3CDTF">2012-03-08T14:53:00Z</dcterms:created>
  <dcterms:modified xsi:type="dcterms:W3CDTF">2013-05-16T07:25:00Z</dcterms:modified>
</cp:coreProperties>
</file>