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CF3A" w14:textId="77777777" w:rsidR="00FD6A0F" w:rsidRPr="004267E5" w:rsidRDefault="00FD6A0F" w:rsidP="003A7D26">
      <w:pPr>
        <w:pStyle w:val="Heading1"/>
        <w:spacing w:after="0" w:line="240" w:lineRule="auto"/>
        <w:jc w:val="right"/>
        <w:rPr>
          <w:rFonts w:cs="Times New Roman"/>
          <w:b w:val="0"/>
          <w:color w:val="000000"/>
          <w:szCs w:val="24"/>
        </w:rPr>
      </w:pPr>
      <w:bookmarkStart w:id="0" w:name="_Toc343865315"/>
      <w:bookmarkStart w:id="1" w:name="OLE_LINK1"/>
      <w:bookmarkStart w:id="2" w:name="OLE_LINK2"/>
      <w:r w:rsidRPr="004267E5">
        <w:rPr>
          <w:rFonts w:cs="Times New Roman"/>
          <w:b w:val="0"/>
          <w:color w:val="000000"/>
          <w:szCs w:val="24"/>
        </w:rPr>
        <w:t>Pielikums</w:t>
      </w:r>
      <w:bookmarkEnd w:id="0"/>
    </w:p>
    <w:p w14:paraId="68BC43DE" w14:textId="39EA5B55" w:rsidR="003A7D26" w:rsidRDefault="003A7D26" w:rsidP="003A7D26">
      <w:pPr>
        <w:jc w:val="right"/>
      </w:pPr>
      <w:r>
        <w:t>Valsts pārvaldes cilvēkresursu</w:t>
      </w:r>
    </w:p>
    <w:p w14:paraId="5FF80382" w14:textId="05D43B0F" w:rsidR="003A7D26" w:rsidRDefault="003A7D26" w:rsidP="003A7D26">
      <w:pPr>
        <w:jc w:val="right"/>
        <w:rPr>
          <w:color w:val="000000"/>
        </w:rPr>
      </w:pPr>
      <w:r>
        <w:t>attīstības koncepcijai</w:t>
      </w:r>
      <w:r w:rsidRPr="004267E5">
        <w:rPr>
          <w:color w:val="000000"/>
        </w:rPr>
        <w:t xml:space="preserve"> </w:t>
      </w:r>
    </w:p>
    <w:p w14:paraId="29F6CF3B" w14:textId="4EE09402" w:rsidR="00FD6A0F" w:rsidRPr="004267E5" w:rsidRDefault="003A7D26" w:rsidP="003A7D26">
      <w:pPr>
        <w:jc w:val="right"/>
        <w:rPr>
          <w:color w:val="000000"/>
        </w:rPr>
      </w:pPr>
      <w:proofErr w:type="gramStart"/>
      <w:r>
        <w:rPr>
          <w:color w:val="000000"/>
        </w:rPr>
        <w:t>(</w:t>
      </w:r>
      <w:proofErr w:type="gramEnd"/>
      <w:r w:rsidRPr="004267E5">
        <w:rPr>
          <w:color w:val="000000"/>
        </w:rPr>
        <w:t xml:space="preserve">apstiprināta </w:t>
      </w:r>
      <w:r w:rsidR="00FD6A0F" w:rsidRPr="004267E5">
        <w:rPr>
          <w:color w:val="000000"/>
        </w:rPr>
        <w:t xml:space="preserve">ar Ministru kabineta </w:t>
      </w:r>
    </w:p>
    <w:p w14:paraId="0D3DFCE7" w14:textId="1D565B34" w:rsidR="003143A1" w:rsidRDefault="00FD6A0F" w:rsidP="003A7D26">
      <w:pPr>
        <w:jc w:val="right"/>
        <w:rPr>
          <w:color w:val="000000"/>
        </w:rPr>
      </w:pPr>
      <w:r>
        <w:rPr>
          <w:color w:val="000000"/>
        </w:rPr>
        <w:t>2013</w:t>
      </w:r>
      <w:r w:rsidRPr="004267E5">
        <w:rPr>
          <w:color w:val="000000"/>
        </w:rPr>
        <w:t xml:space="preserve">.gada </w:t>
      </w:r>
      <w:r w:rsidR="00F66D43">
        <w:rPr>
          <w:color w:val="000000"/>
        </w:rPr>
        <w:t>                         </w:t>
      </w:r>
    </w:p>
    <w:p w14:paraId="29F6CF3C" w14:textId="189AF56F" w:rsidR="00FD6A0F" w:rsidRPr="004267E5" w:rsidRDefault="00FD6A0F" w:rsidP="003A7D26">
      <w:pPr>
        <w:jc w:val="right"/>
        <w:rPr>
          <w:color w:val="000000"/>
        </w:rPr>
      </w:pPr>
      <w:r w:rsidRPr="004267E5">
        <w:rPr>
          <w:color w:val="000000"/>
        </w:rPr>
        <w:t xml:space="preserve"> rīkojumu Nr.</w:t>
      </w:r>
      <w:proofErr w:type="gramStart"/>
      <w:r w:rsidR="00F66D43">
        <w:rPr>
          <w:color w:val="000000"/>
        </w:rPr>
        <w:t>       </w:t>
      </w:r>
      <w:r w:rsidR="003A7D26">
        <w:rPr>
          <w:color w:val="000000"/>
        </w:rPr>
        <w:t>)</w:t>
      </w:r>
      <w:proofErr w:type="gramEnd"/>
    </w:p>
    <w:p w14:paraId="29F6CF3D" w14:textId="25FF72DC" w:rsidR="00FD6A0F" w:rsidRDefault="00FD6A0F" w:rsidP="003A7D26">
      <w:pPr>
        <w:jc w:val="right"/>
      </w:pPr>
    </w:p>
    <w:p w14:paraId="29F6CF3E" w14:textId="77777777" w:rsidR="00FD6A0F" w:rsidRPr="00DE6F80" w:rsidRDefault="00FD6A0F" w:rsidP="00FD6A0F"/>
    <w:p w14:paraId="29F6CF3F" w14:textId="77777777" w:rsidR="00FD6A0F" w:rsidRPr="00D705A9" w:rsidRDefault="00FD6A0F" w:rsidP="00FD6A0F">
      <w:pPr>
        <w:jc w:val="center"/>
        <w:rPr>
          <w:b/>
        </w:rPr>
      </w:pPr>
      <w:r w:rsidRPr="00A837B5">
        <w:rPr>
          <w:b/>
        </w:rPr>
        <w:t>Civildienesta un darba tiesisko attiecību salīdzinājums</w:t>
      </w:r>
    </w:p>
    <w:bookmarkEnd w:id="1"/>
    <w:bookmarkEnd w:id="2"/>
    <w:p w14:paraId="29F6CF40" w14:textId="77777777" w:rsidR="00FD6A0F" w:rsidRDefault="00FD6A0F" w:rsidP="00FD6A0F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578"/>
        <w:gridCol w:w="2571"/>
        <w:gridCol w:w="2520"/>
      </w:tblGrid>
      <w:tr w:rsidR="00FD6A0F" w:rsidRPr="00D705A9" w14:paraId="29F6CF45" w14:textId="77777777" w:rsidTr="00405EE9">
        <w:tc>
          <w:tcPr>
            <w:tcW w:w="1619" w:type="dxa"/>
            <w:vAlign w:val="center"/>
          </w:tcPr>
          <w:p w14:paraId="29F6CF41" w14:textId="77777777" w:rsidR="00FD6A0F" w:rsidRPr="00405EE9" w:rsidRDefault="00FD6A0F" w:rsidP="00BB68DD">
            <w:pPr>
              <w:jc w:val="center"/>
              <w:rPr>
                <w:spacing w:val="-2"/>
              </w:rPr>
            </w:pPr>
          </w:p>
        </w:tc>
        <w:tc>
          <w:tcPr>
            <w:tcW w:w="2578" w:type="dxa"/>
            <w:vAlign w:val="center"/>
          </w:tcPr>
          <w:p w14:paraId="29F6CF42" w14:textId="77777777" w:rsidR="00FD6A0F" w:rsidRPr="00405EE9" w:rsidRDefault="00FD6A0F" w:rsidP="00BB68DD">
            <w:pPr>
              <w:jc w:val="center"/>
              <w:rPr>
                <w:b/>
                <w:spacing w:val="-2"/>
              </w:rPr>
            </w:pPr>
            <w:r w:rsidRPr="00405EE9">
              <w:rPr>
                <w:b/>
                <w:spacing w:val="-2"/>
              </w:rPr>
              <w:t>Klasiskais civildienests</w:t>
            </w:r>
          </w:p>
        </w:tc>
        <w:tc>
          <w:tcPr>
            <w:tcW w:w="2571" w:type="dxa"/>
            <w:vAlign w:val="center"/>
          </w:tcPr>
          <w:p w14:paraId="29F6CF43" w14:textId="77777777" w:rsidR="00FD6A0F" w:rsidRPr="00405EE9" w:rsidRDefault="00FD6A0F" w:rsidP="00BB68DD">
            <w:pPr>
              <w:jc w:val="center"/>
              <w:rPr>
                <w:b/>
                <w:spacing w:val="-2"/>
              </w:rPr>
            </w:pPr>
            <w:r w:rsidRPr="00405EE9">
              <w:rPr>
                <w:b/>
                <w:spacing w:val="-2"/>
              </w:rPr>
              <w:t>Latvijas civildienests</w:t>
            </w:r>
          </w:p>
        </w:tc>
        <w:tc>
          <w:tcPr>
            <w:tcW w:w="2520" w:type="dxa"/>
            <w:vAlign w:val="center"/>
          </w:tcPr>
          <w:p w14:paraId="29F6CF44" w14:textId="77777777" w:rsidR="00FD6A0F" w:rsidRPr="00405EE9" w:rsidRDefault="00FD6A0F" w:rsidP="00BB68DD">
            <w:pPr>
              <w:jc w:val="center"/>
              <w:rPr>
                <w:b/>
                <w:spacing w:val="-2"/>
              </w:rPr>
            </w:pPr>
            <w:r w:rsidRPr="00405EE9">
              <w:rPr>
                <w:b/>
                <w:spacing w:val="-2"/>
              </w:rPr>
              <w:t>Darba tiesiskās attiecības</w:t>
            </w:r>
          </w:p>
        </w:tc>
      </w:tr>
      <w:tr w:rsidR="00FD6A0F" w:rsidRPr="00D705A9" w14:paraId="29F6CF4A" w14:textId="77777777" w:rsidTr="00405EE9">
        <w:tc>
          <w:tcPr>
            <w:tcW w:w="1619" w:type="dxa"/>
          </w:tcPr>
          <w:p w14:paraId="29F6CF46" w14:textId="7777777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t>Atlase</w:t>
            </w:r>
          </w:p>
        </w:tc>
        <w:tc>
          <w:tcPr>
            <w:tcW w:w="2578" w:type="dxa"/>
          </w:tcPr>
          <w:p w14:paraId="29F6CF47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 īpaši atlases kritēriji</w:t>
            </w:r>
          </w:p>
        </w:tc>
        <w:tc>
          <w:tcPr>
            <w:tcW w:w="2571" w:type="dxa"/>
          </w:tcPr>
          <w:p w14:paraId="29F6CF48" w14:textId="3DD0B3BC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>atklāts konkurss, Valsts civildienesta likumā pretendentam noteiktās obligātās prasības</w:t>
            </w:r>
          </w:p>
        </w:tc>
        <w:tc>
          <w:tcPr>
            <w:tcW w:w="2520" w:type="dxa"/>
          </w:tcPr>
          <w:p w14:paraId="29F6CF49" w14:textId="075BA100" w:rsidR="00FD6A0F" w:rsidRPr="00405EE9" w:rsidRDefault="00FD6A0F" w:rsidP="00B50270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 xml:space="preserve">atklāts konkurss nav obligāts, </w:t>
            </w:r>
            <w:r w:rsidR="00B50270" w:rsidRPr="00405EE9">
              <w:rPr>
                <w:spacing w:val="-2"/>
              </w:rPr>
              <w:t xml:space="preserve">nav </w:t>
            </w:r>
            <w:r w:rsidRPr="00405EE9">
              <w:rPr>
                <w:spacing w:val="-2"/>
              </w:rPr>
              <w:t>centralizēti definētas pretendentam izvirzāmās obligātās prasības</w:t>
            </w:r>
          </w:p>
        </w:tc>
      </w:tr>
      <w:tr w:rsidR="00FD6A0F" w:rsidRPr="00D705A9" w14:paraId="29F6CF50" w14:textId="77777777" w:rsidTr="00BB68DD">
        <w:tc>
          <w:tcPr>
            <w:tcW w:w="1619" w:type="dxa"/>
          </w:tcPr>
          <w:p w14:paraId="29F6CF4B" w14:textId="7777777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t>Darbības novērtēšana un darba samaksas sistēma</w:t>
            </w:r>
          </w:p>
        </w:tc>
        <w:tc>
          <w:tcPr>
            <w:tcW w:w="2578" w:type="dxa"/>
          </w:tcPr>
          <w:p w14:paraId="29F6CF4C" w14:textId="2E83BC29" w:rsidR="00FD6A0F" w:rsidRPr="00405EE9" w:rsidRDefault="00FD6A0F" w:rsidP="00405EE9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 xml:space="preserve">- pastāv paralēla karjeras sistēma, kas balstās uz valsts pārvaldē nostrādāto gadu skaitu (stāžu) kombinācijā ar darba rezultātu novērtējumu. </w:t>
            </w:r>
            <w:r w:rsidR="00405EE9">
              <w:rPr>
                <w:spacing w:val="-2"/>
              </w:rPr>
              <w:t xml:space="preserve">Ja ir </w:t>
            </w:r>
            <w:r w:rsidRPr="00405EE9">
              <w:rPr>
                <w:spacing w:val="-2"/>
              </w:rPr>
              <w:t>pozitīv</w:t>
            </w:r>
            <w:r w:rsidR="00405EE9">
              <w:rPr>
                <w:spacing w:val="-2"/>
              </w:rPr>
              <w:t>s</w:t>
            </w:r>
            <w:r w:rsidRPr="00405EE9">
              <w:rPr>
                <w:spacing w:val="-2"/>
              </w:rPr>
              <w:t xml:space="preserve"> darba novērtējum</w:t>
            </w:r>
            <w:r w:rsidR="00405EE9">
              <w:rPr>
                <w:spacing w:val="-2"/>
              </w:rPr>
              <w:t>s,</w:t>
            </w:r>
            <w:r w:rsidRPr="00405EE9">
              <w:rPr>
                <w:spacing w:val="-2"/>
              </w:rPr>
              <w:t xml:space="preserve"> tiek </w:t>
            </w:r>
            <w:r w:rsidRPr="00405EE9">
              <w:rPr>
                <w:spacing w:val="-3"/>
              </w:rPr>
              <w:t>piešķirtas kvalifikācijas</w:t>
            </w:r>
            <w:r w:rsidRPr="00405EE9">
              <w:rPr>
                <w:spacing w:val="-2"/>
              </w:rPr>
              <w:t xml:space="preserve"> pakāpes, kategorijas, rangi, kas nosaka priekšrocības augstāku amatu ieņemšanā, kā arī papildu piemaksas</w:t>
            </w:r>
          </w:p>
        </w:tc>
        <w:tc>
          <w:tcPr>
            <w:tcW w:w="5091" w:type="dxa"/>
            <w:gridSpan w:val="2"/>
          </w:tcPr>
          <w:p w14:paraId="29F6CF4D" w14:textId="52B32BF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t xml:space="preserve">Darbības novērtēšana notiek saskaņā ar </w:t>
            </w:r>
            <w:r w:rsidR="00405EE9">
              <w:rPr>
                <w:spacing w:val="-2"/>
              </w:rPr>
              <w:t xml:space="preserve">Ministru kabineta </w:t>
            </w:r>
            <w:proofErr w:type="spellStart"/>
            <w:r w:rsidR="00405EE9">
              <w:rPr>
                <w:spacing w:val="-2"/>
              </w:rPr>
              <w:t>2001.gada</w:t>
            </w:r>
            <w:proofErr w:type="spellEnd"/>
            <w:r w:rsidR="00405EE9">
              <w:rPr>
                <w:spacing w:val="-2"/>
              </w:rPr>
              <w:t xml:space="preserve"> </w:t>
            </w:r>
            <w:proofErr w:type="spellStart"/>
            <w:r w:rsidR="00405EE9">
              <w:rPr>
                <w:spacing w:val="-2"/>
              </w:rPr>
              <w:t>13.februāra</w:t>
            </w:r>
            <w:proofErr w:type="spellEnd"/>
            <w:r w:rsidR="00405EE9">
              <w:rPr>
                <w:spacing w:val="-2"/>
              </w:rPr>
              <w:t xml:space="preserve"> </w:t>
            </w:r>
            <w:r w:rsidR="00405EE9" w:rsidRPr="00405EE9">
              <w:rPr>
                <w:spacing w:val="-2"/>
              </w:rPr>
              <w:t xml:space="preserve">instrukciju </w:t>
            </w:r>
            <w:proofErr w:type="spellStart"/>
            <w:r w:rsidR="00405EE9">
              <w:rPr>
                <w:spacing w:val="-2"/>
              </w:rPr>
              <w:t>Nr.2</w:t>
            </w:r>
            <w:proofErr w:type="spellEnd"/>
            <w:r w:rsid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>"Ierēdņa darbības un tās rezultātu novērtēšanas kārtība"</w:t>
            </w:r>
            <w:r w:rsidR="00405EE9">
              <w:rPr>
                <w:spacing w:val="-2"/>
              </w:rPr>
              <w:t>,</w:t>
            </w:r>
            <w:r w:rsidRPr="00405EE9">
              <w:rPr>
                <w:spacing w:val="-2"/>
              </w:rPr>
              <w:t xml:space="preserve"> un tās rezultāti ir saistīti ar darba samaksas sistēmu. </w:t>
            </w:r>
            <w:r w:rsidR="00405EE9">
              <w:rPr>
                <w:spacing w:val="-2"/>
              </w:rPr>
              <w:t>Ar</w:t>
            </w:r>
            <w:r w:rsidRPr="00405EE9">
              <w:rPr>
                <w:spacing w:val="-2"/>
              </w:rPr>
              <w:t xml:space="preserve"> 2012.gada </w:t>
            </w:r>
            <w:proofErr w:type="spellStart"/>
            <w:r w:rsidRPr="00405EE9">
              <w:rPr>
                <w:spacing w:val="-2"/>
              </w:rPr>
              <w:t>1.novembr</w:t>
            </w:r>
            <w:r w:rsidR="00405EE9">
              <w:rPr>
                <w:spacing w:val="-2"/>
              </w:rPr>
              <w:t>i</w:t>
            </w:r>
            <w:proofErr w:type="spellEnd"/>
            <w:r w:rsidRPr="00405EE9">
              <w:rPr>
                <w:spacing w:val="-2"/>
              </w:rPr>
              <w:t xml:space="preserve"> tiek ieviesta jauna darba izpildes novērtēšanas sistēma, kas būs balstīta uz mērķu izvirzīšanu un konkrētu rezultātu mērīšanu, kompetenču novērtēšanu un profesionālās attīstības plānošanu.</w:t>
            </w:r>
          </w:p>
          <w:p w14:paraId="29F6CF4E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4F" w14:textId="443C1CE0" w:rsidR="00FD6A0F" w:rsidRPr="00405EE9" w:rsidRDefault="00405EE9" w:rsidP="00BB68DD">
            <w:pPr>
              <w:rPr>
                <w:spacing w:val="-2"/>
              </w:rPr>
            </w:pPr>
            <w:r>
              <w:rPr>
                <w:spacing w:val="-2"/>
              </w:rPr>
              <w:t>Kopš</w:t>
            </w:r>
            <w:r w:rsidR="00FD6A0F" w:rsidRPr="00405EE9">
              <w:rPr>
                <w:spacing w:val="-2"/>
              </w:rPr>
              <w:t xml:space="preserve"> 2010.gada ir ieviesta vienota darba samaksas sistēma valsts tiešās pārvaldes iestādēs, pašvaldībās, tiesā un prokuratūrā, valsts dibinātajās augstskolā</w:t>
            </w:r>
            <w:r>
              <w:rPr>
                <w:spacing w:val="-2"/>
              </w:rPr>
              <w:t>s u.c. iestādēs nodarbinātajiem</w:t>
            </w:r>
          </w:p>
        </w:tc>
      </w:tr>
      <w:tr w:rsidR="00FD6A0F" w:rsidRPr="00D705A9" w14:paraId="29F6CF57" w14:textId="77777777" w:rsidTr="00405EE9">
        <w:tc>
          <w:tcPr>
            <w:tcW w:w="1619" w:type="dxa"/>
          </w:tcPr>
          <w:p w14:paraId="29F6CF51" w14:textId="7777777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t>Atlaišana vai rotācija</w:t>
            </w:r>
          </w:p>
        </w:tc>
        <w:tc>
          <w:tcPr>
            <w:tcW w:w="2578" w:type="dxa"/>
          </w:tcPr>
          <w:p w14:paraId="29F6CF52" w14:textId="26BC8B98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>nodrošināts mehānisms pārcelšanai civildienesta ietvaros</w:t>
            </w:r>
          </w:p>
        </w:tc>
        <w:tc>
          <w:tcPr>
            <w:tcW w:w="2571" w:type="dxa"/>
          </w:tcPr>
          <w:p w14:paraId="29F6CF53" w14:textId="350CC303" w:rsidR="00FD6A0F" w:rsidRPr="00405EE9" w:rsidRDefault="00FD6A0F" w:rsidP="00BB68DD">
            <w:pPr>
              <w:tabs>
                <w:tab w:val="left" w:pos="252"/>
              </w:tabs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 xml:space="preserve">pastāv, netiek </w:t>
            </w:r>
            <w:r w:rsidR="00E410DA" w:rsidRPr="00405EE9">
              <w:rPr>
                <w:spacing w:val="-2"/>
              </w:rPr>
              <w:t xml:space="preserve">centralizēti </w:t>
            </w:r>
            <w:r w:rsidRPr="00405EE9">
              <w:rPr>
                <w:spacing w:val="-2"/>
              </w:rPr>
              <w:t xml:space="preserve">koordinēts </w:t>
            </w:r>
          </w:p>
          <w:p w14:paraId="29F6CF54" w14:textId="3B64D7EE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>nav noteikts brīdināšanas termiņš, iespējams atbrīvot slimības laikā</w:t>
            </w:r>
          </w:p>
        </w:tc>
        <w:tc>
          <w:tcPr>
            <w:tcW w:w="2520" w:type="dxa"/>
          </w:tcPr>
          <w:p w14:paraId="29F6CF55" w14:textId="2A4420A9" w:rsidR="00FD6A0F" w:rsidRPr="00405EE9" w:rsidRDefault="00FD6A0F" w:rsidP="00BB68DD">
            <w:pPr>
              <w:tabs>
                <w:tab w:val="left" w:pos="252"/>
              </w:tabs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 xml:space="preserve">nepastāv pārcelšanas mehānisms </w:t>
            </w:r>
          </w:p>
          <w:p w14:paraId="29F6CF56" w14:textId="78912C02" w:rsidR="00FD6A0F" w:rsidRPr="00405EE9" w:rsidRDefault="00FD6A0F" w:rsidP="00BB68DD">
            <w:pPr>
              <w:tabs>
                <w:tab w:val="left" w:pos="252"/>
              </w:tabs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 Darba likumā noteikti uzte</w:t>
            </w:r>
            <w:r w:rsidR="00E410DA">
              <w:rPr>
                <w:spacing w:val="-2"/>
              </w:rPr>
              <w:t>ikuma termiņi (nekavējoties, 10 </w:t>
            </w:r>
            <w:r w:rsidRPr="00405EE9">
              <w:rPr>
                <w:spacing w:val="-2"/>
              </w:rPr>
              <w:t>dienas vai viens mēnesis), nav iespējams atbrīvot slimības laikā</w:t>
            </w:r>
          </w:p>
        </w:tc>
      </w:tr>
      <w:tr w:rsidR="00FD6A0F" w:rsidRPr="00D705A9" w14:paraId="29F6CF5C" w14:textId="77777777" w:rsidTr="00405EE9">
        <w:tc>
          <w:tcPr>
            <w:tcW w:w="1619" w:type="dxa"/>
          </w:tcPr>
          <w:p w14:paraId="29F6CF58" w14:textId="7777777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t>Attīstības iespējas</w:t>
            </w:r>
          </w:p>
        </w:tc>
        <w:tc>
          <w:tcPr>
            <w:tcW w:w="2578" w:type="dxa"/>
          </w:tcPr>
          <w:p w14:paraId="29F6CF59" w14:textId="68171916" w:rsidR="00FD6A0F" w:rsidRPr="00405EE9" w:rsidRDefault="00FD6A0F" w:rsidP="00E410DA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 regulāras mācības, ko nodrošina speciāli izveidots valsts mācību centrs/skola</w:t>
            </w:r>
          </w:p>
        </w:tc>
        <w:tc>
          <w:tcPr>
            <w:tcW w:w="2571" w:type="dxa"/>
          </w:tcPr>
          <w:p w14:paraId="29F6CF5A" w14:textId="74524554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 xml:space="preserve">bezmaksas mācības Valsts administrācijas skolā (kopš </w:t>
            </w:r>
            <w:proofErr w:type="spellStart"/>
            <w:r w:rsidRPr="00405EE9">
              <w:rPr>
                <w:spacing w:val="-2"/>
              </w:rPr>
              <w:t>2008.gada</w:t>
            </w:r>
            <w:proofErr w:type="spellEnd"/>
            <w:r w:rsidRPr="00405EE9">
              <w:rPr>
                <w:spacing w:val="-2"/>
              </w:rPr>
              <w:t xml:space="preserve"> beigām </w:t>
            </w:r>
            <w:r w:rsidR="00E410DA">
              <w:rPr>
                <w:spacing w:val="-2"/>
              </w:rPr>
              <w:t xml:space="preserve">– </w:t>
            </w:r>
            <w:r w:rsidRPr="00405EE9">
              <w:rPr>
                <w:spacing w:val="-2"/>
              </w:rPr>
              <w:t>ierobežotā apjomā, pārsvarā maksas kursi)</w:t>
            </w:r>
          </w:p>
        </w:tc>
        <w:tc>
          <w:tcPr>
            <w:tcW w:w="2520" w:type="dxa"/>
          </w:tcPr>
          <w:p w14:paraId="29F6CF5B" w14:textId="12A5B017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="00BB68DD" w:rsidRPr="00405EE9">
              <w:rPr>
                <w:spacing w:val="-2"/>
              </w:rPr>
              <w:t xml:space="preserve"> </w:t>
            </w:r>
            <w:r w:rsidRPr="00405EE9">
              <w:rPr>
                <w:spacing w:val="-2"/>
              </w:rPr>
              <w:t>nav viena mācību centra, izdevumus sedz darba devējs</w:t>
            </w:r>
          </w:p>
        </w:tc>
      </w:tr>
      <w:tr w:rsidR="00FD6A0F" w:rsidRPr="00D705A9" w14:paraId="29F6CF77" w14:textId="77777777" w:rsidTr="00405EE9">
        <w:tc>
          <w:tcPr>
            <w:tcW w:w="1619" w:type="dxa"/>
          </w:tcPr>
          <w:p w14:paraId="29F6CF5D" w14:textId="7777777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t xml:space="preserve">Ierobežojumi </w:t>
            </w:r>
          </w:p>
        </w:tc>
        <w:tc>
          <w:tcPr>
            <w:tcW w:w="2578" w:type="dxa"/>
          </w:tcPr>
          <w:p w14:paraId="29F6CF5E" w14:textId="19F160F3" w:rsidR="00FD6A0F" w:rsidRPr="00405EE9" w:rsidRDefault="00BB68DD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 xml:space="preserve">- </w:t>
            </w:r>
            <w:r w:rsidR="00FD6A0F" w:rsidRPr="00405EE9">
              <w:rPr>
                <w:spacing w:val="-2"/>
              </w:rPr>
              <w:t>savienot amatus</w:t>
            </w:r>
          </w:p>
          <w:p w14:paraId="66F66450" w14:textId="77777777" w:rsidR="004E6646" w:rsidRDefault="004E6646" w:rsidP="00BB68DD">
            <w:pPr>
              <w:ind w:left="147" w:hanging="147"/>
              <w:rPr>
                <w:spacing w:val="-2"/>
              </w:rPr>
            </w:pPr>
          </w:p>
          <w:p w14:paraId="15732E93" w14:textId="77777777" w:rsidR="004E6646" w:rsidRDefault="004E6646" w:rsidP="00BB68DD">
            <w:pPr>
              <w:ind w:left="147" w:hanging="147"/>
              <w:rPr>
                <w:spacing w:val="-2"/>
              </w:rPr>
            </w:pPr>
          </w:p>
          <w:p w14:paraId="29F6CF61" w14:textId="074ECF81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lastRenderedPageBreak/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 xml:space="preserve">darbība politiskajās partijās </w:t>
            </w:r>
          </w:p>
          <w:p w14:paraId="54C10BE3" w14:textId="77777777" w:rsidR="004E6646" w:rsidRDefault="004E6646" w:rsidP="00BB68DD">
            <w:pPr>
              <w:ind w:left="147" w:hanging="147"/>
              <w:rPr>
                <w:spacing w:val="-2"/>
              </w:rPr>
            </w:pPr>
          </w:p>
          <w:p w14:paraId="0CF1E40D" w14:textId="77777777" w:rsidR="004E6646" w:rsidRDefault="004E6646" w:rsidP="00BB68DD">
            <w:pPr>
              <w:ind w:left="147" w:hanging="147"/>
              <w:rPr>
                <w:spacing w:val="-2"/>
              </w:rPr>
            </w:pPr>
          </w:p>
          <w:p w14:paraId="29F6CF64" w14:textId="0413D13D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streikot</w:t>
            </w:r>
          </w:p>
          <w:p w14:paraId="36C67F5F" w14:textId="77777777" w:rsidR="004E6646" w:rsidRDefault="004E6646" w:rsidP="00BB68DD">
            <w:pPr>
              <w:ind w:left="147" w:hanging="147"/>
              <w:rPr>
                <w:spacing w:val="-2"/>
              </w:rPr>
            </w:pPr>
          </w:p>
          <w:p w14:paraId="78111F46" w14:textId="77777777" w:rsidR="004E6646" w:rsidRDefault="004E6646" w:rsidP="00BB68DD">
            <w:pPr>
              <w:ind w:left="147" w:hanging="147"/>
              <w:rPr>
                <w:spacing w:val="-2"/>
              </w:rPr>
            </w:pPr>
          </w:p>
          <w:p w14:paraId="29F6CF68" w14:textId="199F01C6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disciplinārā atbildība</w:t>
            </w:r>
          </w:p>
        </w:tc>
        <w:tc>
          <w:tcPr>
            <w:tcW w:w="2571" w:type="dxa"/>
          </w:tcPr>
          <w:p w14:paraId="29F6CF69" w14:textId="05659958" w:rsidR="00FD6A0F" w:rsidRPr="00405EE9" w:rsidRDefault="003F0DE6" w:rsidP="00BB68DD">
            <w:pPr>
              <w:tabs>
                <w:tab w:val="num" w:pos="360"/>
              </w:tabs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lastRenderedPageBreak/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pastāv ierobežojumi savienot amatus</w:t>
            </w:r>
          </w:p>
          <w:p w14:paraId="7ECE8B40" w14:textId="77777777" w:rsidR="004E6646" w:rsidRDefault="004E6646" w:rsidP="00BB68DD">
            <w:pPr>
              <w:ind w:left="147" w:hanging="147"/>
              <w:rPr>
                <w:spacing w:val="-2"/>
              </w:rPr>
            </w:pPr>
          </w:p>
          <w:p w14:paraId="29F6CF6B" w14:textId="14584201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lastRenderedPageBreak/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jābūt lojālam likumīgajai valdībai, jāievēro politiskā neitralitāte</w:t>
            </w:r>
          </w:p>
          <w:p w14:paraId="29F6CF6C" w14:textId="18E8D830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nav regulējuma attiecībā uz tiesībām streikot</w:t>
            </w:r>
          </w:p>
          <w:p w14:paraId="29F6CF6E" w14:textId="6380DAFF" w:rsidR="00FD6A0F" w:rsidRPr="00405EE9" w:rsidRDefault="003F0DE6" w:rsidP="00DE6F80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disciplinārā atbildība (</w:t>
            </w:r>
            <w:r w:rsidR="00DE6F80" w:rsidRPr="00405EE9">
              <w:rPr>
                <w:spacing w:val="-2"/>
              </w:rPr>
              <w:t>pieci</w:t>
            </w:r>
            <w:r w:rsidR="00FD6A0F" w:rsidRPr="00405EE9">
              <w:rPr>
                <w:spacing w:val="-2"/>
              </w:rPr>
              <w:t xml:space="preserve"> soda veidi)</w:t>
            </w:r>
          </w:p>
        </w:tc>
        <w:tc>
          <w:tcPr>
            <w:tcW w:w="2520" w:type="dxa"/>
          </w:tcPr>
          <w:p w14:paraId="29F6CF6F" w14:textId="08A5E984" w:rsidR="00FD6A0F" w:rsidRPr="00405EE9" w:rsidRDefault="003F0DE6" w:rsidP="00BB68DD">
            <w:pPr>
              <w:tabs>
                <w:tab w:val="num" w:pos="360"/>
              </w:tabs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lastRenderedPageBreak/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 xml:space="preserve">ierobežojumi </w:t>
            </w:r>
            <w:r w:rsidR="003A7D26" w:rsidRPr="00405EE9">
              <w:rPr>
                <w:spacing w:val="-2"/>
              </w:rPr>
              <w:t>valsts amatpersonām</w:t>
            </w:r>
            <w:r w:rsidR="003A7D26" w:rsidRPr="00405EE9">
              <w:rPr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 xml:space="preserve">savienot amatus </w:t>
            </w:r>
          </w:p>
          <w:p w14:paraId="29F6CF71" w14:textId="32758DA1" w:rsidR="00FD6A0F" w:rsidRPr="00405EE9" w:rsidRDefault="003F0DE6" w:rsidP="00BB68DD">
            <w:pPr>
              <w:tabs>
                <w:tab w:val="num" w:pos="360"/>
              </w:tabs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lastRenderedPageBreak/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iespējama darbība politiskajās partijās</w:t>
            </w:r>
          </w:p>
          <w:p w14:paraId="43E9B05F" w14:textId="77777777" w:rsidR="004E6646" w:rsidRDefault="004E6646" w:rsidP="00BB68DD">
            <w:pPr>
              <w:tabs>
                <w:tab w:val="num" w:pos="360"/>
              </w:tabs>
              <w:ind w:left="147" w:hanging="147"/>
              <w:rPr>
                <w:spacing w:val="-2"/>
              </w:rPr>
            </w:pPr>
          </w:p>
          <w:p w14:paraId="77201496" w14:textId="77777777" w:rsidR="004E6646" w:rsidRDefault="004E6646" w:rsidP="00BB68DD">
            <w:pPr>
              <w:tabs>
                <w:tab w:val="num" w:pos="360"/>
              </w:tabs>
              <w:ind w:left="147" w:hanging="147"/>
              <w:rPr>
                <w:spacing w:val="-2"/>
              </w:rPr>
            </w:pPr>
          </w:p>
          <w:p w14:paraId="29F6CF73" w14:textId="62C71F9F" w:rsidR="00FD6A0F" w:rsidRPr="00405EE9" w:rsidRDefault="003F0DE6" w:rsidP="00BB68DD">
            <w:pPr>
              <w:tabs>
                <w:tab w:val="num" w:pos="360"/>
              </w:tabs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tiesības piedalīties streikos</w:t>
            </w:r>
          </w:p>
          <w:p w14:paraId="24C2A3CC" w14:textId="77777777" w:rsidR="004E6646" w:rsidRDefault="004E6646" w:rsidP="00DE6F80">
            <w:pPr>
              <w:ind w:left="147" w:hanging="147"/>
              <w:rPr>
                <w:spacing w:val="-2"/>
              </w:rPr>
            </w:pPr>
          </w:p>
          <w:p w14:paraId="29F6CF76" w14:textId="7D6D3756" w:rsidR="00FD6A0F" w:rsidRPr="00405EE9" w:rsidRDefault="003F0DE6" w:rsidP="00DE6F80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disciplinārā atbildība (</w:t>
            </w:r>
            <w:r w:rsidR="00DE6F80" w:rsidRPr="00405EE9">
              <w:rPr>
                <w:spacing w:val="-2"/>
              </w:rPr>
              <w:t>divi</w:t>
            </w:r>
            <w:r w:rsidR="00FD6A0F" w:rsidRPr="00405EE9">
              <w:rPr>
                <w:spacing w:val="-2"/>
              </w:rPr>
              <w:t xml:space="preserve"> soda veidi)</w:t>
            </w:r>
          </w:p>
        </w:tc>
      </w:tr>
      <w:tr w:rsidR="00FD6A0F" w:rsidRPr="00D705A9" w14:paraId="29F6CF9B" w14:textId="77777777" w:rsidTr="00BB68DD">
        <w:tc>
          <w:tcPr>
            <w:tcW w:w="1619" w:type="dxa"/>
          </w:tcPr>
          <w:p w14:paraId="29F6CF78" w14:textId="7777777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lastRenderedPageBreak/>
              <w:t>Garantijas</w:t>
            </w:r>
          </w:p>
          <w:p w14:paraId="29F6CF79" w14:textId="77777777" w:rsidR="00FD6A0F" w:rsidRPr="00405EE9" w:rsidRDefault="00FD6A0F" w:rsidP="00BB68DD">
            <w:pPr>
              <w:rPr>
                <w:spacing w:val="-2"/>
              </w:rPr>
            </w:pPr>
          </w:p>
        </w:tc>
        <w:tc>
          <w:tcPr>
            <w:tcW w:w="2578" w:type="dxa"/>
          </w:tcPr>
          <w:p w14:paraId="29F6CF7A" w14:textId="263FBE09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prēmijas, kompensācijas</w:t>
            </w:r>
          </w:p>
          <w:p w14:paraId="29F6CF7B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7C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7D" w14:textId="187D9EBF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pabalsti</w:t>
            </w:r>
          </w:p>
          <w:p w14:paraId="29F6CF7E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7F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0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1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2" w14:textId="4E18623D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piemaksas</w:t>
            </w:r>
          </w:p>
          <w:p w14:paraId="29F6CF83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4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5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6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7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8" w14:textId="72EC78B7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mācības</w:t>
            </w:r>
          </w:p>
          <w:p w14:paraId="29F6CF89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A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</w:p>
          <w:p w14:paraId="29F6CF8D" w14:textId="1C8D7F85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pensiju sistēma</w:t>
            </w:r>
          </w:p>
        </w:tc>
        <w:tc>
          <w:tcPr>
            <w:tcW w:w="5091" w:type="dxa"/>
            <w:gridSpan w:val="2"/>
          </w:tcPr>
          <w:p w14:paraId="29F6CF8E" w14:textId="77777777" w:rsidR="00FD6A0F" w:rsidRPr="00405EE9" w:rsidRDefault="00FD6A0F" w:rsidP="00BB68DD">
            <w:pPr>
              <w:ind w:left="147" w:hanging="147"/>
              <w:rPr>
                <w:bCs/>
                <w:spacing w:val="-2"/>
              </w:rPr>
            </w:pPr>
            <w:r w:rsidRPr="00405EE9">
              <w:rPr>
                <w:spacing w:val="-2"/>
              </w:rPr>
              <w:t xml:space="preserve">- </w:t>
            </w:r>
            <w:r w:rsidRPr="00405EE9">
              <w:rPr>
                <w:bCs/>
                <w:spacing w:val="-2"/>
              </w:rPr>
              <w:t>atcelti vadības līgumi, kompensācija ceļa izdevumu segšanai</w:t>
            </w:r>
          </w:p>
          <w:p w14:paraId="29F6CF8F" w14:textId="525962EB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bCs/>
                <w:spacing w:val="-2"/>
              </w:rPr>
              <w:t xml:space="preserve">no 2010. līdz </w:t>
            </w:r>
            <w:proofErr w:type="spellStart"/>
            <w:r w:rsidR="00FD6A0F" w:rsidRPr="00405EE9">
              <w:rPr>
                <w:bCs/>
                <w:spacing w:val="-2"/>
              </w:rPr>
              <w:t>2013.gadam</w:t>
            </w:r>
            <w:proofErr w:type="spellEnd"/>
            <w:r w:rsidR="00FD6A0F" w:rsidRPr="00405EE9">
              <w:rPr>
                <w:bCs/>
                <w:spacing w:val="-2"/>
              </w:rPr>
              <w:t xml:space="preserve"> aizliegts maksāt prēmijas</w:t>
            </w:r>
          </w:p>
          <w:p w14:paraId="29F6CF91" w14:textId="603565D9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bCs/>
                <w:spacing w:val="-2"/>
              </w:rPr>
              <w:t xml:space="preserve">2010. un 2011.gadā </w:t>
            </w:r>
            <w:r w:rsidR="00FD6A0F" w:rsidRPr="00405EE9">
              <w:rPr>
                <w:spacing w:val="-2"/>
              </w:rPr>
              <w:t>atcelts atvaļinājuma pabalsts</w:t>
            </w:r>
          </w:p>
          <w:p w14:paraId="29F6CF92" w14:textId="00189CF2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ierobežots apmērs bērna piedzimšanas pabalstam (</w:t>
            </w:r>
            <w:r w:rsidR="00C70D06">
              <w:rPr>
                <w:bCs/>
                <w:spacing w:val="-2"/>
              </w:rPr>
              <w:t>kopš</w:t>
            </w:r>
            <w:r w:rsidR="00FD6A0F" w:rsidRPr="00405EE9">
              <w:rPr>
                <w:bCs/>
                <w:spacing w:val="-2"/>
              </w:rPr>
              <w:t xml:space="preserve"> 2010.gada novembra – atcelts)</w:t>
            </w:r>
            <w:r w:rsidR="00FD6A0F" w:rsidRPr="00405EE9">
              <w:rPr>
                <w:spacing w:val="-2"/>
              </w:rPr>
              <w:t xml:space="preserve"> un pabalstam sakarā ar ģimenes locekļa vai apgādājamā nāvi</w:t>
            </w:r>
          </w:p>
          <w:p w14:paraId="29F6CF94" w14:textId="7353F920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atcelta piemaksa par amata pienākumu pildīšanu paaugstinātas darba intensitātes apstākļos</w:t>
            </w:r>
          </w:p>
          <w:p w14:paraId="29F6CF95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ierobežots apmērs piemaksai par prombūtnē esošas amatpersonas, vakanta amata vai papildu pienākumu pildīšanu</w:t>
            </w:r>
          </w:p>
          <w:p w14:paraId="29F6CF97" w14:textId="1297BD43" w:rsidR="00FD6A0F" w:rsidRPr="00405EE9" w:rsidRDefault="003F0DE6" w:rsidP="00BB68DD">
            <w:pPr>
              <w:ind w:left="147" w:hanging="147"/>
              <w:rPr>
                <w:bCs/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bCs/>
                <w:spacing w:val="-2"/>
              </w:rPr>
              <w:t xml:space="preserve">kompensācijas mācību izdevumu segšanai apmērs </w:t>
            </w:r>
            <w:r w:rsidR="00305F3A" w:rsidRPr="00405EE9">
              <w:rPr>
                <w:bCs/>
                <w:spacing w:val="-2"/>
              </w:rPr>
              <w:t xml:space="preserve">samazināts </w:t>
            </w:r>
            <w:r w:rsidR="00FD6A0F" w:rsidRPr="00405EE9">
              <w:rPr>
                <w:bCs/>
                <w:spacing w:val="-2"/>
              </w:rPr>
              <w:t>līdz 30</w:t>
            </w:r>
            <w:r w:rsidR="00305F3A">
              <w:rPr>
                <w:bCs/>
                <w:spacing w:val="-2"/>
              </w:rPr>
              <w:t> </w:t>
            </w:r>
            <w:r w:rsidR="00FD6A0F" w:rsidRPr="00405EE9">
              <w:rPr>
                <w:bCs/>
                <w:spacing w:val="-2"/>
              </w:rPr>
              <w:t>% no gada mācību maksas</w:t>
            </w:r>
          </w:p>
          <w:p w14:paraId="29F6CF98" w14:textId="68583F9E" w:rsidR="00FD6A0F" w:rsidRPr="00405EE9" w:rsidRDefault="003F0DE6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405EE9">
              <w:rPr>
                <w:spacing w:val="-2"/>
              </w:rPr>
              <w:t>ierobežots mācību kursu apjoms Valsts administrācijas skolā</w:t>
            </w:r>
          </w:p>
          <w:p w14:paraId="29F6CF9A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>- nav</w:t>
            </w:r>
            <w:r w:rsidRPr="00405EE9">
              <w:rPr>
                <w:rStyle w:val="FootnoteReference"/>
                <w:spacing w:val="-2"/>
              </w:rPr>
              <w:footnoteReference w:id="1"/>
            </w:r>
          </w:p>
        </w:tc>
      </w:tr>
      <w:tr w:rsidR="00FD6A0F" w:rsidRPr="00D705A9" w14:paraId="29F6CFA6" w14:textId="77777777" w:rsidTr="00BB68DD">
        <w:tc>
          <w:tcPr>
            <w:tcW w:w="1619" w:type="dxa"/>
          </w:tcPr>
          <w:p w14:paraId="29F6CF9C" w14:textId="77777777" w:rsidR="00FD6A0F" w:rsidRPr="00405EE9" w:rsidRDefault="00FD6A0F" w:rsidP="00BB68DD">
            <w:pPr>
              <w:rPr>
                <w:spacing w:val="-2"/>
              </w:rPr>
            </w:pPr>
            <w:r w:rsidRPr="00405EE9">
              <w:rPr>
                <w:spacing w:val="-2"/>
              </w:rPr>
              <w:t>Lēmuma apstrīdēšana un pārsūdzēšana</w:t>
            </w:r>
          </w:p>
        </w:tc>
        <w:tc>
          <w:tcPr>
            <w:tcW w:w="2578" w:type="dxa"/>
          </w:tcPr>
          <w:p w14:paraId="29F6CF9D" w14:textId="77777777" w:rsidR="00FD6A0F" w:rsidRPr="00405EE9" w:rsidRDefault="00FD6A0F" w:rsidP="00BB68DD">
            <w:pPr>
              <w:ind w:left="147" w:hanging="147"/>
              <w:rPr>
                <w:spacing w:val="-2"/>
              </w:rPr>
            </w:pPr>
            <w:r w:rsidRPr="00405EE9">
              <w:rPr>
                <w:spacing w:val="-2"/>
              </w:rPr>
              <w:t xml:space="preserve">- lēmumu apstrīdēšana valsts pārvaldes ietvaros (izveidota </w:t>
            </w:r>
            <w:smartTag w:uri="schemas-tilde-lv/tildestengine" w:element="veidnes">
              <w:smartTagPr>
                <w:attr w:name="id" w:val="-1"/>
                <w:attr w:name="baseform" w:val="Speciāla"/>
                <w:attr w:name="text" w:val="Speciāla"/>
              </w:smartTagPr>
              <w:r w:rsidRPr="00405EE9">
                <w:rPr>
                  <w:spacing w:val="-2"/>
                </w:rPr>
                <w:t>speciāla</w:t>
              </w:r>
            </w:smartTag>
            <w:r w:rsidRPr="00405EE9">
              <w:rPr>
                <w:spacing w:val="-2"/>
              </w:rPr>
              <w:t xml:space="preserve"> institūcija)</w:t>
            </w:r>
          </w:p>
        </w:tc>
        <w:tc>
          <w:tcPr>
            <w:tcW w:w="2571" w:type="dxa"/>
          </w:tcPr>
          <w:p w14:paraId="29F6CF9E" w14:textId="483E4800" w:rsidR="00FD6A0F" w:rsidRPr="00945B44" w:rsidRDefault="003F0DE6" w:rsidP="00945B44">
            <w:pPr>
              <w:ind w:left="147" w:hanging="147"/>
              <w:rPr>
                <w:spacing w:val="-3"/>
              </w:rPr>
            </w:pPr>
            <w:r w:rsidRPr="00945B44">
              <w:rPr>
                <w:spacing w:val="-3"/>
              </w:rPr>
              <w:t>-</w:t>
            </w:r>
            <w:r w:rsidRPr="00945B44">
              <w:rPr>
                <w:bCs/>
                <w:spacing w:val="-3"/>
              </w:rPr>
              <w:t xml:space="preserve"> </w:t>
            </w:r>
            <w:r w:rsidR="00FD6A0F" w:rsidRPr="00945B44">
              <w:rPr>
                <w:spacing w:val="-3"/>
              </w:rPr>
              <w:t>administratīvais process:</w:t>
            </w:r>
          </w:p>
          <w:p w14:paraId="29F6CF9F" w14:textId="13DC77A1" w:rsidR="00FD6A0F" w:rsidRPr="00945B44" w:rsidRDefault="00FD6A0F" w:rsidP="00945B44">
            <w:pPr>
              <w:pStyle w:val="ListParagraph"/>
              <w:numPr>
                <w:ilvl w:val="0"/>
                <w:numId w:val="30"/>
              </w:numPr>
              <w:spacing w:after="0"/>
              <w:ind w:left="481" w:hanging="283"/>
              <w:jc w:val="left"/>
              <w:rPr>
                <w:rFonts w:ascii="Times New Roman" w:hAnsi="Times New Roman"/>
                <w:spacing w:val="-3"/>
              </w:rPr>
            </w:pPr>
            <w:r w:rsidRPr="00945B44">
              <w:rPr>
                <w:rFonts w:ascii="Times New Roman" w:hAnsi="Times New Roman"/>
                <w:spacing w:val="-3"/>
              </w:rPr>
              <w:t>padotības iestādes ierēdņi lēmumu var apstrīdēt augstākā iestādē</w:t>
            </w:r>
          </w:p>
          <w:p w14:paraId="29F6CFA0" w14:textId="13C82A55" w:rsidR="00FD6A0F" w:rsidRPr="00945B44" w:rsidRDefault="00FD6A0F" w:rsidP="00945B44">
            <w:pPr>
              <w:pStyle w:val="ListParagraph"/>
              <w:numPr>
                <w:ilvl w:val="0"/>
                <w:numId w:val="30"/>
              </w:numPr>
              <w:spacing w:after="0"/>
              <w:ind w:left="481" w:hanging="283"/>
              <w:jc w:val="left"/>
              <w:rPr>
                <w:rFonts w:ascii="Times New Roman" w:hAnsi="Times New Roman"/>
                <w:spacing w:val="-3"/>
              </w:rPr>
            </w:pPr>
            <w:r w:rsidRPr="00945B44">
              <w:rPr>
                <w:rFonts w:ascii="Times New Roman" w:hAnsi="Times New Roman"/>
                <w:spacing w:val="-3"/>
              </w:rPr>
              <w:t xml:space="preserve">ministrijā nodarbinātie ierēdņi lēmumu </w:t>
            </w:r>
            <w:r w:rsidR="00945B44">
              <w:rPr>
                <w:rFonts w:ascii="Times New Roman" w:hAnsi="Times New Roman"/>
                <w:spacing w:val="-3"/>
              </w:rPr>
              <w:t xml:space="preserve">var </w:t>
            </w:r>
            <w:r w:rsidRPr="00945B44">
              <w:rPr>
                <w:rFonts w:ascii="Times New Roman" w:hAnsi="Times New Roman"/>
                <w:spacing w:val="-3"/>
              </w:rPr>
              <w:t>pārsūdz</w:t>
            </w:r>
            <w:r w:rsidR="00945B44">
              <w:rPr>
                <w:rFonts w:ascii="Times New Roman" w:hAnsi="Times New Roman"/>
                <w:spacing w:val="-3"/>
              </w:rPr>
              <w:t>ēt</w:t>
            </w:r>
            <w:r w:rsidRPr="00945B44">
              <w:rPr>
                <w:rFonts w:ascii="Times New Roman" w:hAnsi="Times New Roman"/>
                <w:spacing w:val="-3"/>
              </w:rPr>
              <w:t xml:space="preserve"> tiesā</w:t>
            </w:r>
          </w:p>
          <w:p w14:paraId="29F6CFA1" w14:textId="010CC398" w:rsidR="00FD6A0F" w:rsidRPr="00945B44" w:rsidRDefault="003F0DE6" w:rsidP="00945B44">
            <w:pPr>
              <w:ind w:left="147" w:hanging="147"/>
              <w:rPr>
                <w:spacing w:val="-3"/>
              </w:rPr>
            </w:pPr>
            <w:r w:rsidRPr="00945B44">
              <w:rPr>
                <w:spacing w:val="-3"/>
              </w:rPr>
              <w:t>-</w:t>
            </w:r>
            <w:r w:rsidRPr="00945B44">
              <w:rPr>
                <w:bCs/>
                <w:spacing w:val="-3"/>
              </w:rPr>
              <w:t xml:space="preserve"> </w:t>
            </w:r>
            <w:r w:rsidR="00FD6A0F" w:rsidRPr="00945B44">
              <w:rPr>
                <w:spacing w:val="-3"/>
              </w:rPr>
              <w:t>lēmumu iespējams apstrīdēt vai pārsūdzēt mēneša laikā pēc tā stāšanās spēkā, ja nav noteikts cits termiņš</w:t>
            </w:r>
          </w:p>
        </w:tc>
        <w:tc>
          <w:tcPr>
            <w:tcW w:w="2520" w:type="dxa"/>
          </w:tcPr>
          <w:p w14:paraId="29F6CFA2" w14:textId="38EDE60B" w:rsidR="00FD6A0F" w:rsidRPr="00945B44" w:rsidRDefault="003F0DE6" w:rsidP="00945B44">
            <w:pPr>
              <w:tabs>
                <w:tab w:val="left" w:pos="252"/>
              </w:tabs>
              <w:rPr>
                <w:spacing w:val="-2"/>
              </w:rPr>
            </w:pPr>
            <w:r w:rsidRPr="00405EE9">
              <w:rPr>
                <w:spacing w:val="-2"/>
              </w:rPr>
              <w:t>-</w:t>
            </w:r>
            <w:r w:rsidRPr="00405EE9">
              <w:rPr>
                <w:bCs/>
                <w:spacing w:val="-2"/>
              </w:rPr>
              <w:t xml:space="preserve"> </w:t>
            </w:r>
            <w:r w:rsidR="00FD6A0F" w:rsidRPr="00945B44">
              <w:rPr>
                <w:spacing w:val="-2"/>
              </w:rPr>
              <w:t>civilprocess</w:t>
            </w:r>
          </w:p>
          <w:p w14:paraId="29F6CFA4" w14:textId="71EA2CE0" w:rsidR="00FD6A0F" w:rsidRPr="00945B44" w:rsidRDefault="00FD6A0F" w:rsidP="00945B44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spacing w:after="0"/>
              <w:ind w:left="462" w:hanging="259"/>
              <w:rPr>
                <w:rFonts w:ascii="Times New Roman" w:hAnsi="Times New Roman"/>
                <w:spacing w:val="-2"/>
              </w:rPr>
            </w:pPr>
            <w:r w:rsidRPr="00945B44">
              <w:rPr>
                <w:rFonts w:ascii="Times New Roman" w:hAnsi="Times New Roman"/>
                <w:spacing w:val="-2"/>
              </w:rPr>
              <w:t xml:space="preserve">lēmumus iespējams pārsūdzēt tiesā </w:t>
            </w:r>
          </w:p>
          <w:p w14:paraId="29F6CFA5" w14:textId="1F2DC62E" w:rsidR="00FD6A0F" w:rsidRPr="00405EE9" w:rsidRDefault="00FD6A0F" w:rsidP="00945B44">
            <w:pPr>
              <w:tabs>
                <w:tab w:val="left" w:pos="252"/>
              </w:tabs>
              <w:ind w:left="147" w:hanging="147"/>
              <w:rPr>
                <w:spacing w:val="-2"/>
              </w:rPr>
            </w:pPr>
            <w:r w:rsidRPr="00945B44">
              <w:rPr>
                <w:spacing w:val="-2"/>
              </w:rPr>
              <w:t>- lēmumu</w:t>
            </w:r>
            <w:r w:rsidRPr="00405EE9">
              <w:rPr>
                <w:spacing w:val="-2"/>
              </w:rPr>
              <w:t xml:space="preserve"> iespējams pārsūdzēt mēneša laikā no uzteikuma saņemšanas</w:t>
            </w:r>
          </w:p>
        </w:tc>
      </w:tr>
    </w:tbl>
    <w:p w14:paraId="29F6CFA7" w14:textId="77777777" w:rsidR="00FD6A0F" w:rsidRDefault="00FD6A0F" w:rsidP="00FD6A0F">
      <w:pPr>
        <w:tabs>
          <w:tab w:val="left" w:pos="6521"/>
        </w:tabs>
        <w:ind w:firstLine="709"/>
      </w:pPr>
    </w:p>
    <w:p w14:paraId="29F6CFAB" w14:textId="57B9C378" w:rsidR="00FD6A0F" w:rsidRDefault="00375DFE" w:rsidP="00FD6A0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25</w:t>
      </w:r>
      <w:r w:rsidR="00FD6A0F" w:rsidRPr="00DC1CB2">
        <w:rPr>
          <w:b w:val="0"/>
          <w:sz w:val="20"/>
          <w:szCs w:val="20"/>
        </w:rPr>
        <w:t>.</w:t>
      </w:r>
      <w:r w:rsidR="00CC4495">
        <w:rPr>
          <w:b w:val="0"/>
          <w:sz w:val="20"/>
          <w:szCs w:val="20"/>
        </w:rPr>
        <w:t>01.2013</w:t>
      </w:r>
      <w:r w:rsidR="00FD6A0F" w:rsidRPr="00DC1CB2">
        <w:rPr>
          <w:b w:val="0"/>
          <w:sz w:val="20"/>
          <w:szCs w:val="20"/>
        </w:rPr>
        <w:t>.</w:t>
      </w:r>
    </w:p>
    <w:p w14:paraId="29F6CFAC" w14:textId="119F96E1" w:rsidR="00FD6A0F" w:rsidRPr="00DC1CB2" w:rsidRDefault="00375DFE" w:rsidP="00FD6A0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50</w:t>
      </w:r>
      <w:r w:rsidR="00307EE7">
        <w:rPr>
          <w:b w:val="0"/>
          <w:sz w:val="20"/>
          <w:szCs w:val="20"/>
        </w:rPr>
        <w:t>8</w:t>
      </w:r>
      <w:bookmarkStart w:id="3" w:name="_GoBack"/>
      <w:bookmarkEnd w:id="3"/>
    </w:p>
    <w:p w14:paraId="29F6CFAD" w14:textId="77777777" w:rsidR="00FD6A0F" w:rsidRPr="00021FBD" w:rsidRDefault="00FD6A0F" w:rsidP="00FD6A0F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B.Medvecka 67082907</w:t>
      </w:r>
    </w:p>
    <w:p w14:paraId="29F6CFAE" w14:textId="77777777" w:rsidR="00FD6A0F" w:rsidRPr="00C76A06" w:rsidRDefault="00FD6A0F" w:rsidP="00FD6A0F">
      <w:pPr>
        <w:ind w:firstLine="720"/>
        <w:jc w:val="both"/>
        <w:rPr>
          <w:b/>
        </w:rPr>
      </w:pPr>
      <w:r>
        <w:rPr>
          <w:sz w:val="20"/>
          <w:szCs w:val="20"/>
        </w:rPr>
        <w:t>Baiba.Medvecka</w:t>
      </w:r>
      <w:r w:rsidRPr="00021FBD">
        <w:rPr>
          <w:sz w:val="20"/>
          <w:szCs w:val="20"/>
        </w:rPr>
        <w:t xml:space="preserve">@mk.gov.lv </w:t>
      </w:r>
    </w:p>
    <w:sectPr w:rsidR="00FD6A0F" w:rsidRPr="00C76A06" w:rsidSect="004E664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CFB2" w14:textId="77777777" w:rsidR="009E4A0A" w:rsidRDefault="009E4A0A" w:rsidP="00FD6A0F">
      <w:r>
        <w:separator/>
      </w:r>
    </w:p>
  </w:endnote>
  <w:endnote w:type="continuationSeparator" w:id="0">
    <w:p w14:paraId="29F6CFB3" w14:textId="77777777" w:rsidR="009E4A0A" w:rsidRDefault="009E4A0A" w:rsidP="00FD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YInterstate Light">
    <w:altName w:val="Times New Roman"/>
    <w:panose1 w:val="00000000000000000000"/>
    <w:charset w:val="BA"/>
    <w:family w:val="auto"/>
    <w:notTrueType/>
    <w:pitch w:val="variable"/>
    <w:sig w:usb0="00000001" w:usb1="00000000" w:usb2="00000000" w:usb3="00000000" w:csb0="0000008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Y Taglin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Y Gothic Cond Dem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69C3" w14:textId="77777777" w:rsidR="003143A1" w:rsidRPr="003143A1" w:rsidRDefault="003143A1" w:rsidP="003143A1">
    <w:pPr>
      <w:pStyle w:val="Footer"/>
      <w:jc w:val="both"/>
      <w:rPr>
        <w:sz w:val="16"/>
        <w:szCs w:val="16"/>
      </w:rPr>
    </w:pPr>
    <w:proofErr w:type="spellStart"/>
    <w:r w:rsidRPr="003143A1">
      <w:rPr>
        <w:sz w:val="16"/>
        <w:szCs w:val="16"/>
      </w:rPr>
      <w:t>MKKonc_110113_civildienests</w:t>
    </w:r>
    <w:proofErr w:type="spellEnd"/>
    <w:r w:rsidRPr="003143A1">
      <w:rPr>
        <w:sz w:val="16"/>
        <w:szCs w:val="16"/>
      </w:rPr>
      <w:t xml:space="preserve"> (4339)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CFB9" w14:textId="6C38EEEF" w:rsidR="009E4A0A" w:rsidRPr="003143A1" w:rsidRDefault="00C47B73" w:rsidP="009E4A0A">
    <w:pPr>
      <w:pStyle w:val="Footer"/>
      <w:jc w:val="both"/>
      <w:rPr>
        <w:sz w:val="16"/>
        <w:szCs w:val="16"/>
      </w:rPr>
    </w:pPr>
    <w:proofErr w:type="spellStart"/>
    <w:r w:rsidRPr="003143A1">
      <w:rPr>
        <w:sz w:val="16"/>
        <w:szCs w:val="16"/>
      </w:rPr>
      <w:t>MKKonc_11</w:t>
    </w:r>
    <w:r w:rsidR="009E4A0A" w:rsidRPr="003143A1">
      <w:rPr>
        <w:sz w:val="16"/>
        <w:szCs w:val="16"/>
      </w:rPr>
      <w:t>0113_civildienests</w:t>
    </w:r>
    <w:proofErr w:type="spellEnd"/>
    <w:r w:rsidR="003143A1" w:rsidRPr="003143A1">
      <w:rPr>
        <w:sz w:val="16"/>
        <w:szCs w:val="16"/>
      </w:rPr>
      <w:t xml:space="preserve"> (4339)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CFB0" w14:textId="77777777" w:rsidR="009E4A0A" w:rsidRDefault="009E4A0A" w:rsidP="00FD6A0F">
      <w:r>
        <w:separator/>
      </w:r>
    </w:p>
  </w:footnote>
  <w:footnote w:type="continuationSeparator" w:id="0">
    <w:p w14:paraId="29F6CFB1" w14:textId="77777777" w:rsidR="009E4A0A" w:rsidRDefault="009E4A0A" w:rsidP="00FD6A0F">
      <w:r>
        <w:continuationSeparator/>
      </w:r>
    </w:p>
  </w:footnote>
  <w:footnote w:id="1">
    <w:p w14:paraId="29F6CFBB" w14:textId="7A42968B" w:rsidR="009E4A0A" w:rsidRDefault="009E4A0A" w:rsidP="00375DFE">
      <w:pPr>
        <w:pStyle w:val="NormalWeb"/>
        <w:ind w:firstLine="0"/>
      </w:pPr>
      <w:r w:rsidRPr="00991880">
        <w:rPr>
          <w:rStyle w:val="FootnoteReference"/>
          <w:sz w:val="20"/>
          <w:szCs w:val="20"/>
        </w:rPr>
        <w:footnoteRef/>
      </w:r>
      <w:r w:rsidRPr="00991880">
        <w:rPr>
          <w:sz w:val="20"/>
          <w:szCs w:val="20"/>
        </w:rPr>
        <w:t xml:space="preserve"> Visiem valsts dienestā nodarbinātajiem tiek piešķirtas izdienas pensijas, jo darbs ir saistīts ar profesionālo iemaņu zudumu vai sociālo bīstamību.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CFB4" w14:textId="77777777" w:rsidR="009E4A0A" w:rsidRDefault="00202899" w:rsidP="009E4A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A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6CFB5" w14:textId="77777777" w:rsidR="009E4A0A" w:rsidRDefault="009E4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CFB6" w14:textId="77777777" w:rsidR="009E4A0A" w:rsidRPr="004E6646" w:rsidRDefault="00202899" w:rsidP="009E4A0A">
    <w:pPr>
      <w:pStyle w:val="Header"/>
      <w:framePr w:wrap="around" w:vAnchor="text" w:hAnchor="margin" w:xAlign="center" w:y="1"/>
      <w:rPr>
        <w:rStyle w:val="PageNumber"/>
        <w:b w:val="0"/>
      </w:rPr>
    </w:pPr>
    <w:r w:rsidRPr="004E6646">
      <w:rPr>
        <w:rStyle w:val="PageNumber"/>
        <w:b w:val="0"/>
      </w:rPr>
      <w:fldChar w:fldCharType="begin"/>
    </w:r>
    <w:r w:rsidR="009E4A0A" w:rsidRPr="004E6646">
      <w:rPr>
        <w:rStyle w:val="PageNumber"/>
        <w:b w:val="0"/>
      </w:rPr>
      <w:instrText xml:space="preserve">PAGE  </w:instrText>
    </w:r>
    <w:r w:rsidRPr="004E6646">
      <w:rPr>
        <w:rStyle w:val="PageNumber"/>
        <w:b w:val="0"/>
      </w:rPr>
      <w:fldChar w:fldCharType="separate"/>
    </w:r>
    <w:r w:rsidR="00307EE7">
      <w:rPr>
        <w:rStyle w:val="PageNumber"/>
        <w:b w:val="0"/>
        <w:noProof/>
      </w:rPr>
      <w:t>2</w:t>
    </w:r>
    <w:r w:rsidRPr="004E6646">
      <w:rPr>
        <w:rStyle w:val="PageNumber"/>
        <w:b w:val="0"/>
      </w:rPr>
      <w:fldChar w:fldCharType="end"/>
    </w:r>
  </w:p>
  <w:p w14:paraId="29F6CFB7" w14:textId="77777777" w:rsidR="009E4A0A" w:rsidRDefault="009E4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541EBC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E5140F"/>
    <w:multiLevelType w:val="hybridMultilevel"/>
    <w:tmpl w:val="FC9EDE2C"/>
    <w:lvl w:ilvl="0" w:tplc="CEF62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4859"/>
    <w:multiLevelType w:val="hybridMultilevel"/>
    <w:tmpl w:val="92A08F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3AC4"/>
    <w:multiLevelType w:val="hybridMultilevel"/>
    <w:tmpl w:val="EF18FB88"/>
    <w:lvl w:ilvl="0" w:tplc="A09E460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70879"/>
    <w:multiLevelType w:val="hybridMultilevel"/>
    <w:tmpl w:val="F10636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23507"/>
    <w:multiLevelType w:val="hybridMultilevel"/>
    <w:tmpl w:val="1F2E96D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4B94"/>
    <w:multiLevelType w:val="hybridMultilevel"/>
    <w:tmpl w:val="3C8C473C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774A0"/>
    <w:multiLevelType w:val="hybridMultilevel"/>
    <w:tmpl w:val="04A81D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A202D"/>
    <w:multiLevelType w:val="hybridMultilevel"/>
    <w:tmpl w:val="027231C4"/>
    <w:lvl w:ilvl="0" w:tplc="A09E4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5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0F"/>
    <w:rsid w:val="001B4B4B"/>
    <w:rsid w:val="001E675F"/>
    <w:rsid w:val="001F5927"/>
    <w:rsid w:val="00202899"/>
    <w:rsid w:val="00220861"/>
    <w:rsid w:val="00305F3A"/>
    <w:rsid w:val="00307EE7"/>
    <w:rsid w:val="003143A1"/>
    <w:rsid w:val="00341654"/>
    <w:rsid w:val="00375DFE"/>
    <w:rsid w:val="003A7D26"/>
    <w:rsid w:val="003F0DE6"/>
    <w:rsid w:val="00405EE9"/>
    <w:rsid w:val="0043328F"/>
    <w:rsid w:val="004E6646"/>
    <w:rsid w:val="007B666F"/>
    <w:rsid w:val="00945B44"/>
    <w:rsid w:val="009E4A0A"/>
    <w:rsid w:val="00A8215C"/>
    <w:rsid w:val="00B50270"/>
    <w:rsid w:val="00BB68DD"/>
    <w:rsid w:val="00C47B73"/>
    <w:rsid w:val="00C70D06"/>
    <w:rsid w:val="00CC4495"/>
    <w:rsid w:val="00CF4FAF"/>
    <w:rsid w:val="00DE6F80"/>
    <w:rsid w:val="00E410DA"/>
    <w:rsid w:val="00E944E4"/>
    <w:rsid w:val="00EE7403"/>
    <w:rsid w:val="00F66D43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9F6C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A8215C"/>
    <w:pPr>
      <w:keepLines/>
      <w:pageBreakBefore/>
      <w:tabs>
        <w:tab w:val="num" w:pos="432"/>
      </w:tabs>
      <w:spacing w:after="275" w:line="550" w:lineRule="exact"/>
      <w:ind w:left="432" w:hanging="432"/>
      <w:jc w:val="center"/>
      <w:outlineLvl w:val="0"/>
    </w:pPr>
    <w:rPr>
      <w:rFonts w:cs="Arial"/>
      <w:b/>
      <w:spacing w:val="-4"/>
      <w:kern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8215C"/>
    <w:pPr>
      <w:keepNext/>
      <w:keepLines/>
      <w:spacing w:before="235" w:after="235" w:line="470" w:lineRule="exact"/>
      <w:outlineLvl w:val="1"/>
    </w:pPr>
    <w:rPr>
      <w:rFonts w:eastAsiaTheme="majorEastAsia" w:cs="Arial"/>
      <w:b/>
      <w:szCs w:val="28"/>
    </w:rPr>
  </w:style>
  <w:style w:type="paragraph" w:styleId="Heading3">
    <w:name w:val="heading 3"/>
    <w:basedOn w:val="Normal"/>
    <w:link w:val="Heading3Char"/>
    <w:uiPriority w:val="99"/>
    <w:qFormat/>
    <w:rsid w:val="00A8215C"/>
    <w:pPr>
      <w:keepNext/>
      <w:keepLines/>
      <w:widowControl w:val="0"/>
      <w:spacing w:before="155" w:after="155" w:line="310" w:lineRule="exact"/>
      <w:jc w:val="both"/>
      <w:outlineLvl w:val="2"/>
    </w:pPr>
    <w:rPr>
      <w:rFonts w:ascii="EYInterstate Light" w:eastAsia="MS Mincho" w:hAnsi="EYInterstate Light" w:cs="Arial"/>
      <w:b/>
      <w:bCs/>
      <w:iCs/>
      <w:color w:val="646464"/>
      <w:spacing w:val="-4"/>
      <w:kern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A8215C"/>
    <w:pPr>
      <w:keepNext/>
      <w:outlineLvl w:val="3"/>
    </w:pPr>
    <w:rPr>
      <w:rFonts w:ascii="Arial" w:hAnsi="Arial"/>
      <w:b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15C"/>
    <w:pPr>
      <w:keepNext/>
      <w:widowControl w:val="0"/>
      <w:jc w:val="both"/>
      <w:outlineLvl w:val="4"/>
    </w:pPr>
    <w:rPr>
      <w:rFonts w:ascii="EY Tagline" w:hAnsi="EY Tagline"/>
      <w:color w:val="FFFFFF"/>
      <w:sz w:val="9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15C"/>
    <w:pPr>
      <w:keepNext/>
      <w:widowControl w:val="0"/>
      <w:outlineLvl w:val="5"/>
    </w:pPr>
    <w:rPr>
      <w:rFonts w:ascii="EY Gothic Cond DemiPS" w:hAnsi="EY Gothic Cond DemiPS"/>
      <w:color w:val="FFFFFF"/>
      <w:sz w:val="1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15C"/>
    <w:pPr>
      <w:keepNext/>
      <w:spacing w:line="200" w:lineRule="atLeast"/>
      <w:outlineLvl w:val="6"/>
    </w:pPr>
    <w:rPr>
      <w:rFonts w:ascii="Optima" w:hAnsi="Optima"/>
      <w:b/>
      <w:bCs/>
      <w:noProof/>
      <w:color w:val="808080"/>
      <w:sz w:val="1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215C"/>
    <w:pPr>
      <w:keepNext/>
      <w:outlineLvl w:val="7"/>
    </w:pPr>
    <w:rPr>
      <w:rFonts w:ascii="EY Gothic Cond Demi" w:hAnsi="EY Gothic Cond Demi"/>
      <w:color w:val="4367C5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15C"/>
    <w:pPr>
      <w:numPr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215C"/>
    <w:rPr>
      <w:rFonts w:ascii="Times New Roman" w:eastAsia="Times New Roman" w:hAnsi="Times New Roman" w:cs="Arial"/>
      <w:b/>
      <w:spacing w:val="-4"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8215C"/>
    <w:rPr>
      <w:rFonts w:ascii="Times New Roman" w:eastAsiaTheme="majorEastAsia" w:hAnsi="Times New Roman" w:cs="Arial"/>
      <w:b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A8215C"/>
    <w:rPr>
      <w:rFonts w:ascii="EYInterstate Light" w:eastAsia="MS Mincho" w:hAnsi="EYInterstate Light" w:cs="Arial"/>
      <w:b/>
      <w:bCs/>
      <w:iCs/>
      <w:color w:val="646464"/>
      <w:spacing w:val="-4"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A8215C"/>
    <w:rPr>
      <w:rFonts w:ascii="Arial" w:eastAsia="Times New Roman" w:hAnsi="Arial"/>
      <w:b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A8215C"/>
    <w:rPr>
      <w:rFonts w:ascii="EY Tagline" w:eastAsia="Times New Roman" w:hAnsi="EY Tagline"/>
      <w:color w:val="FFFFFF"/>
      <w:sz w:val="92"/>
    </w:rPr>
  </w:style>
  <w:style w:type="character" w:customStyle="1" w:styleId="Heading6Char">
    <w:name w:val="Heading 6 Char"/>
    <w:basedOn w:val="DefaultParagraphFont"/>
    <w:link w:val="Heading6"/>
    <w:uiPriority w:val="99"/>
    <w:rsid w:val="00A8215C"/>
    <w:rPr>
      <w:rFonts w:ascii="EY Gothic Cond DemiPS" w:eastAsia="Times New Roman" w:hAnsi="EY Gothic Cond DemiPS"/>
      <w:color w:val="FFFFFF"/>
      <w:sz w:val="124"/>
    </w:rPr>
  </w:style>
  <w:style w:type="character" w:customStyle="1" w:styleId="Heading7Char">
    <w:name w:val="Heading 7 Char"/>
    <w:basedOn w:val="DefaultParagraphFont"/>
    <w:link w:val="Heading7"/>
    <w:uiPriority w:val="99"/>
    <w:rsid w:val="00A8215C"/>
    <w:rPr>
      <w:rFonts w:ascii="Optima" w:eastAsia="Times New Roman" w:hAnsi="Optima"/>
      <w:b/>
      <w:bCs/>
      <w:noProof/>
      <w:color w:val="808080"/>
      <w:sz w:val="14"/>
    </w:rPr>
  </w:style>
  <w:style w:type="character" w:customStyle="1" w:styleId="Heading8Char">
    <w:name w:val="Heading 8 Char"/>
    <w:basedOn w:val="DefaultParagraphFont"/>
    <w:link w:val="Heading8"/>
    <w:uiPriority w:val="99"/>
    <w:rsid w:val="00A8215C"/>
    <w:rPr>
      <w:rFonts w:ascii="EY Gothic Cond Demi" w:eastAsia="Times New Roman" w:hAnsi="EY Gothic Cond Demi"/>
      <w:color w:val="4367C5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A8215C"/>
    <w:rPr>
      <w:rFonts w:ascii="Cambria" w:eastAsia="Times New Roman" w:hAnsi="Cambria"/>
      <w:sz w:val="22"/>
      <w:szCs w:val="22"/>
    </w:rPr>
  </w:style>
  <w:style w:type="paragraph" w:styleId="Caption">
    <w:name w:val="caption"/>
    <w:aliases w:val="Heading2"/>
    <w:basedOn w:val="Normal"/>
    <w:next w:val="Normal"/>
    <w:link w:val="CaptionChar"/>
    <w:uiPriority w:val="99"/>
    <w:qFormat/>
    <w:rsid w:val="00A8215C"/>
    <w:rPr>
      <w:b/>
      <w:bCs/>
    </w:rPr>
  </w:style>
  <w:style w:type="character" w:customStyle="1" w:styleId="CaptionChar">
    <w:name w:val="Caption Char"/>
    <w:aliases w:val="Heading2 Char"/>
    <w:basedOn w:val="DefaultParagraphFont"/>
    <w:link w:val="Caption"/>
    <w:uiPriority w:val="99"/>
    <w:locked/>
    <w:rsid w:val="00A8215C"/>
    <w:rPr>
      <w:rFonts w:ascii="Times New Roman" w:hAnsi="Times New Roman"/>
      <w:b/>
      <w:bCs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8215C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8215C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A8215C"/>
    <w:pPr>
      <w:outlineLvl w:val="1"/>
    </w:pPr>
    <w:rPr>
      <w:rFonts w:ascii="Arial" w:hAnsi="Arial" w:cs="Arial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rsid w:val="00A8215C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8215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215C"/>
    <w:rPr>
      <w:rFonts w:ascii="EYInterstate Light" w:eastAsia="MS Mincho" w:hAnsi="EYInterstate Light" w:cs="Arial"/>
      <w:bCs/>
      <w:iCs/>
      <w:sz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8215C"/>
    <w:pPr>
      <w:spacing w:after="120"/>
      <w:ind w:left="720"/>
      <w:contextualSpacing/>
      <w:jc w:val="both"/>
    </w:pPr>
    <w:rPr>
      <w:rFonts w:ascii="Calibri" w:hAnsi="Calibri"/>
      <w:szCs w:val="22"/>
    </w:rPr>
  </w:style>
  <w:style w:type="character" w:styleId="SubtleEmphasis">
    <w:name w:val="Subtle Emphasis"/>
    <w:basedOn w:val="DefaultParagraphFont"/>
    <w:uiPriority w:val="99"/>
    <w:qFormat/>
    <w:rsid w:val="00A8215C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A8215C"/>
    <w:pPr>
      <w:keepNext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bCs/>
      <w:color w:val="365F91"/>
      <w:spacing w:val="0"/>
      <w:kern w:val="0"/>
      <w:sz w:val="28"/>
      <w:szCs w:val="28"/>
    </w:rPr>
  </w:style>
  <w:style w:type="paragraph" w:styleId="FootnoteText">
    <w:name w:val="footnote text"/>
    <w:aliases w:val="Footnote,Fußnote"/>
    <w:basedOn w:val="Normal"/>
    <w:link w:val="FootnoteTextChar"/>
    <w:semiHidden/>
    <w:rsid w:val="00FD6A0F"/>
    <w:rPr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FD6A0F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 Reference Number"/>
    <w:basedOn w:val="DefaultParagraphFont"/>
    <w:semiHidden/>
    <w:rsid w:val="00FD6A0F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FD6A0F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rsid w:val="00FD6A0F"/>
    <w:rPr>
      <w:rFonts w:ascii="Times New Roman" w:eastAsia="Times New Roman" w:hAnsi="Times New Roman"/>
      <w:b/>
      <w:sz w:val="24"/>
      <w:szCs w:val="24"/>
    </w:rPr>
  </w:style>
  <w:style w:type="character" w:styleId="PageNumber">
    <w:name w:val="page number"/>
    <w:basedOn w:val="DefaultParagraphFont"/>
    <w:rsid w:val="00FD6A0F"/>
  </w:style>
  <w:style w:type="paragraph" w:styleId="BodyText">
    <w:name w:val="Body Text"/>
    <w:basedOn w:val="Normal"/>
    <w:link w:val="BodyTextChar"/>
    <w:rsid w:val="00FD6A0F"/>
    <w:pPr>
      <w:spacing w:after="120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FD6A0F"/>
    <w:rPr>
      <w:rFonts w:ascii="Times New Roman" w:eastAsia="Times New Roman" w:hAnsi="Times New Roman"/>
      <w:b/>
      <w:sz w:val="32"/>
      <w:szCs w:val="24"/>
    </w:rPr>
  </w:style>
  <w:style w:type="paragraph" w:styleId="NormalWeb">
    <w:name w:val="Normal (Web)"/>
    <w:basedOn w:val="Normal"/>
    <w:rsid w:val="00FD6A0F"/>
    <w:pPr>
      <w:spacing w:before="100" w:after="100"/>
      <w:ind w:firstLine="500"/>
      <w:jc w:val="both"/>
    </w:pPr>
  </w:style>
  <w:style w:type="paragraph" w:customStyle="1" w:styleId="Default">
    <w:name w:val="Default"/>
    <w:rsid w:val="00FD6A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D6A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6A0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Medvecka</dc:creator>
  <cp:keywords/>
  <dc:description/>
  <cp:lastModifiedBy>Inese Lismane</cp:lastModifiedBy>
  <cp:revision>21</cp:revision>
  <cp:lastPrinted>2013-01-28T15:30:00Z</cp:lastPrinted>
  <dcterms:created xsi:type="dcterms:W3CDTF">2013-01-11T12:54:00Z</dcterms:created>
  <dcterms:modified xsi:type="dcterms:W3CDTF">2013-01-28T15:32:00Z</dcterms:modified>
</cp:coreProperties>
</file>