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E" w:rsidRDefault="00931D8E" w:rsidP="00931D8E">
      <w:pPr>
        <w:spacing w:after="0"/>
        <w:rPr>
          <w:rFonts w:ascii="Times New Roman" w:hAnsi="Times New Roman"/>
          <w:b/>
          <w:sz w:val="36"/>
          <w:szCs w:val="36"/>
        </w:rPr>
      </w:pPr>
      <w:bookmarkStart w:id="0" w:name="_GoBack"/>
      <w:bookmarkEnd w:id="0"/>
    </w:p>
    <w:p w:rsidR="00931D8E" w:rsidRDefault="00931D8E" w:rsidP="00931D8E">
      <w:pPr>
        <w:spacing w:after="0"/>
        <w:rPr>
          <w:rFonts w:ascii="Times New Roman" w:hAnsi="Times New Roman"/>
          <w:b/>
          <w:sz w:val="36"/>
          <w:szCs w:val="36"/>
        </w:rPr>
      </w:pPr>
    </w:p>
    <w:p w:rsidR="00931D8E" w:rsidRDefault="00931D8E" w:rsidP="00931D8E">
      <w:pPr>
        <w:spacing w:after="0"/>
        <w:rPr>
          <w:rFonts w:ascii="Times New Roman" w:hAnsi="Times New Roman"/>
          <w:b/>
          <w:sz w:val="36"/>
          <w:szCs w:val="36"/>
        </w:rPr>
      </w:pPr>
    </w:p>
    <w:p w:rsidR="00931D8E" w:rsidRDefault="00931D8E" w:rsidP="00931D8E">
      <w:pPr>
        <w:spacing w:after="0"/>
        <w:rPr>
          <w:rFonts w:ascii="Times New Roman" w:hAnsi="Times New Roman"/>
          <w:b/>
          <w:sz w:val="36"/>
          <w:szCs w:val="36"/>
        </w:rPr>
      </w:pPr>
    </w:p>
    <w:p w:rsidR="00931D8E" w:rsidRDefault="00931D8E" w:rsidP="00931D8E">
      <w:pPr>
        <w:spacing w:after="0"/>
        <w:jc w:val="center"/>
        <w:rPr>
          <w:rFonts w:ascii="Times New Roman" w:hAnsi="Times New Roman"/>
          <w:b/>
          <w:sz w:val="36"/>
          <w:szCs w:val="36"/>
        </w:rPr>
      </w:pPr>
    </w:p>
    <w:p w:rsidR="00931D8E" w:rsidRDefault="00931D8E" w:rsidP="00931D8E">
      <w:pPr>
        <w:spacing w:after="0"/>
        <w:jc w:val="center"/>
        <w:rPr>
          <w:rFonts w:ascii="Times New Roman" w:hAnsi="Times New Roman"/>
          <w:b/>
          <w:sz w:val="36"/>
          <w:szCs w:val="36"/>
        </w:rPr>
      </w:pPr>
    </w:p>
    <w:p w:rsidR="00931D8E" w:rsidRDefault="00931D8E" w:rsidP="00931D8E">
      <w:pPr>
        <w:spacing w:after="0"/>
        <w:jc w:val="center"/>
        <w:rPr>
          <w:rFonts w:ascii="Times New Roman" w:hAnsi="Times New Roman"/>
          <w:b/>
          <w:sz w:val="36"/>
          <w:szCs w:val="36"/>
        </w:rPr>
      </w:pPr>
    </w:p>
    <w:p w:rsidR="00931D8E" w:rsidRPr="00931D8E" w:rsidRDefault="00931D8E" w:rsidP="00931D8E">
      <w:pPr>
        <w:spacing w:after="0"/>
        <w:jc w:val="center"/>
        <w:rPr>
          <w:rFonts w:ascii="Times New Roman" w:hAnsi="Times New Roman"/>
          <w:b/>
          <w:sz w:val="36"/>
          <w:szCs w:val="36"/>
        </w:rPr>
      </w:pPr>
      <w:r w:rsidRPr="00931D8E">
        <w:rPr>
          <w:rFonts w:ascii="Times New Roman" w:hAnsi="Times New Roman"/>
          <w:b/>
          <w:sz w:val="36"/>
          <w:szCs w:val="36"/>
        </w:rPr>
        <w:t>Ministru prezidenta Valda Dombrovska</w:t>
      </w:r>
    </w:p>
    <w:p w:rsidR="00931D8E" w:rsidRPr="00931D8E" w:rsidRDefault="00931D8E" w:rsidP="00931D8E">
      <w:pPr>
        <w:spacing w:after="0"/>
        <w:jc w:val="center"/>
        <w:rPr>
          <w:rFonts w:ascii="Times New Roman" w:hAnsi="Times New Roman"/>
          <w:b/>
          <w:sz w:val="36"/>
          <w:szCs w:val="36"/>
        </w:rPr>
      </w:pPr>
      <w:r w:rsidRPr="00931D8E">
        <w:rPr>
          <w:rFonts w:ascii="Times New Roman" w:hAnsi="Times New Roman"/>
          <w:b/>
          <w:sz w:val="36"/>
          <w:szCs w:val="36"/>
        </w:rPr>
        <w:t xml:space="preserve">ikgadējais ziņojums Saeimai </w:t>
      </w:r>
    </w:p>
    <w:p w:rsidR="00931D8E" w:rsidRPr="00931D8E" w:rsidRDefault="00931D8E" w:rsidP="00931D8E">
      <w:pPr>
        <w:spacing w:after="0"/>
        <w:jc w:val="center"/>
        <w:rPr>
          <w:rFonts w:ascii="Times New Roman" w:hAnsi="Times New Roman"/>
          <w:b/>
          <w:sz w:val="36"/>
          <w:szCs w:val="36"/>
        </w:rPr>
      </w:pPr>
      <w:r w:rsidRPr="00931D8E">
        <w:rPr>
          <w:rFonts w:ascii="Times New Roman" w:hAnsi="Times New Roman"/>
          <w:b/>
          <w:sz w:val="36"/>
          <w:szCs w:val="36"/>
        </w:rPr>
        <w:t>par Ministru kabineta paveikto un iecerēto darbību</w:t>
      </w:r>
    </w:p>
    <w:p w:rsidR="00931D8E" w:rsidRPr="002658A4" w:rsidRDefault="00931D8E" w:rsidP="00871110">
      <w:pPr>
        <w:pStyle w:val="Heading1"/>
      </w:pPr>
    </w:p>
    <w:p w:rsidR="00931D8E" w:rsidRPr="002658A4" w:rsidRDefault="00931D8E" w:rsidP="00871110">
      <w:pPr>
        <w:pStyle w:val="Heading1"/>
      </w:pPr>
    </w:p>
    <w:p w:rsidR="00931D8E" w:rsidRPr="002658A4" w:rsidRDefault="00931D8E" w:rsidP="00871110">
      <w:pPr>
        <w:pStyle w:val="Heading1"/>
      </w:pPr>
    </w:p>
    <w:p w:rsidR="00931D8E" w:rsidRPr="002658A4" w:rsidRDefault="00931D8E" w:rsidP="00871110">
      <w:pPr>
        <w:pStyle w:val="Heading1"/>
      </w:pPr>
    </w:p>
    <w:p w:rsidR="00931D8E" w:rsidRPr="002658A4" w:rsidRDefault="00931D8E" w:rsidP="00871110">
      <w:pPr>
        <w:pStyle w:val="Heading1"/>
      </w:pPr>
    </w:p>
    <w:p w:rsidR="00931D8E" w:rsidRPr="002658A4" w:rsidRDefault="00931D8E" w:rsidP="00871110">
      <w:pPr>
        <w:pStyle w:val="Heading1"/>
      </w:pPr>
    </w:p>
    <w:p w:rsidR="00931D8E" w:rsidRPr="002658A4" w:rsidRDefault="00931D8E" w:rsidP="00871110">
      <w:pPr>
        <w:pStyle w:val="Heading1"/>
      </w:pPr>
    </w:p>
    <w:p w:rsidR="00931D8E" w:rsidRDefault="00931D8E" w:rsidP="00931D8E">
      <w:pPr>
        <w:rPr>
          <w:rFonts w:ascii="Times New Roman" w:hAnsi="Times New Roman"/>
          <w:b/>
          <w:sz w:val="28"/>
          <w:szCs w:val="28"/>
        </w:rPr>
      </w:pPr>
    </w:p>
    <w:p w:rsidR="00931D8E" w:rsidRDefault="00931D8E" w:rsidP="00931D8E">
      <w:pPr>
        <w:jc w:val="center"/>
        <w:rPr>
          <w:rFonts w:ascii="Times New Roman" w:hAnsi="Times New Roman"/>
          <w:b/>
          <w:sz w:val="28"/>
          <w:szCs w:val="28"/>
        </w:rPr>
      </w:pPr>
    </w:p>
    <w:p w:rsidR="00931D8E" w:rsidRDefault="00931D8E" w:rsidP="00931D8E">
      <w:pPr>
        <w:rPr>
          <w:rFonts w:ascii="Times New Roman" w:hAnsi="Times New Roman"/>
          <w:b/>
          <w:sz w:val="28"/>
          <w:szCs w:val="28"/>
        </w:rPr>
      </w:pPr>
    </w:p>
    <w:p w:rsidR="00931D8E" w:rsidRDefault="00931D8E" w:rsidP="00931D8E">
      <w:pPr>
        <w:rPr>
          <w:rFonts w:ascii="Times New Roman" w:hAnsi="Times New Roman"/>
          <w:b/>
          <w:sz w:val="28"/>
          <w:szCs w:val="28"/>
        </w:rPr>
      </w:pPr>
    </w:p>
    <w:p w:rsidR="00931D8E" w:rsidRPr="002658A4" w:rsidRDefault="00931D8E" w:rsidP="00931D8E">
      <w:pPr>
        <w:jc w:val="center"/>
      </w:pPr>
      <w:r w:rsidRPr="002658A4">
        <w:rPr>
          <w:rFonts w:ascii="Times New Roman" w:hAnsi="Times New Roman"/>
          <w:b/>
          <w:sz w:val="28"/>
          <w:szCs w:val="28"/>
        </w:rPr>
        <w:t>Rīga, 201</w:t>
      </w:r>
      <w:r>
        <w:rPr>
          <w:rFonts w:ascii="Times New Roman" w:hAnsi="Times New Roman"/>
          <w:b/>
          <w:sz w:val="28"/>
          <w:szCs w:val="28"/>
        </w:rPr>
        <w:t>3</w:t>
      </w:r>
    </w:p>
    <w:p w:rsidR="00931D8E" w:rsidRDefault="00931D8E" w:rsidP="00931D8E">
      <w:pPr>
        <w:rPr>
          <w:rFonts w:ascii="Times New Roman" w:eastAsia="Calibri" w:hAnsi="Times New Roman" w:cs="Times New Roman"/>
          <w:b/>
          <w:bCs/>
          <w:kern w:val="36"/>
          <w:sz w:val="32"/>
          <w:szCs w:val="24"/>
        </w:rPr>
      </w:pPr>
    </w:p>
    <w:p w:rsidR="00FB637A" w:rsidRPr="005D2287" w:rsidRDefault="00FB637A" w:rsidP="005D2287">
      <w:pPr>
        <w:spacing w:after="0" w:line="240" w:lineRule="auto"/>
        <w:jc w:val="center"/>
        <w:rPr>
          <w:rFonts w:ascii="Times New Roman" w:hAnsi="Times New Roman"/>
          <w:b/>
          <w:sz w:val="28"/>
          <w:szCs w:val="28"/>
        </w:rPr>
      </w:pPr>
      <w:r w:rsidRPr="005D2287">
        <w:rPr>
          <w:rFonts w:ascii="Times New Roman" w:hAnsi="Times New Roman"/>
          <w:b/>
          <w:sz w:val="28"/>
          <w:szCs w:val="28"/>
        </w:rPr>
        <w:lastRenderedPageBreak/>
        <w:t>Ministru prezidenta priekšvārds</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p>
    <w:p w:rsidR="00FB637A" w:rsidRDefault="00FB637A" w:rsidP="005D2287">
      <w:pPr>
        <w:spacing w:after="0" w:line="240" w:lineRule="auto"/>
        <w:jc w:val="both"/>
        <w:rPr>
          <w:rFonts w:ascii="Times New Roman" w:hAnsi="Times New Roman"/>
          <w:sz w:val="28"/>
          <w:szCs w:val="28"/>
        </w:rPr>
      </w:pPr>
      <w:r>
        <w:rPr>
          <w:rFonts w:ascii="Times New Roman" w:hAnsi="Times New Roman"/>
          <w:sz w:val="28"/>
          <w:szCs w:val="28"/>
        </w:rPr>
        <w:t>Cienījamie deputāti!</w:t>
      </w:r>
    </w:p>
    <w:p w:rsidR="00FB637A" w:rsidRDefault="00FB637A" w:rsidP="005D2287">
      <w:pPr>
        <w:spacing w:after="0" w:line="240" w:lineRule="auto"/>
        <w:jc w:val="both"/>
        <w:rPr>
          <w:rFonts w:ascii="Times New Roman" w:hAnsi="Times New Roman"/>
          <w:sz w:val="28"/>
          <w:szCs w:val="28"/>
        </w:rPr>
      </w:pPr>
    </w:p>
    <w:p w:rsidR="00FB637A" w:rsidRDefault="00FB637A" w:rsidP="005D2287">
      <w:pPr>
        <w:spacing w:after="0" w:line="240" w:lineRule="auto"/>
        <w:jc w:val="both"/>
        <w:rPr>
          <w:rFonts w:ascii="Times New Roman" w:hAnsi="Times New Roman"/>
          <w:sz w:val="28"/>
          <w:szCs w:val="28"/>
        </w:rPr>
      </w:pPr>
      <w:r>
        <w:rPr>
          <w:rFonts w:ascii="Times New Roman" w:hAnsi="Times New Roman"/>
          <w:sz w:val="28"/>
          <w:szCs w:val="28"/>
        </w:rPr>
        <w:t>Jūsu vērtējumam tiek nodots kārtējais, nu jau ceturtais, manis vadītās valdības darba pārskats par pagājušo gadu.</w:t>
      </w:r>
    </w:p>
    <w:p w:rsidR="00FB637A" w:rsidRDefault="00FB637A" w:rsidP="005D2287">
      <w:pPr>
        <w:spacing w:after="0" w:line="240" w:lineRule="auto"/>
        <w:jc w:val="both"/>
        <w:rPr>
          <w:rFonts w:ascii="Times New Roman" w:hAnsi="Times New Roman"/>
          <w:sz w:val="28"/>
          <w:szCs w:val="28"/>
        </w:rPr>
      </w:pPr>
    </w:p>
    <w:p w:rsidR="00FB637A"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Iepriekšējais gads ir bijis dinamisks</w:t>
      </w:r>
      <w:r>
        <w:rPr>
          <w:rFonts w:ascii="Times New Roman" w:hAnsi="Times New Roman"/>
          <w:sz w:val="28"/>
          <w:szCs w:val="28"/>
        </w:rPr>
        <w:t xml:space="preserve"> un</w:t>
      </w:r>
      <w:r w:rsidRPr="005D2287">
        <w:rPr>
          <w:rFonts w:ascii="Times New Roman" w:hAnsi="Times New Roman"/>
          <w:sz w:val="28"/>
          <w:szCs w:val="28"/>
        </w:rPr>
        <w:t xml:space="preserve"> </w:t>
      </w:r>
      <w:r>
        <w:rPr>
          <w:rFonts w:ascii="Times New Roman" w:hAnsi="Times New Roman"/>
          <w:sz w:val="28"/>
          <w:szCs w:val="28"/>
        </w:rPr>
        <w:t xml:space="preserve">izaicinājumiem </w:t>
      </w:r>
      <w:r w:rsidRPr="005D2287">
        <w:rPr>
          <w:rFonts w:ascii="Times New Roman" w:hAnsi="Times New Roman"/>
          <w:sz w:val="28"/>
          <w:szCs w:val="28"/>
        </w:rPr>
        <w:t>bagāts</w:t>
      </w:r>
      <w:r>
        <w:rPr>
          <w:rFonts w:ascii="Times New Roman" w:hAnsi="Times New Roman"/>
          <w:sz w:val="28"/>
          <w:szCs w:val="28"/>
        </w:rPr>
        <w:t>. Šis ir bijis gads, kad valdība aktīvi strādājusi pie valsts stabilitātei un attīstībai svarīgām tēmām, tādām kā Nacionālais attīstības plāns, Fiskālās disciplīnas likums, gatavošanās eiro ieviešanai. Starp prioritātēm ir jāizceļ valsts demogrāfiskās situācijas risināšana, sabiedrības saliedētības veicināšana un reģionu attīstība, kur īpaši jāuzsver valdības plāns Latgalei.</w:t>
      </w:r>
      <w:r w:rsidRPr="005D2287">
        <w:rPr>
          <w:rFonts w:ascii="Times New Roman" w:hAnsi="Times New Roman"/>
          <w:sz w:val="28"/>
          <w:szCs w:val="28"/>
        </w:rPr>
        <w:t xml:space="preserve"> </w:t>
      </w:r>
    </w:p>
    <w:p w:rsidR="00FB637A"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Šobrīd ir vērojamas pozitīvas valsts ekonomiskās izaugsmes tendences, paaugstinās valsts konkurētspēja un labklājība, kā arī ir pieaugusi pārliecība un apziņa par turpmāku labvēlīgu valsts attīstību un iespējām sasniegt nacionālos izaugsmes un attīstības mērķus.</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Atskatoties uz valdības veikumu, varu secināt, ka ieguldītais darbs, izdarītās izvēles un iepriekš pieņemtie lēmumi ir ļāvuši Latvijai kļūt šobrīd par visstraujāk augošo valsti Eiropā. Nenoliedzami visas šīs pārmaiņas nebūtu iespējamas bez sabiedrības līdzdalības un atbalsta valdības izvēlēt</w:t>
      </w:r>
      <w:r>
        <w:rPr>
          <w:rFonts w:ascii="Times New Roman" w:hAnsi="Times New Roman"/>
          <w:sz w:val="28"/>
          <w:szCs w:val="28"/>
        </w:rPr>
        <w:t>a</w:t>
      </w:r>
      <w:r w:rsidRPr="005D2287">
        <w:rPr>
          <w:rFonts w:ascii="Times New Roman" w:hAnsi="Times New Roman"/>
          <w:sz w:val="28"/>
          <w:szCs w:val="28"/>
        </w:rPr>
        <w:t>jiem rīcības virzieniem un prioritātēm.</w:t>
      </w:r>
      <w:r>
        <w:rPr>
          <w:rFonts w:ascii="Times New Roman" w:hAnsi="Times New Roman"/>
          <w:sz w:val="28"/>
          <w:szCs w:val="28"/>
        </w:rPr>
        <w:t xml:space="preserve"> Īpaši vēlos atzīmēt valdības sociālo partneru nopelnus mērķu sasniegšanā. Reformu vadības grupas un Nacionālās trīspusējās sadarbības padomes dalībnieku ieguldījums valstij būtisku lēmumu izstrādē un atbalsts valdības iecerēm ir ļāvis uzlabojumus veikt straujāk un kvalitatīvāk.</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2012.gadā Latvija ir spērusi pārliecinošu soli stabilas valsts ekonomiskās izaugsmes virzienā, ko skaidri pierāda valsts makroekonomiskie rādītāji un turpmākās attīstības tendences un perspektīvas. </w:t>
      </w:r>
      <w:r>
        <w:rPr>
          <w:rFonts w:ascii="Times New Roman" w:hAnsi="Times New Roman"/>
          <w:sz w:val="28"/>
          <w:szCs w:val="28"/>
        </w:rPr>
        <w:t xml:space="preserve">Pēc provizoriskā novērtējuma, </w:t>
      </w:r>
      <w:r w:rsidRPr="005D2287">
        <w:rPr>
          <w:rFonts w:ascii="Times New Roman" w:hAnsi="Times New Roman"/>
          <w:sz w:val="28"/>
          <w:szCs w:val="28"/>
        </w:rPr>
        <w:t>2012.gad</w:t>
      </w:r>
      <w:r>
        <w:rPr>
          <w:rFonts w:ascii="Times New Roman" w:hAnsi="Times New Roman"/>
          <w:sz w:val="28"/>
          <w:szCs w:val="28"/>
        </w:rPr>
        <w:t>ā</w:t>
      </w:r>
      <w:r w:rsidRPr="005D2287">
        <w:rPr>
          <w:rFonts w:ascii="Times New Roman" w:hAnsi="Times New Roman"/>
          <w:sz w:val="28"/>
          <w:szCs w:val="28"/>
        </w:rPr>
        <w:t xml:space="preserve"> </w:t>
      </w:r>
      <w:r>
        <w:rPr>
          <w:rFonts w:ascii="Times New Roman" w:hAnsi="Times New Roman"/>
          <w:sz w:val="28"/>
          <w:szCs w:val="28"/>
        </w:rPr>
        <w:t xml:space="preserve">IKP pieaudzis </w:t>
      </w:r>
      <w:r w:rsidRPr="005D2287">
        <w:rPr>
          <w:rFonts w:ascii="Times New Roman" w:hAnsi="Times New Roman"/>
          <w:sz w:val="28"/>
          <w:szCs w:val="28"/>
        </w:rPr>
        <w:t>par 5,</w:t>
      </w:r>
      <w:r>
        <w:rPr>
          <w:rFonts w:ascii="Times New Roman" w:hAnsi="Times New Roman"/>
          <w:sz w:val="28"/>
          <w:szCs w:val="28"/>
        </w:rPr>
        <w:t>5%. Laikā, kad eirozon</w:t>
      </w:r>
      <w:r w:rsidRPr="005D2287">
        <w:rPr>
          <w:rFonts w:ascii="Times New Roman" w:hAnsi="Times New Roman"/>
          <w:sz w:val="28"/>
          <w:szCs w:val="28"/>
        </w:rPr>
        <w:t>as un Eiropas Savienības izaugsmes prognozes tika vērtētas piesardzīgi, Latvijas izaugsmes prognozes</w:t>
      </w:r>
      <w:r>
        <w:rPr>
          <w:rFonts w:ascii="Times New Roman" w:hAnsi="Times New Roman"/>
          <w:sz w:val="28"/>
          <w:szCs w:val="28"/>
        </w:rPr>
        <w:t xml:space="preserve"> </w:t>
      </w:r>
      <w:r w:rsidRPr="005D2287">
        <w:rPr>
          <w:rFonts w:ascii="Times New Roman" w:hAnsi="Times New Roman"/>
          <w:sz w:val="28"/>
          <w:szCs w:val="28"/>
        </w:rPr>
        <w:t xml:space="preserve">– tieši pretēji – palielinājās, un plānots, ka jau 2013.gadā IKP faktiskajās cenās sasniegs pirmskrīzes līmeni.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Izaugsmi 2012.gad</w:t>
      </w:r>
      <w:r>
        <w:rPr>
          <w:rFonts w:ascii="Times New Roman" w:hAnsi="Times New Roman"/>
          <w:sz w:val="28"/>
          <w:szCs w:val="28"/>
        </w:rPr>
        <w:t>ā galvenokārt</w:t>
      </w:r>
      <w:r w:rsidRPr="005D2287">
        <w:rPr>
          <w:rFonts w:ascii="Times New Roman" w:hAnsi="Times New Roman"/>
          <w:sz w:val="28"/>
          <w:szCs w:val="28"/>
        </w:rPr>
        <w:t xml:space="preserve"> nodrošināja tirdzniecība</w:t>
      </w:r>
      <w:r>
        <w:rPr>
          <w:rFonts w:ascii="Times New Roman" w:hAnsi="Times New Roman"/>
          <w:sz w:val="28"/>
          <w:szCs w:val="28"/>
        </w:rPr>
        <w:t>s</w:t>
      </w:r>
      <w:r w:rsidRPr="005D2287">
        <w:rPr>
          <w:rFonts w:ascii="Times New Roman" w:hAnsi="Times New Roman"/>
          <w:sz w:val="28"/>
          <w:szCs w:val="28"/>
        </w:rPr>
        <w:t>, apstrādes rūpniecība</w:t>
      </w:r>
      <w:r>
        <w:rPr>
          <w:rFonts w:ascii="Times New Roman" w:hAnsi="Times New Roman"/>
          <w:sz w:val="28"/>
          <w:szCs w:val="28"/>
        </w:rPr>
        <w:t>s</w:t>
      </w:r>
      <w:r w:rsidRPr="005D2287">
        <w:rPr>
          <w:rFonts w:ascii="Times New Roman" w:hAnsi="Times New Roman"/>
          <w:sz w:val="28"/>
          <w:szCs w:val="28"/>
        </w:rPr>
        <w:t>, būvniecība</w:t>
      </w:r>
      <w:r>
        <w:rPr>
          <w:rFonts w:ascii="Times New Roman" w:hAnsi="Times New Roman"/>
          <w:sz w:val="28"/>
          <w:szCs w:val="28"/>
        </w:rPr>
        <w:t>s</w:t>
      </w:r>
      <w:r w:rsidRPr="005D2287">
        <w:rPr>
          <w:rFonts w:ascii="Times New Roman" w:hAnsi="Times New Roman"/>
          <w:sz w:val="28"/>
          <w:szCs w:val="28"/>
        </w:rPr>
        <w:t xml:space="preserve"> un transport</w:t>
      </w:r>
      <w:r>
        <w:rPr>
          <w:rFonts w:ascii="Times New Roman" w:hAnsi="Times New Roman"/>
          <w:sz w:val="28"/>
          <w:szCs w:val="28"/>
        </w:rPr>
        <w:t>a nozaru labais sniegums</w:t>
      </w:r>
      <w:r w:rsidRPr="005D2287">
        <w:rPr>
          <w:rFonts w:ascii="Times New Roman" w:hAnsi="Times New Roman"/>
          <w:sz w:val="28"/>
          <w:szCs w:val="28"/>
        </w:rPr>
        <w:t xml:space="preserve">. </w:t>
      </w:r>
      <w:r>
        <w:rPr>
          <w:rFonts w:ascii="Times New Roman" w:hAnsi="Times New Roman"/>
          <w:sz w:val="28"/>
          <w:szCs w:val="28"/>
        </w:rPr>
        <w:t xml:space="preserve">Īpaši vēlos </w:t>
      </w:r>
      <w:r>
        <w:rPr>
          <w:rFonts w:ascii="Times New Roman" w:hAnsi="Times New Roman"/>
          <w:sz w:val="28"/>
          <w:szCs w:val="28"/>
        </w:rPr>
        <w:lastRenderedPageBreak/>
        <w:t>atzīmēt apstrādes rūpniecības stabili labo sniegumu – 2012. gadā apstrādes rūpniecības izlaides apjomi auguši par 9,3%. Nozarei augot straujāk nekā ekonomikai kopumā, valsts ekonomikas struktūra turpina mainīties pozitīvā virzienā. Arvien lielāku lomu ieņem eksportspējīgās nozares.</w:t>
      </w: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Svarīgi atzīmēt, ka 2012.gadā eksporta </w:t>
      </w:r>
      <w:r>
        <w:rPr>
          <w:rFonts w:ascii="Times New Roman" w:hAnsi="Times New Roman"/>
          <w:sz w:val="28"/>
          <w:szCs w:val="28"/>
        </w:rPr>
        <w:t>apgrozījums</w:t>
      </w:r>
      <w:r w:rsidRPr="005D2287">
        <w:rPr>
          <w:rFonts w:ascii="Times New Roman" w:hAnsi="Times New Roman"/>
          <w:sz w:val="28"/>
          <w:szCs w:val="28"/>
        </w:rPr>
        <w:t xml:space="preserve"> turpināja palielināties un</w:t>
      </w:r>
      <w:r>
        <w:rPr>
          <w:rFonts w:ascii="Times New Roman" w:hAnsi="Times New Roman"/>
          <w:sz w:val="28"/>
          <w:szCs w:val="28"/>
        </w:rPr>
        <w:t>, sasniedzot  jaunu rekordu, gadu noslēdza ar 15% izaugsmi.</w:t>
      </w:r>
      <w:r w:rsidRPr="005D2287">
        <w:rPr>
          <w:rFonts w:ascii="Times New Roman" w:hAnsi="Times New Roman"/>
          <w:sz w:val="28"/>
          <w:szCs w:val="28"/>
        </w:rPr>
        <w:t xml:space="preserve"> Ņemot vērā ekonomisko situāciju </w:t>
      </w:r>
      <w:r>
        <w:rPr>
          <w:rFonts w:ascii="Times New Roman" w:hAnsi="Times New Roman"/>
          <w:sz w:val="28"/>
          <w:szCs w:val="28"/>
        </w:rPr>
        <w:t>eirozon</w:t>
      </w:r>
      <w:r w:rsidRPr="005D2287">
        <w:rPr>
          <w:rFonts w:ascii="Times New Roman" w:hAnsi="Times New Roman"/>
          <w:sz w:val="28"/>
          <w:szCs w:val="28"/>
        </w:rPr>
        <w:t>ā, šāds sniegums un apjoma pieaugums ir vērtējams kā ļoti pozitīvs.</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Vispārējās valdības budžeta deficīts, kas </w:t>
      </w:r>
      <w:r>
        <w:rPr>
          <w:rFonts w:ascii="Times New Roman" w:hAnsi="Times New Roman"/>
          <w:sz w:val="28"/>
          <w:szCs w:val="28"/>
        </w:rPr>
        <w:t xml:space="preserve">vēl </w:t>
      </w:r>
      <w:r w:rsidRPr="005D2287">
        <w:rPr>
          <w:rFonts w:ascii="Times New Roman" w:hAnsi="Times New Roman"/>
          <w:sz w:val="28"/>
          <w:szCs w:val="28"/>
        </w:rPr>
        <w:t xml:space="preserve">2009.gadā </w:t>
      </w:r>
      <w:r>
        <w:rPr>
          <w:rFonts w:ascii="Times New Roman" w:hAnsi="Times New Roman"/>
          <w:sz w:val="28"/>
          <w:szCs w:val="28"/>
        </w:rPr>
        <w:t>bija</w:t>
      </w:r>
      <w:r w:rsidRPr="005D2287">
        <w:rPr>
          <w:rFonts w:ascii="Times New Roman" w:hAnsi="Times New Roman"/>
          <w:sz w:val="28"/>
          <w:szCs w:val="28"/>
        </w:rPr>
        <w:t xml:space="preserve"> 9,8% no IKP, pēc Finanšu ministrijas novērtējuma, 2012.gadā bija 1,5% no IKP. Vēlos norādīt, ka sākotnēji noteiktais deficīta mērķis bija 2,5% no IKP un sasniegtais rezultāts ir labāks par iepriekš plānoto, pateicoties tautsaimniecības izaugsmes tempiem un sekmīgai nodokļu ieņēmumu izpildei. 2013.gadā tiek </w:t>
      </w:r>
      <w:r>
        <w:rPr>
          <w:rFonts w:ascii="Times New Roman" w:hAnsi="Times New Roman"/>
          <w:sz w:val="28"/>
          <w:szCs w:val="28"/>
        </w:rPr>
        <w:t>plānots</w:t>
      </w:r>
      <w:r w:rsidRPr="005D2287">
        <w:rPr>
          <w:rFonts w:ascii="Times New Roman" w:hAnsi="Times New Roman"/>
          <w:sz w:val="28"/>
          <w:szCs w:val="28"/>
        </w:rPr>
        <w:t>, ka vispārējās valdības budžeta deficīts būs tikai 1,4% no IKP.</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A0520C">
      <w:pPr>
        <w:spacing w:after="0" w:line="240" w:lineRule="auto"/>
        <w:jc w:val="both"/>
        <w:rPr>
          <w:rStyle w:val="Emphasis"/>
          <w:i w:val="0"/>
          <w:sz w:val="28"/>
          <w:szCs w:val="28"/>
        </w:rPr>
      </w:pPr>
      <w:r w:rsidRPr="005D2287">
        <w:rPr>
          <w:rFonts w:ascii="Times New Roman" w:hAnsi="Times New Roman"/>
          <w:sz w:val="28"/>
          <w:szCs w:val="28"/>
        </w:rPr>
        <w:t xml:space="preserve">Latvijas tautsaimniecības attīstība un tās izaugsmes tempi ir pozitīvi novērtēti arī starptautiski. Par to liecina starptautisko kredītreitingu aģentūru sniegtais stabilais novērtējums. </w:t>
      </w:r>
      <w:r w:rsidRPr="005D2287">
        <w:rPr>
          <w:rFonts w:ascii="Times New Roman" w:hAnsi="Times New Roman"/>
          <w:bCs/>
          <w:iCs/>
          <w:sz w:val="28"/>
          <w:szCs w:val="28"/>
        </w:rPr>
        <w:t xml:space="preserve">Starptautiskās reitingu aģentūras </w:t>
      </w:r>
      <w:r w:rsidRPr="005D2287">
        <w:rPr>
          <w:rFonts w:ascii="Times New Roman" w:hAnsi="Times New Roman"/>
          <w:i/>
          <w:sz w:val="28"/>
          <w:szCs w:val="28"/>
        </w:rPr>
        <w:t>Fitch Ratings</w:t>
      </w:r>
      <w:r w:rsidRPr="005D2287">
        <w:rPr>
          <w:rFonts w:ascii="Times New Roman" w:hAnsi="Times New Roman"/>
          <w:sz w:val="28"/>
          <w:szCs w:val="28"/>
        </w:rPr>
        <w:t xml:space="preserve"> un </w:t>
      </w:r>
      <w:r w:rsidRPr="005D2287">
        <w:rPr>
          <w:rFonts w:ascii="Times New Roman" w:hAnsi="Times New Roman"/>
          <w:bCs/>
          <w:i/>
          <w:iCs/>
          <w:sz w:val="28"/>
          <w:szCs w:val="28"/>
        </w:rPr>
        <w:t xml:space="preserve">Standart&amp;Poor’s </w:t>
      </w:r>
      <w:r w:rsidRPr="005D2287">
        <w:rPr>
          <w:rFonts w:ascii="Times New Roman" w:hAnsi="Times New Roman"/>
          <w:sz w:val="28"/>
          <w:szCs w:val="28"/>
        </w:rPr>
        <w:t xml:space="preserve">paaugstināja Latvijas kredītreitingu par </w:t>
      </w:r>
      <w:r w:rsidRPr="005D2287">
        <w:rPr>
          <w:rFonts w:ascii="Times New Roman" w:hAnsi="Times New Roman"/>
          <w:iCs/>
          <w:sz w:val="28"/>
          <w:szCs w:val="28"/>
        </w:rPr>
        <w:t xml:space="preserve">divām pakāpēm (no BB+ </w:t>
      </w:r>
      <w:r w:rsidRPr="005D2287">
        <w:rPr>
          <w:rFonts w:ascii="Times New Roman" w:hAnsi="Times New Roman"/>
          <w:sz w:val="28"/>
          <w:szCs w:val="28"/>
        </w:rPr>
        <w:t>uz BBB) ar p</w:t>
      </w:r>
      <w:r>
        <w:rPr>
          <w:rFonts w:ascii="Times New Roman" w:hAnsi="Times New Roman"/>
          <w:sz w:val="28"/>
          <w:szCs w:val="28"/>
        </w:rPr>
        <w:t>ozitīvu nākotnes vērtējumu, tādē</w:t>
      </w:r>
      <w:r w:rsidRPr="005D2287">
        <w:rPr>
          <w:rFonts w:ascii="Times New Roman" w:hAnsi="Times New Roman"/>
          <w:sz w:val="28"/>
          <w:szCs w:val="28"/>
        </w:rPr>
        <w:t xml:space="preserve">jādi radot lielāku uzticību Latvijas finanšu sistēmas stabilitātei potenciālo investoru vidū. Šīs kredītreitingu izmaiņas ir cieši saistītas ar konsekventu valdības izvēlētās politikas </w:t>
      </w:r>
      <w:r w:rsidRPr="005D2287">
        <w:rPr>
          <w:rStyle w:val="Emphasis"/>
          <w:i w:val="0"/>
          <w:sz w:val="28"/>
          <w:szCs w:val="28"/>
        </w:rPr>
        <w:t xml:space="preserve">īstenošanu, kas bija vērsta uz publisko finanšu sakārtošanu, pārmērīga budžeta deficīta samazināšanu, kā arī stabilas un prognozējamas nodokļu sistēmas radīšanu. </w:t>
      </w:r>
    </w:p>
    <w:p w:rsidR="00FB637A" w:rsidRPr="005D2287" w:rsidRDefault="00FB637A" w:rsidP="00A0520C">
      <w:pPr>
        <w:spacing w:after="0" w:line="240" w:lineRule="auto"/>
        <w:jc w:val="both"/>
        <w:rPr>
          <w:rFonts w:ascii="Times New Roman" w:hAnsi="Times New Roman"/>
          <w:sz w:val="28"/>
          <w:szCs w:val="28"/>
        </w:rPr>
      </w:pPr>
    </w:p>
    <w:p w:rsidR="00FB637A" w:rsidRPr="008F7B18" w:rsidRDefault="00FB637A" w:rsidP="00A0520C">
      <w:pPr>
        <w:spacing w:after="0" w:line="240" w:lineRule="auto"/>
        <w:jc w:val="both"/>
        <w:rPr>
          <w:rFonts w:ascii="Times New Roman" w:hAnsi="Times New Roman"/>
          <w:sz w:val="28"/>
          <w:szCs w:val="28"/>
        </w:rPr>
      </w:pPr>
      <w:r w:rsidRPr="008F7B18">
        <w:rPr>
          <w:rFonts w:ascii="Times New Roman" w:hAnsi="Times New Roman"/>
          <w:sz w:val="28"/>
          <w:szCs w:val="28"/>
        </w:rPr>
        <w:t>Papildus tam 2012.gada 14.februārī Latvija sekmīgi emitēja piecu gadu obligācijas viena miljarda ASV dolāru apmērā ar vidējo ienesīgumu 5,38% gadā, sasniedzot</w:t>
      </w:r>
      <w:r>
        <w:rPr>
          <w:rFonts w:ascii="Times New Roman" w:hAnsi="Times New Roman"/>
          <w:sz w:val="28"/>
          <w:szCs w:val="28"/>
        </w:rPr>
        <w:t xml:space="preserve"> plašu investoru loku. Savukārt</w:t>
      </w:r>
      <w:r w:rsidRPr="008F7B18">
        <w:rPr>
          <w:rFonts w:ascii="Times New Roman" w:hAnsi="Times New Roman"/>
          <w:sz w:val="28"/>
          <w:szCs w:val="28"/>
        </w:rPr>
        <w:t xml:space="preserve"> 2012.gada 5.decembrī Latvija sekmīgi emitēja septiņu gadu obligācijas 1,25 miljardu ASV dolāru apmērā ar vidējo ienesīgumu 2,89% gadā, kas ir vēsturiski zemākais ienesīgums</w:t>
      </w:r>
      <w:r>
        <w:rPr>
          <w:rFonts w:ascii="Times New Roman" w:hAnsi="Times New Roman"/>
          <w:sz w:val="28"/>
          <w:szCs w:val="28"/>
        </w:rPr>
        <w:t>,</w:t>
      </w:r>
      <w:r w:rsidRPr="008F7B18">
        <w:rPr>
          <w:rFonts w:ascii="Times New Roman" w:hAnsi="Times New Roman"/>
          <w:sz w:val="28"/>
          <w:szCs w:val="28"/>
        </w:rPr>
        <w:t xml:space="preserve"> kopš Latvija veic publiskus aizņēmumus starptautiskajos finanšu tirgos. </w:t>
      </w:r>
    </w:p>
    <w:p w:rsidR="00FB637A" w:rsidRDefault="00FB637A" w:rsidP="005D2287">
      <w:pPr>
        <w:pStyle w:val="Default"/>
        <w:jc w:val="both"/>
        <w:rPr>
          <w:sz w:val="28"/>
          <w:szCs w:val="28"/>
        </w:rPr>
      </w:pPr>
    </w:p>
    <w:p w:rsidR="00FB637A" w:rsidRDefault="00FB637A" w:rsidP="005D2287">
      <w:pPr>
        <w:pStyle w:val="Default"/>
        <w:jc w:val="both"/>
        <w:rPr>
          <w:sz w:val="28"/>
          <w:szCs w:val="28"/>
        </w:rPr>
      </w:pPr>
      <w:r w:rsidRPr="005D2287">
        <w:rPr>
          <w:sz w:val="28"/>
          <w:szCs w:val="28"/>
        </w:rPr>
        <w:t xml:space="preserve">Valdības līdzšinējais veikums valsts finanšu sektora sakārtošanā un optimizācijā ir ielicis stabilus pamatus valsts tālākai izaugsmei un attīstībai. </w:t>
      </w:r>
      <w:r>
        <w:rPr>
          <w:sz w:val="28"/>
          <w:szCs w:val="28"/>
        </w:rPr>
        <w:t>Pēc pēdējām prognozēm 2013.gadā IKP izaugsme sagaidāma 4% apmērā.</w:t>
      </w:r>
    </w:p>
    <w:p w:rsidR="00FB637A" w:rsidRDefault="00FB637A" w:rsidP="005D2287">
      <w:pPr>
        <w:pStyle w:val="Default"/>
        <w:jc w:val="both"/>
        <w:rPr>
          <w:sz w:val="28"/>
          <w:szCs w:val="28"/>
        </w:rPr>
      </w:pPr>
    </w:p>
    <w:p w:rsidR="00FB637A" w:rsidRPr="005D2287" w:rsidRDefault="00FB637A" w:rsidP="005D2287">
      <w:pPr>
        <w:pStyle w:val="Default"/>
        <w:jc w:val="both"/>
        <w:rPr>
          <w:sz w:val="28"/>
          <w:szCs w:val="28"/>
        </w:rPr>
      </w:pPr>
      <w:r w:rsidRPr="005D2287">
        <w:rPr>
          <w:sz w:val="28"/>
          <w:szCs w:val="28"/>
        </w:rPr>
        <w:lastRenderedPageBreak/>
        <w:t>Pēc starptautiskā aizņēmuma programmas un fiskālās konsolidācijas pabeigšanas 2013.gada budžets ir pirmais, kuru esam varējuši veidot bez citu uzr</w:t>
      </w:r>
      <w:r>
        <w:rPr>
          <w:sz w:val="28"/>
          <w:szCs w:val="28"/>
        </w:rPr>
        <w:t>audzības, turklāt arī atvēlēt papildu</w:t>
      </w:r>
      <w:r w:rsidRPr="005D2287">
        <w:rPr>
          <w:sz w:val="28"/>
          <w:szCs w:val="28"/>
        </w:rPr>
        <w:t xml:space="preserve"> finansēj</w:t>
      </w:r>
      <w:r>
        <w:rPr>
          <w:sz w:val="28"/>
          <w:szCs w:val="28"/>
        </w:rPr>
        <w:t xml:space="preserve">umu prioritārajiem jautājumiem </w:t>
      </w:r>
      <w:r w:rsidRPr="005D2287">
        <w:rPr>
          <w:sz w:val="28"/>
          <w:szCs w:val="28"/>
        </w:rPr>
        <w:t xml:space="preserve">– ekonomikas izaugsmei, demogrāfiskās situācijas uzlabošanai, kā arī atalgojuma palielināšanai noteiktām sabiedriskajā sektorā strādājošo kategorijām. 2013.gadā valsts pamatbudžetā prioritārajiem pasākumiem un jaunajām politikas iniciatīvām ir piešķirts papildu finansējums vairāk </w:t>
      </w:r>
      <w:r>
        <w:rPr>
          <w:sz w:val="28"/>
          <w:szCs w:val="28"/>
        </w:rPr>
        <w:t>ne</w:t>
      </w:r>
      <w:r w:rsidRPr="005D2287">
        <w:rPr>
          <w:sz w:val="28"/>
          <w:szCs w:val="28"/>
        </w:rPr>
        <w:t xml:space="preserve">kā </w:t>
      </w:r>
      <w:r w:rsidRPr="005D2287">
        <w:rPr>
          <w:bCs/>
          <w:sz w:val="28"/>
          <w:szCs w:val="28"/>
        </w:rPr>
        <w:t>184 milj. latu apmērā,</w:t>
      </w:r>
      <w:r w:rsidRPr="005D2287">
        <w:rPr>
          <w:b/>
          <w:bCs/>
          <w:sz w:val="28"/>
          <w:szCs w:val="28"/>
        </w:rPr>
        <w:t xml:space="preserve"> </w:t>
      </w:r>
      <w:r>
        <w:rPr>
          <w:sz w:val="28"/>
          <w:szCs w:val="28"/>
        </w:rPr>
        <w:t>tajā skaitā</w:t>
      </w:r>
      <w:r w:rsidRPr="005D2287">
        <w:rPr>
          <w:sz w:val="28"/>
          <w:szCs w:val="28"/>
        </w:rPr>
        <w:t xml:space="preserve"> 51,64 milj. latu demogrāfiskās situācijas uzlabošanai un 34,67 milj. latu atalgojuma palielināšanai sabiedriskajā sektorā strādājošajiem. 2012.gada 15.novembrī Saeima atbalstīja valdības izstrādāto Likumu par vidēja termiņa budžeta ietvaru 2013.</w:t>
      </w:r>
      <w:r>
        <w:rPr>
          <w:sz w:val="28"/>
          <w:szCs w:val="28"/>
        </w:rPr>
        <w:t>–</w:t>
      </w:r>
      <w:r w:rsidRPr="005D2287">
        <w:rPr>
          <w:sz w:val="28"/>
          <w:szCs w:val="28"/>
        </w:rPr>
        <w:t>2015.gadam, kurā ir skaidri noteikti budžeta deficīta mērķi turpmākajiem trīs gadiem, virzoties uz ekonomiskajā ciklā sabalansētu budžetu.</w:t>
      </w:r>
      <w:r w:rsidRPr="005D2287">
        <w:rPr>
          <w:b/>
          <w:sz w:val="28"/>
          <w:szCs w:val="28"/>
        </w:rPr>
        <w:t xml:space="preserve"> </w:t>
      </w:r>
    </w:p>
    <w:p w:rsidR="00FB637A" w:rsidRPr="005D2287" w:rsidRDefault="00FB637A" w:rsidP="005D2287">
      <w:pPr>
        <w:spacing w:after="0" w:line="240" w:lineRule="auto"/>
        <w:jc w:val="both"/>
        <w:rPr>
          <w:rFonts w:ascii="Times New Roman" w:hAnsi="Times New Roman"/>
          <w:sz w:val="28"/>
          <w:szCs w:val="28"/>
        </w:rPr>
      </w:pPr>
    </w:p>
    <w:p w:rsidR="00FB637A" w:rsidRPr="00077EBE" w:rsidRDefault="00FB637A" w:rsidP="0009386D">
      <w:pPr>
        <w:spacing w:after="0" w:line="240" w:lineRule="auto"/>
        <w:jc w:val="both"/>
        <w:rPr>
          <w:rFonts w:ascii="Times New Roman" w:hAnsi="Times New Roman"/>
          <w:sz w:val="28"/>
          <w:szCs w:val="28"/>
        </w:rPr>
      </w:pPr>
      <w:r w:rsidRPr="00077EBE">
        <w:rPr>
          <w:rFonts w:ascii="Times New Roman" w:hAnsi="Times New Roman"/>
          <w:sz w:val="28"/>
          <w:szCs w:val="28"/>
        </w:rPr>
        <w:t>Tā kā valsts budžeta ieņēmumi ir cieši saistīti ar valsts nodokļu politiku, tad vēlos norādīt uz valdības veiktajām izmaiņām nodokļu politikas jomā. Galvenās izmaiņas ir saistītas ar pievienotās vērtības nodokļa likmes samazināšanu no 2</w:t>
      </w:r>
      <w:r>
        <w:rPr>
          <w:rFonts w:ascii="Times New Roman" w:hAnsi="Times New Roman"/>
          <w:sz w:val="28"/>
          <w:szCs w:val="28"/>
        </w:rPr>
        <w:t>2% uz 21% ar 2012.gada 1.</w:t>
      </w:r>
      <w:r w:rsidRPr="00077EBE">
        <w:rPr>
          <w:rFonts w:ascii="Times New Roman" w:hAnsi="Times New Roman"/>
          <w:sz w:val="28"/>
          <w:szCs w:val="28"/>
        </w:rPr>
        <w:t>jūliju, kā arī darbaspēka nodokļu reformu un jaunas nekustamā īpašuma nodokļa likmes noteikša</w:t>
      </w:r>
      <w:r>
        <w:rPr>
          <w:rFonts w:ascii="Times New Roman" w:hAnsi="Times New Roman"/>
          <w:sz w:val="28"/>
          <w:szCs w:val="28"/>
        </w:rPr>
        <w:t>nas kārtības ieviešanu ar 2013.gada 1.</w:t>
      </w:r>
      <w:r w:rsidRPr="00077EBE">
        <w:rPr>
          <w:rFonts w:ascii="Times New Roman" w:hAnsi="Times New Roman"/>
          <w:sz w:val="28"/>
          <w:szCs w:val="28"/>
        </w:rPr>
        <w:t xml:space="preserve">janvāri. Iedzīvotāju ienākuma nodokļa likme samazināta līdz 24%, kā arī palielināts iedzīvotāju </w:t>
      </w:r>
      <w:r>
        <w:rPr>
          <w:rFonts w:ascii="Times New Roman" w:hAnsi="Times New Roman"/>
          <w:sz w:val="28"/>
          <w:szCs w:val="28"/>
        </w:rPr>
        <w:t>ienākuma nodokļa atvieglojum</w:t>
      </w:r>
      <w:r w:rsidRPr="00077EBE">
        <w:rPr>
          <w:rFonts w:ascii="Times New Roman" w:hAnsi="Times New Roman"/>
          <w:sz w:val="28"/>
          <w:szCs w:val="28"/>
        </w:rPr>
        <w:t>s par apgādībā esošajām personām n</w:t>
      </w:r>
      <w:r>
        <w:rPr>
          <w:rFonts w:ascii="Times New Roman" w:hAnsi="Times New Roman"/>
          <w:sz w:val="28"/>
          <w:szCs w:val="28"/>
        </w:rPr>
        <w:t>o 70 līdz 80 latiem mēnesī, tādē</w:t>
      </w:r>
      <w:r w:rsidRPr="00077EBE">
        <w:rPr>
          <w:rFonts w:ascii="Times New Roman" w:hAnsi="Times New Roman"/>
          <w:sz w:val="28"/>
          <w:szCs w:val="28"/>
        </w:rPr>
        <w:t>jādi labvēlīgi ietekmējot ģimenes ar bērniem.</w:t>
      </w:r>
    </w:p>
    <w:p w:rsidR="00FB637A" w:rsidRPr="00077EBE" w:rsidRDefault="00FB637A" w:rsidP="0009386D">
      <w:pPr>
        <w:spacing w:after="0" w:line="240" w:lineRule="auto"/>
        <w:jc w:val="both"/>
        <w:rPr>
          <w:rFonts w:ascii="Times New Roman" w:hAnsi="Times New Roman"/>
          <w:sz w:val="28"/>
          <w:szCs w:val="28"/>
        </w:rPr>
      </w:pPr>
    </w:p>
    <w:p w:rsidR="00FB637A" w:rsidRPr="00077EBE" w:rsidRDefault="00FB637A" w:rsidP="005D2287">
      <w:pPr>
        <w:spacing w:after="0" w:line="240" w:lineRule="auto"/>
        <w:jc w:val="both"/>
        <w:rPr>
          <w:rFonts w:ascii="Times New Roman" w:hAnsi="Times New Roman"/>
          <w:sz w:val="28"/>
          <w:szCs w:val="28"/>
        </w:rPr>
      </w:pPr>
      <w:r w:rsidRPr="00077EBE">
        <w:rPr>
          <w:rFonts w:ascii="Times New Roman" w:hAnsi="Times New Roman"/>
          <w:sz w:val="28"/>
          <w:szCs w:val="28"/>
        </w:rPr>
        <w:t>Atbilstoši valdības izvi</w:t>
      </w:r>
      <w:r>
        <w:rPr>
          <w:rFonts w:ascii="Times New Roman" w:hAnsi="Times New Roman"/>
          <w:sz w:val="28"/>
          <w:szCs w:val="28"/>
        </w:rPr>
        <w:t>rzītajām prioritātēm un mērķiem</w:t>
      </w:r>
      <w:r w:rsidRPr="00077EBE">
        <w:rPr>
          <w:rFonts w:ascii="Times New Roman" w:hAnsi="Times New Roman"/>
          <w:sz w:val="28"/>
          <w:szCs w:val="28"/>
        </w:rPr>
        <w:t xml:space="preserve"> ir paredzēts turpināt darbaspēka nodokļu samazināšanu, kas prioritāri būtu vērsti tieši uz iedzīvotājiem ar bērniem vai iedzīvotājiem ar zemiem ienākumiem. Papildus tam ir plānots pilnveidot nodokļu stimulu sistēmu, lai atbalstītu jaunu produktu izstrādi un piesaistītu investīcijas uzņēmumu konkurētspējas stiprināšanai.</w:t>
      </w:r>
    </w:p>
    <w:p w:rsidR="00FB637A" w:rsidRPr="00077EBE" w:rsidRDefault="00FB637A" w:rsidP="005D2287">
      <w:pPr>
        <w:spacing w:after="0" w:line="240" w:lineRule="auto"/>
        <w:jc w:val="both"/>
        <w:rPr>
          <w:rFonts w:ascii="Times New Roman" w:hAnsi="Times New Roman"/>
          <w:sz w:val="28"/>
          <w:szCs w:val="28"/>
        </w:rPr>
      </w:pPr>
    </w:p>
    <w:p w:rsidR="00FB637A" w:rsidRPr="00077EBE" w:rsidRDefault="00FB637A" w:rsidP="00AA1B21">
      <w:pPr>
        <w:spacing w:after="0" w:line="240" w:lineRule="auto"/>
        <w:jc w:val="both"/>
        <w:rPr>
          <w:rFonts w:ascii="Times New Roman" w:hAnsi="Times New Roman"/>
          <w:sz w:val="28"/>
          <w:szCs w:val="28"/>
        </w:rPr>
      </w:pPr>
      <w:r w:rsidRPr="00077EBE">
        <w:rPr>
          <w:rFonts w:ascii="Times New Roman" w:hAnsi="Times New Roman"/>
          <w:sz w:val="28"/>
          <w:szCs w:val="28"/>
        </w:rPr>
        <w:t>Nenoliedzami, ka būtisks valsts ekonomiskās izaugsmes rādī</w:t>
      </w:r>
      <w:r>
        <w:rPr>
          <w:rFonts w:ascii="Times New Roman" w:hAnsi="Times New Roman"/>
          <w:sz w:val="28"/>
          <w:szCs w:val="28"/>
        </w:rPr>
        <w:t>tājs ir saistīts ar jaunu darba</w:t>
      </w:r>
      <w:r w:rsidRPr="00077EBE">
        <w:rPr>
          <w:rFonts w:ascii="Times New Roman" w:hAnsi="Times New Roman"/>
          <w:sz w:val="28"/>
          <w:szCs w:val="28"/>
        </w:rPr>
        <w:t xml:space="preserve">vietu radīšanu un bezdarba mazināšanu, jo tieši iedzīvotāju nodarbinātības rādītāji ļauj saskatīt Latvijas ekonomikas izaugsmes ietekmi uz ikvienas mājsaimniecības stabilitātes un nodrošinātības līmeni. 2012.gada pirmajos deviņos mēnešos, salīdzinot ar iepriekšējā gada attiecīgo periodu, nodarbināto iedzīvotāju skaits ir palielinājies par 2,7%. </w:t>
      </w:r>
    </w:p>
    <w:p w:rsidR="00FB637A" w:rsidRPr="00077EBE" w:rsidRDefault="00FB637A" w:rsidP="00AA1B21">
      <w:pPr>
        <w:spacing w:after="0" w:line="240" w:lineRule="auto"/>
        <w:jc w:val="both"/>
        <w:rPr>
          <w:rFonts w:ascii="Times New Roman" w:hAnsi="Times New Roman"/>
          <w:sz w:val="28"/>
          <w:szCs w:val="28"/>
        </w:rPr>
      </w:pPr>
    </w:p>
    <w:p w:rsidR="00FB637A" w:rsidRPr="00077EBE" w:rsidRDefault="00FB637A" w:rsidP="00AA1B21">
      <w:pPr>
        <w:spacing w:after="0" w:line="240" w:lineRule="auto"/>
        <w:jc w:val="both"/>
        <w:rPr>
          <w:rFonts w:ascii="Times New Roman" w:hAnsi="Times New Roman"/>
          <w:i/>
          <w:sz w:val="28"/>
          <w:szCs w:val="28"/>
        </w:rPr>
      </w:pPr>
      <w:r w:rsidRPr="00077EBE">
        <w:rPr>
          <w:rFonts w:ascii="Times New Roman" w:hAnsi="Times New Roman"/>
          <w:sz w:val="28"/>
          <w:szCs w:val="28"/>
        </w:rPr>
        <w:t xml:space="preserve">Savukārt reģistrētais bezdarba līmenis 2012.gadā turpināja samazināties un gada beigās bija noslīdējis līdz 10,5% no ekonomiski aktīvajiem </w:t>
      </w:r>
      <w:r w:rsidRPr="00077EBE">
        <w:rPr>
          <w:rFonts w:ascii="Times New Roman" w:hAnsi="Times New Roman"/>
          <w:sz w:val="28"/>
          <w:szCs w:val="28"/>
        </w:rPr>
        <w:lastRenderedPageBreak/>
        <w:t>iedzīvotājiem, kas ir zemākais līmenis kopš 2008.gada beigām, tomēr ilgstošo bezdarbnieku īpatsvars reģistrēto bezdarbnieku kopskaitā praktiski nav mainījies un joprojām paliek augsts (44%). Mazinot atstumtību no darba tirgus, īpaši svarīgi ir tie aktīvās darba tirgus politikas pasākumi, kas mērķēti tieši ilgstošo bezdarbnieku atbalstam: vairāk nekā puse no visiem ilgstoš</w:t>
      </w:r>
      <w:r>
        <w:rPr>
          <w:rFonts w:ascii="Times New Roman" w:hAnsi="Times New Roman"/>
          <w:sz w:val="28"/>
          <w:szCs w:val="28"/>
        </w:rPr>
        <w:t>aj</w:t>
      </w:r>
      <w:r w:rsidRPr="00077EBE">
        <w:rPr>
          <w:rFonts w:ascii="Times New Roman" w:hAnsi="Times New Roman"/>
          <w:sz w:val="28"/>
          <w:szCs w:val="28"/>
        </w:rPr>
        <w:t>iem bezdarbniekiem 2012.gadā iesaistīti algotos pagaidu sabiedriskajos darbos; šīs programmas dalībniekiem motivācijai un prasmju apguvei no 2012.gada papildus piedāvāti īsie apmācību kursi, kā arī uzsākta ilgstošo bezdarbnieku ar atkarības problēmām ārstēšana.</w:t>
      </w:r>
    </w:p>
    <w:p w:rsidR="00FB637A" w:rsidRPr="00077EBE" w:rsidRDefault="00FB637A" w:rsidP="00AA1B21">
      <w:pPr>
        <w:pStyle w:val="ColorfulList-Accent11"/>
        <w:spacing w:after="0" w:line="240" w:lineRule="auto"/>
        <w:ind w:left="567"/>
        <w:jc w:val="both"/>
        <w:rPr>
          <w:rFonts w:ascii="Times New Roman" w:hAnsi="Times New Roman"/>
          <w:i/>
          <w:sz w:val="28"/>
          <w:szCs w:val="28"/>
        </w:rPr>
      </w:pPr>
    </w:p>
    <w:p w:rsidR="00FB637A" w:rsidRPr="00077EBE" w:rsidRDefault="00FB637A" w:rsidP="00AA1B21">
      <w:pPr>
        <w:spacing w:after="0" w:line="240" w:lineRule="auto"/>
        <w:jc w:val="both"/>
        <w:rPr>
          <w:rFonts w:ascii="Times New Roman" w:hAnsi="Times New Roman"/>
          <w:sz w:val="28"/>
          <w:szCs w:val="28"/>
        </w:rPr>
      </w:pPr>
      <w:r w:rsidRPr="00077EBE">
        <w:rPr>
          <w:rFonts w:ascii="Times New Roman" w:hAnsi="Times New Roman"/>
          <w:sz w:val="28"/>
          <w:szCs w:val="28"/>
        </w:rPr>
        <w:t xml:space="preserve">Bezdarba kontekstā Latvijā ir vēl divas citas svarīgas grupas – tie ir Latgales reģionā dzīvojošie un jaunieši. Risinot reģionālā bezdarba problēmas, 2012.gadā tika izstrādāta normatīvā bāze reģionālās mobilitātes pilotprojekta īstenošanai Latgales reģionā 2013.gadā. Savukārt mazinot jauniešu bezdarbu, 2012.gadā tika turpināti pasākumi jauniešiem – atbalsts darba vietu izveidei pie darba devēja un brīvprātīgajam darbam nevalstiskajās organizācijās. </w:t>
      </w:r>
    </w:p>
    <w:p w:rsidR="00FB637A" w:rsidRPr="0049702B" w:rsidRDefault="00FB637A" w:rsidP="00AA1B21">
      <w:pPr>
        <w:spacing w:after="0" w:line="240" w:lineRule="auto"/>
        <w:jc w:val="both"/>
        <w:rPr>
          <w:rFonts w:ascii="Times New Roman" w:hAnsi="Times New Roman"/>
          <w:sz w:val="28"/>
          <w:szCs w:val="28"/>
          <w:highlight w:val="yellow"/>
        </w:rPr>
      </w:pPr>
    </w:p>
    <w:p w:rsidR="00FB637A" w:rsidRPr="005D2287" w:rsidRDefault="00FB637A" w:rsidP="00077EBE">
      <w:pPr>
        <w:spacing w:after="0" w:line="240" w:lineRule="auto"/>
        <w:jc w:val="both"/>
        <w:rPr>
          <w:rFonts w:ascii="Times New Roman" w:hAnsi="Times New Roman"/>
          <w:sz w:val="28"/>
          <w:szCs w:val="28"/>
        </w:rPr>
      </w:pPr>
      <w:r w:rsidRPr="005D2287">
        <w:rPr>
          <w:rFonts w:ascii="Times New Roman" w:hAnsi="Times New Roman"/>
          <w:sz w:val="28"/>
          <w:szCs w:val="28"/>
        </w:rPr>
        <w:t>Kopumā sagaidāms, ka vidējā termiņā būs vērojams nodarbinātības pieaugums</w:t>
      </w:r>
      <w:r>
        <w:rPr>
          <w:rFonts w:ascii="Times New Roman" w:hAnsi="Times New Roman"/>
          <w:sz w:val="28"/>
          <w:szCs w:val="28"/>
        </w:rPr>
        <w:t>, savukārt</w:t>
      </w:r>
      <w:r w:rsidRPr="005D2287">
        <w:rPr>
          <w:rFonts w:ascii="Times New Roman" w:hAnsi="Times New Roman"/>
          <w:sz w:val="28"/>
          <w:szCs w:val="28"/>
        </w:rPr>
        <w:t xml:space="preserve"> darba algu </w:t>
      </w:r>
      <w:r>
        <w:rPr>
          <w:rFonts w:ascii="Times New Roman" w:hAnsi="Times New Roman"/>
          <w:sz w:val="28"/>
          <w:szCs w:val="28"/>
        </w:rPr>
        <w:t>palielināšanās</w:t>
      </w:r>
      <w:r w:rsidRPr="005D2287">
        <w:rPr>
          <w:rFonts w:ascii="Times New Roman" w:hAnsi="Times New Roman"/>
          <w:sz w:val="28"/>
          <w:szCs w:val="28"/>
        </w:rPr>
        <w:t xml:space="preserve"> galvenokārt būs saistīta ar produktivitātes pieaugumu. Vienlaikus vēlos uzsvērt, ka nodarbinātības un atalgojuma rādītāji nepieaug proporcionāli valsts ek</w:t>
      </w:r>
      <w:r>
        <w:rPr>
          <w:rFonts w:ascii="Times New Roman" w:hAnsi="Times New Roman"/>
          <w:sz w:val="28"/>
          <w:szCs w:val="28"/>
        </w:rPr>
        <w:t>onomiskās attīstības rādītājiem</w:t>
      </w:r>
      <w:r w:rsidRPr="005D2287">
        <w:rPr>
          <w:rFonts w:ascii="Times New Roman" w:hAnsi="Times New Roman"/>
          <w:sz w:val="28"/>
          <w:szCs w:val="28"/>
        </w:rPr>
        <w:t xml:space="preserve"> un izmaiņas šajās jom</w:t>
      </w:r>
      <w:r>
        <w:rPr>
          <w:rFonts w:ascii="Times New Roman" w:hAnsi="Times New Roman"/>
          <w:sz w:val="28"/>
          <w:szCs w:val="28"/>
        </w:rPr>
        <w:t>ās ir lēnākas un pakāpeniskākas</w:t>
      </w:r>
      <w:r w:rsidRPr="005D2287">
        <w:rPr>
          <w:rFonts w:ascii="Times New Roman" w:hAnsi="Times New Roman"/>
          <w:sz w:val="28"/>
          <w:szCs w:val="28"/>
        </w:rPr>
        <w:t xml:space="preserve"> un būs skaidrāk saskatāmas ilgtermiņa perspektīvā.</w:t>
      </w:r>
    </w:p>
    <w:p w:rsidR="00FB637A" w:rsidRDefault="00FB637A" w:rsidP="005D2287">
      <w:pPr>
        <w:spacing w:after="0" w:line="240" w:lineRule="auto"/>
        <w:jc w:val="both"/>
        <w:rPr>
          <w:rFonts w:ascii="Times New Roman" w:hAnsi="Times New Roman"/>
          <w:color w:val="000000"/>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color w:val="000000"/>
          <w:sz w:val="28"/>
          <w:szCs w:val="28"/>
        </w:rPr>
        <w:t>Esam pārliecinājušies par s</w:t>
      </w:r>
      <w:r w:rsidRPr="005D2287">
        <w:rPr>
          <w:rFonts w:ascii="Times New Roman" w:hAnsi="Times New Roman"/>
          <w:sz w:val="28"/>
          <w:szCs w:val="28"/>
        </w:rPr>
        <w:t>tingras fiskālās disciplīnas izšķirošo lomu ekonomiskās un finanšu krīzes pārvarēšanā un sekmīgiem rezultātiem, kas sasniegti, samazinot valsts tēriņus un panākot līdzsvaru starp ieņēmumiem un izdevumiem. F</w:t>
      </w:r>
      <w:r w:rsidRPr="005D2287">
        <w:rPr>
          <w:rFonts w:ascii="Times New Roman" w:hAnsi="Times New Roman"/>
          <w:color w:val="000000"/>
          <w:sz w:val="28"/>
          <w:szCs w:val="28"/>
        </w:rPr>
        <w:t xml:space="preserve">iskālās disciplīnas nodrošināšana, saglabājot virzību uz ekonomiskajā ciklā sabalansētu budžetu saskaņā ar Stabilitātes un izaugsmes paktā noteikto ātrumu, arī turpmākajos gados būs viena no </w:t>
      </w:r>
      <w:r w:rsidRPr="005D2287">
        <w:rPr>
          <w:rFonts w:ascii="Times New Roman" w:hAnsi="Times New Roman"/>
          <w:sz w:val="28"/>
          <w:szCs w:val="28"/>
        </w:rPr>
        <w:t xml:space="preserve">valdības īstenotās politikas prioritātēm.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2013.gada 31.janvārī Saeima pieņēma Fiskālās disciplīnas likumu. Tas ir nozīmīgs solis pretī valdības īstenotās atbildīgās finanšu politikas nostiprināšanai, jo pirmo reizi ar likumu tiks noteikts, ka Latvijā ir jāveido ekonomiskajā ciklā sabalansēts budž</w:t>
      </w:r>
      <w:r>
        <w:rPr>
          <w:rFonts w:ascii="Times New Roman" w:hAnsi="Times New Roman"/>
          <w:sz w:val="28"/>
          <w:szCs w:val="28"/>
        </w:rPr>
        <w:t>ets, tādējādi</w:t>
      </w:r>
      <w:r w:rsidRPr="005D2287">
        <w:rPr>
          <w:rFonts w:ascii="Times New Roman" w:hAnsi="Times New Roman"/>
          <w:sz w:val="28"/>
          <w:szCs w:val="28"/>
        </w:rPr>
        <w:t xml:space="preserve"> sekmējot ilgtspējīgu valsts attīstību, makroekonomisko stabilitāti un </w:t>
      </w:r>
      <w:r>
        <w:rPr>
          <w:rFonts w:ascii="Times New Roman" w:hAnsi="Times New Roman"/>
          <w:sz w:val="28"/>
          <w:szCs w:val="28"/>
        </w:rPr>
        <w:t>samazinot ārējo faktoru negatīvo</w:t>
      </w:r>
      <w:r w:rsidRPr="005D2287">
        <w:rPr>
          <w:rFonts w:ascii="Times New Roman" w:hAnsi="Times New Roman"/>
          <w:sz w:val="28"/>
          <w:szCs w:val="28"/>
        </w:rPr>
        <w:t xml:space="preserve"> ietekmi uz tautsaimniecību.</w:t>
      </w:r>
      <w:r w:rsidRPr="005D2287">
        <w:rPr>
          <w:rFonts w:ascii="Times New Roman" w:eastAsia="Times New Roman" w:hAnsi="Times New Roman"/>
          <w:color w:val="000000"/>
          <w:sz w:val="28"/>
          <w:szCs w:val="28"/>
        </w:rPr>
        <w:t xml:space="preserve"> Vēlos uzsvērt, ka Saeimas pieņemtais </w:t>
      </w:r>
      <w:r w:rsidRPr="005D2287">
        <w:rPr>
          <w:rFonts w:ascii="Times New Roman" w:hAnsi="Times New Roman"/>
          <w:sz w:val="28"/>
          <w:szCs w:val="28"/>
        </w:rPr>
        <w:t xml:space="preserve">Fiskālās disciplīnas likums ir saskaņots ar 2012.gada 31.maijā ratificēto Līgumu par </w:t>
      </w:r>
      <w:r w:rsidRPr="005D2287">
        <w:rPr>
          <w:rFonts w:ascii="Times New Roman" w:hAnsi="Times New Roman"/>
          <w:sz w:val="28"/>
          <w:szCs w:val="28"/>
        </w:rPr>
        <w:lastRenderedPageBreak/>
        <w:t>stabilitāti, koordināciju un pārvaldību ekonomiska</w:t>
      </w:r>
      <w:r>
        <w:rPr>
          <w:rFonts w:ascii="Times New Roman" w:hAnsi="Times New Roman"/>
          <w:sz w:val="28"/>
          <w:szCs w:val="28"/>
        </w:rPr>
        <w:t>jā un monetārajā savienībā, tādē</w:t>
      </w:r>
      <w:r w:rsidRPr="005D2287">
        <w:rPr>
          <w:rFonts w:ascii="Times New Roman" w:hAnsi="Times New Roman"/>
          <w:sz w:val="28"/>
          <w:szCs w:val="28"/>
        </w:rPr>
        <w:t>jādi Latvijai kļūstot par vienu no pirmajām ES dalībvalstīm, kas nodrošinās nacionālās likumdošanas atbilstību Fiskālās disciplīnas līguma nosacījumiem.</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Ņemot vērā valsts pozitīvās tautsaimniecības tendences, kā arī nepieciešamību tās sekmēt un attīstīt arī turpmāk, Latvijai ir jāsper vēl viens nozīmīgs solis savas labklājī</w:t>
      </w:r>
      <w:r>
        <w:rPr>
          <w:rFonts w:ascii="Times New Roman" w:hAnsi="Times New Roman"/>
          <w:sz w:val="28"/>
          <w:szCs w:val="28"/>
        </w:rPr>
        <w:t>bas virzienā un jāpievienojas tām ES dalībvalstīm</w:t>
      </w:r>
      <w:r w:rsidRPr="005D2287">
        <w:rPr>
          <w:rFonts w:ascii="Times New Roman" w:hAnsi="Times New Roman"/>
          <w:sz w:val="28"/>
          <w:szCs w:val="28"/>
        </w:rPr>
        <w:t>, kas ir ieviesušas vienoto ES valūtu – eiro. Šis solis ļaus Latvijai pievienoties ES attīstību virzošo valstu kodolam. Eiro ieviešana ir svarīgs priekšnoteikums valsts turpmākā “ekonomikas izrāviena” īstenošanā, tās labvēlīgo efektu sajutīs gan valsts iedzīvotāji, gan uzņēmēji.</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pStyle w:val="NormalWeb"/>
        <w:spacing w:before="0" w:beforeAutospacing="0" w:after="0" w:afterAutospacing="0"/>
        <w:jc w:val="both"/>
        <w:rPr>
          <w:sz w:val="28"/>
          <w:szCs w:val="28"/>
        </w:rPr>
      </w:pPr>
      <w:r w:rsidRPr="005D2287">
        <w:rPr>
          <w:sz w:val="28"/>
          <w:szCs w:val="28"/>
        </w:rPr>
        <w:t xml:space="preserve">Būtisks solis ceļā uz Latvijas pievienošanos </w:t>
      </w:r>
      <w:r>
        <w:rPr>
          <w:sz w:val="28"/>
          <w:szCs w:val="28"/>
        </w:rPr>
        <w:t>eirozon</w:t>
      </w:r>
      <w:r w:rsidRPr="005D2287">
        <w:rPr>
          <w:sz w:val="28"/>
          <w:szCs w:val="28"/>
        </w:rPr>
        <w:t>ai ir Saeimas 2013.</w:t>
      </w:r>
      <w:r>
        <w:rPr>
          <w:sz w:val="28"/>
          <w:szCs w:val="28"/>
        </w:rPr>
        <w:t xml:space="preserve">gada 31.janvārī apstiprinātais </w:t>
      </w:r>
      <w:r w:rsidRPr="005D2287">
        <w:rPr>
          <w:sz w:val="28"/>
          <w:szCs w:val="28"/>
        </w:rPr>
        <w:t xml:space="preserve">Eiro ieviešanas likums. Plānots, ka Latvijā eiro tiks ieviests ar 2014.gada 1.janvāri, tāpēc valdības īstenotās aktivitātes 2012.gadā bija vērstas uz šī mērķa sasniegšanu. Eiro ieviešanas jautājumā svarīgākie īstenotie pasākumi bija saistīti ar normatīvo aktu pielāgošanu, kā arī komunikācijas kampaņas uzsākšana par eiro ieviešanu un tās sniegtajām iespējām, uzklausot pašvaldības, valdības sadarbības un sociālos partnerus. Lai nodrošinātu efektīvu un sekmīgu eiro ieviešanas procesu, veidojot objektīvu un kvalitatīvu dialogu ar sabiedrību par eiro ieviešanas ieguvumiem un riskiem, 2013.gada 18.janvārī valdība vienojās par Eiro ieviešanas koordinācijas padomes izveidošanu.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Latvijas pievienošanās eirozon</w:t>
      </w:r>
      <w:r w:rsidRPr="005D2287">
        <w:rPr>
          <w:rFonts w:ascii="Times New Roman" w:hAnsi="Times New Roman"/>
          <w:sz w:val="28"/>
          <w:szCs w:val="28"/>
        </w:rPr>
        <w:t xml:space="preserve">ai likvidēs valūtas devalvācijas risku, tādējādi nodrošinot valstij lielāku ekonomisko un finansiālo stabilitāti. Tāpat iestāšanās </w:t>
      </w:r>
      <w:r>
        <w:rPr>
          <w:rFonts w:ascii="Times New Roman" w:hAnsi="Times New Roman"/>
          <w:sz w:val="28"/>
          <w:szCs w:val="28"/>
        </w:rPr>
        <w:t>eirozon</w:t>
      </w:r>
      <w:r w:rsidRPr="005D2287">
        <w:rPr>
          <w:rFonts w:ascii="Times New Roman" w:hAnsi="Times New Roman"/>
          <w:sz w:val="28"/>
          <w:szCs w:val="28"/>
        </w:rPr>
        <w:t xml:space="preserve">ā veicinās ārvalstu investīciju ieplūdi valstī, nodrošinot straujāku </w:t>
      </w:r>
      <w:r w:rsidRPr="005D2287">
        <w:rPr>
          <w:rFonts w:ascii="Times New Roman" w:hAnsi="Times New Roman"/>
          <w:color w:val="1F1F1F"/>
          <w:sz w:val="28"/>
          <w:szCs w:val="28"/>
        </w:rPr>
        <w:t xml:space="preserve">ekonomikas attīstību un radot jaunas darba vietas. Iestāšanās </w:t>
      </w:r>
      <w:r>
        <w:rPr>
          <w:rFonts w:ascii="Times New Roman" w:hAnsi="Times New Roman"/>
          <w:color w:val="1F1F1F"/>
          <w:sz w:val="28"/>
          <w:szCs w:val="28"/>
        </w:rPr>
        <w:t>eirozon</w:t>
      </w:r>
      <w:r w:rsidRPr="005D2287">
        <w:rPr>
          <w:rFonts w:ascii="Times New Roman" w:hAnsi="Times New Roman"/>
          <w:color w:val="1F1F1F"/>
          <w:sz w:val="28"/>
          <w:szCs w:val="28"/>
        </w:rPr>
        <w:t>ā sekmēs straujāku eksporta kāpumu un dos papildu iespējas uzņēmējiem</w:t>
      </w:r>
      <w:r>
        <w:rPr>
          <w:rFonts w:ascii="Times New Roman" w:hAnsi="Times New Roman"/>
          <w:color w:val="1F1F1F"/>
          <w:sz w:val="28"/>
          <w:szCs w:val="28"/>
        </w:rPr>
        <w:t>.</w:t>
      </w:r>
    </w:p>
    <w:p w:rsidR="00FB637A" w:rsidRPr="005D2287" w:rsidRDefault="00FB637A" w:rsidP="005D2287">
      <w:pPr>
        <w:spacing w:after="0" w:line="240" w:lineRule="auto"/>
        <w:jc w:val="both"/>
        <w:rPr>
          <w:rFonts w:ascii="Times New Roman" w:hAnsi="Times New Roman"/>
          <w:color w:val="1F1F1F"/>
          <w:sz w:val="28"/>
          <w:szCs w:val="28"/>
        </w:rPr>
      </w:pPr>
    </w:p>
    <w:p w:rsidR="00FB637A" w:rsidRPr="005D2287" w:rsidRDefault="00FB637A" w:rsidP="005D2287">
      <w:pPr>
        <w:spacing w:after="0" w:line="240" w:lineRule="auto"/>
        <w:jc w:val="both"/>
        <w:rPr>
          <w:rFonts w:ascii="Times New Roman" w:eastAsia="Times New Roman" w:hAnsi="Times New Roman"/>
          <w:b/>
          <w:sz w:val="28"/>
          <w:szCs w:val="28"/>
        </w:rPr>
      </w:pPr>
      <w:r w:rsidRPr="005D2287">
        <w:rPr>
          <w:rFonts w:ascii="Times New Roman" w:hAnsi="Times New Roman"/>
          <w:sz w:val="28"/>
          <w:szCs w:val="28"/>
        </w:rPr>
        <w:t xml:space="preserve">Būtiskākie finansiālie ieguvumi pēc iestāšanās </w:t>
      </w:r>
      <w:r>
        <w:rPr>
          <w:rFonts w:ascii="Times New Roman" w:hAnsi="Times New Roman"/>
          <w:sz w:val="28"/>
          <w:szCs w:val="28"/>
        </w:rPr>
        <w:t>eirozon</w:t>
      </w:r>
      <w:r w:rsidRPr="005D2287">
        <w:rPr>
          <w:rFonts w:ascii="Times New Roman" w:hAnsi="Times New Roman"/>
          <w:sz w:val="28"/>
          <w:szCs w:val="28"/>
        </w:rPr>
        <w:t xml:space="preserve">ā ir ietaupījumi no konvertācijas izmaksu izzušanas. </w:t>
      </w:r>
      <w:r w:rsidRPr="005D2287">
        <w:rPr>
          <w:rFonts w:ascii="Times New Roman" w:eastAsia="Times New Roman" w:hAnsi="Times New Roman"/>
          <w:sz w:val="28"/>
          <w:szCs w:val="28"/>
        </w:rPr>
        <w:t xml:space="preserve">Papildus tam eiro ieviešana nozīmēs zemākas aizņemšanās izmaksas gan valstij, gan privātajam sektoram. Dalība </w:t>
      </w:r>
      <w:r>
        <w:rPr>
          <w:rFonts w:ascii="Times New Roman" w:eastAsia="Times New Roman" w:hAnsi="Times New Roman"/>
          <w:sz w:val="28"/>
          <w:szCs w:val="28"/>
        </w:rPr>
        <w:t>eirozon</w:t>
      </w:r>
      <w:r w:rsidRPr="005D2287">
        <w:rPr>
          <w:rFonts w:ascii="Times New Roman" w:eastAsia="Times New Roman" w:hAnsi="Times New Roman"/>
          <w:sz w:val="28"/>
          <w:szCs w:val="28"/>
        </w:rPr>
        <w:t xml:space="preserve">ā ļaus mums piedalīties ES nākotnei būtisku lēmumu pieņemšanā, kā arī nostiprinās mūsu piederību ES valstu kodolam. </w:t>
      </w:r>
      <w:r w:rsidRPr="005D2287">
        <w:rPr>
          <w:rStyle w:val="normalchar1"/>
          <w:sz w:val="28"/>
          <w:szCs w:val="28"/>
        </w:rPr>
        <w:t>Jāatzīmē, ka iedzīvotāju atbalsts eiro ieviešanai pieaug un</w:t>
      </w:r>
      <w:r>
        <w:rPr>
          <w:rStyle w:val="normalchar1"/>
          <w:sz w:val="28"/>
          <w:szCs w:val="28"/>
        </w:rPr>
        <w:t>,</w:t>
      </w:r>
      <w:r w:rsidRPr="005D2287">
        <w:rPr>
          <w:rStyle w:val="normalchar1"/>
          <w:sz w:val="28"/>
          <w:szCs w:val="28"/>
        </w:rPr>
        <w:t xml:space="preserve"> kā liecina jaunākie </w:t>
      </w:r>
      <w:r w:rsidRPr="005D2287">
        <w:rPr>
          <w:rStyle w:val="googqs-tidbit"/>
          <w:rFonts w:ascii="Times New Roman" w:hAnsi="Times New Roman"/>
          <w:sz w:val="28"/>
          <w:szCs w:val="28"/>
        </w:rPr>
        <w:t>aptaujas dati</w:t>
      </w:r>
      <w:r>
        <w:rPr>
          <w:rStyle w:val="googqs-tidbit"/>
          <w:rFonts w:ascii="Times New Roman" w:hAnsi="Times New Roman"/>
          <w:sz w:val="28"/>
          <w:szCs w:val="28"/>
        </w:rPr>
        <w:t>,</w:t>
      </w:r>
      <w:r w:rsidRPr="005D2287">
        <w:rPr>
          <w:rStyle w:val="googqs-tidbit"/>
          <w:rFonts w:ascii="Times New Roman" w:hAnsi="Times New Roman"/>
          <w:sz w:val="28"/>
          <w:szCs w:val="28"/>
        </w:rPr>
        <w:t xml:space="preserve"> eiro ieviešanu Latvijā atbalsta 33% iedzīvotāju.</w:t>
      </w:r>
    </w:p>
    <w:p w:rsidR="00FB637A" w:rsidRPr="005D2287" w:rsidRDefault="00FB637A" w:rsidP="005D2287">
      <w:pPr>
        <w:spacing w:after="0" w:line="240" w:lineRule="auto"/>
        <w:jc w:val="both"/>
        <w:rPr>
          <w:rFonts w:ascii="Times New Roman" w:eastAsia="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Pēc ļoti garām un sarežģītām sarunām ir panākta vienošanās</w:t>
      </w:r>
      <w:r>
        <w:rPr>
          <w:rFonts w:ascii="Times New Roman" w:hAnsi="Times New Roman"/>
          <w:sz w:val="28"/>
          <w:szCs w:val="28"/>
        </w:rPr>
        <w:t xml:space="preserve"> par ES daudzgadu budžetu 2014.</w:t>
      </w:r>
      <w:r w:rsidRPr="005D2287">
        <w:rPr>
          <w:rFonts w:ascii="Times New Roman" w:hAnsi="Times New Roman"/>
          <w:sz w:val="28"/>
          <w:szCs w:val="28"/>
        </w:rPr>
        <w:t>–2020.gadam. Neskatoties uz to, ka pirmo reizi vēsturē ES daudzgad</w:t>
      </w:r>
      <w:r>
        <w:rPr>
          <w:rFonts w:ascii="Times New Roman" w:hAnsi="Times New Roman"/>
          <w:sz w:val="28"/>
          <w:szCs w:val="28"/>
        </w:rPr>
        <w:t>u budžets ir samazināts salīdzinājumā ar iepriekšējo periodu</w:t>
      </w:r>
      <w:r w:rsidRPr="005D2287">
        <w:rPr>
          <w:rFonts w:ascii="Times New Roman" w:hAnsi="Times New Roman"/>
          <w:sz w:val="28"/>
          <w:szCs w:val="28"/>
        </w:rPr>
        <w:t xml:space="preserve">, Latvijai ir izdevies panākt labus nosacījumus visās būtiskākajās sarunu pozīcijās. Finansējums, ko Latvija saņems no ES budžeta, joprojām ievērojami pārsniegs Latvijas iemaksas tajā. Nākamajā septiņu gadu plānošanas periodā Latvijas ekonomikai no ES budžeta būs pieejami vairāk </w:t>
      </w:r>
      <w:r>
        <w:rPr>
          <w:rFonts w:ascii="Times New Roman" w:hAnsi="Times New Roman"/>
          <w:sz w:val="28"/>
          <w:szCs w:val="28"/>
        </w:rPr>
        <w:t>ne</w:t>
      </w:r>
      <w:r w:rsidRPr="005D2287">
        <w:rPr>
          <w:rFonts w:ascii="Times New Roman" w:hAnsi="Times New Roman"/>
          <w:sz w:val="28"/>
          <w:szCs w:val="28"/>
        </w:rPr>
        <w:t>kā 7,446 miljardi eiro</w:t>
      </w:r>
      <w:r>
        <w:rPr>
          <w:rFonts w:ascii="Times New Roman" w:hAnsi="Times New Roman"/>
          <w:sz w:val="28"/>
          <w:szCs w:val="28"/>
        </w:rPr>
        <w:t xml:space="preserve"> (faktiskajās cenās)</w:t>
      </w:r>
      <w:r w:rsidRPr="005D2287">
        <w:rPr>
          <w:rFonts w:ascii="Times New Roman" w:hAnsi="Times New Roman"/>
          <w:sz w:val="28"/>
          <w:szCs w:val="28"/>
        </w:rPr>
        <w:t>. Latvijai pieejamais Kohēzijas f</w:t>
      </w:r>
      <w:r>
        <w:rPr>
          <w:rFonts w:ascii="Times New Roman" w:hAnsi="Times New Roman"/>
          <w:sz w:val="28"/>
          <w:szCs w:val="28"/>
        </w:rPr>
        <w:t xml:space="preserve">inansējums laika posmā no 2014. līdz </w:t>
      </w:r>
      <w:r w:rsidRPr="005D2287">
        <w:rPr>
          <w:rFonts w:ascii="Times New Roman" w:hAnsi="Times New Roman"/>
          <w:sz w:val="28"/>
          <w:szCs w:val="28"/>
        </w:rPr>
        <w:t xml:space="preserve">2020.gadam būs 4,770 miljardu eiro.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Ar ES fondu finansējuma palīdzību būs iespējams turpināt investīcijas izaugsmi veicinoš</w:t>
      </w:r>
      <w:r>
        <w:rPr>
          <w:rFonts w:ascii="Times New Roman" w:hAnsi="Times New Roman"/>
          <w:sz w:val="28"/>
          <w:szCs w:val="28"/>
        </w:rPr>
        <w:t>aj</w:t>
      </w:r>
      <w:r w:rsidRPr="005D2287">
        <w:rPr>
          <w:rFonts w:ascii="Times New Roman" w:hAnsi="Times New Roman"/>
          <w:sz w:val="28"/>
          <w:szCs w:val="28"/>
        </w:rPr>
        <w:t xml:space="preserve">ās jomās (transporta sistēmas attīstīšanā, pētniecībā, tehnoloģiju attīstīšanā un inovācijās, mazo un vidējo uzņēmumu konkurētspējas veicināšanā, energoefektivitātē, vides jomā, nodarbinātības veicināšanā, izglītībā).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Tiešajiem m</w:t>
      </w:r>
      <w:r>
        <w:rPr>
          <w:rFonts w:ascii="Times New Roman" w:hAnsi="Times New Roman"/>
          <w:sz w:val="28"/>
          <w:szCs w:val="28"/>
        </w:rPr>
        <w:t xml:space="preserve">aksājumiem laika posmā no 2014. līdz </w:t>
      </w:r>
      <w:r w:rsidRPr="005D2287">
        <w:rPr>
          <w:rFonts w:ascii="Times New Roman" w:hAnsi="Times New Roman"/>
          <w:sz w:val="28"/>
          <w:szCs w:val="28"/>
        </w:rPr>
        <w:t>2020.gadam būs pie</w:t>
      </w:r>
      <w:r>
        <w:rPr>
          <w:rFonts w:ascii="Times New Roman" w:hAnsi="Times New Roman"/>
          <w:sz w:val="28"/>
          <w:szCs w:val="28"/>
        </w:rPr>
        <w:t>ejams finansējums 1,717 miljardu</w:t>
      </w:r>
      <w:r w:rsidRPr="005D2287">
        <w:rPr>
          <w:rFonts w:ascii="Times New Roman" w:hAnsi="Times New Roman"/>
          <w:sz w:val="28"/>
          <w:szCs w:val="28"/>
        </w:rPr>
        <w:t xml:space="preserve"> eiro apmērā. </w:t>
      </w:r>
      <w:r w:rsidRPr="00C25D0D">
        <w:rPr>
          <w:rFonts w:ascii="Times New Roman" w:hAnsi="Times New Roman"/>
          <w:sz w:val="28"/>
          <w:szCs w:val="28"/>
        </w:rPr>
        <w:t>Sarunu rezultātā panākts, ka, veicot modulāciju no lauku attīstības līdzekļiem, jau ar nākamo gadu Latvijas zemnieku tiešmaksājumi sasniegs 127 eiro par hektāru</w:t>
      </w:r>
      <w:r w:rsidRPr="005D2287">
        <w:rPr>
          <w:rFonts w:ascii="Times New Roman" w:hAnsi="Times New Roman"/>
          <w:sz w:val="28"/>
          <w:szCs w:val="28"/>
        </w:rPr>
        <w:t xml:space="preserve">, 2019.gadā sasniedzot 196 eiro par hektāru. Salīdzinot ar pašreizējo situāciju, tiešie maksājumi Latvijas zemniekiem </w:t>
      </w:r>
      <w:r>
        <w:rPr>
          <w:rFonts w:ascii="Times New Roman" w:hAnsi="Times New Roman"/>
          <w:sz w:val="28"/>
          <w:szCs w:val="28"/>
        </w:rPr>
        <w:t>tuvākajos septiņos gados pieaugs vairāk nekā divkārt</w:t>
      </w:r>
      <w:r w:rsidRPr="005D2287">
        <w:rPr>
          <w:rFonts w:ascii="Times New Roman" w:hAnsi="Times New Roman"/>
          <w:sz w:val="28"/>
          <w:szCs w:val="28"/>
        </w:rPr>
        <w:t xml:space="preserve">. Savukārt lauku attīstības veicināšanai Latvijai būs pieejami 966 miljoni eiro.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Papildu</w:t>
      </w:r>
      <w:r w:rsidRPr="005D2287">
        <w:rPr>
          <w:rFonts w:ascii="Times New Roman" w:hAnsi="Times New Roman"/>
          <w:sz w:val="28"/>
          <w:szCs w:val="28"/>
        </w:rPr>
        <w:t xml:space="preserve"> šiem garantētajiem līdzekļiem Latvijai būs iespēja saņemt finansējumu arī no dažādu nozaru ES finanšu programmām: iekšlietu nozarei būs pieejami līdzekļi, tajā skaitā policijai, robežsardzei un iekšējās drošības stiprināšanai. Nākamajā septiņu gadu posmā ES budžetā paredzēts palielināt finansējumu pētniecībai, inovācijām un tehnoloģiju attīstībai. Tas dos iespēju Latvijai attīstīt zinātni, izmantojot vienlaikus gan programmu „Horizonts 2020”, gan ES fondu līdzekļus zinātniskās ekselences attīstīšanai. Līdz šim aktīvi izmantotās ERASMUS programmas turpināšana nākamajā plānošanas</w:t>
      </w:r>
      <w:r>
        <w:rPr>
          <w:rFonts w:ascii="Times New Roman" w:hAnsi="Times New Roman"/>
          <w:sz w:val="28"/>
          <w:szCs w:val="28"/>
        </w:rPr>
        <w:t xml:space="preserve"> periodā sniegs iespējas studēt</w:t>
      </w:r>
      <w:r w:rsidRPr="005D2287">
        <w:rPr>
          <w:rFonts w:ascii="Times New Roman" w:hAnsi="Times New Roman"/>
          <w:sz w:val="28"/>
          <w:szCs w:val="28"/>
        </w:rPr>
        <w:t>gribētājiem gūt pieredzi citu dalībvalstu mācību iestādēs. Tiks izveidota jauna iniciatīva, kas ļaus reģioniem ar augstu jauniešu</w:t>
      </w:r>
      <w:r>
        <w:rPr>
          <w:rFonts w:ascii="Times New Roman" w:hAnsi="Times New Roman"/>
          <w:sz w:val="28"/>
          <w:szCs w:val="28"/>
        </w:rPr>
        <w:t xml:space="preserve"> bezdarba līmeni saņemt papildu</w:t>
      </w:r>
      <w:r w:rsidRPr="005D2287">
        <w:rPr>
          <w:rFonts w:ascii="Times New Roman" w:hAnsi="Times New Roman"/>
          <w:sz w:val="28"/>
          <w:szCs w:val="28"/>
        </w:rPr>
        <w:t xml:space="preserve"> finansējumu jauniešu bezdarba mazināšanai. Tāpat nākamajā plānošanas periodā tiks turpināta COSME programma, kas paredzēta mazo un vidējo uzņēmumu atbalstam.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Vienošanās par nākošo ES daudzgadu budžetu paredz virkni uzlabojumu, lai nodrošinātu mērķtiecīgāku finansējuma izlietošanu. Tiks ieviesta vienota stratēģiskā plānošana dažādiem fondiem. ES budžeta kopējais apjoms, salīdzinot ar Eiropas Komisijas sākotnējo piedāvājumu, ir samazināts par 8,7% jeb aptuveni 100 miljardiem eiro. Latvijas provizoriskās iemaksas ES budžetā veidos 1,860 miljardus eiro. Uz katru ES budžetā iemaksāto eiro Latvija no tai piešķirtā finansējuma saņems atpakaļ 4 eiro. Tādējādi Latvija ir 4. lielākā neto saņēmēja starp visām ES dalībvalstīm. Rēķinot pieejamo atbalstu uz vienu iedzīvotāju, Latvija ierindojas 3. vietā starp ES dalībvalstīm, saņemot aptuveni 3000 eiro uz vienu ied</w:t>
      </w:r>
      <w:r>
        <w:rPr>
          <w:rFonts w:ascii="Times New Roman" w:hAnsi="Times New Roman"/>
          <w:sz w:val="28"/>
          <w:szCs w:val="28"/>
        </w:rPr>
        <w:t xml:space="preserve">zīvotāju laika periodā no 2014. līdz </w:t>
      </w:r>
      <w:r w:rsidRPr="005D2287">
        <w:rPr>
          <w:rFonts w:ascii="Times New Roman" w:hAnsi="Times New Roman"/>
          <w:sz w:val="28"/>
          <w:szCs w:val="28"/>
        </w:rPr>
        <w:t xml:space="preserve">2020.gadam. </w:t>
      </w:r>
    </w:p>
    <w:p w:rsidR="00FB637A" w:rsidRPr="005D2287" w:rsidRDefault="00FB637A" w:rsidP="005D2287">
      <w:pPr>
        <w:pStyle w:val="ListParagraph"/>
        <w:rPr>
          <w:sz w:val="28"/>
          <w:szCs w:val="28"/>
          <w:highlight w:val="yellow"/>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Kā</w:t>
      </w:r>
      <w:r w:rsidRPr="005D2287">
        <w:rPr>
          <w:rFonts w:ascii="Times New Roman" w:hAnsi="Times New Roman"/>
          <w:sz w:val="28"/>
          <w:szCs w:val="28"/>
        </w:rPr>
        <w:t xml:space="preserve"> būtisku valdības izvēlēto turpmāko Latvijas attīstības virzienu, kas ietekmēs gan mūsu, gan mūsu bērnu nākotni, uzskatu N</w:t>
      </w:r>
      <w:r>
        <w:rPr>
          <w:rFonts w:ascii="Times New Roman" w:hAnsi="Times New Roman"/>
          <w:sz w:val="28"/>
          <w:szCs w:val="28"/>
        </w:rPr>
        <w:t>acionālā attīstības plāna 2014.</w:t>
      </w:r>
      <w:r w:rsidRPr="005D2287">
        <w:rPr>
          <w:rFonts w:ascii="Times New Roman" w:hAnsi="Times New Roman"/>
          <w:sz w:val="28"/>
          <w:szCs w:val="28"/>
        </w:rPr>
        <w:t>–2020.</w:t>
      </w:r>
      <w:r>
        <w:rPr>
          <w:rFonts w:ascii="Times New Roman" w:hAnsi="Times New Roman"/>
          <w:sz w:val="28"/>
          <w:szCs w:val="28"/>
        </w:rPr>
        <w:t>g</w:t>
      </w:r>
      <w:r w:rsidRPr="005D2287">
        <w:rPr>
          <w:rFonts w:ascii="Times New Roman" w:hAnsi="Times New Roman"/>
          <w:sz w:val="28"/>
          <w:szCs w:val="28"/>
        </w:rPr>
        <w:t>ad</w:t>
      </w:r>
      <w:r>
        <w:rPr>
          <w:rFonts w:ascii="Times New Roman" w:hAnsi="Times New Roman"/>
          <w:sz w:val="28"/>
          <w:szCs w:val="28"/>
        </w:rPr>
        <w:t>a</w:t>
      </w:r>
      <w:r w:rsidRPr="005D2287">
        <w:rPr>
          <w:rFonts w:ascii="Times New Roman" w:hAnsi="Times New Roman"/>
          <w:sz w:val="28"/>
          <w:szCs w:val="28"/>
        </w:rPr>
        <w:t xml:space="preserve">m </w:t>
      </w:r>
      <w:r>
        <w:rPr>
          <w:rFonts w:ascii="Times New Roman" w:hAnsi="Times New Roman"/>
          <w:sz w:val="28"/>
          <w:szCs w:val="28"/>
        </w:rPr>
        <w:t xml:space="preserve">(NAP2020) </w:t>
      </w:r>
      <w:r w:rsidRPr="005D2287">
        <w:rPr>
          <w:rFonts w:ascii="Times New Roman" w:hAnsi="Times New Roman"/>
          <w:sz w:val="28"/>
          <w:szCs w:val="28"/>
        </w:rPr>
        <w:t>izstrādi un apstiprināšanu. Valdība 2012.gada laikā ir nodrošinājusi NAP2020 izstrādi, de</w:t>
      </w:r>
      <w:r>
        <w:rPr>
          <w:rFonts w:ascii="Times New Roman" w:hAnsi="Times New Roman"/>
          <w:sz w:val="28"/>
          <w:szCs w:val="28"/>
        </w:rPr>
        <w:t>finējot tā vadmotīvu, nosakot</w:t>
      </w:r>
      <w:r w:rsidRPr="005D2287">
        <w:rPr>
          <w:rFonts w:ascii="Times New Roman" w:hAnsi="Times New Roman"/>
          <w:sz w:val="28"/>
          <w:szCs w:val="28"/>
        </w:rPr>
        <w:t xml:space="preserve"> prioritāros virzienus un diskutējot par sasniedzamajiem mērķiem. Vēlos uzsvērt, ka panāktā vienošanās par ES daudzgadu budžetu ir priekšnoteikums Nacionālajā attīstības </w:t>
      </w:r>
      <w:r>
        <w:rPr>
          <w:rFonts w:ascii="Times New Roman" w:hAnsi="Times New Roman"/>
          <w:sz w:val="28"/>
          <w:szCs w:val="28"/>
        </w:rPr>
        <w:t>plānā izvirzīto mērķu īstenošanai un projektu finansēšanai</w:t>
      </w:r>
      <w:r w:rsidRPr="005D2287">
        <w:rPr>
          <w:rFonts w:ascii="Times New Roman" w:hAnsi="Times New Roman"/>
          <w:sz w:val="28"/>
          <w:szCs w:val="28"/>
        </w:rPr>
        <w:t>.</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Pirmo reizi valsts vēsturē ir izstrādāts naci</w:t>
      </w:r>
      <w:r>
        <w:rPr>
          <w:rFonts w:ascii="Times New Roman" w:hAnsi="Times New Roman"/>
          <w:sz w:val="28"/>
          <w:szCs w:val="28"/>
        </w:rPr>
        <w:t>onāla</w:t>
      </w:r>
      <w:r w:rsidRPr="005D2287">
        <w:rPr>
          <w:rFonts w:ascii="Times New Roman" w:hAnsi="Times New Roman"/>
          <w:sz w:val="28"/>
          <w:szCs w:val="28"/>
        </w:rPr>
        <w:t xml:space="preserve"> līmeņa plānošanas dokuments, kas ir salāgots ar resursiem, kuri būs pieejami valsts attīstībai attiecīgajā laika posmā. Kopējais NAP2020 ietvaros paredzamais finansējums investīcijām valsts attīstībai ir vairāk </w:t>
      </w:r>
      <w:r>
        <w:rPr>
          <w:rFonts w:ascii="Times New Roman" w:hAnsi="Times New Roman"/>
          <w:sz w:val="28"/>
          <w:szCs w:val="28"/>
        </w:rPr>
        <w:t>nekā 8,</w:t>
      </w:r>
      <w:r w:rsidRPr="005D2287">
        <w:rPr>
          <w:rFonts w:ascii="Times New Roman" w:hAnsi="Times New Roman"/>
          <w:sz w:val="28"/>
          <w:szCs w:val="28"/>
        </w:rPr>
        <w:t>23 miljardi latu. Šie ieguldījumi ir pamatoti ar skaidri definētiem mērķiem un piemērotākajiem līdzekļiem to sasniegšanai, ko apliecina arī pārliecinošais Saeimas atbalsts NAP2020 pieņemšanai.</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NAP2020 v</w:t>
      </w:r>
      <w:r>
        <w:rPr>
          <w:rFonts w:ascii="Times New Roman" w:hAnsi="Times New Roman"/>
          <w:sz w:val="28"/>
          <w:szCs w:val="28"/>
        </w:rPr>
        <w:t xml:space="preserve">admotīvs "Ekonomikas izrāviens </w:t>
      </w:r>
      <w:r w:rsidRPr="005D2287">
        <w:rPr>
          <w:rFonts w:ascii="Times New Roman" w:hAnsi="Times New Roman"/>
          <w:sz w:val="28"/>
          <w:szCs w:val="28"/>
        </w:rPr>
        <w:t>– katra Latvijas iedzīvotāja un valsts labklājības pieaugumam" ir primārais mērķis, kuru mēs vēlamies sasniegt. Vienlaikus būtiskas šī mērķa sasniegšanā ir</w:t>
      </w:r>
      <w:r>
        <w:rPr>
          <w:rFonts w:ascii="Times New Roman" w:hAnsi="Times New Roman"/>
          <w:sz w:val="28"/>
          <w:szCs w:val="28"/>
        </w:rPr>
        <w:t xml:space="preserve"> izvēlētās NAP2020 prioritātes </w:t>
      </w:r>
      <w:r w:rsidRPr="005D2287">
        <w:rPr>
          <w:rFonts w:ascii="Times New Roman" w:hAnsi="Times New Roman"/>
          <w:sz w:val="28"/>
          <w:szCs w:val="28"/>
        </w:rPr>
        <w:t>– "Tautas saimniecības izaugsme", "Cilvēka drošumspēja" un "Izaugsmi atbalstošas teritorijas", jo šie trīs elementi veido vienotu sistēmu mūsu valsts ilgtspējīgas un efektīvas ekonomiskās izaugsmes sasniegšanai.</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Vēlos uzvērt, ka NAP2020 nav tikai valdības vai valsts pārvaldes ierēdņu izstrādāts dokuments, jo ikvienam Latvijas iedzīvotājam bija iespēja ar </w:t>
      </w:r>
      <w:r w:rsidRPr="005D2287">
        <w:rPr>
          <w:rFonts w:ascii="Times New Roman" w:hAnsi="Times New Roman"/>
          <w:sz w:val="28"/>
          <w:szCs w:val="28"/>
        </w:rPr>
        <w:lastRenderedPageBreak/>
        <w:t>savām idejām un redzējumu par Latvijas attīstības perspektīvām iesaistīties valsts attīstības plānošanā. NAP2020 izstrādes ietvaros norisinājās līdz šim vērienīgākā diskusija par Latvijas izaugsmi, tās prioritātēm, mērķiem un sasniedzamajiem rezultātiem. Sabiedrības līdzdalības ietvaros ir notikušas trīs sabiedriskās apspriešanas kārtas, kopumā saņemot vairāk nekā 4000 priekšlikumu, kas skaidri parāda sabiedrības ieinteresētību valsts izaugsmē.</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Lai izvairītos no pagātnē pieļautām kļūdām, nākamais posms – plāna īstenošana – ir ne mazāk svarīgs. Valdība apņemas rūpīgi sekot plānā definēto uzdevumu izpildei, investīciju atbilstībai un mērķu sasniegšanai. Reizi divos gados Ministru kabinets iesniegs izskatīšanai Saeimā vienotu, savstarpēji integrētu ziņojumu par NAP2020 un Latvijas ilgtspējīgas attīstības stratēģijas līdz 2030.gadam īstenošanu, kas ļaus vērtēt, kā tiek sasniegti šajos dokumentos izvirzītie mērķi.</w:t>
      </w:r>
    </w:p>
    <w:p w:rsidR="00FB637A" w:rsidRPr="005D2287" w:rsidRDefault="00FB637A" w:rsidP="005D2287">
      <w:pPr>
        <w:spacing w:after="0" w:line="240" w:lineRule="auto"/>
        <w:jc w:val="both"/>
        <w:rPr>
          <w:rFonts w:ascii="Times New Roman" w:hAnsi="Times New Roman"/>
          <w:sz w:val="28"/>
          <w:szCs w:val="28"/>
        </w:rPr>
      </w:pPr>
    </w:p>
    <w:p w:rsidR="00FB637A" w:rsidRPr="00077EBE" w:rsidRDefault="00FB637A" w:rsidP="001131E7">
      <w:pPr>
        <w:spacing w:after="0" w:line="240" w:lineRule="auto"/>
        <w:jc w:val="both"/>
        <w:rPr>
          <w:rFonts w:ascii="Times New Roman" w:hAnsi="Times New Roman"/>
          <w:sz w:val="28"/>
          <w:szCs w:val="28"/>
        </w:rPr>
      </w:pPr>
      <w:r w:rsidRPr="00077EBE">
        <w:rPr>
          <w:rFonts w:ascii="Times New Roman" w:hAnsi="Times New Roman"/>
          <w:sz w:val="28"/>
          <w:szCs w:val="28"/>
        </w:rPr>
        <w:t>Makroekonomiskās stabilitātes nodrošināšanai svarīga ir stabila investīciju plūsma. 2012.gada pirmajos trijos ceturkšņos investīciju apjoms pieauga par 16,2% salīdzinājumā ar iepriekšējā gada attiecīgo periodu, ko lielā mērā sekmēja ieguldījumi tādās nozarēs kā enerģētika, kokapstrāde un metālizstrādājumu ražošana.</w:t>
      </w:r>
    </w:p>
    <w:p w:rsidR="00FB637A" w:rsidRPr="00077EBE" w:rsidRDefault="00FB637A" w:rsidP="001131E7">
      <w:pPr>
        <w:spacing w:after="0" w:line="240" w:lineRule="auto"/>
        <w:jc w:val="both"/>
        <w:rPr>
          <w:rFonts w:ascii="Times New Roman" w:hAnsi="Times New Roman"/>
          <w:sz w:val="28"/>
          <w:szCs w:val="28"/>
        </w:rPr>
      </w:pPr>
    </w:p>
    <w:p w:rsidR="00FB637A" w:rsidRPr="00077EBE" w:rsidRDefault="00FB637A" w:rsidP="001131E7">
      <w:pPr>
        <w:spacing w:after="0" w:line="240" w:lineRule="auto"/>
        <w:jc w:val="both"/>
        <w:rPr>
          <w:rFonts w:ascii="Times New Roman" w:hAnsi="Times New Roman"/>
          <w:sz w:val="28"/>
          <w:szCs w:val="28"/>
        </w:rPr>
      </w:pPr>
      <w:r w:rsidRPr="00077EBE">
        <w:rPr>
          <w:rFonts w:ascii="Times New Roman" w:hAnsi="Times New Roman"/>
          <w:sz w:val="28"/>
          <w:szCs w:val="28"/>
        </w:rPr>
        <w:t>Latvijā aptuveni 70% no publiskajām investīcijām sastāda ES struktūrfon</w:t>
      </w:r>
      <w:r>
        <w:rPr>
          <w:rFonts w:ascii="Times New Roman" w:hAnsi="Times New Roman"/>
          <w:sz w:val="28"/>
          <w:szCs w:val="28"/>
        </w:rPr>
        <w:t xml:space="preserve">du un Kohēzijas fonda (turpmāk </w:t>
      </w:r>
      <w:r w:rsidRPr="005D2287">
        <w:rPr>
          <w:rFonts w:ascii="Times New Roman" w:hAnsi="Times New Roman"/>
          <w:sz w:val="28"/>
          <w:szCs w:val="28"/>
        </w:rPr>
        <w:t>–</w:t>
      </w:r>
      <w:r w:rsidRPr="00077EBE">
        <w:rPr>
          <w:rFonts w:ascii="Times New Roman" w:hAnsi="Times New Roman"/>
          <w:sz w:val="28"/>
          <w:szCs w:val="28"/>
        </w:rPr>
        <w:t xml:space="preserve"> ES fondi) finansējums. Kopumā līdz 2012.gada 31.decembrim apstiprināti projekti par vairāk nekā </w:t>
      </w:r>
      <w:r w:rsidRPr="00077EBE">
        <w:rPr>
          <w:rFonts w:ascii="Times New Roman" w:hAnsi="Times New Roman"/>
          <w:bCs/>
          <w:sz w:val="28"/>
          <w:szCs w:val="28"/>
        </w:rPr>
        <w:t>3 miljardiem</w:t>
      </w:r>
      <w:r w:rsidRPr="00077EBE">
        <w:rPr>
          <w:rFonts w:ascii="Times New Roman" w:hAnsi="Times New Roman"/>
          <w:sz w:val="28"/>
          <w:szCs w:val="28"/>
        </w:rPr>
        <w:t xml:space="preserve"> latu jeb 95,4% no Latvijai pieejam</w:t>
      </w:r>
      <w:r>
        <w:rPr>
          <w:rFonts w:ascii="Times New Roman" w:hAnsi="Times New Roman"/>
          <w:sz w:val="28"/>
          <w:szCs w:val="28"/>
        </w:rPr>
        <w:t>ā ES fondu finansējuma. Papildu</w:t>
      </w:r>
      <w:r w:rsidRPr="00077EBE">
        <w:rPr>
          <w:rFonts w:ascii="Times New Roman" w:hAnsi="Times New Roman"/>
          <w:sz w:val="28"/>
          <w:szCs w:val="28"/>
        </w:rPr>
        <w:t xml:space="preserve"> tam finansējuma saņēmējiem jau ir veikti maksājumi par apstiprināto projektu īstenošanu 1,8 miljardu latu apmērā.</w:t>
      </w:r>
    </w:p>
    <w:p w:rsidR="00FB637A" w:rsidRPr="00077EBE" w:rsidRDefault="00FB637A" w:rsidP="001131E7">
      <w:pPr>
        <w:spacing w:after="0" w:line="240" w:lineRule="auto"/>
        <w:jc w:val="both"/>
        <w:rPr>
          <w:rFonts w:ascii="Times New Roman" w:hAnsi="Times New Roman"/>
          <w:sz w:val="28"/>
          <w:szCs w:val="28"/>
        </w:rPr>
      </w:pPr>
    </w:p>
    <w:p w:rsidR="00FB637A" w:rsidRPr="00077EBE" w:rsidRDefault="00FB637A" w:rsidP="001131E7">
      <w:pPr>
        <w:spacing w:after="0" w:line="240" w:lineRule="auto"/>
        <w:jc w:val="both"/>
        <w:rPr>
          <w:rFonts w:ascii="Times New Roman" w:hAnsi="Times New Roman"/>
          <w:sz w:val="28"/>
          <w:szCs w:val="28"/>
        </w:rPr>
      </w:pPr>
      <w:r w:rsidRPr="00077EBE">
        <w:rPr>
          <w:rFonts w:ascii="Times New Roman" w:hAnsi="Times New Roman"/>
          <w:sz w:val="28"/>
          <w:szCs w:val="28"/>
        </w:rPr>
        <w:t xml:space="preserve">Salīdzinot Eiropas Komisijas veiktos maksājumus ES jaunajām dalībvalstīm, 2012.gada beigās Latvija pēc kopējo saņemto maksājumu apjoma ierindojas ceturtajā vietā aiz Polijas, Igaunijas un Lietuvas. </w:t>
      </w:r>
    </w:p>
    <w:p w:rsidR="00FB637A" w:rsidRPr="00077EBE" w:rsidRDefault="00FB637A" w:rsidP="005D2287">
      <w:pPr>
        <w:spacing w:after="0" w:line="240" w:lineRule="auto"/>
        <w:jc w:val="both"/>
        <w:rPr>
          <w:rFonts w:ascii="Times New Roman" w:eastAsia="Times New Roman" w:hAnsi="Times New Roman"/>
          <w:sz w:val="28"/>
          <w:szCs w:val="28"/>
        </w:rPr>
      </w:pPr>
    </w:p>
    <w:p w:rsidR="00FB637A" w:rsidRPr="00077EBE" w:rsidRDefault="00FB637A" w:rsidP="005D2287">
      <w:pPr>
        <w:spacing w:after="0" w:line="240" w:lineRule="auto"/>
        <w:jc w:val="both"/>
        <w:rPr>
          <w:rFonts w:ascii="Times New Roman" w:hAnsi="Times New Roman"/>
          <w:sz w:val="28"/>
          <w:szCs w:val="28"/>
        </w:rPr>
      </w:pPr>
      <w:r w:rsidRPr="00077EBE">
        <w:rPr>
          <w:rFonts w:ascii="Times New Roman" w:hAnsi="Times New Roman"/>
          <w:sz w:val="28"/>
          <w:szCs w:val="28"/>
        </w:rPr>
        <w:t>Tieši uzņēmējdarbības vides uzlabošanai un ārvalstu investīciju piesaistei ir būtiska loma valsts konkurētspējas celšanā gan ES, gan starptautisk</w:t>
      </w:r>
      <w:r>
        <w:rPr>
          <w:rFonts w:ascii="Times New Roman" w:hAnsi="Times New Roman"/>
          <w:sz w:val="28"/>
          <w:szCs w:val="28"/>
        </w:rPr>
        <w:t>aj</w:t>
      </w:r>
      <w:r w:rsidRPr="00077EBE">
        <w:rPr>
          <w:rFonts w:ascii="Times New Roman" w:hAnsi="Times New Roman"/>
          <w:sz w:val="28"/>
          <w:szCs w:val="28"/>
        </w:rPr>
        <w:t xml:space="preserve">ā līmenī. </w:t>
      </w:r>
      <w:r w:rsidRPr="00077EBE">
        <w:rPr>
          <w:rFonts w:ascii="Times New Roman" w:hAnsi="Times New Roman"/>
          <w:sz w:val="28"/>
          <w:szCs w:val="28"/>
          <w:shd w:val="clear" w:color="auto" w:fill="FFFFFF"/>
        </w:rPr>
        <w:t>Pētījuma „Valsts konkurētspējas novērtējuma un ilgtspējīga valsts konkurētspējas uzraud</w:t>
      </w:r>
      <w:r>
        <w:rPr>
          <w:rFonts w:ascii="Times New Roman" w:hAnsi="Times New Roman"/>
          <w:sz w:val="28"/>
          <w:szCs w:val="28"/>
          <w:shd w:val="clear" w:color="auto" w:fill="FFFFFF"/>
        </w:rPr>
        <w:t>zības modeļa izstrāde” ziņojumā</w:t>
      </w:r>
      <w:r w:rsidRPr="00077EBE">
        <w:rPr>
          <w:rFonts w:ascii="Times New Roman" w:hAnsi="Times New Roman"/>
          <w:sz w:val="28"/>
          <w:szCs w:val="28"/>
          <w:shd w:val="clear" w:color="auto" w:fill="FFFFFF"/>
        </w:rPr>
        <w:t xml:space="preserve"> secināts, ka, lai celtu valsts konkurētspēju, Latvijai ir nepieciešams pāriet</w:t>
      </w:r>
      <w:r w:rsidRPr="00077EBE">
        <w:rPr>
          <w:rFonts w:ascii="Times New Roman" w:hAnsi="Times New Roman"/>
          <w:sz w:val="28"/>
          <w:szCs w:val="28"/>
        </w:rPr>
        <w:t xml:space="preserve"> no efektivitātes-virzītas uz inovāciju-virzītu ekonomiku, kā arī pilnveidot valsts politikas plānošanas institucionālo ietvaru. Prioritārās ar valsts konkurētspējas paaugstināšanu saistītās jomas ir ēnu ekonomikas samazināšana,</w:t>
      </w:r>
      <w:r>
        <w:rPr>
          <w:rFonts w:ascii="Times New Roman" w:hAnsi="Times New Roman"/>
          <w:sz w:val="28"/>
          <w:szCs w:val="28"/>
        </w:rPr>
        <w:t xml:space="preserve"> motivācijas radīšana </w:t>
      </w:r>
      <w:r>
        <w:rPr>
          <w:rFonts w:ascii="Times New Roman" w:hAnsi="Times New Roman"/>
          <w:sz w:val="28"/>
          <w:szCs w:val="28"/>
        </w:rPr>
        <w:lastRenderedPageBreak/>
        <w:t>nodokļu sa</w:t>
      </w:r>
      <w:r w:rsidRPr="00077EBE">
        <w:rPr>
          <w:rFonts w:ascii="Times New Roman" w:hAnsi="Times New Roman"/>
          <w:sz w:val="28"/>
          <w:szCs w:val="28"/>
        </w:rPr>
        <w:t xml:space="preserve">maksai, izglītības sistēmas kvalitātes paaugstināšana un transporta infrastruktūras uzlabošana. </w:t>
      </w:r>
    </w:p>
    <w:p w:rsidR="00FB637A" w:rsidRPr="005D2287" w:rsidRDefault="00FB637A" w:rsidP="005D2287">
      <w:pPr>
        <w:spacing w:after="0" w:line="240" w:lineRule="auto"/>
        <w:jc w:val="both"/>
        <w:rPr>
          <w:rFonts w:ascii="Times New Roman" w:hAnsi="Times New Roman"/>
          <w:color w:val="2A2A2A"/>
          <w:sz w:val="28"/>
          <w:szCs w:val="28"/>
        </w:rPr>
      </w:pPr>
    </w:p>
    <w:p w:rsidR="00FB637A" w:rsidRPr="005D2287" w:rsidRDefault="00FB637A" w:rsidP="005D2287">
      <w:pPr>
        <w:spacing w:after="0" w:line="240" w:lineRule="auto"/>
        <w:jc w:val="both"/>
        <w:rPr>
          <w:rFonts w:ascii="Times New Roman" w:hAnsi="Times New Roman"/>
          <w:color w:val="2A2A2A"/>
          <w:sz w:val="28"/>
          <w:szCs w:val="28"/>
        </w:rPr>
      </w:pPr>
      <w:r w:rsidRPr="005D2287">
        <w:rPr>
          <w:rFonts w:ascii="Times New Roman" w:hAnsi="Times New Roman"/>
          <w:color w:val="2A2A2A"/>
          <w:sz w:val="28"/>
          <w:szCs w:val="28"/>
        </w:rPr>
        <w:t xml:space="preserve">Vienlaikus valsts konkurētspēja nav iedomājama bez skaidras, prognozējamas un atbalstošas uzņēmējdarbības vides, kuras pilnveidošanai valdība velta mērķtiecīgu darbu gan Latvijas, gan ES izaugsmes stratēģijas īstenošanas kontekstā. Tāpēc </w:t>
      </w:r>
      <w:r w:rsidRPr="005D2287">
        <w:rPr>
          <w:rFonts w:ascii="Times New Roman" w:hAnsi="Times New Roman"/>
          <w:sz w:val="28"/>
          <w:szCs w:val="28"/>
        </w:rPr>
        <w:t xml:space="preserve">Latvijas vidēja termiņa stratēģiskais mērķis ir radīt izcilu uzņēmējdarbības vidi, kas stimulētu jaunu uzņēmumu attīstību, kā arī sekmīgi konkurēt ārvalstu investīciju piesaistē. Esam izvirzījuši ambiciozus mērķus un turpmākajos gados Latvijai jāspēj iekļūt Pasaules bankas </w:t>
      </w:r>
      <w:r w:rsidRPr="005D2287">
        <w:rPr>
          <w:rFonts w:ascii="Times New Roman" w:hAnsi="Times New Roman"/>
          <w:i/>
          <w:sz w:val="28"/>
          <w:szCs w:val="28"/>
        </w:rPr>
        <w:t>Doing Business</w:t>
      </w:r>
      <w:r w:rsidRPr="005D2287">
        <w:rPr>
          <w:rFonts w:ascii="Times New Roman" w:hAnsi="Times New Roman"/>
          <w:sz w:val="28"/>
          <w:szCs w:val="28"/>
        </w:rPr>
        <w:t xml:space="preserve"> pētījuma 20 labāko valstu vidū un būt starp 50 pirmajām valstīm arī Globālās konkurētspējas indeksā.</w:t>
      </w:r>
    </w:p>
    <w:p w:rsidR="00FB637A" w:rsidRPr="005D2287" w:rsidRDefault="00FB637A" w:rsidP="005D2287">
      <w:pPr>
        <w:spacing w:after="0" w:line="240" w:lineRule="auto"/>
        <w:jc w:val="both"/>
        <w:rPr>
          <w:rFonts w:ascii="Times New Roman" w:hAnsi="Times New Roman"/>
          <w:color w:val="2A2A2A"/>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color w:val="2A2A2A"/>
          <w:sz w:val="28"/>
          <w:szCs w:val="28"/>
        </w:rPr>
        <w:t xml:space="preserve">2012.gadā veikta virkne pasākumu, kas vērsti uz uzņēmējdarbības vides uzlabošanu un investīciju piesaisti. Tomēr </w:t>
      </w:r>
      <w:r w:rsidRPr="005D2287">
        <w:rPr>
          <w:rFonts w:ascii="Times New Roman" w:hAnsi="Times New Roman"/>
          <w:sz w:val="28"/>
          <w:szCs w:val="28"/>
        </w:rPr>
        <w:t xml:space="preserve">Pasaules Bankas </w:t>
      </w:r>
      <w:r w:rsidRPr="005D2287">
        <w:rPr>
          <w:rFonts w:ascii="Times New Roman" w:hAnsi="Times New Roman"/>
          <w:i/>
          <w:sz w:val="28"/>
          <w:szCs w:val="28"/>
        </w:rPr>
        <w:t>Doing Business</w:t>
      </w:r>
      <w:r w:rsidRPr="005D2287">
        <w:rPr>
          <w:rFonts w:ascii="Times New Roman" w:hAnsi="Times New Roman"/>
          <w:sz w:val="28"/>
          <w:szCs w:val="28"/>
        </w:rPr>
        <w:t xml:space="preserve"> 2013.gada pētījuma rezultāti</w:t>
      </w:r>
      <w:r w:rsidRPr="005D2287">
        <w:rPr>
          <w:rFonts w:ascii="Times New Roman" w:eastAsia="Times New Roman" w:hAnsi="Times New Roman"/>
          <w:color w:val="2A2A2A"/>
          <w:sz w:val="28"/>
          <w:szCs w:val="28"/>
        </w:rPr>
        <w:t xml:space="preserve"> liecina, ka Latvijai ir vēl daudz darāmā</w:t>
      </w:r>
      <w:r w:rsidRPr="005D2287">
        <w:rPr>
          <w:rFonts w:ascii="Times New Roman" w:hAnsi="Times New Roman"/>
          <w:sz w:val="28"/>
          <w:szCs w:val="28"/>
        </w:rPr>
        <w:t>, it īpaši tajās jomās, kurās būtiski atpaliekam no citām valstīm, piemēram, tiesu varas un tieslietu sistēmas efektivitāte un būvniecības nozares regulējums</w:t>
      </w:r>
      <w:r>
        <w:rPr>
          <w:rFonts w:ascii="Times New Roman" w:hAnsi="Times New Roman"/>
          <w:sz w:val="28"/>
          <w:szCs w:val="28"/>
        </w:rPr>
        <w:t>, kurā Latvija joprojām diemžēl ierindojas 113.vietā pasaulē.</w:t>
      </w:r>
      <w:r w:rsidRPr="005D2287">
        <w:rPr>
          <w:rFonts w:ascii="Times New Roman" w:hAnsi="Times New Roman"/>
          <w:sz w:val="28"/>
          <w:szCs w:val="28"/>
        </w:rPr>
        <w:t xml:space="preserve"> Problēmas būvniecības procesā šobrīd ir viens no galvenajiem faktoriem, kas kavē sasniegt turpmākus Latvijas uzņēmējdarbības vides uzlabojumus un arī jaunu investīciju piesaisti.</w:t>
      </w:r>
      <w:r>
        <w:rPr>
          <w:rFonts w:ascii="Times New Roman" w:hAnsi="Times New Roman"/>
          <w:sz w:val="28"/>
          <w:szCs w:val="28"/>
        </w:rPr>
        <w:t xml:space="preserve"> Līdz ar to</w:t>
      </w:r>
      <w:r w:rsidRPr="005D2287">
        <w:rPr>
          <w:rFonts w:ascii="Times New Roman" w:hAnsi="Times New Roman"/>
          <w:sz w:val="28"/>
          <w:szCs w:val="28"/>
        </w:rPr>
        <w:t xml:space="preserve"> jauna normatīvā regulējuma pieņemšana Saeimā ir viena no būtiskākajām prioritātēm uzņēmējdarbības vides pilnveidošanā. Tāpat jāturpina valdības aizsāktais darbs pie uzņēmējdarbību regulējošo normatīvo aktu un valsts pārvaldes sniegto pakalpojumu pilnveidošanas. Svarīgi atcerēties, ka Latvijas uzņēmēju un valsts konkurētspēja lielā mērā būs atkarīga no tā, cik ātri un kvalitatīvi spēsim veikt nepieciešamās reformas.</w:t>
      </w:r>
    </w:p>
    <w:p w:rsidR="00FB637A" w:rsidRPr="005D2287" w:rsidRDefault="00FB637A" w:rsidP="005D2287">
      <w:pPr>
        <w:pStyle w:val="ColorfulList-Accent11"/>
        <w:spacing w:after="0" w:line="240" w:lineRule="auto"/>
        <w:ind w:left="0"/>
        <w:jc w:val="both"/>
        <w:rPr>
          <w:rFonts w:ascii="Times New Roman" w:hAnsi="Times New Roman"/>
          <w:sz w:val="28"/>
          <w:szCs w:val="28"/>
        </w:rPr>
      </w:pPr>
    </w:p>
    <w:p w:rsidR="00FB637A" w:rsidRPr="005D2287" w:rsidRDefault="00FB637A" w:rsidP="005D2287">
      <w:pPr>
        <w:pStyle w:val="ColorfulList-Accent11"/>
        <w:spacing w:after="0" w:line="240" w:lineRule="auto"/>
        <w:ind w:left="0"/>
        <w:jc w:val="both"/>
        <w:rPr>
          <w:rFonts w:ascii="Times New Roman" w:hAnsi="Times New Roman"/>
          <w:sz w:val="28"/>
          <w:szCs w:val="28"/>
        </w:rPr>
      </w:pPr>
      <w:r w:rsidRPr="005D2287">
        <w:rPr>
          <w:rFonts w:ascii="Times New Roman" w:hAnsi="Times New Roman"/>
          <w:sz w:val="28"/>
          <w:szCs w:val="28"/>
        </w:rPr>
        <w:t>Valsts konkurētspējas uzlabošanai un valsts r</w:t>
      </w:r>
      <w:r>
        <w:rPr>
          <w:rFonts w:ascii="Times New Roman" w:hAnsi="Times New Roman"/>
          <w:sz w:val="28"/>
          <w:szCs w:val="28"/>
        </w:rPr>
        <w:t>esursu efektīvākai izmantošanai</w:t>
      </w:r>
      <w:r w:rsidRPr="005D2287">
        <w:rPr>
          <w:rFonts w:ascii="Times New Roman" w:hAnsi="Times New Roman"/>
          <w:sz w:val="28"/>
          <w:szCs w:val="28"/>
        </w:rPr>
        <w:t xml:space="preserve"> svarīgi ir nodrošināt valsts kapitāla lietderīgu un ekonomisku pārvaldību. Kā vienu no šād</w:t>
      </w:r>
      <w:r>
        <w:rPr>
          <w:rFonts w:ascii="Times New Roman" w:hAnsi="Times New Roman"/>
          <w:sz w:val="28"/>
          <w:szCs w:val="28"/>
        </w:rPr>
        <w:t>ām valdības uzsāktajām reformām</w:t>
      </w:r>
      <w:r w:rsidRPr="005D2287">
        <w:rPr>
          <w:rFonts w:ascii="Times New Roman" w:hAnsi="Times New Roman"/>
          <w:sz w:val="28"/>
          <w:szCs w:val="28"/>
        </w:rPr>
        <w:t xml:space="preserve"> vēlos pieminēt valsts kapitālsabiedrību pārvaldības reformu</w:t>
      </w:r>
      <w:r>
        <w:rPr>
          <w:rFonts w:ascii="Times New Roman" w:hAnsi="Times New Roman"/>
          <w:sz w:val="28"/>
          <w:szCs w:val="28"/>
        </w:rPr>
        <w:t>, kuras īstenošana uzsākta</w:t>
      </w:r>
      <w:r w:rsidRPr="005D2287">
        <w:rPr>
          <w:rFonts w:ascii="Times New Roman" w:hAnsi="Times New Roman"/>
          <w:sz w:val="28"/>
          <w:szCs w:val="28"/>
        </w:rPr>
        <w:t xml:space="preserve"> 2012.gadā</w:t>
      </w:r>
      <w:r>
        <w:rPr>
          <w:rFonts w:ascii="Times New Roman" w:hAnsi="Times New Roman"/>
          <w:sz w:val="28"/>
          <w:szCs w:val="28"/>
        </w:rPr>
        <w:t>,</w:t>
      </w:r>
      <w:r w:rsidRPr="005D2287">
        <w:rPr>
          <w:rFonts w:ascii="Times New Roman" w:hAnsi="Times New Roman"/>
          <w:sz w:val="28"/>
          <w:szCs w:val="28"/>
        </w:rPr>
        <w:t xml:space="preserve"> izstrādāj</w:t>
      </w:r>
      <w:r>
        <w:rPr>
          <w:rFonts w:ascii="Times New Roman" w:hAnsi="Times New Roman"/>
          <w:sz w:val="28"/>
          <w:szCs w:val="28"/>
        </w:rPr>
        <w:t>ot</w:t>
      </w:r>
      <w:r w:rsidRPr="005D2287">
        <w:rPr>
          <w:rFonts w:ascii="Times New Roman" w:hAnsi="Times New Roman"/>
          <w:sz w:val="28"/>
          <w:szCs w:val="28"/>
        </w:rPr>
        <w:t xml:space="preserve"> valsts kapitālsabiedrību daļēji centralizētās pārvaldības modeli, kas vēlāk tika integrēts Ministru kabineta atbalstītajās </w:t>
      </w:r>
      <w:r w:rsidRPr="005D2287">
        <w:rPr>
          <w:rFonts w:ascii="Times New Roman" w:eastAsia="Times New Roman" w:hAnsi="Times New Roman"/>
          <w:color w:val="000000"/>
          <w:sz w:val="28"/>
          <w:szCs w:val="28"/>
        </w:rPr>
        <w:t>Publisku personu komercdarbības koncepcij</w:t>
      </w:r>
      <w:r w:rsidRPr="005D2287">
        <w:rPr>
          <w:rFonts w:ascii="Times New Roman" w:hAnsi="Times New Roman"/>
          <w:color w:val="000000"/>
          <w:sz w:val="28"/>
          <w:szCs w:val="28"/>
        </w:rPr>
        <w:t>ā</w:t>
      </w:r>
      <w:r w:rsidRPr="005D2287">
        <w:rPr>
          <w:rFonts w:ascii="Times New Roman" w:eastAsia="Times New Roman" w:hAnsi="Times New Roman"/>
          <w:color w:val="000000"/>
          <w:sz w:val="28"/>
          <w:szCs w:val="28"/>
        </w:rPr>
        <w:t xml:space="preserve"> </w:t>
      </w:r>
      <w:r w:rsidRPr="005D2287">
        <w:rPr>
          <w:rFonts w:ascii="Times New Roman" w:hAnsi="Times New Roman"/>
          <w:color w:val="000000"/>
          <w:sz w:val="28"/>
          <w:szCs w:val="28"/>
        </w:rPr>
        <w:t xml:space="preserve">un </w:t>
      </w:r>
      <w:r w:rsidRPr="005D2287">
        <w:rPr>
          <w:rFonts w:ascii="Times New Roman" w:eastAsia="Times New Roman" w:hAnsi="Times New Roman"/>
          <w:color w:val="000000"/>
          <w:sz w:val="28"/>
          <w:szCs w:val="28"/>
        </w:rPr>
        <w:t xml:space="preserve">Valsts kapitāla daļu pārvaldības koncepcijā, kuras tālāk iezīmē valsts līdzdalības kapitālsabiedrībās izvērtēšanu un nepieciešamo normatīvo aktu izstrādi. </w:t>
      </w:r>
    </w:p>
    <w:p w:rsidR="00FB637A" w:rsidRPr="005D2287" w:rsidRDefault="00FB637A" w:rsidP="005D2287">
      <w:pPr>
        <w:pStyle w:val="ColorfulList-Accent11"/>
        <w:spacing w:after="0" w:line="240" w:lineRule="auto"/>
        <w:ind w:left="0"/>
        <w:jc w:val="both"/>
        <w:rPr>
          <w:rFonts w:ascii="Times New Roman" w:hAnsi="Times New Roman"/>
          <w:color w:val="000000"/>
          <w:sz w:val="28"/>
          <w:szCs w:val="28"/>
        </w:rPr>
      </w:pPr>
    </w:p>
    <w:p w:rsidR="00FB637A" w:rsidRPr="005D2287" w:rsidRDefault="00FB637A" w:rsidP="005D2287">
      <w:pPr>
        <w:pStyle w:val="ColorfulList-Accent11"/>
        <w:spacing w:after="0" w:line="240" w:lineRule="auto"/>
        <w:ind w:left="0"/>
        <w:jc w:val="both"/>
        <w:rPr>
          <w:rFonts w:ascii="Times New Roman" w:hAnsi="Times New Roman"/>
          <w:color w:val="000000"/>
          <w:sz w:val="28"/>
          <w:szCs w:val="28"/>
        </w:rPr>
      </w:pPr>
      <w:r>
        <w:rPr>
          <w:rFonts w:ascii="Times New Roman" w:hAnsi="Times New Roman"/>
          <w:color w:val="000000"/>
          <w:sz w:val="28"/>
          <w:szCs w:val="28"/>
        </w:rPr>
        <w:lastRenderedPageBreak/>
        <w:t xml:space="preserve">Savukārt </w:t>
      </w:r>
      <w:r w:rsidRPr="005D2287">
        <w:rPr>
          <w:rFonts w:ascii="Times New Roman" w:hAnsi="Times New Roman"/>
          <w:color w:val="000000"/>
          <w:sz w:val="28"/>
          <w:szCs w:val="28"/>
        </w:rPr>
        <w:t xml:space="preserve">2012.gada vasarā darbu ir uzsākusi </w:t>
      </w:r>
      <w:r>
        <w:rPr>
          <w:rFonts w:ascii="Times New Roman" w:hAnsi="Times New Roman"/>
          <w:sz w:val="28"/>
          <w:szCs w:val="28"/>
        </w:rPr>
        <w:t>Pārresoru koordinācijas centra</w:t>
      </w:r>
      <w:r w:rsidRPr="005D2287">
        <w:rPr>
          <w:rFonts w:ascii="Times New Roman" w:hAnsi="Times New Roman"/>
          <w:color w:val="000000"/>
          <w:sz w:val="28"/>
          <w:szCs w:val="28"/>
        </w:rPr>
        <w:t xml:space="preserve"> vadītā darba grupa, kuras galvenais uzdevums ir valsts līdzdalības kapitālsabiedrībās izvērtēšana. Paredzēts, ka darba grupa līdz 2013.gada 1.maijam </w:t>
      </w:r>
      <w:r w:rsidRPr="005D2287">
        <w:rPr>
          <w:rFonts w:ascii="Times New Roman" w:eastAsia="Times New Roman" w:hAnsi="Times New Roman"/>
          <w:sz w:val="28"/>
          <w:szCs w:val="28"/>
        </w:rPr>
        <w:t>sagatavos izskatīšanai Ministru kabinetā detalizētu informatīvo ziņojumu, ietverot priekšlikumu</w:t>
      </w:r>
      <w:r>
        <w:rPr>
          <w:rFonts w:ascii="Times New Roman" w:eastAsia="Times New Roman" w:hAnsi="Times New Roman"/>
          <w:sz w:val="28"/>
          <w:szCs w:val="28"/>
        </w:rPr>
        <w:t>s turpmākai rīcībai, tai skaitā</w:t>
      </w:r>
      <w:r w:rsidRPr="005D2287">
        <w:rPr>
          <w:rFonts w:ascii="Times New Roman" w:eastAsia="Times New Roman" w:hAnsi="Times New Roman"/>
          <w:sz w:val="28"/>
          <w:szCs w:val="28"/>
        </w:rPr>
        <w:t xml:space="preserve"> par valsts līdzdalības nepieciešamību kapitālsabiedrībās, kā arī kapitālsabiedrību turpmāko juridisko statusu un pārvaldību 216 kapitālsabiedrībās.</w:t>
      </w:r>
      <w:r w:rsidRPr="005D2287">
        <w:rPr>
          <w:rFonts w:ascii="Times New Roman" w:hAnsi="Times New Roman"/>
          <w:color w:val="000000"/>
          <w:sz w:val="28"/>
          <w:szCs w:val="28"/>
        </w:rPr>
        <w:t xml:space="preserve"> </w:t>
      </w:r>
    </w:p>
    <w:p w:rsidR="00FB637A" w:rsidRPr="005D2287" w:rsidRDefault="00FB637A" w:rsidP="005D2287">
      <w:pPr>
        <w:spacing w:after="0" w:line="240" w:lineRule="auto"/>
        <w:jc w:val="both"/>
        <w:rPr>
          <w:rFonts w:ascii="Times New Roman" w:hAnsi="Times New Roman"/>
          <w:sz w:val="28"/>
          <w:szCs w:val="28"/>
        </w:rPr>
      </w:pPr>
    </w:p>
    <w:p w:rsidR="00FB637A" w:rsidRPr="00AA1B21" w:rsidRDefault="00FB637A" w:rsidP="005D2287">
      <w:pPr>
        <w:spacing w:after="0" w:line="240" w:lineRule="auto"/>
        <w:jc w:val="both"/>
        <w:rPr>
          <w:rFonts w:ascii="Times New Roman" w:hAnsi="Times New Roman"/>
          <w:sz w:val="28"/>
          <w:szCs w:val="28"/>
        </w:rPr>
      </w:pPr>
      <w:r w:rsidRPr="00AA1B21">
        <w:rPr>
          <w:rFonts w:ascii="Times New Roman" w:hAnsi="Times New Roman"/>
          <w:sz w:val="28"/>
          <w:szCs w:val="28"/>
        </w:rPr>
        <w:t xml:space="preserve">Uzskatu, ka būtiskākais uzņēmējdarbības attīstību veicinošais priekšnoteikums ir ārvalstu investīciju piesaiste, jo tieši tās ļauj attīstīties mūsu uzņēmējiem un radīt jaunus un inovatīvus produktus, tāpēc valdības darbs 2012.gadā bija vērsts uz ārvalstu investīciju piesaisti un Latvijas atpazīstamības veicināšanu ārvalstu investoru vidū. Ārvalstu investīciju piesaistē nozīmīgs instruments ir valsts amatpersonu ārvalstu vizītes un starptautisku biznesa pasākumu organizēšana, kas ļauj tieši un nepastarpināti uzrunāt potenciālos investorus un sadarbības partnerus. </w:t>
      </w:r>
    </w:p>
    <w:p w:rsidR="00FB637A" w:rsidRPr="00AA1B21" w:rsidRDefault="00FB637A" w:rsidP="005D2287">
      <w:pPr>
        <w:spacing w:after="0" w:line="240" w:lineRule="auto"/>
        <w:jc w:val="both"/>
        <w:rPr>
          <w:rFonts w:ascii="Times New Roman" w:hAnsi="Times New Roman"/>
          <w:sz w:val="28"/>
          <w:szCs w:val="28"/>
        </w:rPr>
      </w:pPr>
    </w:p>
    <w:p w:rsidR="00FB637A" w:rsidRPr="00AA1B21" w:rsidRDefault="00FB637A" w:rsidP="005D2287">
      <w:pPr>
        <w:spacing w:after="0" w:line="240" w:lineRule="auto"/>
        <w:jc w:val="both"/>
        <w:rPr>
          <w:rFonts w:ascii="Times New Roman" w:hAnsi="Times New Roman"/>
          <w:sz w:val="28"/>
          <w:szCs w:val="28"/>
        </w:rPr>
      </w:pPr>
      <w:r w:rsidRPr="00AA1B21">
        <w:rPr>
          <w:rFonts w:ascii="Times New Roman" w:hAnsi="Times New Roman"/>
          <w:sz w:val="28"/>
          <w:szCs w:val="28"/>
        </w:rPr>
        <w:t>No 2012.gada 10.marta līdz 15.martam norisinājās mana darba vizīte Līča valstīs – Apvienotajos Arābu Emirātos  un Katarā. Vizītes rezultātā ir izveidojusies sekmīga sadarbība lauksaimniecības, it īpaši lopkopības un pārtikas rūpniecības</w:t>
      </w:r>
      <w:r>
        <w:rPr>
          <w:rFonts w:ascii="Times New Roman" w:hAnsi="Times New Roman"/>
          <w:sz w:val="28"/>
          <w:szCs w:val="28"/>
        </w:rPr>
        <w:t>,</w:t>
      </w:r>
      <w:r w:rsidRPr="00AA1B21">
        <w:rPr>
          <w:rFonts w:ascii="Times New Roman" w:hAnsi="Times New Roman"/>
          <w:sz w:val="28"/>
          <w:szCs w:val="28"/>
        </w:rPr>
        <w:t xml:space="preserve"> jomā, veicinot Latvijas eksportu un investīciju piesaisti. Papildus tam ir plānots turpināt dialoga uzturēšanu un sadarbības iespēju izpēti tādās jomās kā enerģētika, ostas un tranzīts, kokrūpniecība, kā arī nekustamie īpašumi un finanšu sektors.</w:t>
      </w:r>
      <w:r w:rsidRPr="00AA1B21">
        <w:rPr>
          <w:rFonts w:ascii="Times New Roman" w:hAnsi="Times New Roman"/>
          <w:b/>
          <w:bCs/>
          <w:sz w:val="28"/>
          <w:szCs w:val="28"/>
        </w:rPr>
        <w:t xml:space="preserve"> </w:t>
      </w:r>
    </w:p>
    <w:p w:rsidR="00FB637A" w:rsidRPr="00AA1B21" w:rsidRDefault="00FB637A" w:rsidP="005D2287">
      <w:pPr>
        <w:spacing w:after="0" w:line="240" w:lineRule="auto"/>
        <w:jc w:val="both"/>
        <w:rPr>
          <w:rFonts w:ascii="Times New Roman" w:hAnsi="Times New Roman"/>
          <w:sz w:val="28"/>
          <w:szCs w:val="28"/>
        </w:rPr>
      </w:pPr>
      <w:r>
        <w:rPr>
          <w:rFonts w:ascii="Times New Roman" w:hAnsi="Times New Roman"/>
          <w:sz w:val="28"/>
          <w:szCs w:val="28"/>
        </w:rPr>
        <w:t xml:space="preserve">2012.gada </w:t>
      </w:r>
      <w:r w:rsidRPr="00AA1B21">
        <w:rPr>
          <w:rFonts w:ascii="Times New Roman" w:hAnsi="Times New Roman"/>
          <w:sz w:val="28"/>
          <w:szCs w:val="28"/>
        </w:rPr>
        <w:t xml:space="preserve">25.-27.novembrī Rīgā norisinājās Starptautiskais Ķīnas uzņēmējdarbības forums </w:t>
      </w:r>
      <w:r w:rsidRPr="00AA1B21">
        <w:rPr>
          <w:rFonts w:ascii="Times New Roman" w:hAnsi="Times New Roman"/>
          <w:i/>
          <w:sz w:val="28"/>
          <w:szCs w:val="28"/>
        </w:rPr>
        <w:t>(2012 Global China Business Meeting)</w:t>
      </w:r>
      <w:r w:rsidRPr="00AA1B21">
        <w:rPr>
          <w:rFonts w:ascii="Times New Roman" w:hAnsi="Times New Roman"/>
          <w:sz w:val="28"/>
          <w:szCs w:val="28"/>
        </w:rPr>
        <w:t>, kurā tikā</w:t>
      </w:r>
      <w:r>
        <w:rPr>
          <w:rFonts w:ascii="Times New Roman" w:hAnsi="Times New Roman"/>
          <w:sz w:val="28"/>
          <w:szCs w:val="28"/>
        </w:rPr>
        <w:t>s augstākā līmeņa Ķīnas uzņēmēji</w:t>
      </w:r>
      <w:r w:rsidRPr="00AA1B21">
        <w:rPr>
          <w:rFonts w:ascii="Times New Roman" w:hAnsi="Times New Roman"/>
          <w:sz w:val="28"/>
          <w:szCs w:val="28"/>
        </w:rPr>
        <w:t xml:space="preserve"> un to ārvalstu sadarbības partneri. Rezultātā tika identificētas perspektīvās sadarbības jomas un radīta augsne konkrētiem investīciju projektu piedāvājumiem un biznesa idejām.</w:t>
      </w:r>
      <w:r>
        <w:rPr>
          <w:rFonts w:ascii="Times New Roman" w:hAnsi="Times New Roman"/>
          <w:sz w:val="28"/>
          <w:szCs w:val="28"/>
        </w:rPr>
        <w:t xml:space="preserve"> </w:t>
      </w:r>
    </w:p>
    <w:p w:rsidR="00FB637A" w:rsidRPr="00AA1B21" w:rsidRDefault="00FB637A" w:rsidP="005D2287">
      <w:pPr>
        <w:spacing w:after="0" w:line="240" w:lineRule="auto"/>
        <w:jc w:val="both"/>
        <w:rPr>
          <w:rFonts w:ascii="Times New Roman" w:hAnsi="Times New Roman"/>
          <w:sz w:val="28"/>
          <w:szCs w:val="28"/>
        </w:rPr>
      </w:pPr>
    </w:p>
    <w:p w:rsidR="00FB637A" w:rsidRPr="00AA1B21" w:rsidRDefault="00FB637A" w:rsidP="005D2287">
      <w:pPr>
        <w:spacing w:after="0" w:line="240" w:lineRule="auto"/>
        <w:jc w:val="both"/>
        <w:rPr>
          <w:rFonts w:ascii="Times New Roman" w:hAnsi="Times New Roman"/>
          <w:sz w:val="28"/>
          <w:szCs w:val="28"/>
        </w:rPr>
      </w:pPr>
      <w:r w:rsidRPr="00AA1B21">
        <w:rPr>
          <w:rFonts w:ascii="Times New Roman" w:hAnsi="Times New Roman"/>
          <w:sz w:val="28"/>
          <w:szCs w:val="28"/>
        </w:rPr>
        <w:t xml:space="preserve">Lai iepazīstinātu ASV biznesa pārstāvjus ar Latviju kā pievilcīgu uzņēmējdarbības galamērķi, kā arī klātienē pārrunātu </w:t>
      </w:r>
      <w:r w:rsidRPr="00AA1B21">
        <w:rPr>
          <w:rStyle w:val="hps"/>
          <w:sz w:val="28"/>
          <w:szCs w:val="28"/>
        </w:rPr>
        <w:t>ASV un</w:t>
      </w:r>
      <w:r w:rsidRPr="00AA1B21">
        <w:rPr>
          <w:rFonts w:ascii="Times New Roman" w:hAnsi="Times New Roman"/>
          <w:sz w:val="28"/>
          <w:szCs w:val="28"/>
        </w:rPr>
        <w:t xml:space="preserve"> </w:t>
      </w:r>
      <w:r w:rsidRPr="00AA1B21">
        <w:rPr>
          <w:rStyle w:val="hps"/>
          <w:sz w:val="28"/>
          <w:szCs w:val="28"/>
        </w:rPr>
        <w:t>Latvijas biznesa</w:t>
      </w:r>
      <w:r w:rsidRPr="00AA1B21">
        <w:rPr>
          <w:rFonts w:ascii="Times New Roman" w:hAnsi="Times New Roman"/>
          <w:sz w:val="28"/>
          <w:szCs w:val="28"/>
        </w:rPr>
        <w:t xml:space="preserve"> </w:t>
      </w:r>
      <w:r w:rsidRPr="00AA1B21">
        <w:rPr>
          <w:rStyle w:val="hps"/>
          <w:sz w:val="28"/>
          <w:szCs w:val="28"/>
        </w:rPr>
        <w:t>sadarbības</w:t>
      </w:r>
      <w:r w:rsidRPr="00AA1B21">
        <w:rPr>
          <w:rFonts w:ascii="Times New Roman" w:hAnsi="Times New Roman"/>
          <w:sz w:val="28"/>
          <w:szCs w:val="28"/>
        </w:rPr>
        <w:t xml:space="preserve"> </w:t>
      </w:r>
      <w:r w:rsidRPr="00AA1B21">
        <w:rPr>
          <w:rStyle w:val="hps"/>
          <w:sz w:val="28"/>
          <w:szCs w:val="28"/>
        </w:rPr>
        <w:t>iespējas,</w:t>
      </w:r>
      <w:r w:rsidRPr="00AA1B21">
        <w:rPr>
          <w:rFonts w:ascii="Times New Roman" w:hAnsi="Times New Roman"/>
          <w:sz w:val="28"/>
          <w:szCs w:val="28"/>
        </w:rPr>
        <w:t xml:space="preserve"> 2012.gada vasarā Rīgā notika ASV biznesa forums, kurā piedalījās 20 ASV kompānijas, ap 30 uzņēmēji un Latvijas goda konsuli ASV. </w:t>
      </w:r>
    </w:p>
    <w:p w:rsidR="00FB637A" w:rsidRDefault="00FB637A" w:rsidP="005D2287">
      <w:pPr>
        <w:spacing w:after="0" w:line="240" w:lineRule="auto"/>
        <w:jc w:val="both"/>
        <w:rPr>
          <w:rFonts w:ascii="Times New Roman" w:hAnsi="Times New Roman"/>
          <w:sz w:val="28"/>
          <w:szCs w:val="28"/>
        </w:rPr>
      </w:pPr>
    </w:p>
    <w:p w:rsidR="00FB637A" w:rsidRDefault="00FB637A" w:rsidP="005D2287">
      <w:pPr>
        <w:spacing w:after="0" w:line="240" w:lineRule="auto"/>
        <w:jc w:val="both"/>
        <w:rPr>
          <w:rFonts w:ascii="Times New Roman" w:hAnsi="Times New Roman"/>
          <w:sz w:val="28"/>
          <w:szCs w:val="28"/>
        </w:rPr>
      </w:pPr>
      <w:r>
        <w:rPr>
          <w:rFonts w:ascii="Times New Roman" w:hAnsi="Times New Roman"/>
          <w:sz w:val="28"/>
          <w:szCs w:val="28"/>
        </w:rPr>
        <w:t>Ļ</w:t>
      </w:r>
      <w:r w:rsidRPr="00AA1B21">
        <w:rPr>
          <w:rFonts w:ascii="Times New Roman" w:hAnsi="Times New Roman"/>
          <w:sz w:val="28"/>
          <w:szCs w:val="28"/>
        </w:rPr>
        <w:t>oti lielu interesi Latvijas uzņēmēji izrādīja par Ministru prezidenta oficiālo  vizīt</w:t>
      </w:r>
      <w:r>
        <w:rPr>
          <w:rFonts w:ascii="Times New Roman" w:hAnsi="Times New Roman"/>
          <w:sz w:val="28"/>
          <w:szCs w:val="28"/>
        </w:rPr>
        <w:t>i Azerbaidžānas Republikā 2012.</w:t>
      </w:r>
      <w:r w:rsidRPr="00AA1B21">
        <w:rPr>
          <w:rFonts w:ascii="Times New Roman" w:hAnsi="Times New Roman"/>
          <w:sz w:val="28"/>
          <w:szCs w:val="28"/>
        </w:rPr>
        <w:t xml:space="preserve">gada novembrī. Tā bija otrā lielākā  </w:t>
      </w:r>
      <w:r>
        <w:rPr>
          <w:rFonts w:ascii="Times New Roman" w:hAnsi="Times New Roman"/>
          <w:sz w:val="28"/>
          <w:szCs w:val="28"/>
        </w:rPr>
        <w:t xml:space="preserve">Latvijas delegācija ārvalstīs </w:t>
      </w:r>
      <w:r w:rsidRPr="005D2287">
        <w:rPr>
          <w:rFonts w:ascii="Times New Roman" w:hAnsi="Times New Roman"/>
          <w:sz w:val="28"/>
          <w:szCs w:val="28"/>
        </w:rPr>
        <w:t>–</w:t>
      </w:r>
      <w:r w:rsidRPr="00AA1B21">
        <w:rPr>
          <w:rFonts w:ascii="Times New Roman" w:hAnsi="Times New Roman"/>
          <w:sz w:val="28"/>
          <w:szCs w:val="28"/>
        </w:rPr>
        <w:t> ap 90 uzņēmēju piedalījās vizītes ietvaros notikušajā biznesa forumā</w:t>
      </w:r>
      <w:r>
        <w:rPr>
          <w:rFonts w:ascii="Times New Roman" w:hAnsi="Times New Roman"/>
          <w:sz w:val="28"/>
          <w:szCs w:val="28"/>
        </w:rPr>
        <w:t>.</w:t>
      </w: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lastRenderedPageBreak/>
        <w:t>Neatņemama valsts konkurētspējas paaugstināšanas un uzņēmējdarbības vides uzlabošanas sastāvdaļa ir arī ēnu ekonomikas apkarošana, kas joprojām ir viena no galven</w:t>
      </w:r>
      <w:r>
        <w:rPr>
          <w:rFonts w:ascii="Times New Roman" w:hAnsi="Times New Roman"/>
          <w:sz w:val="28"/>
          <w:szCs w:val="28"/>
        </w:rPr>
        <w:t>ajām valdības prioritātēm, jo ēnu ekonomika</w:t>
      </w:r>
      <w:r w:rsidRPr="005D2287">
        <w:rPr>
          <w:rFonts w:ascii="Times New Roman" w:hAnsi="Times New Roman"/>
          <w:sz w:val="28"/>
          <w:szCs w:val="28"/>
        </w:rPr>
        <w:t xml:space="preserve"> tieši ietekmē valsts budžeta ieņēmumu apjomu, kā arī rada nevienlīdzīgu konkurenci uzņēmēju starpā.</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Īstenojot Pasākumu plānu ēnu ekonomikas apkarošanai un godīgas konkurences nodrošināšanai 2010.–2013.gadam, 2012.gadā atbalstīti grozījumi likumā „Par nodokļiem un nodevām”, kas ievieš stingrākas metodes un līdzekļus cīņai pret nodokļu nemaksātājiem, kā arī stiprina Valsts ieņēmumu dienesta kapacitāti gan preventīvo, gan kontroles un uzraudzības pasākumu īstenošanā, sekmējot nodokļu saistību izpildes līmeņa paaugstināšanos un ēnu ekonomikas īpatsvara mazināšanos.</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2012.</w:t>
      </w:r>
      <w:r w:rsidRPr="005D2287">
        <w:rPr>
          <w:rFonts w:ascii="Times New Roman" w:hAnsi="Times New Roman"/>
          <w:sz w:val="28"/>
          <w:szCs w:val="28"/>
        </w:rPr>
        <w:t>gadā tika arī uzsākta iedzīvotāju mantiskā stāvokļa sākumdeklarēšana, kas</w:t>
      </w:r>
      <w:r>
        <w:rPr>
          <w:rFonts w:ascii="Times New Roman" w:hAnsi="Times New Roman"/>
          <w:sz w:val="28"/>
          <w:szCs w:val="28"/>
        </w:rPr>
        <w:t xml:space="preserve"> turpmāk ļaus efektīvāk cīnīties pret izvairīšanos no nodokļiem un nelegāliem ienākumiem.</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Kopumā pozit</w:t>
      </w:r>
      <w:r>
        <w:rPr>
          <w:rFonts w:ascii="Times New Roman" w:hAnsi="Times New Roman"/>
          <w:sz w:val="28"/>
          <w:szCs w:val="28"/>
        </w:rPr>
        <w:t>īvās izmaiņas valsts ekonomikā ļaus novirzīt papildu</w:t>
      </w:r>
      <w:r w:rsidRPr="005D2287">
        <w:rPr>
          <w:rFonts w:ascii="Times New Roman" w:hAnsi="Times New Roman"/>
          <w:sz w:val="28"/>
          <w:szCs w:val="28"/>
        </w:rPr>
        <w:t xml:space="preserve"> līdzekļus iedzīvotāju labklājības un sociālā nodrošinājuma celšanai. Prioritārie valdības sociālās politikas pasākumi ir vērsti uz valsts sniegtā atbalsta palielināšanu </w:t>
      </w:r>
      <w:r w:rsidRPr="005D2287">
        <w:rPr>
          <w:rFonts w:ascii="Times New Roman" w:hAnsi="Times New Roman"/>
          <w:color w:val="1F1F1F"/>
          <w:sz w:val="28"/>
          <w:szCs w:val="28"/>
        </w:rPr>
        <w:t xml:space="preserve">ģimenēm ar bērniem, izglītības nozarei, veselības aprūpei, kultūrai un citām jomām, kā arī uzsākot algu pacelšanu publiskajā sektorā strādājošajiem. </w:t>
      </w:r>
    </w:p>
    <w:p w:rsidR="00FB637A" w:rsidRDefault="00FB637A" w:rsidP="0078662D">
      <w:pPr>
        <w:spacing w:after="0" w:line="240" w:lineRule="auto"/>
        <w:jc w:val="both"/>
        <w:rPr>
          <w:rFonts w:ascii="Times New Roman" w:eastAsia="Times New Roman" w:hAnsi="Times New Roman"/>
          <w:b/>
          <w:sz w:val="28"/>
          <w:szCs w:val="28"/>
        </w:rPr>
      </w:pPr>
    </w:p>
    <w:p w:rsidR="00FB637A" w:rsidRPr="005D2287" w:rsidRDefault="00FB637A" w:rsidP="0078662D">
      <w:pPr>
        <w:spacing w:after="0" w:line="240" w:lineRule="auto"/>
        <w:jc w:val="both"/>
        <w:rPr>
          <w:rFonts w:ascii="Times New Roman" w:hAnsi="Times New Roman"/>
          <w:sz w:val="28"/>
          <w:szCs w:val="28"/>
        </w:rPr>
      </w:pPr>
      <w:r w:rsidRPr="005D2287">
        <w:rPr>
          <w:rFonts w:ascii="Times New Roman" w:hAnsi="Times New Roman"/>
          <w:sz w:val="28"/>
          <w:szCs w:val="28"/>
        </w:rPr>
        <w:t>Īpaši jāuzsver pedago</w:t>
      </w:r>
      <w:r>
        <w:rPr>
          <w:rFonts w:ascii="Times New Roman" w:hAnsi="Times New Roman"/>
          <w:sz w:val="28"/>
          <w:szCs w:val="28"/>
        </w:rPr>
        <w:t>gu atalgojumu reformas uzsākšana</w:t>
      </w:r>
      <w:r w:rsidRPr="005D2287">
        <w:rPr>
          <w:rFonts w:ascii="Times New Roman" w:hAnsi="Times New Roman"/>
          <w:sz w:val="28"/>
          <w:szCs w:val="28"/>
        </w:rPr>
        <w:t xml:space="preserve">, kur piešķirts finansējums zemākās mēneša darba algas likmes paaugstināšanai par 10% no 2012.gada 1.septembra, tiek uzsākta diferencēta pedagogu atalgojuma ieviešana, sasaistot to ar pedagogu profesionālās darbības kvalitāti, nodrošinot piemaksu vidēji 10% pedagogiem, kā arī piešķirts finansējums sakarā ar audzēkņu skaita palielināšanos mācību iestādēs. </w:t>
      </w:r>
    </w:p>
    <w:p w:rsidR="00FB637A" w:rsidRPr="005D2287" w:rsidRDefault="00FB637A" w:rsidP="005D2287">
      <w:pPr>
        <w:pStyle w:val="ListParagraph"/>
        <w:ind w:left="360"/>
        <w:jc w:val="both"/>
        <w:rPr>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Nenoliedzami, ka tautas ataudzes nodrošināšana ir viena no galvenajām manis vadītās valdības prioritātēm, kas ietver kompleksu uzdevumu kopumu galveno demogrāfijas rādītāju un tendenču stabilizācijai. Nācija varēs ilgstoši pastāvēt tad, ja būs pietiekams jaundzimušo skaits, tiks mazināti priekšlaicīgas mirstības un darbspēju zaudējuma riski, tauta no emigrācijas atgriezīsies Latvijā un vēlēsies dzīvot un veidot ģimeni dzimtenē. </w:t>
      </w:r>
    </w:p>
    <w:p w:rsidR="00FB637A" w:rsidRPr="005D2287" w:rsidRDefault="00FB637A" w:rsidP="005D2287">
      <w:pPr>
        <w:pStyle w:val="NoSpacing1"/>
        <w:jc w:val="both"/>
        <w:rPr>
          <w:rFonts w:ascii="Times New Roman" w:hAnsi="Times New Roman"/>
          <w:sz w:val="28"/>
          <w:szCs w:val="28"/>
        </w:rPr>
      </w:pPr>
    </w:p>
    <w:p w:rsidR="00FB637A" w:rsidRPr="005D2287" w:rsidRDefault="00FB637A" w:rsidP="005D2287">
      <w:pPr>
        <w:pStyle w:val="NoSpacing1"/>
        <w:jc w:val="both"/>
        <w:rPr>
          <w:rFonts w:ascii="Times New Roman" w:hAnsi="Times New Roman"/>
          <w:sz w:val="28"/>
          <w:szCs w:val="28"/>
        </w:rPr>
      </w:pPr>
      <w:r w:rsidRPr="005D2287">
        <w:rPr>
          <w:rFonts w:ascii="Times New Roman" w:hAnsi="Times New Roman"/>
          <w:sz w:val="28"/>
          <w:szCs w:val="28"/>
        </w:rPr>
        <w:lastRenderedPageBreak/>
        <w:t>Demogrāfisko lietu padome 2012.gadā ir aktīvi strādājusi pie demogrāfiskās situācijas uzlabošanas, uzsvaru liekot gan uz dzimstības veicināšanu, gan atbalsta pasākumiem ģimeņu nabadzības risku mazināšanai. Ministru kabinets ir atbalstījis „Mātes un bērna ves</w:t>
      </w:r>
      <w:r>
        <w:rPr>
          <w:rFonts w:ascii="Times New Roman" w:hAnsi="Times New Roman"/>
          <w:sz w:val="28"/>
          <w:szCs w:val="28"/>
        </w:rPr>
        <w:t>elības uzlabošanas plānu 2012.-</w:t>
      </w:r>
      <w:r w:rsidRPr="005D2287">
        <w:rPr>
          <w:rFonts w:ascii="Times New Roman" w:hAnsi="Times New Roman"/>
          <w:sz w:val="28"/>
          <w:szCs w:val="28"/>
        </w:rPr>
        <w:t>2014.gadam” un „Rīcības plānu „Ģimenes valsts</w:t>
      </w:r>
      <w:r>
        <w:rPr>
          <w:rFonts w:ascii="Times New Roman" w:hAnsi="Times New Roman"/>
          <w:sz w:val="28"/>
          <w:szCs w:val="28"/>
        </w:rPr>
        <w:t xml:space="preserve"> politikas pamatnostādņu 2011.-</w:t>
      </w:r>
      <w:r w:rsidRPr="005D2287">
        <w:rPr>
          <w:rFonts w:ascii="Times New Roman" w:hAnsi="Times New Roman"/>
          <w:sz w:val="28"/>
          <w:szCs w:val="28"/>
        </w:rPr>
        <w:t>2017.gadam” īstenošanai 2012.–2014.gadā”, jau no 2012.gada paredzot valsts budžeta finansējumu atbalsta pasākumiem dzimstības veicināšanai, be</w:t>
      </w:r>
      <w:r>
        <w:rPr>
          <w:rFonts w:ascii="Times New Roman" w:hAnsi="Times New Roman"/>
          <w:sz w:val="28"/>
          <w:szCs w:val="28"/>
        </w:rPr>
        <w:t>t no 2013.</w:t>
      </w:r>
      <w:r w:rsidRPr="005D2287">
        <w:rPr>
          <w:rFonts w:ascii="Times New Roman" w:hAnsi="Times New Roman"/>
          <w:sz w:val="28"/>
          <w:szCs w:val="28"/>
        </w:rPr>
        <w:t xml:space="preserve">gada – konkrētiem pasākumiem, kas dos iespējas savienot ģimenes un darba dzīvi un </w:t>
      </w:r>
      <w:r>
        <w:rPr>
          <w:rFonts w:ascii="Times New Roman" w:hAnsi="Times New Roman"/>
          <w:sz w:val="28"/>
          <w:szCs w:val="28"/>
        </w:rPr>
        <w:t>sniegs atbalstu vecākiem</w:t>
      </w:r>
      <w:r w:rsidRPr="005D2287">
        <w:rPr>
          <w:rFonts w:ascii="Times New Roman" w:hAnsi="Times New Roman"/>
          <w:sz w:val="28"/>
          <w:szCs w:val="28"/>
        </w:rPr>
        <w:t xml:space="preserve"> bērnu kopšanas laikā, kad bērna attīstībai vecāku klātbūtne ir vissvarīgākā.</w:t>
      </w:r>
      <w:r w:rsidRPr="005D2287">
        <w:rPr>
          <w:rFonts w:ascii="Times New Roman" w:hAnsi="Times New Roman"/>
          <w:bCs/>
          <w:sz w:val="28"/>
          <w:szCs w:val="28"/>
        </w:rPr>
        <w:t xml:space="preserve"> Kopumā demogrāfijas veicināšanai 2013.gada budžetā atvēlēti vairāk nekā 50 milj. latu.</w:t>
      </w:r>
    </w:p>
    <w:p w:rsidR="00FB637A" w:rsidRPr="005D2287" w:rsidRDefault="00FB637A" w:rsidP="005D2287">
      <w:pPr>
        <w:pStyle w:val="NoSpacing1"/>
        <w:jc w:val="both"/>
        <w:rPr>
          <w:rFonts w:ascii="Times New Roman" w:hAnsi="Times New Roman"/>
          <w:sz w:val="28"/>
          <w:szCs w:val="28"/>
        </w:rPr>
      </w:pPr>
    </w:p>
    <w:p w:rsidR="00FB637A" w:rsidRPr="005D2287" w:rsidRDefault="00FB637A" w:rsidP="005D2287">
      <w:pPr>
        <w:pStyle w:val="NoSpacing1"/>
        <w:jc w:val="both"/>
        <w:rPr>
          <w:rFonts w:ascii="Times New Roman" w:hAnsi="Times New Roman"/>
          <w:sz w:val="28"/>
          <w:szCs w:val="28"/>
        </w:rPr>
      </w:pPr>
      <w:r w:rsidRPr="005D2287">
        <w:rPr>
          <w:rFonts w:ascii="Times New Roman" w:hAnsi="Times New Roman"/>
          <w:sz w:val="28"/>
          <w:szCs w:val="28"/>
        </w:rPr>
        <w:t>Lai veicinātu dzimstību, no 2012.gada neauglības ārstēšana iekļauta valsts apmaksātajos medicīniskajos pakalpojumos, tādā veidā nākotnē plānojot jaundzimušo skaita pieaugumu aptuveni par 3% gadā. Savukārt, lai mazinātu ģimeņu nabadzības risku, 2012.gadā pieņemto lēmumu rezultātā no 2013.g</w:t>
      </w:r>
      <w:r>
        <w:rPr>
          <w:rFonts w:ascii="Times New Roman" w:hAnsi="Times New Roman"/>
          <w:sz w:val="28"/>
          <w:szCs w:val="28"/>
        </w:rPr>
        <w:t>ada</w:t>
      </w:r>
      <w:r w:rsidRPr="005D2287">
        <w:rPr>
          <w:rFonts w:ascii="Times New Roman" w:hAnsi="Times New Roman"/>
          <w:sz w:val="28"/>
          <w:szCs w:val="28"/>
        </w:rPr>
        <w:t xml:space="preserve"> 1.janvāra divkāršotas valsts obligātās sociālās apdrošināšanas iemaksas par vecākiem, kuri kopj bērnu līdz pusotra gada vecumam, divkāršots </w:t>
      </w:r>
      <w:r w:rsidRPr="005D2287">
        <w:rPr>
          <w:rFonts w:ascii="Times New Roman" w:hAnsi="Times New Roman"/>
          <w:color w:val="000000"/>
          <w:sz w:val="28"/>
          <w:szCs w:val="28"/>
        </w:rPr>
        <w:t xml:space="preserve">maternitātes, paternitātes un vecāku pabalsta atļautais apmērs, </w:t>
      </w:r>
      <w:r w:rsidRPr="005D2287">
        <w:rPr>
          <w:rFonts w:ascii="Times New Roman" w:hAnsi="Times New Roman"/>
          <w:sz w:val="28"/>
          <w:szCs w:val="28"/>
        </w:rPr>
        <w:t xml:space="preserve">divkāršots bērna kopšanas pabalsts sociāli neapdrošinātiem vecākiem (no 50 latiem uz 100 latiem) no bērna dzimšanas līdz gada vecumam, palielināts minimālais apmērs bērna kopšanas pabalstam sociāli apdrošinātajām personām (līdz 100 latiem) no bērna dzimšanas līdz gada vecumam, ieviesti nekustamā īpašuma nodokļa </w:t>
      </w:r>
      <w:r w:rsidRPr="005D2287">
        <w:rPr>
          <w:rFonts w:ascii="Times New Roman" w:hAnsi="Times New Roman"/>
          <w:color w:val="000000"/>
          <w:sz w:val="28"/>
          <w:szCs w:val="28"/>
        </w:rPr>
        <w:t xml:space="preserve">atvieglojumi 50% apmērā (bet ne vairāk par 300 latiem) </w:t>
      </w:r>
      <w:r w:rsidRPr="005D2287">
        <w:rPr>
          <w:rFonts w:ascii="Times New Roman" w:hAnsi="Times New Roman"/>
          <w:sz w:val="28"/>
          <w:szCs w:val="28"/>
        </w:rPr>
        <w:t xml:space="preserve">par dzīvojamo māju vai dzīvokli un tam piekrītošo zemi personām, kurām ir trīs vai vairāk bērnu vecumā līdz 18 gadiem un kuriem ir kopīga deklarētā dzīvesvieta. </w:t>
      </w:r>
    </w:p>
    <w:p w:rsidR="00FB637A" w:rsidRPr="005D2287" w:rsidRDefault="00FB637A" w:rsidP="005D2287">
      <w:pPr>
        <w:pStyle w:val="NoSpacing1"/>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Lai nodrošinātu tautas ataudzi, būtisks un neatliekami risināms ir jautājums par valsts iedzīvotāju veselības uzlabošanu. Uzlabojot mātes un bērna veselību un samazinot zīdaiņu un perinatālo mirstību, no 2012.gada veiktas būtiskas izmaiņas grūtnieču, jauno māmiņu un jaundzimušo veselības aprūpē – ir pilnveidots un palielināts no valsts budžeta finansēto pakalpojumu klāsts, kā arī uzlabota veselības aprūpes finansiālā un teritoriālā pieejamība ģimenēm, kuras gaida mazuli vai kurām tas tikko ir piedzimis.</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Tomēr, neskatoties uz jau iepriekš minētajiem pasākumiem, vēlos uzvērt, ka demogrāfijas jautājumi ir risināmi kompleksi. Eiropas valstu pieredze rāda, </w:t>
      </w:r>
      <w:r w:rsidRPr="005D2287">
        <w:rPr>
          <w:rFonts w:ascii="Times New Roman" w:hAnsi="Times New Roman"/>
          <w:sz w:val="28"/>
          <w:szCs w:val="28"/>
        </w:rPr>
        <w:lastRenderedPageBreak/>
        <w:t>ka bērnu radīšanas priekšnosacījums ir stab</w:t>
      </w:r>
      <w:r>
        <w:rPr>
          <w:rFonts w:ascii="Times New Roman" w:hAnsi="Times New Roman"/>
          <w:sz w:val="28"/>
          <w:szCs w:val="28"/>
        </w:rPr>
        <w:t xml:space="preserve">ila sociālekonomiskā situācija </w:t>
      </w:r>
      <w:r w:rsidRPr="005D2287">
        <w:rPr>
          <w:rFonts w:ascii="Times New Roman" w:hAnsi="Times New Roman"/>
          <w:sz w:val="28"/>
          <w:szCs w:val="28"/>
        </w:rPr>
        <w:t>– stabili ienākumi, pastāvīgs darbs, stabilas sociālās garantijas, iespēja sekmīgi savienot darba un ģimenes dzīvi. Tāpēc svarīgi ir palielināt IKP rādītājus uz vienu iedzīvotāju un mazināt nevienlīdzību un sociālo atstumtību, lai tād</w:t>
      </w:r>
      <w:r>
        <w:rPr>
          <w:rFonts w:ascii="Times New Roman" w:hAnsi="Times New Roman"/>
          <w:sz w:val="28"/>
          <w:szCs w:val="28"/>
        </w:rPr>
        <w:t>ē</w:t>
      </w:r>
      <w:r w:rsidRPr="005D2287">
        <w:rPr>
          <w:rFonts w:ascii="Times New Roman" w:hAnsi="Times New Roman"/>
          <w:sz w:val="28"/>
          <w:szCs w:val="28"/>
        </w:rPr>
        <w:t xml:space="preserve">jādi sekmētu iedzīvotāju skaita dabisko pieaugumu. </w:t>
      </w:r>
    </w:p>
    <w:p w:rsidR="00FB637A" w:rsidRPr="005D2287" w:rsidRDefault="00FB637A" w:rsidP="005D2287">
      <w:pPr>
        <w:tabs>
          <w:tab w:val="left" w:pos="720"/>
        </w:tabs>
        <w:spacing w:after="0" w:line="240" w:lineRule="auto"/>
        <w:jc w:val="both"/>
        <w:rPr>
          <w:rFonts w:ascii="Times New Roman" w:hAnsi="Times New Roman"/>
          <w:sz w:val="28"/>
          <w:szCs w:val="28"/>
        </w:rPr>
      </w:pPr>
    </w:p>
    <w:p w:rsidR="00FB637A" w:rsidRPr="005D2287" w:rsidRDefault="00FB637A" w:rsidP="005D2287">
      <w:pPr>
        <w:tabs>
          <w:tab w:val="left" w:pos="720"/>
        </w:tabs>
        <w:spacing w:after="0" w:line="240" w:lineRule="auto"/>
        <w:jc w:val="both"/>
        <w:rPr>
          <w:rFonts w:ascii="Times New Roman" w:hAnsi="Times New Roman"/>
          <w:sz w:val="28"/>
          <w:szCs w:val="28"/>
        </w:rPr>
      </w:pPr>
      <w:r w:rsidRPr="005D2287">
        <w:rPr>
          <w:rFonts w:ascii="Times New Roman" w:hAnsi="Times New Roman"/>
          <w:sz w:val="28"/>
          <w:szCs w:val="28"/>
        </w:rPr>
        <w:t>Ņemot vērā ilgstoši negatīvo iedzīvotāju dabisko pieaugumu valstī, kā arī ārkārtīgi lielo pēdējo desmit gadu laikā emigrējušo darbspējas vecuma iedzīvotāju skaitu, jau 2011.gadā tika identificēti riski sociālās apdrošināšanas sistēmas stabilitātei, iemaksām sociālās apdrošināšanas budžetā</w:t>
      </w:r>
      <w:r>
        <w:rPr>
          <w:rFonts w:ascii="Times New Roman" w:hAnsi="Times New Roman"/>
          <w:sz w:val="28"/>
          <w:szCs w:val="28"/>
        </w:rPr>
        <w:t xml:space="preserve"> nesedzot plānotos izdevumus nākotnē</w:t>
      </w:r>
      <w:r w:rsidRPr="005D2287">
        <w:rPr>
          <w:rFonts w:ascii="Times New Roman" w:hAnsi="Times New Roman"/>
          <w:sz w:val="28"/>
          <w:szCs w:val="28"/>
        </w:rPr>
        <w:t xml:space="preserve">. Lai nodrošinātu sociālās apdrošināšanas sistēmas stabilitāti ilgtermiņā, </w:t>
      </w:r>
      <w:r>
        <w:rPr>
          <w:rFonts w:ascii="Times New Roman" w:hAnsi="Times New Roman"/>
          <w:sz w:val="28"/>
          <w:szCs w:val="28"/>
        </w:rPr>
        <w:t xml:space="preserve">nolemts, </w:t>
      </w:r>
      <w:r w:rsidRPr="005D2287">
        <w:rPr>
          <w:rFonts w:ascii="Times New Roman" w:hAnsi="Times New Roman"/>
          <w:sz w:val="28"/>
          <w:szCs w:val="28"/>
        </w:rPr>
        <w:t>sākot no 2014.gada</w:t>
      </w:r>
      <w:r>
        <w:rPr>
          <w:rFonts w:ascii="Times New Roman" w:hAnsi="Times New Roman"/>
          <w:sz w:val="28"/>
          <w:szCs w:val="28"/>
        </w:rPr>
        <w:t xml:space="preserve">, </w:t>
      </w:r>
      <w:r w:rsidRPr="005D2287">
        <w:rPr>
          <w:rFonts w:ascii="Times New Roman" w:hAnsi="Times New Roman"/>
          <w:sz w:val="28"/>
          <w:szCs w:val="28"/>
        </w:rPr>
        <w:t xml:space="preserve">pakāpeniski paaugstināt pensionēšanās vecumu, līdz 2020.gadam </w:t>
      </w:r>
      <w:r>
        <w:rPr>
          <w:rFonts w:ascii="Times New Roman" w:hAnsi="Times New Roman"/>
          <w:sz w:val="28"/>
          <w:szCs w:val="28"/>
        </w:rPr>
        <w:t xml:space="preserve">tam </w:t>
      </w:r>
      <w:r w:rsidRPr="005D2287">
        <w:rPr>
          <w:rFonts w:ascii="Times New Roman" w:hAnsi="Times New Roman"/>
          <w:sz w:val="28"/>
          <w:szCs w:val="28"/>
        </w:rPr>
        <w:t xml:space="preserve">sasniedzot 65 gadu slieksni. Tāpat </w:t>
      </w:r>
      <w:r>
        <w:rPr>
          <w:rFonts w:ascii="Times New Roman" w:hAnsi="Times New Roman"/>
          <w:sz w:val="28"/>
          <w:szCs w:val="28"/>
        </w:rPr>
        <w:t xml:space="preserve">ir </w:t>
      </w:r>
      <w:r w:rsidRPr="005D2287">
        <w:rPr>
          <w:rFonts w:ascii="Times New Roman" w:hAnsi="Times New Roman"/>
          <w:sz w:val="28"/>
          <w:szCs w:val="28"/>
        </w:rPr>
        <w:t xml:space="preserve">pieņemts lēmums </w:t>
      </w:r>
      <w:r>
        <w:rPr>
          <w:rFonts w:ascii="Times New Roman" w:hAnsi="Times New Roman"/>
          <w:sz w:val="28"/>
          <w:szCs w:val="28"/>
        </w:rPr>
        <w:t xml:space="preserve">pakāpeniski celt </w:t>
      </w:r>
      <w:r w:rsidRPr="005D2287">
        <w:rPr>
          <w:rFonts w:ascii="Times New Roman" w:hAnsi="Times New Roman"/>
          <w:sz w:val="28"/>
          <w:szCs w:val="28"/>
        </w:rPr>
        <w:t xml:space="preserve">iemaksu likmes pensiju 2.līmenī, 2013.gadā </w:t>
      </w:r>
      <w:r>
        <w:rPr>
          <w:rFonts w:ascii="Times New Roman" w:hAnsi="Times New Roman"/>
          <w:sz w:val="28"/>
          <w:szCs w:val="28"/>
        </w:rPr>
        <w:t>tām sasniedzot 4%</w:t>
      </w:r>
      <w:r w:rsidRPr="005D2287">
        <w:rPr>
          <w:rFonts w:ascii="Times New Roman" w:hAnsi="Times New Roman"/>
          <w:sz w:val="28"/>
          <w:szCs w:val="28"/>
        </w:rPr>
        <w:t xml:space="preserve">, savukārt no 2016.gada </w:t>
      </w:r>
      <w:r>
        <w:rPr>
          <w:rFonts w:ascii="Times New Roman" w:hAnsi="Times New Roman"/>
          <w:sz w:val="28"/>
          <w:szCs w:val="28"/>
        </w:rPr>
        <w:t xml:space="preserve">iemaksu apjoms tiks </w:t>
      </w:r>
      <w:r w:rsidRPr="005D2287">
        <w:rPr>
          <w:rFonts w:ascii="Times New Roman" w:hAnsi="Times New Roman"/>
          <w:sz w:val="28"/>
          <w:szCs w:val="28"/>
        </w:rPr>
        <w:t>palielināt</w:t>
      </w:r>
      <w:r>
        <w:rPr>
          <w:rFonts w:ascii="Times New Roman" w:hAnsi="Times New Roman"/>
          <w:sz w:val="28"/>
          <w:szCs w:val="28"/>
        </w:rPr>
        <w:t>s</w:t>
      </w:r>
      <w:r w:rsidRPr="005D2287">
        <w:rPr>
          <w:rFonts w:ascii="Times New Roman" w:hAnsi="Times New Roman"/>
          <w:sz w:val="28"/>
          <w:szCs w:val="28"/>
        </w:rPr>
        <w:t xml:space="preserve"> līdz 6 %.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V</w:t>
      </w:r>
      <w:r w:rsidRPr="005D2287">
        <w:rPr>
          <w:rFonts w:ascii="Times New Roman" w:hAnsi="Times New Roman"/>
          <w:sz w:val="28"/>
          <w:szCs w:val="28"/>
        </w:rPr>
        <w:t>aldības deklarācijā</w:t>
      </w:r>
      <w:r>
        <w:rPr>
          <w:rFonts w:ascii="Times New Roman" w:hAnsi="Times New Roman"/>
          <w:sz w:val="28"/>
          <w:szCs w:val="28"/>
        </w:rPr>
        <w:t xml:space="preserve"> noteikts</w:t>
      </w:r>
      <w:r w:rsidRPr="005D2287">
        <w:rPr>
          <w:rFonts w:ascii="Times New Roman" w:hAnsi="Times New Roman"/>
          <w:sz w:val="28"/>
          <w:szCs w:val="28"/>
        </w:rPr>
        <w:t>,</w:t>
      </w:r>
      <w:r>
        <w:rPr>
          <w:rFonts w:ascii="Times New Roman" w:hAnsi="Times New Roman"/>
          <w:sz w:val="28"/>
          <w:szCs w:val="28"/>
        </w:rPr>
        <w:t xml:space="preserve"> ka</w:t>
      </w:r>
      <w:r w:rsidRPr="005D2287">
        <w:rPr>
          <w:rFonts w:ascii="Times New Roman" w:hAnsi="Times New Roman"/>
          <w:sz w:val="28"/>
          <w:szCs w:val="28"/>
        </w:rPr>
        <w:t xml:space="preserve"> stabilas un ilgtspējīgas Latvijas attīstības galvenais stūrakmens ir ikviena Latvijas iedzīvotāja labklājības veicināšana un attiecīgi sociālās nevienlīdzības un sociālās atstumtības mazināšana. Sociālās atstumtības process ietver dažādus aspektus, taču būtiskākie no tiem ir zemi ienākumi, bezdarbs un sociālā izolētība.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Šobrīd</w:t>
      </w:r>
      <w:r w:rsidRPr="005D2287">
        <w:rPr>
          <w:rFonts w:ascii="Times New Roman" w:hAnsi="Times New Roman"/>
          <w:sz w:val="28"/>
          <w:szCs w:val="28"/>
        </w:rPr>
        <w:t xml:space="preserve"> valdībā tiek meklēti risinājumi nabadzības mazināšanai strādājoš</w:t>
      </w:r>
      <w:r>
        <w:rPr>
          <w:rFonts w:ascii="Times New Roman" w:hAnsi="Times New Roman"/>
          <w:sz w:val="28"/>
          <w:szCs w:val="28"/>
        </w:rPr>
        <w:t>aj</w:t>
      </w:r>
      <w:r w:rsidRPr="005D2287">
        <w:rPr>
          <w:rFonts w:ascii="Times New Roman" w:hAnsi="Times New Roman"/>
          <w:sz w:val="28"/>
          <w:szCs w:val="28"/>
        </w:rPr>
        <w:t xml:space="preserve">iem ar zemiem ienākumiem. </w:t>
      </w:r>
      <w:r>
        <w:rPr>
          <w:rFonts w:ascii="Times New Roman" w:hAnsi="Times New Roman"/>
          <w:sz w:val="28"/>
          <w:szCs w:val="28"/>
        </w:rPr>
        <w:t>N</w:t>
      </w:r>
      <w:r w:rsidRPr="005D2287">
        <w:rPr>
          <w:rFonts w:ascii="Times New Roman" w:hAnsi="Times New Roman"/>
          <w:sz w:val="28"/>
          <w:szCs w:val="28"/>
        </w:rPr>
        <w:t>o 2013.gada 1.jūlija paaugstināts iedzīvotāju ienākuma nodokļa atvieglojuma apmērs par apgādībā esošu personu līdz Ls 80</w:t>
      </w:r>
      <w:r>
        <w:rPr>
          <w:rFonts w:ascii="Times New Roman" w:hAnsi="Times New Roman"/>
          <w:sz w:val="28"/>
          <w:szCs w:val="28"/>
        </w:rPr>
        <w:t>. Ši</w:t>
      </w:r>
      <w:r w:rsidRPr="005D2287">
        <w:rPr>
          <w:rFonts w:ascii="Times New Roman" w:hAnsi="Times New Roman"/>
          <w:sz w:val="28"/>
          <w:szCs w:val="28"/>
        </w:rPr>
        <w:t xml:space="preserve">m pasākumam ir pozitīva ietekme ne vien uz ienākumu nabadzības mazināšanu, bet arī </w:t>
      </w:r>
      <w:r>
        <w:rPr>
          <w:rFonts w:ascii="Times New Roman" w:hAnsi="Times New Roman"/>
          <w:sz w:val="28"/>
          <w:szCs w:val="28"/>
        </w:rPr>
        <w:t xml:space="preserve">uz </w:t>
      </w:r>
      <w:r w:rsidRPr="005D2287">
        <w:rPr>
          <w:rFonts w:ascii="Times New Roman" w:hAnsi="Times New Roman"/>
          <w:sz w:val="28"/>
          <w:szCs w:val="28"/>
        </w:rPr>
        <w:t>nevienlīdzīb</w:t>
      </w:r>
      <w:r>
        <w:rPr>
          <w:rFonts w:ascii="Times New Roman" w:hAnsi="Times New Roman"/>
          <w:sz w:val="28"/>
          <w:szCs w:val="28"/>
        </w:rPr>
        <w:t>as mazināšanu</w:t>
      </w:r>
      <w:r w:rsidRPr="005D2287">
        <w:rPr>
          <w:rFonts w:ascii="Times New Roman" w:hAnsi="Times New Roman"/>
          <w:sz w:val="28"/>
          <w:szCs w:val="28"/>
        </w:rPr>
        <w:t xml:space="preserve">.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 xml:space="preserve">Tomēr, neskatoties uz jau pieņemtajiem lēmumiem, tuvākajā nākotnē nepieciešamas diskusijas un rīcība, </w:t>
      </w:r>
      <w:r>
        <w:rPr>
          <w:rFonts w:ascii="Times New Roman" w:hAnsi="Times New Roman"/>
          <w:sz w:val="28"/>
          <w:szCs w:val="28"/>
        </w:rPr>
        <w:t xml:space="preserve">kas </w:t>
      </w:r>
      <w:r w:rsidRPr="005D2287">
        <w:rPr>
          <w:rFonts w:ascii="Times New Roman" w:hAnsi="Times New Roman"/>
          <w:sz w:val="28"/>
          <w:szCs w:val="28"/>
        </w:rPr>
        <w:t>mērķtiecīg</w:t>
      </w:r>
      <w:r>
        <w:rPr>
          <w:rFonts w:ascii="Times New Roman" w:hAnsi="Times New Roman"/>
          <w:sz w:val="28"/>
          <w:szCs w:val="28"/>
        </w:rPr>
        <w:t>i</w:t>
      </w:r>
      <w:r w:rsidRPr="005D2287">
        <w:rPr>
          <w:rFonts w:ascii="Times New Roman" w:hAnsi="Times New Roman"/>
          <w:sz w:val="28"/>
          <w:szCs w:val="28"/>
        </w:rPr>
        <w:t xml:space="preserve"> </w:t>
      </w:r>
      <w:r>
        <w:rPr>
          <w:rFonts w:ascii="Times New Roman" w:hAnsi="Times New Roman"/>
          <w:sz w:val="28"/>
          <w:szCs w:val="28"/>
        </w:rPr>
        <w:t>mazinātu</w:t>
      </w:r>
      <w:r w:rsidRPr="005D2287">
        <w:rPr>
          <w:rFonts w:ascii="Times New Roman" w:hAnsi="Times New Roman"/>
          <w:sz w:val="28"/>
          <w:szCs w:val="28"/>
        </w:rPr>
        <w:t xml:space="preserve"> nabadzības risk</w:t>
      </w:r>
      <w:r>
        <w:rPr>
          <w:rFonts w:ascii="Times New Roman" w:hAnsi="Times New Roman"/>
          <w:sz w:val="28"/>
          <w:szCs w:val="28"/>
        </w:rPr>
        <w:t>am pakļauto iedzīvotāju skaitu</w:t>
      </w:r>
      <w:r w:rsidRPr="005D2287">
        <w:rPr>
          <w:rFonts w:ascii="Times New Roman" w:hAnsi="Times New Roman"/>
          <w:sz w:val="28"/>
          <w:szCs w:val="28"/>
        </w:rPr>
        <w:t xml:space="preserve">. Lemjot par minimālās mēnešalgas celšanu, </w:t>
      </w:r>
      <w:r>
        <w:rPr>
          <w:rFonts w:ascii="Times New Roman" w:hAnsi="Times New Roman"/>
          <w:sz w:val="28"/>
          <w:szCs w:val="28"/>
        </w:rPr>
        <w:t xml:space="preserve">svarīgi atrast līdzsvaru starp strādājošo ienākumu pieaugumu un šāda soļa potenciālo ietekmi uz bezdarbu. </w:t>
      </w:r>
      <w:r w:rsidRPr="005D2287">
        <w:rPr>
          <w:rFonts w:ascii="Times New Roman" w:hAnsi="Times New Roman"/>
          <w:sz w:val="28"/>
          <w:szCs w:val="28"/>
        </w:rPr>
        <w:t xml:space="preserve">Taču būtiskākais izaicinājums šajā procesā </w:t>
      </w:r>
      <w:r>
        <w:rPr>
          <w:rFonts w:ascii="Times New Roman" w:hAnsi="Times New Roman"/>
          <w:sz w:val="28"/>
          <w:szCs w:val="28"/>
        </w:rPr>
        <w:t xml:space="preserve">ir panākt </w:t>
      </w:r>
      <w:r w:rsidRPr="005D2287">
        <w:rPr>
          <w:rFonts w:ascii="Times New Roman" w:hAnsi="Times New Roman"/>
          <w:sz w:val="28"/>
          <w:szCs w:val="28"/>
        </w:rPr>
        <w:t>stabila vidusslāņa kā sociālekonomiskas statusa grupas izveid</w:t>
      </w:r>
      <w:r>
        <w:rPr>
          <w:rFonts w:ascii="Times New Roman" w:hAnsi="Times New Roman"/>
          <w:sz w:val="28"/>
          <w:szCs w:val="28"/>
        </w:rPr>
        <w:t>i</w:t>
      </w:r>
      <w:r w:rsidRPr="005D2287">
        <w:rPr>
          <w:rFonts w:ascii="Times New Roman" w:hAnsi="Times New Roman"/>
          <w:sz w:val="28"/>
          <w:szCs w:val="28"/>
        </w:rPr>
        <w:t xml:space="preserve">, kas </w:t>
      </w:r>
      <w:r>
        <w:rPr>
          <w:rFonts w:ascii="Times New Roman" w:hAnsi="Times New Roman"/>
          <w:sz w:val="28"/>
          <w:szCs w:val="28"/>
        </w:rPr>
        <w:t xml:space="preserve">kalpotu par </w:t>
      </w:r>
      <w:r w:rsidRPr="005D2287">
        <w:rPr>
          <w:rFonts w:ascii="Times New Roman" w:hAnsi="Times New Roman"/>
          <w:sz w:val="28"/>
          <w:szCs w:val="28"/>
        </w:rPr>
        <w:t>dzinējspēk</w:t>
      </w:r>
      <w:r>
        <w:rPr>
          <w:rFonts w:ascii="Times New Roman" w:hAnsi="Times New Roman"/>
          <w:sz w:val="28"/>
          <w:szCs w:val="28"/>
        </w:rPr>
        <w:t>u</w:t>
      </w:r>
      <w:r w:rsidRPr="005D2287">
        <w:rPr>
          <w:rFonts w:ascii="Times New Roman" w:hAnsi="Times New Roman"/>
          <w:sz w:val="28"/>
          <w:szCs w:val="28"/>
        </w:rPr>
        <w:t xml:space="preserve"> turpmākai Latvijas attīstībai.</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2012.gadā</w:t>
      </w:r>
      <w:r w:rsidRPr="005D2287">
        <w:rPr>
          <w:rFonts w:ascii="Times New Roman" w:hAnsi="Times New Roman"/>
          <w:sz w:val="28"/>
          <w:szCs w:val="28"/>
        </w:rPr>
        <w:t xml:space="preserve"> valdībā tika izstrādāts un apstiprināts sabiedrības saliedētības plāns, kam bija divi uzdevumi. Tas, no vienas puses, akcentēja un atbalstīja cilvēku savstarpējo sadarbību kā būtisku priekšnosacījumu s</w:t>
      </w:r>
      <w:r>
        <w:rPr>
          <w:rFonts w:ascii="Times New Roman" w:hAnsi="Times New Roman"/>
          <w:sz w:val="28"/>
          <w:szCs w:val="28"/>
        </w:rPr>
        <w:t xml:space="preserve">abiedrības un </w:t>
      </w:r>
      <w:r>
        <w:rPr>
          <w:rFonts w:ascii="Times New Roman" w:hAnsi="Times New Roman"/>
          <w:sz w:val="28"/>
          <w:szCs w:val="28"/>
        </w:rPr>
        <w:lastRenderedPageBreak/>
        <w:t>valsts attīstībai</w:t>
      </w:r>
      <w:r w:rsidRPr="005D2287">
        <w:rPr>
          <w:rFonts w:ascii="Times New Roman" w:hAnsi="Times New Roman"/>
          <w:sz w:val="28"/>
          <w:szCs w:val="28"/>
        </w:rPr>
        <w:t xml:space="preserve"> un, no otras puses, stingri iezīmēja nacionālās identitātes un valsts valodas pozīcijas. Pilsoniskā iesaiste, sadarbība un aktivitāte apliecina, ka mēs viens otram uzticamies un esam vienoti kopīgiem mērķiem</w:t>
      </w:r>
      <w:r>
        <w:rPr>
          <w:rFonts w:ascii="Times New Roman" w:hAnsi="Times New Roman"/>
          <w:sz w:val="28"/>
          <w:szCs w:val="28"/>
        </w:rPr>
        <w:t>. Valdība ir izstrādājusi vairākas programmas, aicinot</w:t>
      </w:r>
      <w:r w:rsidRPr="005D2287">
        <w:rPr>
          <w:rFonts w:ascii="Times New Roman" w:hAnsi="Times New Roman"/>
          <w:sz w:val="28"/>
          <w:szCs w:val="28"/>
        </w:rPr>
        <w:t xml:space="preserve"> pilsonisko sabiedrību s</w:t>
      </w:r>
      <w:r>
        <w:rPr>
          <w:rFonts w:ascii="Times New Roman" w:hAnsi="Times New Roman"/>
          <w:sz w:val="28"/>
          <w:szCs w:val="28"/>
        </w:rPr>
        <w:t>niegt ieguldījumu ekonomisko un</w:t>
      </w:r>
      <w:r w:rsidRPr="005D2287">
        <w:rPr>
          <w:rFonts w:ascii="Times New Roman" w:hAnsi="Times New Roman"/>
          <w:sz w:val="28"/>
          <w:szCs w:val="28"/>
        </w:rPr>
        <w:t xml:space="preserve"> sociālo atšķirību mazināšanā, </w:t>
      </w:r>
      <w:r>
        <w:rPr>
          <w:rFonts w:ascii="Times New Roman" w:hAnsi="Times New Roman"/>
          <w:sz w:val="28"/>
          <w:szCs w:val="28"/>
        </w:rPr>
        <w:t xml:space="preserve">kā arī </w:t>
      </w:r>
      <w:r w:rsidRPr="005D2287">
        <w:rPr>
          <w:rFonts w:ascii="Times New Roman" w:hAnsi="Times New Roman"/>
          <w:sz w:val="28"/>
          <w:szCs w:val="28"/>
        </w:rPr>
        <w:t>dažādu pasākumu bērniem un jauniešiem no atstumtības riska ģimenēm organizēšanā</w:t>
      </w:r>
      <w:r>
        <w:rPr>
          <w:rFonts w:ascii="Times New Roman" w:hAnsi="Times New Roman"/>
          <w:sz w:val="28"/>
          <w:szCs w:val="28"/>
        </w:rPr>
        <w:t xml:space="preserve">. Tāpat esam veicinājuši dažādu </w:t>
      </w:r>
      <w:r w:rsidRPr="005D2287">
        <w:rPr>
          <w:rFonts w:ascii="Times New Roman" w:hAnsi="Times New Roman"/>
          <w:sz w:val="28"/>
          <w:szCs w:val="28"/>
        </w:rPr>
        <w:t xml:space="preserve">nevalstisko organizāciju </w:t>
      </w:r>
      <w:r>
        <w:rPr>
          <w:rFonts w:ascii="Times New Roman" w:hAnsi="Times New Roman"/>
          <w:sz w:val="28"/>
          <w:szCs w:val="28"/>
        </w:rPr>
        <w:t xml:space="preserve">līdzdalību </w:t>
      </w:r>
      <w:r w:rsidRPr="005D2287">
        <w:rPr>
          <w:rFonts w:ascii="Times New Roman" w:hAnsi="Times New Roman"/>
          <w:sz w:val="28"/>
          <w:szCs w:val="28"/>
        </w:rPr>
        <w:t>lēmumu pieņemšanas procesā un publisko pakalpojumu sniegšanā</w:t>
      </w:r>
      <w:r>
        <w:rPr>
          <w:rFonts w:ascii="Times New Roman" w:hAnsi="Times New Roman"/>
          <w:sz w:val="28"/>
          <w:szCs w:val="28"/>
        </w:rPr>
        <w:t>. Runājot par dažādo etnisko grupu integrēšanai veltītām programmām, kā īpaši veiksmīgu es vēlos izcelt</w:t>
      </w:r>
      <w:r w:rsidRPr="005D2287">
        <w:rPr>
          <w:rFonts w:ascii="Times New Roman" w:hAnsi="Times New Roman"/>
          <w:bCs/>
          <w:sz w:val="28"/>
          <w:szCs w:val="28"/>
        </w:rPr>
        <w:t xml:space="preserve"> apmaiņas programm</w:t>
      </w:r>
      <w:r>
        <w:rPr>
          <w:rFonts w:ascii="Times New Roman" w:hAnsi="Times New Roman"/>
          <w:bCs/>
          <w:sz w:val="28"/>
          <w:szCs w:val="28"/>
        </w:rPr>
        <w:t>u</w:t>
      </w:r>
      <w:r w:rsidRPr="005D2287">
        <w:rPr>
          <w:rFonts w:ascii="Times New Roman" w:hAnsi="Times New Roman"/>
          <w:bCs/>
          <w:sz w:val="28"/>
          <w:szCs w:val="28"/>
        </w:rPr>
        <w:t xml:space="preserve"> </w:t>
      </w:r>
      <w:r>
        <w:rPr>
          <w:rFonts w:ascii="Times New Roman" w:hAnsi="Times New Roman"/>
          <w:bCs/>
          <w:sz w:val="28"/>
          <w:szCs w:val="28"/>
        </w:rPr>
        <w:t xml:space="preserve">ģimenēm starp </w:t>
      </w:r>
      <w:r w:rsidRPr="005D2287">
        <w:rPr>
          <w:rFonts w:ascii="Times New Roman" w:hAnsi="Times New Roman"/>
          <w:bCs/>
          <w:sz w:val="28"/>
          <w:szCs w:val="28"/>
        </w:rPr>
        <w:t>latviešu un mazākumtautību bērniem</w:t>
      </w:r>
      <w:r>
        <w:rPr>
          <w:rFonts w:ascii="Times New Roman" w:hAnsi="Times New Roman"/>
          <w:bCs/>
          <w:sz w:val="28"/>
          <w:szCs w:val="28"/>
        </w:rPr>
        <w:t>.</w:t>
      </w:r>
    </w:p>
    <w:p w:rsidR="00FB637A" w:rsidRPr="005D2287" w:rsidRDefault="00FB637A" w:rsidP="005D2287">
      <w:pPr>
        <w:spacing w:after="0" w:line="240" w:lineRule="auto"/>
        <w:jc w:val="both"/>
        <w:rPr>
          <w:rFonts w:ascii="Times New Roman" w:hAnsi="Times New Roman"/>
          <w:sz w:val="28"/>
          <w:szCs w:val="28"/>
        </w:rPr>
      </w:pPr>
      <w:r>
        <w:rPr>
          <w:rFonts w:ascii="Times New Roman" w:hAnsi="Times New Roman"/>
          <w:sz w:val="28"/>
          <w:szCs w:val="28"/>
        </w:rPr>
        <w:t xml:space="preserve">Latviešu valodas stiprināšanai izveidota </w:t>
      </w:r>
      <w:r w:rsidRPr="005D2287">
        <w:rPr>
          <w:rFonts w:ascii="Times New Roman" w:hAnsi="Times New Roman"/>
          <w:sz w:val="28"/>
          <w:szCs w:val="28"/>
        </w:rPr>
        <w:t>bērnu un jauniešu lasīšanas veicināšanas programma</w:t>
      </w:r>
      <w:r>
        <w:rPr>
          <w:rFonts w:ascii="Times New Roman" w:hAnsi="Times New Roman"/>
          <w:sz w:val="28"/>
          <w:szCs w:val="28"/>
        </w:rPr>
        <w:t xml:space="preserve">, kas domāta visu tautību bērniem. </w:t>
      </w:r>
      <w:r w:rsidRPr="005D2287">
        <w:rPr>
          <w:rFonts w:ascii="Times New Roman" w:hAnsi="Times New Roman"/>
          <w:sz w:val="28"/>
          <w:szCs w:val="28"/>
        </w:rPr>
        <w:t>Kopumā sabiedrības saliedētības jautājumu risināšanai atvēlēti 928 000 latu 2012.gadā un 1,1 m</w:t>
      </w:r>
      <w:r>
        <w:rPr>
          <w:rFonts w:ascii="Times New Roman" w:hAnsi="Times New Roman"/>
          <w:sz w:val="28"/>
          <w:szCs w:val="28"/>
        </w:rPr>
        <w:t>i</w:t>
      </w:r>
      <w:r w:rsidRPr="005D2287">
        <w:rPr>
          <w:rFonts w:ascii="Times New Roman" w:hAnsi="Times New Roman"/>
          <w:sz w:val="28"/>
          <w:szCs w:val="28"/>
        </w:rPr>
        <w:t>lj</w:t>
      </w:r>
      <w:r>
        <w:rPr>
          <w:rFonts w:ascii="Times New Roman" w:hAnsi="Times New Roman"/>
          <w:sz w:val="28"/>
          <w:szCs w:val="28"/>
        </w:rPr>
        <w:t>.</w:t>
      </w:r>
      <w:r w:rsidRPr="005D2287">
        <w:rPr>
          <w:rFonts w:ascii="Times New Roman" w:hAnsi="Times New Roman"/>
          <w:sz w:val="28"/>
          <w:szCs w:val="28"/>
        </w:rPr>
        <w:t xml:space="preserve"> latu 2013</w:t>
      </w:r>
      <w:r>
        <w:rPr>
          <w:rFonts w:ascii="Times New Roman" w:hAnsi="Times New Roman"/>
          <w:sz w:val="28"/>
          <w:szCs w:val="28"/>
        </w:rPr>
        <w:t>.</w:t>
      </w:r>
      <w:r w:rsidRPr="005D2287">
        <w:rPr>
          <w:rFonts w:ascii="Times New Roman" w:hAnsi="Times New Roman"/>
          <w:sz w:val="28"/>
          <w:szCs w:val="28"/>
        </w:rPr>
        <w:t>gadā.</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Kā vēl viena valdības prioritāte ir minama reģionālās attīstības atbalstīšana un sekmēšana, kas ir iezīmēta arī kā viena no NAP2020 prioritātēm. Apzinoties problēmas, kas ir saistītas ar nevienlīdzīgām attīstības un izaugsmes iespējām reģionos, valdība ir pastiprināti pievērsusi uzman</w:t>
      </w:r>
      <w:r>
        <w:rPr>
          <w:rFonts w:ascii="Times New Roman" w:hAnsi="Times New Roman"/>
          <w:sz w:val="28"/>
          <w:szCs w:val="28"/>
        </w:rPr>
        <w:t>ību atsevišķu valsts reģionu,</w:t>
      </w:r>
      <w:r w:rsidRPr="005D2287">
        <w:rPr>
          <w:rFonts w:ascii="Times New Roman" w:hAnsi="Times New Roman"/>
          <w:sz w:val="28"/>
          <w:szCs w:val="28"/>
        </w:rPr>
        <w:t xml:space="preserve"> īpaši Latgales reģiona, a</w:t>
      </w:r>
      <w:r>
        <w:rPr>
          <w:rFonts w:ascii="Times New Roman" w:hAnsi="Times New Roman"/>
          <w:sz w:val="28"/>
          <w:szCs w:val="28"/>
        </w:rPr>
        <w:t>ttīstībai un izaugsmei, lai tādē</w:t>
      </w:r>
      <w:r w:rsidRPr="005D2287">
        <w:rPr>
          <w:rFonts w:ascii="Times New Roman" w:hAnsi="Times New Roman"/>
          <w:sz w:val="28"/>
          <w:szCs w:val="28"/>
        </w:rPr>
        <w:t>jādi palielinātu to izaugsmes iespējas un konkurētspēju nacionālajā un starptautiskajā līmenī.</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Lai sekmētu reģionu attīstību, 2012.gadā pašvaldībām sniegts būtisks atbalsts publiskās infrastruktūras attīstība</w:t>
      </w:r>
      <w:r>
        <w:rPr>
          <w:rFonts w:ascii="Times New Roman" w:hAnsi="Times New Roman"/>
          <w:sz w:val="28"/>
          <w:szCs w:val="28"/>
        </w:rPr>
        <w:t>i. Papildus nozaru investīcijām</w:t>
      </w:r>
      <w:r w:rsidRPr="005D2287">
        <w:rPr>
          <w:rFonts w:ascii="Times New Roman" w:hAnsi="Times New Roman"/>
          <w:sz w:val="28"/>
          <w:szCs w:val="28"/>
        </w:rPr>
        <w:t xml:space="preserve"> pašvaldībām dota iespēja izlietot daļu ES finansējuma atbilstoši to attīstības programmās noteiktaj</w:t>
      </w:r>
      <w:r>
        <w:rPr>
          <w:rFonts w:ascii="Times New Roman" w:hAnsi="Times New Roman"/>
          <w:sz w:val="28"/>
          <w:szCs w:val="28"/>
        </w:rPr>
        <w:t>ām prioritātēm</w:t>
      </w:r>
      <w:r w:rsidRPr="005D2287">
        <w:rPr>
          <w:rFonts w:ascii="Times New Roman" w:hAnsi="Times New Roman"/>
          <w:sz w:val="28"/>
          <w:szCs w:val="28"/>
        </w:rPr>
        <w:t xml:space="preserve">, 2012.gadā </w:t>
      </w:r>
      <w:r>
        <w:rPr>
          <w:rFonts w:ascii="Times New Roman" w:hAnsi="Times New Roman"/>
          <w:sz w:val="28"/>
          <w:szCs w:val="28"/>
        </w:rPr>
        <w:t>Latvijas reģionos veikti ieguldījumi</w:t>
      </w:r>
      <w:r w:rsidRPr="005D2287">
        <w:rPr>
          <w:rFonts w:ascii="Times New Roman" w:hAnsi="Times New Roman"/>
          <w:sz w:val="28"/>
          <w:szCs w:val="28"/>
        </w:rPr>
        <w:t xml:space="preserve"> </w:t>
      </w:r>
      <w:r>
        <w:rPr>
          <w:rFonts w:ascii="Times New Roman" w:hAnsi="Times New Roman"/>
          <w:sz w:val="28"/>
          <w:szCs w:val="28"/>
        </w:rPr>
        <w:t xml:space="preserve">ceļos un cita veida </w:t>
      </w:r>
      <w:r w:rsidRPr="005D2287">
        <w:rPr>
          <w:rFonts w:ascii="Times New Roman" w:hAnsi="Times New Roman"/>
          <w:sz w:val="28"/>
          <w:szCs w:val="28"/>
        </w:rPr>
        <w:t>infrastruktūr</w:t>
      </w:r>
      <w:r>
        <w:rPr>
          <w:rFonts w:ascii="Times New Roman" w:hAnsi="Times New Roman"/>
          <w:sz w:val="28"/>
          <w:szCs w:val="28"/>
        </w:rPr>
        <w:t>ā,</w:t>
      </w:r>
      <w:r w:rsidRPr="005D2287">
        <w:rPr>
          <w:rFonts w:ascii="Times New Roman" w:hAnsi="Times New Roman"/>
          <w:sz w:val="28"/>
          <w:szCs w:val="28"/>
        </w:rPr>
        <w:t xml:space="preserve"> pašvaldību ēku energoefektivitāte</w:t>
      </w:r>
      <w:r>
        <w:rPr>
          <w:rFonts w:ascii="Times New Roman" w:hAnsi="Times New Roman"/>
          <w:sz w:val="28"/>
          <w:szCs w:val="28"/>
        </w:rPr>
        <w:t>s uzlabošanā, kā arī</w:t>
      </w:r>
      <w:r w:rsidRPr="005D2287">
        <w:rPr>
          <w:rFonts w:ascii="Times New Roman" w:hAnsi="Times New Roman"/>
          <w:sz w:val="28"/>
          <w:szCs w:val="28"/>
        </w:rPr>
        <w:t xml:space="preserve"> uzņēmējdarbības, tūrisma un kultūras objektu pieejamībai</w:t>
      </w:r>
      <w:r>
        <w:rPr>
          <w:rFonts w:ascii="Times New Roman" w:hAnsi="Times New Roman"/>
          <w:sz w:val="28"/>
          <w:szCs w:val="28"/>
        </w:rPr>
        <w:t>. Kopumā ieguldījumi veikti</w:t>
      </w:r>
      <w:r w:rsidRPr="005D2287">
        <w:rPr>
          <w:rFonts w:ascii="Times New Roman" w:hAnsi="Times New Roman"/>
          <w:sz w:val="28"/>
          <w:szCs w:val="28"/>
        </w:rPr>
        <w:t xml:space="preserve"> 36,5 milj. latu apmērā. Savukārt lauku teritorijās, iesaistot nevalstiskās organizācijas, atbalstīta vietējo attīstības stratēģiju īstenošana. </w:t>
      </w:r>
    </w:p>
    <w:p w:rsidR="00FB637A" w:rsidRPr="005D2287" w:rsidRDefault="00FB637A" w:rsidP="005D2287">
      <w:pPr>
        <w:spacing w:after="0" w:line="240" w:lineRule="auto"/>
        <w:jc w:val="both"/>
        <w:rPr>
          <w:rStyle w:val="normalchar1"/>
          <w:sz w:val="28"/>
          <w:szCs w:val="28"/>
        </w:rPr>
      </w:pPr>
    </w:p>
    <w:p w:rsidR="00FB637A" w:rsidRPr="005D2287" w:rsidRDefault="00FB637A" w:rsidP="005D2287">
      <w:pPr>
        <w:spacing w:after="0" w:line="240" w:lineRule="auto"/>
        <w:jc w:val="both"/>
        <w:rPr>
          <w:rStyle w:val="normalchar1"/>
          <w:sz w:val="28"/>
          <w:szCs w:val="28"/>
        </w:rPr>
      </w:pPr>
      <w:r w:rsidRPr="005D2287">
        <w:rPr>
          <w:rStyle w:val="normalchar1"/>
          <w:sz w:val="28"/>
          <w:szCs w:val="28"/>
        </w:rPr>
        <w:t xml:space="preserve">Atbilstoši </w:t>
      </w:r>
      <w:r>
        <w:rPr>
          <w:rFonts w:ascii="Times New Roman" w:hAnsi="Times New Roman"/>
          <w:sz w:val="28"/>
          <w:szCs w:val="28"/>
        </w:rPr>
        <w:t xml:space="preserve">NAP2020 </w:t>
      </w:r>
      <w:r w:rsidRPr="005D2287">
        <w:rPr>
          <w:rStyle w:val="normalchar1"/>
          <w:sz w:val="28"/>
          <w:szCs w:val="28"/>
        </w:rPr>
        <w:t>turpmākie izaicinājumi saistīti ar intensīvāku inves</w:t>
      </w:r>
      <w:r>
        <w:rPr>
          <w:rStyle w:val="normalchar1"/>
          <w:sz w:val="28"/>
          <w:szCs w:val="28"/>
        </w:rPr>
        <w:t>tīciju piesaisti un jaunu darba</w:t>
      </w:r>
      <w:r w:rsidRPr="005D2287">
        <w:rPr>
          <w:rStyle w:val="normalchar1"/>
          <w:sz w:val="28"/>
          <w:szCs w:val="28"/>
        </w:rPr>
        <w:t>vietu radīšanu reģionos, sniedzot atbalstu uzņēmumu modernizācijai, pilnveidojot uzņēmējdarbībai būtisku infrastruktūru, mazinot administratīvo slogu uzņēmējiem, kā arī veicot informējošus un motivējošus pasākumus uzņēmējdarbības uzsākšanai un attīstībai.</w:t>
      </w:r>
    </w:p>
    <w:p w:rsidR="00FB637A" w:rsidRPr="005D2287" w:rsidRDefault="00FB637A" w:rsidP="005D2287">
      <w:pPr>
        <w:pStyle w:val="ColorfulList-Accent11"/>
        <w:spacing w:after="0" w:line="240" w:lineRule="auto"/>
        <w:ind w:left="0"/>
        <w:jc w:val="both"/>
        <w:rPr>
          <w:rFonts w:ascii="Times New Roman" w:hAnsi="Times New Roman"/>
          <w:sz w:val="28"/>
          <w:szCs w:val="28"/>
        </w:rPr>
      </w:pPr>
    </w:p>
    <w:p w:rsidR="00FB637A" w:rsidRPr="005D2287" w:rsidRDefault="00FB637A" w:rsidP="005D2287">
      <w:pPr>
        <w:pStyle w:val="ColorfulList-Accent11"/>
        <w:spacing w:after="0" w:line="240" w:lineRule="auto"/>
        <w:ind w:left="0"/>
        <w:jc w:val="both"/>
        <w:rPr>
          <w:rFonts w:ascii="Times New Roman" w:hAnsi="Times New Roman"/>
          <w:sz w:val="28"/>
          <w:szCs w:val="28"/>
        </w:rPr>
      </w:pPr>
      <w:r w:rsidRPr="005D2287">
        <w:rPr>
          <w:rFonts w:ascii="Times New Roman" w:hAnsi="Times New Roman"/>
          <w:sz w:val="28"/>
          <w:szCs w:val="28"/>
        </w:rPr>
        <w:t>Vienlaikus, lai risinātu ilglaicīgo negatīvo ekonomisko, sociālo un demogrāfisko tendenču kopumu Latgales reģionā un ieviestu īpašu vidēja termiņa attīstības instrumentu, nodrošinot ekonomikas attīstību un investīciju piesaisti šim reģionam, tika izstrādāts Rīcības plāns Latgales reģiona izaugsmei 2012.–2013.gadā. Šī plāna mērķis ir panākt aktīvāku iedzīvotāju iesaistīšanos uzņēmējdarbībā, uzlabot reģiona ekonomiskās sistēmas efektivitāti, izglītības sistēmu un infrastruktūru, kā arī radīt labvēlīgākus nosacījumus privāto investī</w:t>
      </w:r>
      <w:r>
        <w:rPr>
          <w:rFonts w:ascii="Times New Roman" w:hAnsi="Times New Roman"/>
          <w:sz w:val="28"/>
          <w:szCs w:val="28"/>
        </w:rPr>
        <w:t>ciju piesaistei, tādē</w:t>
      </w:r>
      <w:r w:rsidRPr="005D2287">
        <w:rPr>
          <w:rFonts w:ascii="Times New Roman" w:hAnsi="Times New Roman"/>
          <w:sz w:val="28"/>
          <w:szCs w:val="28"/>
        </w:rPr>
        <w:t xml:space="preserve">jādi radot pozitīvu ietekmi uz reģiona </w:t>
      </w:r>
      <w:r>
        <w:rPr>
          <w:rFonts w:ascii="Times New Roman" w:hAnsi="Times New Roman"/>
          <w:sz w:val="28"/>
          <w:szCs w:val="28"/>
        </w:rPr>
        <w:t>ekonomisko izaugsmi un palielino</w:t>
      </w:r>
      <w:r w:rsidRPr="005D2287">
        <w:rPr>
          <w:rFonts w:ascii="Times New Roman" w:hAnsi="Times New Roman"/>
          <w:sz w:val="28"/>
          <w:szCs w:val="28"/>
        </w:rPr>
        <w:t>t iedzīvotāju vidējos ieņēmumus.</w:t>
      </w:r>
    </w:p>
    <w:p w:rsidR="00FB637A" w:rsidRPr="005D2287" w:rsidRDefault="00FB637A" w:rsidP="005D2287">
      <w:pPr>
        <w:pStyle w:val="ColorfulList-Accent11"/>
        <w:spacing w:after="0" w:line="240" w:lineRule="auto"/>
        <w:ind w:left="0"/>
        <w:jc w:val="both"/>
        <w:rPr>
          <w:rFonts w:ascii="Times New Roman" w:hAnsi="Times New Roman"/>
          <w:sz w:val="28"/>
          <w:szCs w:val="28"/>
        </w:rPr>
      </w:pPr>
    </w:p>
    <w:p w:rsidR="00FB637A" w:rsidRPr="005D2287" w:rsidRDefault="00FB637A" w:rsidP="005D2287">
      <w:pPr>
        <w:pStyle w:val="ColorfulList-Accent11"/>
        <w:spacing w:after="0" w:line="240" w:lineRule="auto"/>
        <w:ind w:left="0"/>
        <w:jc w:val="both"/>
        <w:rPr>
          <w:rFonts w:ascii="Times New Roman" w:hAnsi="Times New Roman"/>
          <w:sz w:val="28"/>
          <w:szCs w:val="28"/>
        </w:rPr>
      </w:pPr>
      <w:r>
        <w:rPr>
          <w:rFonts w:ascii="Times New Roman" w:hAnsi="Times New Roman"/>
          <w:sz w:val="28"/>
          <w:szCs w:val="28"/>
        </w:rPr>
        <w:t>Ieviešamo p</w:t>
      </w:r>
      <w:r w:rsidRPr="005D2287">
        <w:rPr>
          <w:rFonts w:ascii="Times New Roman" w:hAnsi="Times New Roman"/>
          <w:sz w:val="28"/>
          <w:szCs w:val="28"/>
        </w:rPr>
        <w:t>asākum</w:t>
      </w:r>
      <w:r>
        <w:rPr>
          <w:rFonts w:ascii="Times New Roman" w:hAnsi="Times New Roman"/>
          <w:sz w:val="28"/>
          <w:szCs w:val="28"/>
        </w:rPr>
        <w:t>u</w:t>
      </w:r>
      <w:r w:rsidRPr="005D2287">
        <w:rPr>
          <w:rFonts w:ascii="Times New Roman" w:hAnsi="Times New Roman"/>
          <w:sz w:val="28"/>
          <w:szCs w:val="28"/>
        </w:rPr>
        <w:t xml:space="preserve"> </w:t>
      </w:r>
      <w:r>
        <w:rPr>
          <w:rFonts w:ascii="Times New Roman" w:hAnsi="Times New Roman"/>
          <w:sz w:val="28"/>
          <w:szCs w:val="28"/>
        </w:rPr>
        <w:t xml:space="preserve">plāns </w:t>
      </w:r>
      <w:r w:rsidRPr="005D2287">
        <w:rPr>
          <w:rFonts w:ascii="Times New Roman" w:hAnsi="Times New Roman"/>
          <w:sz w:val="28"/>
          <w:szCs w:val="28"/>
        </w:rPr>
        <w:t xml:space="preserve">2012.-2013.gadam </w:t>
      </w:r>
      <w:r>
        <w:rPr>
          <w:rFonts w:ascii="Times New Roman" w:hAnsi="Times New Roman"/>
          <w:sz w:val="28"/>
          <w:szCs w:val="28"/>
        </w:rPr>
        <w:t xml:space="preserve">paredz </w:t>
      </w:r>
      <w:r w:rsidRPr="005D2287">
        <w:rPr>
          <w:rFonts w:ascii="Times New Roman" w:hAnsi="Times New Roman"/>
          <w:sz w:val="28"/>
          <w:szCs w:val="28"/>
        </w:rPr>
        <w:t xml:space="preserve">kopējo finansējuma apjomu 83,5 milj. </w:t>
      </w:r>
      <w:r>
        <w:rPr>
          <w:rFonts w:ascii="Times New Roman" w:hAnsi="Times New Roman"/>
          <w:sz w:val="28"/>
          <w:szCs w:val="28"/>
        </w:rPr>
        <w:t>l</w:t>
      </w:r>
      <w:r w:rsidRPr="005D2287">
        <w:rPr>
          <w:rFonts w:ascii="Times New Roman" w:hAnsi="Times New Roman"/>
          <w:sz w:val="28"/>
          <w:szCs w:val="28"/>
        </w:rPr>
        <w:t>atu</w:t>
      </w:r>
      <w:r>
        <w:rPr>
          <w:rFonts w:ascii="Times New Roman" w:hAnsi="Times New Roman"/>
          <w:sz w:val="28"/>
          <w:szCs w:val="28"/>
        </w:rPr>
        <w:t xml:space="preserve"> apmērā</w:t>
      </w:r>
      <w:r w:rsidRPr="005D2287">
        <w:rPr>
          <w:rFonts w:ascii="Times New Roman" w:hAnsi="Times New Roman"/>
          <w:sz w:val="28"/>
          <w:szCs w:val="28"/>
        </w:rPr>
        <w:t>.</w:t>
      </w:r>
    </w:p>
    <w:p w:rsidR="00FB637A" w:rsidRPr="005D2287" w:rsidRDefault="00FB637A" w:rsidP="005D2287">
      <w:pPr>
        <w:pStyle w:val="NormalWeb"/>
        <w:shd w:val="clear" w:color="auto" w:fill="FFFFFF"/>
        <w:spacing w:before="0" w:beforeAutospacing="0" w:after="0" w:afterAutospacing="0"/>
        <w:jc w:val="both"/>
        <w:rPr>
          <w:sz w:val="28"/>
          <w:szCs w:val="28"/>
        </w:rPr>
      </w:pPr>
    </w:p>
    <w:p w:rsidR="00FB637A" w:rsidRPr="00F05ADA" w:rsidRDefault="00FB637A" w:rsidP="00F05ADA">
      <w:pPr>
        <w:spacing w:after="0" w:line="240" w:lineRule="auto"/>
        <w:jc w:val="both"/>
        <w:rPr>
          <w:rFonts w:ascii="Times New Roman" w:hAnsi="Times New Roman"/>
          <w:sz w:val="28"/>
          <w:szCs w:val="28"/>
        </w:rPr>
      </w:pPr>
      <w:r w:rsidRPr="00F05ADA">
        <w:rPr>
          <w:rFonts w:ascii="Times New Roman" w:hAnsi="Times New Roman"/>
          <w:sz w:val="28"/>
          <w:szCs w:val="28"/>
        </w:rPr>
        <w:t>Saistībā ar Latvijas reģionu a</w:t>
      </w:r>
      <w:r>
        <w:rPr>
          <w:rFonts w:ascii="Times New Roman" w:hAnsi="Times New Roman"/>
          <w:sz w:val="28"/>
          <w:szCs w:val="28"/>
        </w:rPr>
        <w:t>ttīstību un izaugsmi</w:t>
      </w:r>
      <w:r w:rsidRPr="00F05ADA">
        <w:rPr>
          <w:rFonts w:ascii="Times New Roman" w:hAnsi="Times New Roman"/>
          <w:sz w:val="28"/>
          <w:szCs w:val="28"/>
        </w:rPr>
        <w:t xml:space="preserve"> svarīgi </w:t>
      </w:r>
      <w:r>
        <w:rPr>
          <w:rFonts w:ascii="Times New Roman" w:hAnsi="Times New Roman"/>
          <w:sz w:val="28"/>
          <w:szCs w:val="28"/>
        </w:rPr>
        <w:t xml:space="preserve"> ir </w:t>
      </w:r>
      <w:r w:rsidRPr="00F05ADA">
        <w:rPr>
          <w:rFonts w:ascii="Times New Roman" w:hAnsi="Times New Roman"/>
          <w:sz w:val="28"/>
          <w:szCs w:val="28"/>
        </w:rPr>
        <w:t xml:space="preserve">pieminēt lauksaimniecības zemes iegādes kreditēšanas programmu, kas izstrādāta, lai atbalstītu mazo un vidējo lauku saimniecību, kā arī jauno lauksaimnieku iespējas attīstīt un paplašināt lauksaimniecisko ražošanu, un nodrošinātu ilgtspējīgu lauksaimniecību. </w:t>
      </w:r>
      <w:r>
        <w:rPr>
          <w:rFonts w:ascii="Times New Roman" w:hAnsi="Times New Roman"/>
          <w:sz w:val="28"/>
          <w:szCs w:val="28"/>
        </w:rPr>
        <w:t xml:space="preserve">Programma ir izraisījusi necerēti lielu interesi – līdz 2013.gada 31.janvārim izsniegti 62 aizdevumi par kopēju summu 2,4 milj. latu 1860 ha lauksaimniecības zemes iegādei. </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bCs/>
          <w:sz w:val="28"/>
          <w:szCs w:val="28"/>
        </w:rPr>
      </w:pPr>
      <w:r w:rsidRPr="005D2287">
        <w:rPr>
          <w:rFonts w:ascii="Times New Roman" w:hAnsi="Times New Roman"/>
          <w:sz w:val="28"/>
          <w:szCs w:val="28"/>
        </w:rPr>
        <w:t xml:space="preserve">Nenoliedzami, ka mūsu bagātība ir arī mūsu kultūra, valoda, tradīcijas un vēsture. Un mēs vēlamies, lai Latviju pasaulē atpazīst ne tikai kā strauji augošu ekonomiku, bet arī kā modernu, atvērtu, mūsdienīgu </w:t>
      </w:r>
      <w:r>
        <w:rPr>
          <w:rFonts w:ascii="Times New Roman" w:hAnsi="Times New Roman"/>
          <w:sz w:val="28"/>
          <w:szCs w:val="28"/>
        </w:rPr>
        <w:t>valsti, kas vienlaikus godā savas</w:t>
      </w:r>
      <w:r w:rsidRPr="005D2287">
        <w:rPr>
          <w:rFonts w:ascii="Times New Roman" w:hAnsi="Times New Roman"/>
          <w:sz w:val="28"/>
          <w:szCs w:val="28"/>
        </w:rPr>
        <w:t xml:space="preserve"> vēsturiskās tradīcijas, kultūras bagātību un neatkārtojamību. </w:t>
      </w:r>
    </w:p>
    <w:p w:rsidR="00FB637A" w:rsidRPr="005D2287" w:rsidRDefault="00FB637A" w:rsidP="005D2287">
      <w:pPr>
        <w:pStyle w:val="NormalWeb"/>
        <w:spacing w:before="0" w:beforeAutospacing="0" w:after="0" w:afterAutospacing="0"/>
        <w:jc w:val="both"/>
        <w:rPr>
          <w:rStyle w:val="Strong"/>
          <w:b w:val="0"/>
          <w:sz w:val="28"/>
          <w:szCs w:val="28"/>
        </w:rPr>
      </w:pPr>
    </w:p>
    <w:p w:rsidR="00FB637A" w:rsidRPr="005D2287" w:rsidRDefault="00FB637A" w:rsidP="005D2287">
      <w:pPr>
        <w:pStyle w:val="NormalWeb"/>
        <w:spacing w:before="0" w:beforeAutospacing="0" w:after="0" w:afterAutospacing="0"/>
        <w:jc w:val="both"/>
        <w:rPr>
          <w:sz w:val="28"/>
          <w:szCs w:val="28"/>
        </w:rPr>
      </w:pPr>
      <w:r w:rsidRPr="005D2287">
        <w:rPr>
          <w:rStyle w:val="Strong"/>
          <w:b w:val="0"/>
          <w:sz w:val="28"/>
          <w:szCs w:val="28"/>
        </w:rPr>
        <w:t>XXV Vispārējie latviešu Dziesmu un XV Deju svētki</w:t>
      </w:r>
      <w:r>
        <w:rPr>
          <w:rStyle w:val="Strong"/>
          <w:b w:val="0"/>
          <w:sz w:val="28"/>
          <w:szCs w:val="28"/>
        </w:rPr>
        <w:t xml:space="preserve"> būs 2013.gada svarīgākais nacionālais kultūras notikums</w:t>
      </w:r>
      <w:r w:rsidRPr="005D2287">
        <w:rPr>
          <w:rStyle w:val="Strong"/>
          <w:b w:val="0"/>
          <w:sz w:val="28"/>
          <w:szCs w:val="28"/>
        </w:rPr>
        <w:t xml:space="preserve">. Svētkiem gatavojas vairāk </w:t>
      </w:r>
      <w:r>
        <w:rPr>
          <w:rStyle w:val="Strong"/>
          <w:b w:val="0"/>
          <w:sz w:val="28"/>
          <w:szCs w:val="28"/>
        </w:rPr>
        <w:t>ne</w:t>
      </w:r>
      <w:r w:rsidRPr="005D2287">
        <w:rPr>
          <w:rStyle w:val="Strong"/>
          <w:b w:val="0"/>
          <w:sz w:val="28"/>
          <w:szCs w:val="28"/>
        </w:rPr>
        <w:t>kā trīs tūkstoši māksliniecisko kolektīvu, kas aptver 90 000 dalībnieku no visas Latvijas.</w:t>
      </w:r>
      <w:r w:rsidRPr="005D2287">
        <w:rPr>
          <w:sz w:val="28"/>
          <w:szCs w:val="28"/>
        </w:rPr>
        <w:t xml:space="preserve"> Svētkus vienojošie vārdi būs – “Gaisma līgo Latvijā!”. Latvijas kā nacionālas valsts izaugsmes ceļā 2013.gada svētkiem būs īpaša loma – tie ieskandinās Latvijas ceļu uz tās neatkarības simtgades svinībām</w:t>
      </w:r>
      <w:r>
        <w:rPr>
          <w:sz w:val="28"/>
          <w:szCs w:val="28"/>
        </w:rPr>
        <w:t xml:space="preserve"> 2018.gadā, kad notiks nākamie D</w:t>
      </w:r>
      <w:r w:rsidRPr="005D2287">
        <w:rPr>
          <w:sz w:val="28"/>
          <w:szCs w:val="28"/>
        </w:rPr>
        <w:t>ziesmu un deju svētki.</w:t>
      </w:r>
    </w:p>
    <w:p w:rsidR="00FB637A" w:rsidRPr="005D2287" w:rsidRDefault="00FB637A" w:rsidP="005D2287">
      <w:pPr>
        <w:spacing w:after="0" w:line="240" w:lineRule="auto"/>
        <w:jc w:val="both"/>
        <w:rPr>
          <w:rFonts w:ascii="Times New Roman" w:hAnsi="Times New Roman"/>
          <w:sz w:val="28"/>
          <w:szCs w:val="28"/>
        </w:rPr>
      </w:pPr>
    </w:p>
    <w:p w:rsidR="00FB637A" w:rsidRPr="005D2287" w:rsidRDefault="00FB637A" w:rsidP="005D2287">
      <w:pPr>
        <w:spacing w:after="0" w:line="240" w:lineRule="auto"/>
        <w:jc w:val="both"/>
        <w:rPr>
          <w:rFonts w:ascii="Times New Roman" w:hAnsi="Times New Roman"/>
          <w:sz w:val="28"/>
          <w:szCs w:val="28"/>
        </w:rPr>
      </w:pPr>
      <w:r w:rsidRPr="005D2287">
        <w:rPr>
          <w:rFonts w:ascii="Times New Roman" w:hAnsi="Times New Roman"/>
          <w:sz w:val="28"/>
          <w:szCs w:val="28"/>
        </w:rPr>
        <w:t>2012.gada jūnijā Latvija ir oficiāli pieteikusi savu interesi iestāties Ekonomiskās sadarbības un attīstības organizācijā</w:t>
      </w:r>
      <w:r>
        <w:rPr>
          <w:rFonts w:ascii="Times New Roman" w:hAnsi="Times New Roman"/>
          <w:sz w:val="28"/>
          <w:szCs w:val="28"/>
        </w:rPr>
        <w:t xml:space="preserve"> (OECD). 2012.gadā </w:t>
      </w:r>
      <w:r w:rsidRPr="005D2287">
        <w:rPr>
          <w:rFonts w:ascii="Times New Roman" w:hAnsi="Times New Roman"/>
          <w:sz w:val="28"/>
          <w:szCs w:val="28"/>
        </w:rPr>
        <w:t xml:space="preserve">tika īstenots aktīvs lobija darbs, lai gūtu atbalstu Latvijas kandidatūrai OECD </w:t>
      </w:r>
      <w:r w:rsidRPr="005D2287">
        <w:rPr>
          <w:rFonts w:ascii="Times New Roman" w:hAnsi="Times New Roman"/>
          <w:sz w:val="28"/>
          <w:szCs w:val="28"/>
        </w:rPr>
        <w:lastRenderedPageBreak/>
        <w:t>nākamajā paplašināšanās kārtā. Šobrī</w:t>
      </w:r>
      <w:r>
        <w:rPr>
          <w:rFonts w:ascii="Times New Roman" w:hAnsi="Times New Roman"/>
          <w:sz w:val="28"/>
          <w:szCs w:val="28"/>
        </w:rPr>
        <w:t xml:space="preserve">d Latvija ir starp redzamākajām </w:t>
      </w:r>
      <w:r w:rsidRPr="005D2287">
        <w:rPr>
          <w:rFonts w:ascii="Times New Roman" w:hAnsi="Times New Roman"/>
          <w:sz w:val="28"/>
          <w:szCs w:val="28"/>
        </w:rPr>
        <w:t>kandidātvalstīm.</w:t>
      </w:r>
    </w:p>
    <w:p w:rsidR="00FB637A" w:rsidRPr="005D2287" w:rsidRDefault="00FB637A" w:rsidP="005D2287">
      <w:pPr>
        <w:spacing w:after="0" w:line="240" w:lineRule="auto"/>
        <w:jc w:val="both"/>
        <w:rPr>
          <w:rFonts w:ascii="Times New Roman" w:hAnsi="Times New Roman"/>
          <w:color w:val="2A2A2A"/>
          <w:sz w:val="28"/>
          <w:szCs w:val="28"/>
          <w:shd w:val="clear" w:color="auto" w:fill="FFFFFF"/>
        </w:rPr>
      </w:pPr>
    </w:p>
    <w:p w:rsidR="00FB637A" w:rsidRDefault="00FB637A" w:rsidP="005D2287">
      <w:pPr>
        <w:spacing w:after="0" w:line="240" w:lineRule="auto"/>
        <w:jc w:val="both"/>
        <w:rPr>
          <w:rFonts w:ascii="Times New Roman" w:hAnsi="Times New Roman"/>
          <w:color w:val="2A2A2A"/>
          <w:sz w:val="28"/>
          <w:szCs w:val="28"/>
          <w:shd w:val="clear" w:color="auto" w:fill="FFFFFF"/>
        </w:rPr>
      </w:pPr>
      <w:r w:rsidRPr="005D2287">
        <w:rPr>
          <w:rFonts w:ascii="Times New Roman" w:hAnsi="Times New Roman"/>
          <w:color w:val="2A2A2A"/>
          <w:sz w:val="28"/>
          <w:szCs w:val="28"/>
          <w:shd w:val="clear" w:color="auto" w:fill="FFFFFF"/>
        </w:rPr>
        <w:t>Rezumējot</w:t>
      </w:r>
      <w:r>
        <w:rPr>
          <w:rFonts w:ascii="Times New Roman" w:hAnsi="Times New Roman"/>
          <w:color w:val="2A2A2A"/>
          <w:sz w:val="28"/>
          <w:szCs w:val="28"/>
          <w:shd w:val="clear" w:color="auto" w:fill="FFFFFF"/>
        </w:rPr>
        <w:t xml:space="preserve"> jāsaka, ka 2012.gads iezīmējies ar lielisku ekonomisko sniegumu, kas lielā mērā ir iepriekšējos gados veikto reformu rezultāts. Taču arī 2012.gadā liela daļa valdības darba tika veltīta valsts konkurētspējas celšanai, īpaši pievēršoties reģionu attīstībai. Tāpat veikti būtiski pasākumi iedzīvotāju labklājības celšanai un tautas ataudzes veicināšanai. </w:t>
      </w:r>
    </w:p>
    <w:p w:rsidR="00FB637A" w:rsidRDefault="00FB637A" w:rsidP="005D2287">
      <w:pPr>
        <w:spacing w:after="0" w:line="240" w:lineRule="auto"/>
        <w:jc w:val="both"/>
        <w:rPr>
          <w:rFonts w:ascii="Times New Roman" w:hAnsi="Times New Roman"/>
          <w:color w:val="2A2A2A"/>
          <w:sz w:val="28"/>
          <w:szCs w:val="28"/>
          <w:shd w:val="clear" w:color="auto" w:fill="FFFFFF"/>
        </w:rPr>
      </w:pPr>
    </w:p>
    <w:p w:rsidR="00FB637A" w:rsidRDefault="00FB637A" w:rsidP="005D2287">
      <w:pPr>
        <w:spacing w:after="0" w:line="240" w:lineRule="auto"/>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2013.gadā valdības prioritātes ekonomikā būs jaunu darbavietu radīšana, paralēli turpinot darbu pie uzņēmējdarbības vides sakārtošanas un investīciju piesaistes. </w:t>
      </w:r>
    </w:p>
    <w:p w:rsidR="00FB637A" w:rsidRDefault="00FB637A" w:rsidP="005D2287">
      <w:pPr>
        <w:spacing w:after="0" w:line="240" w:lineRule="auto"/>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Līdz ar eiro ieviešanu atzīmēsim pēdējā laika galvenā stratēģiskā mērķa sasniegšanu, kas dos būtisku ieguldījumu valsts ilgtermiņa konkurētspējas celšanai. Runājot par ilgtermiņa konkurētspēju, 2013.gadā veicami vairāki izšķiroši soļi tās stiprināšanai – jāveic nepieciešamie priekšdarbi veiksmīgai NAP ietverto pasākumu īstenošanai, sākot jau ar 2014.gadu. Tāpat ir jāsakārto valsts kapitālsabiedrību pārvaldība, jāturpina izglītības reforma un jāpilnveido nodokļu sistēma tā, lai tā veicinātu ieguldījumus izpētē un produktivitātes kāpināšanā.</w:t>
      </w:r>
    </w:p>
    <w:p w:rsidR="00FB637A" w:rsidRDefault="00FB637A" w:rsidP="00D9541F">
      <w:pPr>
        <w:spacing w:after="0" w:line="240" w:lineRule="auto"/>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2013.gadā tiks veikti mērķtiecīgi pasākumi nabadzības mazināšanai, tādējādi nodrošinot to, ka valsts ekonomikas izaugsmi savā dzīvē jūt pēc iespējas plašāks valsts iedzīvotāju loks. </w:t>
      </w:r>
    </w:p>
    <w:p w:rsidR="00FB637A" w:rsidRPr="0000004F" w:rsidRDefault="00FB637A" w:rsidP="005D2287">
      <w:pPr>
        <w:spacing w:after="0" w:line="240" w:lineRule="auto"/>
        <w:jc w:val="both"/>
        <w:rPr>
          <w:rFonts w:ascii="Times New Roman" w:hAnsi="Times New Roman"/>
          <w:color w:val="2A2A2A"/>
          <w:sz w:val="28"/>
          <w:szCs w:val="28"/>
          <w:shd w:val="clear" w:color="auto" w:fill="FFFFFF"/>
        </w:rPr>
      </w:pPr>
      <w:r>
        <w:rPr>
          <w:rFonts w:ascii="Times New Roman" w:hAnsi="Times New Roman"/>
          <w:color w:val="2A2A2A"/>
          <w:sz w:val="28"/>
          <w:szCs w:val="28"/>
          <w:shd w:val="clear" w:color="auto" w:fill="FFFFFF"/>
        </w:rPr>
        <w:t xml:space="preserve">Šāds </w:t>
      </w:r>
      <w:r w:rsidRPr="005D2287">
        <w:rPr>
          <w:rFonts w:ascii="Times New Roman" w:hAnsi="Times New Roman"/>
          <w:color w:val="2A2A2A"/>
          <w:sz w:val="28"/>
          <w:szCs w:val="28"/>
          <w:shd w:val="clear" w:color="auto" w:fill="FFFFFF"/>
        </w:rPr>
        <w:t>Latvijas attīstības kurs</w:t>
      </w:r>
      <w:r>
        <w:rPr>
          <w:rFonts w:ascii="Times New Roman" w:hAnsi="Times New Roman"/>
          <w:color w:val="2A2A2A"/>
          <w:sz w:val="28"/>
          <w:szCs w:val="28"/>
          <w:shd w:val="clear" w:color="auto" w:fill="FFFFFF"/>
        </w:rPr>
        <w:t xml:space="preserve">s nodrošinās, ka, </w:t>
      </w:r>
      <w:r w:rsidRPr="005D2287">
        <w:rPr>
          <w:rFonts w:ascii="Times New Roman" w:hAnsi="Times New Roman"/>
          <w:color w:val="2A2A2A"/>
          <w:sz w:val="28"/>
          <w:szCs w:val="28"/>
          <w:shd w:val="clear" w:color="auto" w:fill="FFFFFF"/>
        </w:rPr>
        <w:t xml:space="preserve">konsekventi </w:t>
      </w:r>
      <w:r>
        <w:rPr>
          <w:rFonts w:ascii="Times New Roman" w:hAnsi="Times New Roman"/>
          <w:color w:val="2A2A2A"/>
          <w:sz w:val="28"/>
          <w:szCs w:val="28"/>
          <w:shd w:val="clear" w:color="auto" w:fill="FFFFFF"/>
        </w:rPr>
        <w:t xml:space="preserve">to </w:t>
      </w:r>
      <w:r w:rsidRPr="005D2287">
        <w:rPr>
          <w:rFonts w:ascii="Times New Roman" w:hAnsi="Times New Roman"/>
          <w:color w:val="2A2A2A"/>
          <w:sz w:val="28"/>
          <w:szCs w:val="28"/>
          <w:shd w:val="clear" w:color="auto" w:fill="FFFFFF"/>
        </w:rPr>
        <w:t>īstenojot</w:t>
      </w:r>
      <w:r>
        <w:rPr>
          <w:rFonts w:ascii="Times New Roman" w:hAnsi="Times New Roman"/>
          <w:color w:val="2A2A2A"/>
          <w:sz w:val="28"/>
          <w:szCs w:val="28"/>
          <w:shd w:val="clear" w:color="auto" w:fill="FFFFFF"/>
        </w:rPr>
        <w:t>,</w:t>
      </w:r>
      <w:r w:rsidRPr="005D2287">
        <w:rPr>
          <w:rFonts w:ascii="Times New Roman" w:hAnsi="Times New Roman"/>
          <w:color w:val="2A2A2A"/>
          <w:sz w:val="28"/>
          <w:szCs w:val="28"/>
          <w:shd w:val="clear" w:color="auto" w:fill="FFFFFF"/>
        </w:rPr>
        <w:t xml:space="preserve"> spēsim sasniegt pozitīvus un ilgtspējīgus rezultātus, kurus sajutīs ikviens no mu</w:t>
      </w:r>
      <w:r>
        <w:rPr>
          <w:rFonts w:ascii="Times New Roman" w:hAnsi="Times New Roman"/>
          <w:color w:val="2A2A2A"/>
          <w:sz w:val="28"/>
          <w:szCs w:val="28"/>
          <w:shd w:val="clear" w:color="auto" w:fill="FFFFFF"/>
        </w:rPr>
        <w:t>ms.</w:t>
      </w:r>
    </w:p>
    <w:p w:rsidR="00FB637A" w:rsidRPr="005D2287" w:rsidRDefault="00FB637A" w:rsidP="005D2287">
      <w:pPr>
        <w:spacing w:after="0" w:line="240" w:lineRule="auto"/>
        <w:rPr>
          <w:rFonts w:ascii="Times New Roman" w:hAnsi="Times New Roman"/>
          <w:sz w:val="28"/>
          <w:szCs w:val="28"/>
        </w:rPr>
      </w:pPr>
    </w:p>
    <w:p w:rsidR="00FB637A" w:rsidRDefault="00FB637A">
      <w:pPr>
        <w:rPr>
          <w:rFonts w:ascii="Times New Roman" w:eastAsia="Calibri" w:hAnsi="Times New Roman" w:cs="Times New Roman"/>
          <w:b/>
          <w:bCs/>
          <w:kern w:val="36"/>
          <w:sz w:val="32"/>
          <w:szCs w:val="24"/>
        </w:rPr>
      </w:pPr>
      <w:r>
        <w:br w:type="page"/>
      </w:r>
    </w:p>
    <w:p w:rsidR="00FB637A" w:rsidRDefault="00FB637A" w:rsidP="00871110">
      <w:pPr>
        <w:pStyle w:val="Heading1"/>
      </w:pPr>
    </w:p>
    <w:p w:rsidR="00EE6B47" w:rsidRPr="00931D8E" w:rsidRDefault="00A000E3" w:rsidP="00871110">
      <w:pPr>
        <w:pStyle w:val="Heading1"/>
      </w:pPr>
      <w:bookmarkStart w:id="1" w:name="_Toc348948311"/>
      <w:r w:rsidRPr="006202E5">
        <w:t>Saturs</w:t>
      </w:r>
      <w:bookmarkEnd w:id="1"/>
    </w:p>
    <w:sdt>
      <w:sdtPr>
        <w:rPr>
          <w:rFonts w:ascii="Times New Roman" w:hAnsi="Times New Roman" w:cs="Times New Roman"/>
          <w:b/>
          <w:bCs/>
          <w:sz w:val="24"/>
          <w:szCs w:val="24"/>
        </w:rPr>
        <w:id w:val="9860829"/>
        <w:docPartObj>
          <w:docPartGallery w:val="Table of Contents"/>
          <w:docPartUnique/>
        </w:docPartObj>
      </w:sdtPr>
      <w:sdtEndPr>
        <w:rPr>
          <w:b w:val="0"/>
          <w:bCs w:val="0"/>
        </w:rPr>
      </w:sdtEndPr>
      <w:sdtContent>
        <w:p w:rsidR="00FB637A" w:rsidRDefault="00D9386E">
          <w:pPr>
            <w:pStyle w:val="TOC1"/>
            <w:tabs>
              <w:tab w:val="right" w:leader="dot" w:pos="8630"/>
            </w:tabs>
            <w:rPr>
              <w:noProof/>
            </w:rPr>
          </w:pPr>
          <w:r w:rsidRPr="00FC122B">
            <w:rPr>
              <w:rFonts w:ascii="Times New Roman" w:eastAsiaTheme="majorEastAsia" w:hAnsi="Times New Roman" w:cs="Times New Roman"/>
              <w:b/>
              <w:bCs/>
              <w:color w:val="365F91" w:themeColor="accent1" w:themeShade="BF"/>
              <w:sz w:val="24"/>
              <w:szCs w:val="24"/>
              <w:lang w:val="en-US" w:eastAsia="en-US"/>
            </w:rPr>
            <w:fldChar w:fldCharType="begin"/>
          </w:r>
          <w:r w:rsidR="00254FF9" w:rsidRPr="00FC122B">
            <w:rPr>
              <w:rFonts w:ascii="Times New Roman" w:hAnsi="Times New Roman" w:cs="Times New Roman"/>
              <w:sz w:val="24"/>
              <w:szCs w:val="24"/>
            </w:rPr>
            <w:instrText xml:space="preserve"> TOC \o "1-3" \h \z \u </w:instrText>
          </w:r>
          <w:r w:rsidRPr="00FC122B">
            <w:rPr>
              <w:rFonts w:ascii="Times New Roman" w:eastAsiaTheme="majorEastAsia" w:hAnsi="Times New Roman" w:cs="Times New Roman"/>
              <w:b/>
              <w:bCs/>
              <w:color w:val="365F91" w:themeColor="accent1" w:themeShade="BF"/>
              <w:sz w:val="24"/>
              <w:szCs w:val="24"/>
              <w:lang w:val="en-US" w:eastAsia="en-US"/>
            </w:rPr>
            <w:fldChar w:fldCharType="separate"/>
          </w:r>
          <w:hyperlink w:anchor="_Toc348948311" w:history="1">
            <w:r w:rsidR="00FB637A" w:rsidRPr="00D51899">
              <w:rPr>
                <w:rStyle w:val="Hyperlink"/>
                <w:noProof/>
              </w:rPr>
              <w:t>Saturs</w:t>
            </w:r>
            <w:r w:rsidR="00FB637A">
              <w:rPr>
                <w:noProof/>
                <w:webHidden/>
              </w:rPr>
              <w:tab/>
            </w:r>
            <w:r w:rsidR="00FB637A">
              <w:rPr>
                <w:noProof/>
                <w:webHidden/>
              </w:rPr>
              <w:fldChar w:fldCharType="begin"/>
            </w:r>
            <w:r w:rsidR="00FB637A">
              <w:rPr>
                <w:noProof/>
                <w:webHidden/>
              </w:rPr>
              <w:instrText xml:space="preserve"> PAGEREF _Toc348948311 \h </w:instrText>
            </w:r>
            <w:r w:rsidR="00FB637A">
              <w:rPr>
                <w:noProof/>
                <w:webHidden/>
              </w:rPr>
            </w:r>
            <w:r w:rsidR="00FB637A">
              <w:rPr>
                <w:noProof/>
                <w:webHidden/>
              </w:rPr>
              <w:fldChar w:fldCharType="separate"/>
            </w:r>
            <w:r w:rsidR="00FB637A">
              <w:rPr>
                <w:noProof/>
                <w:webHidden/>
              </w:rPr>
              <w:t>18</w:t>
            </w:r>
            <w:r w:rsidR="00FB637A">
              <w:rPr>
                <w:noProof/>
                <w:webHidden/>
              </w:rPr>
              <w:fldChar w:fldCharType="end"/>
            </w:r>
          </w:hyperlink>
        </w:p>
        <w:p w:rsidR="00FB637A" w:rsidRDefault="00FB637A">
          <w:pPr>
            <w:pStyle w:val="TOC1"/>
            <w:tabs>
              <w:tab w:val="right" w:leader="dot" w:pos="8630"/>
            </w:tabs>
            <w:rPr>
              <w:noProof/>
            </w:rPr>
          </w:pPr>
          <w:hyperlink w:anchor="_Toc348948312" w:history="1">
            <w:r w:rsidRPr="00D51899">
              <w:rPr>
                <w:rStyle w:val="Hyperlink"/>
                <w:noProof/>
              </w:rPr>
              <w:t>Ievads</w:t>
            </w:r>
            <w:r>
              <w:rPr>
                <w:noProof/>
                <w:webHidden/>
              </w:rPr>
              <w:tab/>
            </w:r>
            <w:r>
              <w:rPr>
                <w:noProof/>
                <w:webHidden/>
              </w:rPr>
              <w:fldChar w:fldCharType="begin"/>
            </w:r>
            <w:r>
              <w:rPr>
                <w:noProof/>
                <w:webHidden/>
              </w:rPr>
              <w:instrText xml:space="preserve"> PAGEREF _Toc348948312 \h </w:instrText>
            </w:r>
            <w:r>
              <w:rPr>
                <w:noProof/>
                <w:webHidden/>
              </w:rPr>
            </w:r>
            <w:r>
              <w:rPr>
                <w:noProof/>
                <w:webHidden/>
              </w:rPr>
              <w:fldChar w:fldCharType="separate"/>
            </w:r>
            <w:r>
              <w:rPr>
                <w:noProof/>
                <w:webHidden/>
              </w:rPr>
              <w:t>23</w:t>
            </w:r>
            <w:r>
              <w:rPr>
                <w:noProof/>
                <w:webHidden/>
              </w:rPr>
              <w:fldChar w:fldCharType="end"/>
            </w:r>
          </w:hyperlink>
        </w:p>
        <w:p w:rsidR="00FB637A" w:rsidRDefault="00FB637A">
          <w:pPr>
            <w:pStyle w:val="TOC1"/>
            <w:tabs>
              <w:tab w:val="right" w:leader="dot" w:pos="8630"/>
            </w:tabs>
            <w:rPr>
              <w:noProof/>
            </w:rPr>
          </w:pPr>
          <w:hyperlink w:anchor="_Toc348948313" w:history="1">
            <w:r w:rsidRPr="00D51899">
              <w:rPr>
                <w:rStyle w:val="Hyperlink"/>
                <w:noProof/>
              </w:rPr>
              <w:t>Saīsinājumu saraksts</w:t>
            </w:r>
            <w:r>
              <w:rPr>
                <w:noProof/>
                <w:webHidden/>
              </w:rPr>
              <w:tab/>
            </w:r>
            <w:r>
              <w:rPr>
                <w:noProof/>
                <w:webHidden/>
              </w:rPr>
              <w:fldChar w:fldCharType="begin"/>
            </w:r>
            <w:r>
              <w:rPr>
                <w:noProof/>
                <w:webHidden/>
              </w:rPr>
              <w:instrText xml:space="preserve"> PAGEREF _Toc348948313 \h </w:instrText>
            </w:r>
            <w:r>
              <w:rPr>
                <w:noProof/>
                <w:webHidden/>
              </w:rPr>
            </w:r>
            <w:r>
              <w:rPr>
                <w:noProof/>
                <w:webHidden/>
              </w:rPr>
              <w:fldChar w:fldCharType="separate"/>
            </w:r>
            <w:r>
              <w:rPr>
                <w:noProof/>
                <w:webHidden/>
              </w:rPr>
              <w:t>24</w:t>
            </w:r>
            <w:r>
              <w:rPr>
                <w:noProof/>
                <w:webHidden/>
              </w:rPr>
              <w:fldChar w:fldCharType="end"/>
            </w:r>
          </w:hyperlink>
        </w:p>
        <w:p w:rsidR="00FB637A" w:rsidRDefault="00FB637A">
          <w:pPr>
            <w:pStyle w:val="TOC1"/>
            <w:tabs>
              <w:tab w:val="right" w:leader="dot" w:pos="8630"/>
            </w:tabs>
            <w:rPr>
              <w:noProof/>
            </w:rPr>
          </w:pPr>
          <w:hyperlink w:anchor="_Toc348948314" w:history="1">
            <w:r w:rsidRPr="00D51899">
              <w:rPr>
                <w:rStyle w:val="Hyperlink"/>
                <w:noProof/>
              </w:rPr>
              <w:t>I. Cilvēkkapitāls</w:t>
            </w:r>
            <w:r>
              <w:rPr>
                <w:noProof/>
                <w:webHidden/>
              </w:rPr>
              <w:tab/>
            </w:r>
            <w:r>
              <w:rPr>
                <w:noProof/>
                <w:webHidden/>
              </w:rPr>
              <w:fldChar w:fldCharType="begin"/>
            </w:r>
            <w:r>
              <w:rPr>
                <w:noProof/>
                <w:webHidden/>
              </w:rPr>
              <w:instrText xml:space="preserve"> PAGEREF _Toc348948314 \h </w:instrText>
            </w:r>
            <w:r>
              <w:rPr>
                <w:noProof/>
                <w:webHidden/>
              </w:rPr>
            </w:r>
            <w:r>
              <w:rPr>
                <w:noProof/>
                <w:webHidden/>
              </w:rPr>
              <w:fldChar w:fldCharType="separate"/>
            </w:r>
            <w:r>
              <w:rPr>
                <w:noProof/>
                <w:webHidden/>
              </w:rPr>
              <w:t>27</w:t>
            </w:r>
            <w:r>
              <w:rPr>
                <w:noProof/>
                <w:webHidden/>
              </w:rPr>
              <w:fldChar w:fldCharType="end"/>
            </w:r>
          </w:hyperlink>
        </w:p>
        <w:p w:rsidR="00FB637A" w:rsidRDefault="00FB637A">
          <w:pPr>
            <w:pStyle w:val="TOC2"/>
            <w:tabs>
              <w:tab w:val="right" w:leader="dot" w:pos="8630"/>
            </w:tabs>
            <w:rPr>
              <w:noProof/>
            </w:rPr>
          </w:pPr>
          <w:hyperlink w:anchor="_Toc348948315" w:history="1">
            <w:r w:rsidRPr="00D51899">
              <w:rPr>
                <w:rStyle w:val="Hyperlink"/>
                <w:noProof/>
              </w:rPr>
              <w:t>1. Sociālā aizsardzība</w:t>
            </w:r>
            <w:r>
              <w:rPr>
                <w:noProof/>
                <w:webHidden/>
              </w:rPr>
              <w:tab/>
            </w:r>
            <w:r>
              <w:rPr>
                <w:noProof/>
                <w:webHidden/>
              </w:rPr>
              <w:fldChar w:fldCharType="begin"/>
            </w:r>
            <w:r>
              <w:rPr>
                <w:noProof/>
                <w:webHidden/>
              </w:rPr>
              <w:instrText xml:space="preserve"> PAGEREF _Toc348948315 \h </w:instrText>
            </w:r>
            <w:r>
              <w:rPr>
                <w:noProof/>
                <w:webHidden/>
              </w:rPr>
            </w:r>
            <w:r>
              <w:rPr>
                <w:noProof/>
                <w:webHidden/>
              </w:rPr>
              <w:fldChar w:fldCharType="separate"/>
            </w:r>
            <w:r>
              <w:rPr>
                <w:noProof/>
                <w:webHidden/>
              </w:rPr>
              <w:t>27</w:t>
            </w:r>
            <w:r>
              <w:rPr>
                <w:noProof/>
                <w:webHidden/>
              </w:rPr>
              <w:fldChar w:fldCharType="end"/>
            </w:r>
          </w:hyperlink>
        </w:p>
        <w:p w:rsidR="00FB637A" w:rsidRDefault="00FB637A">
          <w:pPr>
            <w:pStyle w:val="TOC3"/>
            <w:tabs>
              <w:tab w:val="right" w:leader="dot" w:pos="8630"/>
            </w:tabs>
            <w:rPr>
              <w:noProof/>
            </w:rPr>
          </w:pPr>
          <w:hyperlink w:anchor="_Toc348948316" w:history="1">
            <w:r w:rsidRPr="00D51899">
              <w:rPr>
                <w:rStyle w:val="Hyperlink"/>
                <w:rFonts w:eastAsia="Times New Roman" w:cs="Times New Roman"/>
                <w:noProof/>
                <w:lang w:eastAsia="en-US"/>
              </w:rPr>
              <w:t>1.1. Sociālās drošības tīkla stratēģijas īstenošana</w:t>
            </w:r>
            <w:r>
              <w:rPr>
                <w:noProof/>
                <w:webHidden/>
              </w:rPr>
              <w:tab/>
            </w:r>
            <w:r>
              <w:rPr>
                <w:noProof/>
                <w:webHidden/>
              </w:rPr>
              <w:fldChar w:fldCharType="begin"/>
            </w:r>
            <w:r>
              <w:rPr>
                <w:noProof/>
                <w:webHidden/>
              </w:rPr>
              <w:instrText xml:space="preserve"> PAGEREF _Toc348948316 \h </w:instrText>
            </w:r>
            <w:r>
              <w:rPr>
                <w:noProof/>
                <w:webHidden/>
              </w:rPr>
            </w:r>
            <w:r>
              <w:rPr>
                <w:noProof/>
                <w:webHidden/>
              </w:rPr>
              <w:fldChar w:fldCharType="separate"/>
            </w:r>
            <w:r>
              <w:rPr>
                <w:noProof/>
                <w:webHidden/>
              </w:rPr>
              <w:t>27</w:t>
            </w:r>
            <w:r>
              <w:rPr>
                <w:noProof/>
                <w:webHidden/>
              </w:rPr>
              <w:fldChar w:fldCharType="end"/>
            </w:r>
          </w:hyperlink>
        </w:p>
        <w:p w:rsidR="00FB637A" w:rsidRDefault="00FB637A">
          <w:pPr>
            <w:pStyle w:val="TOC3"/>
            <w:tabs>
              <w:tab w:val="right" w:leader="dot" w:pos="8630"/>
            </w:tabs>
            <w:rPr>
              <w:noProof/>
            </w:rPr>
          </w:pPr>
          <w:hyperlink w:anchor="_Toc348948317" w:history="1">
            <w:r w:rsidRPr="00D51899">
              <w:rPr>
                <w:rStyle w:val="Hyperlink"/>
                <w:rFonts w:eastAsia="Times New Roman" w:cs="Times New Roman"/>
                <w:noProof/>
                <w:lang w:eastAsia="en-US"/>
              </w:rPr>
              <w:t>1.2. Sociālo pakalpojumu un sociālā darba attīstība</w:t>
            </w:r>
            <w:r>
              <w:rPr>
                <w:noProof/>
                <w:webHidden/>
              </w:rPr>
              <w:tab/>
            </w:r>
            <w:r>
              <w:rPr>
                <w:noProof/>
                <w:webHidden/>
              </w:rPr>
              <w:fldChar w:fldCharType="begin"/>
            </w:r>
            <w:r>
              <w:rPr>
                <w:noProof/>
                <w:webHidden/>
              </w:rPr>
              <w:instrText xml:space="preserve"> PAGEREF _Toc348948317 \h </w:instrText>
            </w:r>
            <w:r>
              <w:rPr>
                <w:noProof/>
                <w:webHidden/>
              </w:rPr>
            </w:r>
            <w:r>
              <w:rPr>
                <w:noProof/>
                <w:webHidden/>
              </w:rPr>
              <w:fldChar w:fldCharType="separate"/>
            </w:r>
            <w:r>
              <w:rPr>
                <w:noProof/>
                <w:webHidden/>
              </w:rPr>
              <w:t>27</w:t>
            </w:r>
            <w:r>
              <w:rPr>
                <w:noProof/>
                <w:webHidden/>
              </w:rPr>
              <w:fldChar w:fldCharType="end"/>
            </w:r>
          </w:hyperlink>
        </w:p>
        <w:p w:rsidR="00FB637A" w:rsidRDefault="00FB637A">
          <w:pPr>
            <w:pStyle w:val="TOC3"/>
            <w:tabs>
              <w:tab w:val="right" w:leader="dot" w:pos="8630"/>
            </w:tabs>
            <w:rPr>
              <w:noProof/>
            </w:rPr>
          </w:pPr>
          <w:hyperlink w:anchor="_Toc348948318" w:history="1">
            <w:r w:rsidRPr="00D51899">
              <w:rPr>
                <w:rStyle w:val="Hyperlink"/>
                <w:rFonts w:eastAsia="Times New Roman" w:cs="Times New Roman"/>
                <w:noProof/>
                <w:lang w:eastAsia="en-US"/>
              </w:rPr>
              <w:t>1.3. Izmaiņas pensiju politikā</w:t>
            </w:r>
            <w:r>
              <w:rPr>
                <w:noProof/>
                <w:webHidden/>
              </w:rPr>
              <w:tab/>
            </w:r>
            <w:r>
              <w:rPr>
                <w:noProof/>
                <w:webHidden/>
              </w:rPr>
              <w:fldChar w:fldCharType="begin"/>
            </w:r>
            <w:r>
              <w:rPr>
                <w:noProof/>
                <w:webHidden/>
              </w:rPr>
              <w:instrText xml:space="preserve"> PAGEREF _Toc348948318 \h </w:instrText>
            </w:r>
            <w:r>
              <w:rPr>
                <w:noProof/>
                <w:webHidden/>
              </w:rPr>
            </w:r>
            <w:r>
              <w:rPr>
                <w:noProof/>
                <w:webHidden/>
              </w:rPr>
              <w:fldChar w:fldCharType="separate"/>
            </w:r>
            <w:r>
              <w:rPr>
                <w:noProof/>
                <w:webHidden/>
              </w:rPr>
              <w:t>28</w:t>
            </w:r>
            <w:r>
              <w:rPr>
                <w:noProof/>
                <w:webHidden/>
              </w:rPr>
              <w:fldChar w:fldCharType="end"/>
            </w:r>
          </w:hyperlink>
        </w:p>
        <w:p w:rsidR="00FB637A" w:rsidRDefault="00FB637A">
          <w:pPr>
            <w:pStyle w:val="TOC2"/>
            <w:tabs>
              <w:tab w:val="right" w:leader="dot" w:pos="8630"/>
            </w:tabs>
            <w:rPr>
              <w:noProof/>
            </w:rPr>
          </w:pPr>
          <w:hyperlink w:anchor="_Toc348948319" w:history="1">
            <w:r w:rsidRPr="00D51899">
              <w:rPr>
                <w:rStyle w:val="Hyperlink"/>
                <w:rFonts w:eastAsia="Times New Roman" w:cs="Times New Roman"/>
                <w:noProof/>
              </w:rPr>
              <w:t>2. Bezdarba mazināšana</w:t>
            </w:r>
            <w:r>
              <w:rPr>
                <w:noProof/>
                <w:webHidden/>
              </w:rPr>
              <w:tab/>
            </w:r>
            <w:r>
              <w:rPr>
                <w:noProof/>
                <w:webHidden/>
              </w:rPr>
              <w:fldChar w:fldCharType="begin"/>
            </w:r>
            <w:r>
              <w:rPr>
                <w:noProof/>
                <w:webHidden/>
              </w:rPr>
              <w:instrText xml:space="preserve"> PAGEREF _Toc348948319 \h </w:instrText>
            </w:r>
            <w:r>
              <w:rPr>
                <w:noProof/>
                <w:webHidden/>
              </w:rPr>
            </w:r>
            <w:r>
              <w:rPr>
                <w:noProof/>
                <w:webHidden/>
              </w:rPr>
              <w:fldChar w:fldCharType="separate"/>
            </w:r>
            <w:r>
              <w:rPr>
                <w:noProof/>
                <w:webHidden/>
              </w:rPr>
              <w:t>28</w:t>
            </w:r>
            <w:r>
              <w:rPr>
                <w:noProof/>
                <w:webHidden/>
              </w:rPr>
              <w:fldChar w:fldCharType="end"/>
            </w:r>
          </w:hyperlink>
        </w:p>
        <w:p w:rsidR="00FB637A" w:rsidRDefault="00FB637A">
          <w:pPr>
            <w:pStyle w:val="TOC2"/>
            <w:tabs>
              <w:tab w:val="right" w:leader="dot" w:pos="8630"/>
            </w:tabs>
            <w:rPr>
              <w:noProof/>
            </w:rPr>
          </w:pPr>
          <w:hyperlink w:anchor="_Toc348948320" w:history="1">
            <w:r w:rsidRPr="00D51899">
              <w:rPr>
                <w:rStyle w:val="Hyperlink"/>
                <w:rFonts w:eastAsia="Times New Roman" w:cs="Times New Roman"/>
                <w:noProof/>
              </w:rPr>
              <w:t>3. Tautas ataudzes nodrošināšana</w:t>
            </w:r>
            <w:r>
              <w:rPr>
                <w:noProof/>
                <w:webHidden/>
              </w:rPr>
              <w:tab/>
            </w:r>
            <w:r>
              <w:rPr>
                <w:noProof/>
                <w:webHidden/>
              </w:rPr>
              <w:fldChar w:fldCharType="begin"/>
            </w:r>
            <w:r>
              <w:rPr>
                <w:noProof/>
                <w:webHidden/>
              </w:rPr>
              <w:instrText xml:space="preserve"> PAGEREF _Toc348948320 \h </w:instrText>
            </w:r>
            <w:r>
              <w:rPr>
                <w:noProof/>
                <w:webHidden/>
              </w:rPr>
            </w:r>
            <w:r>
              <w:rPr>
                <w:noProof/>
                <w:webHidden/>
              </w:rPr>
              <w:fldChar w:fldCharType="separate"/>
            </w:r>
            <w:r>
              <w:rPr>
                <w:noProof/>
                <w:webHidden/>
              </w:rPr>
              <w:t>30</w:t>
            </w:r>
            <w:r>
              <w:rPr>
                <w:noProof/>
                <w:webHidden/>
              </w:rPr>
              <w:fldChar w:fldCharType="end"/>
            </w:r>
          </w:hyperlink>
        </w:p>
        <w:p w:rsidR="00FB637A" w:rsidRDefault="00FB637A">
          <w:pPr>
            <w:pStyle w:val="TOC2"/>
            <w:tabs>
              <w:tab w:val="right" w:leader="dot" w:pos="8630"/>
            </w:tabs>
            <w:rPr>
              <w:noProof/>
            </w:rPr>
          </w:pPr>
          <w:hyperlink w:anchor="_Toc348948321" w:history="1">
            <w:r w:rsidRPr="00D51899">
              <w:rPr>
                <w:rStyle w:val="Hyperlink"/>
                <w:noProof/>
              </w:rPr>
              <w:t>4. Izglītības sistēmas reforma</w:t>
            </w:r>
            <w:r>
              <w:rPr>
                <w:noProof/>
                <w:webHidden/>
              </w:rPr>
              <w:tab/>
            </w:r>
            <w:r>
              <w:rPr>
                <w:noProof/>
                <w:webHidden/>
              </w:rPr>
              <w:fldChar w:fldCharType="begin"/>
            </w:r>
            <w:r>
              <w:rPr>
                <w:noProof/>
                <w:webHidden/>
              </w:rPr>
              <w:instrText xml:space="preserve"> PAGEREF _Toc348948321 \h </w:instrText>
            </w:r>
            <w:r>
              <w:rPr>
                <w:noProof/>
                <w:webHidden/>
              </w:rPr>
            </w:r>
            <w:r>
              <w:rPr>
                <w:noProof/>
                <w:webHidden/>
              </w:rPr>
              <w:fldChar w:fldCharType="separate"/>
            </w:r>
            <w:r>
              <w:rPr>
                <w:noProof/>
                <w:webHidden/>
              </w:rPr>
              <w:t>31</w:t>
            </w:r>
            <w:r>
              <w:rPr>
                <w:noProof/>
                <w:webHidden/>
              </w:rPr>
              <w:fldChar w:fldCharType="end"/>
            </w:r>
          </w:hyperlink>
        </w:p>
        <w:p w:rsidR="00FB637A" w:rsidRDefault="00FB637A">
          <w:pPr>
            <w:pStyle w:val="TOC3"/>
            <w:tabs>
              <w:tab w:val="right" w:leader="dot" w:pos="8630"/>
            </w:tabs>
            <w:rPr>
              <w:noProof/>
            </w:rPr>
          </w:pPr>
          <w:hyperlink w:anchor="_Toc348948322" w:history="1">
            <w:r w:rsidRPr="00D51899">
              <w:rPr>
                <w:rStyle w:val="Hyperlink"/>
                <w:noProof/>
              </w:rPr>
              <w:t>4.1.Vispārējā izglītība</w:t>
            </w:r>
            <w:r>
              <w:rPr>
                <w:noProof/>
                <w:webHidden/>
              </w:rPr>
              <w:tab/>
            </w:r>
            <w:r>
              <w:rPr>
                <w:noProof/>
                <w:webHidden/>
              </w:rPr>
              <w:fldChar w:fldCharType="begin"/>
            </w:r>
            <w:r>
              <w:rPr>
                <w:noProof/>
                <w:webHidden/>
              </w:rPr>
              <w:instrText xml:space="preserve"> PAGEREF _Toc348948322 \h </w:instrText>
            </w:r>
            <w:r>
              <w:rPr>
                <w:noProof/>
                <w:webHidden/>
              </w:rPr>
            </w:r>
            <w:r>
              <w:rPr>
                <w:noProof/>
                <w:webHidden/>
              </w:rPr>
              <w:fldChar w:fldCharType="separate"/>
            </w:r>
            <w:r>
              <w:rPr>
                <w:noProof/>
                <w:webHidden/>
              </w:rPr>
              <w:t>31</w:t>
            </w:r>
            <w:r>
              <w:rPr>
                <w:noProof/>
                <w:webHidden/>
              </w:rPr>
              <w:fldChar w:fldCharType="end"/>
            </w:r>
          </w:hyperlink>
        </w:p>
        <w:p w:rsidR="00FB637A" w:rsidRDefault="00FB637A">
          <w:pPr>
            <w:pStyle w:val="TOC3"/>
            <w:tabs>
              <w:tab w:val="right" w:leader="dot" w:pos="8630"/>
            </w:tabs>
            <w:rPr>
              <w:noProof/>
            </w:rPr>
          </w:pPr>
          <w:hyperlink w:anchor="_Toc348948323" w:history="1">
            <w:r w:rsidRPr="00D51899">
              <w:rPr>
                <w:rStyle w:val="Hyperlink"/>
                <w:noProof/>
              </w:rPr>
              <w:t>4.2.Profesionālā izglītība</w:t>
            </w:r>
            <w:r>
              <w:rPr>
                <w:noProof/>
                <w:webHidden/>
              </w:rPr>
              <w:tab/>
            </w:r>
            <w:r>
              <w:rPr>
                <w:noProof/>
                <w:webHidden/>
              </w:rPr>
              <w:fldChar w:fldCharType="begin"/>
            </w:r>
            <w:r>
              <w:rPr>
                <w:noProof/>
                <w:webHidden/>
              </w:rPr>
              <w:instrText xml:space="preserve"> PAGEREF _Toc348948323 \h </w:instrText>
            </w:r>
            <w:r>
              <w:rPr>
                <w:noProof/>
                <w:webHidden/>
              </w:rPr>
            </w:r>
            <w:r>
              <w:rPr>
                <w:noProof/>
                <w:webHidden/>
              </w:rPr>
              <w:fldChar w:fldCharType="separate"/>
            </w:r>
            <w:r>
              <w:rPr>
                <w:noProof/>
                <w:webHidden/>
              </w:rPr>
              <w:t>32</w:t>
            </w:r>
            <w:r>
              <w:rPr>
                <w:noProof/>
                <w:webHidden/>
              </w:rPr>
              <w:fldChar w:fldCharType="end"/>
            </w:r>
          </w:hyperlink>
        </w:p>
        <w:p w:rsidR="00FB637A" w:rsidRDefault="00FB637A">
          <w:pPr>
            <w:pStyle w:val="TOC3"/>
            <w:tabs>
              <w:tab w:val="right" w:leader="dot" w:pos="8630"/>
            </w:tabs>
            <w:rPr>
              <w:noProof/>
            </w:rPr>
          </w:pPr>
          <w:hyperlink w:anchor="_Toc348948324" w:history="1">
            <w:r w:rsidRPr="00D51899">
              <w:rPr>
                <w:rStyle w:val="Hyperlink"/>
                <w:noProof/>
              </w:rPr>
              <w:t>4.3. Augstākā izglītība</w:t>
            </w:r>
            <w:r>
              <w:rPr>
                <w:noProof/>
                <w:webHidden/>
              </w:rPr>
              <w:tab/>
            </w:r>
            <w:r>
              <w:rPr>
                <w:noProof/>
                <w:webHidden/>
              </w:rPr>
              <w:fldChar w:fldCharType="begin"/>
            </w:r>
            <w:r>
              <w:rPr>
                <w:noProof/>
                <w:webHidden/>
              </w:rPr>
              <w:instrText xml:space="preserve"> PAGEREF _Toc348948324 \h </w:instrText>
            </w:r>
            <w:r>
              <w:rPr>
                <w:noProof/>
                <w:webHidden/>
              </w:rPr>
            </w:r>
            <w:r>
              <w:rPr>
                <w:noProof/>
                <w:webHidden/>
              </w:rPr>
              <w:fldChar w:fldCharType="separate"/>
            </w:r>
            <w:r>
              <w:rPr>
                <w:noProof/>
                <w:webHidden/>
              </w:rPr>
              <w:t>33</w:t>
            </w:r>
            <w:r>
              <w:rPr>
                <w:noProof/>
                <w:webHidden/>
              </w:rPr>
              <w:fldChar w:fldCharType="end"/>
            </w:r>
          </w:hyperlink>
        </w:p>
        <w:p w:rsidR="00FB637A" w:rsidRDefault="00FB637A">
          <w:pPr>
            <w:pStyle w:val="TOC2"/>
            <w:tabs>
              <w:tab w:val="right" w:leader="dot" w:pos="8630"/>
            </w:tabs>
            <w:rPr>
              <w:noProof/>
            </w:rPr>
          </w:pPr>
          <w:hyperlink w:anchor="_Toc348948325" w:history="1">
            <w:r w:rsidRPr="00D51899">
              <w:rPr>
                <w:rStyle w:val="Hyperlink"/>
                <w:noProof/>
              </w:rPr>
              <w:t>5. Zinātnes un pētniecības attīstība</w:t>
            </w:r>
            <w:r>
              <w:rPr>
                <w:noProof/>
                <w:webHidden/>
              </w:rPr>
              <w:tab/>
            </w:r>
            <w:r>
              <w:rPr>
                <w:noProof/>
                <w:webHidden/>
              </w:rPr>
              <w:fldChar w:fldCharType="begin"/>
            </w:r>
            <w:r>
              <w:rPr>
                <w:noProof/>
                <w:webHidden/>
              </w:rPr>
              <w:instrText xml:space="preserve"> PAGEREF _Toc348948325 \h </w:instrText>
            </w:r>
            <w:r>
              <w:rPr>
                <w:noProof/>
                <w:webHidden/>
              </w:rPr>
            </w:r>
            <w:r>
              <w:rPr>
                <w:noProof/>
                <w:webHidden/>
              </w:rPr>
              <w:fldChar w:fldCharType="separate"/>
            </w:r>
            <w:r>
              <w:rPr>
                <w:noProof/>
                <w:webHidden/>
              </w:rPr>
              <w:t>34</w:t>
            </w:r>
            <w:r>
              <w:rPr>
                <w:noProof/>
                <w:webHidden/>
              </w:rPr>
              <w:fldChar w:fldCharType="end"/>
            </w:r>
          </w:hyperlink>
        </w:p>
        <w:p w:rsidR="00FB637A" w:rsidRDefault="00FB637A">
          <w:pPr>
            <w:pStyle w:val="TOC2"/>
            <w:tabs>
              <w:tab w:val="right" w:leader="dot" w:pos="8630"/>
            </w:tabs>
            <w:rPr>
              <w:noProof/>
            </w:rPr>
          </w:pPr>
          <w:hyperlink w:anchor="_Toc348948326" w:history="1">
            <w:r w:rsidRPr="00D51899">
              <w:rPr>
                <w:rStyle w:val="Hyperlink"/>
                <w:noProof/>
              </w:rPr>
              <w:t>6. Veselības politika un veselības aprūpes sistēmas attīstība</w:t>
            </w:r>
            <w:r>
              <w:rPr>
                <w:noProof/>
                <w:webHidden/>
              </w:rPr>
              <w:tab/>
            </w:r>
            <w:r>
              <w:rPr>
                <w:noProof/>
                <w:webHidden/>
              </w:rPr>
              <w:fldChar w:fldCharType="begin"/>
            </w:r>
            <w:r>
              <w:rPr>
                <w:noProof/>
                <w:webHidden/>
              </w:rPr>
              <w:instrText xml:space="preserve"> PAGEREF _Toc348948326 \h </w:instrText>
            </w:r>
            <w:r>
              <w:rPr>
                <w:noProof/>
                <w:webHidden/>
              </w:rPr>
            </w:r>
            <w:r>
              <w:rPr>
                <w:noProof/>
                <w:webHidden/>
              </w:rPr>
              <w:fldChar w:fldCharType="separate"/>
            </w:r>
            <w:r>
              <w:rPr>
                <w:noProof/>
                <w:webHidden/>
              </w:rPr>
              <w:t>35</w:t>
            </w:r>
            <w:r>
              <w:rPr>
                <w:noProof/>
                <w:webHidden/>
              </w:rPr>
              <w:fldChar w:fldCharType="end"/>
            </w:r>
          </w:hyperlink>
        </w:p>
        <w:p w:rsidR="00FB637A" w:rsidRDefault="00FB637A">
          <w:pPr>
            <w:pStyle w:val="TOC3"/>
            <w:tabs>
              <w:tab w:val="right" w:leader="dot" w:pos="8630"/>
            </w:tabs>
            <w:rPr>
              <w:noProof/>
            </w:rPr>
          </w:pPr>
          <w:hyperlink w:anchor="_Toc348948327" w:history="1">
            <w:r w:rsidRPr="00D51899">
              <w:rPr>
                <w:rStyle w:val="Hyperlink"/>
                <w:rFonts w:eastAsia="Calibri"/>
                <w:noProof/>
                <w:lang w:eastAsia="en-US"/>
              </w:rPr>
              <w:t xml:space="preserve">6.1. </w:t>
            </w:r>
            <w:r w:rsidRPr="00D51899">
              <w:rPr>
                <w:rStyle w:val="Hyperlink"/>
                <w:noProof/>
              </w:rPr>
              <w:t>Koncepcija par veselības aprūpes finansēšanas modeli</w:t>
            </w:r>
            <w:r>
              <w:rPr>
                <w:noProof/>
                <w:webHidden/>
              </w:rPr>
              <w:tab/>
            </w:r>
            <w:r>
              <w:rPr>
                <w:noProof/>
                <w:webHidden/>
              </w:rPr>
              <w:fldChar w:fldCharType="begin"/>
            </w:r>
            <w:r>
              <w:rPr>
                <w:noProof/>
                <w:webHidden/>
              </w:rPr>
              <w:instrText xml:space="preserve"> PAGEREF _Toc348948327 \h </w:instrText>
            </w:r>
            <w:r>
              <w:rPr>
                <w:noProof/>
                <w:webHidden/>
              </w:rPr>
            </w:r>
            <w:r>
              <w:rPr>
                <w:noProof/>
                <w:webHidden/>
              </w:rPr>
              <w:fldChar w:fldCharType="separate"/>
            </w:r>
            <w:r>
              <w:rPr>
                <w:noProof/>
                <w:webHidden/>
              </w:rPr>
              <w:t>35</w:t>
            </w:r>
            <w:r>
              <w:rPr>
                <w:noProof/>
                <w:webHidden/>
              </w:rPr>
              <w:fldChar w:fldCharType="end"/>
            </w:r>
          </w:hyperlink>
        </w:p>
        <w:p w:rsidR="00FB637A" w:rsidRDefault="00FB637A">
          <w:pPr>
            <w:pStyle w:val="TOC3"/>
            <w:tabs>
              <w:tab w:val="right" w:leader="dot" w:pos="8630"/>
            </w:tabs>
            <w:rPr>
              <w:noProof/>
            </w:rPr>
          </w:pPr>
          <w:hyperlink w:anchor="_Toc348948328" w:history="1">
            <w:r w:rsidRPr="00D51899">
              <w:rPr>
                <w:rStyle w:val="Hyperlink"/>
                <w:rFonts w:eastAsia="Calibri"/>
                <w:noProof/>
                <w:lang w:eastAsia="en-US"/>
              </w:rPr>
              <w:t xml:space="preserve">6.2. </w:t>
            </w:r>
            <w:r w:rsidRPr="00D51899">
              <w:rPr>
                <w:rStyle w:val="Hyperlink"/>
                <w:noProof/>
              </w:rPr>
              <w:t>Veselības</w:t>
            </w:r>
            <w:r w:rsidRPr="00D51899">
              <w:rPr>
                <w:rStyle w:val="Hyperlink"/>
                <w:rFonts w:eastAsia="Calibri"/>
                <w:noProof/>
                <w:lang w:eastAsia="en-US"/>
              </w:rPr>
              <w:t xml:space="preserve"> aprūpes pakalpojumu pieejamības un kvalitātes uzlabošana</w:t>
            </w:r>
            <w:r>
              <w:rPr>
                <w:noProof/>
                <w:webHidden/>
              </w:rPr>
              <w:tab/>
            </w:r>
            <w:r>
              <w:rPr>
                <w:noProof/>
                <w:webHidden/>
              </w:rPr>
              <w:fldChar w:fldCharType="begin"/>
            </w:r>
            <w:r>
              <w:rPr>
                <w:noProof/>
                <w:webHidden/>
              </w:rPr>
              <w:instrText xml:space="preserve"> PAGEREF _Toc348948328 \h </w:instrText>
            </w:r>
            <w:r>
              <w:rPr>
                <w:noProof/>
                <w:webHidden/>
              </w:rPr>
            </w:r>
            <w:r>
              <w:rPr>
                <w:noProof/>
                <w:webHidden/>
              </w:rPr>
              <w:fldChar w:fldCharType="separate"/>
            </w:r>
            <w:r>
              <w:rPr>
                <w:noProof/>
                <w:webHidden/>
              </w:rPr>
              <w:t>35</w:t>
            </w:r>
            <w:r>
              <w:rPr>
                <w:noProof/>
                <w:webHidden/>
              </w:rPr>
              <w:fldChar w:fldCharType="end"/>
            </w:r>
          </w:hyperlink>
        </w:p>
        <w:p w:rsidR="00FB637A" w:rsidRDefault="00FB637A">
          <w:pPr>
            <w:pStyle w:val="TOC3"/>
            <w:tabs>
              <w:tab w:val="right" w:leader="dot" w:pos="8630"/>
            </w:tabs>
            <w:rPr>
              <w:noProof/>
            </w:rPr>
          </w:pPr>
          <w:hyperlink w:anchor="_Toc348948329" w:history="1">
            <w:r w:rsidRPr="00D51899">
              <w:rPr>
                <w:rStyle w:val="Hyperlink"/>
                <w:rFonts w:eastAsia="Calibri"/>
                <w:noProof/>
                <w:lang w:eastAsia="en-US"/>
              </w:rPr>
              <w:t>6.3. Neatliekamās palīdzības dienesta darba uzlabošana</w:t>
            </w:r>
            <w:r>
              <w:rPr>
                <w:noProof/>
                <w:webHidden/>
              </w:rPr>
              <w:tab/>
            </w:r>
            <w:r>
              <w:rPr>
                <w:noProof/>
                <w:webHidden/>
              </w:rPr>
              <w:fldChar w:fldCharType="begin"/>
            </w:r>
            <w:r>
              <w:rPr>
                <w:noProof/>
                <w:webHidden/>
              </w:rPr>
              <w:instrText xml:space="preserve"> PAGEREF _Toc348948329 \h </w:instrText>
            </w:r>
            <w:r>
              <w:rPr>
                <w:noProof/>
                <w:webHidden/>
              </w:rPr>
            </w:r>
            <w:r>
              <w:rPr>
                <w:noProof/>
                <w:webHidden/>
              </w:rPr>
              <w:fldChar w:fldCharType="separate"/>
            </w:r>
            <w:r>
              <w:rPr>
                <w:noProof/>
                <w:webHidden/>
              </w:rPr>
              <w:t>36</w:t>
            </w:r>
            <w:r>
              <w:rPr>
                <w:noProof/>
                <w:webHidden/>
              </w:rPr>
              <w:fldChar w:fldCharType="end"/>
            </w:r>
          </w:hyperlink>
        </w:p>
        <w:p w:rsidR="00FB637A" w:rsidRDefault="00FB637A">
          <w:pPr>
            <w:pStyle w:val="TOC3"/>
            <w:tabs>
              <w:tab w:val="right" w:leader="dot" w:pos="8630"/>
            </w:tabs>
            <w:rPr>
              <w:noProof/>
            </w:rPr>
          </w:pPr>
          <w:hyperlink w:anchor="_Toc348948330" w:history="1">
            <w:r w:rsidRPr="00D51899">
              <w:rPr>
                <w:rStyle w:val="Hyperlink"/>
                <w:rFonts w:eastAsia="Calibri"/>
                <w:noProof/>
                <w:lang w:eastAsia="en-US"/>
              </w:rPr>
              <w:t>6.4. E-veselība</w:t>
            </w:r>
            <w:r>
              <w:rPr>
                <w:noProof/>
                <w:webHidden/>
              </w:rPr>
              <w:tab/>
            </w:r>
            <w:r>
              <w:rPr>
                <w:noProof/>
                <w:webHidden/>
              </w:rPr>
              <w:fldChar w:fldCharType="begin"/>
            </w:r>
            <w:r>
              <w:rPr>
                <w:noProof/>
                <w:webHidden/>
              </w:rPr>
              <w:instrText xml:space="preserve"> PAGEREF _Toc348948330 \h </w:instrText>
            </w:r>
            <w:r>
              <w:rPr>
                <w:noProof/>
                <w:webHidden/>
              </w:rPr>
            </w:r>
            <w:r>
              <w:rPr>
                <w:noProof/>
                <w:webHidden/>
              </w:rPr>
              <w:fldChar w:fldCharType="separate"/>
            </w:r>
            <w:r>
              <w:rPr>
                <w:noProof/>
                <w:webHidden/>
              </w:rPr>
              <w:t>36</w:t>
            </w:r>
            <w:r>
              <w:rPr>
                <w:noProof/>
                <w:webHidden/>
              </w:rPr>
              <w:fldChar w:fldCharType="end"/>
            </w:r>
          </w:hyperlink>
        </w:p>
        <w:p w:rsidR="00FB637A" w:rsidRDefault="00FB637A">
          <w:pPr>
            <w:pStyle w:val="TOC3"/>
            <w:tabs>
              <w:tab w:val="right" w:leader="dot" w:pos="8630"/>
            </w:tabs>
            <w:rPr>
              <w:noProof/>
            </w:rPr>
          </w:pPr>
          <w:hyperlink w:anchor="_Toc348948331" w:history="1">
            <w:r w:rsidRPr="00D51899">
              <w:rPr>
                <w:rStyle w:val="Hyperlink"/>
                <w:noProof/>
              </w:rPr>
              <w:t xml:space="preserve">6.5. </w:t>
            </w:r>
            <w:r w:rsidRPr="00D51899">
              <w:rPr>
                <w:rStyle w:val="Hyperlink"/>
                <w:rFonts w:eastAsia="Calibri"/>
                <w:noProof/>
                <w:lang w:eastAsia="en-US"/>
              </w:rPr>
              <w:t>Mātes un bērna veselības aprūpes uzlabošana</w:t>
            </w:r>
            <w:r>
              <w:rPr>
                <w:noProof/>
                <w:webHidden/>
              </w:rPr>
              <w:tab/>
            </w:r>
            <w:r>
              <w:rPr>
                <w:noProof/>
                <w:webHidden/>
              </w:rPr>
              <w:fldChar w:fldCharType="begin"/>
            </w:r>
            <w:r>
              <w:rPr>
                <w:noProof/>
                <w:webHidden/>
              </w:rPr>
              <w:instrText xml:space="preserve"> PAGEREF _Toc348948331 \h </w:instrText>
            </w:r>
            <w:r>
              <w:rPr>
                <w:noProof/>
                <w:webHidden/>
              </w:rPr>
            </w:r>
            <w:r>
              <w:rPr>
                <w:noProof/>
                <w:webHidden/>
              </w:rPr>
              <w:fldChar w:fldCharType="separate"/>
            </w:r>
            <w:r>
              <w:rPr>
                <w:noProof/>
                <w:webHidden/>
              </w:rPr>
              <w:t>36</w:t>
            </w:r>
            <w:r>
              <w:rPr>
                <w:noProof/>
                <w:webHidden/>
              </w:rPr>
              <w:fldChar w:fldCharType="end"/>
            </w:r>
          </w:hyperlink>
        </w:p>
        <w:p w:rsidR="00FB637A" w:rsidRDefault="00FB637A">
          <w:pPr>
            <w:pStyle w:val="TOC3"/>
            <w:tabs>
              <w:tab w:val="right" w:leader="dot" w:pos="8630"/>
            </w:tabs>
            <w:rPr>
              <w:noProof/>
            </w:rPr>
          </w:pPr>
          <w:hyperlink w:anchor="_Toc348948332" w:history="1">
            <w:r w:rsidRPr="00D51899">
              <w:rPr>
                <w:rStyle w:val="Hyperlink"/>
                <w:noProof/>
              </w:rPr>
              <w:t>6.6. Veselības veicināšana</w:t>
            </w:r>
            <w:r>
              <w:rPr>
                <w:noProof/>
                <w:webHidden/>
              </w:rPr>
              <w:tab/>
            </w:r>
            <w:r>
              <w:rPr>
                <w:noProof/>
                <w:webHidden/>
              </w:rPr>
              <w:fldChar w:fldCharType="begin"/>
            </w:r>
            <w:r>
              <w:rPr>
                <w:noProof/>
                <w:webHidden/>
              </w:rPr>
              <w:instrText xml:space="preserve"> PAGEREF _Toc348948332 \h </w:instrText>
            </w:r>
            <w:r>
              <w:rPr>
                <w:noProof/>
                <w:webHidden/>
              </w:rPr>
            </w:r>
            <w:r>
              <w:rPr>
                <w:noProof/>
                <w:webHidden/>
              </w:rPr>
              <w:fldChar w:fldCharType="separate"/>
            </w:r>
            <w:r>
              <w:rPr>
                <w:noProof/>
                <w:webHidden/>
              </w:rPr>
              <w:t>36</w:t>
            </w:r>
            <w:r>
              <w:rPr>
                <w:noProof/>
                <w:webHidden/>
              </w:rPr>
              <w:fldChar w:fldCharType="end"/>
            </w:r>
          </w:hyperlink>
        </w:p>
        <w:p w:rsidR="00FB637A" w:rsidRDefault="00FB637A">
          <w:pPr>
            <w:pStyle w:val="TOC3"/>
            <w:tabs>
              <w:tab w:val="right" w:leader="dot" w:pos="8630"/>
            </w:tabs>
            <w:rPr>
              <w:noProof/>
            </w:rPr>
          </w:pPr>
          <w:hyperlink w:anchor="_Toc348948333" w:history="1">
            <w:r w:rsidRPr="00D51899">
              <w:rPr>
                <w:rStyle w:val="Hyperlink"/>
                <w:noProof/>
              </w:rPr>
              <w:t>6.7. Partnerības līgumi</w:t>
            </w:r>
            <w:r>
              <w:rPr>
                <w:noProof/>
                <w:webHidden/>
              </w:rPr>
              <w:tab/>
            </w:r>
            <w:r>
              <w:rPr>
                <w:noProof/>
                <w:webHidden/>
              </w:rPr>
              <w:fldChar w:fldCharType="begin"/>
            </w:r>
            <w:r>
              <w:rPr>
                <w:noProof/>
                <w:webHidden/>
              </w:rPr>
              <w:instrText xml:space="preserve"> PAGEREF _Toc348948333 \h </w:instrText>
            </w:r>
            <w:r>
              <w:rPr>
                <w:noProof/>
                <w:webHidden/>
              </w:rPr>
            </w:r>
            <w:r>
              <w:rPr>
                <w:noProof/>
                <w:webHidden/>
              </w:rPr>
              <w:fldChar w:fldCharType="separate"/>
            </w:r>
            <w:r>
              <w:rPr>
                <w:noProof/>
                <w:webHidden/>
              </w:rPr>
              <w:t>37</w:t>
            </w:r>
            <w:r>
              <w:rPr>
                <w:noProof/>
                <w:webHidden/>
              </w:rPr>
              <w:fldChar w:fldCharType="end"/>
            </w:r>
          </w:hyperlink>
        </w:p>
        <w:p w:rsidR="00FB637A" w:rsidRDefault="00FB637A">
          <w:pPr>
            <w:pStyle w:val="TOC2"/>
            <w:tabs>
              <w:tab w:val="right" w:leader="dot" w:pos="8630"/>
            </w:tabs>
            <w:rPr>
              <w:noProof/>
            </w:rPr>
          </w:pPr>
          <w:hyperlink w:anchor="_Toc348948334" w:history="1">
            <w:r w:rsidRPr="00D51899">
              <w:rPr>
                <w:rStyle w:val="Hyperlink"/>
                <w:noProof/>
              </w:rPr>
              <w:t>7. Sporta politikas īstenošana</w:t>
            </w:r>
            <w:r>
              <w:rPr>
                <w:noProof/>
                <w:webHidden/>
              </w:rPr>
              <w:tab/>
            </w:r>
            <w:r>
              <w:rPr>
                <w:noProof/>
                <w:webHidden/>
              </w:rPr>
              <w:fldChar w:fldCharType="begin"/>
            </w:r>
            <w:r>
              <w:rPr>
                <w:noProof/>
                <w:webHidden/>
              </w:rPr>
              <w:instrText xml:space="preserve"> PAGEREF _Toc348948334 \h </w:instrText>
            </w:r>
            <w:r>
              <w:rPr>
                <w:noProof/>
                <w:webHidden/>
              </w:rPr>
            </w:r>
            <w:r>
              <w:rPr>
                <w:noProof/>
                <w:webHidden/>
              </w:rPr>
              <w:fldChar w:fldCharType="separate"/>
            </w:r>
            <w:r>
              <w:rPr>
                <w:noProof/>
                <w:webHidden/>
              </w:rPr>
              <w:t>37</w:t>
            </w:r>
            <w:r>
              <w:rPr>
                <w:noProof/>
                <w:webHidden/>
              </w:rPr>
              <w:fldChar w:fldCharType="end"/>
            </w:r>
          </w:hyperlink>
        </w:p>
        <w:p w:rsidR="00FB637A" w:rsidRDefault="00FB637A">
          <w:pPr>
            <w:pStyle w:val="TOC2"/>
            <w:tabs>
              <w:tab w:val="right" w:leader="dot" w:pos="8630"/>
            </w:tabs>
            <w:rPr>
              <w:noProof/>
            </w:rPr>
          </w:pPr>
          <w:hyperlink w:anchor="_Toc348948335" w:history="1">
            <w:r w:rsidRPr="00D51899">
              <w:rPr>
                <w:rStyle w:val="Hyperlink"/>
                <w:noProof/>
              </w:rPr>
              <w:t>8. Jaunatnes politikas īstenošana</w:t>
            </w:r>
            <w:r>
              <w:rPr>
                <w:noProof/>
                <w:webHidden/>
              </w:rPr>
              <w:tab/>
            </w:r>
            <w:r>
              <w:rPr>
                <w:noProof/>
                <w:webHidden/>
              </w:rPr>
              <w:fldChar w:fldCharType="begin"/>
            </w:r>
            <w:r>
              <w:rPr>
                <w:noProof/>
                <w:webHidden/>
              </w:rPr>
              <w:instrText xml:space="preserve"> PAGEREF _Toc348948335 \h </w:instrText>
            </w:r>
            <w:r>
              <w:rPr>
                <w:noProof/>
                <w:webHidden/>
              </w:rPr>
            </w:r>
            <w:r>
              <w:rPr>
                <w:noProof/>
                <w:webHidden/>
              </w:rPr>
              <w:fldChar w:fldCharType="separate"/>
            </w:r>
            <w:r>
              <w:rPr>
                <w:noProof/>
                <w:webHidden/>
              </w:rPr>
              <w:t>38</w:t>
            </w:r>
            <w:r>
              <w:rPr>
                <w:noProof/>
                <w:webHidden/>
              </w:rPr>
              <w:fldChar w:fldCharType="end"/>
            </w:r>
          </w:hyperlink>
        </w:p>
        <w:p w:rsidR="00FB637A" w:rsidRDefault="00FB637A">
          <w:pPr>
            <w:pStyle w:val="TOC1"/>
            <w:tabs>
              <w:tab w:val="right" w:leader="dot" w:pos="8630"/>
            </w:tabs>
            <w:rPr>
              <w:noProof/>
            </w:rPr>
          </w:pPr>
          <w:hyperlink w:anchor="_Toc348948336" w:history="1">
            <w:r w:rsidRPr="00D51899">
              <w:rPr>
                <w:rStyle w:val="Hyperlink"/>
                <w:noProof/>
              </w:rPr>
              <w:t>II. Inovatīva un efektīva ekonomika</w:t>
            </w:r>
            <w:r>
              <w:rPr>
                <w:noProof/>
                <w:webHidden/>
              </w:rPr>
              <w:tab/>
            </w:r>
            <w:r>
              <w:rPr>
                <w:noProof/>
                <w:webHidden/>
              </w:rPr>
              <w:fldChar w:fldCharType="begin"/>
            </w:r>
            <w:r>
              <w:rPr>
                <w:noProof/>
                <w:webHidden/>
              </w:rPr>
              <w:instrText xml:space="preserve"> PAGEREF _Toc348948336 \h </w:instrText>
            </w:r>
            <w:r>
              <w:rPr>
                <w:noProof/>
                <w:webHidden/>
              </w:rPr>
            </w:r>
            <w:r>
              <w:rPr>
                <w:noProof/>
                <w:webHidden/>
              </w:rPr>
              <w:fldChar w:fldCharType="separate"/>
            </w:r>
            <w:r>
              <w:rPr>
                <w:noProof/>
                <w:webHidden/>
              </w:rPr>
              <w:t>39</w:t>
            </w:r>
            <w:r>
              <w:rPr>
                <w:noProof/>
                <w:webHidden/>
              </w:rPr>
              <w:fldChar w:fldCharType="end"/>
            </w:r>
          </w:hyperlink>
        </w:p>
        <w:p w:rsidR="00FB637A" w:rsidRDefault="00FB637A">
          <w:pPr>
            <w:pStyle w:val="TOC2"/>
            <w:tabs>
              <w:tab w:val="right" w:leader="dot" w:pos="8630"/>
            </w:tabs>
            <w:rPr>
              <w:noProof/>
            </w:rPr>
          </w:pPr>
          <w:hyperlink w:anchor="_Toc348948337" w:history="1">
            <w:r w:rsidRPr="00D51899">
              <w:rPr>
                <w:rStyle w:val="Hyperlink"/>
                <w:noProof/>
              </w:rPr>
              <w:t>1. Makroekonomiskā situācija (galvenie rādītāji un prognozes)</w:t>
            </w:r>
            <w:r>
              <w:rPr>
                <w:noProof/>
                <w:webHidden/>
              </w:rPr>
              <w:tab/>
            </w:r>
            <w:r>
              <w:rPr>
                <w:noProof/>
                <w:webHidden/>
              </w:rPr>
              <w:fldChar w:fldCharType="begin"/>
            </w:r>
            <w:r>
              <w:rPr>
                <w:noProof/>
                <w:webHidden/>
              </w:rPr>
              <w:instrText xml:space="preserve"> PAGEREF _Toc348948337 \h </w:instrText>
            </w:r>
            <w:r>
              <w:rPr>
                <w:noProof/>
                <w:webHidden/>
              </w:rPr>
            </w:r>
            <w:r>
              <w:rPr>
                <w:noProof/>
                <w:webHidden/>
              </w:rPr>
              <w:fldChar w:fldCharType="separate"/>
            </w:r>
            <w:r>
              <w:rPr>
                <w:noProof/>
                <w:webHidden/>
              </w:rPr>
              <w:t>39</w:t>
            </w:r>
            <w:r>
              <w:rPr>
                <w:noProof/>
                <w:webHidden/>
              </w:rPr>
              <w:fldChar w:fldCharType="end"/>
            </w:r>
          </w:hyperlink>
        </w:p>
        <w:p w:rsidR="00FB637A" w:rsidRDefault="00FB637A">
          <w:pPr>
            <w:pStyle w:val="TOC3"/>
            <w:tabs>
              <w:tab w:val="right" w:leader="dot" w:pos="8630"/>
            </w:tabs>
            <w:rPr>
              <w:noProof/>
            </w:rPr>
          </w:pPr>
          <w:hyperlink w:anchor="_Toc348948338" w:history="1">
            <w:r w:rsidRPr="00D51899">
              <w:rPr>
                <w:rStyle w:val="Hyperlink"/>
                <w:noProof/>
              </w:rPr>
              <w:t xml:space="preserve">1.1. </w:t>
            </w:r>
            <w:r w:rsidRPr="00D51899">
              <w:rPr>
                <w:rStyle w:val="Hyperlink"/>
                <w:rFonts w:eastAsia="Calibri"/>
                <w:noProof/>
                <w:lang w:eastAsia="en-US"/>
              </w:rPr>
              <w:t>IKP un e</w:t>
            </w:r>
            <w:r w:rsidRPr="00D51899">
              <w:rPr>
                <w:rStyle w:val="Hyperlink"/>
                <w:noProof/>
              </w:rPr>
              <w:t>konomikas attīstības tendences</w:t>
            </w:r>
            <w:r>
              <w:rPr>
                <w:noProof/>
                <w:webHidden/>
              </w:rPr>
              <w:tab/>
            </w:r>
            <w:r>
              <w:rPr>
                <w:noProof/>
                <w:webHidden/>
              </w:rPr>
              <w:fldChar w:fldCharType="begin"/>
            </w:r>
            <w:r>
              <w:rPr>
                <w:noProof/>
                <w:webHidden/>
              </w:rPr>
              <w:instrText xml:space="preserve"> PAGEREF _Toc348948338 \h </w:instrText>
            </w:r>
            <w:r>
              <w:rPr>
                <w:noProof/>
                <w:webHidden/>
              </w:rPr>
            </w:r>
            <w:r>
              <w:rPr>
                <w:noProof/>
                <w:webHidden/>
              </w:rPr>
              <w:fldChar w:fldCharType="separate"/>
            </w:r>
            <w:r>
              <w:rPr>
                <w:noProof/>
                <w:webHidden/>
              </w:rPr>
              <w:t>39</w:t>
            </w:r>
            <w:r>
              <w:rPr>
                <w:noProof/>
                <w:webHidden/>
              </w:rPr>
              <w:fldChar w:fldCharType="end"/>
            </w:r>
          </w:hyperlink>
        </w:p>
        <w:p w:rsidR="00FB637A" w:rsidRDefault="00FB637A">
          <w:pPr>
            <w:pStyle w:val="TOC3"/>
            <w:tabs>
              <w:tab w:val="right" w:leader="dot" w:pos="8630"/>
            </w:tabs>
            <w:rPr>
              <w:noProof/>
            </w:rPr>
          </w:pPr>
          <w:hyperlink w:anchor="_Toc348948339" w:history="1">
            <w:r w:rsidRPr="00D51899">
              <w:rPr>
                <w:rStyle w:val="Hyperlink"/>
                <w:noProof/>
              </w:rPr>
              <w:t>1.2. Patēriņa cenas</w:t>
            </w:r>
            <w:r>
              <w:rPr>
                <w:noProof/>
                <w:webHidden/>
              </w:rPr>
              <w:tab/>
            </w:r>
            <w:r>
              <w:rPr>
                <w:noProof/>
                <w:webHidden/>
              </w:rPr>
              <w:fldChar w:fldCharType="begin"/>
            </w:r>
            <w:r>
              <w:rPr>
                <w:noProof/>
                <w:webHidden/>
              </w:rPr>
              <w:instrText xml:space="preserve"> PAGEREF _Toc348948339 \h </w:instrText>
            </w:r>
            <w:r>
              <w:rPr>
                <w:noProof/>
                <w:webHidden/>
              </w:rPr>
            </w:r>
            <w:r>
              <w:rPr>
                <w:noProof/>
                <w:webHidden/>
              </w:rPr>
              <w:fldChar w:fldCharType="separate"/>
            </w:r>
            <w:r>
              <w:rPr>
                <w:noProof/>
                <w:webHidden/>
              </w:rPr>
              <w:t>41</w:t>
            </w:r>
            <w:r>
              <w:rPr>
                <w:noProof/>
                <w:webHidden/>
              </w:rPr>
              <w:fldChar w:fldCharType="end"/>
            </w:r>
          </w:hyperlink>
        </w:p>
        <w:p w:rsidR="00FB637A" w:rsidRDefault="00FB637A">
          <w:pPr>
            <w:pStyle w:val="TOC3"/>
            <w:tabs>
              <w:tab w:val="right" w:leader="dot" w:pos="8630"/>
            </w:tabs>
            <w:rPr>
              <w:noProof/>
            </w:rPr>
          </w:pPr>
          <w:hyperlink w:anchor="_Toc348948340" w:history="1">
            <w:r w:rsidRPr="00D51899">
              <w:rPr>
                <w:rStyle w:val="Hyperlink"/>
                <w:noProof/>
              </w:rPr>
              <w:t>1.3. Nodarbinātības un bezdarba rādītāji</w:t>
            </w:r>
            <w:r>
              <w:rPr>
                <w:noProof/>
                <w:webHidden/>
              </w:rPr>
              <w:tab/>
            </w:r>
            <w:r>
              <w:rPr>
                <w:noProof/>
                <w:webHidden/>
              </w:rPr>
              <w:fldChar w:fldCharType="begin"/>
            </w:r>
            <w:r>
              <w:rPr>
                <w:noProof/>
                <w:webHidden/>
              </w:rPr>
              <w:instrText xml:space="preserve"> PAGEREF _Toc348948340 \h </w:instrText>
            </w:r>
            <w:r>
              <w:rPr>
                <w:noProof/>
                <w:webHidden/>
              </w:rPr>
            </w:r>
            <w:r>
              <w:rPr>
                <w:noProof/>
                <w:webHidden/>
              </w:rPr>
              <w:fldChar w:fldCharType="separate"/>
            </w:r>
            <w:r>
              <w:rPr>
                <w:noProof/>
                <w:webHidden/>
              </w:rPr>
              <w:t>43</w:t>
            </w:r>
            <w:r>
              <w:rPr>
                <w:noProof/>
                <w:webHidden/>
              </w:rPr>
              <w:fldChar w:fldCharType="end"/>
            </w:r>
          </w:hyperlink>
        </w:p>
        <w:p w:rsidR="00FB637A" w:rsidRDefault="00FB637A">
          <w:pPr>
            <w:pStyle w:val="TOC3"/>
            <w:tabs>
              <w:tab w:val="right" w:leader="dot" w:pos="8630"/>
            </w:tabs>
            <w:rPr>
              <w:noProof/>
            </w:rPr>
          </w:pPr>
          <w:hyperlink w:anchor="_Toc348948341" w:history="1">
            <w:r w:rsidRPr="00D51899">
              <w:rPr>
                <w:rStyle w:val="Hyperlink"/>
                <w:noProof/>
              </w:rPr>
              <w:t>1.4. Ārējā tirdzniecība</w:t>
            </w:r>
            <w:r>
              <w:rPr>
                <w:noProof/>
                <w:webHidden/>
              </w:rPr>
              <w:tab/>
            </w:r>
            <w:r>
              <w:rPr>
                <w:noProof/>
                <w:webHidden/>
              </w:rPr>
              <w:fldChar w:fldCharType="begin"/>
            </w:r>
            <w:r>
              <w:rPr>
                <w:noProof/>
                <w:webHidden/>
              </w:rPr>
              <w:instrText xml:space="preserve"> PAGEREF _Toc348948341 \h </w:instrText>
            </w:r>
            <w:r>
              <w:rPr>
                <w:noProof/>
                <w:webHidden/>
              </w:rPr>
            </w:r>
            <w:r>
              <w:rPr>
                <w:noProof/>
                <w:webHidden/>
              </w:rPr>
              <w:fldChar w:fldCharType="separate"/>
            </w:r>
            <w:r>
              <w:rPr>
                <w:noProof/>
                <w:webHidden/>
              </w:rPr>
              <w:t>46</w:t>
            </w:r>
            <w:r>
              <w:rPr>
                <w:noProof/>
                <w:webHidden/>
              </w:rPr>
              <w:fldChar w:fldCharType="end"/>
            </w:r>
          </w:hyperlink>
        </w:p>
        <w:p w:rsidR="00FB637A" w:rsidRDefault="00FB637A">
          <w:pPr>
            <w:pStyle w:val="TOC3"/>
            <w:tabs>
              <w:tab w:val="right" w:leader="dot" w:pos="8630"/>
            </w:tabs>
            <w:rPr>
              <w:noProof/>
            </w:rPr>
          </w:pPr>
          <w:hyperlink w:anchor="_Toc348948342" w:history="1">
            <w:r w:rsidRPr="00D51899">
              <w:rPr>
                <w:rStyle w:val="Hyperlink"/>
                <w:noProof/>
              </w:rPr>
              <w:t>1.5. Finanšu tirgus</w:t>
            </w:r>
            <w:r>
              <w:rPr>
                <w:noProof/>
                <w:webHidden/>
              </w:rPr>
              <w:tab/>
            </w:r>
            <w:r>
              <w:rPr>
                <w:noProof/>
                <w:webHidden/>
              </w:rPr>
              <w:fldChar w:fldCharType="begin"/>
            </w:r>
            <w:r>
              <w:rPr>
                <w:noProof/>
                <w:webHidden/>
              </w:rPr>
              <w:instrText xml:space="preserve"> PAGEREF _Toc348948342 \h </w:instrText>
            </w:r>
            <w:r>
              <w:rPr>
                <w:noProof/>
                <w:webHidden/>
              </w:rPr>
            </w:r>
            <w:r>
              <w:rPr>
                <w:noProof/>
                <w:webHidden/>
              </w:rPr>
              <w:fldChar w:fldCharType="separate"/>
            </w:r>
            <w:r>
              <w:rPr>
                <w:noProof/>
                <w:webHidden/>
              </w:rPr>
              <w:t>49</w:t>
            </w:r>
            <w:r>
              <w:rPr>
                <w:noProof/>
                <w:webHidden/>
              </w:rPr>
              <w:fldChar w:fldCharType="end"/>
            </w:r>
          </w:hyperlink>
        </w:p>
        <w:p w:rsidR="00FB637A" w:rsidRDefault="00FB637A">
          <w:pPr>
            <w:pStyle w:val="TOC3"/>
            <w:tabs>
              <w:tab w:val="right" w:leader="dot" w:pos="8630"/>
            </w:tabs>
            <w:rPr>
              <w:noProof/>
            </w:rPr>
          </w:pPr>
          <w:hyperlink w:anchor="_Toc348948343" w:history="1">
            <w:r w:rsidRPr="00D51899">
              <w:rPr>
                <w:rStyle w:val="Hyperlink"/>
                <w:noProof/>
              </w:rPr>
              <w:t>1.6. Nodokļu politika</w:t>
            </w:r>
            <w:r>
              <w:rPr>
                <w:noProof/>
                <w:webHidden/>
              </w:rPr>
              <w:tab/>
            </w:r>
            <w:r>
              <w:rPr>
                <w:noProof/>
                <w:webHidden/>
              </w:rPr>
              <w:fldChar w:fldCharType="begin"/>
            </w:r>
            <w:r>
              <w:rPr>
                <w:noProof/>
                <w:webHidden/>
              </w:rPr>
              <w:instrText xml:space="preserve"> PAGEREF _Toc348948343 \h </w:instrText>
            </w:r>
            <w:r>
              <w:rPr>
                <w:noProof/>
                <w:webHidden/>
              </w:rPr>
            </w:r>
            <w:r>
              <w:rPr>
                <w:noProof/>
                <w:webHidden/>
              </w:rPr>
              <w:fldChar w:fldCharType="separate"/>
            </w:r>
            <w:r>
              <w:rPr>
                <w:noProof/>
                <w:webHidden/>
              </w:rPr>
              <w:t>50</w:t>
            </w:r>
            <w:r>
              <w:rPr>
                <w:noProof/>
                <w:webHidden/>
              </w:rPr>
              <w:fldChar w:fldCharType="end"/>
            </w:r>
          </w:hyperlink>
        </w:p>
        <w:p w:rsidR="00FB637A" w:rsidRDefault="00FB637A">
          <w:pPr>
            <w:pStyle w:val="TOC3"/>
            <w:tabs>
              <w:tab w:val="right" w:leader="dot" w:pos="8630"/>
            </w:tabs>
            <w:rPr>
              <w:noProof/>
            </w:rPr>
          </w:pPr>
          <w:hyperlink w:anchor="_Toc348948344" w:history="1">
            <w:r w:rsidRPr="00D51899">
              <w:rPr>
                <w:rStyle w:val="Hyperlink"/>
                <w:noProof/>
              </w:rPr>
              <w:t>1.7. Ēnu ekonomikas apkarošana</w:t>
            </w:r>
            <w:r>
              <w:rPr>
                <w:noProof/>
                <w:webHidden/>
              </w:rPr>
              <w:tab/>
            </w:r>
            <w:r>
              <w:rPr>
                <w:noProof/>
                <w:webHidden/>
              </w:rPr>
              <w:fldChar w:fldCharType="begin"/>
            </w:r>
            <w:r>
              <w:rPr>
                <w:noProof/>
                <w:webHidden/>
              </w:rPr>
              <w:instrText xml:space="preserve"> PAGEREF _Toc348948344 \h </w:instrText>
            </w:r>
            <w:r>
              <w:rPr>
                <w:noProof/>
                <w:webHidden/>
              </w:rPr>
            </w:r>
            <w:r>
              <w:rPr>
                <w:noProof/>
                <w:webHidden/>
              </w:rPr>
              <w:fldChar w:fldCharType="separate"/>
            </w:r>
            <w:r>
              <w:rPr>
                <w:noProof/>
                <w:webHidden/>
              </w:rPr>
              <w:t>53</w:t>
            </w:r>
            <w:r>
              <w:rPr>
                <w:noProof/>
                <w:webHidden/>
              </w:rPr>
              <w:fldChar w:fldCharType="end"/>
            </w:r>
          </w:hyperlink>
        </w:p>
        <w:p w:rsidR="00FB637A" w:rsidRDefault="00FB637A">
          <w:pPr>
            <w:pStyle w:val="TOC2"/>
            <w:tabs>
              <w:tab w:val="right" w:leader="dot" w:pos="8630"/>
            </w:tabs>
            <w:rPr>
              <w:noProof/>
            </w:rPr>
          </w:pPr>
          <w:hyperlink w:anchor="_Toc348948345" w:history="1">
            <w:r w:rsidRPr="00D51899">
              <w:rPr>
                <w:rStyle w:val="Hyperlink"/>
                <w:noProof/>
              </w:rPr>
              <w:t>2. Makroekonomiskā stabilitāte un valsts budžeta izpilde, fiskālā disciplīna</w:t>
            </w:r>
            <w:r>
              <w:rPr>
                <w:noProof/>
                <w:webHidden/>
              </w:rPr>
              <w:tab/>
            </w:r>
            <w:r>
              <w:rPr>
                <w:noProof/>
                <w:webHidden/>
              </w:rPr>
              <w:fldChar w:fldCharType="begin"/>
            </w:r>
            <w:r>
              <w:rPr>
                <w:noProof/>
                <w:webHidden/>
              </w:rPr>
              <w:instrText xml:space="preserve"> PAGEREF _Toc348948345 \h </w:instrText>
            </w:r>
            <w:r>
              <w:rPr>
                <w:noProof/>
                <w:webHidden/>
              </w:rPr>
            </w:r>
            <w:r>
              <w:rPr>
                <w:noProof/>
                <w:webHidden/>
              </w:rPr>
              <w:fldChar w:fldCharType="separate"/>
            </w:r>
            <w:r>
              <w:rPr>
                <w:noProof/>
                <w:webHidden/>
              </w:rPr>
              <w:t>55</w:t>
            </w:r>
            <w:r>
              <w:rPr>
                <w:noProof/>
                <w:webHidden/>
              </w:rPr>
              <w:fldChar w:fldCharType="end"/>
            </w:r>
          </w:hyperlink>
        </w:p>
        <w:p w:rsidR="00FB637A" w:rsidRDefault="00FB637A">
          <w:pPr>
            <w:pStyle w:val="TOC3"/>
            <w:tabs>
              <w:tab w:val="right" w:leader="dot" w:pos="8630"/>
            </w:tabs>
            <w:rPr>
              <w:noProof/>
            </w:rPr>
          </w:pPr>
          <w:hyperlink w:anchor="_Toc348948346" w:history="1">
            <w:r w:rsidRPr="00D51899">
              <w:rPr>
                <w:rStyle w:val="Hyperlink"/>
                <w:noProof/>
              </w:rPr>
              <w:t>2.1. Kopbudžeta un vispārējās valdības budžeta izpilde 2012.gadā</w:t>
            </w:r>
            <w:r>
              <w:rPr>
                <w:noProof/>
                <w:webHidden/>
              </w:rPr>
              <w:tab/>
            </w:r>
            <w:r>
              <w:rPr>
                <w:noProof/>
                <w:webHidden/>
              </w:rPr>
              <w:fldChar w:fldCharType="begin"/>
            </w:r>
            <w:r>
              <w:rPr>
                <w:noProof/>
                <w:webHidden/>
              </w:rPr>
              <w:instrText xml:space="preserve"> PAGEREF _Toc348948346 \h </w:instrText>
            </w:r>
            <w:r>
              <w:rPr>
                <w:noProof/>
                <w:webHidden/>
              </w:rPr>
            </w:r>
            <w:r>
              <w:rPr>
                <w:noProof/>
                <w:webHidden/>
              </w:rPr>
              <w:fldChar w:fldCharType="separate"/>
            </w:r>
            <w:r>
              <w:rPr>
                <w:noProof/>
                <w:webHidden/>
              </w:rPr>
              <w:t>55</w:t>
            </w:r>
            <w:r>
              <w:rPr>
                <w:noProof/>
                <w:webHidden/>
              </w:rPr>
              <w:fldChar w:fldCharType="end"/>
            </w:r>
          </w:hyperlink>
        </w:p>
        <w:p w:rsidR="00FB637A" w:rsidRDefault="00FB637A">
          <w:pPr>
            <w:pStyle w:val="TOC3"/>
            <w:tabs>
              <w:tab w:val="right" w:leader="dot" w:pos="8630"/>
            </w:tabs>
            <w:rPr>
              <w:noProof/>
            </w:rPr>
          </w:pPr>
          <w:hyperlink w:anchor="_Toc348948347" w:history="1">
            <w:r w:rsidRPr="00D51899">
              <w:rPr>
                <w:rStyle w:val="Hyperlink"/>
                <w:noProof/>
              </w:rPr>
              <w:t>2.2. Fiskālā disciplīna</w:t>
            </w:r>
            <w:r>
              <w:rPr>
                <w:noProof/>
                <w:webHidden/>
              </w:rPr>
              <w:tab/>
            </w:r>
            <w:r>
              <w:rPr>
                <w:noProof/>
                <w:webHidden/>
              </w:rPr>
              <w:fldChar w:fldCharType="begin"/>
            </w:r>
            <w:r>
              <w:rPr>
                <w:noProof/>
                <w:webHidden/>
              </w:rPr>
              <w:instrText xml:space="preserve"> PAGEREF _Toc348948347 \h </w:instrText>
            </w:r>
            <w:r>
              <w:rPr>
                <w:noProof/>
                <w:webHidden/>
              </w:rPr>
            </w:r>
            <w:r>
              <w:rPr>
                <w:noProof/>
                <w:webHidden/>
              </w:rPr>
              <w:fldChar w:fldCharType="separate"/>
            </w:r>
            <w:r>
              <w:rPr>
                <w:noProof/>
                <w:webHidden/>
              </w:rPr>
              <w:t>55</w:t>
            </w:r>
            <w:r>
              <w:rPr>
                <w:noProof/>
                <w:webHidden/>
              </w:rPr>
              <w:fldChar w:fldCharType="end"/>
            </w:r>
          </w:hyperlink>
        </w:p>
        <w:p w:rsidR="00FB637A" w:rsidRDefault="00FB637A">
          <w:pPr>
            <w:pStyle w:val="TOC2"/>
            <w:tabs>
              <w:tab w:val="right" w:leader="dot" w:pos="8630"/>
            </w:tabs>
            <w:rPr>
              <w:noProof/>
            </w:rPr>
          </w:pPr>
          <w:hyperlink w:anchor="_Toc348948348" w:history="1">
            <w:r w:rsidRPr="00D51899">
              <w:rPr>
                <w:rStyle w:val="Hyperlink"/>
                <w:noProof/>
              </w:rPr>
              <w:t>3. Pasākumi, lai sagatavotos eiro ieviešanai</w:t>
            </w:r>
            <w:r>
              <w:rPr>
                <w:noProof/>
                <w:webHidden/>
              </w:rPr>
              <w:tab/>
            </w:r>
            <w:r>
              <w:rPr>
                <w:noProof/>
                <w:webHidden/>
              </w:rPr>
              <w:fldChar w:fldCharType="begin"/>
            </w:r>
            <w:r>
              <w:rPr>
                <w:noProof/>
                <w:webHidden/>
              </w:rPr>
              <w:instrText xml:space="preserve"> PAGEREF _Toc348948348 \h </w:instrText>
            </w:r>
            <w:r>
              <w:rPr>
                <w:noProof/>
                <w:webHidden/>
              </w:rPr>
            </w:r>
            <w:r>
              <w:rPr>
                <w:noProof/>
                <w:webHidden/>
              </w:rPr>
              <w:fldChar w:fldCharType="separate"/>
            </w:r>
            <w:r>
              <w:rPr>
                <w:noProof/>
                <w:webHidden/>
              </w:rPr>
              <w:t>56</w:t>
            </w:r>
            <w:r>
              <w:rPr>
                <w:noProof/>
                <w:webHidden/>
              </w:rPr>
              <w:fldChar w:fldCharType="end"/>
            </w:r>
          </w:hyperlink>
        </w:p>
        <w:p w:rsidR="00FB637A" w:rsidRDefault="00FB637A">
          <w:pPr>
            <w:pStyle w:val="TOC2"/>
            <w:tabs>
              <w:tab w:val="right" w:leader="dot" w:pos="8630"/>
            </w:tabs>
            <w:rPr>
              <w:noProof/>
            </w:rPr>
          </w:pPr>
          <w:hyperlink w:anchor="_Toc348948349" w:history="1">
            <w:r w:rsidRPr="00D51899">
              <w:rPr>
                <w:rStyle w:val="Hyperlink"/>
                <w:noProof/>
              </w:rPr>
              <w:t>4. ES fondu ieviešanas statuss</w:t>
            </w:r>
            <w:r>
              <w:rPr>
                <w:noProof/>
                <w:webHidden/>
              </w:rPr>
              <w:tab/>
            </w:r>
            <w:r>
              <w:rPr>
                <w:noProof/>
                <w:webHidden/>
              </w:rPr>
              <w:fldChar w:fldCharType="begin"/>
            </w:r>
            <w:r>
              <w:rPr>
                <w:noProof/>
                <w:webHidden/>
              </w:rPr>
              <w:instrText xml:space="preserve"> PAGEREF _Toc348948349 \h </w:instrText>
            </w:r>
            <w:r>
              <w:rPr>
                <w:noProof/>
                <w:webHidden/>
              </w:rPr>
            </w:r>
            <w:r>
              <w:rPr>
                <w:noProof/>
                <w:webHidden/>
              </w:rPr>
              <w:fldChar w:fldCharType="separate"/>
            </w:r>
            <w:r>
              <w:rPr>
                <w:noProof/>
                <w:webHidden/>
              </w:rPr>
              <w:t>57</w:t>
            </w:r>
            <w:r>
              <w:rPr>
                <w:noProof/>
                <w:webHidden/>
              </w:rPr>
              <w:fldChar w:fldCharType="end"/>
            </w:r>
          </w:hyperlink>
        </w:p>
        <w:p w:rsidR="00FB637A" w:rsidRDefault="00FB637A">
          <w:pPr>
            <w:pStyle w:val="TOC3"/>
            <w:tabs>
              <w:tab w:val="right" w:leader="dot" w:pos="8630"/>
            </w:tabs>
            <w:rPr>
              <w:noProof/>
            </w:rPr>
          </w:pPr>
          <w:hyperlink w:anchor="_Toc348948350" w:history="1">
            <w:r w:rsidRPr="00D51899">
              <w:rPr>
                <w:rStyle w:val="Hyperlink"/>
                <w:noProof/>
              </w:rPr>
              <w:t>4.1.Jaunais ES fondu plānošanas periods</w:t>
            </w:r>
            <w:r>
              <w:rPr>
                <w:noProof/>
                <w:webHidden/>
              </w:rPr>
              <w:tab/>
            </w:r>
            <w:r>
              <w:rPr>
                <w:noProof/>
                <w:webHidden/>
              </w:rPr>
              <w:fldChar w:fldCharType="begin"/>
            </w:r>
            <w:r>
              <w:rPr>
                <w:noProof/>
                <w:webHidden/>
              </w:rPr>
              <w:instrText xml:space="preserve"> PAGEREF _Toc348948350 \h </w:instrText>
            </w:r>
            <w:r>
              <w:rPr>
                <w:noProof/>
                <w:webHidden/>
              </w:rPr>
            </w:r>
            <w:r>
              <w:rPr>
                <w:noProof/>
                <w:webHidden/>
              </w:rPr>
              <w:fldChar w:fldCharType="separate"/>
            </w:r>
            <w:r>
              <w:rPr>
                <w:noProof/>
                <w:webHidden/>
              </w:rPr>
              <w:t>61</w:t>
            </w:r>
            <w:r>
              <w:rPr>
                <w:noProof/>
                <w:webHidden/>
              </w:rPr>
              <w:fldChar w:fldCharType="end"/>
            </w:r>
          </w:hyperlink>
        </w:p>
        <w:p w:rsidR="00FB637A" w:rsidRDefault="00FB637A">
          <w:pPr>
            <w:pStyle w:val="TOC3"/>
            <w:tabs>
              <w:tab w:val="right" w:leader="dot" w:pos="8630"/>
            </w:tabs>
            <w:rPr>
              <w:noProof/>
            </w:rPr>
          </w:pPr>
          <w:hyperlink w:anchor="_Toc348948351" w:history="1">
            <w:r w:rsidRPr="00D51899">
              <w:rPr>
                <w:rStyle w:val="Hyperlink"/>
                <w:noProof/>
              </w:rPr>
              <w:t>4.2. Latvijas un Šveices sadarbības programma</w:t>
            </w:r>
            <w:r>
              <w:rPr>
                <w:noProof/>
                <w:webHidden/>
              </w:rPr>
              <w:tab/>
            </w:r>
            <w:r>
              <w:rPr>
                <w:noProof/>
                <w:webHidden/>
              </w:rPr>
              <w:fldChar w:fldCharType="begin"/>
            </w:r>
            <w:r>
              <w:rPr>
                <w:noProof/>
                <w:webHidden/>
              </w:rPr>
              <w:instrText xml:space="preserve"> PAGEREF _Toc348948351 \h </w:instrText>
            </w:r>
            <w:r>
              <w:rPr>
                <w:noProof/>
                <w:webHidden/>
              </w:rPr>
            </w:r>
            <w:r>
              <w:rPr>
                <w:noProof/>
                <w:webHidden/>
              </w:rPr>
              <w:fldChar w:fldCharType="separate"/>
            </w:r>
            <w:r>
              <w:rPr>
                <w:noProof/>
                <w:webHidden/>
              </w:rPr>
              <w:t>61</w:t>
            </w:r>
            <w:r>
              <w:rPr>
                <w:noProof/>
                <w:webHidden/>
              </w:rPr>
              <w:fldChar w:fldCharType="end"/>
            </w:r>
          </w:hyperlink>
        </w:p>
        <w:p w:rsidR="00FB637A" w:rsidRDefault="00FB637A">
          <w:pPr>
            <w:pStyle w:val="TOC3"/>
            <w:tabs>
              <w:tab w:val="right" w:leader="dot" w:pos="8630"/>
            </w:tabs>
            <w:rPr>
              <w:noProof/>
            </w:rPr>
          </w:pPr>
          <w:hyperlink w:anchor="_Toc348948352" w:history="1">
            <w:r w:rsidRPr="00D51899">
              <w:rPr>
                <w:rStyle w:val="Hyperlink"/>
                <w:noProof/>
              </w:rPr>
              <w:t>4.3. EEZ/Norvēģijas finanšu instruments</w:t>
            </w:r>
            <w:r>
              <w:rPr>
                <w:noProof/>
                <w:webHidden/>
              </w:rPr>
              <w:tab/>
            </w:r>
            <w:r>
              <w:rPr>
                <w:noProof/>
                <w:webHidden/>
              </w:rPr>
              <w:fldChar w:fldCharType="begin"/>
            </w:r>
            <w:r>
              <w:rPr>
                <w:noProof/>
                <w:webHidden/>
              </w:rPr>
              <w:instrText xml:space="preserve"> PAGEREF _Toc348948352 \h </w:instrText>
            </w:r>
            <w:r>
              <w:rPr>
                <w:noProof/>
                <w:webHidden/>
              </w:rPr>
            </w:r>
            <w:r>
              <w:rPr>
                <w:noProof/>
                <w:webHidden/>
              </w:rPr>
              <w:fldChar w:fldCharType="separate"/>
            </w:r>
            <w:r>
              <w:rPr>
                <w:noProof/>
                <w:webHidden/>
              </w:rPr>
              <w:t>62</w:t>
            </w:r>
            <w:r>
              <w:rPr>
                <w:noProof/>
                <w:webHidden/>
              </w:rPr>
              <w:fldChar w:fldCharType="end"/>
            </w:r>
          </w:hyperlink>
        </w:p>
        <w:p w:rsidR="00FB637A" w:rsidRDefault="00FB637A">
          <w:pPr>
            <w:pStyle w:val="TOC2"/>
            <w:tabs>
              <w:tab w:val="right" w:leader="dot" w:pos="8630"/>
            </w:tabs>
            <w:rPr>
              <w:noProof/>
            </w:rPr>
          </w:pPr>
          <w:hyperlink w:anchor="_Toc348948353" w:history="1">
            <w:r w:rsidRPr="00D51899">
              <w:rPr>
                <w:rStyle w:val="Hyperlink"/>
                <w:noProof/>
              </w:rPr>
              <w:t>5. Ārējā ekonomiskā politika, t.sk. stratēģijas "Eiropa 2020" mērķu sasniegšanas veicināšana</w:t>
            </w:r>
            <w:r>
              <w:rPr>
                <w:noProof/>
                <w:webHidden/>
              </w:rPr>
              <w:tab/>
            </w:r>
            <w:r>
              <w:rPr>
                <w:noProof/>
                <w:webHidden/>
              </w:rPr>
              <w:fldChar w:fldCharType="begin"/>
            </w:r>
            <w:r>
              <w:rPr>
                <w:noProof/>
                <w:webHidden/>
              </w:rPr>
              <w:instrText xml:space="preserve"> PAGEREF _Toc348948353 \h </w:instrText>
            </w:r>
            <w:r>
              <w:rPr>
                <w:noProof/>
                <w:webHidden/>
              </w:rPr>
            </w:r>
            <w:r>
              <w:rPr>
                <w:noProof/>
                <w:webHidden/>
              </w:rPr>
              <w:fldChar w:fldCharType="separate"/>
            </w:r>
            <w:r>
              <w:rPr>
                <w:noProof/>
                <w:webHidden/>
              </w:rPr>
              <w:t>63</w:t>
            </w:r>
            <w:r>
              <w:rPr>
                <w:noProof/>
                <w:webHidden/>
              </w:rPr>
              <w:fldChar w:fldCharType="end"/>
            </w:r>
          </w:hyperlink>
        </w:p>
        <w:p w:rsidR="00FB637A" w:rsidRDefault="00FB637A">
          <w:pPr>
            <w:pStyle w:val="TOC3"/>
            <w:tabs>
              <w:tab w:val="right" w:leader="dot" w:pos="8630"/>
            </w:tabs>
            <w:rPr>
              <w:noProof/>
            </w:rPr>
          </w:pPr>
          <w:hyperlink w:anchor="_Toc348948354" w:history="1">
            <w:r w:rsidRPr="00D51899">
              <w:rPr>
                <w:rStyle w:val="Hyperlink"/>
                <w:noProof/>
              </w:rPr>
              <w:t>5.1. Divpusējās ekonomiskās attiecības</w:t>
            </w:r>
            <w:r>
              <w:rPr>
                <w:noProof/>
                <w:webHidden/>
              </w:rPr>
              <w:tab/>
            </w:r>
            <w:r>
              <w:rPr>
                <w:noProof/>
                <w:webHidden/>
              </w:rPr>
              <w:fldChar w:fldCharType="begin"/>
            </w:r>
            <w:r>
              <w:rPr>
                <w:noProof/>
                <w:webHidden/>
              </w:rPr>
              <w:instrText xml:space="preserve"> PAGEREF _Toc348948354 \h </w:instrText>
            </w:r>
            <w:r>
              <w:rPr>
                <w:noProof/>
                <w:webHidden/>
              </w:rPr>
            </w:r>
            <w:r>
              <w:rPr>
                <w:noProof/>
                <w:webHidden/>
              </w:rPr>
              <w:fldChar w:fldCharType="separate"/>
            </w:r>
            <w:r>
              <w:rPr>
                <w:noProof/>
                <w:webHidden/>
              </w:rPr>
              <w:t>63</w:t>
            </w:r>
            <w:r>
              <w:rPr>
                <w:noProof/>
                <w:webHidden/>
              </w:rPr>
              <w:fldChar w:fldCharType="end"/>
            </w:r>
          </w:hyperlink>
        </w:p>
        <w:p w:rsidR="00FB637A" w:rsidRDefault="00FB637A">
          <w:pPr>
            <w:pStyle w:val="TOC3"/>
            <w:tabs>
              <w:tab w:val="right" w:leader="dot" w:pos="8630"/>
            </w:tabs>
            <w:rPr>
              <w:noProof/>
            </w:rPr>
          </w:pPr>
          <w:hyperlink w:anchor="_Toc348948355" w:history="1">
            <w:r w:rsidRPr="00D51899">
              <w:rPr>
                <w:rStyle w:val="Hyperlink"/>
                <w:noProof/>
              </w:rPr>
              <w:t>5.2. ES kopējā tirdzniecības politika</w:t>
            </w:r>
            <w:r>
              <w:rPr>
                <w:noProof/>
                <w:webHidden/>
              </w:rPr>
              <w:tab/>
            </w:r>
            <w:r>
              <w:rPr>
                <w:noProof/>
                <w:webHidden/>
              </w:rPr>
              <w:fldChar w:fldCharType="begin"/>
            </w:r>
            <w:r>
              <w:rPr>
                <w:noProof/>
                <w:webHidden/>
              </w:rPr>
              <w:instrText xml:space="preserve"> PAGEREF _Toc348948355 \h </w:instrText>
            </w:r>
            <w:r>
              <w:rPr>
                <w:noProof/>
                <w:webHidden/>
              </w:rPr>
            </w:r>
            <w:r>
              <w:rPr>
                <w:noProof/>
                <w:webHidden/>
              </w:rPr>
              <w:fldChar w:fldCharType="separate"/>
            </w:r>
            <w:r>
              <w:rPr>
                <w:noProof/>
                <w:webHidden/>
              </w:rPr>
              <w:t>64</w:t>
            </w:r>
            <w:r>
              <w:rPr>
                <w:noProof/>
                <w:webHidden/>
              </w:rPr>
              <w:fldChar w:fldCharType="end"/>
            </w:r>
          </w:hyperlink>
        </w:p>
        <w:p w:rsidR="00FB637A" w:rsidRDefault="00FB637A">
          <w:pPr>
            <w:pStyle w:val="TOC3"/>
            <w:tabs>
              <w:tab w:val="right" w:leader="dot" w:pos="8630"/>
            </w:tabs>
            <w:rPr>
              <w:noProof/>
            </w:rPr>
          </w:pPr>
          <w:hyperlink w:anchor="_Toc348948356" w:history="1">
            <w:r w:rsidRPr="00D51899">
              <w:rPr>
                <w:rStyle w:val="Hyperlink"/>
                <w:noProof/>
              </w:rPr>
              <w:t>5.3. Stratēģijas "Eiropa 2020" īstenošana</w:t>
            </w:r>
            <w:r>
              <w:rPr>
                <w:noProof/>
                <w:webHidden/>
              </w:rPr>
              <w:tab/>
            </w:r>
            <w:r>
              <w:rPr>
                <w:noProof/>
                <w:webHidden/>
              </w:rPr>
              <w:fldChar w:fldCharType="begin"/>
            </w:r>
            <w:r>
              <w:rPr>
                <w:noProof/>
                <w:webHidden/>
              </w:rPr>
              <w:instrText xml:space="preserve"> PAGEREF _Toc348948356 \h </w:instrText>
            </w:r>
            <w:r>
              <w:rPr>
                <w:noProof/>
                <w:webHidden/>
              </w:rPr>
            </w:r>
            <w:r>
              <w:rPr>
                <w:noProof/>
                <w:webHidden/>
              </w:rPr>
              <w:fldChar w:fldCharType="separate"/>
            </w:r>
            <w:r>
              <w:rPr>
                <w:noProof/>
                <w:webHidden/>
              </w:rPr>
              <w:t>64</w:t>
            </w:r>
            <w:r>
              <w:rPr>
                <w:noProof/>
                <w:webHidden/>
              </w:rPr>
              <w:fldChar w:fldCharType="end"/>
            </w:r>
          </w:hyperlink>
        </w:p>
        <w:p w:rsidR="00FB637A" w:rsidRDefault="00FB637A">
          <w:pPr>
            <w:pStyle w:val="TOC3"/>
            <w:tabs>
              <w:tab w:val="right" w:leader="dot" w:pos="8630"/>
            </w:tabs>
            <w:rPr>
              <w:noProof/>
            </w:rPr>
          </w:pPr>
          <w:hyperlink w:anchor="_Toc348948357" w:history="1">
            <w:r w:rsidRPr="00D51899">
              <w:rPr>
                <w:rStyle w:val="Hyperlink"/>
                <w:noProof/>
              </w:rPr>
              <w:t>5.4. Informatīvo pasākumu, tajā skaitā starptautisko forumu un konferenču, organizēšana</w:t>
            </w:r>
            <w:r>
              <w:rPr>
                <w:noProof/>
                <w:webHidden/>
              </w:rPr>
              <w:tab/>
            </w:r>
            <w:r>
              <w:rPr>
                <w:noProof/>
                <w:webHidden/>
              </w:rPr>
              <w:fldChar w:fldCharType="begin"/>
            </w:r>
            <w:r>
              <w:rPr>
                <w:noProof/>
                <w:webHidden/>
              </w:rPr>
              <w:instrText xml:space="preserve"> PAGEREF _Toc348948357 \h </w:instrText>
            </w:r>
            <w:r>
              <w:rPr>
                <w:noProof/>
                <w:webHidden/>
              </w:rPr>
            </w:r>
            <w:r>
              <w:rPr>
                <w:noProof/>
                <w:webHidden/>
              </w:rPr>
              <w:fldChar w:fldCharType="separate"/>
            </w:r>
            <w:r>
              <w:rPr>
                <w:noProof/>
                <w:webHidden/>
              </w:rPr>
              <w:t>64</w:t>
            </w:r>
            <w:r>
              <w:rPr>
                <w:noProof/>
                <w:webHidden/>
              </w:rPr>
              <w:fldChar w:fldCharType="end"/>
            </w:r>
          </w:hyperlink>
        </w:p>
        <w:p w:rsidR="00FB637A" w:rsidRDefault="00FB637A">
          <w:pPr>
            <w:pStyle w:val="TOC2"/>
            <w:tabs>
              <w:tab w:val="right" w:leader="dot" w:pos="8630"/>
            </w:tabs>
            <w:rPr>
              <w:noProof/>
            </w:rPr>
          </w:pPr>
          <w:hyperlink w:anchor="_Toc348948358" w:history="1">
            <w:r w:rsidRPr="00D51899">
              <w:rPr>
                <w:rStyle w:val="Hyperlink"/>
                <w:noProof/>
              </w:rPr>
              <w:t>6. Industriālā (nozaru) politika un inovācijas</w:t>
            </w:r>
            <w:r>
              <w:rPr>
                <w:noProof/>
                <w:webHidden/>
              </w:rPr>
              <w:tab/>
            </w:r>
            <w:r>
              <w:rPr>
                <w:noProof/>
                <w:webHidden/>
              </w:rPr>
              <w:fldChar w:fldCharType="begin"/>
            </w:r>
            <w:r>
              <w:rPr>
                <w:noProof/>
                <w:webHidden/>
              </w:rPr>
              <w:instrText xml:space="preserve"> PAGEREF _Toc348948358 \h </w:instrText>
            </w:r>
            <w:r>
              <w:rPr>
                <w:noProof/>
                <w:webHidden/>
              </w:rPr>
            </w:r>
            <w:r>
              <w:rPr>
                <w:noProof/>
                <w:webHidden/>
              </w:rPr>
              <w:fldChar w:fldCharType="separate"/>
            </w:r>
            <w:r>
              <w:rPr>
                <w:noProof/>
                <w:webHidden/>
              </w:rPr>
              <w:t>65</w:t>
            </w:r>
            <w:r>
              <w:rPr>
                <w:noProof/>
                <w:webHidden/>
              </w:rPr>
              <w:fldChar w:fldCharType="end"/>
            </w:r>
          </w:hyperlink>
        </w:p>
        <w:p w:rsidR="00FB637A" w:rsidRDefault="00FB637A">
          <w:pPr>
            <w:pStyle w:val="TOC3"/>
            <w:tabs>
              <w:tab w:val="right" w:leader="dot" w:pos="8630"/>
            </w:tabs>
            <w:rPr>
              <w:noProof/>
            </w:rPr>
          </w:pPr>
          <w:hyperlink w:anchor="_Toc348948359" w:history="1">
            <w:r w:rsidRPr="00D51899">
              <w:rPr>
                <w:rStyle w:val="Hyperlink"/>
                <w:noProof/>
              </w:rPr>
              <w:t>6.1. Nacionālā industriālā politika</w:t>
            </w:r>
            <w:r>
              <w:rPr>
                <w:noProof/>
                <w:webHidden/>
              </w:rPr>
              <w:tab/>
            </w:r>
            <w:r>
              <w:rPr>
                <w:noProof/>
                <w:webHidden/>
              </w:rPr>
              <w:fldChar w:fldCharType="begin"/>
            </w:r>
            <w:r>
              <w:rPr>
                <w:noProof/>
                <w:webHidden/>
              </w:rPr>
              <w:instrText xml:space="preserve"> PAGEREF _Toc348948359 \h </w:instrText>
            </w:r>
            <w:r>
              <w:rPr>
                <w:noProof/>
                <w:webHidden/>
              </w:rPr>
            </w:r>
            <w:r>
              <w:rPr>
                <w:noProof/>
                <w:webHidden/>
              </w:rPr>
              <w:fldChar w:fldCharType="separate"/>
            </w:r>
            <w:r>
              <w:rPr>
                <w:noProof/>
                <w:webHidden/>
              </w:rPr>
              <w:t>65</w:t>
            </w:r>
            <w:r>
              <w:rPr>
                <w:noProof/>
                <w:webHidden/>
              </w:rPr>
              <w:fldChar w:fldCharType="end"/>
            </w:r>
          </w:hyperlink>
        </w:p>
        <w:p w:rsidR="00FB637A" w:rsidRDefault="00FB637A">
          <w:pPr>
            <w:pStyle w:val="TOC3"/>
            <w:tabs>
              <w:tab w:val="right" w:leader="dot" w:pos="8630"/>
            </w:tabs>
            <w:rPr>
              <w:noProof/>
            </w:rPr>
          </w:pPr>
          <w:hyperlink w:anchor="_Toc348948360" w:history="1">
            <w:r w:rsidRPr="00D51899">
              <w:rPr>
                <w:rStyle w:val="Hyperlink"/>
                <w:noProof/>
              </w:rPr>
              <w:t>6.2. Uzņēmējdarbības atbalsta instrumenti</w:t>
            </w:r>
            <w:r>
              <w:rPr>
                <w:noProof/>
                <w:webHidden/>
              </w:rPr>
              <w:tab/>
            </w:r>
            <w:r>
              <w:rPr>
                <w:noProof/>
                <w:webHidden/>
              </w:rPr>
              <w:fldChar w:fldCharType="begin"/>
            </w:r>
            <w:r>
              <w:rPr>
                <w:noProof/>
                <w:webHidden/>
              </w:rPr>
              <w:instrText xml:space="preserve"> PAGEREF _Toc348948360 \h </w:instrText>
            </w:r>
            <w:r>
              <w:rPr>
                <w:noProof/>
                <w:webHidden/>
              </w:rPr>
            </w:r>
            <w:r>
              <w:rPr>
                <w:noProof/>
                <w:webHidden/>
              </w:rPr>
              <w:fldChar w:fldCharType="separate"/>
            </w:r>
            <w:r>
              <w:rPr>
                <w:noProof/>
                <w:webHidden/>
              </w:rPr>
              <w:t>66</w:t>
            </w:r>
            <w:r>
              <w:rPr>
                <w:noProof/>
                <w:webHidden/>
              </w:rPr>
              <w:fldChar w:fldCharType="end"/>
            </w:r>
          </w:hyperlink>
        </w:p>
        <w:p w:rsidR="00FB637A" w:rsidRDefault="00FB637A">
          <w:pPr>
            <w:pStyle w:val="TOC2"/>
            <w:tabs>
              <w:tab w:val="right" w:leader="dot" w:pos="8630"/>
            </w:tabs>
            <w:rPr>
              <w:noProof/>
            </w:rPr>
          </w:pPr>
          <w:hyperlink w:anchor="_Toc348948361" w:history="1">
            <w:r w:rsidRPr="00D51899">
              <w:rPr>
                <w:rStyle w:val="Hyperlink"/>
                <w:noProof/>
              </w:rPr>
              <w:t>7. Uzņēmējdarbības vide un investīcijas</w:t>
            </w:r>
            <w:r>
              <w:rPr>
                <w:noProof/>
                <w:webHidden/>
              </w:rPr>
              <w:tab/>
            </w:r>
            <w:r>
              <w:rPr>
                <w:noProof/>
                <w:webHidden/>
              </w:rPr>
              <w:fldChar w:fldCharType="begin"/>
            </w:r>
            <w:r>
              <w:rPr>
                <w:noProof/>
                <w:webHidden/>
              </w:rPr>
              <w:instrText xml:space="preserve"> PAGEREF _Toc348948361 \h </w:instrText>
            </w:r>
            <w:r>
              <w:rPr>
                <w:noProof/>
                <w:webHidden/>
              </w:rPr>
            </w:r>
            <w:r>
              <w:rPr>
                <w:noProof/>
                <w:webHidden/>
              </w:rPr>
              <w:fldChar w:fldCharType="separate"/>
            </w:r>
            <w:r>
              <w:rPr>
                <w:noProof/>
                <w:webHidden/>
              </w:rPr>
              <w:t>67</w:t>
            </w:r>
            <w:r>
              <w:rPr>
                <w:noProof/>
                <w:webHidden/>
              </w:rPr>
              <w:fldChar w:fldCharType="end"/>
            </w:r>
          </w:hyperlink>
        </w:p>
        <w:p w:rsidR="00FB637A" w:rsidRDefault="00FB637A">
          <w:pPr>
            <w:pStyle w:val="TOC3"/>
            <w:tabs>
              <w:tab w:val="right" w:leader="dot" w:pos="8630"/>
            </w:tabs>
            <w:rPr>
              <w:noProof/>
            </w:rPr>
          </w:pPr>
          <w:hyperlink w:anchor="_Toc348948362" w:history="1">
            <w:r w:rsidRPr="00D51899">
              <w:rPr>
                <w:rStyle w:val="Hyperlink"/>
                <w:noProof/>
              </w:rPr>
              <w:t>7.1. Uzņēmējdarbības vides uzlabošanas pasākumu plāna īstenošana</w:t>
            </w:r>
            <w:r>
              <w:rPr>
                <w:noProof/>
                <w:webHidden/>
              </w:rPr>
              <w:tab/>
            </w:r>
            <w:r>
              <w:rPr>
                <w:noProof/>
                <w:webHidden/>
              </w:rPr>
              <w:fldChar w:fldCharType="begin"/>
            </w:r>
            <w:r>
              <w:rPr>
                <w:noProof/>
                <w:webHidden/>
              </w:rPr>
              <w:instrText xml:space="preserve"> PAGEREF _Toc348948362 \h </w:instrText>
            </w:r>
            <w:r>
              <w:rPr>
                <w:noProof/>
                <w:webHidden/>
              </w:rPr>
            </w:r>
            <w:r>
              <w:rPr>
                <w:noProof/>
                <w:webHidden/>
              </w:rPr>
              <w:fldChar w:fldCharType="separate"/>
            </w:r>
            <w:r>
              <w:rPr>
                <w:noProof/>
                <w:webHidden/>
              </w:rPr>
              <w:t>67</w:t>
            </w:r>
            <w:r>
              <w:rPr>
                <w:noProof/>
                <w:webHidden/>
              </w:rPr>
              <w:fldChar w:fldCharType="end"/>
            </w:r>
          </w:hyperlink>
        </w:p>
        <w:p w:rsidR="00FB637A" w:rsidRDefault="00FB637A">
          <w:pPr>
            <w:pStyle w:val="TOC3"/>
            <w:tabs>
              <w:tab w:val="right" w:leader="dot" w:pos="8630"/>
            </w:tabs>
            <w:rPr>
              <w:noProof/>
            </w:rPr>
          </w:pPr>
          <w:hyperlink w:anchor="_Toc348948363" w:history="1">
            <w:r w:rsidRPr="00D51899">
              <w:rPr>
                <w:rStyle w:val="Hyperlink"/>
                <w:noProof/>
              </w:rPr>
              <w:t>7.2. Komercsabiedrību revīzijas politika</w:t>
            </w:r>
            <w:r>
              <w:rPr>
                <w:noProof/>
                <w:webHidden/>
              </w:rPr>
              <w:tab/>
            </w:r>
            <w:r>
              <w:rPr>
                <w:noProof/>
                <w:webHidden/>
              </w:rPr>
              <w:fldChar w:fldCharType="begin"/>
            </w:r>
            <w:r>
              <w:rPr>
                <w:noProof/>
                <w:webHidden/>
              </w:rPr>
              <w:instrText xml:space="preserve"> PAGEREF _Toc348948363 \h </w:instrText>
            </w:r>
            <w:r>
              <w:rPr>
                <w:noProof/>
                <w:webHidden/>
              </w:rPr>
            </w:r>
            <w:r>
              <w:rPr>
                <w:noProof/>
                <w:webHidden/>
              </w:rPr>
              <w:fldChar w:fldCharType="separate"/>
            </w:r>
            <w:r>
              <w:rPr>
                <w:noProof/>
                <w:webHidden/>
              </w:rPr>
              <w:t>67</w:t>
            </w:r>
            <w:r>
              <w:rPr>
                <w:noProof/>
                <w:webHidden/>
              </w:rPr>
              <w:fldChar w:fldCharType="end"/>
            </w:r>
          </w:hyperlink>
        </w:p>
        <w:p w:rsidR="00FB637A" w:rsidRDefault="00FB637A">
          <w:pPr>
            <w:pStyle w:val="TOC3"/>
            <w:tabs>
              <w:tab w:val="right" w:leader="dot" w:pos="8630"/>
            </w:tabs>
            <w:rPr>
              <w:noProof/>
            </w:rPr>
          </w:pPr>
          <w:hyperlink w:anchor="_Toc348948364" w:history="1">
            <w:r w:rsidRPr="00D51899">
              <w:rPr>
                <w:rStyle w:val="Hyperlink"/>
                <w:noProof/>
              </w:rPr>
              <w:t>7.3. Grāmatvedības politika</w:t>
            </w:r>
            <w:r>
              <w:rPr>
                <w:noProof/>
                <w:webHidden/>
              </w:rPr>
              <w:tab/>
            </w:r>
            <w:r>
              <w:rPr>
                <w:noProof/>
                <w:webHidden/>
              </w:rPr>
              <w:fldChar w:fldCharType="begin"/>
            </w:r>
            <w:r>
              <w:rPr>
                <w:noProof/>
                <w:webHidden/>
              </w:rPr>
              <w:instrText xml:space="preserve"> PAGEREF _Toc348948364 \h </w:instrText>
            </w:r>
            <w:r>
              <w:rPr>
                <w:noProof/>
                <w:webHidden/>
              </w:rPr>
            </w:r>
            <w:r>
              <w:rPr>
                <w:noProof/>
                <w:webHidden/>
              </w:rPr>
              <w:fldChar w:fldCharType="separate"/>
            </w:r>
            <w:r>
              <w:rPr>
                <w:noProof/>
                <w:webHidden/>
              </w:rPr>
              <w:t>67</w:t>
            </w:r>
            <w:r>
              <w:rPr>
                <w:noProof/>
                <w:webHidden/>
              </w:rPr>
              <w:fldChar w:fldCharType="end"/>
            </w:r>
          </w:hyperlink>
        </w:p>
        <w:p w:rsidR="00FB637A" w:rsidRDefault="00FB637A">
          <w:pPr>
            <w:pStyle w:val="TOC3"/>
            <w:tabs>
              <w:tab w:val="right" w:leader="dot" w:pos="8630"/>
            </w:tabs>
            <w:rPr>
              <w:noProof/>
            </w:rPr>
          </w:pPr>
          <w:hyperlink w:anchor="_Toc348948365" w:history="1">
            <w:r w:rsidRPr="00D51899">
              <w:rPr>
                <w:rStyle w:val="Hyperlink"/>
                <w:noProof/>
              </w:rPr>
              <w:t>7.4. Uzņēmumu elektroniskā reģistrēšana</w:t>
            </w:r>
            <w:r>
              <w:rPr>
                <w:noProof/>
                <w:webHidden/>
              </w:rPr>
              <w:tab/>
            </w:r>
            <w:r>
              <w:rPr>
                <w:noProof/>
                <w:webHidden/>
              </w:rPr>
              <w:fldChar w:fldCharType="begin"/>
            </w:r>
            <w:r>
              <w:rPr>
                <w:noProof/>
                <w:webHidden/>
              </w:rPr>
              <w:instrText xml:space="preserve"> PAGEREF _Toc348948365 \h </w:instrText>
            </w:r>
            <w:r>
              <w:rPr>
                <w:noProof/>
                <w:webHidden/>
              </w:rPr>
            </w:r>
            <w:r>
              <w:rPr>
                <w:noProof/>
                <w:webHidden/>
              </w:rPr>
              <w:fldChar w:fldCharType="separate"/>
            </w:r>
            <w:r>
              <w:rPr>
                <w:noProof/>
                <w:webHidden/>
              </w:rPr>
              <w:t>67</w:t>
            </w:r>
            <w:r>
              <w:rPr>
                <w:noProof/>
                <w:webHidden/>
              </w:rPr>
              <w:fldChar w:fldCharType="end"/>
            </w:r>
          </w:hyperlink>
        </w:p>
        <w:p w:rsidR="00FB637A" w:rsidRDefault="00FB637A">
          <w:pPr>
            <w:pStyle w:val="TOC3"/>
            <w:tabs>
              <w:tab w:val="right" w:leader="dot" w:pos="8630"/>
            </w:tabs>
            <w:rPr>
              <w:noProof/>
            </w:rPr>
          </w:pPr>
          <w:hyperlink w:anchor="_Toc348948366" w:history="1">
            <w:r w:rsidRPr="00D51899">
              <w:rPr>
                <w:rStyle w:val="Hyperlink"/>
                <w:noProof/>
              </w:rPr>
              <w:t>7.5. Komercdarbības vides tiesiskā regulējuma uzlabošana</w:t>
            </w:r>
            <w:r>
              <w:rPr>
                <w:noProof/>
                <w:webHidden/>
              </w:rPr>
              <w:tab/>
            </w:r>
            <w:r>
              <w:rPr>
                <w:noProof/>
                <w:webHidden/>
              </w:rPr>
              <w:fldChar w:fldCharType="begin"/>
            </w:r>
            <w:r>
              <w:rPr>
                <w:noProof/>
                <w:webHidden/>
              </w:rPr>
              <w:instrText xml:space="preserve"> PAGEREF _Toc348948366 \h </w:instrText>
            </w:r>
            <w:r>
              <w:rPr>
                <w:noProof/>
                <w:webHidden/>
              </w:rPr>
            </w:r>
            <w:r>
              <w:rPr>
                <w:noProof/>
                <w:webHidden/>
              </w:rPr>
              <w:fldChar w:fldCharType="separate"/>
            </w:r>
            <w:r>
              <w:rPr>
                <w:noProof/>
                <w:webHidden/>
              </w:rPr>
              <w:t>68</w:t>
            </w:r>
            <w:r>
              <w:rPr>
                <w:noProof/>
                <w:webHidden/>
              </w:rPr>
              <w:fldChar w:fldCharType="end"/>
            </w:r>
          </w:hyperlink>
        </w:p>
        <w:p w:rsidR="00FB637A" w:rsidRDefault="00FB637A">
          <w:pPr>
            <w:pStyle w:val="TOC3"/>
            <w:tabs>
              <w:tab w:val="right" w:leader="dot" w:pos="8630"/>
            </w:tabs>
            <w:rPr>
              <w:noProof/>
            </w:rPr>
          </w:pPr>
          <w:hyperlink w:anchor="_Toc348948367" w:history="1">
            <w:r w:rsidRPr="00D51899">
              <w:rPr>
                <w:rStyle w:val="Hyperlink"/>
                <w:noProof/>
              </w:rPr>
              <w:t>7.6. Tūrisma politika</w:t>
            </w:r>
            <w:r>
              <w:rPr>
                <w:noProof/>
                <w:webHidden/>
              </w:rPr>
              <w:tab/>
            </w:r>
            <w:r>
              <w:rPr>
                <w:noProof/>
                <w:webHidden/>
              </w:rPr>
              <w:fldChar w:fldCharType="begin"/>
            </w:r>
            <w:r>
              <w:rPr>
                <w:noProof/>
                <w:webHidden/>
              </w:rPr>
              <w:instrText xml:space="preserve"> PAGEREF _Toc348948367 \h </w:instrText>
            </w:r>
            <w:r>
              <w:rPr>
                <w:noProof/>
                <w:webHidden/>
              </w:rPr>
            </w:r>
            <w:r>
              <w:rPr>
                <w:noProof/>
                <w:webHidden/>
              </w:rPr>
              <w:fldChar w:fldCharType="separate"/>
            </w:r>
            <w:r>
              <w:rPr>
                <w:noProof/>
                <w:webHidden/>
              </w:rPr>
              <w:t>68</w:t>
            </w:r>
            <w:r>
              <w:rPr>
                <w:noProof/>
                <w:webHidden/>
              </w:rPr>
              <w:fldChar w:fldCharType="end"/>
            </w:r>
          </w:hyperlink>
        </w:p>
        <w:p w:rsidR="00FB637A" w:rsidRDefault="00FB637A">
          <w:pPr>
            <w:pStyle w:val="TOC2"/>
            <w:tabs>
              <w:tab w:val="right" w:leader="dot" w:pos="8630"/>
            </w:tabs>
            <w:rPr>
              <w:noProof/>
            </w:rPr>
          </w:pPr>
          <w:hyperlink w:anchor="_Toc348948368" w:history="1">
            <w:r w:rsidRPr="00D51899">
              <w:rPr>
                <w:rStyle w:val="Hyperlink"/>
                <w:noProof/>
              </w:rPr>
              <w:t>8. Transports un telekomunikācijas (infrastruktūra un pakalpojumi), digitāli vienota tirgus izveide</w:t>
            </w:r>
            <w:r>
              <w:rPr>
                <w:noProof/>
                <w:webHidden/>
              </w:rPr>
              <w:tab/>
            </w:r>
            <w:r>
              <w:rPr>
                <w:noProof/>
                <w:webHidden/>
              </w:rPr>
              <w:fldChar w:fldCharType="begin"/>
            </w:r>
            <w:r>
              <w:rPr>
                <w:noProof/>
                <w:webHidden/>
              </w:rPr>
              <w:instrText xml:space="preserve"> PAGEREF _Toc348948368 \h </w:instrText>
            </w:r>
            <w:r>
              <w:rPr>
                <w:noProof/>
                <w:webHidden/>
              </w:rPr>
            </w:r>
            <w:r>
              <w:rPr>
                <w:noProof/>
                <w:webHidden/>
              </w:rPr>
              <w:fldChar w:fldCharType="separate"/>
            </w:r>
            <w:r>
              <w:rPr>
                <w:noProof/>
                <w:webHidden/>
              </w:rPr>
              <w:t>69</w:t>
            </w:r>
            <w:r>
              <w:rPr>
                <w:noProof/>
                <w:webHidden/>
              </w:rPr>
              <w:fldChar w:fldCharType="end"/>
            </w:r>
          </w:hyperlink>
        </w:p>
        <w:p w:rsidR="00FB637A" w:rsidRDefault="00FB637A">
          <w:pPr>
            <w:pStyle w:val="TOC3"/>
            <w:tabs>
              <w:tab w:val="right" w:leader="dot" w:pos="8630"/>
            </w:tabs>
            <w:rPr>
              <w:noProof/>
            </w:rPr>
          </w:pPr>
          <w:hyperlink w:anchor="_Toc348948369" w:history="1">
            <w:r w:rsidRPr="00D51899">
              <w:rPr>
                <w:rStyle w:val="Hyperlink"/>
                <w:noProof/>
              </w:rPr>
              <w:t>8.1. Eiropas Savienības fondu izmantošana un Eiropas Transporta tīkla (TEN-T) politikas pārskatīšana</w:t>
            </w:r>
            <w:r>
              <w:rPr>
                <w:noProof/>
                <w:webHidden/>
              </w:rPr>
              <w:tab/>
            </w:r>
            <w:r>
              <w:rPr>
                <w:noProof/>
                <w:webHidden/>
              </w:rPr>
              <w:fldChar w:fldCharType="begin"/>
            </w:r>
            <w:r>
              <w:rPr>
                <w:noProof/>
                <w:webHidden/>
              </w:rPr>
              <w:instrText xml:space="preserve"> PAGEREF _Toc348948369 \h </w:instrText>
            </w:r>
            <w:r>
              <w:rPr>
                <w:noProof/>
                <w:webHidden/>
              </w:rPr>
            </w:r>
            <w:r>
              <w:rPr>
                <w:noProof/>
                <w:webHidden/>
              </w:rPr>
              <w:fldChar w:fldCharType="separate"/>
            </w:r>
            <w:r>
              <w:rPr>
                <w:noProof/>
                <w:webHidden/>
              </w:rPr>
              <w:t>69</w:t>
            </w:r>
            <w:r>
              <w:rPr>
                <w:noProof/>
                <w:webHidden/>
              </w:rPr>
              <w:fldChar w:fldCharType="end"/>
            </w:r>
          </w:hyperlink>
        </w:p>
        <w:p w:rsidR="00FB637A" w:rsidRDefault="00FB637A">
          <w:pPr>
            <w:pStyle w:val="TOC3"/>
            <w:tabs>
              <w:tab w:val="right" w:leader="dot" w:pos="8630"/>
            </w:tabs>
            <w:rPr>
              <w:noProof/>
            </w:rPr>
          </w:pPr>
          <w:hyperlink w:anchor="_Toc348948370" w:history="1">
            <w:r w:rsidRPr="00D51899">
              <w:rPr>
                <w:rStyle w:val="Hyperlink"/>
                <w:rFonts w:eastAsia="Calibri"/>
                <w:noProof/>
                <w:lang w:eastAsia="en-US"/>
              </w:rPr>
              <w:t>8.2. Ostu attīstība un tranzīta veicināšana</w:t>
            </w:r>
            <w:r>
              <w:rPr>
                <w:noProof/>
                <w:webHidden/>
              </w:rPr>
              <w:tab/>
            </w:r>
            <w:r>
              <w:rPr>
                <w:noProof/>
                <w:webHidden/>
              </w:rPr>
              <w:fldChar w:fldCharType="begin"/>
            </w:r>
            <w:r>
              <w:rPr>
                <w:noProof/>
                <w:webHidden/>
              </w:rPr>
              <w:instrText xml:space="preserve"> PAGEREF _Toc348948370 \h </w:instrText>
            </w:r>
            <w:r>
              <w:rPr>
                <w:noProof/>
                <w:webHidden/>
              </w:rPr>
            </w:r>
            <w:r>
              <w:rPr>
                <w:noProof/>
                <w:webHidden/>
              </w:rPr>
              <w:fldChar w:fldCharType="separate"/>
            </w:r>
            <w:r>
              <w:rPr>
                <w:noProof/>
                <w:webHidden/>
              </w:rPr>
              <w:t>69</w:t>
            </w:r>
            <w:r>
              <w:rPr>
                <w:noProof/>
                <w:webHidden/>
              </w:rPr>
              <w:fldChar w:fldCharType="end"/>
            </w:r>
          </w:hyperlink>
        </w:p>
        <w:p w:rsidR="00FB637A" w:rsidRDefault="00FB637A">
          <w:pPr>
            <w:pStyle w:val="TOC3"/>
            <w:tabs>
              <w:tab w:val="right" w:leader="dot" w:pos="8630"/>
            </w:tabs>
            <w:rPr>
              <w:noProof/>
            </w:rPr>
          </w:pPr>
          <w:hyperlink w:anchor="_Toc348948371" w:history="1">
            <w:r w:rsidRPr="00D51899">
              <w:rPr>
                <w:rStyle w:val="Hyperlink"/>
                <w:noProof/>
              </w:rPr>
              <w:t>8.3. Autoceļu sakārtošana</w:t>
            </w:r>
            <w:r>
              <w:rPr>
                <w:noProof/>
                <w:webHidden/>
              </w:rPr>
              <w:tab/>
            </w:r>
            <w:r>
              <w:rPr>
                <w:noProof/>
                <w:webHidden/>
              </w:rPr>
              <w:fldChar w:fldCharType="begin"/>
            </w:r>
            <w:r>
              <w:rPr>
                <w:noProof/>
                <w:webHidden/>
              </w:rPr>
              <w:instrText xml:space="preserve"> PAGEREF _Toc348948371 \h </w:instrText>
            </w:r>
            <w:r>
              <w:rPr>
                <w:noProof/>
                <w:webHidden/>
              </w:rPr>
            </w:r>
            <w:r>
              <w:rPr>
                <w:noProof/>
                <w:webHidden/>
              </w:rPr>
              <w:fldChar w:fldCharType="separate"/>
            </w:r>
            <w:r>
              <w:rPr>
                <w:noProof/>
                <w:webHidden/>
              </w:rPr>
              <w:t>71</w:t>
            </w:r>
            <w:r>
              <w:rPr>
                <w:noProof/>
                <w:webHidden/>
              </w:rPr>
              <w:fldChar w:fldCharType="end"/>
            </w:r>
          </w:hyperlink>
        </w:p>
        <w:p w:rsidR="00FB637A" w:rsidRDefault="00FB637A">
          <w:pPr>
            <w:pStyle w:val="TOC3"/>
            <w:tabs>
              <w:tab w:val="right" w:leader="dot" w:pos="8630"/>
            </w:tabs>
            <w:rPr>
              <w:noProof/>
            </w:rPr>
          </w:pPr>
          <w:hyperlink w:anchor="_Toc348948372" w:history="1">
            <w:r w:rsidRPr="00D51899">
              <w:rPr>
                <w:rStyle w:val="Hyperlink"/>
                <w:noProof/>
              </w:rPr>
              <w:t>8.4. Dzelzceļa transporta attīstība</w:t>
            </w:r>
            <w:r>
              <w:rPr>
                <w:noProof/>
                <w:webHidden/>
              </w:rPr>
              <w:tab/>
            </w:r>
            <w:r>
              <w:rPr>
                <w:noProof/>
                <w:webHidden/>
              </w:rPr>
              <w:fldChar w:fldCharType="begin"/>
            </w:r>
            <w:r>
              <w:rPr>
                <w:noProof/>
                <w:webHidden/>
              </w:rPr>
              <w:instrText xml:space="preserve"> PAGEREF _Toc348948372 \h </w:instrText>
            </w:r>
            <w:r>
              <w:rPr>
                <w:noProof/>
                <w:webHidden/>
              </w:rPr>
            </w:r>
            <w:r>
              <w:rPr>
                <w:noProof/>
                <w:webHidden/>
              </w:rPr>
              <w:fldChar w:fldCharType="separate"/>
            </w:r>
            <w:r>
              <w:rPr>
                <w:noProof/>
                <w:webHidden/>
              </w:rPr>
              <w:t>72</w:t>
            </w:r>
            <w:r>
              <w:rPr>
                <w:noProof/>
                <w:webHidden/>
              </w:rPr>
              <w:fldChar w:fldCharType="end"/>
            </w:r>
          </w:hyperlink>
        </w:p>
        <w:p w:rsidR="00FB637A" w:rsidRDefault="00FB637A">
          <w:pPr>
            <w:pStyle w:val="TOC3"/>
            <w:tabs>
              <w:tab w:val="right" w:leader="dot" w:pos="8630"/>
            </w:tabs>
            <w:rPr>
              <w:noProof/>
            </w:rPr>
          </w:pPr>
          <w:hyperlink w:anchor="_Toc348948373" w:history="1">
            <w:r w:rsidRPr="00D51899">
              <w:rPr>
                <w:rStyle w:val="Hyperlink"/>
                <w:rFonts w:eastAsia="Calibri"/>
                <w:noProof/>
                <w:lang w:eastAsia="en-US"/>
              </w:rPr>
              <w:t>8.5. Gaisa transporta attīstība</w:t>
            </w:r>
            <w:r>
              <w:rPr>
                <w:noProof/>
                <w:webHidden/>
              </w:rPr>
              <w:tab/>
            </w:r>
            <w:r>
              <w:rPr>
                <w:noProof/>
                <w:webHidden/>
              </w:rPr>
              <w:fldChar w:fldCharType="begin"/>
            </w:r>
            <w:r>
              <w:rPr>
                <w:noProof/>
                <w:webHidden/>
              </w:rPr>
              <w:instrText xml:space="preserve"> PAGEREF _Toc348948373 \h </w:instrText>
            </w:r>
            <w:r>
              <w:rPr>
                <w:noProof/>
                <w:webHidden/>
              </w:rPr>
            </w:r>
            <w:r>
              <w:rPr>
                <w:noProof/>
                <w:webHidden/>
              </w:rPr>
              <w:fldChar w:fldCharType="separate"/>
            </w:r>
            <w:r>
              <w:rPr>
                <w:noProof/>
                <w:webHidden/>
              </w:rPr>
              <w:t>73</w:t>
            </w:r>
            <w:r>
              <w:rPr>
                <w:noProof/>
                <w:webHidden/>
              </w:rPr>
              <w:fldChar w:fldCharType="end"/>
            </w:r>
          </w:hyperlink>
        </w:p>
        <w:p w:rsidR="00FB637A" w:rsidRDefault="00FB637A">
          <w:pPr>
            <w:pStyle w:val="TOC3"/>
            <w:tabs>
              <w:tab w:val="right" w:leader="dot" w:pos="8630"/>
            </w:tabs>
            <w:rPr>
              <w:noProof/>
            </w:rPr>
          </w:pPr>
          <w:hyperlink w:anchor="_Toc348948374" w:history="1">
            <w:r w:rsidRPr="00D51899">
              <w:rPr>
                <w:rStyle w:val="Hyperlink"/>
                <w:rFonts w:eastAsia="Calibri"/>
                <w:noProof/>
              </w:rPr>
              <w:t>8.6. Jūrniecība</w:t>
            </w:r>
            <w:r>
              <w:rPr>
                <w:noProof/>
                <w:webHidden/>
              </w:rPr>
              <w:tab/>
            </w:r>
            <w:r>
              <w:rPr>
                <w:noProof/>
                <w:webHidden/>
              </w:rPr>
              <w:fldChar w:fldCharType="begin"/>
            </w:r>
            <w:r>
              <w:rPr>
                <w:noProof/>
                <w:webHidden/>
              </w:rPr>
              <w:instrText xml:space="preserve"> PAGEREF _Toc348948374 \h </w:instrText>
            </w:r>
            <w:r>
              <w:rPr>
                <w:noProof/>
                <w:webHidden/>
              </w:rPr>
            </w:r>
            <w:r>
              <w:rPr>
                <w:noProof/>
                <w:webHidden/>
              </w:rPr>
              <w:fldChar w:fldCharType="separate"/>
            </w:r>
            <w:r>
              <w:rPr>
                <w:noProof/>
                <w:webHidden/>
              </w:rPr>
              <w:t>73</w:t>
            </w:r>
            <w:r>
              <w:rPr>
                <w:noProof/>
                <w:webHidden/>
              </w:rPr>
              <w:fldChar w:fldCharType="end"/>
            </w:r>
          </w:hyperlink>
        </w:p>
        <w:p w:rsidR="00FB637A" w:rsidRDefault="00FB637A">
          <w:pPr>
            <w:pStyle w:val="TOC3"/>
            <w:tabs>
              <w:tab w:val="right" w:leader="dot" w:pos="8630"/>
            </w:tabs>
            <w:rPr>
              <w:noProof/>
            </w:rPr>
          </w:pPr>
          <w:hyperlink w:anchor="_Toc348948375" w:history="1">
            <w:r w:rsidRPr="00D51899">
              <w:rPr>
                <w:rStyle w:val="Hyperlink"/>
                <w:rFonts w:eastAsia="Calibri"/>
                <w:noProof/>
                <w:lang w:eastAsia="en-US"/>
              </w:rPr>
              <w:t>8.7. Sabiedriskais transports</w:t>
            </w:r>
            <w:r>
              <w:rPr>
                <w:noProof/>
                <w:webHidden/>
              </w:rPr>
              <w:tab/>
            </w:r>
            <w:r>
              <w:rPr>
                <w:noProof/>
                <w:webHidden/>
              </w:rPr>
              <w:fldChar w:fldCharType="begin"/>
            </w:r>
            <w:r>
              <w:rPr>
                <w:noProof/>
                <w:webHidden/>
              </w:rPr>
              <w:instrText xml:space="preserve"> PAGEREF _Toc348948375 \h </w:instrText>
            </w:r>
            <w:r>
              <w:rPr>
                <w:noProof/>
                <w:webHidden/>
              </w:rPr>
            </w:r>
            <w:r>
              <w:rPr>
                <w:noProof/>
                <w:webHidden/>
              </w:rPr>
              <w:fldChar w:fldCharType="separate"/>
            </w:r>
            <w:r>
              <w:rPr>
                <w:noProof/>
                <w:webHidden/>
              </w:rPr>
              <w:t>74</w:t>
            </w:r>
            <w:r>
              <w:rPr>
                <w:noProof/>
                <w:webHidden/>
              </w:rPr>
              <w:fldChar w:fldCharType="end"/>
            </w:r>
          </w:hyperlink>
        </w:p>
        <w:p w:rsidR="00FB637A" w:rsidRDefault="00FB637A">
          <w:pPr>
            <w:pStyle w:val="TOC3"/>
            <w:tabs>
              <w:tab w:val="right" w:leader="dot" w:pos="8630"/>
            </w:tabs>
            <w:rPr>
              <w:noProof/>
            </w:rPr>
          </w:pPr>
          <w:hyperlink w:anchor="_Toc348948376" w:history="1">
            <w:r w:rsidRPr="00D51899">
              <w:rPr>
                <w:rStyle w:val="Hyperlink"/>
                <w:rFonts w:eastAsia="Calibri"/>
                <w:noProof/>
                <w:lang w:eastAsia="en-US"/>
              </w:rPr>
              <w:t>8.8. Sakaru tehnoloģiju attīstība un IT drošība</w:t>
            </w:r>
            <w:r>
              <w:rPr>
                <w:noProof/>
                <w:webHidden/>
              </w:rPr>
              <w:tab/>
            </w:r>
            <w:r>
              <w:rPr>
                <w:noProof/>
                <w:webHidden/>
              </w:rPr>
              <w:fldChar w:fldCharType="begin"/>
            </w:r>
            <w:r>
              <w:rPr>
                <w:noProof/>
                <w:webHidden/>
              </w:rPr>
              <w:instrText xml:space="preserve"> PAGEREF _Toc348948376 \h </w:instrText>
            </w:r>
            <w:r>
              <w:rPr>
                <w:noProof/>
                <w:webHidden/>
              </w:rPr>
            </w:r>
            <w:r>
              <w:rPr>
                <w:noProof/>
                <w:webHidden/>
              </w:rPr>
              <w:fldChar w:fldCharType="separate"/>
            </w:r>
            <w:r>
              <w:rPr>
                <w:noProof/>
                <w:webHidden/>
              </w:rPr>
              <w:t>75</w:t>
            </w:r>
            <w:r>
              <w:rPr>
                <w:noProof/>
                <w:webHidden/>
              </w:rPr>
              <w:fldChar w:fldCharType="end"/>
            </w:r>
          </w:hyperlink>
        </w:p>
        <w:p w:rsidR="00FB637A" w:rsidRDefault="00FB637A">
          <w:pPr>
            <w:pStyle w:val="TOC2"/>
            <w:tabs>
              <w:tab w:val="right" w:leader="dot" w:pos="8630"/>
            </w:tabs>
            <w:rPr>
              <w:noProof/>
            </w:rPr>
          </w:pPr>
          <w:hyperlink w:anchor="_Toc348948377" w:history="1">
            <w:r w:rsidRPr="00D51899">
              <w:rPr>
                <w:rStyle w:val="Hyperlink"/>
                <w:noProof/>
              </w:rPr>
              <w:t>9. Enerģētikas politika, tai skaitā energoapgādes un enerģētikas drošības jautājumi</w:t>
            </w:r>
            <w:r>
              <w:rPr>
                <w:noProof/>
                <w:webHidden/>
              </w:rPr>
              <w:tab/>
            </w:r>
            <w:r>
              <w:rPr>
                <w:noProof/>
                <w:webHidden/>
              </w:rPr>
              <w:fldChar w:fldCharType="begin"/>
            </w:r>
            <w:r>
              <w:rPr>
                <w:noProof/>
                <w:webHidden/>
              </w:rPr>
              <w:instrText xml:space="preserve"> PAGEREF _Toc348948377 \h </w:instrText>
            </w:r>
            <w:r>
              <w:rPr>
                <w:noProof/>
                <w:webHidden/>
              </w:rPr>
            </w:r>
            <w:r>
              <w:rPr>
                <w:noProof/>
                <w:webHidden/>
              </w:rPr>
              <w:fldChar w:fldCharType="separate"/>
            </w:r>
            <w:r>
              <w:rPr>
                <w:noProof/>
                <w:webHidden/>
              </w:rPr>
              <w:t>77</w:t>
            </w:r>
            <w:r>
              <w:rPr>
                <w:noProof/>
                <w:webHidden/>
              </w:rPr>
              <w:fldChar w:fldCharType="end"/>
            </w:r>
          </w:hyperlink>
        </w:p>
        <w:p w:rsidR="00FB637A" w:rsidRDefault="00FB637A">
          <w:pPr>
            <w:pStyle w:val="TOC2"/>
            <w:tabs>
              <w:tab w:val="right" w:leader="dot" w:pos="8630"/>
            </w:tabs>
            <w:rPr>
              <w:noProof/>
            </w:rPr>
          </w:pPr>
          <w:hyperlink w:anchor="_Toc348948378" w:history="1">
            <w:r w:rsidRPr="00D51899">
              <w:rPr>
                <w:rStyle w:val="Hyperlink"/>
                <w:noProof/>
              </w:rPr>
              <w:t>10. Pasākumi Latvijas pilsoņu reemigrācijas veicināšanai</w:t>
            </w:r>
            <w:r>
              <w:rPr>
                <w:noProof/>
                <w:webHidden/>
              </w:rPr>
              <w:tab/>
            </w:r>
            <w:r>
              <w:rPr>
                <w:noProof/>
                <w:webHidden/>
              </w:rPr>
              <w:fldChar w:fldCharType="begin"/>
            </w:r>
            <w:r>
              <w:rPr>
                <w:noProof/>
                <w:webHidden/>
              </w:rPr>
              <w:instrText xml:space="preserve"> PAGEREF _Toc348948378 \h </w:instrText>
            </w:r>
            <w:r>
              <w:rPr>
                <w:noProof/>
                <w:webHidden/>
              </w:rPr>
            </w:r>
            <w:r>
              <w:rPr>
                <w:noProof/>
                <w:webHidden/>
              </w:rPr>
              <w:fldChar w:fldCharType="separate"/>
            </w:r>
            <w:r>
              <w:rPr>
                <w:noProof/>
                <w:webHidden/>
              </w:rPr>
              <w:t>79</w:t>
            </w:r>
            <w:r>
              <w:rPr>
                <w:noProof/>
                <w:webHidden/>
              </w:rPr>
              <w:fldChar w:fldCharType="end"/>
            </w:r>
          </w:hyperlink>
        </w:p>
        <w:p w:rsidR="00FB637A" w:rsidRDefault="00FB637A">
          <w:pPr>
            <w:pStyle w:val="TOC2"/>
            <w:tabs>
              <w:tab w:val="right" w:leader="dot" w:pos="8630"/>
            </w:tabs>
            <w:rPr>
              <w:noProof/>
            </w:rPr>
          </w:pPr>
          <w:hyperlink w:anchor="_Toc348948379" w:history="1">
            <w:r w:rsidRPr="00D51899">
              <w:rPr>
                <w:rStyle w:val="Hyperlink"/>
                <w:noProof/>
              </w:rPr>
              <w:t>11. Būvniecības politika</w:t>
            </w:r>
            <w:r>
              <w:rPr>
                <w:noProof/>
                <w:webHidden/>
              </w:rPr>
              <w:tab/>
            </w:r>
            <w:r>
              <w:rPr>
                <w:noProof/>
                <w:webHidden/>
              </w:rPr>
              <w:fldChar w:fldCharType="begin"/>
            </w:r>
            <w:r>
              <w:rPr>
                <w:noProof/>
                <w:webHidden/>
              </w:rPr>
              <w:instrText xml:space="preserve"> PAGEREF _Toc348948379 \h </w:instrText>
            </w:r>
            <w:r>
              <w:rPr>
                <w:noProof/>
                <w:webHidden/>
              </w:rPr>
            </w:r>
            <w:r>
              <w:rPr>
                <w:noProof/>
                <w:webHidden/>
              </w:rPr>
              <w:fldChar w:fldCharType="separate"/>
            </w:r>
            <w:r>
              <w:rPr>
                <w:noProof/>
                <w:webHidden/>
              </w:rPr>
              <w:t>80</w:t>
            </w:r>
            <w:r>
              <w:rPr>
                <w:noProof/>
                <w:webHidden/>
              </w:rPr>
              <w:fldChar w:fldCharType="end"/>
            </w:r>
          </w:hyperlink>
        </w:p>
        <w:p w:rsidR="00FB637A" w:rsidRDefault="00FB637A">
          <w:pPr>
            <w:pStyle w:val="TOC2"/>
            <w:tabs>
              <w:tab w:val="right" w:leader="dot" w:pos="8630"/>
            </w:tabs>
            <w:rPr>
              <w:noProof/>
            </w:rPr>
          </w:pPr>
          <w:hyperlink w:anchor="_Toc348948380" w:history="1">
            <w:r w:rsidRPr="00D51899">
              <w:rPr>
                <w:rStyle w:val="Hyperlink"/>
                <w:noProof/>
              </w:rPr>
              <w:t>12. Mājokļu politika</w:t>
            </w:r>
            <w:r>
              <w:rPr>
                <w:noProof/>
                <w:webHidden/>
              </w:rPr>
              <w:tab/>
            </w:r>
            <w:r>
              <w:rPr>
                <w:noProof/>
                <w:webHidden/>
              </w:rPr>
              <w:fldChar w:fldCharType="begin"/>
            </w:r>
            <w:r>
              <w:rPr>
                <w:noProof/>
                <w:webHidden/>
              </w:rPr>
              <w:instrText xml:space="preserve"> PAGEREF _Toc348948380 \h </w:instrText>
            </w:r>
            <w:r>
              <w:rPr>
                <w:noProof/>
                <w:webHidden/>
              </w:rPr>
            </w:r>
            <w:r>
              <w:rPr>
                <w:noProof/>
                <w:webHidden/>
              </w:rPr>
              <w:fldChar w:fldCharType="separate"/>
            </w:r>
            <w:r>
              <w:rPr>
                <w:noProof/>
                <w:webHidden/>
              </w:rPr>
              <w:t>81</w:t>
            </w:r>
            <w:r>
              <w:rPr>
                <w:noProof/>
                <w:webHidden/>
              </w:rPr>
              <w:fldChar w:fldCharType="end"/>
            </w:r>
          </w:hyperlink>
        </w:p>
        <w:p w:rsidR="00FB637A" w:rsidRDefault="00FB637A">
          <w:pPr>
            <w:pStyle w:val="TOC2"/>
            <w:tabs>
              <w:tab w:val="right" w:leader="dot" w:pos="8630"/>
            </w:tabs>
            <w:rPr>
              <w:noProof/>
            </w:rPr>
          </w:pPr>
          <w:hyperlink w:anchor="_Toc348948381" w:history="1">
            <w:r w:rsidRPr="00D51899">
              <w:rPr>
                <w:rStyle w:val="Hyperlink"/>
                <w:noProof/>
              </w:rPr>
              <w:t>13. Lauksaimniecība, mežsaimniecība un zivsaimniecība</w:t>
            </w:r>
            <w:r>
              <w:rPr>
                <w:noProof/>
                <w:webHidden/>
              </w:rPr>
              <w:tab/>
            </w:r>
            <w:r>
              <w:rPr>
                <w:noProof/>
                <w:webHidden/>
              </w:rPr>
              <w:fldChar w:fldCharType="begin"/>
            </w:r>
            <w:r>
              <w:rPr>
                <w:noProof/>
                <w:webHidden/>
              </w:rPr>
              <w:instrText xml:space="preserve"> PAGEREF _Toc348948381 \h </w:instrText>
            </w:r>
            <w:r>
              <w:rPr>
                <w:noProof/>
                <w:webHidden/>
              </w:rPr>
            </w:r>
            <w:r>
              <w:rPr>
                <w:noProof/>
                <w:webHidden/>
              </w:rPr>
              <w:fldChar w:fldCharType="separate"/>
            </w:r>
            <w:r>
              <w:rPr>
                <w:noProof/>
                <w:webHidden/>
              </w:rPr>
              <w:t>82</w:t>
            </w:r>
            <w:r>
              <w:rPr>
                <w:noProof/>
                <w:webHidden/>
              </w:rPr>
              <w:fldChar w:fldCharType="end"/>
            </w:r>
          </w:hyperlink>
        </w:p>
        <w:p w:rsidR="00FB637A" w:rsidRDefault="00FB637A">
          <w:pPr>
            <w:pStyle w:val="TOC3"/>
            <w:tabs>
              <w:tab w:val="right" w:leader="dot" w:pos="8630"/>
            </w:tabs>
            <w:rPr>
              <w:noProof/>
            </w:rPr>
          </w:pPr>
          <w:hyperlink w:anchor="_Toc348948382" w:history="1">
            <w:r w:rsidRPr="00D51899">
              <w:rPr>
                <w:rStyle w:val="Hyperlink"/>
                <w:noProof/>
              </w:rPr>
              <w:t>13.1. ES atbalsta programmas un pasākumi</w:t>
            </w:r>
            <w:r>
              <w:rPr>
                <w:noProof/>
                <w:webHidden/>
              </w:rPr>
              <w:tab/>
            </w:r>
            <w:r>
              <w:rPr>
                <w:noProof/>
                <w:webHidden/>
              </w:rPr>
              <w:fldChar w:fldCharType="begin"/>
            </w:r>
            <w:r>
              <w:rPr>
                <w:noProof/>
                <w:webHidden/>
              </w:rPr>
              <w:instrText xml:space="preserve"> PAGEREF _Toc348948382 \h </w:instrText>
            </w:r>
            <w:r>
              <w:rPr>
                <w:noProof/>
                <w:webHidden/>
              </w:rPr>
            </w:r>
            <w:r>
              <w:rPr>
                <w:noProof/>
                <w:webHidden/>
              </w:rPr>
              <w:fldChar w:fldCharType="separate"/>
            </w:r>
            <w:r>
              <w:rPr>
                <w:noProof/>
                <w:webHidden/>
              </w:rPr>
              <w:t>82</w:t>
            </w:r>
            <w:r>
              <w:rPr>
                <w:noProof/>
                <w:webHidden/>
              </w:rPr>
              <w:fldChar w:fldCharType="end"/>
            </w:r>
          </w:hyperlink>
        </w:p>
        <w:p w:rsidR="00FB637A" w:rsidRDefault="00FB637A">
          <w:pPr>
            <w:pStyle w:val="TOC3"/>
            <w:tabs>
              <w:tab w:val="right" w:leader="dot" w:pos="8630"/>
            </w:tabs>
            <w:rPr>
              <w:noProof/>
            </w:rPr>
          </w:pPr>
          <w:hyperlink w:anchor="_Toc348948383" w:history="1">
            <w:r w:rsidRPr="00D51899">
              <w:rPr>
                <w:rStyle w:val="Hyperlink"/>
                <w:noProof/>
              </w:rPr>
              <w:t>13.2. Lauku attīstības plānošana</w:t>
            </w:r>
            <w:r>
              <w:rPr>
                <w:noProof/>
                <w:webHidden/>
              </w:rPr>
              <w:tab/>
            </w:r>
            <w:r>
              <w:rPr>
                <w:noProof/>
                <w:webHidden/>
              </w:rPr>
              <w:fldChar w:fldCharType="begin"/>
            </w:r>
            <w:r>
              <w:rPr>
                <w:noProof/>
                <w:webHidden/>
              </w:rPr>
              <w:instrText xml:space="preserve"> PAGEREF _Toc348948383 \h </w:instrText>
            </w:r>
            <w:r>
              <w:rPr>
                <w:noProof/>
                <w:webHidden/>
              </w:rPr>
            </w:r>
            <w:r>
              <w:rPr>
                <w:noProof/>
                <w:webHidden/>
              </w:rPr>
              <w:fldChar w:fldCharType="separate"/>
            </w:r>
            <w:r>
              <w:rPr>
                <w:noProof/>
                <w:webHidden/>
              </w:rPr>
              <w:t>83</w:t>
            </w:r>
            <w:r>
              <w:rPr>
                <w:noProof/>
                <w:webHidden/>
              </w:rPr>
              <w:fldChar w:fldCharType="end"/>
            </w:r>
          </w:hyperlink>
        </w:p>
        <w:p w:rsidR="00FB637A" w:rsidRDefault="00FB637A">
          <w:pPr>
            <w:pStyle w:val="TOC3"/>
            <w:tabs>
              <w:tab w:val="right" w:leader="dot" w:pos="8630"/>
            </w:tabs>
            <w:rPr>
              <w:noProof/>
            </w:rPr>
          </w:pPr>
          <w:hyperlink w:anchor="_Toc348948384" w:history="1">
            <w:r w:rsidRPr="00D51899">
              <w:rPr>
                <w:rStyle w:val="Hyperlink"/>
                <w:noProof/>
              </w:rPr>
              <w:t>13.3. Veselīga pārtika skolās</w:t>
            </w:r>
            <w:r>
              <w:rPr>
                <w:noProof/>
                <w:webHidden/>
              </w:rPr>
              <w:tab/>
            </w:r>
            <w:r>
              <w:rPr>
                <w:noProof/>
                <w:webHidden/>
              </w:rPr>
              <w:fldChar w:fldCharType="begin"/>
            </w:r>
            <w:r>
              <w:rPr>
                <w:noProof/>
                <w:webHidden/>
              </w:rPr>
              <w:instrText xml:space="preserve"> PAGEREF _Toc348948384 \h </w:instrText>
            </w:r>
            <w:r>
              <w:rPr>
                <w:noProof/>
                <w:webHidden/>
              </w:rPr>
            </w:r>
            <w:r>
              <w:rPr>
                <w:noProof/>
                <w:webHidden/>
              </w:rPr>
              <w:fldChar w:fldCharType="separate"/>
            </w:r>
            <w:r>
              <w:rPr>
                <w:noProof/>
                <w:webHidden/>
              </w:rPr>
              <w:t>84</w:t>
            </w:r>
            <w:r>
              <w:rPr>
                <w:noProof/>
                <w:webHidden/>
              </w:rPr>
              <w:fldChar w:fldCharType="end"/>
            </w:r>
          </w:hyperlink>
        </w:p>
        <w:p w:rsidR="00FB637A" w:rsidRDefault="00FB637A">
          <w:pPr>
            <w:pStyle w:val="TOC3"/>
            <w:tabs>
              <w:tab w:val="right" w:leader="dot" w:pos="8630"/>
            </w:tabs>
            <w:rPr>
              <w:noProof/>
            </w:rPr>
          </w:pPr>
          <w:hyperlink w:anchor="_Toc348948385" w:history="1">
            <w:r w:rsidRPr="00D51899">
              <w:rPr>
                <w:rStyle w:val="Hyperlink"/>
                <w:noProof/>
              </w:rPr>
              <w:t>13.4. Zivsaimniecības politika</w:t>
            </w:r>
            <w:r>
              <w:rPr>
                <w:noProof/>
                <w:webHidden/>
              </w:rPr>
              <w:tab/>
            </w:r>
            <w:r>
              <w:rPr>
                <w:noProof/>
                <w:webHidden/>
              </w:rPr>
              <w:fldChar w:fldCharType="begin"/>
            </w:r>
            <w:r>
              <w:rPr>
                <w:noProof/>
                <w:webHidden/>
              </w:rPr>
              <w:instrText xml:space="preserve"> PAGEREF _Toc348948385 \h </w:instrText>
            </w:r>
            <w:r>
              <w:rPr>
                <w:noProof/>
                <w:webHidden/>
              </w:rPr>
            </w:r>
            <w:r>
              <w:rPr>
                <w:noProof/>
                <w:webHidden/>
              </w:rPr>
              <w:fldChar w:fldCharType="separate"/>
            </w:r>
            <w:r>
              <w:rPr>
                <w:noProof/>
                <w:webHidden/>
              </w:rPr>
              <w:t>84</w:t>
            </w:r>
            <w:r>
              <w:rPr>
                <w:noProof/>
                <w:webHidden/>
              </w:rPr>
              <w:fldChar w:fldCharType="end"/>
            </w:r>
          </w:hyperlink>
        </w:p>
        <w:p w:rsidR="00FB637A" w:rsidRDefault="00FB637A">
          <w:pPr>
            <w:pStyle w:val="TOC3"/>
            <w:tabs>
              <w:tab w:val="right" w:leader="dot" w:pos="8630"/>
            </w:tabs>
            <w:rPr>
              <w:noProof/>
            </w:rPr>
          </w:pPr>
          <w:hyperlink w:anchor="_Toc348948386" w:history="1">
            <w:r w:rsidRPr="00D51899">
              <w:rPr>
                <w:rStyle w:val="Hyperlink"/>
                <w:noProof/>
              </w:rPr>
              <w:t>13.5. Pārtikas aprite</w:t>
            </w:r>
            <w:r>
              <w:rPr>
                <w:noProof/>
                <w:webHidden/>
              </w:rPr>
              <w:tab/>
            </w:r>
            <w:r>
              <w:rPr>
                <w:noProof/>
                <w:webHidden/>
              </w:rPr>
              <w:fldChar w:fldCharType="begin"/>
            </w:r>
            <w:r>
              <w:rPr>
                <w:noProof/>
                <w:webHidden/>
              </w:rPr>
              <w:instrText xml:space="preserve"> PAGEREF _Toc348948386 \h </w:instrText>
            </w:r>
            <w:r>
              <w:rPr>
                <w:noProof/>
                <w:webHidden/>
              </w:rPr>
            </w:r>
            <w:r>
              <w:rPr>
                <w:noProof/>
                <w:webHidden/>
              </w:rPr>
              <w:fldChar w:fldCharType="separate"/>
            </w:r>
            <w:r>
              <w:rPr>
                <w:noProof/>
                <w:webHidden/>
              </w:rPr>
              <w:t>85</w:t>
            </w:r>
            <w:r>
              <w:rPr>
                <w:noProof/>
                <w:webHidden/>
              </w:rPr>
              <w:fldChar w:fldCharType="end"/>
            </w:r>
          </w:hyperlink>
        </w:p>
        <w:p w:rsidR="00FB637A" w:rsidRDefault="00FB637A">
          <w:pPr>
            <w:pStyle w:val="TOC3"/>
            <w:tabs>
              <w:tab w:val="right" w:leader="dot" w:pos="8630"/>
            </w:tabs>
            <w:rPr>
              <w:noProof/>
            </w:rPr>
          </w:pPr>
          <w:hyperlink w:anchor="_Toc348948387" w:history="1">
            <w:r w:rsidRPr="00D51899">
              <w:rPr>
                <w:rStyle w:val="Hyperlink"/>
                <w:noProof/>
              </w:rPr>
              <w:t>13.6. Dzīvnieku veselība, veterinārija</w:t>
            </w:r>
            <w:r>
              <w:rPr>
                <w:noProof/>
                <w:webHidden/>
              </w:rPr>
              <w:tab/>
            </w:r>
            <w:r>
              <w:rPr>
                <w:noProof/>
                <w:webHidden/>
              </w:rPr>
              <w:fldChar w:fldCharType="begin"/>
            </w:r>
            <w:r>
              <w:rPr>
                <w:noProof/>
                <w:webHidden/>
              </w:rPr>
              <w:instrText xml:space="preserve"> PAGEREF _Toc348948387 \h </w:instrText>
            </w:r>
            <w:r>
              <w:rPr>
                <w:noProof/>
                <w:webHidden/>
              </w:rPr>
            </w:r>
            <w:r>
              <w:rPr>
                <w:noProof/>
                <w:webHidden/>
              </w:rPr>
              <w:fldChar w:fldCharType="separate"/>
            </w:r>
            <w:r>
              <w:rPr>
                <w:noProof/>
                <w:webHidden/>
              </w:rPr>
              <w:t>86</w:t>
            </w:r>
            <w:r>
              <w:rPr>
                <w:noProof/>
                <w:webHidden/>
              </w:rPr>
              <w:fldChar w:fldCharType="end"/>
            </w:r>
          </w:hyperlink>
        </w:p>
        <w:p w:rsidR="00FB637A" w:rsidRDefault="00FB637A">
          <w:pPr>
            <w:pStyle w:val="TOC1"/>
            <w:tabs>
              <w:tab w:val="right" w:leader="dot" w:pos="8630"/>
            </w:tabs>
            <w:rPr>
              <w:noProof/>
            </w:rPr>
          </w:pPr>
          <w:hyperlink w:anchor="_Toc348948388" w:history="1">
            <w:r w:rsidRPr="00D51899">
              <w:rPr>
                <w:rStyle w:val="Hyperlink"/>
                <w:noProof/>
              </w:rPr>
              <w:t>III. Efektīva teritoriju pārvaldība, vide un dabas kapitāla saglabāšana</w:t>
            </w:r>
            <w:r>
              <w:rPr>
                <w:noProof/>
                <w:webHidden/>
              </w:rPr>
              <w:tab/>
            </w:r>
            <w:r>
              <w:rPr>
                <w:noProof/>
                <w:webHidden/>
              </w:rPr>
              <w:fldChar w:fldCharType="begin"/>
            </w:r>
            <w:r>
              <w:rPr>
                <w:noProof/>
                <w:webHidden/>
              </w:rPr>
              <w:instrText xml:space="preserve"> PAGEREF _Toc348948388 \h </w:instrText>
            </w:r>
            <w:r>
              <w:rPr>
                <w:noProof/>
                <w:webHidden/>
              </w:rPr>
            </w:r>
            <w:r>
              <w:rPr>
                <w:noProof/>
                <w:webHidden/>
              </w:rPr>
              <w:fldChar w:fldCharType="separate"/>
            </w:r>
            <w:r>
              <w:rPr>
                <w:noProof/>
                <w:webHidden/>
              </w:rPr>
              <w:t>87</w:t>
            </w:r>
            <w:r>
              <w:rPr>
                <w:noProof/>
                <w:webHidden/>
              </w:rPr>
              <w:fldChar w:fldCharType="end"/>
            </w:r>
          </w:hyperlink>
        </w:p>
        <w:p w:rsidR="00FB637A" w:rsidRDefault="00FB637A">
          <w:pPr>
            <w:pStyle w:val="TOC2"/>
            <w:tabs>
              <w:tab w:val="left" w:pos="660"/>
              <w:tab w:val="right" w:leader="dot" w:pos="8630"/>
            </w:tabs>
            <w:rPr>
              <w:noProof/>
            </w:rPr>
          </w:pPr>
          <w:hyperlink w:anchor="_Toc348948389" w:history="1">
            <w:r w:rsidRPr="00D51899">
              <w:rPr>
                <w:rStyle w:val="Hyperlink"/>
                <w:noProof/>
              </w:rPr>
              <w:t>1.</w:t>
            </w:r>
            <w:r>
              <w:rPr>
                <w:noProof/>
              </w:rPr>
              <w:tab/>
            </w:r>
            <w:r w:rsidRPr="00D51899">
              <w:rPr>
                <w:rStyle w:val="Hyperlink"/>
                <w:noProof/>
              </w:rPr>
              <w:t>Reģionālās attīstības plānošana un īstenošana</w:t>
            </w:r>
            <w:r>
              <w:rPr>
                <w:noProof/>
                <w:webHidden/>
              </w:rPr>
              <w:tab/>
            </w:r>
            <w:r>
              <w:rPr>
                <w:noProof/>
                <w:webHidden/>
              </w:rPr>
              <w:fldChar w:fldCharType="begin"/>
            </w:r>
            <w:r>
              <w:rPr>
                <w:noProof/>
                <w:webHidden/>
              </w:rPr>
              <w:instrText xml:space="preserve"> PAGEREF _Toc348948389 \h </w:instrText>
            </w:r>
            <w:r>
              <w:rPr>
                <w:noProof/>
                <w:webHidden/>
              </w:rPr>
            </w:r>
            <w:r>
              <w:rPr>
                <w:noProof/>
                <w:webHidden/>
              </w:rPr>
              <w:fldChar w:fldCharType="separate"/>
            </w:r>
            <w:r>
              <w:rPr>
                <w:noProof/>
                <w:webHidden/>
              </w:rPr>
              <w:t>87</w:t>
            </w:r>
            <w:r>
              <w:rPr>
                <w:noProof/>
                <w:webHidden/>
              </w:rPr>
              <w:fldChar w:fldCharType="end"/>
            </w:r>
          </w:hyperlink>
        </w:p>
        <w:p w:rsidR="00FB637A" w:rsidRDefault="00FB637A">
          <w:pPr>
            <w:pStyle w:val="TOC3"/>
            <w:tabs>
              <w:tab w:val="right" w:leader="dot" w:pos="8630"/>
            </w:tabs>
            <w:rPr>
              <w:noProof/>
            </w:rPr>
          </w:pPr>
          <w:hyperlink w:anchor="_Toc348948390" w:history="1">
            <w:r w:rsidRPr="00D51899">
              <w:rPr>
                <w:rStyle w:val="Hyperlink"/>
                <w:rFonts w:eastAsia="Times New Roman"/>
                <w:noProof/>
              </w:rPr>
              <w:t>1.1. Reģionālās politikas pamatnostādnes</w:t>
            </w:r>
            <w:r>
              <w:rPr>
                <w:noProof/>
                <w:webHidden/>
              </w:rPr>
              <w:tab/>
            </w:r>
            <w:r>
              <w:rPr>
                <w:noProof/>
                <w:webHidden/>
              </w:rPr>
              <w:fldChar w:fldCharType="begin"/>
            </w:r>
            <w:r>
              <w:rPr>
                <w:noProof/>
                <w:webHidden/>
              </w:rPr>
              <w:instrText xml:space="preserve"> PAGEREF _Toc348948390 \h </w:instrText>
            </w:r>
            <w:r>
              <w:rPr>
                <w:noProof/>
                <w:webHidden/>
              </w:rPr>
            </w:r>
            <w:r>
              <w:rPr>
                <w:noProof/>
                <w:webHidden/>
              </w:rPr>
              <w:fldChar w:fldCharType="separate"/>
            </w:r>
            <w:r>
              <w:rPr>
                <w:noProof/>
                <w:webHidden/>
              </w:rPr>
              <w:t>87</w:t>
            </w:r>
            <w:r>
              <w:rPr>
                <w:noProof/>
                <w:webHidden/>
              </w:rPr>
              <w:fldChar w:fldCharType="end"/>
            </w:r>
          </w:hyperlink>
        </w:p>
        <w:p w:rsidR="00FB637A" w:rsidRDefault="00FB637A">
          <w:pPr>
            <w:pStyle w:val="TOC3"/>
            <w:tabs>
              <w:tab w:val="right" w:leader="dot" w:pos="8630"/>
            </w:tabs>
            <w:rPr>
              <w:noProof/>
            </w:rPr>
          </w:pPr>
          <w:hyperlink w:anchor="_Toc348948391" w:history="1">
            <w:r w:rsidRPr="00D51899">
              <w:rPr>
                <w:rStyle w:val="Hyperlink"/>
                <w:rFonts w:eastAsia="Times New Roman"/>
                <w:noProof/>
              </w:rPr>
              <w:t>1.2. Rīcības plāns Latgales reģiona izaugsmei 2012.–2013.gadam</w:t>
            </w:r>
            <w:r>
              <w:rPr>
                <w:noProof/>
                <w:webHidden/>
              </w:rPr>
              <w:tab/>
            </w:r>
            <w:r>
              <w:rPr>
                <w:noProof/>
                <w:webHidden/>
              </w:rPr>
              <w:fldChar w:fldCharType="begin"/>
            </w:r>
            <w:r>
              <w:rPr>
                <w:noProof/>
                <w:webHidden/>
              </w:rPr>
              <w:instrText xml:space="preserve"> PAGEREF _Toc348948391 \h </w:instrText>
            </w:r>
            <w:r>
              <w:rPr>
                <w:noProof/>
                <w:webHidden/>
              </w:rPr>
            </w:r>
            <w:r>
              <w:rPr>
                <w:noProof/>
                <w:webHidden/>
              </w:rPr>
              <w:fldChar w:fldCharType="separate"/>
            </w:r>
            <w:r>
              <w:rPr>
                <w:noProof/>
                <w:webHidden/>
              </w:rPr>
              <w:t>87</w:t>
            </w:r>
            <w:r>
              <w:rPr>
                <w:noProof/>
                <w:webHidden/>
              </w:rPr>
              <w:fldChar w:fldCharType="end"/>
            </w:r>
          </w:hyperlink>
        </w:p>
        <w:p w:rsidR="00FB637A" w:rsidRDefault="00FB637A">
          <w:pPr>
            <w:pStyle w:val="TOC3"/>
            <w:tabs>
              <w:tab w:val="right" w:leader="dot" w:pos="8630"/>
            </w:tabs>
            <w:rPr>
              <w:noProof/>
            </w:rPr>
          </w:pPr>
          <w:hyperlink w:anchor="_Toc348948392" w:history="1">
            <w:r w:rsidRPr="00D51899">
              <w:rPr>
                <w:rStyle w:val="Hyperlink"/>
                <w:noProof/>
              </w:rPr>
              <w:t>1.3. 2007.–2013.gada ES fondu plānošanas perioda ERAF finansējuma apguve reģionu stiprināšanai</w:t>
            </w:r>
            <w:r>
              <w:rPr>
                <w:noProof/>
                <w:webHidden/>
              </w:rPr>
              <w:tab/>
            </w:r>
            <w:r>
              <w:rPr>
                <w:noProof/>
                <w:webHidden/>
              </w:rPr>
              <w:fldChar w:fldCharType="begin"/>
            </w:r>
            <w:r>
              <w:rPr>
                <w:noProof/>
                <w:webHidden/>
              </w:rPr>
              <w:instrText xml:space="preserve"> PAGEREF _Toc348948392 \h </w:instrText>
            </w:r>
            <w:r>
              <w:rPr>
                <w:noProof/>
                <w:webHidden/>
              </w:rPr>
            </w:r>
            <w:r>
              <w:rPr>
                <w:noProof/>
                <w:webHidden/>
              </w:rPr>
              <w:fldChar w:fldCharType="separate"/>
            </w:r>
            <w:r>
              <w:rPr>
                <w:noProof/>
                <w:webHidden/>
              </w:rPr>
              <w:t>88</w:t>
            </w:r>
            <w:r>
              <w:rPr>
                <w:noProof/>
                <w:webHidden/>
              </w:rPr>
              <w:fldChar w:fldCharType="end"/>
            </w:r>
          </w:hyperlink>
        </w:p>
        <w:p w:rsidR="00FB637A" w:rsidRDefault="00FB637A">
          <w:pPr>
            <w:pStyle w:val="TOC3"/>
            <w:tabs>
              <w:tab w:val="right" w:leader="dot" w:pos="8630"/>
            </w:tabs>
            <w:rPr>
              <w:noProof/>
            </w:rPr>
          </w:pPr>
          <w:hyperlink w:anchor="_Toc348948393" w:history="1">
            <w:r w:rsidRPr="00D51899">
              <w:rPr>
                <w:rStyle w:val="Hyperlink"/>
                <w:noProof/>
              </w:rPr>
              <w:t>1.4. Norvēģijas finanšu instrumenta līdzekļu apgūšana reģionu atbalstam</w:t>
            </w:r>
            <w:r>
              <w:rPr>
                <w:noProof/>
                <w:webHidden/>
              </w:rPr>
              <w:tab/>
            </w:r>
            <w:r>
              <w:rPr>
                <w:noProof/>
                <w:webHidden/>
              </w:rPr>
              <w:fldChar w:fldCharType="begin"/>
            </w:r>
            <w:r>
              <w:rPr>
                <w:noProof/>
                <w:webHidden/>
              </w:rPr>
              <w:instrText xml:space="preserve"> PAGEREF _Toc348948393 \h </w:instrText>
            </w:r>
            <w:r>
              <w:rPr>
                <w:noProof/>
                <w:webHidden/>
              </w:rPr>
            </w:r>
            <w:r>
              <w:rPr>
                <w:noProof/>
                <w:webHidden/>
              </w:rPr>
              <w:fldChar w:fldCharType="separate"/>
            </w:r>
            <w:r>
              <w:rPr>
                <w:noProof/>
                <w:webHidden/>
              </w:rPr>
              <w:t>88</w:t>
            </w:r>
            <w:r>
              <w:rPr>
                <w:noProof/>
                <w:webHidden/>
              </w:rPr>
              <w:fldChar w:fldCharType="end"/>
            </w:r>
          </w:hyperlink>
        </w:p>
        <w:p w:rsidR="00FB637A" w:rsidRDefault="00FB637A">
          <w:pPr>
            <w:pStyle w:val="TOC2"/>
            <w:tabs>
              <w:tab w:val="left" w:pos="660"/>
              <w:tab w:val="right" w:leader="dot" w:pos="8630"/>
            </w:tabs>
            <w:rPr>
              <w:noProof/>
            </w:rPr>
          </w:pPr>
          <w:hyperlink w:anchor="_Toc348948394" w:history="1">
            <w:r w:rsidRPr="00D51899">
              <w:rPr>
                <w:rStyle w:val="Hyperlink"/>
                <w:noProof/>
              </w:rPr>
              <w:t>2.</w:t>
            </w:r>
            <w:r>
              <w:rPr>
                <w:noProof/>
              </w:rPr>
              <w:tab/>
            </w:r>
            <w:r w:rsidRPr="00D51899">
              <w:rPr>
                <w:rStyle w:val="Hyperlink"/>
                <w:noProof/>
              </w:rPr>
              <w:t>Telpiskā plānošana</w:t>
            </w:r>
            <w:r>
              <w:rPr>
                <w:noProof/>
                <w:webHidden/>
              </w:rPr>
              <w:tab/>
            </w:r>
            <w:r>
              <w:rPr>
                <w:noProof/>
                <w:webHidden/>
              </w:rPr>
              <w:fldChar w:fldCharType="begin"/>
            </w:r>
            <w:r>
              <w:rPr>
                <w:noProof/>
                <w:webHidden/>
              </w:rPr>
              <w:instrText xml:space="preserve"> PAGEREF _Toc348948394 \h </w:instrText>
            </w:r>
            <w:r>
              <w:rPr>
                <w:noProof/>
                <w:webHidden/>
              </w:rPr>
            </w:r>
            <w:r>
              <w:rPr>
                <w:noProof/>
                <w:webHidden/>
              </w:rPr>
              <w:fldChar w:fldCharType="separate"/>
            </w:r>
            <w:r>
              <w:rPr>
                <w:noProof/>
                <w:webHidden/>
              </w:rPr>
              <w:t>89</w:t>
            </w:r>
            <w:r>
              <w:rPr>
                <w:noProof/>
                <w:webHidden/>
              </w:rPr>
              <w:fldChar w:fldCharType="end"/>
            </w:r>
          </w:hyperlink>
        </w:p>
        <w:p w:rsidR="00FB637A" w:rsidRDefault="00FB637A">
          <w:pPr>
            <w:pStyle w:val="TOC3"/>
            <w:tabs>
              <w:tab w:val="right" w:leader="dot" w:pos="8630"/>
            </w:tabs>
            <w:rPr>
              <w:noProof/>
            </w:rPr>
          </w:pPr>
          <w:hyperlink w:anchor="_Toc348948395" w:history="1">
            <w:r w:rsidRPr="00D51899">
              <w:rPr>
                <w:rStyle w:val="Hyperlink"/>
                <w:rFonts w:eastAsia="Times New Roman"/>
                <w:noProof/>
              </w:rPr>
              <w:t>2.1. Teritorijas attīstības plānošanas sistēmas iedzīvināšana</w:t>
            </w:r>
            <w:r>
              <w:rPr>
                <w:noProof/>
                <w:webHidden/>
              </w:rPr>
              <w:tab/>
            </w:r>
            <w:r>
              <w:rPr>
                <w:noProof/>
                <w:webHidden/>
              </w:rPr>
              <w:fldChar w:fldCharType="begin"/>
            </w:r>
            <w:r>
              <w:rPr>
                <w:noProof/>
                <w:webHidden/>
              </w:rPr>
              <w:instrText xml:space="preserve"> PAGEREF _Toc348948395 \h </w:instrText>
            </w:r>
            <w:r>
              <w:rPr>
                <w:noProof/>
                <w:webHidden/>
              </w:rPr>
            </w:r>
            <w:r>
              <w:rPr>
                <w:noProof/>
                <w:webHidden/>
              </w:rPr>
              <w:fldChar w:fldCharType="separate"/>
            </w:r>
            <w:r>
              <w:rPr>
                <w:noProof/>
                <w:webHidden/>
              </w:rPr>
              <w:t>89</w:t>
            </w:r>
            <w:r>
              <w:rPr>
                <w:noProof/>
                <w:webHidden/>
              </w:rPr>
              <w:fldChar w:fldCharType="end"/>
            </w:r>
          </w:hyperlink>
        </w:p>
        <w:p w:rsidR="00FB637A" w:rsidRDefault="00FB637A">
          <w:pPr>
            <w:pStyle w:val="TOC3"/>
            <w:tabs>
              <w:tab w:val="right" w:leader="dot" w:pos="8630"/>
            </w:tabs>
            <w:rPr>
              <w:noProof/>
            </w:rPr>
          </w:pPr>
          <w:hyperlink w:anchor="_Toc348948396" w:history="1">
            <w:r w:rsidRPr="00D51899">
              <w:rPr>
                <w:rStyle w:val="Hyperlink"/>
                <w:rFonts w:eastAsia="Times New Roman"/>
                <w:noProof/>
              </w:rPr>
              <w:t>2.2. Zemes pārvaldības regulējuma noteikšana un pilnveidošana</w:t>
            </w:r>
            <w:r>
              <w:rPr>
                <w:noProof/>
                <w:webHidden/>
              </w:rPr>
              <w:tab/>
            </w:r>
            <w:r>
              <w:rPr>
                <w:noProof/>
                <w:webHidden/>
              </w:rPr>
              <w:fldChar w:fldCharType="begin"/>
            </w:r>
            <w:r>
              <w:rPr>
                <w:noProof/>
                <w:webHidden/>
              </w:rPr>
              <w:instrText xml:space="preserve"> PAGEREF _Toc348948396 \h </w:instrText>
            </w:r>
            <w:r>
              <w:rPr>
                <w:noProof/>
                <w:webHidden/>
              </w:rPr>
            </w:r>
            <w:r>
              <w:rPr>
                <w:noProof/>
                <w:webHidden/>
              </w:rPr>
              <w:fldChar w:fldCharType="separate"/>
            </w:r>
            <w:r>
              <w:rPr>
                <w:noProof/>
                <w:webHidden/>
              </w:rPr>
              <w:t>90</w:t>
            </w:r>
            <w:r>
              <w:rPr>
                <w:noProof/>
                <w:webHidden/>
              </w:rPr>
              <w:fldChar w:fldCharType="end"/>
            </w:r>
          </w:hyperlink>
        </w:p>
        <w:p w:rsidR="00FB637A" w:rsidRDefault="00FB637A">
          <w:pPr>
            <w:pStyle w:val="TOC3"/>
            <w:tabs>
              <w:tab w:val="right" w:leader="dot" w:pos="8630"/>
            </w:tabs>
            <w:rPr>
              <w:noProof/>
            </w:rPr>
          </w:pPr>
          <w:hyperlink w:anchor="_Toc348948397" w:history="1">
            <w:r w:rsidRPr="00D51899">
              <w:rPr>
                <w:rStyle w:val="Hyperlink"/>
                <w:rFonts w:eastAsia="Times New Roman"/>
                <w:noProof/>
              </w:rPr>
              <w:t>2.3. Atbalsts zemes politikas pārvaldībai un teritoriju plānošanai pašvaldībās</w:t>
            </w:r>
            <w:r>
              <w:rPr>
                <w:noProof/>
                <w:webHidden/>
              </w:rPr>
              <w:tab/>
            </w:r>
            <w:r>
              <w:rPr>
                <w:noProof/>
                <w:webHidden/>
              </w:rPr>
              <w:fldChar w:fldCharType="begin"/>
            </w:r>
            <w:r>
              <w:rPr>
                <w:noProof/>
                <w:webHidden/>
              </w:rPr>
              <w:instrText xml:space="preserve"> PAGEREF _Toc348948397 \h </w:instrText>
            </w:r>
            <w:r>
              <w:rPr>
                <w:noProof/>
                <w:webHidden/>
              </w:rPr>
            </w:r>
            <w:r>
              <w:rPr>
                <w:noProof/>
                <w:webHidden/>
              </w:rPr>
              <w:fldChar w:fldCharType="separate"/>
            </w:r>
            <w:r>
              <w:rPr>
                <w:noProof/>
                <w:webHidden/>
              </w:rPr>
              <w:t>90</w:t>
            </w:r>
            <w:r>
              <w:rPr>
                <w:noProof/>
                <w:webHidden/>
              </w:rPr>
              <w:fldChar w:fldCharType="end"/>
            </w:r>
          </w:hyperlink>
        </w:p>
        <w:p w:rsidR="00FB637A" w:rsidRDefault="00FB637A">
          <w:pPr>
            <w:pStyle w:val="TOC2"/>
            <w:tabs>
              <w:tab w:val="right" w:leader="dot" w:pos="8630"/>
            </w:tabs>
            <w:rPr>
              <w:noProof/>
            </w:rPr>
          </w:pPr>
          <w:hyperlink w:anchor="_Toc348948398" w:history="1">
            <w:r w:rsidRPr="00D51899">
              <w:rPr>
                <w:rStyle w:val="Hyperlink"/>
                <w:noProof/>
              </w:rPr>
              <w:t>3. Pašvaldību darbības pilnveidošana</w:t>
            </w:r>
            <w:r>
              <w:rPr>
                <w:noProof/>
                <w:webHidden/>
              </w:rPr>
              <w:tab/>
            </w:r>
            <w:r>
              <w:rPr>
                <w:noProof/>
                <w:webHidden/>
              </w:rPr>
              <w:fldChar w:fldCharType="begin"/>
            </w:r>
            <w:r>
              <w:rPr>
                <w:noProof/>
                <w:webHidden/>
              </w:rPr>
              <w:instrText xml:space="preserve"> PAGEREF _Toc348948398 \h </w:instrText>
            </w:r>
            <w:r>
              <w:rPr>
                <w:noProof/>
                <w:webHidden/>
              </w:rPr>
            </w:r>
            <w:r>
              <w:rPr>
                <w:noProof/>
                <w:webHidden/>
              </w:rPr>
              <w:fldChar w:fldCharType="separate"/>
            </w:r>
            <w:r>
              <w:rPr>
                <w:noProof/>
                <w:webHidden/>
              </w:rPr>
              <w:t>90</w:t>
            </w:r>
            <w:r>
              <w:rPr>
                <w:noProof/>
                <w:webHidden/>
              </w:rPr>
              <w:fldChar w:fldCharType="end"/>
            </w:r>
          </w:hyperlink>
        </w:p>
        <w:p w:rsidR="00FB637A" w:rsidRDefault="00FB637A">
          <w:pPr>
            <w:pStyle w:val="TOC2"/>
            <w:tabs>
              <w:tab w:val="left" w:pos="660"/>
              <w:tab w:val="right" w:leader="dot" w:pos="8630"/>
            </w:tabs>
            <w:rPr>
              <w:noProof/>
            </w:rPr>
          </w:pPr>
          <w:hyperlink w:anchor="_Toc348948399" w:history="1">
            <w:r w:rsidRPr="00D51899">
              <w:rPr>
                <w:rStyle w:val="Hyperlink"/>
                <w:noProof/>
              </w:rPr>
              <w:t>4.</w:t>
            </w:r>
            <w:r>
              <w:rPr>
                <w:noProof/>
              </w:rPr>
              <w:tab/>
            </w:r>
            <w:r w:rsidRPr="00D51899">
              <w:rPr>
                <w:rStyle w:val="Hyperlink"/>
                <w:noProof/>
              </w:rPr>
              <w:t>Teritoriālā sadarbība</w:t>
            </w:r>
            <w:r>
              <w:rPr>
                <w:noProof/>
                <w:webHidden/>
              </w:rPr>
              <w:tab/>
            </w:r>
            <w:r>
              <w:rPr>
                <w:noProof/>
                <w:webHidden/>
              </w:rPr>
              <w:fldChar w:fldCharType="begin"/>
            </w:r>
            <w:r>
              <w:rPr>
                <w:noProof/>
                <w:webHidden/>
              </w:rPr>
              <w:instrText xml:space="preserve"> PAGEREF _Toc348948399 \h </w:instrText>
            </w:r>
            <w:r>
              <w:rPr>
                <w:noProof/>
                <w:webHidden/>
              </w:rPr>
            </w:r>
            <w:r>
              <w:rPr>
                <w:noProof/>
                <w:webHidden/>
              </w:rPr>
              <w:fldChar w:fldCharType="separate"/>
            </w:r>
            <w:r>
              <w:rPr>
                <w:noProof/>
                <w:webHidden/>
              </w:rPr>
              <w:t>91</w:t>
            </w:r>
            <w:r>
              <w:rPr>
                <w:noProof/>
                <w:webHidden/>
              </w:rPr>
              <w:fldChar w:fldCharType="end"/>
            </w:r>
          </w:hyperlink>
        </w:p>
        <w:p w:rsidR="00FB637A" w:rsidRDefault="00FB637A">
          <w:pPr>
            <w:pStyle w:val="TOC2"/>
            <w:tabs>
              <w:tab w:val="right" w:leader="dot" w:pos="8630"/>
            </w:tabs>
            <w:rPr>
              <w:noProof/>
            </w:rPr>
          </w:pPr>
          <w:hyperlink w:anchor="_Toc348948400" w:history="1">
            <w:r w:rsidRPr="00D51899">
              <w:rPr>
                <w:rStyle w:val="Hyperlink"/>
                <w:rFonts w:eastAsia="Times New Roman"/>
                <w:noProof/>
              </w:rPr>
              <w:t>5.</w:t>
            </w:r>
            <w:r w:rsidRPr="00D51899">
              <w:rPr>
                <w:rStyle w:val="Hyperlink"/>
                <w:noProof/>
              </w:rPr>
              <w:t xml:space="preserve"> Vides un dabas aizsardzība un klimata pārmaiņas</w:t>
            </w:r>
            <w:r>
              <w:rPr>
                <w:noProof/>
                <w:webHidden/>
              </w:rPr>
              <w:tab/>
            </w:r>
            <w:r>
              <w:rPr>
                <w:noProof/>
                <w:webHidden/>
              </w:rPr>
              <w:fldChar w:fldCharType="begin"/>
            </w:r>
            <w:r>
              <w:rPr>
                <w:noProof/>
                <w:webHidden/>
              </w:rPr>
              <w:instrText xml:space="preserve"> PAGEREF _Toc348948400 \h </w:instrText>
            </w:r>
            <w:r>
              <w:rPr>
                <w:noProof/>
                <w:webHidden/>
              </w:rPr>
            </w:r>
            <w:r>
              <w:rPr>
                <w:noProof/>
                <w:webHidden/>
              </w:rPr>
              <w:fldChar w:fldCharType="separate"/>
            </w:r>
            <w:r>
              <w:rPr>
                <w:noProof/>
                <w:webHidden/>
              </w:rPr>
              <w:t>92</w:t>
            </w:r>
            <w:r>
              <w:rPr>
                <w:noProof/>
                <w:webHidden/>
              </w:rPr>
              <w:fldChar w:fldCharType="end"/>
            </w:r>
          </w:hyperlink>
        </w:p>
        <w:p w:rsidR="00FB637A" w:rsidRDefault="00FB637A">
          <w:pPr>
            <w:pStyle w:val="TOC3"/>
            <w:tabs>
              <w:tab w:val="right" w:leader="dot" w:pos="8630"/>
            </w:tabs>
            <w:rPr>
              <w:noProof/>
            </w:rPr>
          </w:pPr>
          <w:hyperlink w:anchor="_Toc348948401" w:history="1">
            <w:r w:rsidRPr="00D51899">
              <w:rPr>
                <w:rStyle w:val="Hyperlink"/>
                <w:noProof/>
              </w:rPr>
              <w:t>5.1. Vides aizsardzība</w:t>
            </w:r>
            <w:r>
              <w:rPr>
                <w:noProof/>
                <w:webHidden/>
              </w:rPr>
              <w:tab/>
            </w:r>
            <w:r>
              <w:rPr>
                <w:noProof/>
                <w:webHidden/>
              </w:rPr>
              <w:fldChar w:fldCharType="begin"/>
            </w:r>
            <w:r>
              <w:rPr>
                <w:noProof/>
                <w:webHidden/>
              </w:rPr>
              <w:instrText xml:space="preserve"> PAGEREF _Toc348948401 \h </w:instrText>
            </w:r>
            <w:r>
              <w:rPr>
                <w:noProof/>
                <w:webHidden/>
              </w:rPr>
            </w:r>
            <w:r>
              <w:rPr>
                <w:noProof/>
                <w:webHidden/>
              </w:rPr>
              <w:fldChar w:fldCharType="separate"/>
            </w:r>
            <w:r>
              <w:rPr>
                <w:noProof/>
                <w:webHidden/>
              </w:rPr>
              <w:t>92</w:t>
            </w:r>
            <w:r>
              <w:rPr>
                <w:noProof/>
                <w:webHidden/>
              </w:rPr>
              <w:fldChar w:fldCharType="end"/>
            </w:r>
          </w:hyperlink>
        </w:p>
        <w:p w:rsidR="00FB637A" w:rsidRDefault="00FB637A">
          <w:pPr>
            <w:pStyle w:val="TOC3"/>
            <w:tabs>
              <w:tab w:val="right" w:leader="dot" w:pos="8630"/>
            </w:tabs>
            <w:rPr>
              <w:noProof/>
            </w:rPr>
          </w:pPr>
          <w:hyperlink w:anchor="_Toc348948402" w:history="1">
            <w:r w:rsidRPr="00D51899">
              <w:rPr>
                <w:rStyle w:val="Hyperlink"/>
                <w:noProof/>
              </w:rPr>
              <w:t>5.2. Dabas aizsardzība</w:t>
            </w:r>
            <w:r>
              <w:rPr>
                <w:noProof/>
                <w:webHidden/>
              </w:rPr>
              <w:tab/>
            </w:r>
            <w:r>
              <w:rPr>
                <w:noProof/>
                <w:webHidden/>
              </w:rPr>
              <w:fldChar w:fldCharType="begin"/>
            </w:r>
            <w:r>
              <w:rPr>
                <w:noProof/>
                <w:webHidden/>
              </w:rPr>
              <w:instrText xml:space="preserve"> PAGEREF _Toc348948402 \h </w:instrText>
            </w:r>
            <w:r>
              <w:rPr>
                <w:noProof/>
                <w:webHidden/>
              </w:rPr>
            </w:r>
            <w:r>
              <w:rPr>
                <w:noProof/>
                <w:webHidden/>
              </w:rPr>
              <w:fldChar w:fldCharType="separate"/>
            </w:r>
            <w:r>
              <w:rPr>
                <w:noProof/>
                <w:webHidden/>
              </w:rPr>
              <w:t>92</w:t>
            </w:r>
            <w:r>
              <w:rPr>
                <w:noProof/>
                <w:webHidden/>
              </w:rPr>
              <w:fldChar w:fldCharType="end"/>
            </w:r>
          </w:hyperlink>
        </w:p>
        <w:p w:rsidR="00FB637A" w:rsidRDefault="00FB637A">
          <w:pPr>
            <w:pStyle w:val="TOC3"/>
            <w:tabs>
              <w:tab w:val="right" w:leader="dot" w:pos="8630"/>
            </w:tabs>
            <w:rPr>
              <w:noProof/>
            </w:rPr>
          </w:pPr>
          <w:hyperlink w:anchor="_Toc348948403" w:history="1">
            <w:r w:rsidRPr="00D51899">
              <w:rPr>
                <w:rStyle w:val="Hyperlink"/>
                <w:rFonts w:eastAsia="Times New Roman"/>
                <w:noProof/>
              </w:rPr>
              <w:t>5.3. Klimata pārmaiņas</w:t>
            </w:r>
            <w:r>
              <w:rPr>
                <w:noProof/>
                <w:webHidden/>
              </w:rPr>
              <w:tab/>
            </w:r>
            <w:r>
              <w:rPr>
                <w:noProof/>
                <w:webHidden/>
              </w:rPr>
              <w:fldChar w:fldCharType="begin"/>
            </w:r>
            <w:r>
              <w:rPr>
                <w:noProof/>
                <w:webHidden/>
              </w:rPr>
              <w:instrText xml:space="preserve"> PAGEREF _Toc348948403 \h </w:instrText>
            </w:r>
            <w:r>
              <w:rPr>
                <w:noProof/>
                <w:webHidden/>
              </w:rPr>
            </w:r>
            <w:r>
              <w:rPr>
                <w:noProof/>
                <w:webHidden/>
              </w:rPr>
              <w:fldChar w:fldCharType="separate"/>
            </w:r>
            <w:r>
              <w:rPr>
                <w:noProof/>
                <w:webHidden/>
              </w:rPr>
              <w:t>93</w:t>
            </w:r>
            <w:r>
              <w:rPr>
                <w:noProof/>
                <w:webHidden/>
              </w:rPr>
              <w:fldChar w:fldCharType="end"/>
            </w:r>
          </w:hyperlink>
        </w:p>
        <w:p w:rsidR="00FB637A" w:rsidRDefault="00FB637A">
          <w:pPr>
            <w:pStyle w:val="TOC3"/>
            <w:tabs>
              <w:tab w:val="right" w:leader="dot" w:pos="8630"/>
            </w:tabs>
            <w:rPr>
              <w:noProof/>
            </w:rPr>
          </w:pPr>
          <w:hyperlink w:anchor="_Toc348948404" w:history="1">
            <w:r w:rsidRPr="00D51899">
              <w:rPr>
                <w:rStyle w:val="Hyperlink"/>
                <w:rFonts w:eastAsia="Times New Roman"/>
                <w:noProof/>
              </w:rPr>
              <w:t>5.4. Ieguldījumi infrastruktūras attīstībā</w:t>
            </w:r>
            <w:r>
              <w:rPr>
                <w:noProof/>
                <w:webHidden/>
              </w:rPr>
              <w:tab/>
            </w:r>
            <w:r>
              <w:rPr>
                <w:noProof/>
                <w:webHidden/>
              </w:rPr>
              <w:fldChar w:fldCharType="begin"/>
            </w:r>
            <w:r>
              <w:rPr>
                <w:noProof/>
                <w:webHidden/>
              </w:rPr>
              <w:instrText xml:space="preserve"> PAGEREF _Toc348948404 \h </w:instrText>
            </w:r>
            <w:r>
              <w:rPr>
                <w:noProof/>
                <w:webHidden/>
              </w:rPr>
            </w:r>
            <w:r>
              <w:rPr>
                <w:noProof/>
                <w:webHidden/>
              </w:rPr>
              <w:fldChar w:fldCharType="separate"/>
            </w:r>
            <w:r>
              <w:rPr>
                <w:noProof/>
                <w:webHidden/>
              </w:rPr>
              <w:t>93</w:t>
            </w:r>
            <w:r>
              <w:rPr>
                <w:noProof/>
                <w:webHidden/>
              </w:rPr>
              <w:fldChar w:fldCharType="end"/>
            </w:r>
          </w:hyperlink>
        </w:p>
        <w:p w:rsidR="00FB637A" w:rsidRDefault="00FB637A">
          <w:pPr>
            <w:pStyle w:val="TOC1"/>
            <w:tabs>
              <w:tab w:val="right" w:leader="dot" w:pos="8630"/>
            </w:tabs>
            <w:rPr>
              <w:noProof/>
            </w:rPr>
          </w:pPr>
          <w:hyperlink w:anchor="_Toc348948405" w:history="1">
            <w:r w:rsidRPr="00D51899">
              <w:rPr>
                <w:rStyle w:val="Hyperlink"/>
                <w:noProof/>
              </w:rPr>
              <w:t>IV. Pārvaldība</w:t>
            </w:r>
            <w:r>
              <w:rPr>
                <w:noProof/>
                <w:webHidden/>
              </w:rPr>
              <w:tab/>
            </w:r>
            <w:r>
              <w:rPr>
                <w:noProof/>
                <w:webHidden/>
              </w:rPr>
              <w:fldChar w:fldCharType="begin"/>
            </w:r>
            <w:r>
              <w:rPr>
                <w:noProof/>
                <w:webHidden/>
              </w:rPr>
              <w:instrText xml:space="preserve"> PAGEREF _Toc348948405 \h </w:instrText>
            </w:r>
            <w:r>
              <w:rPr>
                <w:noProof/>
                <w:webHidden/>
              </w:rPr>
            </w:r>
            <w:r>
              <w:rPr>
                <w:noProof/>
                <w:webHidden/>
              </w:rPr>
              <w:fldChar w:fldCharType="separate"/>
            </w:r>
            <w:r>
              <w:rPr>
                <w:noProof/>
                <w:webHidden/>
              </w:rPr>
              <w:t>95</w:t>
            </w:r>
            <w:r>
              <w:rPr>
                <w:noProof/>
                <w:webHidden/>
              </w:rPr>
              <w:fldChar w:fldCharType="end"/>
            </w:r>
          </w:hyperlink>
        </w:p>
        <w:p w:rsidR="00FB637A" w:rsidRDefault="00FB637A">
          <w:pPr>
            <w:pStyle w:val="TOC2"/>
            <w:tabs>
              <w:tab w:val="left" w:pos="660"/>
              <w:tab w:val="right" w:leader="dot" w:pos="8630"/>
            </w:tabs>
            <w:rPr>
              <w:noProof/>
            </w:rPr>
          </w:pPr>
          <w:hyperlink w:anchor="_Toc348948406" w:history="1">
            <w:r w:rsidRPr="00D51899">
              <w:rPr>
                <w:rStyle w:val="Hyperlink"/>
                <w:noProof/>
              </w:rPr>
              <w:t>1.</w:t>
            </w:r>
            <w:r>
              <w:rPr>
                <w:noProof/>
              </w:rPr>
              <w:tab/>
            </w:r>
            <w:r w:rsidRPr="00D51899">
              <w:rPr>
                <w:rStyle w:val="Hyperlink"/>
                <w:noProof/>
              </w:rPr>
              <w:t>Tiesiskuma stiprināšana</w:t>
            </w:r>
            <w:r>
              <w:rPr>
                <w:noProof/>
                <w:webHidden/>
              </w:rPr>
              <w:tab/>
            </w:r>
            <w:r>
              <w:rPr>
                <w:noProof/>
                <w:webHidden/>
              </w:rPr>
              <w:fldChar w:fldCharType="begin"/>
            </w:r>
            <w:r>
              <w:rPr>
                <w:noProof/>
                <w:webHidden/>
              </w:rPr>
              <w:instrText xml:space="preserve"> PAGEREF _Toc348948406 \h </w:instrText>
            </w:r>
            <w:r>
              <w:rPr>
                <w:noProof/>
                <w:webHidden/>
              </w:rPr>
            </w:r>
            <w:r>
              <w:rPr>
                <w:noProof/>
                <w:webHidden/>
              </w:rPr>
              <w:fldChar w:fldCharType="separate"/>
            </w:r>
            <w:r>
              <w:rPr>
                <w:noProof/>
                <w:webHidden/>
              </w:rPr>
              <w:t>95</w:t>
            </w:r>
            <w:r>
              <w:rPr>
                <w:noProof/>
                <w:webHidden/>
              </w:rPr>
              <w:fldChar w:fldCharType="end"/>
            </w:r>
          </w:hyperlink>
        </w:p>
        <w:p w:rsidR="00FB637A" w:rsidRDefault="00FB637A">
          <w:pPr>
            <w:pStyle w:val="TOC3"/>
            <w:tabs>
              <w:tab w:val="left" w:pos="1100"/>
              <w:tab w:val="right" w:leader="dot" w:pos="8630"/>
            </w:tabs>
            <w:rPr>
              <w:noProof/>
            </w:rPr>
          </w:pPr>
          <w:hyperlink w:anchor="_Toc348948407" w:history="1">
            <w:r w:rsidRPr="00D51899">
              <w:rPr>
                <w:rStyle w:val="Hyperlink"/>
                <w:rFonts w:cs="Times New Roman"/>
                <w:noProof/>
              </w:rPr>
              <w:t>1.1.</w:t>
            </w:r>
            <w:r>
              <w:rPr>
                <w:noProof/>
              </w:rPr>
              <w:tab/>
            </w:r>
            <w:r w:rsidRPr="00D51899">
              <w:rPr>
                <w:rStyle w:val="Hyperlink"/>
                <w:noProof/>
              </w:rPr>
              <w:t>Likumdošanas pilnveide</w:t>
            </w:r>
            <w:r>
              <w:rPr>
                <w:noProof/>
                <w:webHidden/>
              </w:rPr>
              <w:tab/>
            </w:r>
            <w:r>
              <w:rPr>
                <w:noProof/>
                <w:webHidden/>
              </w:rPr>
              <w:fldChar w:fldCharType="begin"/>
            </w:r>
            <w:r>
              <w:rPr>
                <w:noProof/>
                <w:webHidden/>
              </w:rPr>
              <w:instrText xml:space="preserve"> PAGEREF _Toc348948407 \h </w:instrText>
            </w:r>
            <w:r>
              <w:rPr>
                <w:noProof/>
                <w:webHidden/>
              </w:rPr>
            </w:r>
            <w:r>
              <w:rPr>
                <w:noProof/>
                <w:webHidden/>
              </w:rPr>
              <w:fldChar w:fldCharType="separate"/>
            </w:r>
            <w:r>
              <w:rPr>
                <w:noProof/>
                <w:webHidden/>
              </w:rPr>
              <w:t>95</w:t>
            </w:r>
            <w:r>
              <w:rPr>
                <w:noProof/>
                <w:webHidden/>
              </w:rPr>
              <w:fldChar w:fldCharType="end"/>
            </w:r>
          </w:hyperlink>
        </w:p>
        <w:p w:rsidR="00FB637A" w:rsidRDefault="00FB637A">
          <w:pPr>
            <w:pStyle w:val="TOC3"/>
            <w:tabs>
              <w:tab w:val="right" w:leader="dot" w:pos="8630"/>
            </w:tabs>
            <w:rPr>
              <w:noProof/>
            </w:rPr>
          </w:pPr>
          <w:hyperlink w:anchor="_Toc348948408" w:history="1">
            <w:r w:rsidRPr="00D51899">
              <w:rPr>
                <w:rStyle w:val="Hyperlink"/>
                <w:noProof/>
              </w:rPr>
              <w:t>1.2. Tiesu darba efektivizācija</w:t>
            </w:r>
            <w:r>
              <w:rPr>
                <w:noProof/>
                <w:webHidden/>
              </w:rPr>
              <w:tab/>
            </w:r>
            <w:r>
              <w:rPr>
                <w:noProof/>
                <w:webHidden/>
              </w:rPr>
              <w:fldChar w:fldCharType="begin"/>
            </w:r>
            <w:r>
              <w:rPr>
                <w:noProof/>
                <w:webHidden/>
              </w:rPr>
              <w:instrText xml:space="preserve"> PAGEREF _Toc348948408 \h </w:instrText>
            </w:r>
            <w:r>
              <w:rPr>
                <w:noProof/>
                <w:webHidden/>
              </w:rPr>
            </w:r>
            <w:r>
              <w:rPr>
                <w:noProof/>
                <w:webHidden/>
              </w:rPr>
              <w:fldChar w:fldCharType="separate"/>
            </w:r>
            <w:r>
              <w:rPr>
                <w:noProof/>
                <w:webHidden/>
              </w:rPr>
              <w:t>95</w:t>
            </w:r>
            <w:r>
              <w:rPr>
                <w:noProof/>
                <w:webHidden/>
              </w:rPr>
              <w:fldChar w:fldCharType="end"/>
            </w:r>
          </w:hyperlink>
        </w:p>
        <w:p w:rsidR="00FB637A" w:rsidRDefault="00FB637A">
          <w:pPr>
            <w:pStyle w:val="TOC3"/>
            <w:tabs>
              <w:tab w:val="right" w:leader="dot" w:pos="8630"/>
            </w:tabs>
            <w:rPr>
              <w:noProof/>
            </w:rPr>
          </w:pPr>
          <w:hyperlink w:anchor="_Toc348948409" w:history="1">
            <w:r w:rsidRPr="00D51899">
              <w:rPr>
                <w:rStyle w:val="Hyperlink"/>
                <w:noProof/>
              </w:rPr>
              <w:t>1.3. Komerctiesiskās vides sakārtošana</w:t>
            </w:r>
            <w:r>
              <w:rPr>
                <w:noProof/>
                <w:webHidden/>
              </w:rPr>
              <w:tab/>
            </w:r>
            <w:r>
              <w:rPr>
                <w:noProof/>
                <w:webHidden/>
              </w:rPr>
              <w:fldChar w:fldCharType="begin"/>
            </w:r>
            <w:r>
              <w:rPr>
                <w:noProof/>
                <w:webHidden/>
              </w:rPr>
              <w:instrText xml:space="preserve"> PAGEREF _Toc348948409 \h </w:instrText>
            </w:r>
            <w:r>
              <w:rPr>
                <w:noProof/>
                <w:webHidden/>
              </w:rPr>
            </w:r>
            <w:r>
              <w:rPr>
                <w:noProof/>
                <w:webHidden/>
              </w:rPr>
              <w:fldChar w:fldCharType="separate"/>
            </w:r>
            <w:r>
              <w:rPr>
                <w:noProof/>
                <w:webHidden/>
              </w:rPr>
              <w:t>97</w:t>
            </w:r>
            <w:r>
              <w:rPr>
                <w:noProof/>
                <w:webHidden/>
              </w:rPr>
              <w:fldChar w:fldCharType="end"/>
            </w:r>
          </w:hyperlink>
        </w:p>
        <w:p w:rsidR="00FB637A" w:rsidRDefault="00FB637A">
          <w:pPr>
            <w:pStyle w:val="TOC3"/>
            <w:tabs>
              <w:tab w:val="right" w:leader="dot" w:pos="8630"/>
            </w:tabs>
            <w:rPr>
              <w:noProof/>
            </w:rPr>
          </w:pPr>
          <w:hyperlink w:anchor="_Toc348948410" w:history="1">
            <w:r w:rsidRPr="00D51899">
              <w:rPr>
                <w:rStyle w:val="Hyperlink"/>
                <w:noProof/>
              </w:rPr>
              <w:t>1.4. Kadastrālās vērtēšanas sistēmas pilnveide</w:t>
            </w:r>
            <w:r>
              <w:rPr>
                <w:noProof/>
                <w:webHidden/>
              </w:rPr>
              <w:tab/>
            </w:r>
            <w:r>
              <w:rPr>
                <w:noProof/>
                <w:webHidden/>
              </w:rPr>
              <w:fldChar w:fldCharType="begin"/>
            </w:r>
            <w:r>
              <w:rPr>
                <w:noProof/>
                <w:webHidden/>
              </w:rPr>
              <w:instrText xml:space="preserve"> PAGEREF _Toc348948410 \h </w:instrText>
            </w:r>
            <w:r>
              <w:rPr>
                <w:noProof/>
                <w:webHidden/>
              </w:rPr>
            </w:r>
            <w:r>
              <w:rPr>
                <w:noProof/>
                <w:webHidden/>
              </w:rPr>
              <w:fldChar w:fldCharType="separate"/>
            </w:r>
            <w:r>
              <w:rPr>
                <w:noProof/>
                <w:webHidden/>
              </w:rPr>
              <w:t>97</w:t>
            </w:r>
            <w:r>
              <w:rPr>
                <w:noProof/>
                <w:webHidden/>
              </w:rPr>
              <w:fldChar w:fldCharType="end"/>
            </w:r>
          </w:hyperlink>
        </w:p>
        <w:p w:rsidR="00FB637A" w:rsidRDefault="00FB637A">
          <w:pPr>
            <w:pStyle w:val="TOC3"/>
            <w:tabs>
              <w:tab w:val="right" w:leader="dot" w:pos="8630"/>
            </w:tabs>
            <w:rPr>
              <w:noProof/>
            </w:rPr>
          </w:pPr>
          <w:hyperlink w:anchor="_Toc348948411" w:history="1">
            <w:r w:rsidRPr="00D51899">
              <w:rPr>
                <w:rStyle w:val="Hyperlink"/>
                <w:noProof/>
              </w:rPr>
              <w:t>1.5. Probācijas funkcijas atjaunošana</w:t>
            </w:r>
            <w:r>
              <w:rPr>
                <w:noProof/>
                <w:webHidden/>
              </w:rPr>
              <w:tab/>
            </w:r>
            <w:r>
              <w:rPr>
                <w:noProof/>
                <w:webHidden/>
              </w:rPr>
              <w:fldChar w:fldCharType="begin"/>
            </w:r>
            <w:r>
              <w:rPr>
                <w:noProof/>
                <w:webHidden/>
              </w:rPr>
              <w:instrText xml:space="preserve"> PAGEREF _Toc348948411 \h </w:instrText>
            </w:r>
            <w:r>
              <w:rPr>
                <w:noProof/>
                <w:webHidden/>
              </w:rPr>
            </w:r>
            <w:r>
              <w:rPr>
                <w:noProof/>
                <w:webHidden/>
              </w:rPr>
              <w:fldChar w:fldCharType="separate"/>
            </w:r>
            <w:r>
              <w:rPr>
                <w:noProof/>
                <w:webHidden/>
              </w:rPr>
              <w:t>98</w:t>
            </w:r>
            <w:r>
              <w:rPr>
                <w:noProof/>
                <w:webHidden/>
              </w:rPr>
              <w:fldChar w:fldCharType="end"/>
            </w:r>
          </w:hyperlink>
        </w:p>
        <w:p w:rsidR="00FB637A" w:rsidRDefault="00FB637A">
          <w:pPr>
            <w:pStyle w:val="TOC3"/>
            <w:tabs>
              <w:tab w:val="right" w:leader="dot" w:pos="8630"/>
            </w:tabs>
            <w:rPr>
              <w:noProof/>
            </w:rPr>
          </w:pPr>
          <w:hyperlink w:anchor="_Toc348948412" w:history="1">
            <w:r w:rsidRPr="00D51899">
              <w:rPr>
                <w:rStyle w:val="Hyperlink"/>
                <w:noProof/>
              </w:rPr>
              <w:t>1.6. Valsts kompensācijas cietušajiem</w:t>
            </w:r>
            <w:r>
              <w:rPr>
                <w:noProof/>
                <w:webHidden/>
              </w:rPr>
              <w:tab/>
            </w:r>
            <w:r>
              <w:rPr>
                <w:noProof/>
                <w:webHidden/>
              </w:rPr>
              <w:fldChar w:fldCharType="begin"/>
            </w:r>
            <w:r>
              <w:rPr>
                <w:noProof/>
                <w:webHidden/>
              </w:rPr>
              <w:instrText xml:space="preserve"> PAGEREF _Toc348948412 \h </w:instrText>
            </w:r>
            <w:r>
              <w:rPr>
                <w:noProof/>
                <w:webHidden/>
              </w:rPr>
            </w:r>
            <w:r>
              <w:rPr>
                <w:noProof/>
                <w:webHidden/>
              </w:rPr>
              <w:fldChar w:fldCharType="separate"/>
            </w:r>
            <w:r>
              <w:rPr>
                <w:noProof/>
                <w:webHidden/>
              </w:rPr>
              <w:t>98</w:t>
            </w:r>
            <w:r>
              <w:rPr>
                <w:noProof/>
                <w:webHidden/>
              </w:rPr>
              <w:fldChar w:fldCharType="end"/>
            </w:r>
          </w:hyperlink>
        </w:p>
        <w:p w:rsidR="00FB637A" w:rsidRDefault="00FB637A">
          <w:pPr>
            <w:pStyle w:val="TOC3"/>
            <w:tabs>
              <w:tab w:val="right" w:leader="dot" w:pos="8630"/>
            </w:tabs>
            <w:rPr>
              <w:noProof/>
            </w:rPr>
          </w:pPr>
          <w:hyperlink w:anchor="_Toc348948413" w:history="1">
            <w:r w:rsidRPr="00D51899">
              <w:rPr>
                <w:rStyle w:val="Hyperlink"/>
                <w:noProof/>
              </w:rPr>
              <w:t>1.7. Cilvēktiesību aizsardzība</w:t>
            </w:r>
            <w:r>
              <w:rPr>
                <w:noProof/>
                <w:webHidden/>
              </w:rPr>
              <w:tab/>
            </w:r>
            <w:r>
              <w:rPr>
                <w:noProof/>
                <w:webHidden/>
              </w:rPr>
              <w:fldChar w:fldCharType="begin"/>
            </w:r>
            <w:r>
              <w:rPr>
                <w:noProof/>
                <w:webHidden/>
              </w:rPr>
              <w:instrText xml:space="preserve"> PAGEREF _Toc348948413 \h </w:instrText>
            </w:r>
            <w:r>
              <w:rPr>
                <w:noProof/>
                <w:webHidden/>
              </w:rPr>
            </w:r>
            <w:r>
              <w:rPr>
                <w:noProof/>
                <w:webHidden/>
              </w:rPr>
              <w:fldChar w:fldCharType="separate"/>
            </w:r>
            <w:r>
              <w:rPr>
                <w:noProof/>
                <w:webHidden/>
              </w:rPr>
              <w:t>98</w:t>
            </w:r>
            <w:r>
              <w:rPr>
                <w:noProof/>
                <w:webHidden/>
              </w:rPr>
              <w:fldChar w:fldCharType="end"/>
            </w:r>
          </w:hyperlink>
        </w:p>
        <w:p w:rsidR="00FB637A" w:rsidRDefault="00FB637A">
          <w:pPr>
            <w:pStyle w:val="TOC3"/>
            <w:tabs>
              <w:tab w:val="right" w:leader="dot" w:pos="8630"/>
            </w:tabs>
            <w:rPr>
              <w:noProof/>
            </w:rPr>
          </w:pPr>
          <w:hyperlink w:anchor="_Toc348948414" w:history="1">
            <w:r w:rsidRPr="00D51899">
              <w:rPr>
                <w:rStyle w:val="Hyperlink"/>
                <w:noProof/>
              </w:rPr>
              <w:t>1.8. Laulību reģistrēšanas pilnveide</w:t>
            </w:r>
            <w:r>
              <w:rPr>
                <w:noProof/>
                <w:webHidden/>
              </w:rPr>
              <w:tab/>
            </w:r>
            <w:r>
              <w:rPr>
                <w:noProof/>
                <w:webHidden/>
              </w:rPr>
              <w:fldChar w:fldCharType="begin"/>
            </w:r>
            <w:r>
              <w:rPr>
                <w:noProof/>
                <w:webHidden/>
              </w:rPr>
              <w:instrText xml:space="preserve"> PAGEREF _Toc348948414 \h </w:instrText>
            </w:r>
            <w:r>
              <w:rPr>
                <w:noProof/>
                <w:webHidden/>
              </w:rPr>
            </w:r>
            <w:r>
              <w:rPr>
                <w:noProof/>
                <w:webHidden/>
              </w:rPr>
              <w:fldChar w:fldCharType="separate"/>
            </w:r>
            <w:r>
              <w:rPr>
                <w:noProof/>
                <w:webHidden/>
              </w:rPr>
              <w:t>99</w:t>
            </w:r>
            <w:r>
              <w:rPr>
                <w:noProof/>
                <w:webHidden/>
              </w:rPr>
              <w:fldChar w:fldCharType="end"/>
            </w:r>
          </w:hyperlink>
        </w:p>
        <w:p w:rsidR="00FB637A" w:rsidRDefault="00FB637A">
          <w:pPr>
            <w:pStyle w:val="TOC3"/>
            <w:tabs>
              <w:tab w:val="right" w:leader="dot" w:pos="8630"/>
            </w:tabs>
            <w:rPr>
              <w:noProof/>
            </w:rPr>
          </w:pPr>
          <w:hyperlink w:anchor="_Toc348948415" w:history="1">
            <w:r w:rsidRPr="00D51899">
              <w:rPr>
                <w:rStyle w:val="Hyperlink"/>
                <w:noProof/>
              </w:rPr>
              <w:t xml:space="preserve">1.9. </w:t>
            </w:r>
            <w:r w:rsidRPr="00D51899">
              <w:rPr>
                <w:rStyle w:val="Hyperlink"/>
                <w:rFonts w:eastAsia="Times New Roman"/>
                <w:noProof/>
              </w:rPr>
              <w:t>Korupcijas novēršana</w:t>
            </w:r>
            <w:r>
              <w:rPr>
                <w:noProof/>
                <w:webHidden/>
              </w:rPr>
              <w:tab/>
            </w:r>
            <w:r>
              <w:rPr>
                <w:noProof/>
                <w:webHidden/>
              </w:rPr>
              <w:fldChar w:fldCharType="begin"/>
            </w:r>
            <w:r>
              <w:rPr>
                <w:noProof/>
                <w:webHidden/>
              </w:rPr>
              <w:instrText xml:space="preserve"> PAGEREF _Toc348948415 \h </w:instrText>
            </w:r>
            <w:r>
              <w:rPr>
                <w:noProof/>
                <w:webHidden/>
              </w:rPr>
            </w:r>
            <w:r>
              <w:rPr>
                <w:noProof/>
                <w:webHidden/>
              </w:rPr>
              <w:fldChar w:fldCharType="separate"/>
            </w:r>
            <w:r>
              <w:rPr>
                <w:noProof/>
                <w:webHidden/>
              </w:rPr>
              <w:t>99</w:t>
            </w:r>
            <w:r>
              <w:rPr>
                <w:noProof/>
                <w:webHidden/>
              </w:rPr>
              <w:fldChar w:fldCharType="end"/>
            </w:r>
          </w:hyperlink>
        </w:p>
        <w:p w:rsidR="00FB637A" w:rsidRDefault="00FB637A">
          <w:pPr>
            <w:pStyle w:val="TOC3"/>
            <w:tabs>
              <w:tab w:val="right" w:leader="dot" w:pos="8630"/>
            </w:tabs>
            <w:rPr>
              <w:noProof/>
            </w:rPr>
          </w:pPr>
          <w:hyperlink w:anchor="_Toc348948416" w:history="1">
            <w:r w:rsidRPr="00D51899">
              <w:rPr>
                <w:rStyle w:val="Hyperlink"/>
                <w:noProof/>
              </w:rPr>
              <w:t>1.10. Korupcijas apkarošana</w:t>
            </w:r>
            <w:r>
              <w:rPr>
                <w:noProof/>
                <w:webHidden/>
              </w:rPr>
              <w:tab/>
            </w:r>
            <w:r>
              <w:rPr>
                <w:noProof/>
                <w:webHidden/>
              </w:rPr>
              <w:fldChar w:fldCharType="begin"/>
            </w:r>
            <w:r>
              <w:rPr>
                <w:noProof/>
                <w:webHidden/>
              </w:rPr>
              <w:instrText xml:space="preserve"> PAGEREF _Toc348948416 \h </w:instrText>
            </w:r>
            <w:r>
              <w:rPr>
                <w:noProof/>
                <w:webHidden/>
              </w:rPr>
            </w:r>
            <w:r>
              <w:rPr>
                <w:noProof/>
                <w:webHidden/>
              </w:rPr>
              <w:fldChar w:fldCharType="separate"/>
            </w:r>
            <w:r>
              <w:rPr>
                <w:noProof/>
                <w:webHidden/>
              </w:rPr>
              <w:t>99</w:t>
            </w:r>
            <w:r>
              <w:rPr>
                <w:noProof/>
                <w:webHidden/>
              </w:rPr>
              <w:fldChar w:fldCharType="end"/>
            </w:r>
          </w:hyperlink>
        </w:p>
        <w:p w:rsidR="00FB637A" w:rsidRDefault="00FB637A">
          <w:pPr>
            <w:pStyle w:val="TOC3"/>
            <w:tabs>
              <w:tab w:val="right" w:leader="dot" w:pos="8630"/>
            </w:tabs>
            <w:rPr>
              <w:noProof/>
            </w:rPr>
          </w:pPr>
          <w:hyperlink w:anchor="_Toc348948417" w:history="1">
            <w:r w:rsidRPr="00D51899">
              <w:rPr>
                <w:rStyle w:val="Hyperlink"/>
                <w:rFonts w:eastAsia="Times New Roman"/>
                <w:noProof/>
              </w:rPr>
              <w:t>1.11. Politisko partiju finansēšana un to darbības uzraudzība</w:t>
            </w:r>
            <w:r>
              <w:rPr>
                <w:noProof/>
                <w:webHidden/>
              </w:rPr>
              <w:tab/>
            </w:r>
            <w:r>
              <w:rPr>
                <w:noProof/>
                <w:webHidden/>
              </w:rPr>
              <w:fldChar w:fldCharType="begin"/>
            </w:r>
            <w:r>
              <w:rPr>
                <w:noProof/>
                <w:webHidden/>
              </w:rPr>
              <w:instrText xml:space="preserve"> PAGEREF _Toc348948417 \h </w:instrText>
            </w:r>
            <w:r>
              <w:rPr>
                <w:noProof/>
                <w:webHidden/>
              </w:rPr>
            </w:r>
            <w:r>
              <w:rPr>
                <w:noProof/>
                <w:webHidden/>
              </w:rPr>
              <w:fldChar w:fldCharType="separate"/>
            </w:r>
            <w:r>
              <w:rPr>
                <w:noProof/>
                <w:webHidden/>
              </w:rPr>
              <w:t>99</w:t>
            </w:r>
            <w:r>
              <w:rPr>
                <w:noProof/>
                <w:webHidden/>
              </w:rPr>
              <w:fldChar w:fldCharType="end"/>
            </w:r>
          </w:hyperlink>
        </w:p>
        <w:p w:rsidR="00FB637A" w:rsidRDefault="00FB637A">
          <w:pPr>
            <w:pStyle w:val="TOC3"/>
            <w:tabs>
              <w:tab w:val="right" w:leader="dot" w:pos="8630"/>
            </w:tabs>
            <w:rPr>
              <w:noProof/>
            </w:rPr>
          </w:pPr>
          <w:hyperlink w:anchor="_Toc348948418" w:history="1">
            <w:r w:rsidRPr="00D51899">
              <w:rPr>
                <w:rStyle w:val="Hyperlink"/>
                <w:rFonts w:eastAsia="Times New Roman"/>
                <w:noProof/>
              </w:rPr>
              <w:t>1.12. Valsts amatpersonu darbības kontrole</w:t>
            </w:r>
            <w:r>
              <w:rPr>
                <w:noProof/>
                <w:webHidden/>
              </w:rPr>
              <w:tab/>
            </w:r>
            <w:r>
              <w:rPr>
                <w:noProof/>
                <w:webHidden/>
              </w:rPr>
              <w:fldChar w:fldCharType="begin"/>
            </w:r>
            <w:r>
              <w:rPr>
                <w:noProof/>
                <w:webHidden/>
              </w:rPr>
              <w:instrText xml:space="preserve"> PAGEREF _Toc348948418 \h </w:instrText>
            </w:r>
            <w:r>
              <w:rPr>
                <w:noProof/>
                <w:webHidden/>
              </w:rPr>
            </w:r>
            <w:r>
              <w:rPr>
                <w:noProof/>
                <w:webHidden/>
              </w:rPr>
              <w:fldChar w:fldCharType="separate"/>
            </w:r>
            <w:r>
              <w:rPr>
                <w:noProof/>
                <w:webHidden/>
              </w:rPr>
              <w:t>100</w:t>
            </w:r>
            <w:r>
              <w:rPr>
                <w:noProof/>
                <w:webHidden/>
              </w:rPr>
              <w:fldChar w:fldCharType="end"/>
            </w:r>
          </w:hyperlink>
        </w:p>
        <w:p w:rsidR="00FB637A" w:rsidRDefault="00FB637A">
          <w:pPr>
            <w:pStyle w:val="TOC2"/>
            <w:tabs>
              <w:tab w:val="right" w:leader="dot" w:pos="8630"/>
            </w:tabs>
            <w:rPr>
              <w:noProof/>
            </w:rPr>
          </w:pPr>
          <w:hyperlink w:anchor="_Toc348948419" w:history="1">
            <w:r w:rsidRPr="00D51899">
              <w:rPr>
                <w:rStyle w:val="Hyperlink"/>
                <w:noProof/>
              </w:rPr>
              <w:t>2. Sabiedrības drošība</w:t>
            </w:r>
            <w:r>
              <w:rPr>
                <w:noProof/>
                <w:webHidden/>
              </w:rPr>
              <w:tab/>
            </w:r>
            <w:r>
              <w:rPr>
                <w:noProof/>
                <w:webHidden/>
              </w:rPr>
              <w:fldChar w:fldCharType="begin"/>
            </w:r>
            <w:r>
              <w:rPr>
                <w:noProof/>
                <w:webHidden/>
              </w:rPr>
              <w:instrText xml:space="preserve"> PAGEREF _Toc348948419 \h </w:instrText>
            </w:r>
            <w:r>
              <w:rPr>
                <w:noProof/>
                <w:webHidden/>
              </w:rPr>
            </w:r>
            <w:r>
              <w:rPr>
                <w:noProof/>
                <w:webHidden/>
              </w:rPr>
              <w:fldChar w:fldCharType="separate"/>
            </w:r>
            <w:r>
              <w:rPr>
                <w:noProof/>
                <w:webHidden/>
              </w:rPr>
              <w:t>100</w:t>
            </w:r>
            <w:r>
              <w:rPr>
                <w:noProof/>
                <w:webHidden/>
              </w:rPr>
              <w:fldChar w:fldCharType="end"/>
            </w:r>
          </w:hyperlink>
        </w:p>
        <w:p w:rsidR="00FB637A" w:rsidRDefault="00FB637A">
          <w:pPr>
            <w:pStyle w:val="TOC3"/>
            <w:tabs>
              <w:tab w:val="right" w:leader="dot" w:pos="8630"/>
            </w:tabs>
            <w:rPr>
              <w:noProof/>
            </w:rPr>
          </w:pPr>
          <w:hyperlink w:anchor="_Toc348948420" w:history="1">
            <w:r w:rsidRPr="00D51899">
              <w:rPr>
                <w:rStyle w:val="Hyperlink"/>
                <w:noProof/>
              </w:rPr>
              <w:t>2.1. Drošības un tiesību aizsardzības politika</w:t>
            </w:r>
            <w:r>
              <w:rPr>
                <w:noProof/>
                <w:webHidden/>
              </w:rPr>
              <w:tab/>
            </w:r>
            <w:r>
              <w:rPr>
                <w:noProof/>
                <w:webHidden/>
              </w:rPr>
              <w:fldChar w:fldCharType="begin"/>
            </w:r>
            <w:r>
              <w:rPr>
                <w:noProof/>
                <w:webHidden/>
              </w:rPr>
              <w:instrText xml:space="preserve"> PAGEREF _Toc348948420 \h </w:instrText>
            </w:r>
            <w:r>
              <w:rPr>
                <w:noProof/>
                <w:webHidden/>
              </w:rPr>
            </w:r>
            <w:r>
              <w:rPr>
                <w:noProof/>
                <w:webHidden/>
              </w:rPr>
              <w:fldChar w:fldCharType="separate"/>
            </w:r>
            <w:r>
              <w:rPr>
                <w:noProof/>
                <w:webHidden/>
              </w:rPr>
              <w:t>100</w:t>
            </w:r>
            <w:r>
              <w:rPr>
                <w:noProof/>
                <w:webHidden/>
              </w:rPr>
              <w:fldChar w:fldCharType="end"/>
            </w:r>
          </w:hyperlink>
        </w:p>
        <w:p w:rsidR="00FB637A" w:rsidRDefault="00FB637A">
          <w:pPr>
            <w:pStyle w:val="TOC3"/>
            <w:tabs>
              <w:tab w:val="right" w:leader="dot" w:pos="8630"/>
            </w:tabs>
            <w:rPr>
              <w:noProof/>
            </w:rPr>
          </w:pPr>
          <w:hyperlink w:anchor="_Toc348948421" w:history="1">
            <w:r w:rsidRPr="00D51899">
              <w:rPr>
                <w:rStyle w:val="Hyperlink"/>
                <w:noProof/>
              </w:rPr>
              <w:t>2.2. Kriminālsodu reforma</w:t>
            </w:r>
            <w:r>
              <w:rPr>
                <w:noProof/>
                <w:webHidden/>
              </w:rPr>
              <w:tab/>
            </w:r>
            <w:r>
              <w:rPr>
                <w:noProof/>
                <w:webHidden/>
              </w:rPr>
              <w:fldChar w:fldCharType="begin"/>
            </w:r>
            <w:r>
              <w:rPr>
                <w:noProof/>
                <w:webHidden/>
              </w:rPr>
              <w:instrText xml:space="preserve"> PAGEREF _Toc348948421 \h </w:instrText>
            </w:r>
            <w:r>
              <w:rPr>
                <w:noProof/>
                <w:webHidden/>
              </w:rPr>
            </w:r>
            <w:r>
              <w:rPr>
                <w:noProof/>
                <w:webHidden/>
              </w:rPr>
              <w:fldChar w:fldCharType="separate"/>
            </w:r>
            <w:r>
              <w:rPr>
                <w:noProof/>
                <w:webHidden/>
              </w:rPr>
              <w:t>103</w:t>
            </w:r>
            <w:r>
              <w:rPr>
                <w:noProof/>
                <w:webHidden/>
              </w:rPr>
              <w:fldChar w:fldCharType="end"/>
            </w:r>
          </w:hyperlink>
        </w:p>
        <w:p w:rsidR="00FB637A" w:rsidRDefault="00FB637A">
          <w:pPr>
            <w:pStyle w:val="TOC2"/>
            <w:tabs>
              <w:tab w:val="right" w:leader="dot" w:pos="8630"/>
            </w:tabs>
            <w:rPr>
              <w:noProof/>
            </w:rPr>
          </w:pPr>
          <w:hyperlink w:anchor="_Toc348948422" w:history="1">
            <w:r w:rsidRPr="00D51899">
              <w:rPr>
                <w:rStyle w:val="Hyperlink"/>
                <w:noProof/>
              </w:rPr>
              <w:t>3.Attīstības plānošana</w:t>
            </w:r>
            <w:r>
              <w:rPr>
                <w:noProof/>
                <w:webHidden/>
              </w:rPr>
              <w:tab/>
            </w:r>
            <w:r>
              <w:rPr>
                <w:noProof/>
                <w:webHidden/>
              </w:rPr>
              <w:fldChar w:fldCharType="begin"/>
            </w:r>
            <w:r>
              <w:rPr>
                <w:noProof/>
                <w:webHidden/>
              </w:rPr>
              <w:instrText xml:space="preserve"> PAGEREF _Toc348948422 \h </w:instrText>
            </w:r>
            <w:r>
              <w:rPr>
                <w:noProof/>
                <w:webHidden/>
              </w:rPr>
            </w:r>
            <w:r>
              <w:rPr>
                <w:noProof/>
                <w:webHidden/>
              </w:rPr>
              <w:fldChar w:fldCharType="separate"/>
            </w:r>
            <w:r>
              <w:rPr>
                <w:noProof/>
                <w:webHidden/>
              </w:rPr>
              <w:t>104</w:t>
            </w:r>
            <w:r>
              <w:rPr>
                <w:noProof/>
                <w:webHidden/>
              </w:rPr>
              <w:fldChar w:fldCharType="end"/>
            </w:r>
          </w:hyperlink>
        </w:p>
        <w:p w:rsidR="00FB637A" w:rsidRDefault="00FB637A">
          <w:pPr>
            <w:pStyle w:val="TOC3"/>
            <w:tabs>
              <w:tab w:val="right" w:leader="dot" w:pos="8630"/>
            </w:tabs>
            <w:rPr>
              <w:noProof/>
            </w:rPr>
          </w:pPr>
          <w:hyperlink w:anchor="_Toc348948423" w:history="1">
            <w:r w:rsidRPr="00D51899">
              <w:rPr>
                <w:rStyle w:val="Hyperlink"/>
                <w:noProof/>
              </w:rPr>
              <w:t>3.1. Nacionālā attīstības plāna izstrāde</w:t>
            </w:r>
            <w:r>
              <w:rPr>
                <w:noProof/>
                <w:webHidden/>
              </w:rPr>
              <w:tab/>
            </w:r>
            <w:r>
              <w:rPr>
                <w:noProof/>
                <w:webHidden/>
              </w:rPr>
              <w:fldChar w:fldCharType="begin"/>
            </w:r>
            <w:r>
              <w:rPr>
                <w:noProof/>
                <w:webHidden/>
              </w:rPr>
              <w:instrText xml:space="preserve"> PAGEREF _Toc348948423 \h </w:instrText>
            </w:r>
            <w:r>
              <w:rPr>
                <w:noProof/>
                <w:webHidden/>
              </w:rPr>
            </w:r>
            <w:r>
              <w:rPr>
                <w:noProof/>
                <w:webHidden/>
              </w:rPr>
              <w:fldChar w:fldCharType="separate"/>
            </w:r>
            <w:r>
              <w:rPr>
                <w:noProof/>
                <w:webHidden/>
              </w:rPr>
              <w:t>104</w:t>
            </w:r>
            <w:r>
              <w:rPr>
                <w:noProof/>
                <w:webHidden/>
              </w:rPr>
              <w:fldChar w:fldCharType="end"/>
            </w:r>
          </w:hyperlink>
        </w:p>
        <w:p w:rsidR="00FB637A" w:rsidRDefault="00FB637A">
          <w:pPr>
            <w:pStyle w:val="TOC3"/>
            <w:tabs>
              <w:tab w:val="right" w:leader="dot" w:pos="8630"/>
            </w:tabs>
            <w:rPr>
              <w:noProof/>
            </w:rPr>
          </w:pPr>
          <w:hyperlink w:anchor="_Toc348948424" w:history="1">
            <w:r w:rsidRPr="00D51899">
              <w:rPr>
                <w:rStyle w:val="Hyperlink"/>
                <w:noProof/>
              </w:rPr>
              <w:t>3.2. Attīstības plānošanas sistēmas darbība</w:t>
            </w:r>
            <w:r>
              <w:rPr>
                <w:noProof/>
                <w:webHidden/>
              </w:rPr>
              <w:tab/>
            </w:r>
            <w:r>
              <w:rPr>
                <w:noProof/>
                <w:webHidden/>
              </w:rPr>
              <w:fldChar w:fldCharType="begin"/>
            </w:r>
            <w:r>
              <w:rPr>
                <w:noProof/>
                <w:webHidden/>
              </w:rPr>
              <w:instrText xml:space="preserve"> PAGEREF _Toc348948424 \h </w:instrText>
            </w:r>
            <w:r>
              <w:rPr>
                <w:noProof/>
                <w:webHidden/>
              </w:rPr>
            </w:r>
            <w:r>
              <w:rPr>
                <w:noProof/>
                <w:webHidden/>
              </w:rPr>
              <w:fldChar w:fldCharType="separate"/>
            </w:r>
            <w:r>
              <w:rPr>
                <w:noProof/>
                <w:webHidden/>
              </w:rPr>
              <w:t>107</w:t>
            </w:r>
            <w:r>
              <w:rPr>
                <w:noProof/>
                <w:webHidden/>
              </w:rPr>
              <w:fldChar w:fldCharType="end"/>
            </w:r>
          </w:hyperlink>
        </w:p>
        <w:p w:rsidR="00FB637A" w:rsidRDefault="00FB637A">
          <w:pPr>
            <w:pStyle w:val="TOC2"/>
            <w:tabs>
              <w:tab w:val="right" w:leader="dot" w:pos="8630"/>
            </w:tabs>
            <w:rPr>
              <w:noProof/>
            </w:rPr>
          </w:pPr>
          <w:hyperlink w:anchor="_Toc348948425" w:history="1">
            <w:r w:rsidRPr="00D51899">
              <w:rPr>
                <w:rStyle w:val="Hyperlink"/>
                <w:noProof/>
              </w:rPr>
              <w:t>4.Valsts kapitālsabiedrību pārvaldības reforma</w:t>
            </w:r>
            <w:r>
              <w:rPr>
                <w:noProof/>
                <w:webHidden/>
              </w:rPr>
              <w:tab/>
            </w:r>
            <w:r>
              <w:rPr>
                <w:noProof/>
                <w:webHidden/>
              </w:rPr>
              <w:fldChar w:fldCharType="begin"/>
            </w:r>
            <w:r>
              <w:rPr>
                <w:noProof/>
                <w:webHidden/>
              </w:rPr>
              <w:instrText xml:space="preserve"> PAGEREF _Toc348948425 \h </w:instrText>
            </w:r>
            <w:r>
              <w:rPr>
                <w:noProof/>
                <w:webHidden/>
              </w:rPr>
            </w:r>
            <w:r>
              <w:rPr>
                <w:noProof/>
                <w:webHidden/>
              </w:rPr>
              <w:fldChar w:fldCharType="separate"/>
            </w:r>
            <w:r>
              <w:rPr>
                <w:noProof/>
                <w:webHidden/>
              </w:rPr>
              <w:t>108</w:t>
            </w:r>
            <w:r>
              <w:rPr>
                <w:noProof/>
                <w:webHidden/>
              </w:rPr>
              <w:fldChar w:fldCharType="end"/>
            </w:r>
          </w:hyperlink>
        </w:p>
        <w:p w:rsidR="00FB637A" w:rsidRDefault="00FB637A">
          <w:pPr>
            <w:pStyle w:val="TOC2"/>
            <w:tabs>
              <w:tab w:val="left" w:pos="660"/>
              <w:tab w:val="right" w:leader="dot" w:pos="8630"/>
            </w:tabs>
            <w:rPr>
              <w:noProof/>
            </w:rPr>
          </w:pPr>
          <w:hyperlink w:anchor="_Toc348948426" w:history="1">
            <w:r w:rsidRPr="00D51899">
              <w:rPr>
                <w:rStyle w:val="Hyperlink"/>
                <w:noProof/>
              </w:rPr>
              <w:t>5.</w:t>
            </w:r>
            <w:r>
              <w:rPr>
                <w:noProof/>
              </w:rPr>
              <w:tab/>
            </w:r>
            <w:r w:rsidRPr="00D51899">
              <w:rPr>
                <w:rStyle w:val="Hyperlink"/>
                <w:noProof/>
              </w:rPr>
              <w:t>Gatavošanās Latvijas prezidentūrai ES Padomē</w:t>
            </w:r>
            <w:r>
              <w:rPr>
                <w:noProof/>
                <w:webHidden/>
              </w:rPr>
              <w:tab/>
            </w:r>
            <w:r>
              <w:rPr>
                <w:noProof/>
                <w:webHidden/>
              </w:rPr>
              <w:fldChar w:fldCharType="begin"/>
            </w:r>
            <w:r>
              <w:rPr>
                <w:noProof/>
                <w:webHidden/>
              </w:rPr>
              <w:instrText xml:space="preserve"> PAGEREF _Toc348948426 \h </w:instrText>
            </w:r>
            <w:r>
              <w:rPr>
                <w:noProof/>
                <w:webHidden/>
              </w:rPr>
            </w:r>
            <w:r>
              <w:rPr>
                <w:noProof/>
                <w:webHidden/>
              </w:rPr>
              <w:fldChar w:fldCharType="separate"/>
            </w:r>
            <w:r>
              <w:rPr>
                <w:noProof/>
                <w:webHidden/>
              </w:rPr>
              <w:t>109</w:t>
            </w:r>
            <w:r>
              <w:rPr>
                <w:noProof/>
                <w:webHidden/>
              </w:rPr>
              <w:fldChar w:fldCharType="end"/>
            </w:r>
          </w:hyperlink>
        </w:p>
        <w:p w:rsidR="00FB637A" w:rsidRDefault="00FB637A">
          <w:pPr>
            <w:pStyle w:val="TOC2"/>
            <w:tabs>
              <w:tab w:val="right" w:leader="dot" w:pos="8630"/>
            </w:tabs>
            <w:rPr>
              <w:noProof/>
            </w:rPr>
          </w:pPr>
          <w:hyperlink w:anchor="_Toc348948427" w:history="1">
            <w:r w:rsidRPr="00D51899">
              <w:rPr>
                <w:rStyle w:val="Hyperlink"/>
                <w:noProof/>
              </w:rPr>
              <w:t>6. Valsts pārvaldes efektivitātes uzlabošana</w:t>
            </w:r>
            <w:r>
              <w:rPr>
                <w:noProof/>
                <w:webHidden/>
              </w:rPr>
              <w:tab/>
            </w:r>
            <w:r>
              <w:rPr>
                <w:noProof/>
                <w:webHidden/>
              </w:rPr>
              <w:fldChar w:fldCharType="begin"/>
            </w:r>
            <w:r>
              <w:rPr>
                <w:noProof/>
                <w:webHidden/>
              </w:rPr>
              <w:instrText xml:space="preserve"> PAGEREF _Toc348948427 \h </w:instrText>
            </w:r>
            <w:r>
              <w:rPr>
                <w:noProof/>
                <w:webHidden/>
              </w:rPr>
            </w:r>
            <w:r>
              <w:rPr>
                <w:noProof/>
                <w:webHidden/>
              </w:rPr>
              <w:fldChar w:fldCharType="separate"/>
            </w:r>
            <w:r>
              <w:rPr>
                <w:noProof/>
                <w:webHidden/>
              </w:rPr>
              <w:t>111</w:t>
            </w:r>
            <w:r>
              <w:rPr>
                <w:noProof/>
                <w:webHidden/>
              </w:rPr>
              <w:fldChar w:fldCharType="end"/>
            </w:r>
          </w:hyperlink>
        </w:p>
        <w:p w:rsidR="00FB637A" w:rsidRDefault="00FB637A">
          <w:pPr>
            <w:pStyle w:val="TOC3"/>
            <w:tabs>
              <w:tab w:val="right" w:leader="dot" w:pos="8630"/>
            </w:tabs>
            <w:rPr>
              <w:noProof/>
            </w:rPr>
          </w:pPr>
          <w:hyperlink w:anchor="_Toc348948428" w:history="1">
            <w:r w:rsidRPr="00D51899">
              <w:rPr>
                <w:rStyle w:val="Hyperlink"/>
                <w:noProof/>
              </w:rPr>
              <w:t>6.1. Informācijas aprites uzlabošana</w:t>
            </w:r>
            <w:r>
              <w:rPr>
                <w:noProof/>
                <w:webHidden/>
              </w:rPr>
              <w:tab/>
            </w:r>
            <w:r>
              <w:rPr>
                <w:noProof/>
                <w:webHidden/>
              </w:rPr>
              <w:fldChar w:fldCharType="begin"/>
            </w:r>
            <w:r>
              <w:rPr>
                <w:noProof/>
                <w:webHidden/>
              </w:rPr>
              <w:instrText xml:space="preserve"> PAGEREF _Toc348948428 \h </w:instrText>
            </w:r>
            <w:r>
              <w:rPr>
                <w:noProof/>
                <w:webHidden/>
              </w:rPr>
            </w:r>
            <w:r>
              <w:rPr>
                <w:noProof/>
                <w:webHidden/>
              </w:rPr>
              <w:fldChar w:fldCharType="separate"/>
            </w:r>
            <w:r>
              <w:rPr>
                <w:noProof/>
                <w:webHidden/>
              </w:rPr>
              <w:t>111</w:t>
            </w:r>
            <w:r>
              <w:rPr>
                <w:noProof/>
                <w:webHidden/>
              </w:rPr>
              <w:fldChar w:fldCharType="end"/>
            </w:r>
          </w:hyperlink>
        </w:p>
        <w:p w:rsidR="00FB637A" w:rsidRDefault="00FB637A">
          <w:pPr>
            <w:pStyle w:val="TOC3"/>
            <w:tabs>
              <w:tab w:val="right" w:leader="dot" w:pos="8630"/>
            </w:tabs>
            <w:rPr>
              <w:noProof/>
            </w:rPr>
          </w:pPr>
          <w:hyperlink w:anchor="_Toc348948429" w:history="1">
            <w:r w:rsidRPr="00D51899">
              <w:rPr>
                <w:rStyle w:val="Hyperlink"/>
                <w:noProof/>
              </w:rPr>
              <w:t>6.2.  Administratīvā sloga mazināšana</w:t>
            </w:r>
            <w:r>
              <w:rPr>
                <w:noProof/>
                <w:webHidden/>
              </w:rPr>
              <w:tab/>
            </w:r>
            <w:r>
              <w:rPr>
                <w:noProof/>
                <w:webHidden/>
              </w:rPr>
              <w:fldChar w:fldCharType="begin"/>
            </w:r>
            <w:r>
              <w:rPr>
                <w:noProof/>
                <w:webHidden/>
              </w:rPr>
              <w:instrText xml:space="preserve"> PAGEREF _Toc348948429 \h </w:instrText>
            </w:r>
            <w:r>
              <w:rPr>
                <w:noProof/>
                <w:webHidden/>
              </w:rPr>
            </w:r>
            <w:r>
              <w:rPr>
                <w:noProof/>
                <w:webHidden/>
              </w:rPr>
              <w:fldChar w:fldCharType="separate"/>
            </w:r>
            <w:r>
              <w:rPr>
                <w:noProof/>
                <w:webHidden/>
              </w:rPr>
              <w:t>112</w:t>
            </w:r>
            <w:r>
              <w:rPr>
                <w:noProof/>
                <w:webHidden/>
              </w:rPr>
              <w:fldChar w:fldCharType="end"/>
            </w:r>
          </w:hyperlink>
        </w:p>
        <w:p w:rsidR="00FB637A" w:rsidRDefault="00FB637A">
          <w:pPr>
            <w:pStyle w:val="TOC3"/>
            <w:tabs>
              <w:tab w:val="right" w:leader="dot" w:pos="8630"/>
            </w:tabs>
            <w:rPr>
              <w:noProof/>
            </w:rPr>
          </w:pPr>
          <w:hyperlink w:anchor="_Toc348948430" w:history="1">
            <w:r w:rsidRPr="00D51899">
              <w:rPr>
                <w:rStyle w:val="Hyperlink"/>
                <w:noProof/>
              </w:rPr>
              <w:t>6.3. Publisko pakalpojumu sistēmas pilnveide</w:t>
            </w:r>
            <w:r>
              <w:rPr>
                <w:noProof/>
                <w:webHidden/>
              </w:rPr>
              <w:tab/>
            </w:r>
            <w:r>
              <w:rPr>
                <w:noProof/>
                <w:webHidden/>
              </w:rPr>
              <w:fldChar w:fldCharType="begin"/>
            </w:r>
            <w:r>
              <w:rPr>
                <w:noProof/>
                <w:webHidden/>
              </w:rPr>
              <w:instrText xml:space="preserve"> PAGEREF _Toc348948430 \h </w:instrText>
            </w:r>
            <w:r>
              <w:rPr>
                <w:noProof/>
                <w:webHidden/>
              </w:rPr>
            </w:r>
            <w:r>
              <w:rPr>
                <w:noProof/>
                <w:webHidden/>
              </w:rPr>
              <w:fldChar w:fldCharType="separate"/>
            </w:r>
            <w:r>
              <w:rPr>
                <w:noProof/>
                <w:webHidden/>
              </w:rPr>
              <w:t>113</w:t>
            </w:r>
            <w:r>
              <w:rPr>
                <w:noProof/>
                <w:webHidden/>
              </w:rPr>
              <w:fldChar w:fldCharType="end"/>
            </w:r>
          </w:hyperlink>
        </w:p>
        <w:p w:rsidR="00FB637A" w:rsidRDefault="00FB637A">
          <w:pPr>
            <w:pStyle w:val="TOC3"/>
            <w:tabs>
              <w:tab w:val="right" w:leader="dot" w:pos="8630"/>
            </w:tabs>
            <w:rPr>
              <w:noProof/>
            </w:rPr>
          </w:pPr>
          <w:hyperlink w:anchor="_Toc348948431" w:history="1">
            <w:r w:rsidRPr="00D51899">
              <w:rPr>
                <w:rStyle w:val="Hyperlink"/>
                <w:noProof/>
              </w:rPr>
              <w:t>6.4.  Valsts pārvaldes un cilvēkresursu politika</w:t>
            </w:r>
            <w:r>
              <w:rPr>
                <w:noProof/>
                <w:webHidden/>
              </w:rPr>
              <w:tab/>
            </w:r>
            <w:r>
              <w:rPr>
                <w:noProof/>
                <w:webHidden/>
              </w:rPr>
              <w:fldChar w:fldCharType="begin"/>
            </w:r>
            <w:r>
              <w:rPr>
                <w:noProof/>
                <w:webHidden/>
              </w:rPr>
              <w:instrText xml:space="preserve"> PAGEREF _Toc348948431 \h </w:instrText>
            </w:r>
            <w:r>
              <w:rPr>
                <w:noProof/>
                <w:webHidden/>
              </w:rPr>
            </w:r>
            <w:r>
              <w:rPr>
                <w:noProof/>
                <w:webHidden/>
              </w:rPr>
              <w:fldChar w:fldCharType="separate"/>
            </w:r>
            <w:r>
              <w:rPr>
                <w:noProof/>
                <w:webHidden/>
              </w:rPr>
              <w:t>113</w:t>
            </w:r>
            <w:r>
              <w:rPr>
                <w:noProof/>
                <w:webHidden/>
              </w:rPr>
              <w:fldChar w:fldCharType="end"/>
            </w:r>
          </w:hyperlink>
        </w:p>
        <w:p w:rsidR="00FB637A" w:rsidRDefault="00FB637A">
          <w:pPr>
            <w:pStyle w:val="TOC1"/>
            <w:tabs>
              <w:tab w:val="right" w:leader="dot" w:pos="8630"/>
            </w:tabs>
            <w:rPr>
              <w:noProof/>
            </w:rPr>
          </w:pPr>
          <w:hyperlink w:anchor="_Toc348948432" w:history="1">
            <w:r w:rsidRPr="00D51899">
              <w:rPr>
                <w:rStyle w:val="Hyperlink"/>
                <w:noProof/>
              </w:rPr>
              <w:t>V. Kultūrtelpa</w:t>
            </w:r>
            <w:r>
              <w:rPr>
                <w:noProof/>
                <w:webHidden/>
              </w:rPr>
              <w:tab/>
            </w:r>
            <w:r>
              <w:rPr>
                <w:noProof/>
                <w:webHidden/>
              </w:rPr>
              <w:fldChar w:fldCharType="begin"/>
            </w:r>
            <w:r>
              <w:rPr>
                <w:noProof/>
                <w:webHidden/>
              </w:rPr>
              <w:instrText xml:space="preserve"> PAGEREF _Toc348948432 \h </w:instrText>
            </w:r>
            <w:r>
              <w:rPr>
                <w:noProof/>
                <w:webHidden/>
              </w:rPr>
            </w:r>
            <w:r>
              <w:rPr>
                <w:noProof/>
                <w:webHidden/>
              </w:rPr>
              <w:fldChar w:fldCharType="separate"/>
            </w:r>
            <w:r>
              <w:rPr>
                <w:noProof/>
                <w:webHidden/>
              </w:rPr>
              <w:t>115</w:t>
            </w:r>
            <w:r>
              <w:rPr>
                <w:noProof/>
                <w:webHidden/>
              </w:rPr>
              <w:fldChar w:fldCharType="end"/>
            </w:r>
          </w:hyperlink>
        </w:p>
        <w:p w:rsidR="00FB637A" w:rsidRDefault="00FB637A">
          <w:pPr>
            <w:pStyle w:val="TOC2"/>
            <w:tabs>
              <w:tab w:val="left" w:pos="660"/>
              <w:tab w:val="right" w:leader="dot" w:pos="8630"/>
            </w:tabs>
            <w:rPr>
              <w:noProof/>
            </w:rPr>
          </w:pPr>
          <w:hyperlink w:anchor="_Toc348948433" w:history="1">
            <w:r w:rsidRPr="00D51899">
              <w:rPr>
                <w:rStyle w:val="Hyperlink"/>
                <w:rFonts w:eastAsiaTheme="minorHAnsi" w:cs="Times New Roman"/>
                <w:noProof/>
              </w:rPr>
              <w:t>1.</w:t>
            </w:r>
            <w:r>
              <w:rPr>
                <w:noProof/>
              </w:rPr>
              <w:tab/>
            </w:r>
            <w:r w:rsidRPr="00D51899">
              <w:rPr>
                <w:rStyle w:val="Hyperlink"/>
                <w:rFonts w:cs="Times New Roman"/>
                <w:noProof/>
              </w:rPr>
              <w:t>Kultūra un kultūras mantojuma saglabāšana</w:t>
            </w:r>
            <w:r>
              <w:rPr>
                <w:noProof/>
                <w:webHidden/>
              </w:rPr>
              <w:tab/>
            </w:r>
            <w:r>
              <w:rPr>
                <w:noProof/>
                <w:webHidden/>
              </w:rPr>
              <w:fldChar w:fldCharType="begin"/>
            </w:r>
            <w:r>
              <w:rPr>
                <w:noProof/>
                <w:webHidden/>
              </w:rPr>
              <w:instrText xml:space="preserve"> PAGEREF _Toc348948433 \h </w:instrText>
            </w:r>
            <w:r>
              <w:rPr>
                <w:noProof/>
                <w:webHidden/>
              </w:rPr>
            </w:r>
            <w:r>
              <w:rPr>
                <w:noProof/>
                <w:webHidden/>
              </w:rPr>
              <w:fldChar w:fldCharType="separate"/>
            </w:r>
            <w:r>
              <w:rPr>
                <w:noProof/>
                <w:webHidden/>
              </w:rPr>
              <w:t>115</w:t>
            </w:r>
            <w:r>
              <w:rPr>
                <w:noProof/>
                <w:webHidden/>
              </w:rPr>
              <w:fldChar w:fldCharType="end"/>
            </w:r>
          </w:hyperlink>
        </w:p>
        <w:p w:rsidR="00FB637A" w:rsidRDefault="00FB637A">
          <w:pPr>
            <w:pStyle w:val="TOC3"/>
            <w:tabs>
              <w:tab w:val="right" w:leader="dot" w:pos="8630"/>
            </w:tabs>
            <w:rPr>
              <w:noProof/>
            </w:rPr>
          </w:pPr>
          <w:hyperlink w:anchor="_Toc348948434" w:history="1">
            <w:r w:rsidRPr="00D51899">
              <w:rPr>
                <w:rStyle w:val="Hyperlink"/>
                <w:noProof/>
              </w:rPr>
              <w:t>1.1. Valsts kultūrpolitikas īstenošana</w:t>
            </w:r>
            <w:r>
              <w:rPr>
                <w:noProof/>
                <w:webHidden/>
              </w:rPr>
              <w:tab/>
            </w:r>
            <w:r>
              <w:rPr>
                <w:noProof/>
                <w:webHidden/>
              </w:rPr>
              <w:fldChar w:fldCharType="begin"/>
            </w:r>
            <w:r>
              <w:rPr>
                <w:noProof/>
                <w:webHidden/>
              </w:rPr>
              <w:instrText xml:space="preserve"> PAGEREF _Toc348948434 \h </w:instrText>
            </w:r>
            <w:r>
              <w:rPr>
                <w:noProof/>
                <w:webHidden/>
              </w:rPr>
            </w:r>
            <w:r>
              <w:rPr>
                <w:noProof/>
                <w:webHidden/>
              </w:rPr>
              <w:fldChar w:fldCharType="separate"/>
            </w:r>
            <w:r>
              <w:rPr>
                <w:noProof/>
                <w:webHidden/>
              </w:rPr>
              <w:t>115</w:t>
            </w:r>
            <w:r>
              <w:rPr>
                <w:noProof/>
                <w:webHidden/>
              </w:rPr>
              <w:fldChar w:fldCharType="end"/>
            </w:r>
          </w:hyperlink>
        </w:p>
        <w:p w:rsidR="00FB637A" w:rsidRDefault="00FB637A">
          <w:pPr>
            <w:pStyle w:val="TOC3"/>
            <w:tabs>
              <w:tab w:val="right" w:leader="dot" w:pos="8630"/>
            </w:tabs>
            <w:rPr>
              <w:noProof/>
            </w:rPr>
          </w:pPr>
          <w:hyperlink w:anchor="_Toc348948435" w:history="1">
            <w:r w:rsidRPr="00D51899">
              <w:rPr>
                <w:rStyle w:val="Hyperlink"/>
                <w:noProof/>
              </w:rPr>
              <w:t>1.2. Atbalsts valsts kultūrnotikumiem</w:t>
            </w:r>
            <w:r>
              <w:rPr>
                <w:noProof/>
                <w:webHidden/>
              </w:rPr>
              <w:tab/>
            </w:r>
            <w:r>
              <w:rPr>
                <w:noProof/>
                <w:webHidden/>
              </w:rPr>
              <w:fldChar w:fldCharType="begin"/>
            </w:r>
            <w:r>
              <w:rPr>
                <w:noProof/>
                <w:webHidden/>
              </w:rPr>
              <w:instrText xml:space="preserve"> PAGEREF _Toc348948435 \h </w:instrText>
            </w:r>
            <w:r>
              <w:rPr>
                <w:noProof/>
                <w:webHidden/>
              </w:rPr>
            </w:r>
            <w:r>
              <w:rPr>
                <w:noProof/>
                <w:webHidden/>
              </w:rPr>
              <w:fldChar w:fldCharType="separate"/>
            </w:r>
            <w:r>
              <w:rPr>
                <w:noProof/>
                <w:webHidden/>
              </w:rPr>
              <w:t>115</w:t>
            </w:r>
            <w:r>
              <w:rPr>
                <w:noProof/>
                <w:webHidden/>
              </w:rPr>
              <w:fldChar w:fldCharType="end"/>
            </w:r>
          </w:hyperlink>
        </w:p>
        <w:p w:rsidR="00FB637A" w:rsidRDefault="00FB637A">
          <w:pPr>
            <w:pStyle w:val="TOC2"/>
            <w:tabs>
              <w:tab w:val="right" w:leader="dot" w:pos="8630"/>
            </w:tabs>
            <w:rPr>
              <w:noProof/>
            </w:rPr>
          </w:pPr>
          <w:hyperlink w:anchor="_Toc348948436" w:history="1">
            <w:r w:rsidRPr="00D51899">
              <w:rPr>
                <w:rStyle w:val="Hyperlink"/>
                <w:noProof/>
              </w:rPr>
              <w:t>2. Nacionālā identitāte un sabiedrības saliedētība</w:t>
            </w:r>
            <w:r>
              <w:rPr>
                <w:noProof/>
                <w:webHidden/>
              </w:rPr>
              <w:tab/>
            </w:r>
            <w:r>
              <w:rPr>
                <w:noProof/>
                <w:webHidden/>
              </w:rPr>
              <w:fldChar w:fldCharType="begin"/>
            </w:r>
            <w:r>
              <w:rPr>
                <w:noProof/>
                <w:webHidden/>
              </w:rPr>
              <w:instrText xml:space="preserve"> PAGEREF _Toc348948436 \h </w:instrText>
            </w:r>
            <w:r>
              <w:rPr>
                <w:noProof/>
                <w:webHidden/>
              </w:rPr>
            </w:r>
            <w:r>
              <w:rPr>
                <w:noProof/>
                <w:webHidden/>
              </w:rPr>
              <w:fldChar w:fldCharType="separate"/>
            </w:r>
            <w:r>
              <w:rPr>
                <w:noProof/>
                <w:webHidden/>
              </w:rPr>
              <w:t>117</w:t>
            </w:r>
            <w:r>
              <w:rPr>
                <w:noProof/>
                <w:webHidden/>
              </w:rPr>
              <w:fldChar w:fldCharType="end"/>
            </w:r>
          </w:hyperlink>
        </w:p>
        <w:p w:rsidR="00FB637A" w:rsidRDefault="00FB637A">
          <w:pPr>
            <w:pStyle w:val="TOC3"/>
            <w:tabs>
              <w:tab w:val="right" w:leader="dot" w:pos="8630"/>
            </w:tabs>
            <w:rPr>
              <w:noProof/>
            </w:rPr>
          </w:pPr>
          <w:hyperlink w:anchor="_Toc348948437" w:history="1">
            <w:r w:rsidRPr="00D51899">
              <w:rPr>
                <w:rStyle w:val="Hyperlink"/>
                <w:rFonts w:cs="Times New Roman"/>
                <w:noProof/>
              </w:rPr>
              <w:t xml:space="preserve">2.1. </w:t>
            </w:r>
            <w:r w:rsidRPr="00D51899">
              <w:rPr>
                <w:rStyle w:val="Hyperlink"/>
                <w:noProof/>
              </w:rPr>
              <w:t>Pilsoniskas sabiedrības stiprināšana un integrācija</w:t>
            </w:r>
            <w:r>
              <w:rPr>
                <w:noProof/>
                <w:webHidden/>
              </w:rPr>
              <w:tab/>
            </w:r>
            <w:r>
              <w:rPr>
                <w:noProof/>
                <w:webHidden/>
              </w:rPr>
              <w:fldChar w:fldCharType="begin"/>
            </w:r>
            <w:r>
              <w:rPr>
                <w:noProof/>
                <w:webHidden/>
              </w:rPr>
              <w:instrText xml:space="preserve"> PAGEREF _Toc348948437 \h </w:instrText>
            </w:r>
            <w:r>
              <w:rPr>
                <w:noProof/>
                <w:webHidden/>
              </w:rPr>
            </w:r>
            <w:r>
              <w:rPr>
                <w:noProof/>
                <w:webHidden/>
              </w:rPr>
              <w:fldChar w:fldCharType="separate"/>
            </w:r>
            <w:r>
              <w:rPr>
                <w:noProof/>
                <w:webHidden/>
              </w:rPr>
              <w:t>117</w:t>
            </w:r>
            <w:r>
              <w:rPr>
                <w:noProof/>
                <w:webHidden/>
              </w:rPr>
              <w:fldChar w:fldCharType="end"/>
            </w:r>
          </w:hyperlink>
        </w:p>
        <w:p w:rsidR="00FB637A" w:rsidRDefault="00FB637A">
          <w:pPr>
            <w:pStyle w:val="TOC3"/>
            <w:tabs>
              <w:tab w:val="right" w:leader="dot" w:pos="8630"/>
            </w:tabs>
            <w:rPr>
              <w:noProof/>
            </w:rPr>
          </w:pPr>
          <w:hyperlink w:anchor="_Toc348948438" w:history="1">
            <w:r w:rsidRPr="00D51899">
              <w:rPr>
                <w:rStyle w:val="Hyperlink"/>
                <w:noProof/>
              </w:rPr>
              <w:t>2.2. Nacionālā identitāte: valoda un kultūrtelpa</w:t>
            </w:r>
            <w:r>
              <w:rPr>
                <w:noProof/>
                <w:webHidden/>
              </w:rPr>
              <w:tab/>
            </w:r>
            <w:r>
              <w:rPr>
                <w:noProof/>
                <w:webHidden/>
              </w:rPr>
              <w:fldChar w:fldCharType="begin"/>
            </w:r>
            <w:r>
              <w:rPr>
                <w:noProof/>
                <w:webHidden/>
              </w:rPr>
              <w:instrText xml:space="preserve"> PAGEREF _Toc348948438 \h </w:instrText>
            </w:r>
            <w:r>
              <w:rPr>
                <w:noProof/>
                <w:webHidden/>
              </w:rPr>
            </w:r>
            <w:r>
              <w:rPr>
                <w:noProof/>
                <w:webHidden/>
              </w:rPr>
              <w:fldChar w:fldCharType="separate"/>
            </w:r>
            <w:r>
              <w:rPr>
                <w:noProof/>
                <w:webHidden/>
              </w:rPr>
              <w:t>118</w:t>
            </w:r>
            <w:r>
              <w:rPr>
                <w:noProof/>
                <w:webHidden/>
              </w:rPr>
              <w:fldChar w:fldCharType="end"/>
            </w:r>
          </w:hyperlink>
        </w:p>
        <w:p w:rsidR="00FB637A" w:rsidRDefault="00FB637A">
          <w:pPr>
            <w:pStyle w:val="TOC3"/>
            <w:tabs>
              <w:tab w:val="right" w:leader="dot" w:pos="8630"/>
            </w:tabs>
            <w:rPr>
              <w:noProof/>
            </w:rPr>
          </w:pPr>
          <w:hyperlink w:anchor="_Toc348948439" w:history="1">
            <w:r w:rsidRPr="00D51899">
              <w:rPr>
                <w:rStyle w:val="Hyperlink"/>
                <w:noProof/>
              </w:rPr>
              <w:t>2.3. Saliedēta sociālā atmiņa</w:t>
            </w:r>
            <w:r>
              <w:rPr>
                <w:noProof/>
                <w:webHidden/>
              </w:rPr>
              <w:tab/>
            </w:r>
            <w:r>
              <w:rPr>
                <w:noProof/>
                <w:webHidden/>
              </w:rPr>
              <w:fldChar w:fldCharType="begin"/>
            </w:r>
            <w:r>
              <w:rPr>
                <w:noProof/>
                <w:webHidden/>
              </w:rPr>
              <w:instrText xml:space="preserve"> PAGEREF _Toc348948439 \h </w:instrText>
            </w:r>
            <w:r>
              <w:rPr>
                <w:noProof/>
                <w:webHidden/>
              </w:rPr>
            </w:r>
            <w:r>
              <w:rPr>
                <w:noProof/>
                <w:webHidden/>
              </w:rPr>
              <w:fldChar w:fldCharType="separate"/>
            </w:r>
            <w:r>
              <w:rPr>
                <w:noProof/>
                <w:webHidden/>
              </w:rPr>
              <w:t>119</w:t>
            </w:r>
            <w:r>
              <w:rPr>
                <w:noProof/>
                <w:webHidden/>
              </w:rPr>
              <w:fldChar w:fldCharType="end"/>
            </w:r>
          </w:hyperlink>
        </w:p>
        <w:p w:rsidR="00FB637A" w:rsidRDefault="00FB637A">
          <w:pPr>
            <w:pStyle w:val="TOC2"/>
            <w:tabs>
              <w:tab w:val="right" w:leader="dot" w:pos="8630"/>
            </w:tabs>
            <w:rPr>
              <w:noProof/>
            </w:rPr>
          </w:pPr>
          <w:hyperlink w:anchor="_Toc348948440" w:history="1">
            <w:r w:rsidRPr="00D51899">
              <w:rPr>
                <w:rStyle w:val="Hyperlink"/>
                <w:noProof/>
              </w:rPr>
              <w:t>3. Sabiedriskie mediji</w:t>
            </w:r>
            <w:r>
              <w:rPr>
                <w:noProof/>
                <w:webHidden/>
              </w:rPr>
              <w:tab/>
            </w:r>
            <w:r>
              <w:rPr>
                <w:noProof/>
                <w:webHidden/>
              </w:rPr>
              <w:fldChar w:fldCharType="begin"/>
            </w:r>
            <w:r>
              <w:rPr>
                <w:noProof/>
                <w:webHidden/>
              </w:rPr>
              <w:instrText xml:space="preserve"> PAGEREF _Toc348948440 \h </w:instrText>
            </w:r>
            <w:r>
              <w:rPr>
                <w:noProof/>
                <w:webHidden/>
              </w:rPr>
            </w:r>
            <w:r>
              <w:rPr>
                <w:noProof/>
                <w:webHidden/>
              </w:rPr>
              <w:fldChar w:fldCharType="separate"/>
            </w:r>
            <w:r>
              <w:rPr>
                <w:noProof/>
                <w:webHidden/>
              </w:rPr>
              <w:t>119</w:t>
            </w:r>
            <w:r>
              <w:rPr>
                <w:noProof/>
                <w:webHidden/>
              </w:rPr>
              <w:fldChar w:fldCharType="end"/>
            </w:r>
          </w:hyperlink>
        </w:p>
        <w:p w:rsidR="00FB637A" w:rsidRDefault="00FB637A">
          <w:pPr>
            <w:pStyle w:val="TOC2"/>
            <w:tabs>
              <w:tab w:val="right" w:leader="dot" w:pos="8630"/>
            </w:tabs>
            <w:rPr>
              <w:noProof/>
            </w:rPr>
          </w:pPr>
          <w:hyperlink w:anchor="_Toc348948441" w:history="1">
            <w:r w:rsidRPr="00D51899">
              <w:rPr>
                <w:rStyle w:val="Hyperlink"/>
                <w:noProof/>
              </w:rPr>
              <w:t>4. Rīga – Eiropas kultūras galvaspilsēta 2014</w:t>
            </w:r>
            <w:r>
              <w:rPr>
                <w:noProof/>
                <w:webHidden/>
              </w:rPr>
              <w:tab/>
            </w:r>
            <w:r>
              <w:rPr>
                <w:noProof/>
                <w:webHidden/>
              </w:rPr>
              <w:fldChar w:fldCharType="begin"/>
            </w:r>
            <w:r>
              <w:rPr>
                <w:noProof/>
                <w:webHidden/>
              </w:rPr>
              <w:instrText xml:space="preserve"> PAGEREF _Toc348948441 \h </w:instrText>
            </w:r>
            <w:r>
              <w:rPr>
                <w:noProof/>
                <w:webHidden/>
              </w:rPr>
            </w:r>
            <w:r>
              <w:rPr>
                <w:noProof/>
                <w:webHidden/>
              </w:rPr>
              <w:fldChar w:fldCharType="separate"/>
            </w:r>
            <w:r>
              <w:rPr>
                <w:noProof/>
                <w:webHidden/>
              </w:rPr>
              <w:t>120</w:t>
            </w:r>
            <w:r>
              <w:rPr>
                <w:noProof/>
                <w:webHidden/>
              </w:rPr>
              <w:fldChar w:fldCharType="end"/>
            </w:r>
          </w:hyperlink>
        </w:p>
        <w:p w:rsidR="00FB637A" w:rsidRDefault="00FB637A">
          <w:pPr>
            <w:pStyle w:val="TOC1"/>
            <w:tabs>
              <w:tab w:val="right" w:leader="dot" w:pos="8630"/>
            </w:tabs>
            <w:rPr>
              <w:noProof/>
            </w:rPr>
          </w:pPr>
          <w:hyperlink w:anchor="_Toc348948442" w:history="1">
            <w:r w:rsidRPr="00D51899">
              <w:rPr>
                <w:rStyle w:val="Hyperlink"/>
                <w:noProof/>
              </w:rPr>
              <w:t>VI. Latvija pasaulē</w:t>
            </w:r>
            <w:r>
              <w:rPr>
                <w:noProof/>
                <w:webHidden/>
              </w:rPr>
              <w:tab/>
            </w:r>
            <w:r>
              <w:rPr>
                <w:noProof/>
                <w:webHidden/>
              </w:rPr>
              <w:fldChar w:fldCharType="begin"/>
            </w:r>
            <w:r>
              <w:rPr>
                <w:noProof/>
                <w:webHidden/>
              </w:rPr>
              <w:instrText xml:space="preserve"> PAGEREF _Toc348948442 \h </w:instrText>
            </w:r>
            <w:r>
              <w:rPr>
                <w:noProof/>
                <w:webHidden/>
              </w:rPr>
            </w:r>
            <w:r>
              <w:rPr>
                <w:noProof/>
                <w:webHidden/>
              </w:rPr>
              <w:fldChar w:fldCharType="separate"/>
            </w:r>
            <w:r>
              <w:rPr>
                <w:noProof/>
                <w:webHidden/>
              </w:rPr>
              <w:t>121</w:t>
            </w:r>
            <w:r>
              <w:rPr>
                <w:noProof/>
                <w:webHidden/>
              </w:rPr>
              <w:fldChar w:fldCharType="end"/>
            </w:r>
          </w:hyperlink>
        </w:p>
        <w:p w:rsidR="00FB637A" w:rsidRDefault="00FB637A">
          <w:pPr>
            <w:pStyle w:val="TOC2"/>
            <w:tabs>
              <w:tab w:val="left" w:pos="660"/>
              <w:tab w:val="right" w:leader="dot" w:pos="8630"/>
            </w:tabs>
            <w:rPr>
              <w:noProof/>
            </w:rPr>
          </w:pPr>
          <w:hyperlink w:anchor="_Toc348948443" w:history="1">
            <w:r w:rsidRPr="00D51899">
              <w:rPr>
                <w:rStyle w:val="Hyperlink"/>
                <w:noProof/>
              </w:rPr>
              <w:t>1.</w:t>
            </w:r>
            <w:r>
              <w:rPr>
                <w:noProof/>
              </w:rPr>
              <w:tab/>
            </w:r>
            <w:r w:rsidRPr="00D51899">
              <w:rPr>
                <w:rStyle w:val="Hyperlink"/>
                <w:noProof/>
              </w:rPr>
              <w:t>Latvijas ārpolitika</w:t>
            </w:r>
            <w:r>
              <w:rPr>
                <w:noProof/>
                <w:webHidden/>
              </w:rPr>
              <w:tab/>
            </w:r>
            <w:r>
              <w:rPr>
                <w:noProof/>
                <w:webHidden/>
              </w:rPr>
              <w:fldChar w:fldCharType="begin"/>
            </w:r>
            <w:r>
              <w:rPr>
                <w:noProof/>
                <w:webHidden/>
              </w:rPr>
              <w:instrText xml:space="preserve"> PAGEREF _Toc348948443 \h </w:instrText>
            </w:r>
            <w:r>
              <w:rPr>
                <w:noProof/>
                <w:webHidden/>
              </w:rPr>
            </w:r>
            <w:r>
              <w:rPr>
                <w:noProof/>
                <w:webHidden/>
              </w:rPr>
              <w:fldChar w:fldCharType="separate"/>
            </w:r>
            <w:r>
              <w:rPr>
                <w:noProof/>
                <w:webHidden/>
              </w:rPr>
              <w:t>121</w:t>
            </w:r>
            <w:r>
              <w:rPr>
                <w:noProof/>
                <w:webHidden/>
              </w:rPr>
              <w:fldChar w:fldCharType="end"/>
            </w:r>
          </w:hyperlink>
        </w:p>
        <w:p w:rsidR="00FB637A" w:rsidRDefault="00FB637A">
          <w:pPr>
            <w:pStyle w:val="TOC3"/>
            <w:tabs>
              <w:tab w:val="left" w:pos="1100"/>
              <w:tab w:val="right" w:leader="dot" w:pos="8630"/>
            </w:tabs>
            <w:rPr>
              <w:noProof/>
            </w:rPr>
          </w:pPr>
          <w:hyperlink w:anchor="_Toc348948444" w:history="1">
            <w:r w:rsidRPr="00D51899">
              <w:rPr>
                <w:rStyle w:val="Hyperlink"/>
                <w:noProof/>
              </w:rPr>
              <w:t>1.1.</w:t>
            </w:r>
            <w:r>
              <w:rPr>
                <w:noProof/>
              </w:rPr>
              <w:tab/>
            </w:r>
            <w:r w:rsidRPr="00D51899">
              <w:rPr>
                <w:rStyle w:val="Hyperlink"/>
                <w:noProof/>
              </w:rPr>
              <w:t>ES politika</w:t>
            </w:r>
            <w:r>
              <w:rPr>
                <w:noProof/>
                <w:webHidden/>
              </w:rPr>
              <w:tab/>
            </w:r>
            <w:r>
              <w:rPr>
                <w:noProof/>
                <w:webHidden/>
              </w:rPr>
              <w:fldChar w:fldCharType="begin"/>
            </w:r>
            <w:r>
              <w:rPr>
                <w:noProof/>
                <w:webHidden/>
              </w:rPr>
              <w:instrText xml:space="preserve"> PAGEREF _Toc348948444 \h </w:instrText>
            </w:r>
            <w:r>
              <w:rPr>
                <w:noProof/>
                <w:webHidden/>
              </w:rPr>
            </w:r>
            <w:r>
              <w:rPr>
                <w:noProof/>
                <w:webHidden/>
              </w:rPr>
              <w:fldChar w:fldCharType="separate"/>
            </w:r>
            <w:r>
              <w:rPr>
                <w:noProof/>
                <w:webHidden/>
              </w:rPr>
              <w:t>121</w:t>
            </w:r>
            <w:r>
              <w:rPr>
                <w:noProof/>
                <w:webHidden/>
              </w:rPr>
              <w:fldChar w:fldCharType="end"/>
            </w:r>
          </w:hyperlink>
        </w:p>
        <w:p w:rsidR="00FB637A" w:rsidRDefault="00FB637A">
          <w:pPr>
            <w:pStyle w:val="TOC3"/>
            <w:tabs>
              <w:tab w:val="right" w:leader="dot" w:pos="8630"/>
            </w:tabs>
            <w:rPr>
              <w:noProof/>
            </w:rPr>
          </w:pPr>
          <w:hyperlink w:anchor="_Toc348948445" w:history="1">
            <w:r w:rsidRPr="00D51899">
              <w:rPr>
                <w:rStyle w:val="Hyperlink"/>
                <w:noProof/>
              </w:rPr>
              <w:t>1.2. Baltijas jūras reģions</w:t>
            </w:r>
            <w:r>
              <w:rPr>
                <w:noProof/>
                <w:webHidden/>
              </w:rPr>
              <w:tab/>
            </w:r>
            <w:r>
              <w:rPr>
                <w:noProof/>
                <w:webHidden/>
              </w:rPr>
              <w:fldChar w:fldCharType="begin"/>
            </w:r>
            <w:r>
              <w:rPr>
                <w:noProof/>
                <w:webHidden/>
              </w:rPr>
              <w:instrText xml:space="preserve"> PAGEREF _Toc348948445 \h </w:instrText>
            </w:r>
            <w:r>
              <w:rPr>
                <w:noProof/>
                <w:webHidden/>
              </w:rPr>
            </w:r>
            <w:r>
              <w:rPr>
                <w:noProof/>
                <w:webHidden/>
              </w:rPr>
              <w:fldChar w:fldCharType="separate"/>
            </w:r>
            <w:r>
              <w:rPr>
                <w:noProof/>
                <w:webHidden/>
              </w:rPr>
              <w:t>123</w:t>
            </w:r>
            <w:r>
              <w:rPr>
                <w:noProof/>
                <w:webHidden/>
              </w:rPr>
              <w:fldChar w:fldCharType="end"/>
            </w:r>
          </w:hyperlink>
        </w:p>
        <w:p w:rsidR="00FB637A" w:rsidRDefault="00FB637A">
          <w:pPr>
            <w:pStyle w:val="TOC3"/>
            <w:tabs>
              <w:tab w:val="right" w:leader="dot" w:pos="8630"/>
            </w:tabs>
            <w:rPr>
              <w:noProof/>
            </w:rPr>
          </w:pPr>
          <w:hyperlink w:anchor="_Toc348948446" w:history="1">
            <w:r w:rsidRPr="00D51899">
              <w:rPr>
                <w:rStyle w:val="Hyperlink"/>
                <w:noProof/>
              </w:rPr>
              <w:t>1.3. Divpusējās attiecības</w:t>
            </w:r>
            <w:r>
              <w:rPr>
                <w:noProof/>
                <w:webHidden/>
              </w:rPr>
              <w:tab/>
            </w:r>
            <w:r>
              <w:rPr>
                <w:noProof/>
                <w:webHidden/>
              </w:rPr>
              <w:fldChar w:fldCharType="begin"/>
            </w:r>
            <w:r>
              <w:rPr>
                <w:noProof/>
                <w:webHidden/>
              </w:rPr>
              <w:instrText xml:space="preserve"> PAGEREF _Toc348948446 \h </w:instrText>
            </w:r>
            <w:r>
              <w:rPr>
                <w:noProof/>
                <w:webHidden/>
              </w:rPr>
            </w:r>
            <w:r>
              <w:rPr>
                <w:noProof/>
                <w:webHidden/>
              </w:rPr>
              <w:fldChar w:fldCharType="separate"/>
            </w:r>
            <w:r>
              <w:rPr>
                <w:noProof/>
                <w:webHidden/>
              </w:rPr>
              <w:t>123</w:t>
            </w:r>
            <w:r>
              <w:rPr>
                <w:noProof/>
                <w:webHidden/>
              </w:rPr>
              <w:fldChar w:fldCharType="end"/>
            </w:r>
          </w:hyperlink>
        </w:p>
        <w:p w:rsidR="00FB637A" w:rsidRDefault="00FB637A">
          <w:pPr>
            <w:pStyle w:val="TOC3"/>
            <w:tabs>
              <w:tab w:val="right" w:leader="dot" w:pos="8630"/>
            </w:tabs>
            <w:rPr>
              <w:noProof/>
            </w:rPr>
          </w:pPr>
          <w:hyperlink w:anchor="_Toc348948447" w:history="1">
            <w:r w:rsidRPr="00D51899">
              <w:rPr>
                <w:rStyle w:val="Hyperlink"/>
                <w:noProof/>
              </w:rPr>
              <w:t>1.4. Dalība starptautiskajās organizācijās</w:t>
            </w:r>
            <w:r>
              <w:rPr>
                <w:noProof/>
                <w:webHidden/>
              </w:rPr>
              <w:tab/>
            </w:r>
            <w:r>
              <w:rPr>
                <w:noProof/>
                <w:webHidden/>
              </w:rPr>
              <w:fldChar w:fldCharType="begin"/>
            </w:r>
            <w:r>
              <w:rPr>
                <w:noProof/>
                <w:webHidden/>
              </w:rPr>
              <w:instrText xml:space="preserve"> PAGEREF _Toc348948447 \h </w:instrText>
            </w:r>
            <w:r>
              <w:rPr>
                <w:noProof/>
                <w:webHidden/>
              </w:rPr>
            </w:r>
            <w:r>
              <w:rPr>
                <w:noProof/>
                <w:webHidden/>
              </w:rPr>
              <w:fldChar w:fldCharType="separate"/>
            </w:r>
            <w:r>
              <w:rPr>
                <w:noProof/>
                <w:webHidden/>
              </w:rPr>
              <w:t>125</w:t>
            </w:r>
            <w:r>
              <w:rPr>
                <w:noProof/>
                <w:webHidden/>
              </w:rPr>
              <w:fldChar w:fldCharType="end"/>
            </w:r>
          </w:hyperlink>
        </w:p>
        <w:p w:rsidR="00FB637A" w:rsidRDefault="00FB637A">
          <w:pPr>
            <w:pStyle w:val="TOC3"/>
            <w:tabs>
              <w:tab w:val="right" w:leader="dot" w:pos="8630"/>
            </w:tabs>
            <w:rPr>
              <w:noProof/>
            </w:rPr>
          </w:pPr>
          <w:hyperlink w:anchor="_Toc348948448" w:history="1">
            <w:r w:rsidRPr="00D51899">
              <w:rPr>
                <w:rStyle w:val="Hyperlink"/>
                <w:rFonts w:cs="Times New Roman"/>
                <w:noProof/>
              </w:rPr>
              <w:t>1.5. Konsulārā politika</w:t>
            </w:r>
            <w:r>
              <w:rPr>
                <w:noProof/>
                <w:webHidden/>
              </w:rPr>
              <w:tab/>
            </w:r>
            <w:r>
              <w:rPr>
                <w:noProof/>
                <w:webHidden/>
              </w:rPr>
              <w:fldChar w:fldCharType="begin"/>
            </w:r>
            <w:r>
              <w:rPr>
                <w:noProof/>
                <w:webHidden/>
              </w:rPr>
              <w:instrText xml:space="preserve"> PAGEREF _Toc348948448 \h </w:instrText>
            </w:r>
            <w:r>
              <w:rPr>
                <w:noProof/>
                <w:webHidden/>
              </w:rPr>
            </w:r>
            <w:r>
              <w:rPr>
                <w:noProof/>
                <w:webHidden/>
              </w:rPr>
              <w:fldChar w:fldCharType="separate"/>
            </w:r>
            <w:r>
              <w:rPr>
                <w:noProof/>
                <w:webHidden/>
              </w:rPr>
              <w:t>126</w:t>
            </w:r>
            <w:r>
              <w:rPr>
                <w:noProof/>
                <w:webHidden/>
              </w:rPr>
              <w:fldChar w:fldCharType="end"/>
            </w:r>
          </w:hyperlink>
        </w:p>
        <w:p w:rsidR="00FB637A" w:rsidRDefault="00FB637A">
          <w:pPr>
            <w:pStyle w:val="TOC3"/>
            <w:tabs>
              <w:tab w:val="right" w:leader="dot" w:pos="8630"/>
            </w:tabs>
            <w:rPr>
              <w:noProof/>
            </w:rPr>
          </w:pPr>
          <w:hyperlink w:anchor="_Toc348948449" w:history="1">
            <w:r w:rsidRPr="00D51899">
              <w:rPr>
                <w:rStyle w:val="Hyperlink"/>
                <w:rFonts w:cs="Times New Roman"/>
                <w:noProof/>
              </w:rPr>
              <w:t>1.6. Saiknes stiprināšana ar latviešu diasporām ārvalstīs</w:t>
            </w:r>
            <w:r>
              <w:rPr>
                <w:noProof/>
                <w:webHidden/>
              </w:rPr>
              <w:tab/>
            </w:r>
            <w:r>
              <w:rPr>
                <w:noProof/>
                <w:webHidden/>
              </w:rPr>
              <w:fldChar w:fldCharType="begin"/>
            </w:r>
            <w:r>
              <w:rPr>
                <w:noProof/>
                <w:webHidden/>
              </w:rPr>
              <w:instrText xml:space="preserve"> PAGEREF _Toc348948449 \h </w:instrText>
            </w:r>
            <w:r>
              <w:rPr>
                <w:noProof/>
                <w:webHidden/>
              </w:rPr>
            </w:r>
            <w:r>
              <w:rPr>
                <w:noProof/>
                <w:webHidden/>
              </w:rPr>
              <w:fldChar w:fldCharType="separate"/>
            </w:r>
            <w:r>
              <w:rPr>
                <w:noProof/>
                <w:webHidden/>
              </w:rPr>
              <w:t>127</w:t>
            </w:r>
            <w:r>
              <w:rPr>
                <w:noProof/>
                <w:webHidden/>
              </w:rPr>
              <w:fldChar w:fldCharType="end"/>
            </w:r>
          </w:hyperlink>
        </w:p>
        <w:p w:rsidR="00FB637A" w:rsidRDefault="00FB637A">
          <w:pPr>
            <w:pStyle w:val="TOC2"/>
            <w:tabs>
              <w:tab w:val="left" w:pos="660"/>
              <w:tab w:val="right" w:leader="dot" w:pos="8630"/>
            </w:tabs>
            <w:rPr>
              <w:noProof/>
            </w:rPr>
          </w:pPr>
          <w:hyperlink w:anchor="_Toc348948450" w:history="1">
            <w:r w:rsidRPr="00D51899">
              <w:rPr>
                <w:rStyle w:val="Hyperlink"/>
                <w:noProof/>
              </w:rPr>
              <w:t>2.</w:t>
            </w:r>
            <w:r>
              <w:rPr>
                <w:noProof/>
              </w:rPr>
              <w:tab/>
            </w:r>
            <w:r w:rsidRPr="00D51899">
              <w:rPr>
                <w:rStyle w:val="Hyperlink"/>
                <w:noProof/>
              </w:rPr>
              <w:t>Aizsardzības politika</w:t>
            </w:r>
            <w:r>
              <w:rPr>
                <w:noProof/>
                <w:webHidden/>
              </w:rPr>
              <w:tab/>
            </w:r>
            <w:r>
              <w:rPr>
                <w:noProof/>
                <w:webHidden/>
              </w:rPr>
              <w:fldChar w:fldCharType="begin"/>
            </w:r>
            <w:r>
              <w:rPr>
                <w:noProof/>
                <w:webHidden/>
              </w:rPr>
              <w:instrText xml:space="preserve"> PAGEREF _Toc348948450 \h </w:instrText>
            </w:r>
            <w:r>
              <w:rPr>
                <w:noProof/>
                <w:webHidden/>
              </w:rPr>
            </w:r>
            <w:r>
              <w:rPr>
                <w:noProof/>
                <w:webHidden/>
              </w:rPr>
              <w:fldChar w:fldCharType="separate"/>
            </w:r>
            <w:r>
              <w:rPr>
                <w:noProof/>
                <w:webHidden/>
              </w:rPr>
              <w:t>128</w:t>
            </w:r>
            <w:r>
              <w:rPr>
                <w:noProof/>
                <w:webHidden/>
              </w:rPr>
              <w:fldChar w:fldCharType="end"/>
            </w:r>
          </w:hyperlink>
        </w:p>
        <w:p w:rsidR="00FB637A" w:rsidRDefault="00FB637A">
          <w:pPr>
            <w:pStyle w:val="TOC3"/>
            <w:tabs>
              <w:tab w:val="right" w:leader="dot" w:pos="8630"/>
            </w:tabs>
            <w:rPr>
              <w:noProof/>
            </w:rPr>
          </w:pPr>
          <w:hyperlink w:anchor="_Toc348948451" w:history="1">
            <w:r w:rsidRPr="00D51899">
              <w:rPr>
                <w:rStyle w:val="Hyperlink"/>
                <w:rFonts w:cs="Times New Roman"/>
                <w:noProof/>
              </w:rPr>
              <w:t>2.1. Latvijas īstenotā aizsardzības politika</w:t>
            </w:r>
            <w:r>
              <w:rPr>
                <w:noProof/>
                <w:webHidden/>
              </w:rPr>
              <w:tab/>
            </w:r>
            <w:r>
              <w:rPr>
                <w:noProof/>
                <w:webHidden/>
              </w:rPr>
              <w:fldChar w:fldCharType="begin"/>
            </w:r>
            <w:r>
              <w:rPr>
                <w:noProof/>
                <w:webHidden/>
              </w:rPr>
              <w:instrText xml:space="preserve"> PAGEREF _Toc348948451 \h </w:instrText>
            </w:r>
            <w:r>
              <w:rPr>
                <w:noProof/>
                <w:webHidden/>
              </w:rPr>
            </w:r>
            <w:r>
              <w:rPr>
                <w:noProof/>
                <w:webHidden/>
              </w:rPr>
              <w:fldChar w:fldCharType="separate"/>
            </w:r>
            <w:r>
              <w:rPr>
                <w:noProof/>
                <w:webHidden/>
              </w:rPr>
              <w:t>128</w:t>
            </w:r>
            <w:r>
              <w:rPr>
                <w:noProof/>
                <w:webHidden/>
              </w:rPr>
              <w:fldChar w:fldCharType="end"/>
            </w:r>
          </w:hyperlink>
        </w:p>
        <w:p w:rsidR="00FB637A" w:rsidRDefault="00FB637A">
          <w:pPr>
            <w:pStyle w:val="TOC3"/>
            <w:tabs>
              <w:tab w:val="right" w:leader="dot" w:pos="8630"/>
            </w:tabs>
            <w:rPr>
              <w:noProof/>
            </w:rPr>
          </w:pPr>
          <w:hyperlink w:anchor="_Toc348948452" w:history="1">
            <w:r w:rsidRPr="00D51899">
              <w:rPr>
                <w:rStyle w:val="Hyperlink"/>
                <w:rFonts w:cs="Times New Roman"/>
                <w:noProof/>
              </w:rPr>
              <w:t>2.2. Latvijas dalība transatlantiskajā drošības telpā</w:t>
            </w:r>
            <w:r>
              <w:rPr>
                <w:noProof/>
                <w:webHidden/>
              </w:rPr>
              <w:tab/>
            </w:r>
            <w:r>
              <w:rPr>
                <w:noProof/>
                <w:webHidden/>
              </w:rPr>
              <w:fldChar w:fldCharType="begin"/>
            </w:r>
            <w:r>
              <w:rPr>
                <w:noProof/>
                <w:webHidden/>
              </w:rPr>
              <w:instrText xml:space="preserve"> PAGEREF _Toc348948452 \h </w:instrText>
            </w:r>
            <w:r>
              <w:rPr>
                <w:noProof/>
                <w:webHidden/>
              </w:rPr>
            </w:r>
            <w:r>
              <w:rPr>
                <w:noProof/>
                <w:webHidden/>
              </w:rPr>
              <w:fldChar w:fldCharType="separate"/>
            </w:r>
            <w:r>
              <w:rPr>
                <w:noProof/>
                <w:webHidden/>
              </w:rPr>
              <w:t>129</w:t>
            </w:r>
            <w:r>
              <w:rPr>
                <w:noProof/>
                <w:webHidden/>
              </w:rPr>
              <w:fldChar w:fldCharType="end"/>
            </w:r>
          </w:hyperlink>
        </w:p>
        <w:p w:rsidR="00FB637A" w:rsidRDefault="00FB637A">
          <w:pPr>
            <w:pStyle w:val="TOC3"/>
            <w:tabs>
              <w:tab w:val="right" w:leader="dot" w:pos="8630"/>
            </w:tabs>
            <w:rPr>
              <w:noProof/>
            </w:rPr>
          </w:pPr>
          <w:hyperlink w:anchor="_Toc348948453" w:history="1">
            <w:r w:rsidRPr="00D51899">
              <w:rPr>
                <w:rStyle w:val="Hyperlink"/>
                <w:noProof/>
              </w:rPr>
              <w:t>2.3. Sadarbība ar stratēģiskajiem partneriem, kopīgās operācijas</w:t>
            </w:r>
            <w:r>
              <w:rPr>
                <w:noProof/>
                <w:webHidden/>
              </w:rPr>
              <w:tab/>
            </w:r>
            <w:r>
              <w:rPr>
                <w:noProof/>
                <w:webHidden/>
              </w:rPr>
              <w:fldChar w:fldCharType="begin"/>
            </w:r>
            <w:r>
              <w:rPr>
                <w:noProof/>
                <w:webHidden/>
              </w:rPr>
              <w:instrText xml:space="preserve"> PAGEREF _Toc348948453 \h </w:instrText>
            </w:r>
            <w:r>
              <w:rPr>
                <w:noProof/>
                <w:webHidden/>
              </w:rPr>
            </w:r>
            <w:r>
              <w:rPr>
                <w:noProof/>
                <w:webHidden/>
              </w:rPr>
              <w:fldChar w:fldCharType="separate"/>
            </w:r>
            <w:r>
              <w:rPr>
                <w:noProof/>
                <w:webHidden/>
              </w:rPr>
              <w:t>130</w:t>
            </w:r>
            <w:r>
              <w:rPr>
                <w:noProof/>
                <w:webHidden/>
              </w:rPr>
              <w:fldChar w:fldCharType="end"/>
            </w:r>
          </w:hyperlink>
        </w:p>
        <w:p w:rsidR="00FB637A" w:rsidRDefault="00FB637A">
          <w:pPr>
            <w:pStyle w:val="TOC3"/>
            <w:tabs>
              <w:tab w:val="right" w:leader="dot" w:pos="8630"/>
            </w:tabs>
            <w:rPr>
              <w:noProof/>
            </w:rPr>
          </w:pPr>
          <w:hyperlink w:anchor="_Toc348948454" w:history="1">
            <w:r w:rsidRPr="00D51899">
              <w:rPr>
                <w:rStyle w:val="Hyperlink"/>
                <w:noProof/>
              </w:rPr>
              <w:t>2.4. NBS un Zemessardzes attīstība</w:t>
            </w:r>
            <w:r>
              <w:rPr>
                <w:noProof/>
                <w:webHidden/>
              </w:rPr>
              <w:tab/>
            </w:r>
            <w:r>
              <w:rPr>
                <w:noProof/>
                <w:webHidden/>
              </w:rPr>
              <w:fldChar w:fldCharType="begin"/>
            </w:r>
            <w:r>
              <w:rPr>
                <w:noProof/>
                <w:webHidden/>
              </w:rPr>
              <w:instrText xml:space="preserve"> PAGEREF _Toc348948454 \h </w:instrText>
            </w:r>
            <w:r>
              <w:rPr>
                <w:noProof/>
                <w:webHidden/>
              </w:rPr>
            </w:r>
            <w:r>
              <w:rPr>
                <w:noProof/>
                <w:webHidden/>
              </w:rPr>
              <w:fldChar w:fldCharType="separate"/>
            </w:r>
            <w:r>
              <w:rPr>
                <w:noProof/>
                <w:webHidden/>
              </w:rPr>
              <w:t>131</w:t>
            </w:r>
            <w:r>
              <w:rPr>
                <w:noProof/>
                <w:webHidden/>
              </w:rPr>
              <w:fldChar w:fldCharType="end"/>
            </w:r>
          </w:hyperlink>
        </w:p>
        <w:p w:rsidR="00FB637A" w:rsidRDefault="00FB637A">
          <w:pPr>
            <w:pStyle w:val="TOC2"/>
            <w:tabs>
              <w:tab w:val="left" w:pos="660"/>
              <w:tab w:val="right" w:leader="dot" w:pos="8630"/>
            </w:tabs>
            <w:rPr>
              <w:noProof/>
            </w:rPr>
          </w:pPr>
          <w:hyperlink w:anchor="_Toc348948455" w:history="1">
            <w:r w:rsidRPr="00D51899">
              <w:rPr>
                <w:rStyle w:val="Hyperlink"/>
                <w:noProof/>
              </w:rPr>
              <w:t>3.</w:t>
            </w:r>
            <w:r>
              <w:rPr>
                <w:noProof/>
              </w:rPr>
              <w:tab/>
            </w:r>
            <w:r w:rsidRPr="00D51899">
              <w:rPr>
                <w:rStyle w:val="Hyperlink"/>
                <w:noProof/>
              </w:rPr>
              <w:t>Latvijas tēls ārvalstīs</w:t>
            </w:r>
            <w:r>
              <w:rPr>
                <w:noProof/>
                <w:webHidden/>
              </w:rPr>
              <w:tab/>
            </w:r>
            <w:r>
              <w:rPr>
                <w:noProof/>
                <w:webHidden/>
              </w:rPr>
              <w:fldChar w:fldCharType="begin"/>
            </w:r>
            <w:r>
              <w:rPr>
                <w:noProof/>
                <w:webHidden/>
              </w:rPr>
              <w:instrText xml:space="preserve"> PAGEREF _Toc348948455 \h </w:instrText>
            </w:r>
            <w:r>
              <w:rPr>
                <w:noProof/>
                <w:webHidden/>
              </w:rPr>
            </w:r>
            <w:r>
              <w:rPr>
                <w:noProof/>
                <w:webHidden/>
              </w:rPr>
              <w:fldChar w:fldCharType="separate"/>
            </w:r>
            <w:r>
              <w:rPr>
                <w:noProof/>
                <w:webHidden/>
              </w:rPr>
              <w:t>132</w:t>
            </w:r>
            <w:r>
              <w:rPr>
                <w:noProof/>
                <w:webHidden/>
              </w:rPr>
              <w:fldChar w:fldCharType="end"/>
            </w:r>
          </w:hyperlink>
        </w:p>
        <w:p w:rsidR="00612564" w:rsidRDefault="00D9386E" w:rsidP="00612564">
          <w:pPr>
            <w:rPr>
              <w:sz w:val="24"/>
              <w:szCs w:val="24"/>
            </w:rPr>
          </w:pPr>
          <w:r w:rsidRPr="00FC122B">
            <w:rPr>
              <w:rFonts w:ascii="Times New Roman" w:hAnsi="Times New Roman" w:cs="Times New Roman"/>
              <w:sz w:val="24"/>
              <w:szCs w:val="24"/>
            </w:rPr>
            <w:fldChar w:fldCharType="end"/>
          </w:r>
        </w:p>
      </w:sdtContent>
    </w:sdt>
    <w:p w:rsidR="00931D8E" w:rsidRPr="00931D8E" w:rsidRDefault="00CA63EF" w:rsidP="00871110">
      <w:pPr>
        <w:pStyle w:val="Heading1"/>
        <w:rPr>
          <w:sz w:val="24"/>
        </w:rPr>
      </w:pPr>
      <w:r w:rsidRPr="006202E5">
        <w:br w:type="page"/>
      </w:r>
      <w:bookmarkStart w:id="2" w:name="_Toc323797605"/>
      <w:bookmarkStart w:id="3" w:name="_Toc323797606"/>
      <w:bookmarkStart w:id="4" w:name="_Toc348948312"/>
      <w:r w:rsidR="00931D8E" w:rsidRPr="00931D8E">
        <w:lastRenderedPageBreak/>
        <w:t>Ievads</w:t>
      </w:r>
      <w:bookmarkStart w:id="5" w:name="bkm165"/>
      <w:bookmarkEnd w:id="2"/>
      <w:bookmarkEnd w:id="4"/>
    </w:p>
    <w:p w:rsidR="00931D8E" w:rsidRPr="00D705FB" w:rsidRDefault="00931D8E" w:rsidP="00931D8E">
      <w:pPr>
        <w:spacing w:after="0" w:line="240" w:lineRule="auto"/>
        <w:ind w:firstLine="720"/>
        <w:jc w:val="both"/>
        <w:rPr>
          <w:rFonts w:ascii="Times New Roman" w:hAnsi="Times New Roman"/>
          <w:sz w:val="28"/>
          <w:szCs w:val="28"/>
        </w:rPr>
      </w:pPr>
      <w:r w:rsidRPr="00D705FB">
        <w:rPr>
          <w:rFonts w:ascii="Times New Roman" w:hAnsi="Times New Roman"/>
          <w:sz w:val="28"/>
          <w:szCs w:val="28"/>
        </w:rPr>
        <w:t>Saskaņā ar Saeimas kārtības ruļļa 118.</w:t>
      </w:r>
      <w:r w:rsidRPr="00D705FB">
        <w:rPr>
          <w:rFonts w:ascii="Times New Roman" w:hAnsi="Times New Roman"/>
          <w:sz w:val="28"/>
          <w:szCs w:val="28"/>
          <w:vertAlign w:val="superscript"/>
        </w:rPr>
        <w:t>1</w:t>
      </w:r>
      <w:r w:rsidRPr="00D705FB">
        <w:rPr>
          <w:rFonts w:ascii="Times New Roman" w:hAnsi="Times New Roman"/>
          <w:sz w:val="28"/>
          <w:szCs w:val="28"/>
        </w:rPr>
        <w:t> panta pirmo daļu, Ministru kabineta iekārtas likuma 15.panta piekto daļu un Attīstības plānošanas sistēmas likuma 12.panta devīto daļu Ministru prezidents iesniedz Saeimā ikgadējo ziņojumu par Ministru kabineta paveikto un iecerēto darbību, tād</w:t>
      </w:r>
      <w:r w:rsidR="00B849CA">
        <w:rPr>
          <w:rFonts w:ascii="Times New Roman" w:hAnsi="Times New Roman"/>
          <w:sz w:val="28"/>
          <w:szCs w:val="28"/>
        </w:rPr>
        <w:t>ē</w:t>
      </w:r>
      <w:r w:rsidRPr="00D705FB">
        <w:rPr>
          <w:rFonts w:ascii="Times New Roman" w:hAnsi="Times New Roman"/>
          <w:sz w:val="28"/>
          <w:szCs w:val="28"/>
        </w:rPr>
        <w:t>jādi sniedzot pārskatu Saeimai par valdības attiecīgajā gadā paveikto dažādās politikas jomās, kā arī norādot turpmāk plānotās rīcības galveno</w:t>
      </w:r>
      <w:r w:rsidR="00B849CA">
        <w:rPr>
          <w:rFonts w:ascii="Times New Roman" w:hAnsi="Times New Roman"/>
          <w:sz w:val="28"/>
          <w:szCs w:val="28"/>
        </w:rPr>
        <w:t>s</w:t>
      </w:r>
      <w:r w:rsidRPr="00D705FB">
        <w:rPr>
          <w:rFonts w:ascii="Times New Roman" w:hAnsi="Times New Roman"/>
          <w:sz w:val="28"/>
          <w:szCs w:val="28"/>
        </w:rPr>
        <w:t xml:space="preserve"> uzdevumus un mērķus. </w:t>
      </w:r>
    </w:p>
    <w:bookmarkEnd w:id="5"/>
    <w:p w:rsidR="00931D8E" w:rsidRPr="00D705FB" w:rsidRDefault="00931D8E" w:rsidP="00931D8E">
      <w:pPr>
        <w:spacing w:after="0" w:line="240" w:lineRule="auto"/>
        <w:ind w:firstLine="720"/>
        <w:jc w:val="both"/>
        <w:rPr>
          <w:rFonts w:ascii="Times New Roman" w:hAnsi="Times New Roman"/>
          <w:sz w:val="28"/>
          <w:szCs w:val="28"/>
        </w:rPr>
      </w:pPr>
      <w:r w:rsidRPr="00D705FB">
        <w:rPr>
          <w:rFonts w:ascii="Times New Roman" w:hAnsi="Times New Roman"/>
          <w:sz w:val="28"/>
          <w:szCs w:val="28"/>
        </w:rPr>
        <w:t xml:space="preserve">Pamatojoties uz minētajām likuma normām, </w:t>
      </w:r>
      <w:r w:rsidR="00526724">
        <w:rPr>
          <w:rFonts w:ascii="Times New Roman" w:hAnsi="Times New Roman"/>
          <w:sz w:val="28"/>
          <w:szCs w:val="28"/>
        </w:rPr>
        <w:t>z</w:t>
      </w:r>
      <w:r w:rsidRPr="00D705FB">
        <w:rPr>
          <w:rFonts w:ascii="Times New Roman" w:hAnsi="Times New Roman"/>
          <w:sz w:val="28"/>
          <w:szCs w:val="28"/>
        </w:rPr>
        <w:t xml:space="preserve">iņojuma struktūra veidota atbilstoši </w:t>
      </w:r>
      <w:r w:rsidRPr="00D705FB">
        <w:rPr>
          <w:rFonts w:ascii="Times New Roman" w:hAnsi="Times New Roman"/>
          <w:bCs/>
          <w:sz w:val="28"/>
          <w:szCs w:val="28"/>
        </w:rPr>
        <w:t xml:space="preserve">Deklarācijā par Valda Dombrovska vadītā Ministru kabineta iecerēto darbību norādītajām </w:t>
      </w:r>
      <w:r w:rsidR="00526724">
        <w:rPr>
          <w:rFonts w:ascii="Times New Roman" w:hAnsi="Times New Roman"/>
          <w:bCs/>
          <w:sz w:val="28"/>
          <w:szCs w:val="28"/>
        </w:rPr>
        <w:t>sešām</w:t>
      </w:r>
      <w:r w:rsidRPr="00D705FB">
        <w:rPr>
          <w:rFonts w:ascii="Times New Roman" w:hAnsi="Times New Roman"/>
          <w:bCs/>
          <w:sz w:val="28"/>
          <w:szCs w:val="28"/>
        </w:rPr>
        <w:t xml:space="preserve"> prioritārajām valdības darbības jomām: c</w:t>
      </w:r>
      <w:r w:rsidRPr="00D705FB">
        <w:rPr>
          <w:rFonts w:ascii="Times New Roman" w:hAnsi="Times New Roman"/>
          <w:sz w:val="28"/>
          <w:szCs w:val="28"/>
        </w:rPr>
        <w:t xml:space="preserve">ilvēkkapitāls, inovatīva un efektīva ekonomika, efektīva teritoriju pārvaldība, vide un dabas kapitāla saglabāšana, pārvaldība, kultūrtelpa, Latvija pasaulē. </w:t>
      </w:r>
    </w:p>
    <w:p w:rsidR="00931D8E" w:rsidRPr="00D705FB" w:rsidRDefault="00931D8E" w:rsidP="00931D8E">
      <w:pPr>
        <w:spacing w:after="0" w:line="240" w:lineRule="auto"/>
        <w:ind w:firstLine="720"/>
        <w:jc w:val="both"/>
        <w:rPr>
          <w:rFonts w:ascii="Times New Roman" w:hAnsi="Times New Roman"/>
          <w:sz w:val="28"/>
          <w:szCs w:val="28"/>
        </w:rPr>
      </w:pPr>
      <w:r w:rsidRPr="00D705FB">
        <w:rPr>
          <w:rFonts w:ascii="Times New Roman" w:hAnsi="Times New Roman"/>
          <w:sz w:val="28"/>
          <w:szCs w:val="28"/>
        </w:rPr>
        <w:t xml:space="preserve">Ziņojumā </w:t>
      </w:r>
      <w:r w:rsidRPr="00D705FB">
        <w:rPr>
          <w:rFonts w:ascii="Times New Roman" w:hAnsi="Times New Roman"/>
          <w:bCs/>
          <w:sz w:val="28"/>
          <w:szCs w:val="28"/>
        </w:rPr>
        <w:t xml:space="preserve">apkopoti valdības horizontālie, visām nozarēm būtiskākie un aktuālākie paveiktie uzdevumi, kā arī turpmāk plānotā rīcība, kas tiks īstenota valdības pilnvaru termiņa laikā, koncentrējoties uz </w:t>
      </w:r>
      <w:r w:rsidRPr="00D705FB">
        <w:rPr>
          <w:rFonts w:ascii="Times New Roman" w:hAnsi="Times New Roman"/>
          <w:sz w:val="28"/>
          <w:szCs w:val="28"/>
        </w:rPr>
        <w:t>Valdības deklarācijā izvirzītajām prioritātēm. Šīs prioritātes ir vērstas uz stabilu un ilgtspējīgu Latvijas attīstību, ekonomisko izaugs</w:t>
      </w:r>
      <w:r w:rsidR="00526724">
        <w:rPr>
          <w:rFonts w:ascii="Times New Roman" w:hAnsi="Times New Roman"/>
          <w:sz w:val="28"/>
          <w:szCs w:val="28"/>
        </w:rPr>
        <w:t>m</w:t>
      </w:r>
      <w:r w:rsidRPr="00D705FB">
        <w:rPr>
          <w:rFonts w:ascii="Times New Roman" w:hAnsi="Times New Roman"/>
          <w:sz w:val="28"/>
          <w:szCs w:val="28"/>
        </w:rPr>
        <w:t>i, saliedētu un iekļaujošu sabiedrību, tiesisku un efektīvu valsts pārvaldes darbu, kā arī tautas ataudzes un reģionu attīstības sekmēšanu.</w:t>
      </w:r>
    </w:p>
    <w:p w:rsidR="00931D8E" w:rsidRPr="00D705FB" w:rsidRDefault="00931D8E" w:rsidP="00931D8E">
      <w:pPr>
        <w:spacing w:after="0" w:line="240" w:lineRule="auto"/>
        <w:jc w:val="both"/>
        <w:rPr>
          <w:rFonts w:ascii="Times New Roman" w:hAnsi="Times New Roman"/>
          <w:sz w:val="28"/>
          <w:szCs w:val="28"/>
        </w:rPr>
      </w:pPr>
    </w:p>
    <w:p w:rsidR="00931D8E" w:rsidRDefault="00931D8E">
      <w:pPr>
        <w:rPr>
          <w:rFonts w:ascii="Times New Roman" w:eastAsia="Calibri" w:hAnsi="Times New Roman" w:cs="Times New Roman"/>
          <w:b/>
          <w:bCs/>
          <w:kern w:val="36"/>
          <w:sz w:val="32"/>
          <w:szCs w:val="24"/>
        </w:rPr>
      </w:pPr>
    </w:p>
    <w:p w:rsidR="00931D8E" w:rsidRDefault="00931D8E">
      <w:pPr>
        <w:rPr>
          <w:rFonts w:ascii="Times New Roman" w:eastAsia="Calibri" w:hAnsi="Times New Roman" w:cs="Times New Roman"/>
          <w:b/>
          <w:bCs/>
          <w:kern w:val="36"/>
          <w:sz w:val="32"/>
          <w:szCs w:val="24"/>
        </w:rPr>
      </w:pPr>
      <w:r>
        <w:br w:type="page"/>
      </w:r>
    </w:p>
    <w:p w:rsidR="00A000E3" w:rsidRPr="00612564" w:rsidRDefault="00A000E3" w:rsidP="00871110">
      <w:pPr>
        <w:pStyle w:val="Heading1"/>
        <w:rPr>
          <w:sz w:val="24"/>
        </w:rPr>
      </w:pPr>
      <w:bookmarkStart w:id="6" w:name="_Toc348948313"/>
      <w:r w:rsidRPr="006202E5">
        <w:lastRenderedPageBreak/>
        <w:t>Saīsinājumu saraksts</w:t>
      </w:r>
      <w:bookmarkEnd w:id="3"/>
      <w:bookmarkEnd w:id="6"/>
    </w:p>
    <w:p w:rsidR="00871110" w:rsidRPr="00871110" w:rsidRDefault="00871110" w:rsidP="00871110">
      <w:pPr>
        <w:rPr>
          <w:rFonts w:ascii="Times New Roman" w:eastAsia="Calibri" w:hAnsi="Times New Roman" w:cs="Times New Roman"/>
          <w:b/>
          <w:bCs/>
          <w:kern w:val="36"/>
          <w:sz w:val="24"/>
          <w:szCs w:val="24"/>
        </w:rPr>
      </w:pPr>
      <w:r>
        <w:rPr>
          <w:rFonts w:ascii="Times New Roman" w:hAnsi="Times New Roman"/>
          <w:sz w:val="24"/>
          <w:szCs w:val="24"/>
        </w:rPr>
        <w:t>AFI</w:t>
      </w:r>
      <w:r w:rsidR="00A33435">
        <w:rPr>
          <w:rFonts w:ascii="Times New Roman" w:hAnsi="Times New Roman"/>
          <w:sz w:val="24"/>
          <w:szCs w:val="24"/>
        </w:rPr>
        <w:t xml:space="preserve"> –</w:t>
      </w:r>
      <w:r>
        <w:rPr>
          <w:rFonts w:ascii="Times New Roman" w:hAnsi="Times New Roman"/>
          <w:sz w:val="24"/>
          <w:szCs w:val="24"/>
        </w:rPr>
        <w:t xml:space="preserve"> Attīstības finanšu institūcija</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AIP – Augstākās izglītības padome</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ĀIPL – Ārvalstu investoru padome Latvijā</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AizM – Aizsardzības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ĀM – Ārlietu ministrija</w:t>
      </w:r>
    </w:p>
    <w:p w:rsidR="00871110"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AS – akciju sabiedrība</w:t>
      </w:r>
    </w:p>
    <w:p w:rsidR="00871110" w:rsidRPr="00931D8E" w:rsidRDefault="00871110" w:rsidP="00D85B41">
      <w:pPr>
        <w:spacing w:after="0" w:line="360" w:lineRule="auto"/>
        <w:rPr>
          <w:rFonts w:ascii="Times New Roman" w:hAnsi="Times New Roman"/>
          <w:sz w:val="24"/>
          <w:szCs w:val="24"/>
        </w:rPr>
      </w:pPr>
      <w:r>
        <w:rPr>
          <w:rFonts w:ascii="Times New Roman" w:hAnsi="Times New Roman"/>
          <w:sz w:val="24"/>
          <w:szCs w:val="24"/>
        </w:rPr>
        <w:t>BIRTI – Baltijas Inovatīvās pētniecības un tehnoloģiju infrastruktūra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CSP – Centrālā statistikas pārvalde</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EK – Eiropas Komisija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EM – Ekonomikas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EP – Eiropas Parlaments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ERAF – Eiropas Reģionālās attīstības fonds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ES – Eiropas Savienība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ESF – Eiropas Sociālais fonds</w:t>
      </w:r>
    </w:p>
    <w:p w:rsidR="00871110"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FM – Finanšu ministrija</w:t>
      </w:r>
    </w:p>
    <w:p w:rsidR="00871110" w:rsidRPr="00931D8E" w:rsidRDefault="00871110" w:rsidP="00D85B41">
      <w:pPr>
        <w:spacing w:after="0" w:line="360" w:lineRule="auto"/>
        <w:rPr>
          <w:rFonts w:ascii="Times New Roman" w:hAnsi="Times New Roman"/>
          <w:sz w:val="24"/>
          <w:szCs w:val="24"/>
        </w:rPr>
      </w:pPr>
      <w:r>
        <w:rPr>
          <w:rFonts w:ascii="Times New Roman" w:hAnsi="Times New Roman"/>
          <w:sz w:val="24"/>
          <w:szCs w:val="24"/>
        </w:rPr>
        <w:t>GMI – garantētais minimālais ienākums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IeM – Iekšlietu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IKP – iekšzemes kopprodukts</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IKT</w:t>
      </w:r>
      <w:r w:rsidR="00A33435">
        <w:rPr>
          <w:rFonts w:ascii="Times New Roman" w:hAnsi="Times New Roman"/>
          <w:sz w:val="24"/>
          <w:szCs w:val="24"/>
        </w:rPr>
        <w:t xml:space="preserve"> –</w:t>
      </w:r>
      <w:r>
        <w:rPr>
          <w:rFonts w:ascii="Times New Roman" w:hAnsi="Times New Roman"/>
          <w:sz w:val="24"/>
          <w:szCs w:val="24"/>
        </w:rPr>
        <w:t xml:space="preserve"> Informācijas komunikācijas tehnoloģijas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IKVD – Izglītības kvalitātes valsts dienests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ISAF – Starptautisko drošības atbalsta spēku operācija Afganistānā</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IUB – Iepirkumu uzraudzības birojs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IZM – Izglītības un zinātnes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KLP – Kopējā lauksaimniecības politika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KM – Kultūras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KNAB – Korupcijas novēršanas un apkarošanas birojs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KPFI – Klimata pārmaiņu finanšu instruments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LAD – Lauku atbalsta dienests</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LBFV</w:t>
      </w:r>
      <w:r w:rsidR="000C467F">
        <w:rPr>
          <w:rFonts w:ascii="Times New Roman" w:hAnsi="Times New Roman"/>
          <w:sz w:val="24"/>
          <w:szCs w:val="24"/>
        </w:rPr>
        <w:t xml:space="preserve"> –</w:t>
      </w:r>
      <w:r>
        <w:rPr>
          <w:rFonts w:ascii="Times New Roman" w:hAnsi="Times New Roman"/>
          <w:sz w:val="24"/>
          <w:szCs w:val="24"/>
        </w:rPr>
        <w:t xml:space="preserve"> Likums par budžetu un finanšu vadību</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lastRenderedPageBreak/>
        <w:t>LDDK – Latvijas Darba devēju konfederācija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 xml:space="preserve">LDz – VAS </w:t>
      </w:r>
      <w:r w:rsidR="00B167ED">
        <w:rPr>
          <w:rFonts w:ascii="Times New Roman" w:hAnsi="Times New Roman"/>
          <w:sz w:val="24"/>
          <w:szCs w:val="24"/>
        </w:rPr>
        <w:t>"</w:t>
      </w:r>
      <w:r w:rsidRPr="00931D8E">
        <w:rPr>
          <w:rFonts w:ascii="Times New Roman" w:hAnsi="Times New Roman"/>
          <w:sz w:val="24"/>
          <w:szCs w:val="24"/>
        </w:rPr>
        <w:t>Latvijas dzelzceļš</w:t>
      </w:r>
      <w:r w:rsidR="00B167ED">
        <w:rPr>
          <w:rFonts w:ascii="Times New Roman" w:hAnsi="Times New Roman"/>
          <w:sz w:val="24"/>
          <w:szCs w:val="24"/>
        </w:rPr>
        <w:t>"</w:t>
      </w:r>
    </w:p>
    <w:p w:rsidR="00871110" w:rsidRPr="00931D8E" w:rsidRDefault="00871110" w:rsidP="00D85B41">
      <w:pPr>
        <w:spacing w:after="0" w:line="360" w:lineRule="auto"/>
        <w:rPr>
          <w:rFonts w:ascii="Times New Roman" w:eastAsia="Times New Roman" w:hAnsi="Times New Roman"/>
          <w:sz w:val="24"/>
          <w:szCs w:val="24"/>
        </w:rPr>
      </w:pPr>
      <w:r w:rsidRPr="00931D8E">
        <w:rPr>
          <w:rFonts w:ascii="Times New Roman" w:eastAsia="Times New Roman" w:hAnsi="Times New Roman"/>
          <w:sz w:val="24"/>
          <w:szCs w:val="24"/>
        </w:rPr>
        <w:t xml:space="preserve">LHZB </w:t>
      </w:r>
      <w:r w:rsidR="005725CB">
        <w:rPr>
          <w:rFonts w:ascii="Times New Roman" w:eastAsia="Times New Roman" w:hAnsi="Times New Roman"/>
          <w:sz w:val="24"/>
          <w:szCs w:val="24"/>
        </w:rPr>
        <w:t>–</w:t>
      </w:r>
      <w:r w:rsidRPr="00931D8E">
        <w:rPr>
          <w:rFonts w:ascii="Times New Roman" w:eastAsia="Times New Roman" w:hAnsi="Times New Roman"/>
          <w:sz w:val="24"/>
          <w:szCs w:val="24"/>
        </w:rPr>
        <w:t xml:space="preserve"> VAS </w:t>
      </w:r>
      <w:r w:rsidR="00B167ED">
        <w:rPr>
          <w:rFonts w:ascii="Times New Roman" w:eastAsia="Times New Roman" w:hAnsi="Times New Roman"/>
          <w:sz w:val="24"/>
          <w:szCs w:val="24"/>
        </w:rPr>
        <w:t>"</w:t>
      </w:r>
      <w:r w:rsidRPr="00931D8E">
        <w:rPr>
          <w:rFonts w:ascii="Times New Roman" w:eastAsia="Times New Roman" w:hAnsi="Times New Roman"/>
          <w:sz w:val="24"/>
          <w:szCs w:val="24"/>
        </w:rPr>
        <w:t>Latvijas Hipotēku un zemes banka</w:t>
      </w:r>
      <w:r w:rsidR="00B167ED">
        <w:rPr>
          <w:rFonts w:ascii="Times New Roman" w:eastAsia="Times New Roman" w:hAnsi="Times New Roman"/>
          <w:sz w:val="24"/>
          <w:szCs w:val="24"/>
        </w:rPr>
        <w:t>"</w:t>
      </w:r>
    </w:p>
    <w:p w:rsidR="00871110" w:rsidRPr="00931D8E" w:rsidRDefault="00871110" w:rsidP="00D85B41">
      <w:pPr>
        <w:spacing w:after="0" w:line="360" w:lineRule="auto"/>
        <w:rPr>
          <w:rFonts w:ascii="Times New Roman" w:hAnsi="Times New Roman"/>
          <w:sz w:val="24"/>
          <w:szCs w:val="24"/>
        </w:rPr>
      </w:pPr>
      <w:r w:rsidRPr="00931D8E">
        <w:rPr>
          <w:rFonts w:ascii="Times New Roman" w:eastAsia="Times New Roman" w:hAnsi="Times New Roman"/>
          <w:sz w:val="24"/>
          <w:szCs w:val="24"/>
        </w:rPr>
        <w:t>LI – Latvijas institūts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LIAS – Latvijas Investīciju un attīstības aģentūra</w:t>
      </w:r>
    </w:p>
    <w:p w:rsidR="00871110"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 xml:space="preserve">LIC – valsts aģentūra </w:t>
      </w:r>
      <w:r w:rsidR="00B167ED">
        <w:rPr>
          <w:rFonts w:ascii="Times New Roman" w:hAnsi="Times New Roman"/>
          <w:sz w:val="24"/>
          <w:szCs w:val="24"/>
        </w:rPr>
        <w:t>"</w:t>
      </w:r>
      <w:r w:rsidRPr="00931D8E">
        <w:rPr>
          <w:rFonts w:ascii="Times New Roman" w:hAnsi="Times New Roman"/>
          <w:sz w:val="24"/>
          <w:szCs w:val="24"/>
        </w:rPr>
        <w:t>Latvijas Infektoloģijas centrs</w:t>
      </w:r>
      <w:r w:rsidR="00B167ED">
        <w:rPr>
          <w:rFonts w:ascii="Times New Roman" w:hAnsi="Times New Roman"/>
          <w:sz w:val="24"/>
          <w:szCs w:val="24"/>
        </w:rPr>
        <w:t>"</w:t>
      </w:r>
    </w:p>
    <w:p w:rsidR="00871110" w:rsidRPr="00931D8E" w:rsidRDefault="00871110" w:rsidP="00D85B41">
      <w:pPr>
        <w:spacing w:after="0" w:line="360" w:lineRule="auto"/>
        <w:rPr>
          <w:rFonts w:ascii="Times New Roman" w:hAnsi="Times New Roman"/>
          <w:sz w:val="24"/>
          <w:szCs w:val="24"/>
        </w:rPr>
      </w:pPr>
      <w:r>
        <w:rPr>
          <w:rFonts w:ascii="Times New Roman" w:hAnsi="Times New Roman"/>
          <w:sz w:val="24"/>
          <w:szCs w:val="24"/>
        </w:rPr>
        <w:t>LLKC – Latvijas lauku konsultāciju un izglītības centrs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LM – Labklājības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LNB – Latvijas Nacionālā bibliotēka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LPS – Latvijas Pašvaldību savienība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LTRK – Latvijas Tirdzniecības un rūpniecības kamera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LVA – Latviešu valodas aģentūra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MK – Ministru kabinets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MKK – Ministru kabineta komiteja</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NAP – Nacionālais attīstības plāns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NATO – Ziemeļatlantijas līguma organizācija</w:t>
      </w:r>
    </w:p>
    <w:p w:rsidR="00871110" w:rsidRPr="00931D8E" w:rsidRDefault="00871110" w:rsidP="00D85B41">
      <w:pPr>
        <w:spacing w:after="0" w:line="360" w:lineRule="auto"/>
        <w:rPr>
          <w:rFonts w:ascii="Times New Roman" w:hAnsi="Times New Roman"/>
          <w:sz w:val="24"/>
          <w:szCs w:val="24"/>
        </w:rPr>
      </w:pPr>
      <w:r w:rsidRPr="00931D8E">
        <w:rPr>
          <w:rFonts w:ascii="Times New Roman" w:eastAsia="Times New Roman" w:hAnsi="Times New Roman" w:cs="Times New Roman"/>
          <w:sz w:val="24"/>
          <w:szCs w:val="24"/>
        </w:rPr>
        <w:t>NVA − Nodarbinātības valsts aģentūra</w:t>
      </w:r>
    </w:p>
    <w:p w:rsidR="00871110"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PKC – Pārresoru koordinācijas centrs</w:t>
      </w:r>
    </w:p>
    <w:p w:rsidR="001E79B2" w:rsidRPr="00931D8E" w:rsidRDefault="001E79B2" w:rsidP="00D85B41">
      <w:pPr>
        <w:spacing w:after="0" w:line="360" w:lineRule="auto"/>
        <w:rPr>
          <w:rFonts w:ascii="Times New Roman" w:hAnsi="Times New Roman"/>
          <w:sz w:val="24"/>
          <w:szCs w:val="24"/>
        </w:rPr>
      </w:pPr>
      <w:r>
        <w:rPr>
          <w:rFonts w:ascii="Times New Roman" w:hAnsi="Times New Roman"/>
          <w:sz w:val="24"/>
          <w:szCs w:val="24"/>
        </w:rPr>
        <w:t>PMLP – Pilsonības un migrācijas lietu pārvalde</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PVD – Pārtikas veterinārais dienests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PVN – pievienotās vērtības nodoklis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RPP – Reģionālās politikas pamatnostādnes 2020.gadam</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 xml:space="preserve">RVG </w:t>
      </w:r>
      <w:r w:rsidR="005725CB">
        <w:rPr>
          <w:rFonts w:ascii="Times New Roman" w:hAnsi="Times New Roman"/>
          <w:sz w:val="24"/>
          <w:szCs w:val="24"/>
        </w:rPr>
        <w:t>–</w:t>
      </w:r>
      <w:r w:rsidRPr="00931D8E">
        <w:rPr>
          <w:rFonts w:ascii="Times New Roman" w:hAnsi="Times New Roman"/>
          <w:sz w:val="24"/>
          <w:szCs w:val="24"/>
        </w:rPr>
        <w:t xml:space="preserve"> Reformu vadības grupa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SIA – sabiedrība ar ierobežotu atbildību</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SIF – Sabiedrības integrācijas fonds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SM – Satiksmes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SPKC – Slimību profilakses un kontroles centrs</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SVF</w:t>
      </w:r>
      <w:r w:rsidR="005725CB">
        <w:rPr>
          <w:rFonts w:ascii="Times New Roman" w:hAnsi="Times New Roman"/>
          <w:sz w:val="24"/>
          <w:szCs w:val="24"/>
        </w:rPr>
        <w:t xml:space="preserve"> –</w:t>
      </w:r>
      <w:r>
        <w:rPr>
          <w:rFonts w:ascii="Times New Roman" w:hAnsi="Times New Roman"/>
          <w:sz w:val="24"/>
          <w:szCs w:val="24"/>
        </w:rPr>
        <w:t xml:space="preserve"> Starptautiskais Valūtas fonds</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TAPIS – Teritorijas attīstības plānošanas informācijas sistēma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TEN–T – Eiropas Transporta tīkls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TM – Tieslietu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lastRenderedPageBreak/>
        <w:t>UR – Uzņēmumu reģistrs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VARAM – Vides aizsardzības un reģionālās attīstības ministrija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VAS – valsts akciju sabiedrība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VBTS – vienotā biļešu tirdzniecības sistēma</w:t>
      </w:r>
    </w:p>
    <w:p w:rsidR="00871110" w:rsidRPr="00931D8E" w:rsidRDefault="00871110" w:rsidP="00D85B41">
      <w:pPr>
        <w:spacing w:after="0" w:line="360" w:lineRule="auto"/>
        <w:rPr>
          <w:rFonts w:ascii="Times New Roman" w:hAnsi="Times New Roman"/>
          <w:sz w:val="24"/>
          <w:szCs w:val="24"/>
        </w:rPr>
      </w:pPr>
      <w:r w:rsidRPr="00931D8E">
        <w:rPr>
          <w:rFonts w:ascii="Times New Roman" w:eastAsia="Times New Roman" w:hAnsi="Times New Roman" w:cs="Times New Roman"/>
          <w:sz w:val="24"/>
          <w:szCs w:val="24"/>
        </w:rPr>
        <w:t>VDI – Valsts darba inspekcija</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VIAA – Valsts izglītības attīstības aģentūra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VID – Valsts ieņēmumu dienests</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VISC – Vals</w:t>
      </w:r>
      <w:r w:rsidR="003D6E5D">
        <w:rPr>
          <w:rFonts w:ascii="Times New Roman" w:hAnsi="Times New Roman"/>
          <w:sz w:val="24"/>
          <w:szCs w:val="24"/>
        </w:rPr>
        <w:t>t</w:t>
      </w:r>
      <w:r>
        <w:rPr>
          <w:rFonts w:ascii="Times New Roman" w:hAnsi="Times New Roman"/>
          <w:sz w:val="24"/>
          <w:szCs w:val="24"/>
        </w:rPr>
        <w:t>s izglītības satura centrs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VK – Valsts kanceleja</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 xml:space="preserve">VKKF – Valsts </w:t>
      </w:r>
      <w:r w:rsidR="00A57B39">
        <w:rPr>
          <w:rFonts w:ascii="Times New Roman" w:hAnsi="Times New Roman"/>
          <w:sz w:val="24"/>
          <w:szCs w:val="24"/>
        </w:rPr>
        <w:t>k</w:t>
      </w:r>
      <w:r>
        <w:rPr>
          <w:rFonts w:ascii="Times New Roman" w:hAnsi="Times New Roman"/>
          <w:sz w:val="24"/>
          <w:szCs w:val="24"/>
        </w:rPr>
        <w:t>ultūrkapitāla fonds</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VM – Veselības ministrija</w:t>
      </w:r>
    </w:p>
    <w:p w:rsidR="00871110" w:rsidRDefault="00871110" w:rsidP="00D85B41">
      <w:pPr>
        <w:spacing w:after="0" w:line="360" w:lineRule="auto"/>
        <w:rPr>
          <w:rFonts w:ascii="Times New Roman" w:hAnsi="Times New Roman"/>
          <w:sz w:val="24"/>
          <w:szCs w:val="24"/>
        </w:rPr>
      </w:pPr>
      <w:r>
        <w:rPr>
          <w:rFonts w:ascii="Times New Roman" w:hAnsi="Times New Roman"/>
          <w:sz w:val="24"/>
          <w:szCs w:val="24"/>
        </w:rPr>
        <w:t>VRAA – Valsts reģionālās attīstības aģentūra</w:t>
      </w:r>
    </w:p>
    <w:p w:rsidR="00871110" w:rsidRPr="00931D8E" w:rsidRDefault="00871110" w:rsidP="00D85B41">
      <w:pPr>
        <w:spacing w:after="0" w:line="360" w:lineRule="auto"/>
        <w:rPr>
          <w:rFonts w:ascii="Times New Roman" w:hAnsi="Times New Roman"/>
          <w:sz w:val="24"/>
          <w:szCs w:val="24"/>
        </w:rPr>
      </w:pPr>
      <w:r w:rsidRPr="00931D8E">
        <w:rPr>
          <w:rFonts w:ascii="Times New Roman" w:hAnsi="Times New Roman"/>
          <w:sz w:val="24"/>
          <w:szCs w:val="24"/>
        </w:rPr>
        <w:t>VSS – Valsts sekretāru sanāksme</w:t>
      </w:r>
    </w:p>
    <w:p w:rsidR="00871110" w:rsidRPr="006202E5" w:rsidRDefault="00871110" w:rsidP="00D85B41">
      <w:pPr>
        <w:spacing w:after="0" w:line="360" w:lineRule="auto"/>
        <w:rPr>
          <w:sz w:val="24"/>
          <w:szCs w:val="24"/>
        </w:rPr>
      </w:pPr>
      <w:r w:rsidRPr="00931D8E">
        <w:rPr>
          <w:rFonts w:ascii="Times New Roman" w:hAnsi="Times New Roman"/>
          <w:sz w:val="24"/>
          <w:szCs w:val="24"/>
        </w:rPr>
        <w:t>ZM – Zemkopības ministrija</w:t>
      </w:r>
    </w:p>
    <w:p w:rsidR="00871110" w:rsidRDefault="00871110">
      <w:pPr>
        <w:rPr>
          <w:rFonts w:ascii="Times New Roman" w:eastAsia="Calibri" w:hAnsi="Times New Roman" w:cs="Times New Roman"/>
          <w:b/>
          <w:bCs/>
          <w:kern w:val="36"/>
          <w:sz w:val="24"/>
          <w:szCs w:val="24"/>
        </w:rPr>
      </w:pPr>
      <w:r>
        <w:rPr>
          <w:sz w:val="24"/>
        </w:rPr>
        <w:br w:type="page"/>
      </w:r>
    </w:p>
    <w:p w:rsidR="00EE6B47" w:rsidRPr="00871110" w:rsidRDefault="00254FF9" w:rsidP="00871110">
      <w:pPr>
        <w:pStyle w:val="Heading1"/>
      </w:pPr>
      <w:bookmarkStart w:id="7" w:name="_Toc348948314"/>
      <w:r w:rsidRPr="00871110">
        <w:lastRenderedPageBreak/>
        <w:t xml:space="preserve">I. </w:t>
      </w:r>
      <w:r w:rsidR="00EE6B47" w:rsidRPr="00871110">
        <w:t>Cilvēkkapitāls</w:t>
      </w:r>
      <w:bookmarkEnd w:id="7"/>
    </w:p>
    <w:p w:rsidR="00FD601E" w:rsidRPr="00FD601E" w:rsidRDefault="00EE6B47" w:rsidP="00FD601E">
      <w:pPr>
        <w:pStyle w:val="Heading2"/>
      </w:pPr>
      <w:bookmarkStart w:id="8" w:name="_Toc348948315"/>
      <w:r w:rsidRPr="00FD601E">
        <w:t xml:space="preserve">1. Sociālā </w:t>
      </w:r>
      <w:r w:rsidR="00FC6245">
        <w:t>aizsardzība</w:t>
      </w:r>
      <w:bookmarkEnd w:id="8"/>
    </w:p>
    <w:p w:rsidR="00937643" w:rsidRPr="006202E5" w:rsidRDefault="00937643" w:rsidP="00937643">
      <w:pPr>
        <w:pStyle w:val="Heading3"/>
        <w:rPr>
          <w:rFonts w:eastAsia="Times New Roman" w:cs="Times New Roman"/>
          <w:lang w:eastAsia="en-US"/>
        </w:rPr>
      </w:pPr>
      <w:bookmarkStart w:id="9" w:name="_Toc348948316"/>
      <w:r w:rsidRPr="006202E5">
        <w:rPr>
          <w:rFonts w:eastAsia="Times New Roman" w:cs="Times New Roman"/>
          <w:lang w:eastAsia="en-US"/>
        </w:rPr>
        <w:t>1.1.</w:t>
      </w:r>
      <w:r w:rsidR="003D6E5D">
        <w:rPr>
          <w:rFonts w:eastAsia="Times New Roman" w:cs="Times New Roman"/>
          <w:lang w:eastAsia="en-US"/>
        </w:rPr>
        <w:t xml:space="preserve"> </w:t>
      </w:r>
      <w:r w:rsidRPr="006202E5">
        <w:rPr>
          <w:rFonts w:eastAsia="Times New Roman" w:cs="Times New Roman"/>
          <w:lang w:eastAsia="en-US"/>
        </w:rPr>
        <w:t>Sociālās drošības tīkla stratēģijas īstenošana</w:t>
      </w:r>
      <w:bookmarkEnd w:id="9"/>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 xml:space="preserve">2012.gads bija pēdējais Sociālās drošības tīkla stratēģijas īstenošanā, atvēlot tam 44,6 miljonus latu. Tās ietvaros sniegts valsts atbalsts pašvaldībām, lai iedzīvotājiem ar viszemākajiem ienākumiem būtu iespējams saņemt pabalstu garantētā minimālā ienākumu līmeņa nodrošināšanai un dzīvokļa pabalstu, </w:t>
      </w:r>
      <w:r w:rsidR="003D6E5D">
        <w:rPr>
          <w:rFonts w:ascii="Times New Roman" w:eastAsia="Times New Roman" w:hAnsi="Times New Roman" w:cs="Times New Roman"/>
          <w:sz w:val="24"/>
          <w:szCs w:val="24"/>
          <w:lang w:eastAsia="en-US"/>
        </w:rPr>
        <w:t xml:space="preserve">būtu </w:t>
      </w:r>
      <w:r w:rsidRPr="006202E5">
        <w:rPr>
          <w:rFonts w:ascii="Times New Roman" w:eastAsia="Times New Roman" w:hAnsi="Times New Roman" w:cs="Times New Roman"/>
          <w:sz w:val="24"/>
          <w:szCs w:val="24"/>
          <w:lang w:eastAsia="en-US"/>
        </w:rPr>
        <w:t>nodrošināta pamata veselības aprūpes pakalpojumu un sabiedriskā transporta pakalpojumu pieejamība. No 2013.gada pakalpojumi veselības aprūpes un satiksmes jomās tiek finansēti valsts pamatbudžeta ietvaros</w:t>
      </w:r>
      <w:r w:rsidRPr="006202E5">
        <w:rPr>
          <w:rFonts w:ascii="Times New Roman" w:eastAsia="Times New Roman" w:hAnsi="Times New Roman" w:cs="Times New Roman"/>
          <w:sz w:val="24"/>
          <w:szCs w:val="24"/>
          <w:vertAlign w:val="superscript"/>
          <w:lang w:eastAsia="en-US"/>
        </w:rPr>
        <w:footnoteReference w:id="1"/>
      </w:r>
      <w:r w:rsidRPr="006202E5">
        <w:rPr>
          <w:rFonts w:ascii="Times New Roman" w:eastAsia="Times New Roman" w:hAnsi="Times New Roman" w:cs="Times New Roman"/>
          <w:sz w:val="24"/>
          <w:szCs w:val="24"/>
          <w:lang w:eastAsia="en-US"/>
        </w:rPr>
        <w:t xml:space="preserve">, savukārt sociālās palīdzības pabalstu finansēšanā atjaunots princips, kāds bija pirms Stratēģijas, t.i., pabalstus pilnībā finansē no pašvaldības budžeta līdzekļiem. </w:t>
      </w:r>
      <w:r w:rsidR="002549E8">
        <w:rPr>
          <w:rFonts w:ascii="Times New Roman" w:eastAsia="Times New Roman" w:hAnsi="Times New Roman" w:cs="Times New Roman"/>
          <w:sz w:val="24"/>
          <w:szCs w:val="24"/>
          <w:lang w:eastAsia="en-US"/>
        </w:rPr>
        <w:t>GMI</w:t>
      </w:r>
      <w:r w:rsidR="00A32DD5">
        <w:rPr>
          <w:rFonts w:ascii="Times New Roman" w:eastAsia="Times New Roman" w:hAnsi="Times New Roman" w:cs="Times New Roman"/>
          <w:sz w:val="24"/>
          <w:szCs w:val="24"/>
          <w:lang w:eastAsia="en-US"/>
        </w:rPr>
        <w:t xml:space="preserve"> </w:t>
      </w:r>
      <w:r w:rsidRPr="006202E5">
        <w:rPr>
          <w:rFonts w:ascii="Times New Roman" w:eastAsia="Times New Roman" w:hAnsi="Times New Roman" w:cs="Times New Roman"/>
          <w:sz w:val="24"/>
          <w:szCs w:val="24"/>
          <w:lang w:eastAsia="en-US"/>
        </w:rPr>
        <w:t xml:space="preserve">līmenis no 2013.gada ir 35 </w:t>
      </w:r>
      <w:r w:rsidR="00A32DD5">
        <w:rPr>
          <w:rFonts w:ascii="Times New Roman" w:eastAsia="Times New Roman" w:hAnsi="Times New Roman" w:cs="Times New Roman"/>
          <w:sz w:val="24"/>
          <w:szCs w:val="24"/>
          <w:lang w:eastAsia="en-US"/>
        </w:rPr>
        <w:t>lati</w:t>
      </w:r>
      <w:r w:rsidRPr="006202E5">
        <w:rPr>
          <w:rFonts w:ascii="Times New Roman" w:eastAsia="Times New Roman" w:hAnsi="Times New Roman" w:cs="Times New Roman"/>
          <w:sz w:val="24"/>
          <w:szCs w:val="24"/>
          <w:lang w:eastAsia="en-US"/>
        </w:rPr>
        <w:t xml:space="preserve"> mēnesī (2012.gadā </w:t>
      </w:r>
      <w:r w:rsidR="003D6E5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40 lat</w:t>
      </w:r>
      <w:r w:rsidR="003D6E5D">
        <w:rPr>
          <w:rFonts w:ascii="Times New Roman" w:eastAsia="Times New Roman" w:hAnsi="Times New Roman" w:cs="Times New Roman"/>
          <w:sz w:val="24"/>
          <w:szCs w:val="24"/>
          <w:lang w:eastAsia="en-US"/>
        </w:rPr>
        <w:t>u</w:t>
      </w:r>
      <w:r w:rsidRPr="006202E5">
        <w:rPr>
          <w:rFonts w:ascii="Times New Roman" w:eastAsia="Times New Roman" w:hAnsi="Times New Roman" w:cs="Times New Roman"/>
          <w:sz w:val="24"/>
          <w:szCs w:val="24"/>
          <w:lang w:eastAsia="en-US"/>
        </w:rPr>
        <w:t xml:space="preserve"> pieaugušai personai, 45 lati bērnam). Vienlaikus paredzēts, ka pašvaldībām ir tiesības noteikt augstāku </w:t>
      </w:r>
      <w:r w:rsidR="002549E8">
        <w:rPr>
          <w:rFonts w:ascii="Times New Roman" w:eastAsia="Times New Roman" w:hAnsi="Times New Roman" w:cs="Times New Roman"/>
          <w:sz w:val="24"/>
          <w:szCs w:val="24"/>
          <w:lang w:eastAsia="en-US"/>
        </w:rPr>
        <w:t>GMI</w:t>
      </w:r>
      <w:r w:rsidR="003D6E5D">
        <w:rPr>
          <w:rFonts w:ascii="Times New Roman" w:eastAsia="Times New Roman" w:hAnsi="Times New Roman" w:cs="Times New Roman"/>
          <w:sz w:val="24"/>
          <w:szCs w:val="24"/>
          <w:lang w:eastAsia="en-US"/>
        </w:rPr>
        <w:t xml:space="preserve"> līmeni –</w:t>
      </w:r>
      <w:r w:rsidRPr="006202E5">
        <w:rPr>
          <w:rFonts w:ascii="Times New Roman" w:eastAsia="Times New Roman" w:hAnsi="Times New Roman" w:cs="Times New Roman"/>
          <w:sz w:val="24"/>
          <w:szCs w:val="24"/>
          <w:lang w:eastAsia="en-US"/>
        </w:rPr>
        <w:t>līdz 90</w:t>
      </w:r>
      <w:r w:rsidR="003D6E5D">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latiem – dažādām iedzīvotāju grupām, piemēram, bērniem, vecuma un invaliditātes pensiju saņēmējiem.</w:t>
      </w:r>
    </w:p>
    <w:p w:rsidR="00937643" w:rsidRPr="006202E5" w:rsidRDefault="00937643" w:rsidP="00937643">
      <w:pPr>
        <w:pStyle w:val="Heading3"/>
        <w:rPr>
          <w:rFonts w:eastAsia="Times New Roman" w:cs="Times New Roman"/>
          <w:lang w:eastAsia="en-US"/>
        </w:rPr>
      </w:pPr>
      <w:bookmarkStart w:id="10" w:name="_Toc348948317"/>
      <w:r w:rsidRPr="006202E5">
        <w:rPr>
          <w:rFonts w:eastAsia="Times New Roman" w:cs="Times New Roman"/>
          <w:lang w:eastAsia="en-US"/>
        </w:rPr>
        <w:t>1.2. Sociālo pakalpojumu un sociālā darba attīstība</w:t>
      </w:r>
      <w:bookmarkEnd w:id="10"/>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8B53A2">
        <w:rPr>
          <w:rFonts w:ascii="Times New Roman" w:eastAsia="Times New Roman" w:hAnsi="Times New Roman" w:cs="Times New Roman"/>
          <w:sz w:val="24"/>
          <w:szCs w:val="24"/>
        </w:rPr>
        <w:t>2012.gadā sākts un 2013.gadā turpinās darbs pie rīcībpolitikas dokument</w:t>
      </w:r>
      <w:r>
        <w:rPr>
          <w:rFonts w:ascii="Times New Roman" w:eastAsia="Times New Roman" w:hAnsi="Times New Roman" w:cs="Times New Roman"/>
          <w:sz w:val="24"/>
          <w:szCs w:val="24"/>
        </w:rPr>
        <w:t>u izstrādes</w:t>
      </w:r>
      <w:r w:rsidRPr="008B53A2">
        <w:rPr>
          <w:rFonts w:ascii="Times New Roman" w:eastAsia="Times New Roman" w:hAnsi="Times New Roman" w:cs="Times New Roman"/>
          <w:sz w:val="24"/>
          <w:szCs w:val="24"/>
        </w:rPr>
        <w:t xml:space="preserve"> sociālo pakalpojumu un sociālā darba attīstībai.</w:t>
      </w:r>
      <w:r w:rsidRPr="008B53A2">
        <w:rPr>
          <w:rFonts w:ascii="Times New Roman" w:eastAsia="Times New Roman" w:hAnsi="Times New Roman" w:cs="Times New Roman"/>
          <w:sz w:val="24"/>
          <w:szCs w:val="24"/>
          <w:lang w:eastAsia="en-US"/>
        </w:rPr>
        <w:t xml:space="preserve"> </w:t>
      </w:r>
      <w:r w:rsidRPr="006202E5">
        <w:rPr>
          <w:rFonts w:ascii="Times New Roman" w:eastAsia="Times New Roman" w:hAnsi="Times New Roman" w:cs="Times New Roman"/>
          <w:sz w:val="24"/>
          <w:szCs w:val="24"/>
          <w:lang w:eastAsia="en-US"/>
        </w:rPr>
        <w:t xml:space="preserve">Sociālo pakalpojumu jomā uzsvars būs uz pakalpojumu dažādošanu un institūcijām alternatīvu pakalpojumu attīstību ar mērķi aktivizēt tā saucamos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kopienā balstītos pakalpojumus</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kas ļauj pakalpojuma saņēmējam būt savā ierastajā vidē vai maksimāli tuvu tai. Sociālā darba jomā rīcība būs vērsta uz starpinstitūciju un speciālistu sadarbības stiprināšanu sociālā darba praksē, sociālā darba procesa vadības un kvalitātes uzlabošanu, sociālo darbinieku izglītību un tālākizglītību. </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 xml:space="preserve">2012.gadā bija plānots reformēt sociālās palīdzības sistēmu, pamatā to orientējot uz sistēmas klientu atgriešanu darba tirgū un būtiski mainot atbalsta apmēru tiem, kuru atgriešana darba tirgū ir bezcerīga vai objektīvi nav iespējama. Taču ņemot vērā, ka Pasaules Banka, piesaistot arī vietējos ekspertus, 2012.gadā sāka un 2013.gadā turpina pētījumu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Latvija: kurš ir bezdarbnieks </w:t>
      </w:r>
      <w:r w:rsidR="003D6E5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ekonomiski neaktīvais vai trūcīgais?</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vertAlign w:val="superscript"/>
          <w:lang w:eastAsia="en-US"/>
        </w:rPr>
        <w:footnoteReference w:id="2"/>
      </w:r>
      <w:r w:rsidRPr="006202E5">
        <w:rPr>
          <w:rFonts w:ascii="Times New Roman" w:eastAsia="Times New Roman" w:hAnsi="Times New Roman" w:cs="Times New Roman"/>
          <w:sz w:val="24"/>
          <w:szCs w:val="24"/>
          <w:lang w:eastAsia="en-US"/>
        </w:rPr>
        <w:t xml:space="preserve">, </w:t>
      </w:r>
      <w:r w:rsidR="00A32DD5">
        <w:rPr>
          <w:rFonts w:ascii="Times New Roman" w:eastAsia="Times New Roman" w:hAnsi="Times New Roman" w:cs="Times New Roman"/>
          <w:sz w:val="24"/>
          <w:szCs w:val="24"/>
          <w:lang w:eastAsia="en-US"/>
        </w:rPr>
        <w:t>kas varētu sniegt būtiskus secinājumus</w:t>
      </w:r>
      <w:r w:rsidRPr="006202E5">
        <w:rPr>
          <w:rFonts w:ascii="Times New Roman" w:eastAsia="Times New Roman" w:hAnsi="Times New Roman" w:cs="Times New Roman"/>
          <w:sz w:val="24"/>
          <w:szCs w:val="24"/>
          <w:lang w:eastAsia="en-US"/>
        </w:rPr>
        <w:t>, uz kuriem balstīt turpmākās idejas par nodarbinātības un sociālās aizsardzības jomu attīstību, nolemts priekšlikumus sociālās palīdzības sistēmas maiņai skatīt MK 2013.gada augustā.</w:t>
      </w:r>
    </w:p>
    <w:p w:rsidR="00937643" w:rsidRPr="006202E5" w:rsidRDefault="00937643" w:rsidP="00937643">
      <w:pPr>
        <w:pStyle w:val="NormalWeb"/>
        <w:spacing w:before="0" w:beforeAutospacing="0" w:after="0" w:afterAutospacing="0"/>
        <w:ind w:firstLine="720"/>
        <w:jc w:val="both"/>
        <w:rPr>
          <w:lang w:eastAsia="en-US"/>
        </w:rPr>
      </w:pPr>
      <w:r w:rsidRPr="006202E5">
        <w:rPr>
          <w:lang w:eastAsia="en-US"/>
        </w:rPr>
        <w:t xml:space="preserve">Personu ar invaliditāti atbalstam no 2012./2013.mācību gada pieejams asistenta pakalpojums izglītības apguves procesā – vispārizglītojošās skolās, profesionālās izglītības iestādēs, augstskolās. Gan bērniem </w:t>
      </w:r>
      <w:r w:rsidR="00A32DD5">
        <w:rPr>
          <w:lang w:eastAsia="en-US"/>
        </w:rPr>
        <w:t xml:space="preserve">(no 5 līdz 18 gadiem) </w:t>
      </w:r>
      <w:r w:rsidRPr="006202E5">
        <w:rPr>
          <w:lang w:eastAsia="en-US"/>
        </w:rPr>
        <w:t xml:space="preserve">ar invaliditāti, gan pieaugušajiem ar I un II invaliditātes grupu no 2013.gada pieejams asistenta pakalpojums, ko līdz 40 stundām nedēļā nodrošina pašvaldība. Tas paredzēts, lai atvieglotu cilvēku ar invaliditāti pārvietošanos ārpus mājokļa un nokļūšanu vietā, kur </w:t>
      </w:r>
      <w:r w:rsidRPr="006202E5">
        <w:rPr>
          <w:lang w:eastAsia="en-US"/>
        </w:rPr>
        <w:lastRenderedPageBreak/>
        <w:t>cilvēks strādā, mācās, saņem pakalpojumu vai veic sabiedriskās aktivitātes. Savukārt personām ar dzirdes invaliditāti no 2013.gada līdz 120 stundām gadā pieejams surdotulka pakalpojums saskarsmei ar citām fiziskām un juridiskām personām. To nodrošina Latvijas Nedzirdīgo savienība.</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 xml:space="preserve">Lai valsts nodrošināto ilgstošo sociālo aprūpi personām ar garīga rakstura traucējumiem vērstu vairāk uz klientu orientētu, LM piešķirti papildu līdzekļi izmēģinājuma projektam, ar kura palīdzību valsts sociālās aprūpes centros izveidos sistēmu klientu dalījumam četros aprūpes līmeņos, nosakot katram līmenim nepieciešamo aprūpes personāla </w:t>
      </w:r>
      <w:r w:rsidR="003D6E5D">
        <w:rPr>
          <w:rFonts w:ascii="Times New Roman" w:eastAsia="Times New Roman" w:hAnsi="Times New Roman" w:cs="Times New Roman"/>
          <w:sz w:val="24"/>
          <w:szCs w:val="24"/>
          <w:lang w:eastAsia="en-US"/>
        </w:rPr>
        <w:t>skait</w:t>
      </w:r>
      <w:r w:rsidRPr="006202E5">
        <w:rPr>
          <w:rFonts w:ascii="Times New Roman" w:eastAsia="Times New Roman" w:hAnsi="Times New Roman" w:cs="Times New Roman"/>
          <w:sz w:val="24"/>
          <w:szCs w:val="24"/>
          <w:lang w:eastAsia="en-US"/>
        </w:rPr>
        <w:t xml:space="preserve">u. </w:t>
      </w:r>
    </w:p>
    <w:p w:rsidR="00937643" w:rsidRPr="00FD601E" w:rsidRDefault="00937643" w:rsidP="00937643">
      <w:pPr>
        <w:pStyle w:val="NormalWeb"/>
        <w:spacing w:before="0" w:beforeAutospacing="0" w:after="0" w:afterAutospacing="0"/>
        <w:ind w:firstLine="720"/>
        <w:jc w:val="both"/>
      </w:pPr>
      <w:r w:rsidRPr="006202E5">
        <w:rPr>
          <w:lang w:eastAsia="en-US"/>
        </w:rPr>
        <w:t>2012.gadā atbalsts sociālās atstumtības mazināšanai riska grupām nodrošināts, iesaistot arī pilsonisko sabiedrību. Latvijas</w:t>
      </w:r>
      <w:r w:rsidR="003D6E5D">
        <w:rPr>
          <w:lang w:eastAsia="en-US"/>
        </w:rPr>
        <w:t>–</w:t>
      </w:r>
      <w:r w:rsidRPr="006202E5">
        <w:rPr>
          <w:lang w:eastAsia="en-US"/>
        </w:rPr>
        <w:t xml:space="preserve">Šveices sadarbības programmas </w:t>
      </w:r>
      <w:r w:rsidR="00B167ED">
        <w:rPr>
          <w:lang w:eastAsia="en-US"/>
        </w:rPr>
        <w:t>"</w:t>
      </w:r>
      <w:r w:rsidRPr="006202E5">
        <w:rPr>
          <w:lang w:eastAsia="en-US"/>
        </w:rPr>
        <w:t>NVO fonds</w:t>
      </w:r>
      <w:r w:rsidR="00B167ED">
        <w:rPr>
          <w:lang w:eastAsia="en-US"/>
        </w:rPr>
        <w:t>"</w:t>
      </w:r>
      <w:r w:rsidRPr="006202E5">
        <w:rPr>
          <w:lang w:eastAsia="en-US"/>
        </w:rPr>
        <w:t xml:space="preserve"> ietvaros </w:t>
      </w:r>
      <w:r w:rsidR="00A32DD5">
        <w:rPr>
          <w:lang w:eastAsia="en-US"/>
        </w:rPr>
        <w:t>tika izsludināts</w:t>
      </w:r>
      <w:r w:rsidRPr="006202E5">
        <w:rPr>
          <w:lang w:eastAsia="en-US"/>
        </w:rPr>
        <w:t xml:space="preserve"> grantu konkurs</w:t>
      </w:r>
      <w:r w:rsidR="00C15931">
        <w:rPr>
          <w:lang w:eastAsia="en-US"/>
        </w:rPr>
        <w:t>s</w:t>
      </w:r>
      <w:r w:rsidRPr="006202E5">
        <w:rPr>
          <w:lang w:eastAsia="en-US"/>
        </w:rPr>
        <w:t xml:space="preserve"> nevalstiskām organizācijām ar mērķi </w:t>
      </w:r>
      <w:r w:rsidRPr="006202E5">
        <w:t>veicināt pilsoniskās sabiedrības ieguldījumu ekonomisko un  sociālo atšķirību mazināšanā, atbalstot  aktivitātes, kas uzlabo dzīves kvalitāti bērniem un jauniešiem, kuri pakļauti sociālās atstumtības un nabadzības riskam, kā arī senioriem. Šo aktivitāšu ietvaros atbalsts sniegts kopumā 9570 bērniem un jauniešiem, kas pakļauti sociālās atstumtības un nabadzības riskam, kā arī 5119 senioriem, kopējais finansējums – 450 002, 67 lati.</w:t>
      </w:r>
    </w:p>
    <w:p w:rsidR="00937643" w:rsidRPr="006202E5" w:rsidRDefault="00937643" w:rsidP="00937643">
      <w:pPr>
        <w:pStyle w:val="Heading3"/>
        <w:rPr>
          <w:rFonts w:eastAsia="Times New Roman" w:cs="Times New Roman"/>
          <w:lang w:eastAsia="en-US"/>
        </w:rPr>
      </w:pPr>
      <w:bookmarkStart w:id="11" w:name="_Toc348948318"/>
      <w:r w:rsidRPr="006202E5">
        <w:rPr>
          <w:rFonts w:eastAsia="Times New Roman" w:cs="Times New Roman"/>
          <w:lang w:eastAsia="en-US"/>
        </w:rPr>
        <w:t xml:space="preserve">1.3. </w:t>
      </w:r>
      <w:r>
        <w:rPr>
          <w:rFonts w:eastAsia="Times New Roman" w:cs="Times New Roman"/>
          <w:lang w:eastAsia="en-US"/>
        </w:rPr>
        <w:t>Izmaiņas pensiju politikā</w:t>
      </w:r>
      <w:bookmarkEnd w:id="11"/>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 xml:space="preserve">Īstenojot sociālās apdrošināšanas politiku, 2012.gadā atjaunota iemaksu likmes </w:t>
      </w:r>
      <w:r w:rsidR="0069106E" w:rsidRPr="006202E5">
        <w:rPr>
          <w:rFonts w:ascii="Times New Roman" w:eastAsia="Times New Roman" w:hAnsi="Times New Roman" w:cs="Times New Roman"/>
          <w:sz w:val="24"/>
          <w:szCs w:val="24"/>
          <w:lang w:eastAsia="en-US"/>
        </w:rPr>
        <w:t xml:space="preserve">paaugstināšana </w:t>
      </w:r>
      <w:r w:rsidRPr="006202E5">
        <w:rPr>
          <w:rFonts w:ascii="Times New Roman" w:eastAsia="Times New Roman" w:hAnsi="Times New Roman" w:cs="Times New Roman"/>
          <w:sz w:val="24"/>
          <w:szCs w:val="24"/>
          <w:lang w:eastAsia="en-US"/>
        </w:rPr>
        <w:t>valsts fondēto pensiju shēmā,</w:t>
      </w:r>
      <w:r>
        <w:rPr>
          <w:rFonts w:ascii="Times New Roman" w:eastAsia="Times New Roman" w:hAnsi="Times New Roman" w:cs="Times New Roman"/>
          <w:sz w:val="24"/>
          <w:szCs w:val="24"/>
          <w:lang w:eastAsia="en-US"/>
        </w:rPr>
        <w:t xml:space="preserve"> </w:t>
      </w:r>
      <w:r w:rsidRPr="006202E5">
        <w:rPr>
          <w:rFonts w:ascii="Times New Roman" w:eastAsia="Times New Roman" w:hAnsi="Times New Roman" w:cs="Times New Roman"/>
          <w:sz w:val="24"/>
          <w:szCs w:val="24"/>
          <w:lang w:eastAsia="en-US"/>
        </w:rPr>
        <w:t>Valsts fondēto pensiju likumā nosakot iemaksu likmi 2013.gadā 4 %, 2015.gadā 5 %, 2016.gadā 6 %</w:t>
      </w:r>
      <w:r w:rsidR="0069106E" w:rsidRPr="0069106E">
        <w:rPr>
          <w:rFonts w:ascii="Times New Roman" w:eastAsia="Times New Roman" w:hAnsi="Times New Roman" w:cs="Times New Roman"/>
          <w:sz w:val="24"/>
          <w:szCs w:val="24"/>
          <w:lang w:eastAsia="en-US"/>
        </w:rPr>
        <w:t xml:space="preserve"> </w:t>
      </w:r>
      <w:r w:rsidR="0069106E" w:rsidRPr="006202E5">
        <w:rPr>
          <w:rFonts w:ascii="Times New Roman" w:eastAsia="Times New Roman" w:hAnsi="Times New Roman" w:cs="Times New Roman"/>
          <w:sz w:val="24"/>
          <w:szCs w:val="24"/>
          <w:lang w:eastAsia="en-US"/>
        </w:rPr>
        <w:t>apmērā</w:t>
      </w:r>
      <w:r w:rsidR="0069106E">
        <w:rPr>
          <w:rFonts w:ascii="Times New Roman" w:eastAsia="Times New Roman" w:hAnsi="Times New Roman" w:cs="Times New Roman"/>
          <w:sz w:val="24"/>
          <w:szCs w:val="24"/>
          <w:lang w:eastAsia="en-US"/>
        </w:rPr>
        <w:t>.</w:t>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Izvērtēta valsts fondēto pensiju shēmas darbība: ienesīgums, kapitāla pieauguma izmaiņas, inflācijas izmaiņu ietekme, pašreizējās prasības shēmas līdzekļu pārvaldītājiem, viņu un shēmas dalībnieku atbildība. Tā rezultāt</w:t>
      </w:r>
      <w:r>
        <w:rPr>
          <w:rFonts w:ascii="Times New Roman" w:eastAsia="Times New Roman" w:hAnsi="Times New Roman" w:cs="Times New Roman"/>
          <w:sz w:val="24"/>
          <w:szCs w:val="24"/>
          <w:lang w:eastAsia="en-US"/>
        </w:rPr>
        <w:t>ā</w:t>
      </w:r>
      <w:r w:rsidRPr="006202E5">
        <w:rPr>
          <w:rFonts w:ascii="Times New Roman" w:eastAsia="Times New Roman" w:hAnsi="Times New Roman" w:cs="Times New Roman"/>
          <w:sz w:val="24"/>
          <w:szCs w:val="24"/>
          <w:lang w:eastAsia="en-US"/>
        </w:rPr>
        <w:t xml:space="preserve"> pieņemts lēmums paplašināt pensiju plānu investēšanas iespējas Latvijas finanšu tirgū, palielināt ieguldījumu īpatsvaru riska kapitālā un plašākas iespējas ieguldīt biržā netirgot</w:t>
      </w:r>
      <w:r w:rsidR="00DD2D63">
        <w:rPr>
          <w:rFonts w:ascii="Times New Roman" w:eastAsia="Times New Roman" w:hAnsi="Times New Roman" w:cs="Times New Roman"/>
          <w:sz w:val="24"/>
          <w:szCs w:val="24"/>
          <w:lang w:eastAsia="en-US"/>
        </w:rPr>
        <w:t>aj</w:t>
      </w:r>
      <w:r w:rsidRPr="006202E5">
        <w:rPr>
          <w:rFonts w:ascii="Times New Roman" w:eastAsia="Times New Roman" w:hAnsi="Times New Roman" w:cs="Times New Roman"/>
          <w:sz w:val="24"/>
          <w:szCs w:val="24"/>
          <w:lang w:eastAsia="en-US"/>
        </w:rPr>
        <w:t xml:space="preserve">ās kapitālsabiedrībās. </w:t>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 xml:space="preserve">Izstrādājot vienotas attīstības institūcijas darbības modeli, kā viena no tās funkcijām tiks noteikta tādu instrumentu izveides veicināšana, kuros var tikt ieguldīti pensiju fondu līdzekļi. Nolemts pārskatīt arī shēmas administrēšanas principu līdzekļu pārvaldītājiem, sasaistot to ar ieguldījumu plānu rezultātiem, un paredzēt papildus risku samazināšanas mehānismus valsts fondēto pensiju shēmas dalībnieku interešu aizsardzībai. Nākotnē tiks īstenoti sabiedrības informēšanas pasākumi, pievēršot uzmanību ieguldījumu plāna izvēles riskiem. Piemēram, shēmas dalībnieki tiks aicināti 10 gadus pirms pensionēšanās vecuma sasniegšanas apsvērt iespēju mainīt aktīvo ieguldījumu plānu uz konservatīvo. </w:t>
      </w:r>
    </w:p>
    <w:p w:rsidR="00FC6245" w:rsidRDefault="00FC6245" w:rsidP="00FC6245">
      <w:pPr>
        <w:pStyle w:val="Heading2"/>
        <w:spacing w:before="0" w:line="240" w:lineRule="auto"/>
        <w:rPr>
          <w:rFonts w:eastAsia="Times New Roman" w:cs="Times New Roman"/>
        </w:rPr>
      </w:pPr>
    </w:p>
    <w:p w:rsidR="00937643" w:rsidRPr="006202E5" w:rsidRDefault="00937643" w:rsidP="00FC6245">
      <w:pPr>
        <w:pStyle w:val="Heading2"/>
        <w:spacing w:before="0" w:line="240" w:lineRule="auto"/>
        <w:rPr>
          <w:rFonts w:eastAsia="Times New Roman" w:cs="Times New Roman"/>
        </w:rPr>
      </w:pPr>
      <w:bookmarkStart w:id="12" w:name="_Toc348948319"/>
      <w:r w:rsidRPr="006202E5">
        <w:rPr>
          <w:rFonts w:eastAsia="Times New Roman" w:cs="Times New Roman"/>
        </w:rPr>
        <w:t>2. Bezdarba mazināšana</w:t>
      </w:r>
      <w:bookmarkEnd w:id="12"/>
    </w:p>
    <w:p w:rsidR="00937643" w:rsidRPr="006202E5" w:rsidRDefault="00937643" w:rsidP="00FC6245">
      <w:pPr>
        <w:spacing w:after="0" w:line="240" w:lineRule="auto"/>
        <w:ind w:firstLine="720"/>
        <w:jc w:val="both"/>
        <w:rPr>
          <w:rFonts w:ascii="Calibri" w:eastAsia="Times New Roman" w:hAnsi="Calibri" w:cs="Times New Roman"/>
          <w:sz w:val="24"/>
          <w:szCs w:val="24"/>
          <w:lang w:eastAsia="en-US"/>
        </w:rPr>
      </w:pPr>
    </w:p>
    <w:p w:rsidR="00937643" w:rsidRPr="006202E5" w:rsidRDefault="00DD2D63" w:rsidP="00937643">
      <w:pPr>
        <w:spacing w:after="0" w:line="240" w:lineRule="auto"/>
        <w:ind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Saskaņā ar NVA datiem</w:t>
      </w:r>
      <w:r w:rsidR="00937643" w:rsidRPr="006202E5">
        <w:rPr>
          <w:rFonts w:ascii="Times New Roman" w:eastAsia="Times New Roman" w:hAnsi="Times New Roman" w:cs="Times New Roman"/>
          <w:sz w:val="24"/>
          <w:szCs w:val="24"/>
          <w:lang w:eastAsia="en-US"/>
        </w:rPr>
        <w:t xml:space="preserve"> 2012.gadā vidējais reģistrētā bezdarba līmenis bija 11,5</w:t>
      </w:r>
      <w:r w:rsidR="00111406">
        <w:rPr>
          <w:rFonts w:ascii="Times New Roman" w:eastAsia="Times New Roman" w:hAnsi="Times New Roman" w:cs="Times New Roman"/>
          <w:sz w:val="24"/>
          <w:szCs w:val="24"/>
          <w:lang w:eastAsia="en-US"/>
        </w:rPr>
        <w:t> </w:t>
      </w:r>
      <w:r w:rsidR="00937643" w:rsidRPr="006202E5">
        <w:rPr>
          <w:rFonts w:ascii="Times New Roman" w:eastAsia="Times New Roman" w:hAnsi="Times New Roman" w:cs="Times New Roman"/>
          <w:sz w:val="24"/>
          <w:szCs w:val="24"/>
          <w:lang w:eastAsia="en-US"/>
        </w:rPr>
        <w:t>%, kas ir par 1,3 procentpunktiem mazāk nekā 2011.gadā. Gada laikā š</w:t>
      </w:r>
      <w:r>
        <w:rPr>
          <w:rFonts w:ascii="Times New Roman" w:eastAsia="Times New Roman" w:hAnsi="Times New Roman" w:cs="Times New Roman"/>
          <w:sz w:val="24"/>
          <w:szCs w:val="24"/>
          <w:lang w:eastAsia="en-US"/>
        </w:rPr>
        <w:t>i</w:t>
      </w:r>
      <w:r w:rsidR="00937643" w:rsidRPr="006202E5">
        <w:rPr>
          <w:rFonts w:ascii="Times New Roman" w:eastAsia="Times New Roman" w:hAnsi="Times New Roman" w:cs="Times New Roman"/>
          <w:sz w:val="24"/>
          <w:szCs w:val="24"/>
          <w:lang w:eastAsia="en-US"/>
        </w:rPr>
        <w:t>s rādītājs pakāpeniski mazinājās – no 11,7</w:t>
      </w:r>
      <w:r w:rsidR="00111406">
        <w:rPr>
          <w:rFonts w:ascii="Times New Roman" w:eastAsia="Times New Roman" w:hAnsi="Times New Roman" w:cs="Times New Roman"/>
          <w:sz w:val="24"/>
          <w:szCs w:val="24"/>
          <w:lang w:eastAsia="en-US"/>
        </w:rPr>
        <w:t> %</w:t>
      </w:r>
      <w:r w:rsidR="00937643" w:rsidRPr="006202E5">
        <w:rPr>
          <w:rFonts w:ascii="Times New Roman" w:eastAsia="Times New Roman" w:hAnsi="Times New Roman" w:cs="Times New Roman"/>
          <w:sz w:val="24"/>
          <w:szCs w:val="24"/>
          <w:lang w:eastAsia="en-US"/>
        </w:rPr>
        <w:t xml:space="preserve"> gada sākumā līdz 10,5</w:t>
      </w:r>
      <w:r w:rsidR="00111406">
        <w:rPr>
          <w:rFonts w:ascii="Times New Roman" w:eastAsia="Times New Roman" w:hAnsi="Times New Roman" w:cs="Times New Roman"/>
          <w:sz w:val="24"/>
          <w:szCs w:val="24"/>
          <w:lang w:eastAsia="en-US"/>
        </w:rPr>
        <w:t> %</w:t>
      </w:r>
      <w:r w:rsidR="00937643" w:rsidRPr="006202E5">
        <w:rPr>
          <w:rFonts w:ascii="Times New Roman" w:eastAsia="Times New Roman" w:hAnsi="Times New Roman" w:cs="Times New Roman"/>
          <w:sz w:val="24"/>
          <w:szCs w:val="24"/>
          <w:lang w:eastAsia="en-US"/>
        </w:rPr>
        <w:t xml:space="preserve"> gada beigās. Reģistrēto bezdarbnieku kopskaits samazinājās par 28 tūkstošiem jeb 22</w:t>
      </w:r>
      <w:r w:rsidR="00111406">
        <w:rPr>
          <w:rFonts w:ascii="Times New Roman" w:eastAsia="Times New Roman" w:hAnsi="Times New Roman" w:cs="Times New Roman"/>
          <w:sz w:val="24"/>
          <w:szCs w:val="24"/>
          <w:lang w:eastAsia="en-US"/>
        </w:rPr>
        <w:t> %</w:t>
      </w:r>
      <w:r>
        <w:rPr>
          <w:rFonts w:ascii="Times New Roman" w:eastAsia="Times New Roman" w:hAnsi="Times New Roman" w:cs="Times New Roman"/>
          <w:sz w:val="24"/>
          <w:szCs w:val="24"/>
          <w:lang w:eastAsia="en-US"/>
        </w:rPr>
        <w:t xml:space="preserve">. 2012.gada decembrī </w:t>
      </w:r>
      <w:r w:rsidR="00937643" w:rsidRPr="006202E5">
        <w:rPr>
          <w:rFonts w:ascii="Times New Roman" w:eastAsia="Times New Roman" w:hAnsi="Times New Roman" w:cs="Times New Roman"/>
          <w:sz w:val="24"/>
          <w:szCs w:val="24"/>
          <w:lang w:eastAsia="en-US"/>
        </w:rPr>
        <w:t xml:space="preserve">NVA uzskaitē bija 104 tūkstoši bezdarbnieku. </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lastRenderedPageBreak/>
        <w:t>Ilgstošo bezdarbnieku (meklē darbu ilgāk par gadu) īpatsvars reģistrēto bezdarbnieku kopskaitā 2012.gadā nemainījās un joprojām bija augsts – 44</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jeb 46 tūkstoši. Ņemot vērā augst</w:t>
      </w:r>
      <w:r w:rsidR="00DD2D63">
        <w:rPr>
          <w:rFonts w:ascii="Times New Roman" w:eastAsia="Times New Roman" w:hAnsi="Times New Roman" w:cs="Times New Roman"/>
          <w:sz w:val="24"/>
          <w:szCs w:val="24"/>
          <w:lang w:eastAsia="en-US"/>
        </w:rPr>
        <w:t>o</w:t>
      </w:r>
      <w:r w:rsidRPr="006202E5">
        <w:rPr>
          <w:rFonts w:ascii="Times New Roman" w:eastAsia="Times New Roman" w:hAnsi="Times New Roman" w:cs="Times New Roman"/>
          <w:sz w:val="24"/>
          <w:szCs w:val="24"/>
          <w:lang w:eastAsia="en-US"/>
        </w:rPr>
        <w:t xml:space="preserve"> ilgstošā bezdarba līmeni, ilgstošie bezdarbnieki paliek viena no galvenajām aktīvās darba tirgus politikas pasākumu mērķa grupām. 2012.gadā 64</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no visiem aktīvās darba tirgus politikas pasākumos iesaistītajiem bezdarbniekiem bija ilgstošie bezdarbnieki. Algotajos pagaidu sabiedriskajos darbos, kas īpaši mērķēti ilgstošo bezdarbnieku atbalstam, kopā 2012.gadā tika iesaistīti 31 155 bezdarbnieki, no kuriem ilgstošie bezdarbnieki bija 82,5 % jeb 25 692. Tāpat kā 2012.gadā, arī 2013.gadā tiks turpināta algoto pagaidu sabiedrisko darbu dalībnieku aktivizēšana, piedāvājot un motivējot iesaistīties divas dienas mēnesī īsajās apmācībās – motivācijas un prasmju apguves kursos vai izmantot šo laiku darba meklējumiem ar NVA atbalstu, tādējādi motivējot bezdarbniekus meklēt darbu jau algoto pagaidu sabiedrisko darbu veikšanas laikā vai pēc to pabeigšanas pāriet uz citiem aktīvajiem nodarbinātības pasākumiem.</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 xml:space="preserve">2012.gada beigās uzsākta programma ilgstošajiem bezdarbniekiem ar atkarības problēmām –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Minesotas 12 soļu programma</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kas ļaus ārstēt alkohola, narkotisko un psihotropo vielu atkarību, lai veicinātu atkarības radīto seku novēršanu un palīdzētu šai bezdarbnieku grupai iekļauties darba tirgū. Kopumā šajā pasākumā laikā no 2012.gada līdz 2014.gadam plānots iesaistīt ap 800 bezdarbnieku ar atkarības problēmām.</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Jauniešu skaits reģistrēto bezdarbnieku kopskaitā ir samazinājies par 33</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un gada beigās NVA uzskaitē bija 10 tūkstoši jauniešu (gada sākumā – 16 tūkstoši). Lai mazinātu jauniešu bezdarbu, 2012.gadā tika turpināti uz jauniešiem mērķēti pasā</w:t>
      </w:r>
      <w:r w:rsidR="00DD2D63">
        <w:rPr>
          <w:rFonts w:ascii="Times New Roman" w:eastAsia="Times New Roman" w:hAnsi="Times New Roman" w:cs="Times New Roman"/>
          <w:sz w:val="24"/>
          <w:szCs w:val="24"/>
          <w:lang w:eastAsia="en-US"/>
        </w:rPr>
        <w:t>kumi – atbalsts darba</w:t>
      </w:r>
      <w:r w:rsidRPr="006202E5">
        <w:rPr>
          <w:rFonts w:ascii="Times New Roman" w:eastAsia="Times New Roman" w:hAnsi="Times New Roman" w:cs="Times New Roman"/>
          <w:sz w:val="24"/>
          <w:szCs w:val="24"/>
          <w:lang w:eastAsia="en-US"/>
        </w:rPr>
        <w:t>vietu izveidei pie darba devēja un brīvprātīgajam darbam nevalstiskajās organizācijās. Kopumā šajos pasākumos 2012.gadā tika iesaistīti 2,4 tūkstoši jauniešu. Jaunieši varēja iesaistīties arī citos aktīvās darba tirgus politikas pasākumos</w:t>
      </w:r>
      <w:r w:rsidR="00254170">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un pagājušajā gadā kopumā atbalstu saņēma aptuveni 11 tūkstoši jauniešu. </w:t>
      </w:r>
      <w:r>
        <w:rPr>
          <w:rFonts w:ascii="Times New Roman" w:eastAsia="Times New Roman" w:hAnsi="Times New Roman" w:cs="Times New Roman"/>
          <w:sz w:val="24"/>
          <w:szCs w:val="24"/>
          <w:lang w:eastAsia="en-US"/>
        </w:rPr>
        <w:t>Nākotnē sadarbībā ar izglītības jom</w:t>
      </w:r>
      <w:r w:rsidR="00254170">
        <w:rPr>
          <w:rFonts w:ascii="Times New Roman" w:eastAsia="Times New Roman" w:hAnsi="Times New Roman" w:cs="Times New Roman"/>
          <w:sz w:val="24"/>
          <w:szCs w:val="24"/>
          <w:lang w:eastAsia="en-US"/>
        </w:rPr>
        <w:t>as speciālistiem</w:t>
      </w:r>
      <w:r>
        <w:rPr>
          <w:rFonts w:ascii="Times New Roman" w:eastAsia="Times New Roman" w:hAnsi="Times New Roman" w:cs="Times New Roman"/>
          <w:sz w:val="24"/>
          <w:szCs w:val="24"/>
          <w:lang w:eastAsia="en-US"/>
        </w:rPr>
        <w:t xml:space="preserve"> jaunieši bez profesijas tiks atgriezti izglītības sistēmā profesijas apgūšanai.</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2012.gadā aktīvās darba tirgus politikas pasākumiem iztērēti 32 miljoni latu, kas veido 64</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no 2011.gada finansējuma. Aptuveni 41</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no tā izlietots bezdarbnieku kvalifikācijas paaugstināšanai un pilnveidei, 34</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algoto pagaidu sabiedrisko darbu organizēšanai, 21</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visnelabvēlīgākajā situācijā esošo bezdarbnieku atb</w:t>
      </w:r>
      <w:r w:rsidR="00DD2D63">
        <w:rPr>
          <w:rFonts w:ascii="Times New Roman" w:eastAsia="Times New Roman" w:hAnsi="Times New Roman" w:cs="Times New Roman"/>
          <w:sz w:val="24"/>
          <w:szCs w:val="24"/>
          <w:lang w:eastAsia="en-US"/>
        </w:rPr>
        <w:t>alstam un subsidēto darba</w:t>
      </w:r>
      <w:r w:rsidRPr="006202E5">
        <w:rPr>
          <w:rFonts w:ascii="Times New Roman" w:eastAsia="Times New Roman" w:hAnsi="Times New Roman" w:cs="Times New Roman"/>
          <w:sz w:val="24"/>
          <w:szCs w:val="24"/>
          <w:lang w:eastAsia="en-US"/>
        </w:rPr>
        <w:t>vietu izveidei, tajā skaitā jauniešu iniciatīvām, 4</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w:t>
      </w:r>
      <w:r w:rsidR="00DD2D63">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nodarbināto personu kvalifikācijas paaugstināšanai un uzņēmējdarbības iniciatīvām.</w:t>
      </w:r>
    </w:p>
    <w:p w:rsidR="00937643" w:rsidRPr="00DB02D7" w:rsidRDefault="00937643" w:rsidP="00937643">
      <w:pPr>
        <w:spacing w:after="0" w:line="240" w:lineRule="auto"/>
        <w:ind w:firstLine="709"/>
        <w:jc w:val="both"/>
        <w:rPr>
          <w:rFonts w:ascii="Times New Roman" w:eastAsia="Times New Roman" w:hAnsi="Times New Roman" w:cs="Times New Roman"/>
          <w:sz w:val="24"/>
          <w:szCs w:val="24"/>
        </w:rPr>
      </w:pPr>
      <w:r w:rsidRPr="00DB02D7">
        <w:rPr>
          <w:rFonts w:ascii="Times New Roman" w:eastAsia="Times New Roman" w:hAnsi="Times New Roman" w:cs="Times New Roman"/>
          <w:sz w:val="24"/>
          <w:szCs w:val="24"/>
        </w:rPr>
        <w:t xml:space="preserve">EM 2012.gadā sagatavojusi </w:t>
      </w:r>
      <w:r w:rsidRPr="00DB02D7">
        <w:rPr>
          <w:rFonts w:ascii="Times New Roman" w:eastAsia="Times New Roman" w:hAnsi="Times New Roman" w:cs="Times New Roman"/>
          <w:iCs/>
          <w:sz w:val="24"/>
          <w:szCs w:val="24"/>
        </w:rPr>
        <w:t>ziņojumu par darba tirgus vidēja un ilgtermiņa prognozēm, kurā</w:t>
      </w:r>
      <w:r w:rsidRPr="00DB02D7">
        <w:rPr>
          <w:rFonts w:ascii="Times New Roman" w:eastAsia="Times New Roman" w:hAnsi="Times New Roman" w:cs="Times New Roman"/>
          <w:sz w:val="24"/>
          <w:szCs w:val="24"/>
        </w:rPr>
        <w:t xml:space="preserve"> raksturota esošā situācija darba tirgū, kā arī iekļautas ministrijas sagatavotās vidēja termiņa darba tirgus prognozes laika periodam līdz 2020.gadam un ilgtermiņa darba tirgus prognozes līdz 2030.gadam. </w:t>
      </w:r>
      <w:r w:rsidR="00A32DD5">
        <w:rPr>
          <w:rFonts w:ascii="Times New Roman" w:eastAsia="Times New Roman" w:hAnsi="Times New Roman" w:cs="Times New Roman"/>
          <w:sz w:val="24"/>
          <w:szCs w:val="24"/>
        </w:rPr>
        <w:t>Tika arī veikta</w:t>
      </w:r>
      <w:r w:rsidRPr="00DB02D7">
        <w:rPr>
          <w:rFonts w:ascii="Times New Roman" w:eastAsia="Times New Roman" w:hAnsi="Times New Roman" w:cs="Times New Roman"/>
          <w:sz w:val="24"/>
          <w:szCs w:val="24"/>
        </w:rPr>
        <w:t xml:space="preserve"> NVA administrēto profesiju sociālo un profesionālo pamatprasmju apguves apmācību, i</w:t>
      </w:r>
      <w:r w:rsidR="00A32DD5">
        <w:rPr>
          <w:rFonts w:ascii="Times New Roman" w:eastAsia="Times New Roman" w:hAnsi="Times New Roman" w:cs="Times New Roman"/>
          <w:sz w:val="24"/>
          <w:szCs w:val="24"/>
        </w:rPr>
        <w:t>zglītības programmu pārskatīšana</w:t>
      </w:r>
      <w:r w:rsidRPr="00DB02D7">
        <w:rPr>
          <w:rFonts w:ascii="Times New Roman" w:eastAsia="Times New Roman" w:hAnsi="Times New Roman" w:cs="Times New Roman"/>
          <w:sz w:val="24"/>
          <w:szCs w:val="24"/>
        </w:rPr>
        <w:t>, lai sekmētu to atbilstību darba tirgus prasībām.</w:t>
      </w:r>
    </w:p>
    <w:p w:rsidR="00937643" w:rsidRPr="006202E5" w:rsidRDefault="00DD2D63" w:rsidP="00937643">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Lai </w:t>
      </w:r>
      <w:r w:rsidR="00937643" w:rsidRPr="00DB02D7">
        <w:rPr>
          <w:rFonts w:ascii="Times New Roman" w:eastAsia="Times New Roman" w:hAnsi="Times New Roman" w:cs="Times New Roman"/>
          <w:sz w:val="24"/>
          <w:szCs w:val="24"/>
        </w:rPr>
        <w:t>sekmēt</w:t>
      </w:r>
      <w:r>
        <w:rPr>
          <w:rFonts w:ascii="Times New Roman" w:eastAsia="Times New Roman" w:hAnsi="Times New Roman" w:cs="Times New Roman"/>
          <w:sz w:val="24"/>
          <w:szCs w:val="24"/>
        </w:rPr>
        <w:t>u</w:t>
      </w:r>
      <w:r w:rsidR="00937643" w:rsidRPr="00DB02D7">
        <w:rPr>
          <w:rFonts w:ascii="Times New Roman" w:eastAsia="Times New Roman" w:hAnsi="Times New Roman" w:cs="Times New Roman"/>
          <w:sz w:val="24"/>
          <w:szCs w:val="24"/>
        </w:rPr>
        <w:t xml:space="preserve"> straujāku Latvijas ekonomikas izaugsmi, 2012.gadā turpināts sniegt atbalstu komercdarbības attīstībai un līdz ar to nodarbinātības veicināšanai. 10 biznesa inkubatoros atbalstu saņēmuši 535 komersanti, tajos ir radīta 1251 jauna darba</w:t>
      </w:r>
      <w:r>
        <w:rPr>
          <w:rFonts w:ascii="Times New Roman" w:eastAsia="Times New Roman" w:hAnsi="Times New Roman" w:cs="Times New Roman"/>
          <w:sz w:val="24"/>
          <w:szCs w:val="24"/>
        </w:rPr>
        <w:t>vieta. Savukārt 2012.</w:t>
      </w:r>
      <w:r w:rsidR="00937643" w:rsidRPr="00DB02D7">
        <w:rPr>
          <w:rFonts w:ascii="Times New Roman" w:eastAsia="Times New Roman" w:hAnsi="Times New Roman" w:cs="Times New Roman"/>
          <w:sz w:val="24"/>
          <w:szCs w:val="24"/>
        </w:rPr>
        <w:t xml:space="preserve">gada decembrī LIAA uzsāka projektu pieņemšanu jaunā atbalsta programmā – </w:t>
      </w:r>
      <w:r w:rsidR="00B167ED">
        <w:rPr>
          <w:rFonts w:ascii="Times New Roman" w:eastAsia="Times New Roman" w:hAnsi="Times New Roman" w:cs="Times New Roman"/>
          <w:sz w:val="24"/>
          <w:szCs w:val="24"/>
        </w:rPr>
        <w:t>"</w:t>
      </w:r>
      <w:r w:rsidR="00937643" w:rsidRPr="00DB02D7">
        <w:rPr>
          <w:rFonts w:ascii="Times New Roman" w:eastAsia="Times New Roman" w:hAnsi="Times New Roman" w:cs="Times New Roman"/>
          <w:sz w:val="24"/>
          <w:szCs w:val="24"/>
        </w:rPr>
        <w:t>Atbalsts mikro, mazo un vidējo komersantu jaunu produktu un tehnoloģiju attīstībai</w:t>
      </w:r>
      <w:r w:rsidR="00B167ED">
        <w:rPr>
          <w:rFonts w:ascii="Times New Roman" w:eastAsia="Times New Roman" w:hAnsi="Times New Roman" w:cs="Times New Roman"/>
          <w:sz w:val="24"/>
          <w:szCs w:val="24"/>
        </w:rPr>
        <w:t>"</w:t>
      </w:r>
      <w:r w:rsidR="00937643" w:rsidRPr="00DB02D7">
        <w:rPr>
          <w:rFonts w:ascii="Times New Roman" w:eastAsia="Times New Roman" w:hAnsi="Times New Roman" w:cs="Times New Roman"/>
          <w:sz w:val="24"/>
          <w:szCs w:val="24"/>
        </w:rPr>
        <w:t>.</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lastRenderedPageBreak/>
        <w:t>Sākot ar 2013.gadu, ir paredzēts īstenot mērķ</w:t>
      </w:r>
      <w:r w:rsidR="00254170">
        <w:rPr>
          <w:rFonts w:ascii="Times New Roman" w:eastAsia="Times New Roman" w:hAnsi="Times New Roman" w:cs="Times New Roman"/>
          <w:sz w:val="24"/>
          <w:szCs w:val="24"/>
          <w:lang w:eastAsia="en-US"/>
        </w:rPr>
        <w:t>tiecīg</w:t>
      </w:r>
      <w:r w:rsidRPr="006202E5">
        <w:rPr>
          <w:rFonts w:ascii="Times New Roman" w:eastAsia="Times New Roman" w:hAnsi="Times New Roman" w:cs="Times New Roman"/>
          <w:sz w:val="24"/>
          <w:szCs w:val="24"/>
          <w:lang w:eastAsia="en-US"/>
        </w:rPr>
        <w:t>āku pieeju dažādu bezdarbnieku mērķgrupu atgriešanai darba tirgū – ieviest profilēšanas sistēmu, lai efektīvi un ātri aizpildītu vakances un piedāvātu konkrētai personai piemērotākos darba tirgus politikas pasākumus. Lai risinātu bezdarba reģionālās problēmas un tuvinātu bezdarbniekus darba vietām, kas ir izveidotas reģion</w:t>
      </w:r>
      <w:r w:rsidR="00254170">
        <w:rPr>
          <w:rFonts w:ascii="Times New Roman" w:eastAsia="Times New Roman" w:hAnsi="Times New Roman" w:cs="Times New Roman"/>
          <w:sz w:val="24"/>
          <w:szCs w:val="24"/>
          <w:lang w:eastAsia="en-US"/>
        </w:rPr>
        <w:t>os ārpus šo bezdarbnieku dzīves</w:t>
      </w:r>
      <w:r w:rsidRPr="006202E5">
        <w:rPr>
          <w:rFonts w:ascii="Times New Roman" w:eastAsia="Times New Roman" w:hAnsi="Times New Roman" w:cs="Times New Roman"/>
          <w:sz w:val="24"/>
          <w:szCs w:val="24"/>
          <w:lang w:eastAsia="en-US"/>
        </w:rPr>
        <w:t>vietām, 2012.gadā sagatavota normatīvā bāze un 2013.gadā tiks ieviesti reģionālās mobilitātes granti ilgstošajiem bezdarbniekiem, kuri gatavi pieņemt darbu, kas atrodas ne mazāk kā 20 kilometru attālumā no deklarētās dzīvesvietas. Reģionālās mobilitātes pilotprojektā 2013.gadā plānots iesaistīt 350 personas</w:t>
      </w:r>
      <w:r>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w:t>
      </w:r>
    </w:p>
    <w:p w:rsidR="00937643" w:rsidRPr="006202E5" w:rsidRDefault="00937643" w:rsidP="00937643">
      <w:pPr>
        <w:spacing w:after="0" w:line="240" w:lineRule="auto"/>
        <w:ind w:firstLine="72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Tāpat ar 2013.gadu pagarināts bezdarbnieka pabalsta saņemšanas ilgums – pabalstu no 1.janvāra maksā 9 mēnešus.</w:t>
      </w:r>
    </w:p>
    <w:p w:rsidR="00937643" w:rsidRPr="006202E5" w:rsidRDefault="00937643" w:rsidP="00937643">
      <w:pPr>
        <w:spacing w:after="0" w:line="240" w:lineRule="auto"/>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ab/>
      </w:r>
      <w:r w:rsidRPr="00DB02D7">
        <w:rPr>
          <w:rFonts w:ascii="Times New Roman" w:eastAsia="Times New Roman" w:hAnsi="Times New Roman" w:cs="Times New Roman"/>
          <w:sz w:val="24"/>
          <w:szCs w:val="24"/>
        </w:rPr>
        <w:t>2013.gadā plānots arī turpināt veikt tautsaimniecības nozaru attīstības analīzi un izstrādāt ekonomikas attīstības scenārijus un prognozes, kā arī turpināt pasākumus darba tirgus prognozēšanai.</w:t>
      </w:r>
      <w:r w:rsidRPr="006202E5">
        <w:rPr>
          <w:rFonts w:ascii="Times New Roman" w:eastAsia="Times New Roman" w:hAnsi="Times New Roman" w:cs="Times New Roman"/>
          <w:sz w:val="24"/>
          <w:szCs w:val="24"/>
        </w:rPr>
        <w:t xml:space="preserve"> </w:t>
      </w:r>
    </w:p>
    <w:p w:rsidR="00937643" w:rsidRDefault="00937643" w:rsidP="00937643">
      <w:pPr>
        <w:pStyle w:val="Heading2"/>
        <w:spacing w:before="0" w:line="240" w:lineRule="auto"/>
        <w:rPr>
          <w:rFonts w:eastAsia="Times New Roman" w:cs="Times New Roman"/>
        </w:rPr>
      </w:pPr>
    </w:p>
    <w:p w:rsidR="00937643" w:rsidRPr="00FD601E" w:rsidRDefault="00937643" w:rsidP="00937643">
      <w:pPr>
        <w:pStyle w:val="Heading2"/>
        <w:spacing w:before="0" w:line="240" w:lineRule="auto"/>
        <w:rPr>
          <w:rFonts w:eastAsia="Times New Roman" w:cs="Times New Roman"/>
        </w:rPr>
      </w:pPr>
      <w:bookmarkStart w:id="13" w:name="_Toc348948320"/>
      <w:r w:rsidRPr="00FD601E">
        <w:rPr>
          <w:rFonts w:eastAsia="Times New Roman" w:cs="Times New Roman"/>
        </w:rPr>
        <w:t>3. Tautas ataudzes nodrošināšana</w:t>
      </w:r>
      <w:bookmarkEnd w:id="13"/>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 xml:space="preserve">2012.gadā Demogrāfisko lietu padome risināja jautājumus par rindu likvidēšanu uz pašvaldību pirmsskolas izglītības iestādēm, par pasākumiem mātes un bērna veselības uzlabošanai, sevišķi attiecībā uz vecāku reproduktīvo veselību un abortu prevenciju, kā arī atbalsta pasākumiem ģimenēm. </w:t>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Valsts budžetā ir paredzēts līdzfinansējums pašvaldībām, lai no 2013.gada 1.septembra segtu vecāku izdevumus privāt</w:t>
      </w:r>
      <w:r w:rsidR="00254170">
        <w:rPr>
          <w:rFonts w:ascii="Times New Roman" w:eastAsia="Times New Roman" w:hAnsi="Times New Roman" w:cs="Times New Roman"/>
          <w:sz w:val="24"/>
          <w:szCs w:val="24"/>
          <w:lang w:eastAsia="en-US"/>
        </w:rPr>
        <w:t>aj</w:t>
      </w:r>
      <w:r w:rsidRPr="006202E5">
        <w:rPr>
          <w:rFonts w:ascii="Times New Roman" w:eastAsia="Times New Roman" w:hAnsi="Times New Roman" w:cs="Times New Roman"/>
          <w:sz w:val="24"/>
          <w:szCs w:val="24"/>
          <w:lang w:eastAsia="en-US"/>
        </w:rPr>
        <w:t xml:space="preserve">am pakalpojuma sniedzējam, ja pašvaldība nevar nodrošināt rindā uzņemtos bērnus no pusotra gada līdz 4 gadiem (ieskaitot) ar vietu pašvaldības bērnudārzā. </w:t>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Plānots, ka VARAM un IZM sadarbībā ar LM un FM līdz 2013.gada 1.martam sagatavos priekšlikumus par vien</w:t>
      </w:r>
      <w:r w:rsidR="00254170">
        <w:rPr>
          <w:rFonts w:ascii="Times New Roman" w:eastAsia="Times New Roman" w:hAnsi="Times New Roman" w:cs="Times New Roman"/>
          <w:sz w:val="24"/>
          <w:szCs w:val="24"/>
          <w:lang w:eastAsia="en-US"/>
        </w:rPr>
        <w:t>am</w:t>
      </w:r>
      <w:r w:rsidRPr="006202E5">
        <w:rPr>
          <w:rFonts w:ascii="Times New Roman" w:eastAsia="Times New Roman" w:hAnsi="Times New Roman" w:cs="Times New Roman"/>
          <w:sz w:val="24"/>
          <w:szCs w:val="24"/>
          <w:lang w:eastAsia="en-US"/>
        </w:rPr>
        <w:t xml:space="preserve"> bērn</w:t>
      </w:r>
      <w:r w:rsidR="00254170">
        <w:rPr>
          <w:rFonts w:ascii="Times New Roman" w:eastAsia="Times New Roman" w:hAnsi="Times New Roman" w:cs="Times New Roman"/>
          <w:sz w:val="24"/>
          <w:szCs w:val="24"/>
          <w:lang w:eastAsia="en-US"/>
        </w:rPr>
        <w:t>am nepieciešamā</w:t>
      </w:r>
      <w:r w:rsidR="00254170" w:rsidRPr="00254170">
        <w:rPr>
          <w:rFonts w:ascii="Times New Roman" w:eastAsia="Times New Roman" w:hAnsi="Times New Roman" w:cs="Times New Roman"/>
          <w:sz w:val="24"/>
          <w:szCs w:val="24"/>
          <w:lang w:eastAsia="en-US"/>
        </w:rPr>
        <w:t xml:space="preserve"> </w:t>
      </w:r>
      <w:r w:rsidR="00254170" w:rsidRPr="006202E5">
        <w:rPr>
          <w:rFonts w:ascii="Times New Roman" w:eastAsia="Times New Roman" w:hAnsi="Times New Roman" w:cs="Times New Roman"/>
          <w:sz w:val="24"/>
          <w:szCs w:val="24"/>
          <w:lang w:eastAsia="en-US"/>
        </w:rPr>
        <w:t>finansējuma apmēr</w:t>
      </w:r>
      <w:r w:rsidR="00254170">
        <w:rPr>
          <w:rFonts w:ascii="Times New Roman" w:eastAsia="Times New Roman" w:hAnsi="Times New Roman" w:cs="Times New Roman"/>
          <w:sz w:val="24"/>
          <w:szCs w:val="24"/>
          <w:lang w:eastAsia="en-US"/>
        </w:rPr>
        <w:t>u</w:t>
      </w:r>
      <w:r w:rsidRPr="006202E5">
        <w:rPr>
          <w:rFonts w:ascii="Times New Roman" w:eastAsia="Times New Roman" w:hAnsi="Times New Roman" w:cs="Times New Roman"/>
          <w:sz w:val="24"/>
          <w:szCs w:val="24"/>
          <w:lang w:eastAsia="en-US"/>
        </w:rPr>
        <w:t>, līdzfinansējuma nosacījumiem un grozījumiem esoš</w:t>
      </w:r>
      <w:r w:rsidR="00254170">
        <w:rPr>
          <w:rFonts w:ascii="Times New Roman" w:eastAsia="Times New Roman" w:hAnsi="Times New Roman" w:cs="Times New Roman"/>
          <w:sz w:val="24"/>
          <w:szCs w:val="24"/>
          <w:lang w:eastAsia="en-US"/>
        </w:rPr>
        <w:t>aj</w:t>
      </w:r>
      <w:r w:rsidRPr="006202E5">
        <w:rPr>
          <w:rFonts w:ascii="Times New Roman" w:eastAsia="Times New Roman" w:hAnsi="Times New Roman" w:cs="Times New Roman"/>
          <w:sz w:val="24"/>
          <w:szCs w:val="24"/>
          <w:lang w:eastAsia="en-US"/>
        </w:rPr>
        <w:t xml:space="preserve">os normatīvajos aktos, lai no 2014.gada nodrošinātu pašvaldības pirmsskolas izglītības iestāžu rindu likvidēšanu. </w:t>
      </w:r>
    </w:p>
    <w:p w:rsidR="00937643" w:rsidRPr="006202E5" w:rsidRDefault="00937643" w:rsidP="00937643">
      <w:pPr>
        <w:tabs>
          <w:tab w:val="left" w:pos="72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 xml:space="preserve">2012.gadā MK atbalstīja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Mātes un bērna veselības uzlabošanas plānu 2012.</w:t>
      </w:r>
      <w:r w:rsidR="00254170">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2014.gadam</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vertAlign w:val="superscript"/>
          <w:lang w:eastAsia="en-US"/>
        </w:rPr>
        <w:t xml:space="preserve"> </w:t>
      </w:r>
      <w:r w:rsidR="00254170">
        <w:rPr>
          <w:rFonts w:ascii="Times New Roman" w:eastAsia="Times New Roman" w:hAnsi="Times New Roman" w:cs="Times New Roman"/>
          <w:sz w:val="24"/>
          <w:szCs w:val="24"/>
          <w:lang w:eastAsia="en-US"/>
        </w:rPr>
        <w:t xml:space="preserve">un </w:t>
      </w:r>
      <w:r w:rsidRPr="006202E5">
        <w:rPr>
          <w:rFonts w:ascii="Times New Roman" w:eastAsia="Times New Roman" w:hAnsi="Times New Roman" w:cs="Times New Roman"/>
          <w:sz w:val="24"/>
          <w:szCs w:val="24"/>
          <w:lang w:eastAsia="en-US"/>
        </w:rPr>
        <w:t xml:space="preserve">Rīcības plānu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Ģimenes valsts politikas pamatnostādņu 2011.</w:t>
      </w:r>
      <w:r w:rsidR="00254170">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2017.gadam</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xml:space="preserve"> īstenošanai 2012.</w:t>
      </w:r>
      <w:r w:rsidR="00254170">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2014.gadam.</w:t>
      </w:r>
    </w:p>
    <w:p w:rsidR="00937643" w:rsidRPr="006202E5" w:rsidRDefault="00937643" w:rsidP="00937643">
      <w:pPr>
        <w:tabs>
          <w:tab w:val="num" w:pos="480"/>
        </w:tabs>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r>
      <w:r w:rsidRPr="006202E5">
        <w:rPr>
          <w:rFonts w:ascii="Times New Roman" w:eastAsia="Times New Roman" w:hAnsi="Times New Roman" w:cs="Times New Roman"/>
          <w:sz w:val="24"/>
          <w:szCs w:val="24"/>
          <w:lang w:eastAsia="en-US"/>
        </w:rPr>
        <w:tab/>
        <w:t xml:space="preserve">Lai ar finanšu instrumentu palīdzību mazinātu nabadzības risku daudzbērnu ģimenēm, 2013.gada 1.janvārī spēkā stājās grozījumi likumā </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Par nekustamā īpašuma nodokli</w:t>
      </w:r>
      <w:r w:rsidR="00B167ED">
        <w:rPr>
          <w:rFonts w:ascii="Times New Roman" w:eastAsia="Times New Roman" w:hAnsi="Times New Roman" w:cs="Times New Roman"/>
          <w:sz w:val="24"/>
          <w:szCs w:val="24"/>
          <w:lang w:eastAsia="en-US"/>
        </w:rPr>
        <w:t>"</w:t>
      </w:r>
      <w:r w:rsidRPr="006202E5">
        <w:rPr>
          <w:rFonts w:ascii="Times New Roman" w:eastAsia="Times New Roman" w:hAnsi="Times New Roman" w:cs="Times New Roman"/>
          <w:sz w:val="24"/>
          <w:szCs w:val="24"/>
          <w:lang w:eastAsia="en-US"/>
        </w:rPr>
        <w:t>, kas ievieš nekustamā īpašuma nodokļa atvieglojumus 50</w:t>
      </w:r>
      <w:r w:rsidR="00111406">
        <w:rPr>
          <w:rFonts w:ascii="Times New Roman" w:eastAsia="Times New Roman" w:hAnsi="Times New Roman" w:cs="Times New Roman"/>
          <w:sz w:val="24"/>
          <w:szCs w:val="24"/>
          <w:lang w:eastAsia="en-US"/>
        </w:rPr>
        <w:t> %</w:t>
      </w:r>
      <w:r w:rsidRPr="006202E5">
        <w:rPr>
          <w:rFonts w:ascii="Times New Roman" w:eastAsia="Times New Roman" w:hAnsi="Times New Roman" w:cs="Times New Roman"/>
          <w:sz w:val="24"/>
          <w:szCs w:val="24"/>
          <w:lang w:eastAsia="en-US"/>
        </w:rPr>
        <w:t xml:space="preserve"> apmērā (bet ne vairāk par 300 latiem) par dzīvojamo māju vai dzīvokli un tam piekrītošo zemi personām, kurām ir trīs </w:t>
      </w:r>
      <w:r w:rsidR="00C51438" w:rsidRPr="006202E5">
        <w:rPr>
          <w:rFonts w:ascii="Times New Roman" w:eastAsia="Times New Roman" w:hAnsi="Times New Roman" w:cs="Times New Roman"/>
          <w:sz w:val="24"/>
          <w:szCs w:val="24"/>
          <w:lang w:eastAsia="en-US"/>
        </w:rPr>
        <w:t>bērn</w:t>
      </w:r>
      <w:r w:rsidR="00C51438">
        <w:rPr>
          <w:rFonts w:ascii="Times New Roman" w:eastAsia="Times New Roman" w:hAnsi="Times New Roman" w:cs="Times New Roman"/>
          <w:sz w:val="24"/>
          <w:szCs w:val="24"/>
          <w:lang w:eastAsia="en-US"/>
        </w:rPr>
        <w:t>i</w:t>
      </w:r>
      <w:r w:rsidR="00C51438" w:rsidRPr="006202E5">
        <w:rPr>
          <w:rFonts w:ascii="Times New Roman" w:eastAsia="Times New Roman" w:hAnsi="Times New Roman" w:cs="Times New Roman"/>
          <w:sz w:val="24"/>
          <w:szCs w:val="24"/>
          <w:lang w:eastAsia="en-US"/>
        </w:rPr>
        <w:t xml:space="preserve"> </w:t>
      </w:r>
      <w:r w:rsidRPr="006202E5">
        <w:rPr>
          <w:rFonts w:ascii="Times New Roman" w:eastAsia="Times New Roman" w:hAnsi="Times New Roman" w:cs="Times New Roman"/>
          <w:sz w:val="24"/>
          <w:szCs w:val="24"/>
          <w:lang w:eastAsia="en-US"/>
        </w:rPr>
        <w:t xml:space="preserve">vai vairāk vecumā līdz 18 gadiem un kuriem ir kopīga deklarētā dzīvesvieta. </w:t>
      </w:r>
    </w:p>
    <w:p w:rsidR="00937643" w:rsidRPr="00A32DD5" w:rsidRDefault="00937643" w:rsidP="00937643">
      <w:pPr>
        <w:autoSpaceDE w:val="0"/>
        <w:autoSpaceDN w:val="0"/>
        <w:adjustRightInd w:val="0"/>
        <w:spacing w:after="0" w:line="240" w:lineRule="auto"/>
        <w:ind w:firstLine="600"/>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No 2013.gada 1.janvāra dubultotas valsts veiktās obligātās sociālās apdrošināšanas iemaksas par vecākiem, kuri kopj bērnu līdz pusotra gada vecumam. Tas nozīmē, ka palielināsies sociālo garantiju apmērs šo personu bezdarba, slimības, invaliditātes un pensijas gadījumā</w:t>
      </w:r>
      <w:r>
        <w:rPr>
          <w:rFonts w:ascii="Times New Roman" w:eastAsia="Times New Roman" w:hAnsi="Times New Roman" w:cs="Times New Roman"/>
          <w:sz w:val="24"/>
          <w:szCs w:val="24"/>
          <w:lang w:eastAsia="en-US"/>
        </w:rPr>
        <w:t xml:space="preserve">. Dubultots </w:t>
      </w:r>
      <w:r w:rsidRPr="006202E5">
        <w:rPr>
          <w:rFonts w:ascii="Times New Roman" w:eastAsia="Times New Roman" w:hAnsi="Times New Roman" w:cs="Times New Roman"/>
          <w:sz w:val="24"/>
          <w:szCs w:val="24"/>
          <w:lang w:eastAsia="en-US"/>
        </w:rPr>
        <w:t xml:space="preserve">arī izmaksājamā maternitātes pabalsta, paternitātes pabalsta un vecāku pabalsta atļautais apmērs jeb izmaksu </w:t>
      </w:r>
      <w:r w:rsidR="00B167ED">
        <w:rPr>
          <w:rFonts w:ascii="Times New Roman" w:eastAsia="Times New Roman" w:hAnsi="Times New Roman" w:cs="Times New Roman"/>
          <w:sz w:val="24"/>
          <w:szCs w:val="24"/>
          <w:lang w:eastAsia="en-US"/>
        </w:rPr>
        <w:t>"</w:t>
      </w:r>
      <w:r w:rsidRPr="00A32DD5">
        <w:rPr>
          <w:rFonts w:ascii="Times New Roman" w:eastAsia="Times New Roman" w:hAnsi="Times New Roman" w:cs="Times New Roman"/>
          <w:sz w:val="24"/>
          <w:szCs w:val="24"/>
          <w:lang w:eastAsia="en-US"/>
        </w:rPr>
        <w:t>griesti</w:t>
      </w:r>
      <w:r w:rsidR="00B167ED">
        <w:rPr>
          <w:rFonts w:ascii="Times New Roman" w:eastAsia="Times New Roman" w:hAnsi="Times New Roman" w:cs="Times New Roman"/>
          <w:sz w:val="24"/>
          <w:szCs w:val="24"/>
          <w:lang w:eastAsia="en-US"/>
        </w:rPr>
        <w:t>"</w:t>
      </w:r>
      <w:r w:rsidR="009E07C5" w:rsidRPr="00A32DD5">
        <w:rPr>
          <w:rStyle w:val="FootnoteReference"/>
          <w:rFonts w:ascii="Times New Roman" w:eastAsia="Times New Roman" w:hAnsi="Times New Roman" w:cs="Times New Roman"/>
          <w:sz w:val="24"/>
          <w:szCs w:val="24"/>
        </w:rPr>
        <w:t xml:space="preserve"> </w:t>
      </w:r>
      <w:r w:rsidR="00A32DD5" w:rsidRPr="00A32DD5">
        <w:rPr>
          <w:rFonts w:ascii="Times New Roman" w:eastAsia="Times New Roman" w:hAnsi="Times New Roman" w:cs="Times New Roman"/>
          <w:sz w:val="24"/>
          <w:szCs w:val="24"/>
        </w:rPr>
        <w:t xml:space="preserve"> (23,02 Ls dienā, kā arī </w:t>
      </w:r>
      <w:r w:rsidR="009E07C5" w:rsidRPr="00A32DD5">
        <w:rPr>
          <w:rFonts w:ascii="Times New Roman" w:eastAsia="Times New Roman" w:hAnsi="Times New Roman" w:cs="Times New Roman"/>
          <w:sz w:val="24"/>
          <w:szCs w:val="24"/>
        </w:rPr>
        <w:t>50 % no summas, kas pārsniedz 23,02 lat</w:t>
      </w:r>
      <w:r w:rsidR="00A32DD5" w:rsidRPr="00A32DD5">
        <w:rPr>
          <w:rFonts w:ascii="Times New Roman" w:eastAsia="Times New Roman" w:hAnsi="Times New Roman" w:cs="Times New Roman"/>
          <w:sz w:val="24"/>
          <w:szCs w:val="24"/>
        </w:rPr>
        <w:t>us</w:t>
      </w:r>
      <w:r w:rsidR="009E07C5" w:rsidRPr="00A32DD5">
        <w:rPr>
          <w:rFonts w:ascii="Times New Roman" w:eastAsia="Times New Roman" w:hAnsi="Times New Roman" w:cs="Times New Roman"/>
          <w:sz w:val="24"/>
          <w:szCs w:val="24"/>
        </w:rPr>
        <w:t xml:space="preserve"> dienā</w:t>
      </w:r>
      <w:r w:rsidR="00A57B39" w:rsidRPr="00A32DD5">
        <w:rPr>
          <w:rFonts w:ascii="Times New Roman" w:eastAsia="Times New Roman" w:hAnsi="Times New Roman" w:cs="Times New Roman"/>
          <w:sz w:val="24"/>
          <w:szCs w:val="24"/>
        </w:rPr>
        <w:t>)</w:t>
      </w:r>
      <w:r w:rsidRPr="00A32DD5">
        <w:rPr>
          <w:rFonts w:ascii="Times New Roman" w:eastAsia="Times New Roman" w:hAnsi="Times New Roman" w:cs="Times New Roman"/>
          <w:sz w:val="24"/>
          <w:szCs w:val="24"/>
          <w:lang w:eastAsia="en-US"/>
        </w:rPr>
        <w:t xml:space="preserve">. </w:t>
      </w:r>
    </w:p>
    <w:p w:rsidR="00937643" w:rsidRPr="00FD601E" w:rsidRDefault="00937643" w:rsidP="00937643">
      <w:pPr>
        <w:spacing w:after="0" w:line="240" w:lineRule="auto"/>
        <w:jc w:val="both"/>
        <w:rPr>
          <w:rFonts w:ascii="Times New Roman" w:eastAsia="Times New Roman" w:hAnsi="Times New Roman" w:cs="Times New Roman"/>
          <w:sz w:val="24"/>
          <w:szCs w:val="24"/>
          <w:lang w:eastAsia="en-US"/>
        </w:rPr>
      </w:pPr>
      <w:r w:rsidRPr="006202E5">
        <w:rPr>
          <w:rFonts w:ascii="Times New Roman" w:eastAsia="Times New Roman" w:hAnsi="Times New Roman" w:cs="Times New Roman"/>
          <w:sz w:val="24"/>
          <w:szCs w:val="24"/>
          <w:lang w:eastAsia="en-US"/>
        </w:rPr>
        <w:tab/>
        <w:t xml:space="preserve">Atbalstot vecākus laikā, kad bērna attīstībai vecāku klātbūtne ir vissvarīgākā, paaugstināts bērna kopšanas pabalsta apmērs un vecāku pabalsta minimālais apmērs. Ar </w:t>
      </w:r>
      <w:r w:rsidRPr="006202E5">
        <w:rPr>
          <w:rFonts w:ascii="Times New Roman" w:eastAsia="Times New Roman" w:hAnsi="Times New Roman" w:cs="Times New Roman"/>
          <w:sz w:val="24"/>
          <w:szCs w:val="24"/>
          <w:lang w:eastAsia="en-US"/>
        </w:rPr>
        <w:lastRenderedPageBreak/>
        <w:t>2013.gada 1.janvāri bērna kopšanas pabalsts sociāli neapdrošinātām personām no bērna dzimšanas līdz gada vecumam ir 100 lati (līdz tam 50 lati). Vecāku pabalsta</w:t>
      </w:r>
      <w:r w:rsidR="00C51438" w:rsidRPr="00C51438">
        <w:rPr>
          <w:rFonts w:ascii="Times New Roman" w:eastAsia="Times New Roman" w:hAnsi="Times New Roman" w:cs="Times New Roman"/>
          <w:sz w:val="24"/>
          <w:szCs w:val="24"/>
          <w:lang w:eastAsia="en-US"/>
        </w:rPr>
        <w:t xml:space="preserve"> </w:t>
      </w:r>
      <w:r w:rsidR="00C51438" w:rsidRPr="006202E5">
        <w:rPr>
          <w:rFonts w:ascii="Times New Roman" w:eastAsia="Times New Roman" w:hAnsi="Times New Roman" w:cs="Times New Roman"/>
          <w:sz w:val="24"/>
          <w:szCs w:val="24"/>
          <w:lang w:eastAsia="en-US"/>
        </w:rPr>
        <w:t>minimālais apmērs</w:t>
      </w:r>
      <w:r w:rsidRPr="006202E5">
        <w:rPr>
          <w:rFonts w:ascii="Times New Roman" w:eastAsia="Times New Roman" w:hAnsi="Times New Roman" w:cs="Times New Roman"/>
          <w:sz w:val="24"/>
          <w:szCs w:val="24"/>
          <w:lang w:eastAsia="en-US"/>
        </w:rPr>
        <w:t xml:space="preserve">, ko saņem sociāli apdrošinātas personas no bērna dzimšanas līdz gada vecumam, arī ir 100 lati (līdz tam 63 lati). Savukārt bērna kopšanas pabalsta apmērs gan vieniem, gan otriem vecākiem par bērniem vecumā no gada līdz pusotram </w:t>
      </w:r>
      <w:r w:rsidR="0021469D">
        <w:rPr>
          <w:rFonts w:ascii="Times New Roman" w:eastAsia="Times New Roman" w:hAnsi="Times New Roman" w:cs="Times New Roman"/>
          <w:sz w:val="24"/>
          <w:szCs w:val="24"/>
          <w:lang w:eastAsia="en-US"/>
        </w:rPr>
        <w:t xml:space="preserve">gadam </w:t>
      </w:r>
      <w:r w:rsidRPr="006202E5">
        <w:rPr>
          <w:rFonts w:ascii="Times New Roman" w:eastAsia="Times New Roman" w:hAnsi="Times New Roman" w:cs="Times New Roman"/>
          <w:sz w:val="24"/>
          <w:szCs w:val="24"/>
          <w:lang w:eastAsia="en-US"/>
        </w:rPr>
        <w:t xml:space="preserve">no 30 latiem paaugstināts uz 100 latiem. Ja </w:t>
      </w:r>
      <w:r w:rsidR="0021469D">
        <w:rPr>
          <w:rFonts w:ascii="Times New Roman" w:eastAsia="Times New Roman" w:hAnsi="Times New Roman" w:cs="Times New Roman"/>
          <w:sz w:val="24"/>
          <w:szCs w:val="24"/>
          <w:lang w:eastAsia="en-US"/>
        </w:rPr>
        <w:t>pie</w:t>
      </w:r>
      <w:r w:rsidRPr="006202E5">
        <w:rPr>
          <w:rFonts w:ascii="Times New Roman" w:eastAsia="Times New Roman" w:hAnsi="Times New Roman" w:cs="Times New Roman"/>
          <w:sz w:val="24"/>
          <w:szCs w:val="24"/>
          <w:lang w:eastAsia="en-US"/>
        </w:rPr>
        <w:t>dzimst dvīņi vai vairāk bērnu vienās dzemdībās, tad pie vecāku vai bērna kopšanas pabalsta maksā piemaksu, un arī tā ir paaugstināta līdz 100 latiem mēnesī.</w:t>
      </w:r>
    </w:p>
    <w:p w:rsidR="00FD601E" w:rsidRDefault="00FD601E" w:rsidP="00FD601E">
      <w:pPr>
        <w:pStyle w:val="Heading2"/>
        <w:spacing w:before="0" w:line="240" w:lineRule="auto"/>
      </w:pPr>
    </w:p>
    <w:p w:rsidR="00EE6B47" w:rsidRPr="00FD601E" w:rsidRDefault="00EE6B47" w:rsidP="00FD601E">
      <w:pPr>
        <w:pStyle w:val="Heading2"/>
        <w:spacing w:before="0" w:line="240" w:lineRule="auto"/>
      </w:pPr>
      <w:bookmarkStart w:id="14" w:name="_Toc348948321"/>
      <w:r w:rsidRPr="00FD601E">
        <w:t xml:space="preserve">4. </w:t>
      </w:r>
      <w:hyperlink w:anchor="_Toc286740116" w:history="1">
        <w:r w:rsidRPr="00FD601E">
          <w:t>Izglītības</w:t>
        </w:r>
      </w:hyperlink>
      <w:r w:rsidRPr="00FD601E">
        <w:t xml:space="preserve"> sistēmas reforma</w:t>
      </w:r>
      <w:bookmarkEnd w:id="14"/>
    </w:p>
    <w:p w:rsidR="00EE6B47" w:rsidRPr="006202E5" w:rsidRDefault="00EE6B47" w:rsidP="00EE6B47">
      <w:pPr>
        <w:spacing w:after="0" w:line="240" w:lineRule="auto"/>
        <w:ind w:firstLine="709"/>
        <w:jc w:val="both"/>
        <w:rPr>
          <w:rFonts w:ascii="Times New Roman" w:hAnsi="Times New Roman" w:cs="Times New Roman"/>
          <w:sz w:val="24"/>
          <w:szCs w:val="24"/>
        </w:rPr>
      </w:pPr>
    </w:p>
    <w:p w:rsidR="00EE6B47" w:rsidRPr="006202E5" w:rsidRDefault="00EE6B47" w:rsidP="00EE6B47">
      <w:pPr>
        <w:spacing w:after="0" w:line="240" w:lineRule="auto"/>
        <w:ind w:firstLine="709"/>
        <w:jc w:val="both"/>
        <w:rPr>
          <w:rFonts w:ascii="Times New Roman" w:hAnsi="Times New Roman" w:cs="Times New Roman"/>
          <w:sz w:val="24"/>
          <w:szCs w:val="24"/>
        </w:rPr>
      </w:pPr>
      <w:r w:rsidRPr="006202E5">
        <w:rPr>
          <w:rFonts w:ascii="Times New Roman" w:hAnsi="Times New Roman" w:cs="Times New Roman"/>
          <w:sz w:val="24"/>
          <w:szCs w:val="24"/>
        </w:rPr>
        <w:t>Lai nodrošinātu izglītības politikas pēctecību un sekmētu reformu īstenošanu, 2012.gadā tika uzsākta un 2013.gadā tiks pabeigta Izglītības attīstības pamatnostādņu 2014.–2020.gadam projekta izstrāde, kas noteiks izglītības politikas mērķus, pamatprincipus, rīcības virzienus, uzdevumus un rādītājus nākamajam plānošanas periodam.</w:t>
      </w:r>
    </w:p>
    <w:p w:rsidR="00EE6B47" w:rsidRPr="00FD601E" w:rsidRDefault="00EE6B47" w:rsidP="00FD601E">
      <w:pPr>
        <w:pStyle w:val="Heading3"/>
      </w:pPr>
      <w:bookmarkStart w:id="15" w:name="_Toc348948322"/>
      <w:r w:rsidRPr="00FD601E">
        <w:t>4.1.Vispārējā izglītība</w:t>
      </w:r>
      <w:bookmarkEnd w:id="15"/>
    </w:p>
    <w:p w:rsidR="00FC6245" w:rsidRPr="00FC6245" w:rsidRDefault="00FC6245" w:rsidP="00FC6245">
      <w:pPr>
        <w:spacing w:after="0" w:line="240" w:lineRule="auto"/>
        <w:ind w:firstLine="720"/>
        <w:jc w:val="both"/>
        <w:rPr>
          <w:rFonts w:ascii="Times New Roman" w:hAnsi="Times New Roman" w:cs="Times New Roman"/>
          <w:b/>
          <w:i/>
          <w:sz w:val="24"/>
          <w:szCs w:val="24"/>
        </w:rPr>
      </w:pPr>
      <w:r w:rsidRPr="00FC6245">
        <w:rPr>
          <w:rFonts w:ascii="Times New Roman" w:hAnsi="Times New Roman" w:cs="Times New Roman"/>
          <w:sz w:val="24"/>
          <w:szCs w:val="24"/>
        </w:rPr>
        <w:t>Apstiprinātas vadlīnijas pirmsskolas mācību satura apguvei, kā arī</w:t>
      </w:r>
      <w:r w:rsidRPr="00FC6245">
        <w:rPr>
          <w:rFonts w:ascii="Times New Roman" w:hAnsi="Times New Roman" w:cs="Times New Roman"/>
          <w:b/>
          <w:i/>
          <w:sz w:val="24"/>
          <w:szCs w:val="24"/>
        </w:rPr>
        <w:t xml:space="preserve"> </w:t>
      </w:r>
      <w:r w:rsidRPr="00FC6245">
        <w:rPr>
          <w:rFonts w:ascii="Times New Roman" w:hAnsi="Times New Roman" w:cs="Times New Roman"/>
          <w:sz w:val="24"/>
          <w:szCs w:val="24"/>
        </w:rPr>
        <w:t>izstrādāts koncepts pamatizglītības standarta struktūrai, ietverot pamatkompetences un vispārējos principus, tādējādi nodrošinot konceptuāli jauna pamatizglītības standarta izstrādi līdz 2014.gada 1.jūnijam.</w:t>
      </w:r>
    </w:p>
    <w:p w:rsidR="00FC6245" w:rsidRPr="00FC6245" w:rsidRDefault="00FC6245" w:rsidP="00FC6245">
      <w:pPr>
        <w:spacing w:after="0" w:line="240" w:lineRule="auto"/>
        <w:ind w:firstLine="720"/>
        <w:jc w:val="both"/>
        <w:rPr>
          <w:rFonts w:ascii="Times New Roman" w:eastAsia="Times New Roman" w:hAnsi="Times New Roman" w:cs="Times New Roman"/>
          <w:sz w:val="24"/>
          <w:szCs w:val="24"/>
        </w:rPr>
      </w:pPr>
      <w:r w:rsidRPr="00FC6245">
        <w:rPr>
          <w:rFonts w:ascii="Times New Roman" w:hAnsi="Times New Roman" w:cs="Times New Roman"/>
          <w:sz w:val="24"/>
          <w:szCs w:val="24"/>
        </w:rPr>
        <w:t xml:space="preserve">Veiktas izmaiņas centralizēto eksāmenu rezultātu izteikšanas formā, ieviešot tikai procentuālo novērtējumu, kā arī izmaiņas </w:t>
      </w:r>
      <w:r w:rsidRPr="00FC6245">
        <w:rPr>
          <w:rFonts w:ascii="Times New Roman" w:eastAsia="Times New Roman" w:hAnsi="Times New Roman" w:cs="Times New Roman"/>
          <w:sz w:val="24"/>
          <w:szCs w:val="24"/>
        </w:rPr>
        <w:t>angļu valodas centralizētā eksāmena norises laikā</w:t>
      </w:r>
      <w:r w:rsidRPr="00FC6245">
        <w:rPr>
          <w:rFonts w:ascii="Times New Roman" w:hAnsi="Times New Roman" w:cs="Times New Roman"/>
          <w:sz w:val="24"/>
          <w:szCs w:val="24"/>
        </w:rPr>
        <w:t xml:space="preserve"> 2012./2013.mācību gadā. </w:t>
      </w:r>
      <w:r w:rsidRPr="00FC6245">
        <w:rPr>
          <w:rFonts w:ascii="Times New Roman" w:eastAsia="Times New Roman" w:hAnsi="Times New Roman" w:cs="Times New Roman"/>
          <w:sz w:val="24"/>
          <w:szCs w:val="24"/>
        </w:rPr>
        <w:t>2013./2014.mācību gadā angļu un latviešu valodas centralizēto eksāmenu norise tiek plānota mācību procesa laikā</w:t>
      </w:r>
      <w:r w:rsidR="00632392">
        <w:rPr>
          <w:rFonts w:ascii="Times New Roman" w:eastAsia="Times New Roman" w:hAnsi="Times New Roman" w:cs="Times New Roman"/>
          <w:sz w:val="24"/>
          <w:szCs w:val="24"/>
        </w:rPr>
        <w:t>.</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Apstiprināšanai MK tiks iesniegts Valsts izglītības standarta projekts, </w:t>
      </w:r>
      <w:r w:rsidRPr="00FC6245">
        <w:rPr>
          <w:rFonts w:ascii="Times New Roman" w:hAnsi="Times New Roman" w:cs="Times New Roman"/>
          <w:bCs/>
          <w:sz w:val="24"/>
          <w:szCs w:val="24"/>
        </w:rPr>
        <w:t>ietverot tajā arī šo standartu prasībām atbilstošus izglītības programmu paraugus.</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Mazinot birokrātisko slogu, no normatīvā regulējuma izslēgti skolotāju mācību priekšmetu tematiskie plāni un audzinātāju dienasgrāmatas (pirmsskolā). Izstrādāti un apstiprināti pedagoga asistenta darba nodrošināšanas normatīvie akti (apvienojot divus normatīvus aktus vienā), veicinot iekļaujošas izglītības iespējas.</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Izstrādātas elastīgas prasības pedagogu izglītībai un profesionālajai kvalifikācijai, piedāvājot pakāpenisku jaunas pieejas ieviešanu pedagogu sagatavošanā un tālākizglītībā, paredzot to tālāku īstenošanu pedagogu motivācijas programmas ietvaros.</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VISC ir izveidojis </w:t>
      </w:r>
      <w:r w:rsidR="00B167ED">
        <w:rPr>
          <w:rFonts w:ascii="Times New Roman" w:hAnsi="Times New Roman" w:cs="Times New Roman"/>
          <w:sz w:val="24"/>
          <w:szCs w:val="24"/>
        </w:rPr>
        <w:t>"</w:t>
      </w:r>
      <w:r w:rsidRPr="00FC6245">
        <w:rPr>
          <w:rFonts w:ascii="Times New Roman" w:hAnsi="Times New Roman" w:cs="Times New Roman"/>
          <w:sz w:val="24"/>
          <w:szCs w:val="24"/>
        </w:rPr>
        <w:t>Inovatīvās pieredzes skolu tīklu</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uz ESF projekta </w:t>
      </w:r>
      <w:r w:rsidR="00B167ED">
        <w:rPr>
          <w:rFonts w:ascii="Times New Roman" w:hAnsi="Times New Roman" w:cs="Times New Roman"/>
          <w:sz w:val="24"/>
          <w:szCs w:val="24"/>
        </w:rPr>
        <w:t>"</w:t>
      </w:r>
      <w:r w:rsidRPr="00FC6245">
        <w:rPr>
          <w:rFonts w:ascii="Times New Roman" w:hAnsi="Times New Roman" w:cs="Times New Roman"/>
          <w:sz w:val="24"/>
          <w:szCs w:val="24"/>
        </w:rPr>
        <w:t>Dabaszinātnes un matemātika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pilotskolu bāzes, kas kalpo par pamatu ilgtspējīgas atbalsta sistēmas izveidei uzsākto reformu dabaszinātnēs un matemātikā ieviešanai katrā skolā katrā klasē.</w:t>
      </w:r>
    </w:p>
    <w:p w:rsidR="00FC6245" w:rsidRPr="00FC6245" w:rsidRDefault="00FC6245" w:rsidP="00FC6245">
      <w:pPr>
        <w:spacing w:after="0" w:line="240" w:lineRule="auto"/>
        <w:ind w:firstLine="720"/>
        <w:jc w:val="both"/>
        <w:rPr>
          <w:rFonts w:ascii="Times New Roman" w:hAnsi="Times New Roman"/>
          <w:sz w:val="24"/>
          <w:szCs w:val="24"/>
        </w:rPr>
      </w:pPr>
      <w:r w:rsidRPr="00FC6245">
        <w:rPr>
          <w:rFonts w:ascii="Times New Roman" w:hAnsi="Times New Roman"/>
          <w:sz w:val="24"/>
          <w:szCs w:val="24"/>
        </w:rPr>
        <w:t xml:space="preserve">Lai veicinātu inovāciju īstenošanu izglītībā, mācībspēku attīstību un jaunu zināšanu iegūšanu darbā ar jaunākajām tehnoloģijām un iekārtām, kas izmantojamas mācību procesā, </w:t>
      </w:r>
      <w:r w:rsidRPr="00FC6245">
        <w:rPr>
          <w:rFonts w:ascii="Times New Roman" w:hAnsi="Times New Roman" w:cs="Times New Roman"/>
          <w:sz w:val="24"/>
          <w:szCs w:val="24"/>
        </w:rPr>
        <w:t>VIAA</w:t>
      </w:r>
      <w:r w:rsidRPr="00FC6245">
        <w:rPr>
          <w:rFonts w:ascii="Times New Roman" w:hAnsi="Times New Roman"/>
          <w:sz w:val="24"/>
          <w:szCs w:val="24"/>
        </w:rPr>
        <w:t xml:space="preserve"> rīkoja atklātu projektu konkursu inovāciju īstenošanai izglītībā 2012.gadā. </w:t>
      </w:r>
      <w:r w:rsidR="00A32DD5">
        <w:rPr>
          <w:rFonts w:ascii="Times New Roman" w:hAnsi="Times New Roman"/>
          <w:sz w:val="24"/>
          <w:szCs w:val="24"/>
        </w:rPr>
        <w:t>Šī konkursa</w:t>
      </w:r>
      <w:r w:rsidRPr="00FC6245">
        <w:rPr>
          <w:rFonts w:ascii="Times New Roman" w:hAnsi="Times New Roman"/>
          <w:sz w:val="24"/>
          <w:szCs w:val="24"/>
        </w:rPr>
        <w:t xml:space="preserve"> ietvaros izstrādāti digitālie mācību materiāli kā sociālajām, tā eksaktajām zinātnēm, tai skaitā tapuši arī materiāli integrētai mācību priekšmetu apguvei.</w:t>
      </w:r>
    </w:p>
    <w:p w:rsidR="00A32DD5" w:rsidRPr="00FC6245" w:rsidRDefault="00A32DD5" w:rsidP="00A32DD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2013.gadā plānots </w:t>
      </w:r>
      <w:r w:rsidR="00632392">
        <w:rPr>
          <w:rFonts w:ascii="Times New Roman" w:hAnsi="Times New Roman" w:cs="Times New Roman"/>
          <w:sz w:val="24"/>
          <w:szCs w:val="24"/>
        </w:rPr>
        <w:t>trešo</w:t>
      </w:r>
      <w:r w:rsidRPr="00FC6245">
        <w:rPr>
          <w:rFonts w:ascii="Times New Roman" w:hAnsi="Times New Roman" w:cs="Times New Roman"/>
          <w:sz w:val="24"/>
          <w:szCs w:val="24"/>
        </w:rPr>
        <w:t xml:space="preserve"> reizi organizēt konkursu un pasniegt </w:t>
      </w:r>
      <w:r w:rsidR="00632392">
        <w:rPr>
          <w:rFonts w:ascii="Times New Roman" w:hAnsi="Times New Roman" w:cs="Times New Roman"/>
          <w:sz w:val="24"/>
          <w:szCs w:val="24"/>
        </w:rPr>
        <w:t>i</w:t>
      </w:r>
      <w:r w:rsidRPr="00FC6245">
        <w:rPr>
          <w:rFonts w:ascii="Times New Roman" w:hAnsi="Times New Roman" w:cs="Times New Roman"/>
          <w:sz w:val="24"/>
          <w:szCs w:val="24"/>
        </w:rPr>
        <w:t xml:space="preserve">novācijas balvu izglītībā, kā arī sniegt atbalstu digitālo materiālu izstrādei un pieejamības nodrošināšanai, </w:t>
      </w:r>
      <w:r w:rsidRPr="00FC6245">
        <w:rPr>
          <w:rFonts w:ascii="Times New Roman" w:hAnsi="Times New Roman" w:cs="Times New Roman"/>
          <w:sz w:val="24"/>
          <w:szCs w:val="24"/>
        </w:rPr>
        <w:lastRenderedPageBreak/>
        <w:t>turpināt darbu pie plašākas IKT izmantošanas pirmsskolā un sākumskolā, kā arī izstrādāt vēl divus interaktīvus mācību materiālus attiecīgajām vecuma grupām.</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eastAsia="Calibri" w:hAnsi="Times New Roman" w:cs="Times New Roman"/>
          <w:sz w:val="24"/>
          <w:szCs w:val="24"/>
        </w:rPr>
        <w:t>ERAF ietvaros 672 vispārizglītojošās iestādes un profesionālās izglītības iestādes un to struktūrvienības apgādātas ar datortehniku.</w:t>
      </w:r>
    </w:p>
    <w:p w:rsidR="00FC6245" w:rsidRPr="00FC6245" w:rsidRDefault="00FC6245" w:rsidP="00FC6245">
      <w:pPr>
        <w:spacing w:after="0" w:line="240" w:lineRule="auto"/>
        <w:jc w:val="both"/>
        <w:rPr>
          <w:rFonts w:ascii="Times New Roman" w:hAnsi="Times New Roman" w:cs="Times New Roman"/>
          <w:sz w:val="24"/>
          <w:szCs w:val="24"/>
        </w:rPr>
      </w:pPr>
      <w:r w:rsidRPr="00FC6245">
        <w:rPr>
          <w:rFonts w:ascii="Times New Roman" w:hAnsi="Times New Roman" w:cs="Times New Roman"/>
          <w:sz w:val="24"/>
          <w:szCs w:val="24"/>
        </w:rPr>
        <w:tab/>
        <w:t>Plānots iesniegt MK grozījumus normatīvajos aktos par mācību līdzekļu finansēšanas kārtību, paredzot dalītu (valsts mērķdotācija, pašvaldības līdzfinansējums, vecāku līdzfinansējums) atbildību mācību līdzekļu nodrošināšan</w:t>
      </w:r>
      <w:r w:rsidR="009D46CE">
        <w:rPr>
          <w:rFonts w:ascii="Times New Roman" w:hAnsi="Times New Roman" w:cs="Times New Roman"/>
          <w:sz w:val="24"/>
          <w:szCs w:val="24"/>
        </w:rPr>
        <w:t>ā atbilstoši</w:t>
      </w:r>
      <w:r w:rsidRPr="00FC6245">
        <w:rPr>
          <w:rFonts w:ascii="Times New Roman" w:hAnsi="Times New Roman" w:cs="Times New Roman"/>
          <w:sz w:val="24"/>
          <w:szCs w:val="24"/>
        </w:rPr>
        <w:t xml:space="preserve"> mūsdienīgam mācību procesam.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ESF projekta </w:t>
      </w:r>
      <w:r w:rsidR="00B167ED">
        <w:rPr>
          <w:rFonts w:ascii="Times New Roman" w:hAnsi="Times New Roman" w:cs="Times New Roman"/>
          <w:sz w:val="24"/>
          <w:szCs w:val="24"/>
        </w:rPr>
        <w:t>"</w:t>
      </w:r>
      <w:r w:rsidRPr="00FC6245">
        <w:rPr>
          <w:rFonts w:ascii="Times New Roman" w:hAnsi="Times New Roman" w:cs="Times New Roman"/>
          <w:sz w:val="24"/>
          <w:szCs w:val="24"/>
        </w:rPr>
        <w:t>Pedagogu konkurētspējas paaugstināšana izglītības sistēmas optimizācijas apstākļos</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ietvaros nodrošināta pedagogu profesionālās darbības kvalitātes novērtēšanas procesa īstenošana. ESF projekta </w:t>
      </w:r>
      <w:r w:rsidR="00B167ED">
        <w:rPr>
          <w:rFonts w:ascii="Times New Roman" w:hAnsi="Times New Roman" w:cs="Times New Roman"/>
          <w:sz w:val="24"/>
          <w:szCs w:val="24"/>
        </w:rPr>
        <w:t>"</w:t>
      </w:r>
      <w:r w:rsidRPr="00FC6245">
        <w:rPr>
          <w:rFonts w:ascii="Times New Roman" w:hAnsi="Times New Roman" w:cs="Times New Roman"/>
          <w:sz w:val="24"/>
          <w:szCs w:val="24"/>
        </w:rPr>
        <w:t>Vispārējās izglītības pedagogu tālākizglītība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ietvaros turpinājās vispārējās un interešu izglītības pedagogu profesionālo kompetenču paaugstināšana un prasmju atjaunošana </w:t>
      </w:r>
      <w:r w:rsidRPr="00FC6245">
        <w:rPr>
          <w:rFonts w:ascii="Times New Roman" w:hAnsi="Times New Roman" w:cs="Times New Roman"/>
          <w:bCs/>
          <w:sz w:val="24"/>
          <w:szCs w:val="24"/>
        </w:rPr>
        <w:t>mūsdienīga</w:t>
      </w:r>
      <w:r w:rsidRPr="00FC6245">
        <w:rPr>
          <w:rFonts w:ascii="Times New Roman" w:hAnsi="Times New Roman" w:cs="Times New Roman"/>
          <w:sz w:val="24"/>
          <w:szCs w:val="24"/>
        </w:rPr>
        <w:t xml:space="preserve"> mācību procesa nodrošināšanai un uz zināšanām un inovācijām balstītas sabiedrības veidošanai.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Plānota pedagogu motivācijas programmas izstrāde un īstenošana, ietverot arī pakāpenisku pedagogu atalgojuma paaugstināšanu </w:t>
      </w:r>
      <w:r w:rsidR="009D46CE">
        <w:rPr>
          <w:rFonts w:ascii="Times New Roman" w:hAnsi="Times New Roman" w:cs="Times New Roman"/>
          <w:sz w:val="24"/>
          <w:szCs w:val="24"/>
        </w:rPr>
        <w:t>atbilstoši</w:t>
      </w:r>
      <w:r w:rsidRPr="00FC6245">
        <w:rPr>
          <w:rFonts w:ascii="Times New Roman" w:hAnsi="Times New Roman" w:cs="Times New Roman"/>
          <w:sz w:val="24"/>
          <w:szCs w:val="24"/>
        </w:rPr>
        <w:t xml:space="preserve"> darba kvalitāt</w:t>
      </w:r>
      <w:r w:rsidR="009D46CE">
        <w:rPr>
          <w:rFonts w:ascii="Times New Roman" w:hAnsi="Times New Roman" w:cs="Times New Roman"/>
          <w:sz w:val="24"/>
          <w:szCs w:val="24"/>
        </w:rPr>
        <w:t>e</w:t>
      </w:r>
      <w:r w:rsidRPr="00FC6245">
        <w:rPr>
          <w:rFonts w:ascii="Times New Roman" w:hAnsi="Times New Roman" w:cs="Times New Roman"/>
          <w:sz w:val="24"/>
          <w:szCs w:val="24"/>
        </w:rPr>
        <w:t>i.</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Sekmējot izglītības kvalitātes novērtēšanu, plānota izglītības kvalitātes monitoringa sistēmas izstrāde (t</w:t>
      </w:r>
      <w:r w:rsidR="00A744DF">
        <w:rPr>
          <w:rFonts w:ascii="Times New Roman" w:hAnsi="Times New Roman" w:cs="Times New Roman"/>
          <w:sz w:val="24"/>
          <w:szCs w:val="24"/>
        </w:rPr>
        <w:t xml:space="preserve">ai </w:t>
      </w:r>
      <w:r w:rsidRPr="00FC6245">
        <w:rPr>
          <w:rFonts w:ascii="Times New Roman" w:hAnsi="Times New Roman" w:cs="Times New Roman"/>
          <w:sz w:val="24"/>
          <w:szCs w:val="24"/>
        </w:rPr>
        <w:t>sk</w:t>
      </w:r>
      <w:r w:rsidR="00A744DF">
        <w:rPr>
          <w:rFonts w:ascii="Times New Roman" w:hAnsi="Times New Roman" w:cs="Times New Roman"/>
          <w:sz w:val="24"/>
          <w:szCs w:val="24"/>
        </w:rPr>
        <w:t>aitā</w:t>
      </w:r>
      <w:r w:rsidRPr="00FC6245">
        <w:rPr>
          <w:rFonts w:ascii="Times New Roman" w:hAnsi="Times New Roman" w:cs="Times New Roman"/>
          <w:sz w:val="24"/>
          <w:szCs w:val="24"/>
        </w:rPr>
        <w:t xml:space="preserve"> valsts pārbaužu datubāzes pilnveide), nodrošinot pārskatāmību par katra skolēna mācību sasniegumu dinamiku, kā arī pirmsskolas izglītības kvalitātes vērtēšana.</w:t>
      </w:r>
    </w:p>
    <w:p w:rsidR="00FC6245" w:rsidRPr="00FC6245" w:rsidRDefault="00FC6245" w:rsidP="00FC624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Plānots izstrādāt un aprobēt praksē alternatīvus pedagogu profesionālās pilnveides modeļus – praktiskās darbnīcas, kā arī nodrošināt profesionālās pilnveides iespējas 15</w:t>
      </w:r>
      <w:r w:rsidR="00A744DF">
        <w:rPr>
          <w:rFonts w:ascii="Times New Roman" w:hAnsi="Times New Roman" w:cs="Times New Roman"/>
          <w:sz w:val="24"/>
          <w:szCs w:val="24"/>
        </w:rPr>
        <w:t> </w:t>
      </w:r>
      <w:r w:rsidRPr="00FC6245">
        <w:rPr>
          <w:rFonts w:ascii="Times New Roman" w:hAnsi="Times New Roman" w:cs="Times New Roman"/>
          <w:sz w:val="24"/>
          <w:szCs w:val="24"/>
        </w:rPr>
        <w:t>975 vispārējās un interešu izglītības pedagogiem, kā arī 1570 profesionālo mācību priekšmetu pedagogiem un prakses vadītājiem.</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Veicinot speciālās izglītības attīstību, notiks speciālās izglītības iestāžu tīkla izvērtēšana un atbilstīga finansēšanas modeļa izstrāde, kā arī tiks izvērtēta </w:t>
      </w:r>
      <w:r w:rsidR="00FA08D7">
        <w:rPr>
          <w:rFonts w:ascii="Times New Roman" w:hAnsi="Times New Roman" w:cs="Times New Roman"/>
          <w:sz w:val="24"/>
          <w:szCs w:val="24"/>
        </w:rPr>
        <w:t xml:space="preserve">10 </w:t>
      </w:r>
      <w:r w:rsidRPr="00FC6245">
        <w:rPr>
          <w:rFonts w:ascii="Times New Roman" w:hAnsi="Times New Roman" w:cs="Times New Roman"/>
          <w:sz w:val="24"/>
          <w:szCs w:val="24"/>
        </w:rPr>
        <w:t>iekļaujošās izglītības atbalsta centru izveide.</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Lai veicinātu mazo lauku skolu saglabāšanu, plānota atbalsta pasākumu (t</w:t>
      </w:r>
      <w:r w:rsidR="00A744DF">
        <w:rPr>
          <w:rFonts w:ascii="Times New Roman" w:hAnsi="Times New Roman" w:cs="Times New Roman"/>
          <w:sz w:val="24"/>
          <w:szCs w:val="24"/>
        </w:rPr>
        <w:t xml:space="preserve">ai </w:t>
      </w:r>
      <w:r w:rsidRPr="00FC6245">
        <w:rPr>
          <w:rFonts w:ascii="Times New Roman" w:hAnsi="Times New Roman" w:cs="Times New Roman"/>
          <w:sz w:val="24"/>
          <w:szCs w:val="24"/>
        </w:rPr>
        <w:t>sk</w:t>
      </w:r>
      <w:r w:rsidR="00A744DF">
        <w:rPr>
          <w:rFonts w:ascii="Times New Roman" w:hAnsi="Times New Roman" w:cs="Times New Roman"/>
          <w:sz w:val="24"/>
          <w:szCs w:val="24"/>
        </w:rPr>
        <w:t>aitā</w:t>
      </w:r>
      <w:r w:rsidRPr="00FC6245">
        <w:rPr>
          <w:rFonts w:ascii="Times New Roman" w:hAnsi="Times New Roman" w:cs="Times New Roman"/>
          <w:sz w:val="24"/>
          <w:szCs w:val="24"/>
        </w:rPr>
        <w:t xml:space="preserve"> finansēšanas modeļu) izstrāde un to īstenošanas nodrošināšana.</w:t>
      </w:r>
    </w:p>
    <w:p w:rsidR="00EE6B47" w:rsidRPr="00FC6245" w:rsidRDefault="00EE6B47" w:rsidP="00EE6B47">
      <w:pPr>
        <w:pStyle w:val="Heading3"/>
        <w:rPr>
          <w:szCs w:val="24"/>
        </w:rPr>
      </w:pPr>
      <w:bookmarkStart w:id="16" w:name="_Toc348948323"/>
      <w:r w:rsidRPr="00FC6245">
        <w:rPr>
          <w:szCs w:val="24"/>
        </w:rPr>
        <w:t>4.2.Profesionālā izglītība</w:t>
      </w:r>
      <w:bookmarkEnd w:id="16"/>
    </w:p>
    <w:p w:rsidR="00FC6245" w:rsidRPr="00FC6245" w:rsidRDefault="00FC6245" w:rsidP="00FC6245">
      <w:pPr>
        <w:spacing w:after="0" w:line="240" w:lineRule="auto"/>
        <w:ind w:firstLine="720"/>
        <w:contextualSpacing/>
        <w:jc w:val="both"/>
        <w:rPr>
          <w:rFonts w:ascii="Times New Roman" w:hAnsi="Times New Roman" w:cs="Times New Roman"/>
          <w:sz w:val="24"/>
          <w:szCs w:val="24"/>
        </w:rPr>
      </w:pPr>
      <w:r w:rsidRPr="00FC6245">
        <w:rPr>
          <w:rFonts w:ascii="Times New Roman" w:hAnsi="Times New Roman" w:cs="Times New Roman"/>
          <w:sz w:val="24"/>
          <w:szCs w:val="24"/>
        </w:rPr>
        <w:t xml:space="preserve">2012.gadā izstrādāts un iesniegts apstiprināšanai MK noteikumu projekts </w:t>
      </w:r>
      <w:r w:rsidR="00B167ED">
        <w:rPr>
          <w:rFonts w:ascii="Times New Roman" w:hAnsi="Times New Roman" w:cs="Times New Roman"/>
          <w:sz w:val="24"/>
          <w:szCs w:val="24"/>
        </w:rPr>
        <w:t>"</w:t>
      </w:r>
      <w:r w:rsidRPr="00FC6245">
        <w:rPr>
          <w:rFonts w:ascii="Times New Roman" w:hAnsi="Times New Roman" w:cs="Times New Roman"/>
          <w:sz w:val="24"/>
          <w:szCs w:val="24"/>
        </w:rPr>
        <w:t>Profesionālās izglītības kompetences centra statusa piešķiršanas un anulēšanas kārtība</w:t>
      </w:r>
      <w:r w:rsidR="00B167ED">
        <w:rPr>
          <w:rFonts w:ascii="Times New Roman" w:hAnsi="Times New Roman" w:cs="Times New Roman"/>
          <w:sz w:val="24"/>
          <w:szCs w:val="24"/>
        </w:rPr>
        <w:t>"</w:t>
      </w:r>
      <w:r w:rsidRPr="00FC6245">
        <w:rPr>
          <w:rFonts w:ascii="Times New Roman" w:hAnsi="Times New Roman" w:cs="Times New Roman"/>
          <w:sz w:val="24"/>
          <w:szCs w:val="24"/>
        </w:rPr>
        <w:t>, k</w:t>
      </w:r>
      <w:r w:rsidR="00A744DF">
        <w:rPr>
          <w:rFonts w:ascii="Times New Roman" w:hAnsi="Times New Roman" w:cs="Times New Roman"/>
          <w:sz w:val="24"/>
          <w:szCs w:val="24"/>
        </w:rPr>
        <w:t>as</w:t>
      </w:r>
      <w:r w:rsidRPr="00FC6245">
        <w:rPr>
          <w:rFonts w:ascii="Times New Roman" w:hAnsi="Times New Roman" w:cs="Times New Roman"/>
          <w:sz w:val="24"/>
          <w:szCs w:val="24"/>
        </w:rPr>
        <w:t xml:space="preserve"> nosaka paaugstinātas prasības un papildu prasības profesionālās izglītības iestādēm, kuras vēlas kvalificēties kompetences centra statusa ieguvei. </w:t>
      </w:r>
    </w:p>
    <w:p w:rsidR="00FC6245" w:rsidRPr="00FC6245" w:rsidRDefault="00FC6245" w:rsidP="00FC6245">
      <w:pPr>
        <w:spacing w:after="0" w:line="240" w:lineRule="auto"/>
        <w:ind w:firstLine="720"/>
        <w:jc w:val="both"/>
        <w:rPr>
          <w:rFonts w:ascii="Times New Roman" w:eastAsia="Calibri" w:hAnsi="Times New Roman" w:cs="Times New Roman"/>
          <w:sz w:val="24"/>
          <w:szCs w:val="24"/>
        </w:rPr>
      </w:pPr>
      <w:r w:rsidRPr="00FC6245">
        <w:rPr>
          <w:rFonts w:ascii="Times New Roman" w:eastAsia="Calibri" w:hAnsi="Times New Roman" w:cs="Times New Roman"/>
          <w:sz w:val="24"/>
          <w:szCs w:val="24"/>
        </w:rPr>
        <w:t xml:space="preserve">Izstrādāti jauni profesionālās izglītības iestāžu vērtēšanas principi pretendentu atlasei ES ietvaros.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Sadarbībā ar darba devējiem uzsākta profesionālās izglītības satura pārstrukturēšana, ievērojot Eiropas kvalifikāciju ietvarstruktūru un izmantojot elastīgas modulārās izglītības programmas. Noteikta </w:t>
      </w:r>
      <w:r w:rsidRPr="00FC6245">
        <w:rPr>
          <w:rFonts w:ascii="Times New Roman" w:eastAsia="Calibri" w:hAnsi="Times New Roman" w:cs="Times New Roman"/>
          <w:sz w:val="24"/>
          <w:szCs w:val="24"/>
        </w:rPr>
        <w:t xml:space="preserve">mācību prakses organizēšanas un apdrošināšanas kārtība, kas </w:t>
      </w:r>
      <w:r w:rsidRPr="00FC6245">
        <w:rPr>
          <w:rFonts w:ascii="Times New Roman" w:hAnsi="Times New Roman" w:cs="Times New Roman"/>
          <w:sz w:val="24"/>
          <w:szCs w:val="24"/>
        </w:rPr>
        <w:t>t.sk. nosaka profesionālās kvalifikācijas, kuras iegūstot, veicama obligāta izglītojamo apdrošināšana pret nelaimes gadījumiem mācību prakses laikā.</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Nodrošināta sociālā atbalsta sistēmas īstenošana profesionālās izglītības iestāžu audzēkņiem. No kopējā profesionālā</w:t>
      </w:r>
      <w:r w:rsidR="00C9503B">
        <w:rPr>
          <w:rFonts w:ascii="Times New Roman" w:hAnsi="Times New Roman" w:cs="Times New Roman"/>
          <w:sz w:val="24"/>
          <w:szCs w:val="24"/>
        </w:rPr>
        <w:t>s</w:t>
      </w:r>
      <w:r w:rsidRPr="00FC6245">
        <w:rPr>
          <w:rFonts w:ascii="Times New Roman" w:hAnsi="Times New Roman" w:cs="Times New Roman"/>
          <w:sz w:val="24"/>
          <w:szCs w:val="24"/>
        </w:rPr>
        <w:t xml:space="preserve"> izglītības sistēmā esošo audzēkņu skaita (42 058) līdz 80</w:t>
      </w:r>
      <w:r w:rsidR="00111406">
        <w:rPr>
          <w:rFonts w:ascii="Times New Roman" w:hAnsi="Times New Roman" w:cs="Times New Roman"/>
          <w:sz w:val="24"/>
          <w:szCs w:val="24"/>
        </w:rPr>
        <w:t> %</w:t>
      </w:r>
      <w:r w:rsidRPr="00FC6245">
        <w:rPr>
          <w:rFonts w:ascii="Times New Roman" w:hAnsi="Times New Roman" w:cs="Times New Roman"/>
          <w:sz w:val="24"/>
          <w:szCs w:val="24"/>
        </w:rPr>
        <w:t xml:space="preserve"> ir saņēmuši ESF stipendiju projekta </w:t>
      </w:r>
      <w:r w:rsidR="00B167ED">
        <w:rPr>
          <w:rFonts w:ascii="Times New Roman" w:hAnsi="Times New Roman" w:cs="Times New Roman"/>
          <w:sz w:val="24"/>
          <w:szCs w:val="24"/>
        </w:rPr>
        <w:t>"</w:t>
      </w:r>
      <w:r w:rsidRPr="00FC6245">
        <w:rPr>
          <w:rFonts w:ascii="Times New Roman" w:hAnsi="Times New Roman" w:cs="Times New Roman"/>
          <w:sz w:val="24"/>
          <w:szCs w:val="24"/>
        </w:rPr>
        <w:t>Sākotnējās profesionālās izglītības pievilcības veicināšana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ietvaros.</w:t>
      </w:r>
    </w:p>
    <w:p w:rsidR="00FC6245" w:rsidRPr="00FC6245" w:rsidRDefault="00FC6245" w:rsidP="00FC6245">
      <w:pPr>
        <w:spacing w:after="0" w:line="240" w:lineRule="auto"/>
        <w:ind w:firstLine="720"/>
        <w:jc w:val="both"/>
        <w:rPr>
          <w:rFonts w:ascii="Times New Roman" w:eastAsia="Calibri" w:hAnsi="Times New Roman" w:cs="Times New Roman"/>
          <w:sz w:val="24"/>
          <w:szCs w:val="24"/>
        </w:rPr>
      </w:pPr>
      <w:r w:rsidRPr="00FC6245">
        <w:rPr>
          <w:rFonts w:ascii="Times New Roman" w:eastAsia="Calibri" w:hAnsi="Times New Roman" w:cs="Times New Roman"/>
          <w:sz w:val="24"/>
          <w:szCs w:val="24"/>
        </w:rPr>
        <w:lastRenderedPageBreak/>
        <w:t>2013.gada 1.septembrī plānota uzņemšana gan valsts budžeta finansētajās, gan ESF finansētajās profesionālās izglītības programmās. Valsts budžeta finansētajās profesionālās izglītības programmās plānots uzņemt 9495 audzēkņus. Tiks nodrošināta speciālistu sagatavošan</w:t>
      </w:r>
      <w:r w:rsidR="00FA08D7">
        <w:rPr>
          <w:rFonts w:ascii="Times New Roman" w:eastAsia="Calibri" w:hAnsi="Times New Roman" w:cs="Times New Roman"/>
          <w:sz w:val="24"/>
          <w:szCs w:val="24"/>
        </w:rPr>
        <w:t>a</w:t>
      </w:r>
      <w:r w:rsidRPr="00FC6245">
        <w:rPr>
          <w:rFonts w:ascii="Times New Roman" w:eastAsia="Calibri" w:hAnsi="Times New Roman" w:cs="Times New Roman"/>
          <w:sz w:val="24"/>
          <w:szCs w:val="24"/>
        </w:rPr>
        <w:t xml:space="preserve"> atbilstoši darba tirgus prasībām.</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ESF projekta </w:t>
      </w:r>
      <w:r w:rsidR="00B167ED">
        <w:rPr>
          <w:rFonts w:ascii="Times New Roman" w:hAnsi="Times New Roman" w:cs="Times New Roman"/>
          <w:sz w:val="24"/>
          <w:szCs w:val="24"/>
        </w:rPr>
        <w:t>"</w:t>
      </w:r>
      <w:r w:rsidRPr="00FC6245">
        <w:rPr>
          <w:rFonts w:ascii="Times New Roman" w:hAnsi="Times New Roman" w:cs="Times New Roman"/>
          <w:sz w:val="24"/>
          <w:szCs w:val="24"/>
        </w:rPr>
        <w:t>Profesionālo mācību priekšmetu pedagogu un prakses vadītāju teorētisko zināšanu un praktisko kompetenču paaugstināšana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ietvaros 1086 pedagogi un prakses vadītāji beiguši svešvalodu moduli, 891 – informācijas tehnoloģiju moduli un 350 – teorētisko zināšanu moduli. 613 pedagogi un prakšu vadītāji piedalījušies vismaz vienā no projekta praktisko kompetenču pilnveides pasākumiem. </w:t>
      </w:r>
    </w:p>
    <w:p w:rsidR="00FC6245" w:rsidRPr="00FC6245" w:rsidRDefault="00FC6245" w:rsidP="009E07C5">
      <w:pPr>
        <w:tabs>
          <w:tab w:val="left" w:pos="0"/>
        </w:tabs>
        <w:spacing w:after="0" w:line="240" w:lineRule="auto"/>
        <w:jc w:val="both"/>
        <w:rPr>
          <w:rFonts w:ascii="Times New Roman" w:hAnsi="Times New Roman" w:cs="Times New Roman"/>
          <w:sz w:val="24"/>
          <w:szCs w:val="24"/>
        </w:rPr>
      </w:pPr>
      <w:r w:rsidRPr="00FC6245">
        <w:rPr>
          <w:rFonts w:ascii="Times New Roman" w:hAnsi="Times New Roman" w:cs="Times New Roman"/>
          <w:sz w:val="24"/>
          <w:szCs w:val="24"/>
        </w:rPr>
        <w:tab/>
      </w:r>
      <w:r w:rsidR="009E07C5">
        <w:rPr>
          <w:rFonts w:ascii="Times New Roman" w:hAnsi="Times New Roman" w:cs="Times New Roman"/>
          <w:sz w:val="24"/>
          <w:szCs w:val="24"/>
        </w:rPr>
        <w:t>L</w:t>
      </w:r>
      <w:r w:rsidRPr="00FC6245">
        <w:rPr>
          <w:rFonts w:ascii="Times New Roman" w:hAnsi="Times New Roman" w:cs="Times New Roman"/>
          <w:sz w:val="24"/>
          <w:szCs w:val="24"/>
        </w:rPr>
        <w:t xml:space="preserve">ai palīdzētu jauniešiem izzināt savas karjeras iespējas, veicinātu uzņēmību un motivāciju mācīties un izvēlēties nākamo profesiju un izglītības ceļu atbilstoši savām interesēm, spējām un piedāvātajām iespējām, īpaši akcentējot visu līmeņu profesionālās izglītības vērtību un aktualitāti mūsdienās, VIAA </w:t>
      </w:r>
      <w:r w:rsidRPr="00FC6245">
        <w:rPr>
          <w:rFonts w:ascii="Times New Roman" w:hAnsi="Times New Roman" w:cs="Times New Roman"/>
          <w:i/>
          <w:sz w:val="24"/>
          <w:szCs w:val="24"/>
        </w:rPr>
        <w:t>Euroguidance</w:t>
      </w:r>
      <w:r w:rsidRPr="00FC6245">
        <w:rPr>
          <w:rFonts w:ascii="Times New Roman" w:hAnsi="Times New Roman" w:cs="Times New Roman"/>
          <w:sz w:val="24"/>
          <w:szCs w:val="24"/>
        </w:rPr>
        <w:t xml:space="preserve"> tīkla programmas ietvaros sadarbībā ar piecu pilsētu (Liepājas, Ventspils, Rēzeknes, Daugavpils, Valmieras) pašvaldībām un to Izglītības pārvaldēm organizēja pasākumu </w:t>
      </w:r>
      <w:r w:rsidR="00B167ED">
        <w:rPr>
          <w:rFonts w:ascii="Times New Roman" w:hAnsi="Times New Roman" w:cs="Times New Roman"/>
          <w:sz w:val="24"/>
          <w:szCs w:val="24"/>
        </w:rPr>
        <w:t>"</w:t>
      </w:r>
      <w:r w:rsidRPr="00FC6245">
        <w:rPr>
          <w:rFonts w:ascii="Times New Roman" w:hAnsi="Times New Roman" w:cs="Times New Roman"/>
          <w:sz w:val="24"/>
          <w:szCs w:val="24"/>
        </w:rPr>
        <w:t>Karjeras nedēļa</w:t>
      </w:r>
      <w:r w:rsidR="00B167ED">
        <w:rPr>
          <w:rFonts w:ascii="Times New Roman" w:hAnsi="Times New Roman" w:cs="Times New Roman"/>
          <w:sz w:val="24"/>
          <w:szCs w:val="24"/>
        </w:rPr>
        <w:t>"</w:t>
      </w:r>
      <w:r w:rsidRPr="00FC6245">
        <w:rPr>
          <w:rFonts w:ascii="Times New Roman" w:hAnsi="Times New Roman" w:cs="Times New Roman"/>
          <w:sz w:val="24"/>
          <w:szCs w:val="24"/>
        </w:rPr>
        <w:t>.</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Plānots turpināt profesionālās izglītības ieguves paplašināšanu, lai pakāpeniski sasniegtu 2020.gadam noteikto proporciju 50/50.</w:t>
      </w:r>
    </w:p>
    <w:p w:rsidR="00FC6245" w:rsidRDefault="00FC6245" w:rsidP="00FC6245">
      <w:pPr>
        <w:pStyle w:val="BodyTextIndent2"/>
        <w:tabs>
          <w:tab w:val="left" w:pos="709"/>
        </w:tabs>
        <w:spacing w:after="0" w:line="240" w:lineRule="auto"/>
        <w:ind w:left="0"/>
        <w:jc w:val="both"/>
        <w:rPr>
          <w:rFonts w:ascii="Times New Roman" w:hAnsi="Times New Roman" w:cs="Times New Roman"/>
          <w:sz w:val="24"/>
          <w:szCs w:val="24"/>
        </w:rPr>
      </w:pPr>
      <w:r w:rsidRPr="00FC6245">
        <w:rPr>
          <w:rFonts w:ascii="Times New Roman" w:hAnsi="Times New Roman" w:cs="Times New Roman"/>
          <w:sz w:val="24"/>
          <w:szCs w:val="24"/>
        </w:rPr>
        <w:tab/>
        <w:t xml:space="preserve">ESF projekta </w:t>
      </w:r>
      <w:r w:rsidR="00B167ED">
        <w:rPr>
          <w:rFonts w:ascii="Times New Roman" w:hAnsi="Times New Roman" w:cs="Times New Roman"/>
          <w:sz w:val="24"/>
          <w:szCs w:val="24"/>
        </w:rPr>
        <w:t>"</w:t>
      </w:r>
      <w:r w:rsidRPr="00FC6245">
        <w:rPr>
          <w:rFonts w:ascii="Times New Roman" w:hAnsi="Times New Roman" w:cs="Times New Roman"/>
          <w:sz w:val="24"/>
          <w:szCs w:val="24"/>
        </w:rPr>
        <w:t>Nozaru kvalifikācijas sistēmas izveide un profesionālās izglītības efektivitātes un kvalitātes paaugstināšana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ietvaros ir pabeigta nozaru izpēte profesionālās izglītības vajadzībām, kā rezultātā ir izstrādāti nozaru apraksti un izveidotas nozaru profesionālo kvalifikāciju struktūras. Atbilstoši nozaru profesionālo kvalifikāciju struktūrām ir uzsākta profesiju standartu izstrāde un pilnveide pamatprofesijām, kā arī profesionālo kvalifikāciju pamatprasību izstrāde s</w:t>
      </w:r>
      <w:r>
        <w:rPr>
          <w:rFonts w:ascii="Times New Roman" w:hAnsi="Times New Roman" w:cs="Times New Roman"/>
          <w:sz w:val="24"/>
          <w:szCs w:val="24"/>
        </w:rPr>
        <w:t xml:space="preserve">aistītajām profesijām </w:t>
      </w:r>
      <w:r w:rsidRPr="00FC6245">
        <w:rPr>
          <w:rFonts w:ascii="Times New Roman" w:hAnsi="Times New Roman" w:cs="Times New Roman"/>
          <w:sz w:val="24"/>
          <w:szCs w:val="24"/>
        </w:rPr>
        <w:t xml:space="preserve">un specializācijām. </w:t>
      </w:r>
    </w:p>
    <w:p w:rsidR="00FA08D7" w:rsidRPr="00FA08D7" w:rsidRDefault="00FA08D7" w:rsidP="00FA08D7">
      <w:pPr>
        <w:spacing w:after="0" w:line="240" w:lineRule="auto"/>
        <w:ind w:firstLine="720"/>
        <w:jc w:val="both"/>
        <w:rPr>
          <w:rFonts w:ascii="Times New Roman" w:eastAsia="Calibri" w:hAnsi="Times New Roman" w:cs="Times New Roman"/>
          <w:sz w:val="24"/>
          <w:szCs w:val="24"/>
          <w:lang w:eastAsia="en-US"/>
        </w:rPr>
      </w:pPr>
      <w:r w:rsidRPr="006202E5">
        <w:rPr>
          <w:rFonts w:ascii="Times New Roman" w:eastAsia="Calibri" w:hAnsi="Times New Roman" w:cs="Times New Roman"/>
          <w:sz w:val="24"/>
          <w:szCs w:val="24"/>
          <w:lang w:eastAsia="en-US"/>
        </w:rPr>
        <w:t xml:space="preserve">ESF projekta </w:t>
      </w:r>
      <w:r w:rsidR="00B167ED">
        <w:rPr>
          <w:rFonts w:ascii="Times New Roman" w:eastAsia="Calibri" w:hAnsi="Times New Roman" w:cs="Times New Roman"/>
          <w:sz w:val="24"/>
          <w:szCs w:val="24"/>
          <w:lang w:eastAsia="en-US"/>
        </w:rPr>
        <w:t>"</w:t>
      </w:r>
      <w:r w:rsidRPr="006202E5">
        <w:rPr>
          <w:rFonts w:ascii="Times New Roman" w:eastAsia="Calibri" w:hAnsi="Times New Roman" w:cs="Times New Roman"/>
          <w:sz w:val="24"/>
          <w:szCs w:val="24"/>
          <w:lang w:eastAsia="en-US"/>
        </w:rPr>
        <w:t>Profesionālās kultūrizglītības pedagogu tālākizglītība</w:t>
      </w:r>
      <w:r w:rsidR="00B167ED">
        <w:rPr>
          <w:rFonts w:ascii="Times New Roman" w:eastAsia="Calibri" w:hAnsi="Times New Roman" w:cs="Times New Roman"/>
          <w:sz w:val="24"/>
          <w:szCs w:val="24"/>
          <w:lang w:eastAsia="en-US"/>
        </w:rPr>
        <w:t>"</w:t>
      </w:r>
      <w:r w:rsidRPr="006202E5">
        <w:rPr>
          <w:rFonts w:ascii="Times New Roman" w:eastAsia="Calibri" w:hAnsi="Times New Roman" w:cs="Times New Roman"/>
          <w:sz w:val="24"/>
          <w:szCs w:val="24"/>
          <w:lang w:eastAsia="en-US"/>
        </w:rPr>
        <w:t xml:space="preserve"> ietvaros organizēti 36 kursi mākslas pedagogiem, 41 kurss mūzikas pedagogiem un 4 kursi mākslas, mūzikas un dejas pedagogiem. Izstrādātas 4 kursu satura koncepcijas un 23 mācību metodiskie materiāli, kuri izsniegti profesionālās ievirzes un profesionālās vidējās izglītības kultūrizglītības iestādēm visā Latvijā.</w:t>
      </w:r>
    </w:p>
    <w:p w:rsidR="00FC6245" w:rsidRPr="00FC6245" w:rsidRDefault="00FC6245" w:rsidP="00FC6245">
      <w:pPr>
        <w:spacing w:after="0" w:line="240" w:lineRule="auto"/>
        <w:ind w:firstLine="720"/>
        <w:jc w:val="both"/>
        <w:rPr>
          <w:rFonts w:ascii="Times New Roman" w:hAnsi="Times New Roman" w:cs="Times New Roman"/>
          <w:sz w:val="24"/>
          <w:szCs w:val="24"/>
          <w:u w:val="single"/>
        </w:rPr>
      </w:pPr>
      <w:r w:rsidRPr="00FC6245">
        <w:rPr>
          <w:rFonts w:ascii="Times New Roman" w:hAnsi="Times New Roman" w:cs="Times New Roman"/>
          <w:sz w:val="24"/>
          <w:szCs w:val="24"/>
        </w:rPr>
        <w:t>2013.gadā plānots izstrādāt jaunas pieejas Profesionālās izglītības likumu, ietverot arī jaunas profesionālās izglītības pārvaldības veidu, kā arī paplašinot nozaru ietekmi.</w:t>
      </w:r>
    </w:p>
    <w:p w:rsidR="00FC6245" w:rsidRPr="00FC6245" w:rsidRDefault="00FC6245" w:rsidP="00FC6245">
      <w:pPr>
        <w:pStyle w:val="BodyTextIndent2"/>
        <w:tabs>
          <w:tab w:val="left" w:pos="709"/>
        </w:tabs>
        <w:spacing w:after="0" w:line="240" w:lineRule="auto"/>
        <w:ind w:left="0"/>
        <w:jc w:val="both"/>
        <w:rPr>
          <w:sz w:val="24"/>
          <w:szCs w:val="24"/>
        </w:rPr>
      </w:pPr>
      <w:r w:rsidRPr="00FC6245">
        <w:rPr>
          <w:rFonts w:ascii="Times New Roman" w:hAnsi="Times New Roman" w:cs="Times New Roman"/>
          <w:b/>
          <w:sz w:val="24"/>
          <w:szCs w:val="24"/>
        </w:rPr>
        <w:tab/>
      </w:r>
    </w:p>
    <w:p w:rsidR="00FC6245" w:rsidRPr="00FC6245" w:rsidRDefault="00FC6245" w:rsidP="00FC6245">
      <w:pPr>
        <w:pStyle w:val="Heading3"/>
        <w:spacing w:before="0" w:line="240" w:lineRule="auto"/>
        <w:rPr>
          <w:szCs w:val="24"/>
        </w:rPr>
      </w:pPr>
      <w:bookmarkStart w:id="17" w:name="_Toc348948324"/>
      <w:r w:rsidRPr="00FC6245">
        <w:rPr>
          <w:szCs w:val="24"/>
        </w:rPr>
        <w:t>4.3.</w:t>
      </w:r>
      <w:r w:rsidR="00A41B70">
        <w:rPr>
          <w:szCs w:val="24"/>
        </w:rPr>
        <w:t xml:space="preserve"> </w:t>
      </w:r>
      <w:r w:rsidRPr="00FC6245">
        <w:rPr>
          <w:szCs w:val="24"/>
        </w:rPr>
        <w:t>Augstākā izglītība</w:t>
      </w:r>
      <w:bookmarkEnd w:id="17"/>
    </w:p>
    <w:p w:rsidR="00FC6245" w:rsidRPr="00FC6245" w:rsidRDefault="00FC6245" w:rsidP="00FC6245">
      <w:pPr>
        <w:spacing w:after="0" w:line="240" w:lineRule="auto"/>
        <w:ind w:firstLine="720"/>
        <w:jc w:val="both"/>
        <w:rPr>
          <w:rFonts w:ascii="Times New Roman" w:hAnsi="Times New Roman" w:cs="Times New Roman"/>
          <w:bCs/>
          <w:sz w:val="24"/>
          <w:szCs w:val="24"/>
        </w:rPr>
      </w:pPr>
      <w:r w:rsidRPr="00FC6245">
        <w:rPr>
          <w:rFonts w:ascii="Times New Roman" w:hAnsi="Times New Roman" w:cs="Times New Roman"/>
          <w:sz w:val="24"/>
          <w:szCs w:val="24"/>
        </w:rPr>
        <w:t xml:space="preserve">ESF </w:t>
      </w:r>
      <w:r w:rsidRPr="00FC6245">
        <w:rPr>
          <w:rFonts w:ascii="Times New Roman" w:eastAsia="Times New Roman" w:hAnsi="Times New Roman" w:cs="Times New Roman"/>
          <w:bCs/>
          <w:sz w:val="24"/>
          <w:szCs w:val="24"/>
        </w:rPr>
        <w:t xml:space="preserve">projekta </w:t>
      </w:r>
      <w:r w:rsidR="00B167ED">
        <w:rPr>
          <w:rFonts w:ascii="Times New Roman" w:eastAsia="Times New Roman" w:hAnsi="Times New Roman" w:cs="Times New Roman"/>
          <w:bCs/>
          <w:sz w:val="24"/>
          <w:szCs w:val="24"/>
        </w:rPr>
        <w:t>"</w:t>
      </w:r>
      <w:r w:rsidRPr="00FC6245">
        <w:rPr>
          <w:rFonts w:ascii="Times New Roman" w:eastAsia="Times New Roman" w:hAnsi="Times New Roman" w:cs="Times New Roman"/>
          <w:bCs/>
          <w:sz w:val="24"/>
          <w:szCs w:val="24"/>
        </w:rPr>
        <w:t>Augstākās izglītības studiju programmu izvērtēšana un priekšlikumi kvalitātes paaugstināšanai</w:t>
      </w:r>
      <w:r w:rsidR="00B167ED">
        <w:rPr>
          <w:rFonts w:ascii="Times New Roman" w:eastAsia="Times New Roman" w:hAnsi="Times New Roman" w:cs="Times New Roman"/>
          <w:bCs/>
          <w:sz w:val="24"/>
          <w:szCs w:val="24"/>
        </w:rPr>
        <w:t>"</w:t>
      </w:r>
      <w:r w:rsidRPr="00FC6245">
        <w:rPr>
          <w:rFonts w:ascii="Times New Roman" w:eastAsia="Times New Roman" w:hAnsi="Times New Roman" w:cs="Times New Roman"/>
          <w:bCs/>
          <w:sz w:val="24"/>
          <w:szCs w:val="24"/>
        </w:rPr>
        <w:t xml:space="preserve"> ietvaros </w:t>
      </w:r>
      <w:r w:rsidRPr="00FC6245">
        <w:rPr>
          <w:rFonts w:ascii="Times New Roman" w:hAnsi="Times New Roman" w:cs="Times New Roman"/>
          <w:sz w:val="24"/>
          <w:szCs w:val="24"/>
        </w:rPr>
        <w:t xml:space="preserve">tika </w:t>
      </w:r>
      <w:r w:rsidRPr="00FC6245">
        <w:rPr>
          <w:rFonts w:ascii="Times New Roman" w:hAnsi="Times New Roman" w:cs="Times New Roman"/>
          <w:bCs/>
          <w:sz w:val="24"/>
          <w:szCs w:val="24"/>
        </w:rPr>
        <w:t xml:space="preserve">izvērtētas 860 studiju programmas 28 studiju virzienos.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Lai pārietu uz jaunu augstākās izglītības ārējās kvalitātes novērtēšanas sistēmu, ieviešot studiju virzienu akreditāciju, pieņemti augstskolu, koledžu un studiju virzienu akreditācijas noteikumi, apstiprināts Studiju akreditācijas komisijas sastāvs un konkursa</w:t>
      </w:r>
      <w:r w:rsidR="00A57B39" w:rsidRPr="00FC6245">
        <w:rPr>
          <w:rFonts w:ascii="Times New Roman" w:hAnsi="Times New Roman" w:cs="Times New Roman"/>
          <w:sz w:val="24"/>
          <w:szCs w:val="24"/>
        </w:rPr>
        <w:t xml:space="preserve"> </w:t>
      </w:r>
      <w:r w:rsidRPr="00FC6245">
        <w:rPr>
          <w:rFonts w:ascii="Times New Roman" w:hAnsi="Times New Roman" w:cs="Times New Roman"/>
          <w:sz w:val="24"/>
          <w:szCs w:val="24"/>
        </w:rPr>
        <w:t xml:space="preserve">rezultātā izvēlēta institūcija </w:t>
      </w:r>
      <w:r w:rsidR="00A41B70">
        <w:rPr>
          <w:rFonts w:ascii="Times New Roman" w:hAnsi="Times New Roman" w:cs="Times New Roman"/>
          <w:sz w:val="24"/>
          <w:szCs w:val="24"/>
        </w:rPr>
        <w:t>–</w:t>
      </w:r>
      <w:r w:rsidRPr="00FC6245">
        <w:rPr>
          <w:rFonts w:ascii="Times New Roman" w:hAnsi="Times New Roman" w:cs="Times New Roman"/>
          <w:sz w:val="24"/>
          <w:szCs w:val="24"/>
        </w:rPr>
        <w:t xml:space="preserve"> Vācijas augstākās izglītības akreditācijas aģentūra (ASSIN).</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Regulāri tika īstenoti </w:t>
      </w:r>
      <w:r w:rsidRPr="00FC6245">
        <w:rPr>
          <w:rFonts w:ascii="Times New Roman" w:hAnsi="Times New Roman" w:cs="Times New Roman"/>
          <w:iCs/>
          <w:sz w:val="24"/>
          <w:szCs w:val="24"/>
        </w:rPr>
        <w:t xml:space="preserve">augstākās izglītības eksporta veicināšanas pasākumi. </w:t>
      </w:r>
      <w:r w:rsidRPr="00FC6245">
        <w:rPr>
          <w:rFonts w:ascii="Times New Roman" w:hAnsi="Times New Roman" w:cs="Times New Roman"/>
          <w:sz w:val="24"/>
          <w:szCs w:val="24"/>
        </w:rPr>
        <w:t xml:space="preserve">2012.gadā nozīmīgu konsultatīvo un informatīvo atbalstu dalībai starptautiskajās izglītības izstādēs un starptautiskajos mobilitātes veicināšanas tīklos augstskolām ir sniegusi </w:t>
      </w:r>
      <w:r w:rsidRPr="00FC6245">
        <w:rPr>
          <w:rFonts w:ascii="Times New Roman" w:hAnsi="Times New Roman" w:cs="Times New Roman"/>
          <w:bCs/>
          <w:sz w:val="24"/>
          <w:szCs w:val="24"/>
        </w:rPr>
        <w:t xml:space="preserve">Akadēmiskās informācijas centrā izveidotā Augstākās izglītības eksportspējas </w:t>
      </w:r>
      <w:r w:rsidRPr="00FC6245">
        <w:rPr>
          <w:rFonts w:ascii="Times New Roman" w:hAnsi="Times New Roman" w:cs="Times New Roman"/>
          <w:bCs/>
          <w:sz w:val="24"/>
          <w:szCs w:val="24"/>
        </w:rPr>
        <w:lastRenderedPageBreak/>
        <w:t xml:space="preserve">veicināšanas nodaļa, kā arī VIAA, kas nodrošina interneta </w:t>
      </w:r>
      <w:r w:rsidRPr="00FC6245">
        <w:rPr>
          <w:rFonts w:ascii="Times New Roman" w:eastAsia="SimSun" w:hAnsi="Times New Roman" w:cs="Times New Roman"/>
          <w:sz w:val="24"/>
          <w:szCs w:val="24"/>
          <w:lang w:eastAsia="zh-CN"/>
        </w:rPr>
        <w:t xml:space="preserve">mājaslapas </w:t>
      </w:r>
      <w:hyperlink r:id="rId9" w:history="1">
        <w:r w:rsidRPr="00FC6245">
          <w:rPr>
            <w:rStyle w:val="Hyperlink"/>
            <w:rFonts w:ascii="Times New Roman" w:eastAsia="SimSun" w:hAnsi="Times New Roman" w:cs="Times New Roman"/>
            <w:sz w:val="24"/>
            <w:szCs w:val="24"/>
            <w:lang w:eastAsia="zh-CN"/>
          </w:rPr>
          <w:t>www.studyinlatvia.lv</w:t>
        </w:r>
      </w:hyperlink>
      <w:r w:rsidRPr="00FC6245">
        <w:rPr>
          <w:rFonts w:ascii="Times New Roman" w:eastAsia="SimSun" w:hAnsi="Times New Roman" w:cs="Times New Roman"/>
          <w:sz w:val="24"/>
          <w:szCs w:val="24"/>
          <w:lang w:eastAsia="zh-CN"/>
        </w:rPr>
        <w:t xml:space="preserve"> uzturēšanu.</w:t>
      </w:r>
      <w:r w:rsidRPr="00FC6245">
        <w:rPr>
          <w:rFonts w:ascii="Times New Roman" w:hAnsi="Times New Roman" w:cs="Times New Roman"/>
          <w:sz w:val="24"/>
          <w:szCs w:val="24"/>
        </w:rPr>
        <w:t xml:space="preserve"> </w:t>
      </w:r>
    </w:p>
    <w:p w:rsidR="00FC6245" w:rsidRPr="00FA08D7" w:rsidRDefault="00FC6245" w:rsidP="00FA08D7">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iCs/>
          <w:sz w:val="24"/>
          <w:szCs w:val="24"/>
        </w:rPr>
        <w:t xml:space="preserve">Lai atvieglotu augstskolu </w:t>
      </w:r>
      <w:r w:rsidRPr="00FC6245">
        <w:rPr>
          <w:rFonts w:ascii="Times New Roman" w:hAnsi="Times New Roman" w:cs="Times New Roman"/>
          <w:sz w:val="24"/>
          <w:szCs w:val="24"/>
        </w:rPr>
        <w:t>iespējas īstenot kopīgas studiju programmas ar citu valstu augstskolām un veicinātu augstākās izglītības internacionalizāciju, IZM ir sagatavojusi noteikumus par kārtību, kādā izsniedzami valsts atzīti augstāko izglītību apliecinoši izglītības dokumenti.</w:t>
      </w:r>
      <w:r w:rsidR="00FA08D7">
        <w:rPr>
          <w:rFonts w:ascii="Times New Roman" w:hAnsi="Times New Roman" w:cs="Times New Roman"/>
          <w:sz w:val="24"/>
          <w:szCs w:val="24"/>
        </w:rPr>
        <w:t xml:space="preserve"> </w:t>
      </w:r>
      <w:r w:rsidRPr="00FC6245">
        <w:rPr>
          <w:rFonts w:ascii="Times New Roman" w:hAnsi="Times New Roman" w:cs="Times New Roman"/>
          <w:sz w:val="24"/>
          <w:szCs w:val="24"/>
        </w:rPr>
        <w:t xml:space="preserve">Lai piesaistītu ārvalstu studējošos, izstrādāti un apstiprināti noteikumi </w:t>
      </w:r>
      <w:r w:rsidRPr="00FC6245">
        <w:rPr>
          <w:rFonts w:ascii="Times New Roman" w:eastAsia="Times New Roman" w:hAnsi="Times New Roman" w:cs="Times New Roman"/>
          <w:sz w:val="24"/>
          <w:szCs w:val="24"/>
        </w:rPr>
        <w:t>par s</w:t>
      </w:r>
      <w:r w:rsidRPr="00FC6245">
        <w:rPr>
          <w:rFonts w:ascii="Times New Roman" w:hAnsi="Times New Roman" w:cs="Times New Roman"/>
          <w:bCs/>
          <w:sz w:val="24"/>
          <w:szCs w:val="24"/>
        </w:rPr>
        <w:t>tipendiju piešķiršanas kārtību ārzemniekiem</w:t>
      </w:r>
      <w:r w:rsidRPr="00FC6245">
        <w:rPr>
          <w:rFonts w:ascii="Times New Roman" w:eastAsia="Times New Roman" w:hAnsi="Times New Roman" w:cs="Times New Roman"/>
          <w:sz w:val="24"/>
          <w:szCs w:val="24"/>
        </w:rPr>
        <w:t>.</w:t>
      </w:r>
    </w:p>
    <w:p w:rsidR="00FC6245" w:rsidRPr="00FC6245" w:rsidRDefault="00FC6245" w:rsidP="00FC6245">
      <w:pPr>
        <w:spacing w:after="0" w:line="240" w:lineRule="auto"/>
        <w:ind w:firstLine="720"/>
        <w:jc w:val="both"/>
        <w:rPr>
          <w:rFonts w:ascii="Times New Roman" w:eastAsia="Times New Roman" w:hAnsi="Times New Roman" w:cs="Times New Roman"/>
          <w:sz w:val="24"/>
          <w:szCs w:val="24"/>
        </w:rPr>
      </w:pPr>
      <w:r w:rsidRPr="00FC6245">
        <w:rPr>
          <w:rFonts w:ascii="Times New Roman" w:hAnsi="Times New Roman"/>
          <w:sz w:val="24"/>
          <w:szCs w:val="24"/>
        </w:rPr>
        <w:t xml:space="preserve">Lai izvērtētu </w:t>
      </w:r>
      <w:r w:rsidRPr="00FC6245">
        <w:rPr>
          <w:rFonts w:ascii="Times New Roman" w:hAnsi="Times New Roman"/>
          <w:i/>
          <w:sz w:val="24"/>
          <w:szCs w:val="24"/>
        </w:rPr>
        <w:t>Erasmus</w:t>
      </w:r>
      <w:r w:rsidRPr="00FC6245">
        <w:rPr>
          <w:rFonts w:ascii="Times New Roman" w:hAnsi="Times New Roman"/>
          <w:sz w:val="24"/>
          <w:szCs w:val="24"/>
        </w:rPr>
        <w:t xml:space="preserve"> programmas nozīmi izglītības internacionalizācijas kontekstā, diskutētu par jau sasniegto Eiropas Vienotās augstākās izglītības telpas attīstībā, kā arī par izvirzītajiem uzdevumiem 2012.–2015.gadam, noorganizēta nacionāl</w:t>
      </w:r>
      <w:r w:rsidR="00A935EF">
        <w:rPr>
          <w:rFonts w:ascii="Times New Roman" w:hAnsi="Times New Roman"/>
          <w:sz w:val="24"/>
          <w:szCs w:val="24"/>
        </w:rPr>
        <w:t>a</w:t>
      </w:r>
      <w:r w:rsidRPr="00FC6245">
        <w:rPr>
          <w:rFonts w:ascii="Times New Roman" w:hAnsi="Times New Roman"/>
          <w:sz w:val="24"/>
          <w:szCs w:val="24"/>
        </w:rPr>
        <w:t xml:space="preserve"> līmeņa konference </w:t>
      </w:r>
      <w:r w:rsidR="00B167ED">
        <w:rPr>
          <w:rFonts w:ascii="Times New Roman" w:hAnsi="Times New Roman"/>
          <w:sz w:val="24"/>
          <w:szCs w:val="24"/>
        </w:rPr>
        <w:t>"</w:t>
      </w:r>
      <w:r w:rsidRPr="00FC6245">
        <w:rPr>
          <w:rFonts w:ascii="Times New Roman" w:hAnsi="Times New Roman"/>
          <w:i/>
          <w:sz w:val="24"/>
          <w:szCs w:val="24"/>
        </w:rPr>
        <w:t>Erasmus</w:t>
      </w:r>
      <w:r w:rsidRPr="00FC6245">
        <w:rPr>
          <w:rFonts w:ascii="Times New Roman" w:hAnsi="Times New Roman"/>
          <w:sz w:val="24"/>
          <w:szCs w:val="24"/>
        </w:rPr>
        <w:t xml:space="preserve"> programma un Boloņas process – to loma izglītības internacionalizācijā</w:t>
      </w:r>
      <w:r w:rsidR="00B167ED">
        <w:rPr>
          <w:rFonts w:ascii="Times New Roman" w:hAnsi="Times New Roman"/>
          <w:sz w:val="24"/>
          <w:szCs w:val="24"/>
        </w:rPr>
        <w:t>"</w:t>
      </w:r>
      <w:r w:rsidRPr="00FC6245">
        <w:rPr>
          <w:rFonts w:ascii="Times New Roman" w:hAnsi="Times New Roman"/>
          <w:sz w:val="24"/>
          <w:szCs w:val="24"/>
        </w:rPr>
        <w:t xml:space="preserve">.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2012.gadā parakstīts sadarbības memorands starp IZM un LDDK par efektīvu un atklātu sadarbību augstākās izglītības un zinātnes reformu plānošanas un īstenošanas procesā. Memorands paredz, ka valsts finansējums prioritāri tiks virzīts darba devēju pieprasītākajām un konkurētspējīgākajām studiju programmām.</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bCs/>
          <w:sz w:val="24"/>
          <w:szCs w:val="24"/>
        </w:rPr>
        <w:t>Pēc studiju programmu izvērtēšanas IZM plāno</w:t>
      </w:r>
      <w:r w:rsidRPr="00FC6245">
        <w:rPr>
          <w:rFonts w:ascii="Times New Roman" w:hAnsi="Times New Roman" w:cs="Times New Roman"/>
          <w:sz w:val="24"/>
          <w:szCs w:val="24"/>
        </w:rPr>
        <w:t xml:space="preserve"> sniegt priekšlikumus par turpmāko valsts budžeta finansējuma piešķiršanu programmām, kuru pastāvēšanas lietderība ir apšaubāma. No 2014.gada tiks piedāvāts jauns augstākās izglītības finansēšanas modelis, kas veicinās izglītības pieejamību, tās starptautiskās konkurētspējas objektīvi novērtējamu kāpumu un taisnīgumu.</w:t>
      </w:r>
    </w:p>
    <w:p w:rsidR="00FC6245" w:rsidRPr="00FC6245" w:rsidRDefault="00FC6245" w:rsidP="00FC6245">
      <w:pPr>
        <w:autoSpaceDE w:val="0"/>
        <w:autoSpaceDN w:val="0"/>
        <w:adjustRightInd w:val="0"/>
        <w:spacing w:after="0" w:line="240" w:lineRule="auto"/>
        <w:ind w:firstLine="720"/>
        <w:jc w:val="both"/>
        <w:rPr>
          <w:rFonts w:ascii="Times New Roman" w:hAnsi="Times New Roman" w:cs="Times New Roman"/>
          <w:sz w:val="24"/>
          <w:szCs w:val="24"/>
        </w:rPr>
      </w:pPr>
      <w:r w:rsidRPr="00FC6245">
        <w:rPr>
          <w:rFonts w:ascii="Times New Roman" w:eastAsia="Times New Roman" w:hAnsi="Times New Roman" w:cs="Times New Roman"/>
          <w:sz w:val="24"/>
          <w:szCs w:val="24"/>
        </w:rPr>
        <w:t>Pamatojoties uz AIP iesniegto informāciju (</w:t>
      </w:r>
      <w:r w:rsidRPr="00FC6245">
        <w:rPr>
          <w:rFonts w:ascii="Times New Roman" w:hAnsi="Times New Roman" w:cs="Times New Roman"/>
          <w:sz w:val="24"/>
          <w:szCs w:val="24"/>
        </w:rPr>
        <w:t>trīs scenārijiem augstākās izglītības iestāžu konsolidācijai, kuri paredz samazināt to skaitu attiecīgi par 20</w:t>
      </w:r>
      <w:r w:rsidR="00111406">
        <w:rPr>
          <w:rFonts w:ascii="Times New Roman" w:hAnsi="Times New Roman" w:cs="Times New Roman"/>
          <w:sz w:val="24"/>
          <w:szCs w:val="24"/>
        </w:rPr>
        <w:t> %</w:t>
      </w:r>
      <w:r w:rsidRPr="00FC6245">
        <w:rPr>
          <w:rFonts w:ascii="Times New Roman" w:hAnsi="Times New Roman" w:cs="Times New Roman"/>
          <w:sz w:val="24"/>
          <w:szCs w:val="24"/>
        </w:rPr>
        <w:t>, par 40</w:t>
      </w:r>
      <w:r w:rsidR="00111406">
        <w:rPr>
          <w:rFonts w:ascii="Times New Roman" w:hAnsi="Times New Roman" w:cs="Times New Roman"/>
          <w:sz w:val="24"/>
          <w:szCs w:val="24"/>
        </w:rPr>
        <w:t> %</w:t>
      </w:r>
      <w:r w:rsidRPr="00FC6245">
        <w:rPr>
          <w:rFonts w:ascii="Times New Roman" w:hAnsi="Times New Roman" w:cs="Times New Roman"/>
          <w:sz w:val="24"/>
          <w:szCs w:val="24"/>
        </w:rPr>
        <w:t xml:space="preserve"> un par 60</w:t>
      </w:r>
      <w:r w:rsidR="00111406">
        <w:rPr>
          <w:rFonts w:ascii="Times New Roman" w:hAnsi="Times New Roman" w:cs="Times New Roman"/>
          <w:sz w:val="24"/>
          <w:szCs w:val="24"/>
        </w:rPr>
        <w:t> %</w:t>
      </w:r>
      <w:r w:rsidRPr="00FC6245">
        <w:rPr>
          <w:rFonts w:ascii="Times New Roman" w:hAnsi="Times New Roman" w:cs="Times New Roman"/>
          <w:sz w:val="24"/>
          <w:szCs w:val="24"/>
        </w:rPr>
        <w:t xml:space="preserve">), kā arī izvērtējot ESF projekta </w:t>
      </w:r>
      <w:r w:rsidR="00B167ED">
        <w:rPr>
          <w:rFonts w:ascii="Times New Roman" w:eastAsia="Times New Roman" w:hAnsi="Times New Roman" w:cs="Times New Roman"/>
          <w:bCs/>
          <w:sz w:val="24"/>
          <w:szCs w:val="24"/>
        </w:rPr>
        <w:t>"</w:t>
      </w:r>
      <w:r w:rsidRPr="00FC6245">
        <w:rPr>
          <w:rFonts w:ascii="Times New Roman" w:eastAsia="Times New Roman" w:hAnsi="Times New Roman" w:cs="Times New Roman"/>
          <w:bCs/>
          <w:sz w:val="24"/>
          <w:szCs w:val="24"/>
        </w:rPr>
        <w:t>Augstākās izglītības studiju programmu izvērtēšana un priekšlikumi kvalitātes paaugstināšanai</w:t>
      </w:r>
      <w:r w:rsidR="00B167ED">
        <w:rPr>
          <w:rFonts w:ascii="Times New Roman" w:eastAsia="Times New Roman" w:hAnsi="Times New Roman" w:cs="Times New Roman"/>
          <w:bCs/>
          <w:sz w:val="24"/>
          <w:szCs w:val="24"/>
        </w:rPr>
        <w:t>"</w:t>
      </w:r>
      <w:r w:rsidRPr="00FC6245">
        <w:rPr>
          <w:rFonts w:ascii="Times New Roman" w:eastAsia="Times New Roman" w:hAnsi="Times New Roman" w:cs="Times New Roman"/>
          <w:bCs/>
          <w:sz w:val="24"/>
          <w:szCs w:val="24"/>
        </w:rPr>
        <w:t xml:space="preserve"> </w:t>
      </w:r>
      <w:r w:rsidRPr="00FC6245">
        <w:rPr>
          <w:rFonts w:ascii="Times New Roman" w:hAnsi="Times New Roman" w:cs="Times New Roman"/>
          <w:sz w:val="24"/>
          <w:szCs w:val="24"/>
        </w:rPr>
        <w:t xml:space="preserve">īstenotāju iesniegto gala ziņojumu, tiks sagatavoti </w:t>
      </w:r>
      <w:r w:rsidRPr="00FC6245">
        <w:rPr>
          <w:rFonts w:ascii="Times New Roman" w:eastAsia="Times New Roman" w:hAnsi="Times New Roman" w:cs="Times New Roman"/>
          <w:sz w:val="24"/>
          <w:szCs w:val="24"/>
        </w:rPr>
        <w:t xml:space="preserve">priekšlikumi </w:t>
      </w:r>
      <w:r w:rsidRPr="00FC6245">
        <w:rPr>
          <w:rFonts w:ascii="Times New Roman" w:hAnsi="Times New Roman" w:cs="Times New Roman"/>
          <w:sz w:val="24"/>
          <w:szCs w:val="24"/>
        </w:rPr>
        <w:t>augstākās izglītības iestāžu telpiskās struktūras optimizācijai un konsolidācijai.</w:t>
      </w:r>
    </w:p>
    <w:p w:rsidR="00FD601E" w:rsidRDefault="00FD601E" w:rsidP="00FD601E">
      <w:pPr>
        <w:pStyle w:val="Heading2"/>
        <w:spacing w:before="0" w:line="240" w:lineRule="auto"/>
      </w:pPr>
    </w:p>
    <w:p w:rsidR="00EE6B47" w:rsidRPr="00FD601E" w:rsidRDefault="00EE6B47" w:rsidP="00FD601E">
      <w:pPr>
        <w:pStyle w:val="Heading2"/>
        <w:spacing w:before="0" w:line="240" w:lineRule="auto"/>
      </w:pPr>
      <w:bookmarkStart w:id="18" w:name="_Toc348948325"/>
      <w:r w:rsidRPr="00FD601E">
        <w:t>5. Zinātnes un pētniecības attīstība</w:t>
      </w:r>
      <w:bookmarkEnd w:id="18"/>
    </w:p>
    <w:p w:rsidR="00EE6B47" w:rsidRPr="006202E5" w:rsidRDefault="00EE6B47" w:rsidP="00EE6B47">
      <w:pPr>
        <w:pStyle w:val="NoSpacing"/>
        <w:ind w:firstLine="720"/>
        <w:jc w:val="both"/>
        <w:rPr>
          <w:rFonts w:ascii="Times New Roman" w:eastAsiaTheme="minorEastAsia" w:hAnsi="Times New Roman"/>
          <w:b/>
          <w:sz w:val="24"/>
          <w:szCs w:val="24"/>
        </w:rPr>
      </w:pPr>
    </w:p>
    <w:p w:rsidR="00FC6245" w:rsidRPr="00FC6245" w:rsidRDefault="00FC6245" w:rsidP="00FC6245">
      <w:pPr>
        <w:pStyle w:val="NoSpacing"/>
        <w:ind w:firstLine="720"/>
        <w:jc w:val="both"/>
        <w:rPr>
          <w:rFonts w:ascii="Times New Roman" w:eastAsia="Times New Roman" w:hAnsi="Times New Roman"/>
          <w:sz w:val="24"/>
          <w:szCs w:val="24"/>
        </w:rPr>
      </w:pPr>
      <w:r w:rsidRPr="00FC6245">
        <w:rPr>
          <w:rFonts w:ascii="Times New Roman" w:hAnsi="Times New Roman"/>
          <w:sz w:val="24"/>
          <w:szCs w:val="24"/>
        </w:rPr>
        <w:t xml:space="preserve">IZM </w:t>
      </w:r>
      <w:r w:rsidRPr="00FC6245">
        <w:rPr>
          <w:rFonts w:ascii="Times New Roman" w:eastAsia="Times New Roman" w:hAnsi="Times New Roman"/>
          <w:sz w:val="24"/>
          <w:szCs w:val="24"/>
        </w:rPr>
        <w:t xml:space="preserve">izstrādāja vienotu metodoloģiju valsts un privāto zinātnisko institūciju starptautiskajai izvērtēšanai, kā arī izstrādāja vienotus vērtēšanas kritērijus. Zinātniskās institūcijas ir sagatavojušas pašnovērtējuma ziņojumus. </w:t>
      </w:r>
    </w:p>
    <w:p w:rsidR="00FC6245" w:rsidRPr="00FC6245" w:rsidRDefault="00FC6245" w:rsidP="00FC6245">
      <w:pPr>
        <w:pStyle w:val="NoSpacing"/>
        <w:ind w:firstLine="720"/>
        <w:jc w:val="both"/>
        <w:rPr>
          <w:rFonts w:ascii="Times New Roman" w:hAnsi="Times New Roman"/>
          <w:sz w:val="24"/>
          <w:szCs w:val="24"/>
        </w:rPr>
      </w:pPr>
      <w:r w:rsidRPr="00FC6245">
        <w:rPr>
          <w:rFonts w:ascii="Times New Roman" w:hAnsi="Times New Roman"/>
          <w:sz w:val="24"/>
          <w:szCs w:val="24"/>
        </w:rPr>
        <w:t xml:space="preserve">Lai sekmētu un stiprinātu nacionālā līmeņa zinātnisko ekselenci, kā arī koncentrētu zinātniskos resursus, </w:t>
      </w:r>
      <w:r w:rsidRPr="00FC6245">
        <w:rPr>
          <w:rFonts w:ascii="Times New Roman" w:eastAsia="Times New Roman" w:hAnsi="Times New Roman"/>
          <w:sz w:val="24"/>
          <w:szCs w:val="24"/>
        </w:rPr>
        <w:t xml:space="preserve">ir izveidoti deviņi valsts nozīmes pētniecības centri. Nodrošināta Latvijas dalība pētniecības programmās </w:t>
      </w:r>
      <w:r w:rsidRPr="000974BF">
        <w:rPr>
          <w:rFonts w:ascii="Times New Roman" w:hAnsi="Times New Roman"/>
          <w:i/>
          <w:sz w:val="24"/>
          <w:szCs w:val="24"/>
        </w:rPr>
        <w:t>ARTEMIS</w:t>
      </w:r>
      <w:r w:rsidRPr="00FC6245">
        <w:rPr>
          <w:rFonts w:ascii="Times New Roman" w:hAnsi="Times New Roman"/>
          <w:sz w:val="24"/>
          <w:szCs w:val="24"/>
        </w:rPr>
        <w:t xml:space="preserve"> </w:t>
      </w:r>
      <w:r w:rsidRPr="00FC6245">
        <w:rPr>
          <w:rFonts w:ascii="Times New Roman" w:eastAsia="Times New Roman" w:hAnsi="Times New Roman"/>
          <w:sz w:val="24"/>
          <w:szCs w:val="24"/>
        </w:rPr>
        <w:t xml:space="preserve">un </w:t>
      </w:r>
      <w:r w:rsidRPr="000974BF">
        <w:rPr>
          <w:rFonts w:ascii="Times New Roman" w:eastAsia="Times New Roman" w:hAnsi="Times New Roman"/>
          <w:i/>
          <w:sz w:val="24"/>
          <w:szCs w:val="24"/>
        </w:rPr>
        <w:t>Eurostars</w:t>
      </w:r>
      <w:r w:rsidRPr="00FC6245">
        <w:rPr>
          <w:rFonts w:ascii="Times New Roman" w:eastAsia="Times New Roman" w:hAnsi="Times New Roman"/>
          <w:sz w:val="24"/>
          <w:szCs w:val="24"/>
        </w:rPr>
        <w:t xml:space="preserve"> – tiek īstenoti </w:t>
      </w:r>
      <w:r w:rsidRPr="00FC6245">
        <w:rPr>
          <w:rFonts w:ascii="Times New Roman" w:hAnsi="Times New Roman"/>
          <w:sz w:val="24"/>
          <w:szCs w:val="24"/>
        </w:rPr>
        <w:t xml:space="preserve">trīs </w:t>
      </w:r>
      <w:r w:rsidRPr="000974BF">
        <w:rPr>
          <w:rFonts w:ascii="Times New Roman" w:hAnsi="Times New Roman"/>
          <w:i/>
          <w:sz w:val="24"/>
          <w:szCs w:val="24"/>
        </w:rPr>
        <w:t>ARTEMIS</w:t>
      </w:r>
      <w:r w:rsidRPr="00FC6245">
        <w:rPr>
          <w:rFonts w:ascii="Times New Roman" w:hAnsi="Times New Roman"/>
          <w:sz w:val="24"/>
          <w:szCs w:val="24"/>
        </w:rPr>
        <w:t xml:space="preserve"> projekti un viens </w:t>
      </w:r>
      <w:r w:rsidRPr="000974BF">
        <w:rPr>
          <w:rFonts w:ascii="Times New Roman" w:hAnsi="Times New Roman"/>
          <w:i/>
          <w:sz w:val="24"/>
          <w:szCs w:val="24"/>
        </w:rPr>
        <w:t>Eurostars</w:t>
      </w:r>
      <w:r w:rsidRPr="00FC6245">
        <w:rPr>
          <w:rFonts w:ascii="Times New Roman" w:hAnsi="Times New Roman"/>
          <w:sz w:val="24"/>
          <w:szCs w:val="24"/>
        </w:rPr>
        <w:t xml:space="preserve"> projekts.</w:t>
      </w:r>
      <w:r w:rsidRPr="00FC6245">
        <w:rPr>
          <w:rFonts w:ascii="Times New Roman" w:eastAsia="Times New Roman" w:hAnsi="Times New Roman"/>
          <w:sz w:val="24"/>
          <w:szCs w:val="24"/>
        </w:rPr>
        <w:t xml:space="preserve"> </w:t>
      </w:r>
    </w:p>
    <w:p w:rsidR="00FC6245" w:rsidRPr="00FC6245" w:rsidRDefault="00FC6245" w:rsidP="00FC6245">
      <w:pPr>
        <w:spacing w:after="0" w:line="240" w:lineRule="auto"/>
        <w:ind w:firstLine="720"/>
        <w:jc w:val="both"/>
        <w:rPr>
          <w:rFonts w:ascii="Times New Roman" w:eastAsia="Times New Roman" w:hAnsi="Times New Roman" w:cs="Times New Roman"/>
          <w:sz w:val="24"/>
          <w:szCs w:val="24"/>
        </w:rPr>
      </w:pPr>
      <w:r w:rsidRPr="00FC6245">
        <w:rPr>
          <w:rFonts w:ascii="Times New Roman" w:hAnsi="Times New Roman" w:cs="Times New Roman"/>
          <w:sz w:val="24"/>
          <w:szCs w:val="24"/>
        </w:rPr>
        <w:t xml:space="preserve">Lai izveidotu Baltijas līmeņa zinātniskās ekselences centru, IZM sadarbībā ar </w:t>
      </w:r>
      <w:r w:rsidR="00FA08D7">
        <w:rPr>
          <w:rFonts w:ascii="Times New Roman" w:hAnsi="Times New Roman" w:cs="Times New Roman"/>
          <w:sz w:val="24"/>
          <w:szCs w:val="24"/>
        </w:rPr>
        <w:t>ĀM</w:t>
      </w:r>
      <w:r w:rsidRPr="00FC6245">
        <w:rPr>
          <w:rFonts w:ascii="Times New Roman" w:hAnsi="Times New Roman" w:cs="Times New Roman"/>
          <w:sz w:val="24"/>
          <w:szCs w:val="24"/>
        </w:rPr>
        <w:t xml:space="preserve"> turpina darbu pie Eiropas līmeņa pētniecības infrastruktūras – Baltijas Inovatīvās pētniecības un tehnoloģiju infrastruktūras (BIRTI) izveides konkurētspējīgu tehnoloģiju attīstībai Baltijas reģionā. </w:t>
      </w:r>
      <w:r w:rsidRPr="00FC6245">
        <w:rPr>
          <w:rFonts w:ascii="Times New Roman" w:eastAsia="Times New Roman" w:hAnsi="Times New Roman" w:cs="Times New Roman"/>
          <w:sz w:val="24"/>
          <w:szCs w:val="24"/>
        </w:rPr>
        <w:t xml:space="preserve">Lai nodrošinātu BIRTI projekta idejas tālāku attīstību un projekta pieteikuma dokumentācijas sagatavošanu, plānots piesaistīt </w:t>
      </w:r>
      <w:r>
        <w:rPr>
          <w:rFonts w:ascii="Times New Roman" w:eastAsia="Times New Roman" w:hAnsi="Times New Roman" w:cs="Times New Roman"/>
          <w:sz w:val="24"/>
          <w:szCs w:val="24"/>
        </w:rPr>
        <w:t>EK</w:t>
      </w:r>
      <w:r w:rsidRPr="00FC6245">
        <w:rPr>
          <w:rFonts w:ascii="Times New Roman" w:eastAsia="Times New Roman" w:hAnsi="Times New Roman" w:cs="Times New Roman"/>
          <w:sz w:val="24"/>
          <w:szCs w:val="24"/>
        </w:rPr>
        <w:t xml:space="preserve"> institūciju finansēto tehniskā atbalsta instrumentu </w:t>
      </w:r>
      <w:r w:rsidR="00B167ED">
        <w:rPr>
          <w:rFonts w:ascii="Times New Roman" w:eastAsia="Times New Roman" w:hAnsi="Times New Roman" w:cs="Times New Roman"/>
          <w:sz w:val="24"/>
          <w:szCs w:val="24"/>
        </w:rPr>
        <w:t>"</w:t>
      </w:r>
      <w:r w:rsidRPr="00FC6245">
        <w:rPr>
          <w:rFonts w:ascii="Times New Roman" w:eastAsia="Times New Roman" w:hAnsi="Times New Roman" w:cs="Times New Roman"/>
          <w:sz w:val="24"/>
          <w:szCs w:val="24"/>
        </w:rPr>
        <w:t>Kopējā palīdzība projekta sagatavošanai Eirop</w:t>
      </w:r>
      <w:r w:rsidRPr="00FC6245">
        <w:rPr>
          <w:rFonts w:ascii="Times New Roman" w:hAnsi="Times New Roman" w:cs="Times New Roman"/>
          <w:sz w:val="24"/>
          <w:szCs w:val="24"/>
        </w:rPr>
        <w:t>as reģionos</w:t>
      </w:r>
      <w:r w:rsidR="00B167ED">
        <w:rPr>
          <w:rFonts w:ascii="Times New Roman" w:hAnsi="Times New Roman" w:cs="Times New Roman"/>
          <w:sz w:val="24"/>
          <w:szCs w:val="24"/>
        </w:rPr>
        <w:t>"</w:t>
      </w:r>
      <w:r w:rsidRPr="00FC6245">
        <w:rPr>
          <w:rFonts w:ascii="Times New Roman" w:hAnsi="Times New Roman" w:cs="Times New Roman"/>
          <w:sz w:val="24"/>
          <w:szCs w:val="24"/>
        </w:rPr>
        <w:t>.</w:t>
      </w:r>
      <w:r w:rsidRPr="00FC6245">
        <w:rPr>
          <w:rFonts w:ascii="Times New Roman" w:eastAsia="Times New Roman" w:hAnsi="Times New Roman" w:cs="Times New Roman"/>
          <w:sz w:val="24"/>
          <w:szCs w:val="24"/>
        </w:rPr>
        <w:t xml:space="preserve"> BIRTI projektu plānots īstenot laikposmā no 2014.gada līdz 2020.gadam</w:t>
      </w:r>
      <w:r w:rsidRPr="00FC6245">
        <w:rPr>
          <w:rFonts w:ascii="Times New Roman" w:hAnsi="Times New Roman" w:cs="Times New Roman"/>
          <w:sz w:val="24"/>
          <w:szCs w:val="24"/>
        </w:rPr>
        <w:t>.</w:t>
      </w:r>
      <w:r w:rsidRPr="00FC6245">
        <w:rPr>
          <w:rFonts w:ascii="Times New Roman" w:eastAsia="Times New Roman" w:hAnsi="Times New Roman" w:cs="Times New Roman"/>
          <w:sz w:val="24"/>
          <w:szCs w:val="24"/>
        </w:rPr>
        <w:t xml:space="preserve">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IZM, Igaunijas Izglītības un pētniecības ministrija un Lietuvas Izglītības un zinātnes ministrija parakstījusi Saprašanās memorandu par ciešāku sadarbību augstākās </w:t>
      </w:r>
      <w:r w:rsidRPr="00FC6245">
        <w:rPr>
          <w:rFonts w:ascii="Times New Roman" w:hAnsi="Times New Roman" w:cs="Times New Roman"/>
          <w:sz w:val="24"/>
          <w:szCs w:val="24"/>
        </w:rPr>
        <w:lastRenderedPageBreak/>
        <w:t>izglītības, pētniecības un inovāciju attīstībā. Memorands paredz stiprināt sadarbību starp universitātēm, pētniecības institūtiem, inovatīvo industriju un investoriem, lai gūtu savstarpējus ieguvumus no pētniecības un inovāciju attīstības.</w:t>
      </w:r>
    </w:p>
    <w:p w:rsidR="00FC6245" w:rsidRPr="00FC6245" w:rsidRDefault="00FC6245" w:rsidP="00FC6245">
      <w:pPr>
        <w:pStyle w:val="NoSpacing"/>
        <w:ind w:firstLine="720"/>
        <w:jc w:val="both"/>
        <w:rPr>
          <w:rFonts w:ascii="Times New Roman" w:eastAsia="Times New Roman" w:hAnsi="Times New Roman"/>
          <w:sz w:val="24"/>
          <w:szCs w:val="24"/>
        </w:rPr>
      </w:pPr>
      <w:r w:rsidRPr="00FC6245">
        <w:rPr>
          <w:rFonts w:ascii="Times New Roman" w:eastAsia="Times New Roman" w:hAnsi="Times New Roman"/>
          <w:sz w:val="24"/>
          <w:szCs w:val="24"/>
        </w:rPr>
        <w:t xml:space="preserve">Lai nodrošinātu fundamentālo un lietišķo pētījumu izstrādi un Valsts pētījumu programmu īstenošanu, ir izstrādāti principi fundamentālo un lietišķo pētījumu finansēšanai saskaņā ar MK noteiktajiem pieciem prioritārajiem zinātnes virzieniem 2010.–2013.gadam. </w:t>
      </w:r>
    </w:p>
    <w:p w:rsidR="00FC6245" w:rsidRPr="00FC6245" w:rsidRDefault="00FC6245" w:rsidP="00FC6245">
      <w:pPr>
        <w:pStyle w:val="NoSpacing"/>
        <w:ind w:firstLine="720"/>
        <w:jc w:val="both"/>
        <w:rPr>
          <w:rFonts w:ascii="Times New Roman" w:hAnsi="Times New Roman"/>
          <w:sz w:val="24"/>
          <w:szCs w:val="24"/>
        </w:rPr>
      </w:pPr>
      <w:r w:rsidRPr="00FC6245">
        <w:rPr>
          <w:rFonts w:ascii="Times New Roman" w:eastAsia="Times New Roman" w:hAnsi="Times New Roman"/>
          <w:sz w:val="24"/>
          <w:szCs w:val="24"/>
        </w:rPr>
        <w:t xml:space="preserve">2012.gadā ESF atbalstu ir saņēmuši 619 atbilstoši pilna darba laika ekvivalentam nodarbinātie pētnieki, pieteikti 24 starptautiski patenti un apstiprinātas 289 publikācijas un veiktas citas aktivitātes. </w:t>
      </w:r>
    </w:p>
    <w:p w:rsidR="00FC6245" w:rsidRPr="00FC6245" w:rsidRDefault="00FC6245" w:rsidP="00FC6245">
      <w:pPr>
        <w:spacing w:after="0" w:line="240" w:lineRule="auto"/>
        <w:ind w:firstLine="720"/>
        <w:jc w:val="both"/>
        <w:rPr>
          <w:rFonts w:ascii="Times New Roman" w:eastAsia="Times New Roman" w:hAnsi="Times New Roman" w:cs="Times New Roman"/>
          <w:sz w:val="24"/>
          <w:szCs w:val="24"/>
        </w:rPr>
      </w:pPr>
      <w:r w:rsidRPr="00FC6245">
        <w:rPr>
          <w:rFonts w:ascii="Times New Roman" w:hAnsi="Times New Roman" w:cs="Times New Roman"/>
          <w:sz w:val="24"/>
          <w:szCs w:val="24"/>
        </w:rPr>
        <w:t>Plānots sagatavot</w:t>
      </w:r>
      <w:r w:rsidRPr="00FC6245">
        <w:rPr>
          <w:rFonts w:ascii="Times New Roman" w:eastAsia="Times New Roman" w:hAnsi="Times New Roman" w:cs="Times New Roman"/>
          <w:sz w:val="24"/>
          <w:szCs w:val="24"/>
        </w:rPr>
        <w:t xml:space="preserve"> ziņojumu par atbalstāmajām Eiropas Pētniecības infrastruktūrām, kuras ir saistītas ar Latvijas zinātniskajām institūcijām, kā arī sniegta analīze par tām pētniecības infrastruktūrām, kuras būtu prioritāras un tādēļ Latvijas dalība tajās būtu atbalstāma. Zinātniskās darbības nodrošināšanai plānots apstiprināt jaunus prioritāros zinātnes virzienus fundamentālo un lietišķo pētījumu projektu finansēšanai 2014.–2017.gadā. Saskaņā ar jaunajiem prioritārajiem virzieniem konkursa kārtībā tiks izvēlēta un nodrošināta finansēšana jaunām valsts pētījumu programmām.</w:t>
      </w:r>
    </w:p>
    <w:p w:rsidR="00FC6245" w:rsidRPr="006202E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ES struktūrfondu aktivitāšu ietvaros 2013.gadā plānots apstiprināt un uzsākt projektu īstenošanu, kas paredz atbalstu zinātnes jomai, veicinot jaunu darbavietu radīš</w:t>
      </w:r>
      <w:r w:rsidR="0052636A">
        <w:rPr>
          <w:rFonts w:ascii="Times New Roman" w:hAnsi="Times New Roman" w:cs="Times New Roman"/>
          <w:sz w:val="24"/>
          <w:szCs w:val="24"/>
        </w:rPr>
        <w:t>anu jaunajiem un reemigrējošiem</w:t>
      </w:r>
      <w:r w:rsidRPr="00FC6245">
        <w:rPr>
          <w:rFonts w:ascii="Times New Roman" w:hAnsi="Times New Roman" w:cs="Times New Roman"/>
          <w:sz w:val="24"/>
          <w:szCs w:val="24"/>
        </w:rPr>
        <w:t xml:space="preserve"> zinātniekiem, jaunu zinātnie</w:t>
      </w:r>
      <w:r w:rsidR="0052636A">
        <w:rPr>
          <w:rFonts w:ascii="Times New Roman" w:hAnsi="Times New Roman" w:cs="Times New Roman"/>
          <w:sz w:val="24"/>
          <w:szCs w:val="24"/>
        </w:rPr>
        <w:t>ku piesaisti pētījumiem, kā arī</w:t>
      </w:r>
      <w:r w:rsidRPr="00FC6245">
        <w:rPr>
          <w:rFonts w:ascii="Times New Roman" w:hAnsi="Times New Roman" w:cs="Times New Roman"/>
          <w:sz w:val="24"/>
          <w:szCs w:val="24"/>
        </w:rPr>
        <w:t xml:space="preserve"> finansētu jauno zinātnieku grupu pētniecības darbu izmaksas, sekmētu zinātnes un ražošanas integrāciju un pētniecisko rezultātu ieviešanu atbilstoši valstī izvirzītajiem prioritārajiem zinātnes virzieniem atbalstam, kā arī zinātnes un pētniecības aprīkojuma pilnveidei un atbilstošas infrastruktūras izveidei.</w:t>
      </w:r>
    </w:p>
    <w:p w:rsidR="00FD601E" w:rsidRDefault="00FD601E" w:rsidP="00FD601E">
      <w:pPr>
        <w:pStyle w:val="Heading2"/>
        <w:spacing w:before="0" w:line="240" w:lineRule="auto"/>
      </w:pPr>
    </w:p>
    <w:p w:rsidR="00EE6B47" w:rsidRPr="00FD601E" w:rsidRDefault="00FD601E" w:rsidP="00FD601E">
      <w:pPr>
        <w:pStyle w:val="Heading2"/>
        <w:spacing w:before="0" w:line="240" w:lineRule="auto"/>
      </w:pPr>
      <w:bookmarkStart w:id="19" w:name="_Toc348948326"/>
      <w:r>
        <w:t xml:space="preserve">6. </w:t>
      </w:r>
      <w:r w:rsidR="00EE6B47" w:rsidRPr="00FD601E">
        <w:t>Veselības politika</w:t>
      </w:r>
      <w:r w:rsidR="002F25A0" w:rsidRPr="00FD601E">
        <w:t xml:space="preserve"> un</w:t>
      </w:r>
      <w:r w:rsidR="00EE6B47" w:rsidRPr="00FD601E">
        <w:t xml:space="preserve"> veselības aprūpes sistēmas attīstība</w:t>
      </w:r>
      <w:bookmarkEnd w:id="19"/>
    </w:p>
    <w:p w:rsidR="00FC6245" w:rsidRPr="006202E5" w:rsidRDefault="00FC6245" w:rsidP="00FC6245">
      <w:pPr>
        <w:pStyle w:val="Heading3"/>
        <w:rPr>
          <w:szCs w:val="24"/>
        </w:rPr>
      </w:pPr>
      <w:bookmarkStart w:id="20" w:name="_Toc348948327"/>
      <w:r w:rsidRPr="006202E5">
        <w:rPr>
          <w:rFonts w:eastAsia="Calibri"/>
          <w:szCs w:val="24"/>
          <w:lang w:eastAsia="en-US"/>
        </w:rPr>
        <w:t xml:space="preserve">6.1. </w:t>
      </w:r>
      <w:r w:rsidRPr="006202E5">
        <w:rPr>
          <w:szCs w:val="24"/>
        </w:rPr>
        <w:t>Koncepcija par veselības aprūpes finansēšanas modeli</w:t>
      </w:r>
      <w:bookmarkEnd w:id="20"/>
    </w:p>
    <w:p w:rsidR="00FC6245" w:rsidRPr="006202E5" w:rsidRDefault="00FC6245" w:rsidP="00FC6245">
      <w:pPr>
        <w:pStyle w:val="NoSpacing"/>
        <w:ind w:firstLine="567"/>
        <w:jc w:val="both"/>
        <w:rPr>
          <w:rFonts w:ascii="Times New Roman" w:hAnsi="Times New Roman"/>
          <w:sz w:val="24"/>
          <w:szCs w:val="24"/>
        </w:rPr>
      </w:pPr>
      <w:r>
        <w:rPr>
          <w:rFonts w:ascii="Times New Roman" w:hAnsi="Times New Roman"/>
          <w:sz w:val="24"/>
          <w:szCs w:val="24"/>
        </w:rPr>
        <w:t xml:space="preserve">Izstrādāta </w:t>
      </w:r>
      <w:r w:rsidRPr="006202E5">
        <w:rPr>
          <w:rFonts w:ascii="Times New Roman" w:hAnsi="Times New Roman"/>
          <w:sz w:val="24"/>
          <w:szCs w:val="24"/>
        </w:rPr>
        <w:t xml:space="preserve">koncepcija par nodokļu </w:t>
      </w:r>
      <w:r w:rsidR="0052636A">
        <w:rPr>
          <w:rFonts w:ascii="Times New Roman" w:hAnsi="Times New Roman"/>
          <w:sz w:val="24"/>
          <w:szCs w:val="24"/>
        </w:rPr>
        <w:t>sa</w:t>
      </w:r>
      <w:r w:rsidRPr="006202E5">
        <w:rPr>
          <w:rFonts w:ascii="Times New Roman" w:hAnsi="Times New Roman"/>
          <w:sz w:val="24"/>
          <w:szCs w:val="24"/>
        </w:rPr>
        <w:t xml:space="preserve">maksas sasaisti ar </w:t>
      </w:r>
      <w:r>
        <w:rPr>
          <w:rFonts w:ascii="Times New Roman" w:hAnsi="Times New Roman"/>
          <w:sz w:val="24"/>
          <w:szCs w:val="24"/>
        </w:rPr>
        <w:t xml:space="preserve">plānveida </w:t>
      </w:r>
      <w:r w:rsidRPr="006202E5">
        <w:rPr>
          <w:rFonts w:ascii="Times New Roman" w:hAnsi="Times New Roman"/>
          <w:sz w:val="24"/>
          <w:szCs w:val="24"/>
        </w:rPr>
        <w:t>veselības aprūpes pakalpojumu saņemšanu</w:t>
      </w:r>
      <w:r>
        <w:rPr>
          <w:rFonts w:ascii="Times New Roman" w:hAnsi="Times New Roman"/>
          <w:sz w:val="24"/>
          <w:szCs w:val="24"/>
        </w:rPr>
        <w:t>, kas tiek vēl skaņota ar citām nozaru ministrijām un sociāl</w:t>
      </w:r>
      <w:r w:rsidR="0052636A">
        <w:rPr>
          <w:rFonts w:ascii="Times New Roman" w:hAnsi="Times New Roman"/>
          <w:sz w:val="24"/>
          <w:szCs w:val="24"/>
        </w:rPr>
        <w:t>aj</w:t>
      </w:r>
      <w:r>
        <w:rPr>
          <w:rFonts w:ascii="Times New Roman" w:hAnsi="Times New Roman"/>
          <w:sz w:val="24"/>
          <w:szCs w:val="24"/>
        </w:rPr>
        <w:t>iem partneriem</w:t>
      </w:r>
      <w:r w:rsidRPr="006202E5">
        <w:rPr>
          <w:rFonts w:ascii="Times New Roman" w:hAnsi="Times New Roman"/>
          <w:sz w:val="24"/>
          <w:szCs w:val="24"/>
        </w:rPr>
        <w:t xml:space="preserve">. </w:t>
      </w:r>
      <w:r>
        <w:rPr>
          <w:rFonts w:ascii="Times New Roman" w:hAnsi="Times New Roman"/>
          <w:sz w:val="24"/>
          <w:szCs w:val="24"/>
        </w:rPr>
        <w:t>Koncepciju īstenojot, i</w:t>
      </w:r>
      <w:r w:rsidRPr="006202E5">
        <w:rPr>
          <w:rFonts w:ascii="Times New Roman" w:hAnsi="Times New Roman"/>
          <w:sz w:val="24"/>
          <w:szCs w:val="24"/>
        </w:rPr>
        <w:t xml:space="preserve">ecerēts izveidot ilgtspējīgu, paredzamu un stabilu finanšu sistēmu, sasaistot tiesības uz plānveida veselības aprūpi ar nodokļa </w:t>
      </w:r>
      <w:r w:rsidR="0052636A">
        <w:rPr>
          <w:rFonts w:ascii="Times New Roman" w:hAnsi="Times New Roman"/>
          <w:sz w:val="24"/>
          <w:szCs w:val="24"/>
        </w:rPr>
        <w:t>sa</w:t>
      </w:r>
      <w:r w:rsidRPr="006202E5">
        <w:rPr>
          <w:rFonts w:ascii="Times New Roman" w:hAnsi="Times New Roman"/>
          <w:sz w:val="24"/>
          <w:szCs w:val="24"/>
        </w:rPr>
        <w:t xml:space="preserve">maksas faktu, vienlaikus plānojot stabilu </w:t>
      </w:r>
      <w:r>
        <w:rPr>
          <w:rFonts w:ascii="Times New Roman" w:hAnsi="Times New Roman"/>
          <w:sz w:val="24"/>
          <w:szCs w:val="24"/>
        </w:rPr>
        <w:t xml:space="preserve">veselības aprūpes </w:t>
      </w:r>
      <w:r w:rsidRPr="006202E5">
        <w:rPr>
          <w:rFonts w:ascii="Times New Roman" w:hAnsi="Times New Roman"/>
          <w:sz w:val="24"/>
          <w:szCs w:val="24"/>
        </w:rPr>
        <w:t xml:space="preserve">budžeta pieaugumu no IKP katru gadu. </w:t>
      </w:r>
    </w:p>
    <w:p w:rsidR="00FC6245" w:rsidRPr="006202E5" w:rsidRDefault="00FC6245" w:rsidP="00FC6245">
      <w:pPr>
        <w:pStyle w:val="Heading3"/>
        <w:rPr>
          <w:rFonts w:eastAsia="Calibri"/>
          <w:lang w:eastAsia="en-US"/>
        </w:rPr>
      </w:pPr>
      <w:bookmarkStart w:id="21" w:name="_Toc348948328"/>
      <w:r w:rsidRPr="006202E5">
        <w:rPr>
          <w:rFonts w:eastAsia="Calibri"/>
          <w:lang w:eastAsia="en-US"/>
        </w:rPr>
        <w:t xml:space="preserve">6.2. </w:t>
      </w:r>
      <w:r w:rsidRPr="00FC6245">
        <w:t>Veselības</w:t>
      </w:r>
      <w:r>
        <w:rPr>
          <w:rFonts w:eastAsia="Calibri"/>
          <w:lang w:eastAsia="en-US"/>
        </w:rPr>
        <w:t xml:space="preserve"> aprūpes pakalpojumu pieejamības un kvalitātes uzlabošana</w:t>
      </w:r>
      <w:bookmarkEnd w:id="21"/>
    </w:p>
    <w:p w:rsidR="00FC6245" w:rsidRDefault="00FC6245" w:rsidP="00FC6245">
      <w:pPr>
        <w:spacing w:after="0" w:line="240" w:lineRule="auto"/>
        <w:ind w:firstLine="720"/>
        <w:jc w:val="both"/>
        <w:rPr>
          <w:rFonts w:ascii="Times New Roman" w:eastAsia="Calibri" w:hAnsi="Times New Roman" w:cs="Times New Roman"/>
          <w:sz w:val="24"/>
          <w:szCs w:val="24"/>
          <w:lang w:eastAsia="en-US"/>
        </w:rPr>
      </w:pPr>
      <w:r w:rsidRPr="006202E5">
        <w:rPr>
          <w:rFonts w:ascii="Times New Roman" w:eastAsia="Calibri" w:hAnsi="Times New Roman" w:cs="Times New Roman"/>
          <w:sz w:val="24"/>
          <w:szCs w:val="24"/>
          <w:lang w:eastAsia="en-US"/>
        </w:rPr>
        <w:t xml:space="preserve">Lai tuvinātu slimnīcu tarifus reālajām izmaksām, pēc </w:t>
      </w:r>
      <w:r w:rsidR="00FA08D7">
        <w:rPr>
          <w:rFonts w:ascii="Times New Roman" w:eastAsia="Calibri" w:hAnsi="Times New Roman" w:cs="Times New Roman"/>
          <w:sz w:val="24"/>
          <w:szCs w:val="24"/>
          <w:lang w:eastAsia="en-US"/>
        </w:rPr>
        <w:t>MK</w:t>
      </w:r>
      <w:r w:rsidRPr="006202E5">
        <w:rPr>
          <w:rFonts w:ascii="Times New Roman" w:eastAsia="Calibri" w:hAnsi="Times New Roman" w:cs="Times New Roman"/>
          <w:sz w:val="24"/>
          <w:szCs w:val="24"/>
          <w:lang w:eastAsia="en-US"/>
        </w:rPr>
        <w:t xml:space="preserve"> atbalstītā papildu finansējuma </w:t>
      </w:r>
      <w:r>
        <w:rPr>
          <w:rFonts w:ascii="Times New Roman" w:eastAsia="Calibri" w:hAnsi="Times New Roman" w:cs="Times New Roman"/>
          <w:sz w:val="24"/>
          <w:szCs w:val="24"/>
          <w:lang w:eastAsia="en-US"/>
        </w:rPr>
        <w:t>–</w:t>
      </w:r>
      <w:r w:rsidRPr="006202E5">
        <w:rPr>
          <w:rFonts w:ascii="Times New Roman" w:eastAsia="Calibri" w:hAnsi="Times New Roman" w:cs="Times New Roman"/>
          <w:sz w:val="24"/>
          <w:szCs w:val="24"/>
          <w:lang w:eastAsia="en-US"/>
        </w:rPr>
        <w:t xml:space="preserve"> 9,6 miljonu latu </w:t>
      </w:r>
      <w:r>
        <w:rPr>
          <w:rFonts w:ascii="Times New Roman" w:eastAsia="Calibri" w:hAnsi="Times New Roman" w:cs="Times New Roman"/>
          <w:sz w:val="24"/>
          <w:szCs w:val="24"/>
          <w:lang w:eastAsia="en-US"/>
        </w:rPr>
        <w:t>–</w:t>
      </w:r>
      <w:r w:rsidRPr="006202E5">
        <w:rPr>
          <w:rFonts w:ascii="Times New Roman" w:eastAsia="Calibri" w:hAnsi="Times New Roman" w:cs="Times New Roman"/>
          <w:sz w:val="24"/>
          <w:szCs w:val="24"/>
          <w:lang w:eastAsia="en-US"/>
        </w:rPr>
        <w:t xml:space="preserve"> piešķiršanas veselības nozarei un pārdalot 600 tūkstošus latu nozares iekšienē, paaugstināti slimnīcu terapeitiskie tarifi</w:t>
      </w:r>
      <w:r>
        <w:rPr>
          <w:rFonts w:ascii="Times New Roman" w:eastAsia="Calibri" w:hAnsi="Times New Roman" w:cs="Times New Roman"/>
          <w:sz w:val="24"/>
          <w:szCs w:val="24"/>
          <w:lang w:eastAsia="en-US"/>
        </w:rPr>
        <w:t xml:space="preserve"> no vidēji 115,6 </w:t>
      </w:r>
      <w:r w:rsidR="00FA08D7">
        <w:rPr>
          <w:rFonts w:ascii="Times New Roman" w:eastAsia="Calibri" w:hAnsi="Times New Roman" w:cs="Times New Roman"/>
          <w:sz w:val="24"/>
          <w:szCs w:val="24"/>
          <w:lang w:eastAsia="en-US"/>
        </w:rPr>
        <w:t>latiem</w:t>
      </w:r>
      <w:r>
        <w:rPr>
          <w:rFonts w:ascii="Times New Roman" w:eastAsia="Calibri" w:hAnsi="Times New Roman" w:cs="Times New Roman"/>
          <w:sz w:val="24"/>
          <w:szCs w:val="24"/>
          <w:lang w:eastAsia="en-US"/>
        </w:rPr>
        <w:t xml:space="preserve"> uz 185,9 </w:t>
      </w:r>
      <w:r w:rsidR="00FA08D7">
        <w:rPr>
          <w:rFonts w:ascii="Times New Roman" w:eastAsia="Calibri" w:hAnsi="Times New Roman" w:cs="Times New Roman"/>
          <w:sz w:val="24"/>
          <w:szCs w:val="24"/>
          <w:lang w:eastAsia="en-US"/>
        </w:rPr>
        <w:t>latiem</w:t>
      </w:r>
      <w:r w:rsidRPr="006202E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Par 15,3 miljoniem latu palielināts arī pakalpojumu apjoms ambulatorajā aprūpē, </w:t>
      </w:r>
      <w:r w:rsidR="00B1348A">
        <w:rPr>
          <w:rFonts w:ascii="Times New Roman" w:eastAsia="Calibri" w:hAnsi="Times New Roman" w:cs="Times New Roman"/>
          <w:sz w:val="24"/>
          <w:szCs w:val="24"/>
          <w:lang w:eastAsia="en-US"/>
        </w:rPr>
        <w:t xml:space="preserve">papildus </w:t>
      </w:r>
      <w:r>
        <w:rPr>
          <w:rFonts w:ascii="Times New Roman" w:eastAsia="Calibri" w:hAnsi="Times New Roman" w:cs="Times New Roman"/>
          <w:sz w:val="24"/>
          <w:szCs w:val="24"/>
          <w:lang w:eastAsia="en-US"/>
        </w:rPr>
        <w:t>nodrošinot 148 974</w:t>
      </w:r>
      <w:r w:rsidR="0052636A">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 xml:space="preserve">pakalpojumus dienas stacionārā, 730 591 izmeklējumus pie speciālistiem un </w:t>
      </w:r>
      <w:r w:rsidRPr="00CA1A62">
        <w:rPr>
          <w:rFonts w:ascii="Times New Roman" w:eastAsia="Calibri" w:hAnsi="Times New Roman" w:cs="Times New Roman"/>
          <w:sz w:val="24"/>
          <w:szCs w:val="24"/>
          <w:lang w:eastAsia="en-US"/>
        </w:rPr>
        <w:t>424</w:t>
      </w:r>
      <w:r w:rsidR="0052636A">
        <w:rPr>
          <w:rFonts w:ascii="Times New Roman" w:eastAsia="Calibri" w:hAnsi="Times New Roman" w:cs="Times New Roman"/>
          <w:sz w:val="24"/>
          <w:szCs w:val="24"/>
          <w:lang w:eastAsia="en-US"/>
        </w:rPr>
        <w:t> </w:t>
      </w:r>
      <w:r w:rsidRPr="00CA1A62">
        <w:rPr>
          <w:rFonts w:ascii="Times New Roman" w:eastAsia="Calibri" w:hAnsi="Times New Roman" w:cs="Times New Roman"/>
          <w:sz w:val="24"/>
          <w:szCs w:val="24"/>
          <w:lang w:eastAsia="en-US"/>
        </w:rPr>
        <w:t>593</w:t>
      </w:r>
      <w:r w:rsidR="0052636A">
        <w:rPr>
          <w:rFonts w:ascii="Times New Roman" w:eastAsia="Calibri" w:hAnsi="Times New Roman" w:cs="Times New Roman"/>
          <w:sz w:val="24"/>
          <w:szCs w:val="24"/>
          <w:lang w:eastAsia="en-US"/>
        </w:rPr>
        <w:t> </w:t>
      </w:r>
      <w:r w:rsidRPr="00CA1A62">
        <w:rPr>
          <w:rFonts w:ascii="Times New Roman" w:eastAsia="Calibri" w:hAnsi="Times New Roman" w:cs="Times New Roman"/>
          <w:sz w:val="24"/>
          <w:szCs w:val="24"/>
          <w:lang w:eastAsia="en-US"/>
        </w:rPr>
        <w:t>diagnostiskos un laboratoriskos izmeklējumus</w:t>
      </w:r>
      <w:r>
        <w:rPr>
          <w:rFonts w:ascii="Times New Roman" w:eastAsia="Calibri" w:hAnsi="Times New Roman" w:cs="Times New Roman"/>
          <w:sz w:val="24"/>
          <w:szCs w:val="24"/>
          <w:lang w:eastAsia="en-US"/>
        </w:rPr>
        <w:t>; ieviesta arī novēršamās invaliditātes programma par 0,7 miljoniem latu. Tāpat piešķirts papildu finansējums endoprotezēšanai – viens miljons latu, kā arī finansējums rehabilitācijai, kā rezultātā veiktas 930 endoprotezēšanas operācijas un gaidīšanas rindas samazinātas vidēji par 50</w:t>
      </w:r>
      <w:r w:rsidR="00111406">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 xml:space="preserve">. </w:t>
      </w:r>
    </w:p>
    <w:p w:rsidR="00FC6245" w:rsidRDefault="00FC6245" w:rsidP="00FC6245">
      <w:pPr>
        <w:spacing w:after="0" w:line="240" w:lineRule="auto"/>
        <w:ind w:firstLine="720"/>
        <w:jc w:val="both"/>
        <w:rPr>
          <w:rFonts w:ascii="Times New Roman" w:hAnsi="Times New Roman"/>
          <w:sz w:val="24"/>
          <w:szCs w:val="24"/>
        </w:rPr>
      </w:pPr>
      <w:r>
        <w:rPr>
          <w:rFonts w:ascii="Times New Roman" w:eastAsia="Calibri" w:hAnsi="Times New Roman" w:cs="Times New Roman"/>
          <w:sz w:val="24"/>
          <w:szCs w:val="24"/>
          <w:lang w:eastAsia="en-US"/>
        </w:rPr>
        <w:lastRenderedPageBreak/>
        <w:t>2012.gadā četrās Latvijas pilsētās (Gulbenē, Valkā, Līvānos un Aizputē) atvērti</w:t>
      </w:r>
      <w:r w:rsidRPr="006202E5">
        <w:rPr>
          <w:rFonts w:ascii="Times New Roman" w:hAnsi="Times New Roman"/>
          <w:sz w:val="24"/>
          <w:szCs w:val="24"/>
        </w:rPr>
        <w:t xml:space="preserve"> jauni steidzamās medicīniskās palīdzības punkti</w:t>
      </w:r>
      <w:r>
        <w:rPr>
          <w:rFonts w:ascii="Times New Roman" w:hAnsi="Times New Roman"/>
          <w:sz w:val="24"/>
          <w:szCs w:val="24"/>
        </w:rPr>
        <w:t xml:space="preserve">, kur nodrošināta medicīniskā personāla </w:t>
      </w:r>
      <w:r w:rsidR="00B1348A">
        <w:rPr>
          <w:rFonts w:ascii="Times New Roman" w:hAnsi="Times New Roman"/>
          <w:sz w:val="24"/>
          <w:szCs w:val="24"/>
        </w:rPr>
        <w:t xml:space="preserve">24 stundu </w:t>
      </w:r>
      <w:r>
        <w:rPr>
          <w:rFonts w:ascii="Times New Roman" w:hAnsi="Times New Roman"/>
          <w:sz w:val="24"/>
          <w:szCs w:val="24"/>
        </w:rPr>
        <w:t>pieejamība, bet sešās slimnīcās</w:t>
      </w:r>
      <w:r w:rsidRPr="006202E5">
        <w:rPr>
          <w:rFonts w:ascii="Times New Roman" w:hAnsi="Times New Roman"/>
          <w:sz w:val="24"/>
          <w:szCs w:val="24"/>
        </w:rPr>
        <w:t xml:space="preserve"> </w:t>
      </w:r>
      <w:r>
        <w:rPr>
          <w:rFonts w:ascii="Times New Roman" w:hAnsi="Times New Roman"/>
          <w:sz w:val="24"/>
          <w:szCs w:val="24"/>
        </w:rPr>
        <w:t xml:space="preserve">atvērtas </w:t>
      </w:r>
      <w:r w:rsidRPr="006202E5">
        <w:rPr>
          <w:rFonts w:ascii="Times New Roman" w:hAnsi="Times New Roman"/>
          <w:sz w:val="24"/>
          <w:szCs w:val="24"/>
        </w:rPr>
        <w:t>papildu aprūpes gultas</w:t>
      </w:r>
      <w:r>
        <w:rPr>
          <w:rFonts w:ascii="Times New Roman" w:hAnsi="Times New Roman"/>
          <w:sz w:val="24"/>
          <w:szCs w:val="24"/>
        </w:rPr>
        <w:t xml:space="preserve">, tādējādi atslogojot stacionāru darbu. </w:t>
      </w:r>
      <w:r w:rsidRPr="006202E5">
        <w:rPr>
          <w:rFonts w:ascii="Times New Roman" w:hAnsi="Times New Roman"/>
          <w:sz w:val="24"/>
          <w:szCs w:val="24"/>
        </w:rPr>
        <w:t xml:space="preserve">21 daudzprofilu neatliekamās medicīniskās palīdzības slimnīcā </w:t>
      </w:r>
      <w:r>
        <w:rPr>
          <w:rFonts w:ascii="Times New Roman" w:hAnsi="Times New Roman"/>
          <w:sz w:val="24"/>
          <w:szCs w:val="24"/>
        </w:rPr>
        <w:t>izveidojot</w:t>
      </w:r>
      <w:r w:rsidRPr="006202E5">
        <w:rPr>
          <w:rFonts w:ascii="Times New Roman" w:hAnsi="Times New Roman"/>
          <w:sz w:val="24"/>
          <w:szCs w:val="24"/>
        </w:rPr>
        <w:t xml:space="preserve"> observācijas </w:t>
      </w:r>
      <w:r>
        <w:rPr>
          <w:rFonts w:ascii="Times New Roman" w:hAnsi="Times New Roman"/>
          <w:sz w:val="24"/>
          <w:szCs w:val="24"/>
        </w:rPr>
        <w:t xml:space="preserve">nodaļas, panākta pacientu un finanšu plūsmas stabilizācija. Papildus valsts apmaksāto pakalpojumu klāstā iekļauta </w:t>
      </w:r>
      <w:r w:rsidRPr="006202E5">
        <w:rPr>
          <w:rFonts w:ascii="Times New Roman" w:hAnsi="Times New Roman"/>
          <w:sz w:val="24"/>
          <w:szCs w:val="24"/>
        </w:rPr>
        <w:t>mājas aprūp</w:t>
      </w:r>
      <w:r>
        <w:rPr>
          <w:rFonts w:ascii="Times New Roman" w:hAnsi="Times New Roman"/>
          <w:sz w:val="24"/>
          <w:szCs w:val="24"/>
        </w:rPr>
        <w:t>e</w:t>
      </w:r>
      <w:r w:rsidRPr="006202E5">
        <w:rPr>
          <w:rFonts w:ascii="Times New Roman" w:hAnsi="Times New Roman"/>
          <w:sz w:val="24"/>
          <w:szCs w:val="24"/>
        </w:rPr>
        <w:t xml:space="preserve"> insulta pacientiem</w:t>
      </w:r>
      <w:r>
        <w:rPr>
          <w:rFonts w:ascii="Times New Roman" w:hAnsi="Times New Roman"/>
          <w:sz w:val="24"/>
          <w:szCs w:val="24"/>
        </w:rPr>
        <w:t>, ko var sniegt arī rehabilitologs vai fizikālās un rehabilitācijas medicīnas ārsts.</w:t>
      </w:r>
    </w:p>
    <w:p w:rsidR="00FC6245" w:rsidRDefault="00FC6245" w:rsidP="00FC6245">
      <w:pPr>
        <w:spacing w:after="0" w:line="240" w:lineRule="auto"/>
        <w:ind w:firstLine="720"/>
        <w:jc w:val="both"/>
        <w:rPr>
          <w:rFonts w:ascii="Times New Roman" w:hAnsi="Times New Roman"/>
          <w:sz w:val="24"/>
          <w:szCs w:val="24"/>
        </w:rPr>
      </w:pPr>
      <w:r>
        <w:rPr>
          <w:rFonts w:ascii="Times New Roman" w:hAnsi="Times New Roman"/>
          <w:sz w:val="24"/>
          <w:szCs w:val="24"/>
        </w:rPr>
        <w:t>I</w:t>
      </w:r>
      <w:r w:rsidRPr="006202E5">
        <w:rPr>
          <w:rFonts w:ascii="Times New Roman" w:hAnsi="Times New Roman"/>
          <w:sz w:val="24"/>
          <w:szCs w:val="24"/>
        </w:rPr>
        <w:t xml:space="preserve">zstrādāti </w:t>
      </w:r>
      <w:r>
        <w:rPr>
          <w:rFonts w:ascii="Times New Roman" w:hAnsi="Times New Roman"/>
          <w:sz w:val="24"/>
          <w:szCs w:val="24"/>
        </w:rPr>
        <w:t xml:space="preserve">arī </w:t>
      </w:r>
      <w:r w:rsidRPr="006202E5">
        <w:rPr>
          <w:rFonts w:ascii="Times New Roman" w:hAnsi="Times New Roman"/>
          <w:sz w:val="24"/>
          <w:szCs w:val="24"/>
        </w:rPr>
        <w:t xml:space="preserve">jauni ģimenes ārstu darba kvalitātes novērtēšanas kritēriji, </w:t>
      </w:r>
      <w:r w:rsidR="00B1348A">
        <w:rPr>
          <w:rFonts w:ascii="Times New Roman" w:hAnsi="Times New Roman"/>
          <w:sz w:val="24"/>
          <w:szCs w:val="24"/>
        </w:rPr>
        <w:t>lai</w:t>
      </w:r>
      <w:r w:rsidRPr="006202E5">
        <w:rPr>
          <w:rFonts w:ascii="Times New Roman" w:hAnsi="Times New Roman"/>
          <w:sz w:val="24"/>
          <w:szCs w:val="24"/>
        </w:rPr>
        <w:t xml:space="preserve"> </w:t>
      </w:r>
      <w:r>
        <w:rPr>
          <w:rFonts w:ascii="Times New Roman" w:hAnsi="Times New Roman"/>
          <w:sz w:val="24"/>
          <w:szCs w:val="24"/>
        </w:rPr>
        <w:t>uzlabo</w:t>
      </w:r>
      <w:r w:rsidR="00B1348A">
        <w:rPr>
          <w:rFonts w:ascii="Times New Roman" w:hAnsi="Times New Roman"/>
          <w:sz w:val="24"/>
          <w:szCs w:val="24"/>
        </w:rPr>
        <w:t>tu</w:t>
      </w:r>
      <w:r>
        <w:rPr>
          <w:rFonts w:ascii="Times New Roman" w:hAnsi="Times New Roman"/>
          <w:sz w:val="24"/>
          <w:szCs w:val="24"/>
        </w:rPr>
        <w:t xml:space="preserve"> hronisko pacientu aprūpi un profilakses darbu. Tāpat </w:t>
      </w:r>
      <w:r w:rsidRPr="006202E5">
        <w:rPr>
          <w:rFonts w:ascii="Times New Roman" w:hAnsi="Times New Roman"/>
          <w:sz w:val="24"/>
          <w:szCs w:val="24"/>
        </w:rPr>
        <w:t xml:space="preserve">izstrādāti </w:t>
      </w:r>
      <w:r>
        <w:rPr>
          <w:rFonts w:ascii="Times New Roman" w:hAnsi="Times New Roman"/>
          <w:sz w:val="24"/>
          <w:szCs w:val="24"/>
        </w:rPr>
        <w:t xml:space="preserve">un līgumos iekļauti </w:t>
      </w:r>
      <w:r w:rsidRPr="006202E5">
        <w:rPr>
          <w:rFonts w:ascii="Times New Roman" w:hAnsi="Times New Roman"/>
          <w:sz w:val="24"/>
          <w:szCs w:val="24"/>
        </w:rPr>
        <w:t>veselības aprūpes kvalitātes izvērtējuma kritēriji</w:t>
      </w:r>
      <w:r w:rsidRPr="00284254">
        <w:rPr>
          <w:rFonts w:ascii="Times New Roman" w:hAnsi="Times New Roman"/>
          <w:sz w:val="24"/>
          <w:szCs w:val="24"/>
        </w:rPr>
        <w:t xml:space="preserve"> </w:t>
      </w:r>
      <w:r w:rsidRPr="006202E5">
        <w:rPr>
          <w:rFonts w:ascii="Times New Roman" w:hAnsi="Times New Roman"/>
          <w:sz w:val="24"/>
          <w:szCs w:val="24"/>
        </w:rPr>
        <w:t>stacionār</w:t>
      </w:r>
      <w:r>
        <w:rPr>
          <w:rFonts w:ascii="Times New Roman" w:hAnsi="Times New Roman"/>
          <w:sz w:val="24"/>
          <w:szCs w:val="24"/>
        </w:rPr>
        <w:t>iem</w:t>
      </w:r>
      <w:r w:rsidRPr="006202E5">
        <w:rPr>
          <w:rFonts w:ascii="Times New Roman" w:hAnsi="Times New Roman"/>
          <w:sz w:val="24"/>
          <w:szCs w:val="24"/>
        </w:rPr>
        <w:t>.</w:t>
      </w:r>
    </w:p>
    <w:p w:rsidR="00FC6245" w:rsidRDefault="00FC6245" w:rsidP="00FC6245">
      <w:pPr>
        <w:spacing w:after="0" w:line="240" w:lineRule="auto"/>
        <w:ind w:firstLine="720"/>
        <w:jc w:val="both"/>
        <w:rPr>
          <w:rFonts w:ascii="Times New Roman" w:hAnsi="Times New Roman"/>
          <w:sz w:val="24"/>
          <w:szCs w:val="24"/>
        </w:rPr>
      </w:pPr>
      <w:r>
        <w:rPr>
          <w:rFonts w:ascii="Times New Roman" w:hAnsi="Times New Roman"/>
          <w:sz w:val="24"/>
          <w:szCs w:val="24"/>
        </w:rPr>
        <w:t>No 2012.gada 1.februāra pacienti aptiekās kā kompensējamo saņem lētāko</w:t>
      </w:r>
      <w:r w:rsidR="00A81FA2">
        <w:rPr>
          <w:rFonts w:ascii="Times New Roman" w:hAnsi="Times New Roman"/>
          <w:sz w:val="24"/>
          <w:szCs w:val="24"/>
        </w:rPr>
        <w:t xml:space="preserve"> medikamentu</w:t>
      </w:r>
      <w:r>
        <w:rPr>
          <w:rFonts w:ascii="Times New Roman" w:hAnsi="Times New Roman"/>
          <w:sz w:val="24"/>
          <w:szCs w:val="24"/>
        </w:rPr>
        <w:t>.</w:t>
      </w:r>
    </w:p>
    <w:p w:rsidR="00FC6245" w:rsidRPr="006202E5" w:rsidRDefault="00FC6245" w:rsidP="00FC6245">
      <w:pPr>
        <w:pStyle w:val="Heading3"/>
        <w:rPr>
          <w:rFonts w:eastAsia="Calibri"/>
          <w:szCs w:val="24"/>
          <w:lang w:eastAsia="en-US"/>
        </w:rPr>
      </w:pPr>
      <w:bookmarkStart w:id="22" w:name="_Toc348948329"/>
      <w:r>
        <w:rPr>
          <w:rFonts w:eastAsia="Calibri"/>
          <w:szCs w:val="24"/>
          <w:lang w:eastAsia="en-US"/>
        </w:rPr>
        <w:t>6.3</w:t>
      </w:r>
      <w:r w:rsidRPr="006202E5">
        <w:rPr>
          <w:rFonts w:eastAsia="Calibri"/>
          <w:szCs w:val="24"/>
          <w:lang w:eastAsia="en-US"/>
        </w:rPr>
        <w:t>. Neatliekamās palīdzības dienesta darba uzlabošana</w:t>
      </w:r>
      <w:bookmarkEnd w:id="22"/>
      <w:r w:rsidRPr="006202E5">
        <w:rPr>
          <w:rFonts w:eastAsia="Calibri"/>
          <w:szCs w:val="24"/>
          <w:lang w:eastAsia="en-US"/>
        </w:rPr>
        <w:t xml:space="preserve"> </w:t>
      </w:r>
    </w:p>
    <w:p w:rsidR="00FC6245" w:rsidRPr="006202E5" w:rsidRDefault="00FC6245" w:rsidP="00FC6245">
      <w:pPr>
        <w:spacing w:after="0" w:line="240" w:lineRule="auto"/>
        <w:ind w:firstLine="72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w:t>
      </w:r>
      <w:r w:rsidRPr="006202E5">
        <w:rPr>
          <w:rFonts w:ascii="Times New Roman" w:eastAsia="Calibri" w:hAnsi="Times New Roman" w:cs="Times New Roman"/>
          <w:sz w:val="24"/>
          <w:szCs w:val="24"/>
          <w:lang w:eastAsia="en-US"/>
        </w:rPr>
        <w:t>iesaist</w:t>
      </w:r>
      <w:r>
        <w:rPr>
          <w:rFonts w:ascii="Times New Roman" w:eastAsia="Calibri" w:hAnsi="Times New Roman" w:cs="Times New Roman"/>
          <w:sz w:val="24"/>
          <w:szCs w:val="24"/>
          <w:lang w:eastAsia="en-US"/>
        </w:rPr>
        <w:t xml:space="preserve">ot </w:t>
      </w:r>
      <w:r w:rsidR="00A81FA2">
        <w:rPr>
          <w:rFonts w:ascii="Times New Roman" w:eastAsia="Calibri" w:hAnsi="Times New Roman" w:cs="Times New Roman"/>
          <w:sz w:val="24"/>
          <w:szCs w:val="24"/>
          <w:lang w:eastAsia="en-US"/>
        </w:rPr>
        <w:t>ERAF</w:t>
      </w:r>
      <w:r w:rsidR="00A81FA2" w:rsidRPr="006202E5">
        <w:rPr>
          <w:rFonts w:ascii="Times New Roman" w:eastAsia="Calibri" w:hAnsi="Times New Roman" w:cs="Times New Roman"/>
          <w:sz w:val="24"/>
          <w:szCs w:val="24"/>
          <w:lang w:eastAsia="en-US"/>
        </w:rPr>
        <w:t xml:space="preserve"> finansējum</w:t>
      </w:r>
      <w:r w:rsidR="00A81FA2">
        <w:rPr>
          <w:rFonts w:ascii="Times New Roman" w:eastAsia="Calibri" w:hAnsi="Times New Roman" w:cs="Times New Roman"/>
          <w:sz w:val="24"/>
          <w:szCs w:val="24"/>
          <w:lang w:eastAsia="en-US"/>
        </w:rPr>
        <w:t xml:space="preserve">u </w:t>
      </w:r>
      <w:r>
        <w:rPr>
          <w:rFonts w:ascii="Times New Roman" w:eastAsia="Calibri" w:hAnsi="Times New Roman" w:cs="Times New Roman"/>
          <w:sz w:val="24"/>
          <w:szCs w:val="24"/>
          <w:lang w:eastAsia="en-US"/>
        </w:rPr>
        <w:t>13,6 miljonu latu</w:t>
      </w:r>
      <w:r w:rsidR="00A81FA2">
        <w:rPr>
          <w:rFonts w:ascii="Times New Roman" w:eastAsia="Calibri" w:hAnsi="Times New Roman" w:cs="Times New Roman"/>
          <w:sz w:val="24"/>
          <w:szCs w:val="24"/>
          <w:lang w:eastAsia="en-US"/>
        </w:rPr>
        <w:t xml:space="preserve"> apmērā</w:t>
      </w:r>
      <w:r>
        <w:rPr>
          <w:rFonts w:ascii="Times New Roman" w:eastAsia="Calibri" w:hAnsi="Times New Roman" w:cs="Times New Roman"/>
          <w:sz w:val="24"/>
          <w:szCs w:val="24"/>
          <w:lang w:eastAsia="en-US"/>
        </w:rPr>
        <w:t>, uzsākta Neatliekamās medicīniskās palīdzības dienesta (NMPD) autobāzes atjaunošana. Plāns paredz 80</w:t>
      </w:r>
      <w:r w:rsidR="00111406">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 xml:space="preserve"> dienesta autobāzes nomaiņu ar vismodernākajām, pilnībā aprīkotām automašīnām, kopumā iegādājoties aptuveni 195 jaunas transporta vienības</w:t>
      </w:r>
      <w:r w:rsidRPr="006202E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(Pārējie 20</w:t>
      </w:r>
      <w:r w:rsidR="00111406">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 xml:space="preserve"> automašīnu ir jaunākas par pieciem gadiem un tiks nomainītas pakāpeniski.) Vienlaikus izveidots Baltijas valstīs labākais vienotais NMPD vadības centrs. </w:t>
      </w:r>
    </w:p>
    <w:p w:rsidR="00FC6245" w:rsidRDefault="00FC6245" w:rsidP="00FC6245">
      <w:pPr>
        <w:pStyle w:val="Heading3"/>
        <w:rPr>
          <w:rFonts w:eastAsia="Calibri"/>
          <w:szCs w:val="24"/>
          <w:lang w:eastAsia="en-US"/>
        </w:rPr>
      </w:pPr>
      <w:bookmarkStart w:id="23" w:name="_Toc348948330"/>
      <w:r w:rsidRPr="006202E5">
        <w:rPr>
          <w:rFonts w:eastAsia="Calibri"/>
          <w:szCs w:val="24"/>
          <w:lang w:eastAsia="en-US"/>
        </w:rPr>
        <w:t>6.</w:t>
      </w:r>
      <w:r>
        <w:rPr>
          <w:rFonts w:eastAsia="Calibri"/>
          <w:szCs w:val="24"/>
          <w:lang w:eastAsia="en-US"/>
        </w:rPr>
        <w:t>4</w:t>
      </w:r>
      <w:r w:rsidRPr="006202E5">
        <w:rPr>
          <w:rFonts w:eastAsia="Calibri"/>
          <w:szCs w:val="24"/>
          <w:lang w:eastAsia="en-US"/>
        </w:rPr>
        <w:t xml:space="preserve">. </w:t>
      </w:r>
      <w:r>
        <w:rPr>
          <w:rFonts w:eastAsia="Calibri"/>
          <w:szCs w:val="24"/>
          <w:lang w:eastAsia="en-US"/>
        </w:rPr>
        <w:t>E-veselība</w:t>
      </w:r>
      <w:bookmarkEnd w:id="23"/>
    </w:p>
    <w:p w:rsidR="00FC6245" w:rsidRPr="00AE18C6" w:rsidRDefault="00FC6245" w:rsidP="00AE18C6">
      <w:pPr>
        <w:spacing w:line="240" w:lineRule="auto"/>
        <w:ind w:firstLine="720"/>
        <w:jc w:val="both"/>
        <w:rPr>
          <w:rFonts w:ascii="Times New Roman" w:eastAsia="Calibri" w:hAnsi="Times New Roman" w:cs="Times New Roman"/>
          <w:sz w:val="24"/>
          <w:szCs w:val="24"/>
          <w:lang w:eastAsia="en-US"/>
        </w:rPr>
      </w:pPr>
      <w:r w:rsidRPr="00AE18C6">
        <w:rPr>
          <w:rFonts w:ascii="Times New Roman" w:eastAsia="Calibri" w:hAnsi="Times New Roman" w:cs="Times New Roman"/>
          <w:sz w:val="24"/>
          <w:szCs w:val="24"/>
          <w:lang w:eastAsia="en-US"/>
        </w:rPr>
        <w:t xml:space="preserve">No 2013.gada 1.aprīļa tiks uzsākta e-veselības programma ģimenes ārstu informēšanai par pacientiem, kuriem sniegta neatliekamā medicīniskā palīdzība, kā arī pilotprojektā – darbnespējas lapu vienota izrakstīšanas kārtība. </w:t>
      </w:r>
    </w:p>
    <w:p w:rsidR="00FC6245" w:rsidRPr="006202E5" w:rsidRDefault="00FC6245" w:rsidP="00FC6245">
      <w:pPr>
        <w:pStyle w:val="Heading3"/>
        <w:rPr>
          <w:rFonts w:eastAsia="Calibri"/>
          <w:szCs w:val="24"/>
          <w:lang w:eastAsia="en-US"/>
        </w:rPr>
      </w:pPr>
      <w:bookmarkStart w:id="24" w:name="_Toc348948331"/>
      <w:r w:rsidRPr="006202E5">
        <w:rPr>
          <w:szCs w:val="24"/>
        </w:rPr>
        <w:t>6.</w:t>
      </w:r>
      <w:r>
        <w:rPr>
          <w:szCs w:val="24"/>
        </w:rPr>
        <w:t>5</w:t>
      </w:r>
      <w:r w:rsidRPr="006202E5">
        <w:rPr>
          <w:szCs w:val="24"/>
        </w:rPr>
        <w:t xml:space="preserve">. </w:t>
      </w:r>
      <w:r w:rsidRPr="006202E5">
        <w:rPr>
          <w:rFonts w:eastAsia="Calibri"/>
          <w:szCs w:val="24"/>
          <w:lang w:eastAsia="en-US"/>
        </w:rPr>
        <w:t>Mātes un bērna veselības aprūpes uzlabošana</w:t>
      </w:r>
      <w:bookmarkEnd w:id="24"/>
      <w:r w:rsidRPr="006202E5">
        <w:rPr>
          <w:rFonts w:eastAsia="Calibri"/>
          <w:szCs w:val="24"/>
          <w:lang w:eastAsia="en-US"/>
        </w:rPr>
        <w:t xml:space="preserve"> </w:t>
      </w:r>
    </w:p>
    <w:p w:rsidR="00FC6245" w:rsidRPr="006202E5" w:rsidRDefault="00FC6245" w:rsidP="00FC6245">
      <w:pPr>
        <w:spacing w:after="0" w:line="240" w:lineRule="auto"/>
        <w:ind w:firstLine="720"/>
        <w:jc w:val="both"/>
        <w:rPr>
          <w:rFonts w:ascii="Times New Roman" w:eastAsia="Calibri" w:hAnsi="Times New Roman" w:cs="Times New Roman"/>
          <w:sz w:val="24"/>
          <w:szCs w:val="24"/>
          <w:lang w:eastAsia="en-US"/>
        </w:rPr>
      </w:pPr>
      <w:r w:rsidRPr="006202E5">
        <w:rPr>
          <w:rFonts w:ascii="Times New Roman" w:eastAsia="Calibri" w:hAnsi="Times New Roman" w:cs="Times New Roman"/>
          <w:sz w:val="24"/>
          <w:szCs w:val="24"/>
          <w:lang w:eastAsia="en-US"/>
        </w:rPr>
        <w:t>2012.gads tika pasludināts par Mātes un bērna veselības gadu</w:t>
      </w:r>
      <w:r>
        <w:rPr>
          <w:rFonts w:ascii="Times New Roman" w:eastAsia="Calibri" w:hAnsi="Times New Roman" w:cs="Times New Roman"/>
          <w:sz w:val="24"/>
          <w:szCs w:val="24"/>
          <w:lang w:eastAsia="en-US"/>
        </w:rPr>
        <w:t>, kura laikā īstenoti</w:t>
      </w:r>
      <w:r w:rsidR="00470071">
        <w:rPr>
          <w:rFonts w:ascii="Times New Roman" w:eastAsia="Calibri" w:hAnsi="Times New Roman" w:cs="Times New Roman"/>
          <w:sz w:val="24"/>
          <w:szCs w:val="24"/>
          <w:lang w:eastAsia="en-US"/>
        </w:rPr>
        <w:t xml:space="preserve"> </w:t>
      </w:r>
      <w:r w:rsidRPr="006202E5">
        <w:rPr>
          <w:rFonts w:ascii="Times New Roman" w:eastAsia="Calibri" w:hAnsi="Times New Roman" w:cs="Times New Roman"/>
          <w:sz w:val="24"/>
          <w:szCs w:val="24"/>
          <w:lang w:eastAsia="en-US"/>
        </w:rPr>
        <w:t>konkrēti pasākumi grūtnieču un jaundzimušo aprūpes uzlabošanā, neauglības ārstēšanā un starpnozaru sadarbībā reproduktīvās veselības jomā. Izstrādāts Mātes un bērna veselības uzlabošanas plāns 2012.</w:t>
      </w:r>
      <w:r w:rsidR="00470071">
        <w:rPr>
          <w:rFonts w:ascii="Times New Roman" w:eastAsia="Calibri" w:hAnsi="Times New Roman" w:cs="Times New Roman"/>
          <w:sz w:val="24"/>
          <w:szCs w:val="24"/>
          <w:lang w:eastAsia="en-US"/>
        </w:rPr>
        <w:t>–</w:t>
      </w:r>
      <w:r w:rsidRPr="006202E5">
        <w:rPr>
          <w:rFonts w:ascii="Times New Roman" w:eastAsia="Calibri" w:hAnsi="Times New Roman" w:cs="Times New Roman"/>
          <w:sz w:val="24"/>
          <w:szCs w:val="24"/>
          <w:lang w:eastAsia="en-US"/>
        </w:rPr>
        <w:t xml:space="preserve">2014.gadam un uzsākta tā ieviešana, 2012.gadā papildus paredzot šim mērķim 1,1 miljonu latu, 2013.gadā </w:t>
      </w:r>
      <w:r w:rsidR="00470071">
        <w:rPr>
          <w:rFonts w:ascii="Times New Roman" w:eastAsia="Calibri" w:hAnsi="Times New Roman" w:cs="Times New Roman"/>
          <w:sz w:val="24"/>
          <w:szCs w:val="24"/>
          <w:lang w:eastAsia="en-US"/>
        </w:rPr>
        <w:t xml:space="preserve">– </w:t>
      </w:r>
      <w:r w:rsidRPr="006202E5">
        <w:rPr>
          <w:rFonts w:ascii="Times New Roman" w:eastAsia="Calibri" w:hAnsi="Times New Roman" w:cs="Times New Roman"/>
          <w:sz w:val="24"/>
          <w:szCs w:val="24"/>
          <w:lang w:eastAsia="en-US"/>
        </w:rPr>
        <w:t>2,8 miljonus latu.</w:t>
      </w:r>
    </w:p>
    <w:p w:rsidR="00FC6245" w:rsidRPr="006202E5" w:rsidRDefault="00FC6245" w:rsidP="00FC6245">
      <w:pPr>
        <w:spacing w:after="0" w:line="240" w:lineRule="auto"/>
        <w:ind w:firstLine="720"/>
        <w:jc w:val="both"/>
        <w:rPr>
          <w:rFonts w:ascii="Times New Roman" w:eastAsia="Calibri" w:hAnsi="Times New Roman" w:cs="Times New Roman"/>
          <w:sz w:val="24"/>
          <w:szCs w:val="24"/>
          <w:lang w:eastAsia="en-US"/>
        </w:rPr>
      </w:pPr>
      <w:r w:rsidRPr="006202E5">
        <w:rPr>
          <w:rFonts w:ascii="Times New Roman" w:eastAsia="Calibri" w:hAnsi="Times New Roman" w:cs="Times New Roman"/>
          <w:sz w:val="24"/>
          <w:szCs w:val="24"/>
          <w:lang w:eastAsia="en-US"/>
        </w:rPr>
        <w:t>Plāna ietvaros 2012.gadā uzsākta valsts apmaksāta diagnostika neauglības cēloņu noteikšanai un neauglības ārstēšana, tai skaitā mākslīgā apaugļošana sievietēm līdz 37</w:t>
      </w:r>
      <w:r w:rsidR="00470071">
        <w:rPr>
          <w:rFonts w:ascii="Times New Roman" w:eastAsia="Calibri" w:hAnsi="Times New Roman" w:cs="Times New Roman"/>
          <w:sz w:val="24"/>
          <w:szCs w:val="24"/>
          <w:lang w:eastAsia="en-US"/>
        </w:rPr>
        <w:t> </w:t>
      </w:r>
      <w:r w:rsidRPr="006202E5">
        <w:rPr>
          <w:rFonts w:ascii="Times New Roman" w:eastAsia="Calibri" w:hAnsi="Times New Roman" w:cs="Times New Roman"/>
          <w:sz w:val="24"/>
          <w:szCs w:val="24"/>
          <w:lang w:eastAsia="en-US"/>
        </w:rPr>
        <w:t>gadu vecumam. Lai uzlabotu grūtnieču aprūpi, paaugstināti apmaksas tarifi par vecmātes, ģimenes ārsta vai ginekologa veiktu grūtnieces aprūpi</w:t>
      </w:r>
      <w:r>
        <w:rPr>
          <w:rFonts w:ascii="Times New Roman" w:eastAsia="Calibri" w:hAnsi="Times New Roman" w:cs="Times New Roman"/>
          <w:sz w:val="24"/>
          <w:szCs w:val="24"/>
          <w:lang w:eastAsia="en-US"/>
        </w:rPr>
        <w:t>, kā arī r</w:t>
      </w:r>
      <w:r w:rsidRPr="006202E5">
        <w:rPr>
          <w:rFonts w:ascii="Times New Roman" w:eastAsia="Calibri" w:hAnsi="Times New Roman" w:cs="Times New Roman"/>
          <w:sz w:val="24"/>
          <w:szCs w:val="24"/>
          <w:lang w:eastAsia="en-US"/>
        </w:rPr>
        <w:t xml:space="preserve">adīta iespēja </w:t>
      </w:r>
      <w:r w:rsidR="00470071" w:rsidRPr="006202E5">
        <w:rPr>
          <w:rFonts w:ascii="Times New Roman" w:eastAsia="Calibri" w:hAnsi="Times New Roman" w:cs="Times New Roman"/>
          <w:sz w:val="24"/>
          <w:szCs w:val="24"/>
          <w:lang w:eastAsia="en-US"/>
        </w:rPr>
        <w:t xml:space="preserve">veikt </w:t>
      </w:r>
      <w:r w:rsidRPr="006202E5">
        <w:rPr>
          <w:rFonts w:ascii="Times New Roman" w:eastAsia="Calibri" w:hAnsi="Times New Roman" w:cs="Times New Roman"/>
          <w:sz w:val="24"/>
          <w:szCs w:val="24"/>
          <w:lang w:eastAsia="en-US"/>
        </w:rPr>
        <w:t xml:space="preserve">valsts apmaksātu grūtnieču aprūpi arī tiem ginekologiem un vecmātēm, kuriem iepriekš nebija </w:t>
      </w:r>
      <w:r w:rsidR="00470071">
        <w:rPr>
          <w:rFonts w:ascii="Times New Roman" w:eastAsia="Calibri" w:hAnsi="Times New Roman" w:cs="Times New Roman"/>
          <w:sz w:val="24"/>
          <w:szCs w:val="24"/>
          <w:lang w:eastAsia="en-US"/>
        </w:rPr>
        <w:t xml:space="preserve">noslēgts </w:t>
      </w:r>
      <w:r w:rsidRPr="006202E5">
        <w:rPr>
          <w:rFonts w:ascii="Times New Roman" w:eastAsia="Calibri" w:hAnsi="Times New Roman" w:cs="Times New Roman"/>
          <w:sz w:val="24"/>
          <w:szCs w:val="24"/>
          <w:lang w:eastAsia="en-US"/>
        </w:rPr>
        <w:t>līgum</w:t>
      </w:r>
      <w:r w:rsidR="00470071">
        <w:rPr>
          <w:rFonts w:ascii="Times New Roman" w:eastAsia="Calibri" w:hAnsi="Times New Roman" w:cs="Times New Roman"/>
          <w:sz w:val="24"/>
          <w:szCs w:val="24"/>
          <w:lang w:eastAsia="en-US"/>
        </w:rPr>
        <w:t>s</w:t>
      </w:r>
      <w:r w:rsidRPr="006202E5">
        <w:rPr>
          <w:rFonts w:ascii="Times New Roman" w:eastAsia="Calibri" w:hAnsi="Times New Roman" w:cs="Times New Roman"/>
          <w:sz w:val="24"/>
          <w:szCs w:val="24"/>
          <w:lang w:eastAsia="en-US"/>
        </w:rPr>
        <w:t xml:space="preserve"> ar valsti. </w:t>
      </w:r>
    </w:p>
    <w:p w:rsidR="00FC6245" w:rsidRPr="00FC6245" w:rsidRDefault="00FC6245" w:rsidP="00FC6245">
      <w:pPr>
        <w:spacing w:after="0" w:line="240" w:lineRule="auto"/>
        <w:ind w:firstLine="720"/>
        <w:jc w:val="both"/>
        <w:rPr>
          <w:rFonts w:ascii="Times New Roman" w:eastAsia="Calibri" w:hAnsi="Times New Roman" w:cs="Times New Roman"/>
          <w:sz w:val="24"/>
          <w:szCs w:val="24"/>
          <w:lang w:eastAsia="en-US"/>
        </w:rPr>
      </w:pPr>
      <w:r w:rsidRPr="006202E5">
        <w:rPr>
          <w:rFonts w:ascii="Times New Roman" w:eastAsia="Calibri" w:hAnsi="Times New Roman" w:cs="Times New Roman"/>
          <w:sz w:val="24"/>
          <w:szCs w:val="24"/>
          <w:lang w:eastAsia="en-US"/>
        </w:rPr>
        <w:t xml:space="preserve">Grūtniecēm un sievietēm pēcdzemdību periodā, kā arī bērniem līdz divu gadu vecumam nodrošināta daļēja izdevumu kompensācija par nepieciešamajām recepšu zālēm. Grūtniecēm pieejama arī </w:t>
      </w:r>
      <w:r w:rsidR="00D31410" w:rsidRPr="006202E5">
        <w:rPr>
          <w:rFonts w:ascii="Times New Roman" w:eastAsia="Calibri" w:hAnsi="Times New Roman" w:cs="Times New Roman"/>
          <w:sz w:val="24"/>
          <w:szCs w:val="24"/>
          <w:lang w:eastAsia="en-US"/>
        </w:rPr>
        <w:t xml:space="preserve">izdevumu kompensācija </w:t>
      </w:r>
      <w:r w:rsidRPr="006202E5">
        <w:rPr>
          <w:rFonts w:ascii="Times New Roman" w:eastAsia="Calibri" w:hAnsi="Times New Roman" w:cs="Times New Roman"/>
          <w:sz w:val="24"/>
          <w:szCs w:val="24"/>
          <w:lang w:eastAsia="en-US"/>
        </w:rPr>
        <w:t>50</w:t>
      </w:r>
      <w:r w:rsidR="00111406">
        <w:rPr>
          <w:rFonts w:ascii="Times New Roman" w:eastAsia="Calibri" w:hAnsi="Times New Roman" w:cs="Times New Roman"/>
          <w:sz w:val="24"/>
          <w:szCs w:val="24"/>
          <w:lang w:eastAsia="en-US"/>
        </w:rPr>
        <w:t> %</w:t>
      </w:r>
      <w:r w:rsidR="00D31410">
        <w:rPr>
          <w:rFonts w:ascii="Times New Roman" w:eastAsia="Calibri" w:hAnsi="Times New Roman" w:cs="Times New Roman"/>
          <w:sz w:val="24"/>
          <w:szCs w:val="24"/>
          <w:lang w:eastAsia="en-US"/>
        </w:rPr>
        <w:t xml:space="preserve"> apmērā</w:t>
      </w:r>
      <w:r w:rsidRPr="006202E5">
        <w:rPr>
          <w:rFonts w:ascii="Times New Roman" w:eastAsia="Calibri" w:hAnsi="Times New Roman" w:cs="Times New Roman"/>
          <w:sz w:val="24"/>
          <w:szCs w:val="24"/>
          <w:lang w:eastAsia="en-US"/>
        </w:rPr>
        <w:t xml:space="preserve"> gripas vakcīnas iegāde</w:t>
      </w:r>
      <w:r w:rsidR="00D31410">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w:t>
      </w:r>
    </w:p>
    <w:p w:rsidR="00FC6245" w:rsidRPr="006202E5" w:rsidRDefault="00FC6245" w:rsidP="00FC6245">
      <w:pPr>
        <w:pStyle w:val="Heading3"/>
        <w:rPr>
          <w:szCs w:val="24"/>
        </w:rPr>
      </w:pPr>
      <w:bookmarkStart w:id="25" w:name="_Toc348948332"/>
      <w:r w:rsidRPr="006202E5">
        <w:rPr>
          <w:szCs w:val="24"/>
        </w:rPr>
        <w:t>6.</w:t>
      </w:r>
      <w:r>
        <w:rPr>
          <w:szCs w:val="24"/>
        </w:rPr>
        <w:t>6</w:t>
      </w:r>
      <w:r w:rsidRPr="006202E5">
        <w:rPr>
          <w:szCs w:val="24"/>
        </w:rPr>
        <w:t>. Veselības veicināšana</w:t>
      </w:r>
      <w:bookmarkEnd w:id="25"/>
    </w:p>
    <w:p w:rsidR="004B04B8" w:rsidRDefault="004B04B8" w:rsidP="004B04B8">
      <w:pPr>
        <w:pStyle w:val="NoSpacing"/>
        <w:spacing w:line="240" w:lineRule="auto"/>
        <w:ind w:firstLine="720"/>
        <w:jc w:val="both"/>
        <w:rPr>
          <w:rFonts w:ascii="Times New Roman" w:eastAsiaTheme="minorHAnsi" w:hAnsi="Times New Roman"/>
          <w:sz w:val="24"/>
          <w:szCs w:val="24"/>
        </w:rPr>
      </w:pPr>
      <w:r>
        <w:rPr>
          <w:rFonts w:ascii="Times New Roman" w:hAnsi="Times New Roman"/>
          <w:sz w:val="24"/>
          <w:szCs w:val="24"/>
        </w:rPr>
        <w:t>Skolās un profesionālās izglītības iestādēs organizēti izglītojoši pasākumi par veselīgu dzīvesveidu, uzturu, kaitīg</w:t>
      </w:r>
      <w:r w:rsidR="00413776">
        <w:rPr>
          <w:rFonts w:ascii="Times New Roman" w:hAnsi="Times New Roman"/>
          <w:sz w:val="24"/>
          <w:szCs w:val="24"/>
        </w:rPr>
        <w:t>o</w:t>
      </w:r>
      <w:r>
        <w:rPr>
          <w:rFonts w:ascii="Times New Roman" w:hAnsi="Times New Roman"/>
          <w:sz w:val="24"/>
          <w:szCs w:val="24"/>
        </w:rPr>
        <w:t xml:space="preserve"> vielu ietekmi, seksuālo un reproduktīvo veselību u.c. tēmām. </w:t>
      </w:r>
    </w:p>
    <w:p w:rsidR="004B04B8" w:rsidRDefault="00413776" w:rsidP="004B04B8">
      <w:pPr>
        <w:pStyle w:val="NoSpacing"/>
        <w:spacing w:line="240" w:lineRule="auto"/>
        <w:ind w:firstLine="720"/>
        <w:jc w:val="both"/>
        <w:rPr>
          <w:rFonts w:ascii="Times New Roman" w:eastAsia="Times New Roman" w:hAnsi="Times New Roman"/>
          <w:sz w:val="24"/>
          <w:szCs w:val="24"/>
        </w:rPr>
      </w:pPr>
      <w:r>
        <w:rPr>
          <w:rFonts w:ascii="Times New Roman" w:hAnsi="Times New Roman"/>
          <w:sz w:val="24"/>
          <w:szCs w:val="24"/>
        </w:rPr>
        <w:lastRenderedPageBreak/>
        <w:t>I</w:t>
      </w:r>
      <w:r w:rsidR="004B04B8">
        <w:rPr>
          <w:rFonts w:ascii="Times New Roman" w:hAnsi="Times New Roman"/>
          <w:sz w:val="24"/>
          <w:szCs w:val="24"/>
        </w:rPr>
        <w:t xml:space="preserve">zstrādāts informatīvais ziņojums par veselības mācības priekšmeta iekļaušanu vispārējās un profesionālās izglītības programmās; tas patlaban tiek saskaņots ar citām nozaru ministrijām. </w:t>
      </w:r>
    </w:p>
    <w:p w:rsidR="004B04B8" w:rsidRDefault="004B04B8" w:rsidP="004B04B8">
      <w:pPr>
        <w:pStyle w:val="NoSpacing"/>
        <w:spacing w:line="240" w:lineRule="auto"/>
        <w:ind w:firstLine="720"/>
        <w:jc w:val="both"/>
        <w:rPr>
          <w:rFonts w:ascii="Times New Roman" w:hAnsi="Times New Roman"/>
          <w:sz w:val="24"/>
          <w:szCs w:val="24"/>
        </w:rPr>
      </w:pPr>
      <w:r>
        <w:rPr>
          <w:rFonts w:ascii="Times New Roman" w:hAnsi="Times New Roman"/>
          <w:sz w:val="24"/>
          <w:szCs w:val="24"/>
        </w:rPr>
        <w:t>2012.gadā izstrādāts un MK apstiprināts Alkoholisko dzērienu patēriņa mazināšanas un alkoholisma ierobežošanas rīcības plāns 2012.–2014.gadam, k</w:t>
      </w:r>
      <w:r w:rsidR="00413776">
        <w:rPr>
          <w:rFonts w:ascii="Times New Roman" w:hAnsi="Times New Roman"/>
          <w:sz w:val="24"/>
          <w:szCs w:val="24"/>
        </w:rPr>
        <w:t>as</w:t>
      </w:r>
      <w:r>
        <w:rPr>
          <w:rFonts w:ascii="Times New Roman" w:hAnsi="Times New Roman"/>
          <w:sz w:val="24"/>
          <w:szCs w:val="24"/>
        </w:rPr>
        <w:t xml:space="preserve"> primāri vērsts uz alkohola patēriņa mazināšanu, īpaši jauniešu vidū, nelikumīgas alkoholisko dzērienu aprites apkarošanu, alkoholisko dzērienu reklāmas un pieejamības ierobežošanu, kā arī alkohola profilaksi un alkohola atkarības slimnieku ārstēšanu.</w:t>
      </w:r>
    </w:p>
    <w:p w:rsidR="004B04B8" w:rsidRDefault="004B04B8" w:rsidP="004B04B8">
      <w:pPr>
        <w:pStyle w:val="NoSpacing"/>
        <w:spacing w:line="240" w:lineRule="auto"/>
        <w:ind w:firstLine="720"/>
        <w:jc w:val="both"/>
        <w:rPr>
          <w:rFonts w:ascii="Times New Roman" w:hAnsi="Times New Roman"/>
          <w:sz w:val="24"/>
          <w:szCs w:val="24"/>
        </w:rPr>
      </w:pPr>
      <w:r>
        <w:rPr>
          <w:rFonts w:ascii="Times New Roman" w:hAnsi="Times New Roman"/>
          <w:sz w:val="24"/>
          <w:szCs w:val="24"/>
        </w:rPr>
        <w:t>Savukārt sabiedrības informēšanas nolūkā īstenoti pasākumi nepamatotu neatliekamās palīdzības izsaukumu samazināšanai, valsts apmaksātā vēža skrīninga popularizēšanai, bērnu traumatisma un zīdaiņu pēkšņās nāves sindroma mazināšanai u.c. pasākumi, kā rezultātā NMPD sekundāro izsaukumu skaits samazinājies par 6,7</w:t>
      </w:r>
      <w:r w:rsidR="00111406">
        <w:rPr>
          <w:rFonts w:ascii="Times New Roman" w:hAnsi="Times New Roman"/>
          <w:sz w:val="24"/>
          <w:szCs w:val="24"/>
        </w:rPr>
        <w:t> %</w:t>
      </w:r>
      <w:r>
        <w:rPr>
          <w:rFonts w:ascii="Times New Roman" w:hAnsi="Times New Roman"/>
          <w:sz w:val="24"/>
          <w:szCs w:val="24"/>
        </w:rPr>
        <w:t>.</w:t>
      </w:r>
    </w:p>
    <w:p w:rsidR="00FC6245" w:rsidRPr="006202E5" w:rsidRDefault="00FC6245" w:rsidP="00FC6245">
      <w:pPr>
        <w:pStyle w:val="Heading3"/>
        <w:rPr>
          <w:szCs w:val="24"/>
        </w:rPr>
      </w:pPr>
      <w:bookmarkStart w:id="26" w:name="_Toc348948333"/>
      <w:r>
        <w:rPr>
          <w:szCs w:val="24"/>
        </w:rPr>
        <w:t>6.7</w:t>
      </w:r>
      <w:r w:rsidRPr="006202E5">
        <w:rPr>
          <w:szCs w:val="24"/>
        </w:rPr>
        <w:t>. Partnerības līgumi</w:t>
      </w:r>
      <w:bookmarkEnd w:id="26"/>
    </w:p>
    <w:p w:rsidR="00FC6245" w:rsidRPr="006202E5" w:rsidRDefault="00FC6245" w:rsidP="00FC6245">
      <w:pPr>
        <w:pStyle w:val="NoSpacing"/>
        <w:ind w:firstLine="567"/>
        <w:jc w:val="both"/>
        <w:rPr>
          <w:rFonts w:ascii="Times New Roman" w:hAnsi="Times New Roman"/>
          <w:sz w:val="24"/>
          <w:szCs w:val="24"/>
        </w:rPr>
      </w:pPr>
      <w:r w:rsidRPr="006202E5">
        <w:rPr>
          <w:rFonts w:ascii="Times New Roman" w:hAnsi="Times New Roman"/>
          <w:sz w:val="24"/>
          <w:szCs w:val="24"/>
        </w:rPr>
        <w:t xml:space="preserve">2012.gadā parakstīts Latvijas, Igaunijas un Lietuvas partnerības līgums par vienotiem zāļu un medicīnas ierīču iepirkumiem. Veicot kopīgus zāļu iepirkumus, palielinātos iepirkumu apjoms, kas vienlaikus radītu lielāku konkurenci potenciālo piegādātāju vidū un gala rezultātā būtu iespējams iepirkumu veikt par zemāku cenu. Interesi par sadarbības iespējām ir izrādījušas arī Dānija un Norvēģija. </w:t>
      </w:r>
    </w:p>
    <w:p w:rsidR="00FD601E" w:rsidRDefault="00FD601E" w:rsidP="00FD601E">
      <w:pPr>
        <w:pStyle w:val="Heading2"/>
        <w:spacing w:before="0" w:line="240" w:lineRule="auto"/>
      </w:pPr>
    </w:p>
    <w:p w:rsidR="00EE6B47" w:rsidRDefault="00EE6B47" w:rsidP="00FD601E">
      <w:pPr>
        <w:pStyle w:val="Heading2"/>
        <w:spacing w:before="0" w:line="240" w:lineRule="auto"/>
      </w:pPr>
      <w:bookmarkStart w:id="27" w:name="_Toc348948334"/>
      <w:r w:rsidRPr="00FD601E">
        <w:t>7. Sporta politikas īstenošana</w:t>
      </w:r>
      <w:bookmarkEnd w:id="27"/>
    </w:p>
    <w:p w:rsidR="00FD601E" w:rsidRDefault="00FD601E" w:rsidP="00EE6B47">
      <w:pPr>
        <w:spacing w:after="0" w:line="240" w:lineRule="auto"/>
        <w:ind w:firstLine="720"/>
        <w:jc w:val="both"/>
      </w:pP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Pieņemti noteikumi par kārtību, kādā piešķiramas naudas balvas par izciliem sasniegumiem sportā, un naudas balvas apmēru, kas vienādo naudas balvas olimpiešiem un para</w:t>
      </w:r>
      <w:r w:rsidR="003C407D">
        <w:rPr>
          <w:rFonts w:ascii="Times New Roman" w:hAnsi="Times New Roman" w:cs="Times New Roman"/>
          <w:sz w:val="24"/>
          <w:szCs w:val="24"/>
        </w:rPr>
        <w:t>o</w:t>
      </w:r>
      <w:r w:rsidRPr="00FC6245">
        <w:rPr>
          <w:rFonts w:ascii="Times New Roman" w:hAnsi="Times New Roman" w:cs="Times New Roman"/>
          <w:sz w:val="24"/>
          <w:szCs w:val="24"/>
        </w:rPr>
        <w:t xml:space="preserve">limpiešiem par izciliem sasniegumiem sportā.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Lai noteiktu skaidrus valsts sporta budžeta un valsts kapitālsabiedrību ziedojumu sadales kritērijus Latvijā atzīto komandu sporta spēļu sporta federācijām, </w:t>
      </w:r>
      <w:r w:rsidR="00FA08D7">
        <w:rPr>
          <w:rFonts w:ascii="Times New Roman" w:hAnsi="Times New Roman" w:cs="Times New Roman"/>
          <w:sz w:val="24"/>
          <w:szCs w:val="24"/>
        </w:rPr>
        <w:t>ir apstiprināti kritēriji</w:t>
      </w:r>
      <w:r w:rsidRPr="00FC6245">
        <w:rPr>
          <w:rFonts w:ascii="Times New Roman" w:hAnsi="Times New Roman" w:cs="Times New Roman"/>
          <w:sz w:val="24"/>
          <w:szCs w:val="24"/>
        </w:rPr>
        <w:t xml:space="preserve"> komandu sporta spēļu sporta federācijām paredzētā valsts finansējuma sadalei, lai nodrošinātu </w:t>
      </w:r>
      <w:r w:rsidR="003C407D">
        <w:rPr>
          <w:rFonts w:ascii="Times New Roman" w:hAnsi="Times New Roman" w:cs="Times New Roman"/>
          <w:sz w:val="24"/>
          <w:szCs w:val="24"/>
        </w:rPr>
        <w:t xml:space="preserve">šo </w:t>
      </w:r>
      <w:r w:rsidRPr="00FC6245">
        <w:rPr>
          <w:rFonts w:ascii="Times New Roman" w:hAnsi="Times New Roman" w:cs="Times New Roman"/>
          <w:sz w:val="24"/>
          <w:szCs w:val="24"/>
        </w:rPr>
        <w:t xml:space="preserve">valsts izlases komandu sagatavošanos un piedalīšanos Eiropas un pasaules čempionātu un olimpisko spēļu atlases turnīros un finālsacensībās.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IZM sadarbībā ar biedrību </w:t>
      </w:r>
      <w:r w:rsidR="00B167ED">
        <w:rPr>
          <w:rFonts w:ascii="Times New Roman" w:hAnsi="Times New Roman" w:cs="Times New Roman"/>
          <w:sz w:val="24"/>
          <w:szCs w:val="24"/>
        </w:rPr>
        <w:t>"</w:t>
      </w:r>
      <w:r w:rsidRPr="00FC6245">
        <w:rPr>
          <w:rFonts w:ascii="Times New Roman" w:hAnsi="Times New Roman" w:cs="Times New Roman"/>
          <w:sz w:val="24"/>
          <w:szCs w:val="24"/>
        </w:rPr>
        <w:t>Latvijas Sporta federāciju padome</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ir izstrādājusi jaunu pieeju un kritērijus sporta federācijās nodarbināto sporta speciālistu darba samaksai 2013.gadā.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Izstrādāta Murjāņu sporta ģimnāzijas attīstības koncepcija, kurā noteikti neatliekami veicamie darbi un tam nepieciešamais finansējums</w:t>
      </w:r>
      <w:r w:rsidR="00A57B39">
        <w:rPr>
          <w:rFonts w:ascii="Times New Roman" w:hAnsi="Times New Roman" w:cs="Times New Roman"/>
          <w:sz w:val="24"/>
          <w:szCs w:val="24"/>
        </w:rPr>
        <w:t>,</w:t>
      </w:r>
      <w:r w:rsidRPr="00FC6245">
        <w:rPr>
          <w:rFonts w:ascii="Times New Roman" w:hAnsi="Times New Roman" w:cs="Times New Roman"/>
          <w:sz w:val="24"/>
          <w:szCs w:val="24"/>
        </w:rPr>
        <w:t xml:space="preserve"> un priekšlikumi par Murjāņu sporta ģimnāzijas turpmākās attīstības iespējām, paredzot atbalstīt pirmo Murjāņu sporta ģimnāzijas attīstības modeli (t.i., rekonstrukciju), saskaņā ar kuru uzsākta Murjāņu sporta ģimnāzijas rekonstrukcijas un renovācijas projekta īstenošana, 2013.–2015.gadā </w:t>
      </w:r>
      <w:r w:rsidR="00C65317" w:rsidRPr="00FC6245">
        <w:rPr>
          <w:rFonts w:ascii="Times New Roman" w:hAnsi="Times New Roman" w:cs="Times New Roman"/>
          <w:sz w:val="24"/>
          <w:szCs w:val="24"/>
        </w:rPr>
        <w:t xml:space="preserve">šim mērķim </w:t>
      </w:r>
      <w:r w:rsidRPr="00FC6245">
        <w:rPr>
          <w:rFonts w:ascii="Times New Roman" w:hAnsi="Times New Roman" w:cs="Times New Roman"/>
          <w:sz w:val="24"/>
          <w:szCs w:val="24"/>
        </w:rPr>
        <w:t>paredzot 6,6 milj</w:t>
      </w:r>
      <w:r w:rsidR="003C407D">
        <w:rPr>
          <w:rFonts w:ascii="Times New Roman" w:hAnsi="Times New Roman" w:cs="Times New Roman"/>
          <w:sz w:val="24"/>
          <w:szCs w:val="24"/>
        </w:rPr>
        <w:t>onus</w:t>
      </w:r>
      <w:r w:rsidRPr="00FC6245">
        <w:rPr>
          <w:rFonts w:ascii="Times New Roman" w:hAnsi="Times New Roman" w:cs="Times New Roman"/>
          <w:sz w:val="24"/>
          <w:szCs w:val="24"/>
        </w:rPr>
        <w:t xml:space="preserve"> latu.</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Atbalstīta bobsleja un kamaniņu trases </w:t>
      </w:r>
      <w:r w:rsidR="00B167ED">
        <w:rPr>
          <w:rFonts w:ascii="Times New Roman" w:hAnsi="Times New Roman" w:cs="Times New Roman"/>
          <w:sz w:val="24"/>
          <w:szCs w:val="24"/>
        </w:rPr>
        <w:t>"</w:t>
      </w:r>
      <w:r w:rsidRPr="00FC6245">
        <w:rPr>
          <w:rFonts w:ascii="Times New Roman" w:hAnsi="Times New Roman" w:cs="Times New Roman"/>
          <w:sz w:val="24"/>
          <w:szCs w:val="24"/>
        </w:rPr>
        <w:t>Sigulda</w:t>
      </w:r>
      <w:r w:rsidR="00B167ED">
        <w:rPr>
          <w:rFonts w:ascii="Times New Roman" w:hAnsi="Times New Roman" w:cs="Times New Roman"/>
          <w:sz w:val="24"/>
          <w:szCs w:val="24"/>
        </w:rPr>
        <w:t>"</w:t>
      </w:r>
      <w:r w:rsidRPr="00FC6245">
        <w:rPr>
          <w:rFonts w:ascii="Times New Roman" w:hAnsi="Times New Roman" w:cs="Times New Roman"/>
          <w:sz w:val="24"/>
          <w:szCs w:val="24"/>
        </w:rPr>
        <w:t xml:space="preserve"> rekonstrukcijas projekta īstenošana, 2013.</w:t>
      </w:r>
      <w:r w:rsidR="003C407D">
        <w:rPr>
          <w:rFonts w:ascii="Times New Roman" w:hAnsi="Times New Roman" w:cs="Times New Roman"/>
          <w:sz w:val="24"/>
          <w:szCs w:val="24"/>
        </w:rPr>
        <w:t>–</w:t>
      </w:r>
      <w:r w:rsidRPr="00FC6245">
        <w:rPr>
          <w:rFonts w:ascii="Times New Roman" w:hAnsi="Times New Roman" w:cs="Times New Roman"/>
          <w:sz w:val="24"/>
          <w:szCs w:val="24"/>
        </w:rPr>
        <w:t>2014.gadā šim mērķim paredzot 1,3 milj</w:t>
      </w:r>
      <w:r w:rsidR="00C65317">
        <w:rPr>
          <w:rFonts w:ascii="Times New Roman" w:hAnsi="Times New Roman" w:cs="Times New Roman"/>
          <w:sz w:val="24"/>
          <w:szCs w:val="24"/>
        </w:rPr>
        <w:t>onus</w:t>
      </w:r>
      <w:r w:rsidRPr="00FC6245">
        <w:rPr>
          <w:rFonts w:ascii="Times New Roman" w:hAnsi="Times New Roman" w:cs="Times New Roman"/>
          <w:sz w:val="24"/>
          <w:szCs w:val="24"/>
        </w:rPr>
        <w:t xml:space="preserve"> latu.</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2012.gadā ir uzsākta Latvijas sporta infrastruktūras nodrošinājuma analīze un sporta bāzu reģistra aktualizēšana. </w:t>
      </w:r>
    </w:p>
    <w:p w:rsidR="00FC6245" w:rsidRPr="00FC624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 xml:space="preserve">Veikti pētījumi par iedzīvotāju sportošanas paradumiem dažādās vecuma grupās un par studentu un jauniešu sportošanas paradumiem, </w:t>
      </w:r>
      <w:r w:rsidR="00E92E4A">
        <w:rPr>
          <w:rFonts w:ascii="Times New Roman" w:hAnsi="Times New Roman" w:cs="Times New Roman"/>
          <w:sz w:val="24"/>
          <w:szCs w:val="24"/>
        </w:rPr>
        <w:t>lai sekmētu</w:t>
      </w:r>
      <w:r w:rsidRPr="00FC6245">
        <w:rPr>
          <w:rFonts w:ascii="Times New Roman" w:hAnsi="Times New Roman" w:cs="Times New Roman"/>
          <w:sz w:val="24"/>
          <w:szCs w:val="24"/>
        </w:rPr>
        <w:t xml:space="preserve"> kvalitatīvāka</w:t>
      </w:r>
      <w:r w:rsidR="00E92E4A">
        <w:rPr>
          <w:rFonts w:ascii="Times New Roman" w:hAnsi="Times New Roman" w:cs="Times New Roman"/>
          <w:sz w:val="24"/>
          <w:szCs w:val="24"/>
        </w:rPr>
        <w:t>s</w:t>
      </w:r>
      <w:r w:rsidRPr="00FC6245">
        <w:rPr>
          <w:rFonts w:ascii="Times New Roman" w:hAnsi="Times New Roman" w:cs="Times New Roman"/>
          <w:sz w:val="24"/>
          <w:szCs w:val="24"/>
        </w:rPr>
        <w:t xml:space="preserve"> un uz konkrētiem faktiem balstīta</w:t>
      </w:r>
      <w:r w:rsidR="00E92E4A">
        <w:rPr>
          <w:rFonts w:ascii="Times New Roman" w:hAnsi="Times New Roman" w:cs="Times New Roman"/>
          <w:sz w:val="24"/>
          <w:szCs w:val="24"/>
        </w:rPr>
        <w:t>s</w:t>
      </w:r>
      <w:r w:rsidRPr="00FC6245">
        <w:rPr>
          <w:rFonts w:ascii="Times New Roman" w:hAnsi="Times New Roman" w:cs="Times New Roman"/>
          <w:sz w:val="24"/>
          <w:szCs w:val="24"/>
        </w:rPr>
        <w:t xml:space="preserve"> sporta politikas izstrādi</w:t>
      </w:r>
      <w:r w:rsidR="00E92E4A">
        <w:rPr>
          <w:rFonts w:ascii="Times New Roman" w:hAnsi="Times New Roman" w:cs="Times New Roman"/>
          <w:sz w:val="24"/>
          <w:szCs w:val="24"/>
        </w:rPr>
        <w:t xml:space="preserve"> un</w:t>
      </w:r>
      <w:r w:rsidRPr="00FC6245">
        <w:rPr>
          <w:rFonts w:ascii="Times New Roman" w:hAnsi="Times New Roman" w:cs="Times New Roman"/>
          <w:sz w:val="24"/>
          <w:szCs w:val="24"/>
        </w:rPr>
        <w:t xml:space="preserve"> pētījumā iegūtos rezultātus un </w:t>
      </w:r>
      <w:r w:rsidRPr="00FC6245">
        <w:rPr>
          <w:rFonts w:ascii="Times New Roman" w:hAnsi="Times New Roman" w:cs="Times New Roman"/>
          <w:sz w:val="24"/>
          <w:szCs w:val="24"/>
        </w:rPr>
        <w:lastRenderedPageBreak/>
        <w:t>izdarītos secinājumus varētu integrēt Sporta politikas pamatnostādņu 2013.–2020.gadam projektā.</w:t>
      </w:r>
    </w:p>
    <w:p w:rsidR="00FC6245" w:rsidRPr="006202E5" w:rsidRDefault="00FC6245" w:rsidP="00FC6245">
      <w:pPr>
        <w:spacing w:after="0" w:line="240" w:lineRule="auto"/>
        <w:ind w:firstLine="720"/>
        <w:jc w:val="both"/>
        <w:rPr>
          <w:rFonts w:ascii="Times New Roman" w:hAnsi="Times New Roman" w:cs="Times New Roman"/>
          <w:sz w:val="24"/>
          <w:szCs w:val="24"/>
        </w:rPr>
      </w:pPr>
      <w:r w:rsidRPr="00FC6245">
        <w:rPr>
          <w:rFonts w:ascii="Times New Roman" w:hAnsi="Times New Roman" w:cs="Times New Roman"/>
          <w:sz w:val="24"/>
          <w:szCs w:val="24"/>
        </w:rPr>
        <w:t>Tiks izstrādāti priekšlikumi Daugavas stadiona turpmākai attīstībai, kā arī nodrošināta Murjāņu sporta ģimnāzijas rekonstrukcijas un renovācijas projekta īstenošanas uzraudzība.</w:t>
      </w:r>
    </w:p>
    <w:p w:rsidR="0091124F" w:rsidRDefault="0091124F" w:rsidP="0091124F">
      <w:pPr>
        <w:pStyle w:val="Heading2"/>
        <w:spacing w:before="0" w:line="240" w:lineRule="auto"/>
      </w:pPr>
    </w:p>
    <w:p w:rsidR="00EE6B47" w:rsidRPr="0091124F" w:rsidRDefault="00EE6B47" w:rsidP="0091124F">
      <w:pPr>
        <w:pStyle w:val="Heading2"/>
        <w:spacing w:before="0" w:line="240" w:lineRule="auto"/>
      </w:pPr>
      <w:bookmarkStart w:id="28" w:name="_Toc348948335"/>
      <w:r w:rsidRPr="0091124F">
        <w:t>8. Jaunatnes politikas īstenošana</w:t>
      </w:r>
      <w:bookmarkEnd w:id="28"/>
    </w:p>
    <w:p w:rsidR="0091124F" w:rsidRDefault="0091124F" w:rsidP="00EE6B47">
      <w:pPr>
        <w:pStyle w:val="NormalWeb"/>
        <w:spacing w:before="0" w:beforeAutospacing="0" w:after="0" w:afterAutospacing="0"/>
        <w:ind w:firstLine="720"/>
        <w:jc w:val="both"/>
        <w:rPr>
          <w:rFonts w:eastAsia="Calibri"/>
          <w:lang w:eastAsia="en-US"/>
        </w:rPr>
      </w:pPr>
    </w:p>
    <w:p w:rsidR="00EE6B47" w:rsidRPr="006202E5" w:rsidRDefault="00EE6B47" w:rsidP="00EE6B47">
      <w:pPr>
        <w:pStyle w:val="NormalWeb"/>
        <w:spacing w:before="0" w:beforeAutospacing="0" w:after="0" w:afterAutospacing="0"/>
        <w:ind w:firstLine="720"/>
        <w:jc w:val="both"/>
        <w:rPr>
          <w:rFonts w:eastAsia="Calibri"/>
          <w:lang w:eastAsia="en-US"/>
        </w:rPr>
      </w:pPr>
      <w:r w:rsidRPr="006202E5">
        <w:rPr>
          <w:rFonts w:eastAsia="Calibri"/>
          <w:lang w:eastAsia="en-US"/>
        </w:rPr>
        <w:t xml:space="preserve">Lai nodrošinātu </w:t>
      </w:r>
      <w:r w:rsidR="00F25962" w:rsidRPr="006202E5">
        <w:rPr>
          <w:rFonts w:eastAsia="Calibri"/>
          <w:lang w:eastAsia="en-US"/>
        </w:rPr>
        <w:t xml:space="preserve">kvalitāti </w:t>
      </w:r>
      <w:r w:rsidRPr="006202E5">
        <w:rPr>
          <w:rFonts w:eastAsia="Calibri"/>
          <w:lang w:eastAsia="en-US"/>
        </w:rPr>
        <w:t>darb</w:t>
      </w:r>
      <w:r w:rsidR="00F25962">
        <w:rPr>
          <w:rFonts w:eastAsia="Calibri"/>
          <w:lang w:eastAsia="en-US"/>
        </w:rPr>
        <w:t>ā</w:t>
      </w:r>
      <w:r w:rsidRPr="006202E5">
        <w:rPr>
          <w:rFonts w:eastAsia="Calibri"/>
          <w:lang w:eastAsia="en-US"/>
        </w:rPr>
        <w:t xml:space="preserve"> ar jaunatni, 2012.gadā IZM organizēja apmācības pašvaldību jaunatnes lietu speciālistiem un pieredzes apmaiņas seminārus jauniešu centru vadītājiem un darbiniekiem. </w:t>
      </w:r>
    </w:p>
    <w:p w:rsidR="00EE6B47" w:rsidRPr="006202E5" w:rsidRDefault="00EE6B47" w:rsidP="00EE6B47">
      <w:pPr>
        <w:pStyle w:val="NormalWeb"/>
        <w:spacing w:before="0" w:beforeAutospacing="0" w:after="0" w:afterAutospacing="0"/>
        <w:ind w:firstLine="720"/>
        <w:jc w:val="both"/>
        <w:rPr>
          <w:rFonts w:eastAsia="Calibri"/>
          <w:lang w:eastAsia="en-US"/>
        </w:rPr>
      </w:pPr>
      <w:r w:rsidRPr="006202E5">
        <w:rPr>
          <w:rFonts w:eastAsia="Calibri"/>
          <w:lang w:eastAsia="en-US"/>
        </w:rPr>
        <w:t>Sniegts finansiālais atbalsts 21 jauniešu centram materiāltehniskās bāzes un darbības nodrošināšanai, kā arī informācijas punktu izveidei. Vienlaikus sniegts finansiālais atbalsts 10 pašvaldībām resursu punktu izveidei, lai jauniešiem būtu pieejams aktīvās atpūtas inventārs.</w:t>
      </w:r>
    </w:p>
    <w:p w:rsidR="00EE6B47" w:rsidRPr="006202E5" w:rsidRDefault="00EE6B47" w:rsidP="00EE6B47">
      <w:pPr>
        <w:pStyle w:val="NoSpacing"/>
        <w:tabs>
          <w:tab w:val="left" w:pos="426"/>
        </w:tabs>
        <w:jc w:val="both"/>
        <w:rPr>
          <w:rFonts w:ascii="Times New Roman" w:hAnsi="Times New Roman"/>
          <w:sz w:val="24"/>
          <w:szCs w:val="24"/>
        </w:rPr>
      </w:pPr>
      <w:r w:rsidRPr="006202E5">
        <w:rPr>
          <w:rFonts w:ascii="Times New Roman" w:hAnsi="Times New Roman"/>
          <w:sz w:val="24"/>
          <w:szCs w:val="24"/>
        </w:rPr>
        <w:tab/>
      </w:r>
      <w:r w:rsidRPr="006202E5">
        <w:rPr>
          <w:rFonts w:ascii="Times New Roman" w:hAnsi="Times New Roman"/>
          <w:sz w:val="24"/>
          <w:szCs w:val="24"/>
        </w:rPr>
        <w:tab/>
        <w:t xml:space="preserve">Izveidota darba grupa </w:t>
      </w:r>
      <w:r w:rsidR="00B167ED">
        <w:rPr>
          <w:rFonts w:ascii="Times New Roman" w:hAnsi="Times New Roman"/>
          <w:sz w:val="24"/>
          <w:szCs w:val="24"/>
        </w:rPr>
        <w:t>"</w:t>
      </w:r>
      <w:r w:rsidRPr="006202E5">
        <w:rPr>
          <w:rFonts w:ascii="Times New Roman" w:hAnsi="Times New Roman"/>
          <w:sz w:val="24"/>
          <w:szCs w:val="24"/>
        </w:rPr>
        <w:t>Jaunatnes organizāciju kapacitātes stiprināšanas un attīstības veicināšana</w:t>
      </w:r>
      <w:r w:rsidR="00B167ED">
        <w:rPr>
          <w:rFonts w:ascii="Times New Roman" w:hAnsi="Times New Roman"/>
          <w:sz w:val="24"/>
          <w:szCs w:val="24"/>
        </w:rPr>
        <w:t>"</w:t>
      </w:r>
      <w:r w:rsidR="0087152E">
        <w:rPr>
          <w:rFonts w:ascii="Times New Roman" w:hAnsi="Times New Roman"/>
          <w:sz w:val="24"/>
          <w:szCs w:val="24"/>
        </w:rPr>
        <w:t>,</w:t>
      </w:r>
      <w:r w:rsidRPr="006202E5">
        <w:rPr>
          <w:rFonts w:ascii="Times New Roman" w:hAnsi="Times New Roman"/>
          <w:sz w:val="24"/>
          <w:szCs w:val="24"/>
        </w:rPr>
        <w:t xml:space="preserve"> </w:t>
      </w:r>
      <w:r w:rsidR="0087152E">
        <w:rPr>
          <w:rFonts w:ascii="Times New Roman" w:hAnsi="Times New Roman"/>
          <w:sz w:val="24"/>
          <w:szCs w:val="24"/>
        </w:rPr>
        <w:t>lai</w:t>
      </w:r>
      <w:r w:rsidRPr="006202E5">
        <w:rPr>
          <w:rFonts w:ascii="Times New Roman" w:hAnsi="Times New Roman"/>
          <w:sz w:val="24"/>
          <w:szCs w:val="24"/>
        </w:rPr>
        <w:t xml:space="preserve"> izstrādāt</w:t>
      </w:r>
      <w:r w:rsidR="0087152E">
        <w:rPr>
          <w:rFonts w:ascii="Times New Roman" w:hAnsi="Times New Roman"/>
          <w:sz w:val="24"/>
          <w:szCs w:val="24"/>
        </w:rPr>
        <w:t>u</w:t>
      </w:r>
      <w:r w:rsidRPr="006202E5">
        <w:rPr>
          <w:rFonts w:ascii="Times New Roman" w:hAnsi="Times New Roman"/>
          <w:sz w:val="24"/>
          <w:szCs w:val="24"/>
        </w:rPr>
        <w:t xml:space="preserve"> rekomendācijas jaunatnes organizāciju darbības uzlabošanai un efektivizēšanai Latvijā. </w:t>
      </w:r>
    </w:p>
    <w:p w:rsidR="00EE6B47" w:rsidRPr="006202E5" w:rsidRDefault="00EE6B47" w:rsidP="00423220">
      <w:pPr>
        <w:pStyle w:val="NoSpacing"/>
        <w:tabs>
          <w:tab w:val="left" w:pos="426"/>
        </w:tabs>
        <w:jc w:val="both"/>
        <w:rPr>
          <w:rFonts w:ascii="Times New Roman" w:hAnsi="Times New Roman"/>
          <w:sz w:val="24"/>
          <w:szCs w:val="24"/>
        </w:rPr>
      </w:pPr>
      <w:r w:rsidRPr="006202E5">
        <w:rPr>
          <w:rFonts w:ascii="Times New Roman" w:hAnsi="Times New Roman"/>
          <w:sz w:val="24"/>
          <w:szCs w:val="24"/>
        </w:rPr>
        <w:tab/>
        <w:t xml:space="preserve">Lai pilnveidotu jaunatnes politiku Latvijā, kā arī nodrošinot Latvijas pārstāvniecību starptautiskajā jaunatnes politikā, noslēgts sadarbības protokols ar Beļģiju (Flandriju) jaunatnes politikas nozarē 2012.–2014.gadam, </w:t>
      </w:r>
      <w:r w:rsidR="0087152E">
        <w:rPr>
          <w:rFonts w:ascii="Times New Roman" w:hAnsi="Times New Roman"/>
          <w:sz w:val="24"/>
          <w:szCs w:val="24"/>
        </w:rPr>
        <w:t>kā arī</w:t>
      </w:r>
      <w:r w:rsidRPr="006202E5">
        <w:rPr>
          <w:rFonts w:ascii="Times New Roman" w:hAnsi="Times New Roman"/>
          <w:sz w:val="24"/>
          <w:szCs w:val="24"/>
        </w:rPr>
        <w:t xml:space="preserve"> paredz</w:t>
      </w:r>
      <w:r w:rsidR="0087152E">
        <w:rPr>
          <w:rFonts w:ascii="Times New Roman" w:hAnsi="Times New Roman"/>
          <w:sz w:val="24"/>
          <w:szCs w:val="24"/>
        </w:rPr>
        <w:t>ē</w:t>
      </w:r>
      <w:r w:rsidRPr="006202E5">
        <w:rPr>
          <w:rFonts w:ascii="Times New Roman" w:hAnsi="Times New Roman"/>
          <w:sz w:val="24"/>
          <w:szCs w:val="24"/>
        </w:rPr>
        <w:t>t</w:t>
      </w:r>
      <w:r w:rsidR="0087152E">
        <w:rPr>
          <w:rFonts w:ascii="Times New Roman" w:hAnsi="Times New Roman"/>
          <w:sz w:val="24"/>
          <w:szCs w:val="24"/>
        </w:rPr>
        <w:t>a</w:t>
      </w:r>
      <w:r w:rsidRPr="006202E5">
        <w:rPr>
          <w:rFonts w:ascii="Times New Roman" w:hAnsi="Times New Roman"/>
          <w:sz w:val="24"/>
          <w:szCs w:val="24"/>
        </w:rPr>
        <w:t xml:space="preserve"> daudzpusēju aktivitāšu īstenošan</w:t>
      </w:r>
      <w:r w:rsidR="0087152E">
        <w:rPr>
          <w:rFonts w:ascii="Times New Roman" w:hAnsi="Times New Roman"/>
          <w:sz w:val="24"/>
          <w:szCs w:val="24"/>
        </w:rPr>
        <w:t>a</w:t>
      </w:r>
      <w:r w:rsidRPr="006202E5">
        <w:rPr>
          <w:rFonts w:ascii="Times New Roman" w:hAnsi="Times New Roman"/>
          <w:sz w:val="24"/>
          <w:szCs w:val="24"/>
        </w:rPr>
        <w:t xml:space="preserve"> ar Lietuvu un Igauniju. </w:t>
      </w:r>
    </w:p>
    <w:p w:rsidR="00EE6B47" w:rsidRPr="006202E5" w:rsidRDefault="00EE6B47" w:rsidP="00EE6B47">
      <w:pPr>
        <w:pStyle w:val="NoSpacing"/>
        <w:ind w:firstLine="720"/>
        <w:jc w:val="both"/>
        <w:rPr>
          <w:rFonts w:ascii="Times New Roman" w:hAnsi="Times New Roman"/>
          <w:sz w:val="24"/>
          <w:szCs w:val="24"/>
        </w:rPr>
      </w:pPr>
      <w:r w:rsidRPr="006202E5">
        <w:rPr>
          <w:rFonts w:ascii="Times New Roman" w:hAnsi="Times New Roman"/>
          <w:sz w:val="24"/>
          <w:szCs w:val="24"/>
        </w:rPr>
        <w:t xml:space="preserve">Īstenots projekts </w:t>
      </w:r>
      <w:r w:rsidR="00B167ED">
        <w:rPr>
          <w:rFonts w:ascii="Times New Roman" w:hAnsi="Times New Roman"/>
          <w:sz w:val="24"/>
          <w:szCs w:val="24"/>
        </w:rPr>
        <w:t>"</w:t>
      </w:r>
      <w:r w:rsidRPr="006202E5">
        <w:rPr>
          <w:rFonts w:ascii="Times New Roman" w:hAnsi="Times New Roman"/>
          <w:sz w:val="24"/>
          <w:szCs w:val="24"/>
        </w:rPr>
        <w:t>Integrācijas veicināšanas atbalsta sistēmas izveide trešo valstu valstspiederīgajiem jauniešiem</w:t>
      </w:r>
      <w:r w:rsidR="00B167ED">
        <w:rPr>
          <w:rFonts w:ascii="Times New Roman" w:hAnsi="Times New Roman"/>
          <w:sz w:val="24"/>
          <w:szCs w:val="24"/>
        </w:rPr>
        <w:t>"</w:t>
      </w:r>
      <w:r w:rsidR="00C85214">
        <w:rPr>
          <w:rFonts w:ascii="Times New Roman" w:hAnsi="Times New Roman"/>
          <w:sz w:val="24"/>
          <w:szCs w:val="24"/>
        </w:rPr>
        <w:t>, lai</w:t>
      </w:r>
      <w:r w:rsidRPr="006202E5">
        <w:rPr>
          <w:rFonts w:ascii="Times New Roman" w:hAnsi="Times New Roman"/>
          <w:sz w:val="24"/>
          <w:szCs w:val="24"/>
        </w:rPr>
        <w:t xml:space="preserve"> </w:t>
      </w:r>
      <w:r w:rsidRPr="006202E5">
        <w:rPr>
          <w:rFonts w:ascii="Times New Roman" w:hAnsi="Times New Roman"/>
          <w:iCs/>
          <w:sz w:val="24"/>
          <w:szCs w:val="24"/>
        </w:rPr>
        <w:t>sekmēt</w:t>
      </w:r>
      <w:r w:rsidR="00C85214">
        <w:rPr>
          <w:rFonts w:ascii="Times New Roman" w:hAnsi="Times New Roman"/>
          <w:iCs/>
          <w:sz w:val="24"/>
          <w:szCs w:val="24"/>
        </w:rPr>
        <w:t>u</w:t>
      </w:r>
      <w:r w:rsidRPr="006202E5">
        <w:rPr>
          <w:rFonts w:ascii="Times New Roman" w:hAnsi="Times New Roman"/>
          <w:iCs/>
          <w:sz w:val="24"/>
          <w:szCs w:val="24"/>
        </w:rPr>
        <w:t xml:space="preserve"> trešo valstu valstspiederīgo jauniešu adaptācijas un integrācijas procesu latviskā kultūrtelpā, izmantojot neformālās izglītības metodes. </w:t>
      </w:r>
    </w:p>
    <w:p w:rsidR="00EE6B47" w:rsidRPr="006202E5" w:rsidRDefault="00EE6B47" w:rsidP="00EE6B47">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Plānota Jaunatnes politikas rīcības plāna 2014.–2016.gadam izstrāde, Jaunatnes politikas pamatnostādņu 2009.–2018.gadam vidusposma izvērtējums un pētījuma veikšana par </w:t>
      </w:r>
      <w:r w:rsidR="00C85214">
        <w:rPr>
          <w:rFonts w:ascii="Times New Roman" w:hAnsi="Times New Roman" w:cs="Times New Roman"/>
          <w:sz w:val="24"/>
          <w:szCs w:val="24"/>
        </w:rPr>
        <w:t>sasniegtajiem</w:t>
      </w:r>
      <w:r w:rsidRPr="006202E5">
        <w:rPr>
          <w:rFonts w:ascii="Times New Roman" w:hAnsi="Times New Roman" w:cs="Times New Roman"/>
          <w:sz w:val="24"/>
          <w:szCs w:val="24"/>
        </w:rPr>
        <w:t xml:space="preserve"> rādītājiem, kā arī jaunatnes darbinieka profesijas standarta izstrāde, </w:t>
      </w:r>
      <w:r w:rsidR="00C85214">
        <w:rPr>
          <w:rFonts w:ascii="Times New Roman" w:hAnsi="Times New Roman" w:cs="Times New Roman"/>
          <w:sz w:val="24"/>
          <w:szCs w:val="24"/>
        </w:rPr>
        <w:t xml:space="preserve">tā </w:t>
      </w:r>
      <w:r w:rsidRPr="006202E5">
        <w:rPr>
          <w:rFonts w:ascii="Times New Roman" w:hAnsi="Times New Roman" w:cs="Times New Roman"/>
          <w:sz w:val="24"/>
          <w:szCs w:val="24"/>
        </w:rPr>
        <w:t>virzīšana apstiprināšanai un iekļaušanai Profesiju klasifikatorā un darbā ar jaunatni iesaistīto personu profesionālās pilnveides iespēju nodrošināšana.</w:t>
      </w:r>
    </w:p>
    <w:p w:rsidR="00423220" w:rsidRPr="006202E5" w:rsidRDefault="00423220" w:rsidP="00871110">
      <w:pPr>
        <w:pStyle w:val="Heading1"/>
      </w:pPr>
    </w:p>
    <w:p w:rsidR="0091124F" w:rsidRDefault="0091124F">
      <w:pPr>
        <w:rPr>
          <w:rFonts w:ascii="Times New Roman" w:eastAsia="Calibri" w:hAnsi="Times New Roman" w:cs="Times New Roman"/>
          <w:b/>
          <w:bCs/>
          <w:kern w:val="36"/>
          <w:sz w:val="24"/>
          <w:szCs w:val="24"/>
        </w:rPr>
      </w:pPr>
      <w:r>
        <w:rPr>
          <w:sz w:val="24"/>
          <w:szCs w:val="24"/>
        </w:rPr>
        <w:br w:type="page"/>
      </w:r>
    </w:p>
    <w:p w:rsidR="00871110" w:rsidRPr="006202E5" w:rsidRDefault="00871110" w:rsidP="00871110">
      <w:pPr>
        <w:pStyle w:val="Heading1"/>
      </w:pPr>
      <w:bookmarkStart w:id="29" w:name="_Toc348089274"/>
      <w:bookmarkStart w:id="30" w:name="_Toc348948336"/>
      <w:r w:rsidRPr="006202E5">
        <w:lastRenderedPageBreak/>
        <w:t xml:space="preserve">II. Inovatīva un efektīva </w:t>
      </w:r>
      <w:r w:rsidRPr="0091124F">
        <w:t>ekonomika</w:t>
      </w:r>
      <w:bookmarkEnd w:id="29"/>
      <w:bookmarkEnd w:id="30"/>
      <w:r w:rsidRPr="006202E5">
        <w:t xml:space="preserve"> </w:t>
      </w:r>
    </w:p>
    <w:p w:rsidR="00871110" w:rsidRPr="0091124F" w:rsidRDefault="00871110" w:rsidP="00871110">
      <w:pPr>
        <w:pStyle w:val="Heading2"/>
        <w:rPr>
          <w:szCs w:val="28"/>
        </w:rPr>
      </w:pPr>
      <w:bookmarkStart w:id="31" w:name="_Toc348089275"/>
      <w:bookmarkStart w:id="32" w:name="_Toc348948337"/>
      <w:r w:rsidRPr="0091124F">
        <w:rPr>
          <w:szCs w:val="28"/>
        </w:rPr>
        <w:t>1. Makroekonomiskā situācija (galvenie rādītāji un prognozes)</w:t>
      </w:r>
      <w:bookmarkEnd w:id="31"/>
      <w:bookmarkEnd w:id="32"/>
      <w:r w:rsidRPr="0091124F">
        <w:rPr>
          <w:szCs w:val="28"/>
        </w:rPr>
        <w:t xml:space="preserve"> </w:t>
      </w:r>
    </w:p>
    <w:p w:rsidR="00871110" w:rsidRPr="006202E5" w:rsidRDefault="00871110" w:rsidP="00871110">
      <w:pPr>
        <w:pStyle w:val="Heading3"/>
        <w:rPr>
          <w:szCs w:val="24"/>
        </w:rPr>
      </w:pPr>
      <w:bookmarkStart w:id="33" w:name="_Toc348089276"/>
      <w:bookmarkStart w:id="34" w:name="_Toc348948338"/>
      <w:r w:rsidRPr="006202E5">
        <w:rPr>
          <w:szCs w:val="24"/>
        </w:rPr>
        <w:t xml:space="preserve">1.1. </w:t>
      </w:r>
      <w:r w:rsidRPr="006202E5">
        <w:rPr>
          <w:rFonts w:eastAsia="Calibri"/>
          <w:szCs w:val="24"/>
          <w:lang w:eastAsia="en-US"/>
        </w:rPr>
        <w:t>IKP un e</w:t>
      </w:r>
      <w:r w:rsidRPr="006202E5">
        <w:rPr>
          <w:szCs w:val="24"/>
        </w:rPr>
        <w:t>konomikas attīstības tendences</w:t>
      </w:r>
      <w:bookmarkEnd w:id="33"/>
      <w:bookmarkEnd w:id="34"/>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2012.gada pirmajos trijos ceturkšņos Latvijas ekonomika bija visstraujāk augošā ekonomika ES. Salīdzin</w:t>
      </w:r>
      <w:r w:rsidR="00CD440D">
        <w:rPr>
          <w:rFonts w:ascii="Times New Roman" w:eastAsia="Calibri" w:hAnsi="Times New Roman"/>
          <w:sz w:val="24"/>
          <w:szCs w:val="24"/>
          <w:lang w:eastAsia="en-US"/>
        </w:rPr>
        <w:t>ot</w:t>
      </w:r>
      <w:r w:rsidRPr="006202E5">
        <w:rPr>
          <w:rFonts w:ascii="Times New Roman" w:eastAsia="Calibri" w:hAnsi="Times New Roman"/>
          <w:sz w:val="24"/>
          <w:szCs w:val="24"/>
          <w:lang w:eastAsia="en-US"/>
        </w:rPr>
        <w:t xml:space="preserve"> ar 2011.gada attiecīgo periodu</w:t>
      </w:r>
      <w:r w:rsidR="00CD440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2012.gada pirmajos trijos ceturkšņos IKP palielinājās par 5,6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Laikā, kad eirozonas un ES izaugsmes prognoz</w:t>
      </w:r>
      <w:r w:rsidR="00CD440D">
        <w:rPr>
          <w:rFonts w:ascii="Times New Roman" w:eastAsia="Calibri" w:hAnsi="Times New Roman"/>
          <w:sz w:val="24"/>
          <w:szCs w:val="24"/>
          <w:lang w:eastAsia="en-US"/>
        </w:rPr>
        <w:t>es 2012.</w:t>
      </w:r>
      <w:r w:rsidRPr="006202E5">
        <w:rPr>
          <w:rFonts w:ascii="Times New Roman" w:eastAsia="Calibri" w:hAnsi="Times New Roman"/>
          <w:sz w:val="24"/>
          <w:szCs w:val="24"/>
          <w:lang w:eastAsia="en-US"/>
        </w:rPr>
        <w:t xml:space="preserve">gadam tika vairākkārt pārskatītas </w:t>
      </w:r>
      <w:r w:rsidR="00CD440D">
        <w:rPr>
          <w:rFonts w:ascii="Times New Roman" w:eastAsia="Calibri" w:hAnsi="Times New Roman"/>
          <w:sz w:val="24"/>
          <w:szCs w:val="24"/>
          <w:lang w:eastAsia="en-US"/>
        </w:rPr>
        <w:t>un pazeminātas</w:t>
      </w:r>
      <w:r w:rsidRPr="006202E5">
        <w:rPr>
          <w:rFonts w:ascii="Times New Roman" w:eastAsia="Calibri" w:hAnsi="Times New Roman"/>
          <w:sz w:val="24"/>
          <w:szCs w:val="24"/>
          <w:lang w:eastAsia="en-US"/>
        </w:rPr>
        <w:t xml:space="preserve">, Latvijas izaugsmes prognozes tieši pretēji – palielinātas, un jau 2013.gadā IKP faktiskajās cenās sasniegs pirmskrīzes līmeni. </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1. attēls.</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IKP pieaugums pa ceturkšņiem</w:t>
      </w:r>
    </w:p>
    <w:p w:rsidR="00871110" w:rsidRPr="006202E5" w:rsidRDefault="00871110" w:rsidP="00871110">
      <w:pPr>
        <w:spacing w:after="0" w:line="240" w:lineRule="auto"/>
        <w:jc w:val="center"/>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65FA6B01" wp14:editId="52E7EC64">
            <wp:extent cx="5271135" cy="3054985"/>
            <wp:effectExtent l="19050" t="0" r="5715" b="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71135" cy="3054985"/>
                    </a:xfrm>
                    <a:prstGeom prst="rect">
                      <a:avLst/>
                    </a:prstGeom>
                    <a:noFill/>
                    <a:ln w="9525">
                      <a:noFill/>
                      <a:miter lim="800000"/>
                      <a:headEnd/>
                      <a:tailEnd/>
                    </a:ln>
                  </pic:spPr>
                </pic:pic>
              </a:graphicData>
            </a:graphic>
          </wp:inline>
        </w:drawing>
      </w:r>
    </w:p>
    <w:p w:rsidR="00871110" w:rsidRPr="00AF3D3D" w:rsidRDefault="00871110" w:rsidP="00871110">
      <w:pPr>
        <w:spacing w:after="0" w:line="240" w:lineRule="auto"/>
        <w:jc w:val="both"/>
        <w:rPr>
          <w:rFonts w:ascii="Times New Roman" w:eastAsia="Calibri" w:hAnsi="Times New Roman"/>
          <w:sz w:val="20"/>
          <w:szCs w:val="20"/>
          <w:lang w:eastAsia="en-US"/>
        </w:rPr>
      </w:pPr>
      <w:r w:rsidRPr="00AF3D3D">
        <w:rPr>
          <w:rFonts w:ascii="Times New Roman" w:eastAsia="Calibri" w:hAnsi="Times New Roman"/>
          <w:i/>
          <w:sz w:val="20"/>
          <w:szCs w:val="20"/>
          <w:lang w:eastAsia="en-US"/>
        </w:rPr>
        <w:t>Avots: CSP; FM aprēķini</w:t>
      </w:r>
    </w:p>
    <w:p w:rsidR="00871110" w:rsidRPr="006202E5" w:rsidRDefault="00871110" w:rsidP="00871110">
      <w:pPr>
        <w:spacing w:after="0" w:line="240" w:lineRule="auto"/>
        <w:jc w:val="center"/>
        <w:rPr>
          <w:rFonts w:ascii="Times New Roman" w:eastAsia="Calibri" w:hAnsi="Times New Roman"/>
          <w:sz w:val="24"/>
          <w:szCs w:val="24"/>
          <w:lang w:eastAsia="en-US"/>
        </w:rPr>
      </w:pPr>
    </w:p>
    <w:p w:rsidR="00871110"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Izaugsmi 2012.gada pirmajos trijos ceturkšņos nodrošināja gan ārējais, gan iekšējais pieprasījums. Lielāko ieguldījumu izaugsmē devu</w:t>
      </w:r>
      <w:r w:rsidR="00CD440D">
        <w:rPr>
          <w:rFonts w:ascii="Times New Roman" w:eastAsia="Calibri" w:hAnsi="Times New Roman"/>
          <w:sz w:val="24"/>
          <w:szCs w:val="24"/>
          <w:lang w:eastAsia="en-US"/>
        </w:rPr>
        <w:t>si</w:t>
      </w:r>
      <w:r w:rsidRPr="006202E5">
        <w:rPr>
          <w:rFonts w:ascii="Times New Roman" w:eastAsia="Calibri" w:hAnsi="Times New Roman"/>
          <w:sz w:val="24"/>
          <w:szCs w:val="24"/>
          <w:lang w:eastAsia="en-US"/>
        </w:rPr>
        <w:t xml:space="preserve"> tirdzniecība, apstrādes rūpniecība, būvniecība un transports, kas kopā veidoja </w:t>
      </w:r>
      <w:r>
        <w:rPr>
          <w:rFonts w:ascii="Times New Roman" w:eastAsia="Calibri" w:hAnsi="Times New Roman"/>
          <w:sz w:val="24"/>
          <w:szCs w:val="24"/>
          <w:lang w:eastAsia="en-US"/>
        </w:rPr>
        <w:t xml:space="preserve">vairāk nekā </w:t>
      </w:r>
      <w:r w:rsidRPr="002A13C8">
        <w:rPr>
          <w:rFonts w:ascii="Times New Roman" w:eastAsia="Calibri" w:hAnsi="Times New Roman"/>
          <w:sz w:val="24"/>
          <w:szCs w:val="24"/>
          <w:lang w:eastAsia="en-US"/>
        </w:rPr>
        <w:t>divas trešdaļas</w:t>
      </w:r>
      <w:r w:rsidRPr="006202E5">
        <w:rPr>
          <w:rFonts w:ascii="Times New Roman" w:eastAsia="Calibri" w:hAnsi="Times New Roman"/>
          <w:sz w:val="24"/>
          <w:szCs w:val="24"/>
          <w:lang w:eastAsia="en-US"/>
        </w:rPr>
        <w:t xml:space="preserve"> no IKP pieauguma šajā periodā. 2012.gada pirmajos trijos ceturkšņos lielākie pieauguma tempi bija vērojami tieši būvniecībā un apstrādes rūpniecībā, kas salīdzinājumā ar iepriekšējā gada attiecīgo periodu pieauga par attiecīgi 16,3</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un 10,5</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w:t>
      </w:r>
      <w:r w:rsidRPr="006202E5">
        <w:rPr>
          <w:rFonts w:ascii="Times New Roman" w:hAnsi="Times New Roman"/>
          <w:sz w:val="24"/>
          <w:szCs w:val="24"/>
        </w:rPr>
        <w:t xml:space="preserve">Ražošanas apjomi palielinājās gandrīz visās apstrādes rūpniecības nozarēs, īpaši kokapstrādē, metālapstrādē, elektronisko ierīču, mašīnu un iekārtu ražošanā. </w:t>
      </w:r>
      <w:r w:rsidRPr="006202E5">
        <w:rPr>
          <w:rFonts w:ascii="Times New Roman" w:eastAsia="Calibri" w:hAnsi="Times New Roman"/>
          <w:sz w:val="24"/>
          <w:szCs w:val="24"/>
          <w:lang w:eastAsia="en-US"/>
        </w:rPr>
        <w:t>Šajā pašā laika periodā tirdzniecības un transporta nozaru izlaide palielinājās par attiecīgi 7,1</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un 4,9</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savukārt no pārējām nozarēm vērā ņemami pieaugumi bija vērojami informāciju un komunikāciju pakalpojumos – 8,8</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kā arī izmitināšanā un ēdināšanā – 10</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Kopējos izaugsmes tempus mazināja sabiedriskā sektora nozares, kas skaidrojams ar budžeta izdevumu ierobežošanu un budžeta deficīta mazināšanu. </w:t>
      </w:r>
      <w:r w:rsidR="00CD440D">
        <w:rPr>
          <w:rFonts w:ascii="Times New Roman" w:eastAsia="Calibri" w:hAnsi="Times New Roman"/>
          <w:sz w:val="24"/>
          <w:szCs w:val="24"/>
          <w:lang w:eastAsia="en-US"/>
        </w:rPr>
        <w:t>V</w:t>
      </w:r>
      <w:r w:rsidRPr="006202E5">
        <w:rPr>
          <w:rFonts w:ascii="Times New Roman" w:eastAsia="Calibri" w:hAnsi="Times New Roman"/>
          <w:sz w:val="24"/>
          <w:szCs w:val="24"/>
          <w:lang w:eastAsia="en-US"/>
        </w:rPr>
        <w:t xml:space="preserve">alsts pārvaldes un aizsardzības, kā arī </w:t>
      </w:r>
      <w:r w:rsidRPr="006202E5">
        <w:rPr>
          <w:rFonts w:ascii="Times New Roman" w:eastAsia="Calibri" w:hAnsi="Times New Roman"/>
          <w:sz w:val="24"/>
          <w:szCs w:val="24"/>
          <w:lang w:eastAsia="en-US"/>
        </w:rPr>
        <w:lastRenderedPageBreak/>
        <w:t>veselības nozarēs bija vērojams kritums par a</w:t>
      </w:r>
      <w:r w:rsidR="00CD440D">
        <w:rPr>
          <w:rFonts w:ascii="Times New Roman" w:eastAsia="Calibri" w:hAnsi="Times New Roman"/>
          <w:sz w:val="24"/>
          <w:szCs w:val="24"/>
          <w:lang w:eastAsia="en-US"/>
        </w:rPr>
        <w:t>ttiecīgi 2,2</w:t>
      </w:r>
      <w:r w:rsidR="00111406">
        <w:rPr>
          <w:rFonts w:ascii="Times New Roman" w:eastAsia="Calibri" w:hAnsi="Times New Roman"/>
          <w:sz w:val="24"/>
          <w:szCs w:val="24"/>
          <w:lang w:eastAsia="en-US"/>
        </w:rPr>
        <w:t> %</w:t>
      </w:r>
      <w:r w:rsidR="00CD440D">
        <w:rPr>
          <w:rFonts w:ascii="Times New Roman" w:eastAsia="Calibri" w:hAnsi="Times New Roman"/>
          <w:sz w:val="24"/>
          <w:szCs w:val="24"/>
          <w:lang w:eastAsia="en-US"/>
        </w:rPr>
        <w:t xml:space="preserve"> un 3,2</w:t>
      </w:r>
      <w:r w:rsidR="00111406">
        <w:rPr>
          <w:rFonts w:ascii="Times New Roman" w:eastAsia="Calibri" w:hAnsi="Times New Roman"/>
          <w:sz w:val="24"/>
          <w:szCs w:val="24"/>
          <w:lang w:eastAsia="en-US"/>
        </w:rPr>
        <w:t> %</w:t>
      </w:r>
      <w:r w:rsidR="00CD440D">
        <w:rPr>
          <w:rFonts w:ascii="Times New Roman" w:eastAsia="Calibri" w:hAnsi="Times New Roman"/>
          <w:sz w:val="24"/>
          <w:szCs w:val="24"/>
          <w:lang w:eastAsia="en-US"/>
        </w:rPr>
        <w:t>, savukārt</w:t>
      </w:r>
      <w:r w:rsidRPr="006202E5">
        <w:rPr>
          <w:rFonts w:ascii="Times New Roman" w:eastAsia="Calibri" w:hAnsi="Times New Roman"/>
          <w:sz w:val="24"/>
          <w:szCs w:val="24"/>
          <w:lang w:eastAsia="en-US"/>
        </w:rPr>
        <w:t xml:space="preserve"> izglītībā </w:t>
      </w:r>
      <w:r w:rsidR="00CD440D">
        <w:rPr>
          <w:rFonts w:ascii="Times New Roman" w:eastAsia="Calibri" w:hAnsi="Times New Roman"/>
          <w:sz w:val="24"/>
          <w:szCs w:val="24"/>
          <w:lang w:eastAsia="en-US"/>
        </w:rPr>
        <w:t>–</w:t>
      </w:r>
      <w:r w:rsidRPr="006202E5">
        <w:rPr>
          <w:rFonts w:ascii="Times New Roman" w:eastAsia="Calibri" w:hAnsi="Times New Roman"/>
          <w:sz w:val="24"/>
          <w:szCs w:val="24"/>
          <w:lang w:eastAsia="en-US"/>
        </w:rPr>
        <w:t>neliels pieaugums 3,3</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apmērā.</w:t>
      </w:r>
    </w:p>
    <w:p w:rsidR="00871110" w:rsidRPr="0080053F" w:rsidRDefault="00CD440D" w:rsidP="00871110">
      <w:pPr>
        <w:spacing w:after="0" w:line="240" w:lineRule="auto"/>
        <w:ind w:firstLine="720"/>
        <w:jc w:val="both"/>
        <w:rPr>
          <w:rFonts w:ascii="Times New Roman" w:eastAsia="Calibri" w:hAnsi="Times New Roman"/>
          <w:sz w:val="24"/>
          <w:szCs w:val="24"/>
          <w:lang w:eastAsia="en-US"/>
        </w:rPr>
      </w:pPr>
      <w:r>
        <w:rPr>
          <w:rFonts w:ascii="Times New Roman" w:eastAsia="Calibri" w:hAnsi="Times New Roman"/>
          <w:sz w:val="24"/>
          <w:szCs w:val="24"/>
          <w:lang w:eastAsia="en-US"/>
        </w:rPr>
        <w:t>I</w:t>
      </w:r>
      <w:r w:rsidR="00871110" w:rsidRPr="006202E5">
        <w:rPr>
          <w:rFonts w:ascii="Times New Roman" w:eastAsia="Calibri" w:hAnsi="Times New Roman"/>
          <w:sz w:val="24"/>
          <w:szCs w:val="24"/>
          <w:lang w:eastAsia="en-US"/>
        </w:rPr>
        <w:t xml:space="preserve">zlietojuma </w:t>
      </w:r>
      <w:r>
        <w:rPr>
          <w:rFonts w:ascii="Times New Roman" w:eastAsia="Calibri" w:hAnsi="Times New Roman"/>
          <w:sz w:val="24"/>
          <w:szCs w:val="24"/>
          <w:lang w:eastAsia="en-US"/>
        </w:rPr>
        <w:t>jomā</w:t>
      </w:r>
      <w:r w:rsidR="00871110" w:rsidRPr="006202E5">
        <w:rPr>
          <w:rFonts w:ascii="Times New Roman" w:eastAsia="Calibri" w:hAnsi="Times New Roman"/>
          <w:sz w:val="24"/>
          <w:szCs w:val="24"/>
          <w:lang w:eastAsia="en-US"/>
        </w:rPr>
        <w:t xml:space="preserve"> lielākais pieaugums bija vērojams investīcijās, kas 2012.gada pirmajos trijos ceturkšņos salīdzinājumā ar iepriekšējā gada attiecīgo periodu pieauga par 16,2</w:t>
      </w:r>
      <w:r w:rsidR="00111406">
        <w:rPr>
          <w:rFonts w:ascii="Times New Roman" w:eastAsia="Calibri" w:hAnsi="Times New Roman"/>
          <w:sz w:val="24"/>
          <w:szCs w:val="24"/>
          <w:lang w:eastAsia="en-US"/>
        </w:rPr>
        <w:t> %</w:t>
      </w:r>
      <w:r w:rsidR="00871110" w:rsidRPr="006202E5">
        <w:rPr>
          <w:rFonts w:ascii="Times New Roman" w:eastAsia="Calibri" w:hAnsi="Times New Roman"/>
          <w:sz w:val="24"/>
          <w:szCs w:val="24"/>
          <w:lang w:eastAsia="en-US"/>
        </w:rPr>
        <w:t xml:space="preserve">. </w:t>
      </w:r>
      <w:r w:rsidR="00871110" w:rsidRPr="006202E5">
        <w:rPr>
          <w:rFonts w:ascii="Times New Roman" w:hAnsi="Times New Roman"/>
          <w:sz w:val="24"/>
          <w:szCs w:val="24"/>
        </w:rPr>
        <w:t>Investīciju apjoma palielināšanos lielā mērā ietekmēja ieguldījumi tādās nozarēs kā enerģētika, kokapstrāde, metālizstrādājumu ražošana. Neraugoties uz būtisko pieaugumu, investīcijas joprojām ir salīdzinoši zemā līmenī. Arī turpmāk kopējo investīciju dinamiku ietekmēs komercbanku piesardzīgā kreditēšanas politika, bet privātā sektora investīcijas noteiks uzņēmēju nogaidošais noskaņojums attiecībā uz nākotnes perspektīvām.</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Pēdējos gados par ekonomikas dzinējspēku ir kļuvis eksports. Preču un pakalpojumu eksporta apjomi pašlaik ir sasnieguši vē</w:t>
      </w:r>
      <w:r w:rsidR="00CD440D">
        <w:rPr>
          <w:rFonts w:ascii="Times New Roman" w:hAnsi="Times New Roman"/>
          <w:sz w:val="24"/>
          <w:szCs w:val="24"/>
        </w:rPr>
        <w:t>sturiski augstāko līmeni. 2011.</w:t>
      </w:r>
      <w:r w:rsidRPr="006202E5">
        <w:rPr>
          <w:rFonts w:ascii="Times New Roman" w:hAnsi="Times New Roman"/>
          <w:sz w:val="24"/>
          <w:szCs w:val="24"/>
        </w:rPr>
        <w:t>gadā Latvijas preču un pakalpojumu eksports pieauga par 12,7 </w:t>
      </w:r>
      <w:r w:rsidR="00111406">
        <w:rPr>
          <w:rFonts w:ascii="Times New Roman" w:hAnsi="Times New Roman"/>
          <w:sz w:val="24"/>
          <w:szCs w:val="24"/>
        </w:rPr>
        <w:t> %</w:t>
      </w:r>
      <w:r w:rsidRPr="006202E5">
        <w:rPr>
          <w:rFonts w:ascii="Times New Roman" w:hAnsi="Times New Roman"/>
          <w:sz w:val="24"/>
          <w:szCs w:val="24"/>
        </w:rPr>
        <w:t>, bet 2012.gada tr</w:t>
      </w:r>
      <w:r w:rsidR="00CD440D">
        <w:rPr>
          <w:rFonts w:ascii="Times New Roman" w:hAnsi="Times New Roman"/>
          <w:sz w:val="24"/>
          <w:szCs w:val="24"/>
        </w:rPr>
        <w:t>ijos</w:t>
      </w:r>
      <w:r w:rsidRPr="006202E5">
        <w:rPr>
          <w:rFonts w:ascii="Times New Roman" w:hAnsi="Times New Roman"/>
          <w:sz w:val="24"/>
          <w:szCs w:val="24"/>
        </w:rPr>
        <w:t xml:space="preserve"> ceturkšņos, neskatoties uz saspringto ekonomisko situāciju ES, eksporta apjomi pieauga par 7,3 </w:t>
      </w:r>
      <w:r w:rsidR="00111406">
        <w:rPr>
          <w:rFonts w:ascii="Times New Roman" w:hAnsi="Times New Roman"/>
          <w:sz w:val="24"/>
          <w:szCs w:val="24"/>
        </w:rPr>
        <w:t> %</w:t>
      </w:r>
      <w:r w:rsidRPr="006202E5">
        <w:rPr>
          <w:rFonts w:ascii="Times New Roman" w:hAnsi="Times New Roman"/>
          <w:sz w:val="24"/>
          <w:szCs w:val="24"/>
        </w:rPr>
        <w:t xml:space="preserve">, salīdzinot ar iepriekšējā gada atbilstošo periodu. </w:t>
      </w:r>
      <w:r w:rsidRPr="006202E5">
        <w:rPr>
          <w:rFonts w:ascii="Times New Roman" w:eastAsia="Calibri" w:hAnsi="Times New Roman"/>
          <w:sz w:val="24"/>
          <w:szCs w:val="24"/>
          <w:lang w:eastAsia="en-US"/>
        </w:rPr>
        <w:t>Šajā periodā importa apjoms palielinājies vien par 3,9</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Tā rezultātā trešajā ceturksnī neto eksporta devums izaugsmē atkal kļuva pozitīvs.</w:t>
      </w:r>
      <w:r w:rsidRPr="006202E5">
        <w:rPr>
          <w:rFonts w:ascii="Times New Roman" w:hAnsi="Times New Roman"/>
          <w:sz w:val="24"/>
          <w:szCs w:val="24"/>
        </w:rPr>
        <w:t xml:space="preserve"> Eksporta turpmākās attīstības iespējas ietekmēs ne tikai ārējā pieprasījuma izmaiņas, bet arī Latvijas ražotāju konkurētspēja. Jāņem vērā, ka līdz šim Latvijas konkurētspējas uzlabošanos pamatā noteica darbaspēka izmaksu samazināšana, bet turpmāk izšķiroša loma būs spējai palielināt produktivitāti.</w:t>
      </w:r>
    </w:p>
    <w:p w:rsidR="00871110" w:rsidRPr="00111406" w:rsidRDefault="00871110" w:rsidP="00871110">
      <w:pPr>
        <w:spacing w:after="0" w:line="240" w:lineRule="auto"/>
        <w:ind w:firstLine="720"/>
        <w:jc w:val="both"/>
        <w:rPr>
          <w:rFonts w:ascii="Times New Roman" w:hAnsi="Times New Roman"/>
          <w:sz w:val="24"/>
          <w:szCs w:val="24"/>
        </w:rPr>
      </w:pPr>
      <w:r w:rsidRPr="00111406">
        <w:rPr>
          <w:rFonts w:ascii="Times New Roman" w:eastAsia="Calibri" w:hAnsi="Times New Roman"/>
          <w:sz w:val="24"/>
          <w:szCs w:val="24"/>
          <w:lang w:eastAsia="en-US"/>
        </w:rPr>
        <w:t>Pozitīvu devumu izaugsmē 2012.gada pirmajos trijos ceturkšņos deva arī privātais patēriņš, kas salīdzinājumā ar iepriekšējā gada attiecīgo periodu palielinājies par 5,9</w:t>
      </w:r>
      <w:r w:rsidR="00111406" w:rsidRPr="00111406">
        <w:rPr>
          <w:rFonts w:ascii="Times New Roman" w:eastAsia="Calibri" w:hAnsi="Times New Roman"/>
          <w:sz w:val="24"/>
          <w:szCs w:val="24"/>
          <w:lang w:eastAsia="en-US"/>
        </w:rPr>
        <w:t> %</w:t>
      </w:r>
      <w:r w:rsidRPr="00111406">
        <w:rPr>
          <w:rFonts w:ascii="Times New Roman" w:eastAsia="Calibri" w:hAnsi="Times New Roman"/>
          <w:sz w:val="24"/>
          <w:szCs w:val="24"/>
          <w:lang w:eastAsia="en-US"/>
        </w:rPr>
        <w:t>, tādējādi atspoguļojot uzlabojumus darba tirgū un algu pieaugumu.</w:t>
      </w:r>
      <w:r w:rsidRPr="00111406">
        <w:rPr>
          <w:rFonts w:ascii="Times New Roman" w:hAnsi="Times New Roman"/>
          <w:sz w:val="24"/>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sidRPr="00111406">
        <w:rPr>
          <w:rFonts w:ascii="Times New Roman" w:hAnsi="Times New Roman"/>
          <w:sz w:val="24"/>
          <w:szCs w:val="24"/>
        </w:rPr>
        <w:t xml:space="preserve">Latvijas tautsaimniecības turpmākā attīstība joprojām būs cieši saistīta ar eksporta </w:t>
      </w:r>
      <w:r w:rsidRPr="006202E5">
        <w:rPr>
          <w:rFonts w:ascii="Times New Roman" w:hAnsi="Times New Roman"/>
          <w:sz w:val="24"/>
          <w:szCs w:val="24"/>
        </w:rPr>
        <w:t>iespējām, tāpēc lielākais Latvijas izaugsmes risks saistīts ar globālās ekonomikas attīstību.</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Balstoties uz IKP datiem par 2012.gada pirmajiem tr</w:t>
      </w:r>
      <w:r w:rsidR="00111406">
        <w:rPr>
          <w:rFonts w:ascii="Times New Roman" w:eastAsia="Calibri" w:hAnsi="Times New Roman"/>
          <w:sz w:val="24"/>
          <w:szCs w:val="24"/>
          <w:lang w:eastAsia="en-US"/>
        </w:rPr>
        <w:t>im</w:t>
      </w:r>
      <w:r w:rsidRPr="006202E5">
        <w:rPr>
          <w:rFonts w:ascii="Times New Roman" w:eastAsia="Calibri" w:hAnsi="Times New Roman"/>
          <w:sz w:val="24"/>
          <w:szCs w:val="24"/>
          <w:lang w:eastAsia="en-US"/>
        </w:rPr>
        <w:t xml:space="preserve"> ceturkšņiem, FM ir aktualizējusi makroekonomiskās attīstības prognozes, palielinot iekšzemes kopprodukta izaugsmes prognozi 2012.gadam līdz 5</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kā arī atjaunojot makroekonomi</w:t>
      </w:r>
      <w:r w:rsidR="00111406">
        <w:rPr>
          <w:rFonts w:ascii="Times New Roman" w:eastAsia="Calibri" w:hAnsi="Times New Roman"/>
          <w:sz w:val="24"/>
          <w:szCs w:val="24"/>
          <w:lang w:eastAsia="en-US"/>
        </w:rPr>
        <w:t>skās attīstības prognozes 2014.–</w:t>
      </w:r>
      <w:r w:rsidRPr="006202E5">
        <w:rPr>
          <w:rFonts w:ascii="Times New Roman" w:eastAsia="Calibri" w:hAnsi="Times New Roman"/>
          <w:sz w:val="24"/>
          <w:szCs w:val="24"/>
          <w:lang w:eastAsia="en-US"/>
        </w:rPr>
        <w:t>2016.gadam. Atjaunotās IKP prognozes paredz nemainīgu 3,7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izaugsmi 2013. gadā un 4</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izaugsmi nākamajos gados.</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 xml:space="preserve">Lai gan 2012.gadā gaidāma </w:t>
      </w:r>
      <w:r w:rsidR="00111406">
        <w:rPr>
          <w:rFonts w:ascii="Times New Roman" w:eastAsia="Calibri" w:hAnsi="Times New Roman"/>
          <w:sz w:val="24"/>
          <w:szCs w:val="24"/>
          <w:lang w:eastAsia="en-US"/>
        </w:rPr>
        <w:t>būtiskāka</w:t>
      </w:r>
      <w:r w:rsidRPr="006202E5">
        <w:rPr>
          <w:rFonts w:ascii="Times New Roman" w:eastAsia="Calibri" w:hAnsi="Times New Roman"/>
          <w:sz w:val="24"/>
          <w:szCs w:val="24"/>
          <w:lang w:eastAsia="en-US"/>
        </w:rPr>
        <w:t xml:space="preserve"> </w:t>
      </w:r>
      <w:r w:rsidR="00111406" w:rsidRPr="006202E5">
        <w:rPr>
          <w:rFonts w:ascii="Times New Roman" w:eastAsia="Calibri" w:hAnsi="Times New Roman"/>
          <w:sz w:val="24"/>
          <w:szCs w:val="24"/>
          <w:lang w:eastAsia="en-US"/>
        </w:rPr>
        <w:t xml:space="preserve">izaugsme </w:t>
      </w:r>
      <w:r w:rsidRPr="006202E5">
        <w:rPr>
          <w:rFonts w:ascii="Times New Roman" w:eastAsia="Calibri" w:hAnsi="Times New Roman"/>
          <w:sz w:val="24"/>
          <w:szCs w:val="24"/>
          <w:lang w:eastAsia="en-US"/>
        </w:rPr>
        <w:t>nekā tika prognozēts 2012.gada jūnijā, lielākie riski joprojām saistāmi ar ārējo vidi un situāciju eirozonā, kur gan vērojama situācijas stabilizācija, tomēr izaugsme ir kļuvusi negatīva un strauja situācijas uzlabošanās nav gaidāma. Atbilstoši aktuālākajām starptautisko institūciju prognozēm sagaidāms, ka ekonomikas izaugsme eirozonā būs negatīva ne tikai 2012.gadā, bet</w:t>
      </w:r>
      <w:r w:rsidR="00344A1C">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iespējams</w:t>
      </w:r>
      <w:r w:rsidR="00344A1C">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arī 2013.gadā. Līdz šim Latvijas ekonomika izrādījusies ļoti noturīga pret ārējās ekonomiskās vides pasliktināšanos, tomēr attiecībā </w:t>
      </w:r>
      <w:r w:rsidR="00344A1C">
        <w:rPr>
          <w:rFonts w:ascii="Times New Roman" w:eastAsia="Calibri" w:hAnsi="Times New Roman"/>
          <w:sz w:val="24"/>
          <w:szCs w:val="24"/>
          <w:lang w:eastAsia="en-US"/>
        </w:rPr>
        <w:t>uz</w:t>
      </w:r>
      <w:r w:rsidRPr="006202E5">
        <w:rPr>
          <w:rFonts w:ascii="Times New Roman" w:eastAsia="Calibri" w:hAnsi="Times New Roman"/>
          <w:sz w:val="24"/>
          <w:szCs w:val="24"/>
          <w:lang w:eastAsia="en-US"/>
        </w:rPr>
        <w:t xml:space="preserve"> izaugsmes pieaugumu 2013.gadā nepieciešams saglabāt piesardzību. </w:t>
      </w:r>
      <w:r w:rsidR="00344A1C">
        <w:rPr>
          <w:rFonts w:ascii="Times New Roman" w:eastAsia="Calibri" w:hAnsi="Times New Roman"/>
          <w:sz w:val="24"/>
          <w:szCs w:val="24"/>
          <w:lang w:eastAsia="en-US"/>
        </w:rPr>
        <w:t>E</w:t>
      </w:r>
      <w:r w:rsidRPr="006202E5">
        <w:rPr>
          <w:rFonts w:ascii="Times New Roman" w:eastAsia="Calibri" w:hAnsi="Times New Roman"/>
          <w:sz w:val="24"/>
          <w:szCs w:val="24"/>
          <w:lang w:eastAsia="en-US"/>
        </w:rPr>
        <w:t>konomikas kritums eirozonā divu gadu garumā, visticamāk, 2012.gada nogalē un 2013.gadā kopumā nozīmēs ekonomikas pieauguma tempu bremzēšanos arī Latvijā. Tādēļ FM šobrīd saglabā nemainīgu IKP pieauguma prognozi 2013.gadam iepriekš prognozētajā 3,7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līmenī.</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p>
    <w:p w:rsidR="00871110" w:rsidRPr="002A13C8" w:rsidRDefault="00871110" w:rsidP="00871110">
      <w:pPr>
        <w:numPr>
          <w:ilvl w:val="0"/>
          <w:numId w:val="15"/>
        </w:numPr>
        <w:tabs>
          <w:tab w:val="left" w:pos="284"/>
        </w:tabs>
        <w:spacing w:after="0" w:line="240" w:lineRule="auto"/>
        <w:ind w:left="0" w:firstLine="0"/>
        <w:contextualSpacing/>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tabula.</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Makroekonomiskie rādītāj</w:t>
      </w:r>
      <w:r w:rsidR="00344A1C">
        <w:rPr>
          <w:rFonts w:ascii="Times New Roman" w:eastAsia="Calibri" w:hAnsi="Times New Roman"/>
          <w:b/>
          <w:sz w:val="24"/>
          <w:szCs w:val="24"/>
          <w:lang w:eastAsia="en-US"/>
        </w:rPr>
        <w:t>i 2011. gadā un prognozes 2012.</w:t>
      </w:r>
      <w:r w:rsidRPr="006202E5">
        <w:rPr>
          <w:rFonts w:ascii="Times New Roman" w:eastAsia="Calibri" w:hAnsi="Times New Roman"/>
          <w:b/>
          <w:sz w:val="24"/>
          <w:szCs w:val="24"/>
          <w:lang w:eastAsia="en-US"/>
        </w:rPr>
        <w:t>–2016.gadam</w:t>
      </w:r>
    </w:p>
    <w:p w:rsidR="00871110" w:rsidRDefault="00871110" w:rsidP="00871110">
      <w:pPr>
        <w:tabs>
          <w:tab w:val="left" w:pos="284"/>
        </w:tabs>
        <w:spacing w:after="0" w:line="240" w:lineRule="auto"/>
        <w:contextualSpacing/>
        <w:jc w:val="center"/>
        <w:rPr>
          <w:rFonts w:ascii="Times New Roman" w:eastAsia="Calibri" w:hAnsi="Times New Roman"/>
          <w:sz w:val="24"/>
          <w:szCs w:val="24"/>
          <w:lang w:eastAsia="en-US"/>
        </w:rPr>
      </w:pPr>
    </w:p>
    <w:p w:rsidR="00871110" w:rsidRPr="006202E5" w:rsidRDefault="00871110" w:rsidP="00871110">
      <w:pPr>
        <w:tabs>
          <w:tab w:val="left" w:pos="284"/>
        </w:tabs>
        <w:spacing w:after="0" w:line="240" w:lineRule="auto"/>
        <w:contextualSpacing/>
        <w:jc w:val="center"/>
        <w:rPr>
          <w:rFonts w:ascii="Times New Roman" w:eastAsia="Calibri" w:hAnsi="Times New Roman"/>
          <w:sz w:val="24"/>
          <w:szCs w:val="24"/>
          <w:lang w:eastAsia="en-US"/>
        </w:rPr>
      </w:pPr>
    </w:p>
    <w:tbl>
      <w:tblPr>
        <w:tblW w:w="8237" w:type="dxa"/>
        <w:tblLayout w:type="fixed"/>
        <w:tblLook w:val="04A0" w:firstRow="1" w:lastRow="0" w:firstColumn="1" w:lastColumn="0" w:noHBand="0" w:noVBand="1"/>
      </w:tblPr>
      <w:tblGrid>
        <w:gridCol w:w="2802"/>
        <w:gridCol w:w="992"/>
        <w:gridCol w:w="946"/>
        <w:gridCol w:w="874"/>
        <w:gridCol w:w="874"/>
        <w:gridCol w:w="874"/>
        <w:gridCol w:w="875"/>
      </w:tblGrid>
      <w:tr w:rsidR="00871110" w:rsidRPr="0095540A" w:rsidTr="008413F7">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rPr>
                <w:rFonts w:ascii="Times New Roman" w:hAnsi="Times New Roman"/>
                <w:sz w:val="24"/>
                <w:szCs w:val="24"/>
              </w:rPr>
            </w:pPr>
            <w:r w:rsidRPr="0095540A">
              <w:rPr>
                <w:rFonts w:ascii="Times New Roman" w:hAnsi="Times New Roman"/>
                <w:sz w:val="24"/>
                <w:szCs w:val="24"/>
              </w:rPr>
              <w:lastRenderedPageBreak/>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2011</w:t>
            </w:r>
          </w:p>
        </w:tc>
        <w:tc>
          <w:tcPr>
            <w:tcW w:w="946"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2012</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2013</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2014</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2015</w:t>
            </w:r>
          </w:p>
        </w:tc>
        <w:tc>
          <w:tcPr>
            <w:tcW w:w="875"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2016</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rPr>
                <w:rFonts w:ascii="Times New Roman" w:hAnsi="Times New Roman"/>
                <w:sz w:val="24"/>
                <w:szCs w:val="24"/>
              </w:rPr>
            </w:pPr>
            <w:r w:rsidRPr="0095540A">
              <w:rPr>
                <w:rFonts w:ascii="Times New Roman" w:hAnsi="Times New Roman"/>
                <w:sz w:val="24"/>
                <w:szCs w:val="24"/>
              </w:rPr>
              <w:t> </w:t>
            </w:r>
          </w:p>
        </w:tc>
        <w:tc>
          <w:tcPr>
            <w:tcW w:w="992" w:type="dxa"/>
            <w:tcBorders>
              <w:top w:val="nil"/>
              <w:left w:val="nil"/>
              <w:bottom w:val="nil"/>
              <w:right w:val="nil"/>
            </w:tcBorders>
            <w:shd w:val="clear" w:color="auto" w:fill="auto"/>
            <w:noWrap/>
            <w:vAlign w:val="bottom"/>
            <w:hideMark/>
          </w:tcPr>
          <w:p w:rsidR="00871110" w:rsidRPr="0095540A" w:rsidRDefault="00871110" w:rsidP="008413F7">
            <w:pPr>
              <w:spacing w:after="0" w:line="240" w:lineRule="auto"/>
              <w:rPr>
                <w:rFonts w:ascii="Times New Roman" w:hAnsi="Times New Roman"/>
                <w:color w:val="FF0000"/>
                <w:sz w:val="24"/>
                <w:szCs w:val="24"/>
              </w:rPr>
            </w:pPr>
          </w:p>
        </w:tc>
        <w:tc>
          <w:tcPr>
            <w:tcW w:w="4443" w:type="dxa"/>
            <w:gridSpan w:val="5"/>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center"/>
              <w:rPr>
                <w:rFonts w:ascii="Times New Roman" w:hAnsi="Times New Roman"/>
                <w:sz w:val="24"/>
                <w:szCs w:val="24"/>
              </w:rPr>
            </w:pPr>
            <w:r w:rsidRPr="0095540A">
              <w:rPr>
                <w:rFonts w:ascii="Times New Roman" w:hAnsi="Times New Roman"/>
                <w:sz w:val="24"/>
                <w:szCs w:val="24"/>
              </w:rPr>
              <w:t>Prognoze</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both"/>
              <w:rPr>
                <w:rFonts w:ascii="Times New Roman" w:hAnsi="Times New Roman"/>
                <w:b/>
                <w:sz w:val="24"/>
                <w:szCs w:val="24"/>
              </w:rPr>
            </w:pPr>
            <w:r w:rsidRPr="0095540A">
              <w:rPr>
                <w:rFonts w:ascii="Times New Roman" w:hAnsi="Times New Roman"/>
                <w:b/>
                <w:sz w:val="24"/>
                <w:szCs w:val="24"/>
              </w:rPr>
              <w:t>Iekšzemes kopprodukts (IKP), milj. latu</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14275</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15378</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16269</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17252</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18303</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19422</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ind w:firstLineChars="100" w:firstLine="240"/>
              <w:rPr>
                <w:rFonts w:ascii="Times New Roman" w:hAnsi="Times New Roman"/>
                <w:sz w:val="24"/>
                <w:szCs w:val="24"/>
              </w:rPr>
            </w:pPr>
            <w:r w:rsidRPr="0095540A">
              <w:rPr>
                <w:rFonts w:ascii="Times New Roman" w:hAnsi="Times New Roman"/>
                <w:sz w:val="24"/>
                <w:szCs w:val="24"/>
              </w:rPr>
              <w:t>pieaugums faktiskajās cenās,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11,7</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7,7</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5,8</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6,0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6,1</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6,1</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ind w:firstLineChars="100" w:firstLine="240"/>
              <w:rPr>
                <w:rFonts w:ascii="Times New Roman" w:hAnsi="Times New Roman"/>
                <w:sz w:val="24"/>
                <w:szCs w:val="24"/>
              </w:rPr>
            </w:pPr>
            <w:r w:rsidRPr="0095540A">
              <w:rPr>
                <w:rFonts w:ascii="Times New Roman" w:hAnsi="Times New Roman"/>
                <w:sz w:val="24"/>
                <w:szCs w:val="24"/>
              </w:rPr>
              <w:t>pieaugums salīdzināmās cenās,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5,5</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5,0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3,7</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4,0</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4,0</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both"/>
              <w:rPr>
                <w:rFonts w:ascii="Times New Roman" w:hAnsi="Times New Roman"/>
                <w:b/>
                <w:sz w:val="24"/>
                <w:szCs w:val="24"/>
              </w:rPr>
            </w:pPr>
            <w:r w:rsidRPr="0095540A">
              <w:rPr>
                <w:rFonts w:ascii="Times New Roman" w:hAnsi="Times New Roman"/>
                <w:b/>
                <w:sz w:val="24"/>
                <w:szCs w:val="24"/>
              </w:rPr>
              <w:t>IKP deflators (gads pret gadu),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5,9</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2,6</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both"/>
              <w:rPr>
                <w:rFonts w:ascii="Times New Roman" w:hAnsi="Times New Roman"/>
                <w:b/>
                <w:sz w:val="24"/>
                <w:szCs w:val="24"/>
              </w:rPr>
            </w:pPr>
            <w:r w:rsidRPr="0095540A">
              <w:rPr>
                <w:rFonts w:ascii="Times New Roman" w:hAnsi="Times New Roman"/>
                <w:b/>
                <w:sz w:val="24"/>
                <w:szCs w:val="24"/>
              </w:rPr>
              <w:t>PCI (gads pret gadu),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4,4</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2,3</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2,0</w:t>
            </w:r>
          </w:p>
        </w:tc>
      </w:tr>
      <w:tr w:rsidR="00871110" w:rsidRPr="0095540A" w:rsidTr="008413F7">
        <w:trPr>
          <w:trHeight w:val="6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344A1C">
            <w:pPr>
              <w:spacing w:after="0" w:line="240" w:lineRule="auto"/>
              <w:jc w:val="both"/>
              <w:rPr>
                <w:rFonts w:ascii="Times New Roman" w:hAnsi="Times New Roman"/>
                <w:b/>
                <w:sz w:val="24"/>
                <w:szCs w:val="24"/>
              </w:rPr>
            </w:pPr>
            <w:r w:rsidRPr="0095540A">
              <w:rPr>
                <w:rFonts w:ascii="Times New Roman" w:hAnsi="Times New Roman"/>
                <w:b/>
                <w:sz w:val="24"/>
                <w:szCs w:val="24"/>
              </w:rPr>
              <w:t>Tautsaimniecībā nodarbināto mēn</w:t>
            </w:r>
            <w:r w:rsidR="00344A1C">
              <w:rPr>
                <w:rFonts w:ascii="Times New Roman" w:hAnsi="Times New Roman"/>
                <w:b/>
                <w:sz w:val="24"/>
                <w:szCs w:val="24"/>
              </w:rPr>
              <w:t>eša</w:t>
            </w:r>
            <w:r w:rsidRPr="0095540A">
              <w:rPr>
                <w:rFonts w:ascii="Times New Roman" w:hAnsi="Times New Roman"/>
                <w:b/>
                <w:sz w:val="24"/>
                <w:szCs w:val="24"/>
              </w:rPr>
              <w:t xml:space="preserve"> vid</w:t>
            </w:r>
            <w:r w:rsidR="00344A1C">
              <w:rPr>
                <w:rFonts w:ascii="Times New Roman" w:hAnsi="Times New Roman"/>
                <w:b/>
                <w:sz w:val="24"/>
                <w:szCs w:val="24"/>
              </w:rPr>
              <w:t>ējā</w:t>
            </w:r>
            <w:r w:rsidRPr="0095540A">
              <w:rPr>
                <w:rFonts w:ascii="Times New Roman" w:hAnsi="Times New Roman"/>
                <w:b/>
                <w:sz w:val="24"/>
                <w:szCs w:val="24"/>
              </w:rPr>
              <w:t xml:space="preserve"> bruto darba samaksa, lati</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464</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481</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498</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518</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541</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566</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ind w:firstLineChars="100" w:firstLine="240"/>
              <w:rPr>
                <w:rFonts w:ascii="Times New Roman" w:hAnsi="Times New Roman"/>
                <w:sz w:val="24"/>
                <w:szCs w:val="24"/>
              </w:rPr>
            </w:pPr>
            <w:r w:rsidRPr="0095540A">
              <w:rPr>
                <w:rFonts w:ascii="Times New Roman" w:hAnsi="Times New Roman"/>
                <w:sz w:val="24"/>
                <w:szCs w:val="24"/>
              </w:rPr>
              <w:t>pieaugums faktiskajās cenās,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4,3</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3,6</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3,5</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4,1</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4,4</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4,7</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ind w:firstLineChars="100" w:firstLine="240"/>
              <w:rPr>
                <w:rFonts w:ascii="Times New Roman" w:hAnsi="Times New Roman"/>
                <w:sz w:val="24"/>
                <w:szCs w:val="24"/>
              </w:rPr>
            </w:pPr>
            <w:r w:rsidRPr="0095540A">
              <w:rPr>
                <w:rFonts w:ascii="Times New Roman" w:hAnsi="Times New Roman"/>
                <w:sz w:val="24"/>
                <w:szCs w:val="24"/>
              </w:rPr>
              <w:t>pieaugums salīdzināmās cenās,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-0,1</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1,3</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1,5</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2,1</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2,3</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2,6</w:t>
            </w:r>
          </w:p>
        </w:tc>
      </w:tr>
      <w:tr w:rsidR="00871110" w:rsidRPr="0095540A" w:rsidTr="008413F7">
        <w:trPr>
          <w:trHeight w:val="6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both"/>
              <w:rPr>
                <w:rFonts w:ascii="Times New Roman" w:hAnsi="Times New Roman"/>
                <w:b/>
                <w:sz w:val="24"/>
                <w:szCs w:val="24"/>
              </w:rPr>
            </w:pPr>
            <w:r w:rsidRPr="0095540A">
              <w:rPr>
                <w:rFonts w:ascii="Times New Roman" w:hAnsi="Times New Roman"/>
                <w:b/>
                <w:sz w:val="24"/>
                <w:szCs w:val="24"/>
              </w:rPr>
              <w:t>Nodarbinātība, tūkst. iedzīvotāju (atbilstoši darbaspēka apsekojumiem)</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861,6</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884,3</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895,0</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906,7</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918,7</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931,0</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ind w:firstLineChars="100" w:firstLine="240"/>
              <w:rPr>
                <w:rFonts w:ascii="Times New Roman" w:hAnsi="Times New Roman"/>
                <w:sz w:val="24"/>
                <w:szCs w:val="24"/>
              </w:rPr>
            </w:pPr>
            <w:r w:rsidRPr="0095540A">
              <w:rPr>
                <w:rFonts w:ascii="Times New Roman" w:hAnsi="Times New Roman"/>
                <w:sz w:val="24"/>
                <w:szCs w:val="24"/>
              </w:rPr>
              <w:t>pieaugums, %</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2,6</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1,2</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1,3</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1,3</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sz w:val="24"/>
                <w:szCs w:val="24"/>
              </w:rPr>
            </w:pPr>
            <w:r w:rsidRPr="0095540A">
              <w:rPr>
                <w:rFonts w:ascii="Times New Roman" w:hAnsi="Times New Roman"/>
                <w:sz w:val="24"/>
                <w:szCs w:val="24"/>
              </w:rPr>
              <w:t>1,3</w:t>
            </w:r>
          </w:p>
        </w:tc>
      </w:tr>
      <w:tr w:rsidR="00871110" w:rsidRPr="0095540A" w:rsidTr="008413F7">
        <w:trPr>
          <w:trHeight w:val="3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rsidR="00871110" w:rsidRPr="0095540A" w:rsidRDefault="00871110" w:rsidP="00344A1C">
            <w:pPr>
              <w:spacing w:after="0" w:line="240" w:lineRule="auto"/>
              <w:jc w:val="both"/>
              <w:rPr>
                <w:rFonts w:ascii="Times New Roman" w:hAnsi="Times New Roman"/>
                <w:b/>
                <w:sz w:val="24"/>
                <w:szCs w:val="24"/>
              </w:rPr>
            </w:pPr>
            <w:r w:rsidRPr="0095540A">
              <w:rPr>
                <w:rFonts w:ascii="Times New Roman" w:hAnsi="Times New Roman"/>
                <w:b/>
                <w:sz w:val="24"/>
                <w:szCs w:val="24"/>
              </w:rPr>
              <w:t>Bezdarba līmenis (gada vidējais), % no ekon</w:t>
            </w:r>
            <w:r w:rsidR="00344A1C">
              <w:rPr>
                <w:rFonts w:ascii="Times New Roman" w:hAnsi="Times New Roman"/>
                <w:b/>
                <w:sz w:val="24"/>
                <w:szCs w:val="24"/>
              </w:rPr>
              <w:t>omiski</w:t>
            </w:r>
            <w:r w:rsidRPr="0095540A">
              <w:rPr>
                <w:rFonts w:ascii="Times New Roman" w:hAnsi="Times New Roman"/>
                <w:b/>
                <w:sz w:val="24"/>
                <w:szCs w:val="24"/>
              </w:rPr>
              <w:t xml:space="preserve"> aktīv</w:t>
            </w:r>
            <w:r w:rsidR="00344A1C">
              <w:rPr>
                <w:rFonts w:ascii="Times New Roman" w:hAnsi="Times New Roman"/>
                <w:b/>
                <w:sz w:val="24"/>
                <w:szCs w:val="24"/>
              </w:rPr>
              <w:t>aj</w:t>
            </w:r>
            <w:r w:rsidRPr="0095540A">
              <w:rPr>
                <w:rFonts w:ascii="Times New Roman" w:hAnsi="Times New Roman"/>
                <w:b/>
                <w:sz w:val="24"/>
                <w:szCs w:val="24"/>
              </w:rPr>
              <w:t>iem iedzīv</w:t>
            </w:r>
            <w:r w:rsidR="00344A1C">
              <w:rPr>
                <w:rFonts w:ascii="Times New Roman" w:hAnsi="Times New Roman"/>
                <w:b/>
                <w:sz w:val="24"/>
                <w:szCs w:val="24"/>
              </w:rPr>
              <w:t>otājiem</w:t>
            </w:r>
          </w:p>
        </w:tc>
        <w:tc>
          <w:tcPr>
            <w:tcW w:w="992"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16,2</w:t>
            </w:r>
          </w:p>
        </w:tc>
        <w:tc>
          <w:tcPr>
            <w:tcW w:w="946"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15,1</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13,4</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11,9</w:t>
            </w:r>
          </w:p>
        </w:tc>
        <w:tc>
          <w:tcPr>
            <w:tcW w:w="874"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10,5</w:t>
            </w:r>
          </w:p>
        </w:tc>
        <w:tc>
          <w:tcPr>
            <w:tcW w:w="875" w:type="dxa"/>
            <w:tcBorders>
              <w:top w:val="nil"/>
              <w:left w:val="nil"/>
              <w:bottom w:val="single" w:sz="4" w:space="0" w:color="auto"/>
              <w:right w:val="single" w:sz="4" w:space="0" w:color="auto"/>
            </w:tcBorders>
            <w:shd w:val="clear" w:color="auto" w:fill="auto"/>
            <w:noWrap/>
            <w:vAlign w:val="bottom"/>
            <w:hideMark/>
          </w:tcPr>
          <w:p w:rsidR="00871110" w:rsidRPr="0095540A" w:rsidRDefault="00871110" w:rsidP="008413F7">
            <w:pPr>
              <w:spacing w:after="0" w:line="240" w:lineRule="auto"/>
              <w:jc w:val="right"/>
              <w:rPr>
                <w:rFonts w:ascii="Times New Roman" w:hAnsi="Times New Roman"/>
                <w:b/>
                <w:sz w:val="24"/>
                <w:szCs w:val="24"/>
              </w:rPr>
            </w:pPr>
            <w:r w:rsidRPr="0095540A">
              <w:rPr>
                <w:rFonts w:ascii="Times New Roman" w:hAnsi="Times New Roman"/>
                <w:b/>
                <w:sz w:val="24"/>
                <w:szCs w:val="24"/>
              </w:rPr>
              <w:t>8,5</w:t>
            </w:r>
          </w:p>
        </w:tc>
      </w:tr>
    </w:tbl>
    <w:p w:rsidR="00871110" w:rsidRPr="006202E5" w:rsidRDefault="00871110" w:rsidP="00871110">
      <w:pPr>
        <w:spacing w:after="0" w:line="240" w:lineRule="auto"/>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 xml:space="preserve">Iepriekšējās makroekonomisko rādītāju prognozes tika izstrādātas 2012.gada jūnijā un bija pamatā likuma par valsts budžetu 2012.gadam grozījumu, kā arī likuma par valsts budžetu 2013.gadam sagatavošanai. Tās paredzēja IKP pieaugumu </w:t>
      </w:r>
      <w:r w:rsidR="00344A1C" w:rsidRPr="006202E5">
        <w:rPr>
          <w:rFonts w:ascii="Times New Roman" w:eastAsia="Calibri" w:hAnsi="Times New Roman"/>
          <w:sz w:val="24"/>
          <w:szCs w:val="24"/>
          <w:lang w:eastAsia="en-US"/>
        </w:rPr>
        <w:t>4,0</w:t>
      </w:r>
      <w:r w:rsidR="00344A1C">
        <w:rPr>
          <w:rFonts w:ascii="Times New Roman" w:eastAsia="Calibri" w:hAnsi="Times New Roman"/>
          <w:sz w:val="24"/>
          <w:szCs w:val="24"/>
          <w:lang w:eastAsia="en-US"/>
        </w:rPr>
        <w:t> %</w:t>
      </w:r>
      <w:r w:rsidR="00344A1C" w:rsidRPr="006202E5">
        <w:rPr>
          <w:rFonts w:ascii="Times New Roman" w:eastAsia="Calibri" w:hAnsi="Times New Roman"/>
          <w:sz w:val="24"/>
          <w:szCs w:val="24"/>
          <w:lang w:eastAsia="en-US"/>
        </w:rPr>
        <w:t xml:space="preserve"> apmērā </w:t>
      </w:r>
      <w:r w:rsidRPr="006202E5">
        <w:rPr>
          <w:rFonts w:ascii="Times New Roman" w:eastAsia="Calibri" w:hAnsi="Times New Roman"/>
          <w:sz w:val="24"/>
          <w:szCs w:val="24"/>
          <w:lang w:eastAsia="en-US"/>
        </w:rPr>
        <w:t>2012.gadā, 3,7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pieaugumu 2013.gadā, kā arī 4,0</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pieaugumu 2014. un 2015.gadā. Nākamā prognožu atjaunošana paredzēta 2013.gada februārī, un šīs prognozes tiks izmantotas Konverģences programmas sagatavošanai.</w:t>
      </w:r>
    </w:p>
    <w:p w:rsidR="00871110" w:rsidRPr="0091124F" w:rsidRDefault="00871110" w:rsidP="00871110">
      <w:pPr>
        <w:pStyle w:val="Heading3"/>
      </w:pPr>
      <w:bookmarkStart w:id="35" w:name="_Toc348089277"/>
      <w:bookmarkStart w:id="36" w:name="_Toc348948339"/>
      <w:r w:rsidRPr="0091124F">
        <w:t>1.2. Patēriņa cenas</w:t>
      </w:r>
      <w:bookmarkEnd w:id="35"/>
      <w:bookmarkEnd w:id="36"/>
      <w:r w:rsidRPr="0091124F">
        <w:t xml:space="preserve"> </w:t>
      </w:r>
    </w:p>
    <w:p w:rsidR="00871110" w:rsidRPr="00AF3D3D" w:rsidRDefault="00871110" w:rsidP="00871110">
      <w:pPr>
        <w:spacing w:after="0" w:line="240" w:lineRule="auto"/>
        <w:ind w:firstLine="426"/>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Inflācijas dinamika 2012.gadā bija ar ievērojamu samazināšanās tendenci – 2012.gada janvārī gada inflācija (mēnesis pret iepriekšējā gada atbilstošo mēnesi) bija 3,6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bet gads kopumā ir noslēdzies ar 1,6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inflāciju, savukārt gada vidējā inflācija (12</w:t>
      </w:r>
      <w:r w:rsidR="00344A1C">
        <w:rPr>
          <w:rFonts w:ascii="Times New Roman" w:eastAsia="Calibri" w:hAnsi="Times New Roman"/>
          <w:sz w:val="24"/>
          <w:szCs w:val="24"/>
          <w:lang w:eastAsia="en-US"/>
        </w:rPr>
        <w:t> </w:t>
      </w:r>
      <w:r w:rsidRPr="006202E5">
        <w:rPr>
          <w:rFonts w:ascii="Times New Roman" w:eastAsia="Calibri" w:hAnsi="Times New Roman"/>
          <w:sz w:val="24"/>
          <w:szCs w:val="24"/>
          <w:lang w:eastAsia="en-US"/>
        </w:rPr>
        <w:t>mēneši pret iepriekšējiem 12 mēnešiem) 2012.gada janvārī bija 4,4</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bet decembrī rādītājs samazinājās līdz 2,3</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Gada laikā inflācijas prognoze netika koriģēta</w:t>
      </w:r>
      <w:r w:rsidR="00344A1C">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un faktiskā inflācija atbilst oficiālajām prognozēm. </w:t>
      </w:r>
    </w:p>
    <w:p w:rsidR="00871110" w:rsidRPr="006202E5" w:rsidRDefault="00871110" w:rsidP="00871110">
      <w:pPr>
        <w:spacing w:after="0" w:line="240" w:lineRule="auto"/>
        <w:rPr>
          <w:rFonts w:ascii="Times New Roman" w:hAnsi="Times New Roman"/>
          <w:i/>
          <w:sz w:val="24"/>
          <w:szCs w:val="24"/>
        </w:rPr>
      </w:pPr>
    </w:p>
    <w:p w:rsidR="00871110" w:rsidRPr="006202E5" w:rsidRDefault="00871110" w:rsidP="00871110">
      <w:pPr>
        <w:spacing w:after="0" w:line="240" w:lineRule="auto"/>
        <w:jc w:val="center"/>
        <w:rPr>
          <w:rFonts w:ascii="Times New Roman" w:hAnsi="Times New Roman"/>
          <w:b/>
          <w:sz w:val="24"/>
          <w:szCs w:val="24"/>
        </w:rPr>
      </w:pPr>
      <w:r w:rsidRPr="006202E5">
        <w:rPr>
          <w:rFonts w:ascii="Times New Roman" w:hAnsi="Times New Roman"/>
          <w:i/>
          <w:sz w:val="24"/>
          <w:szCs w:val="24"/>
        </w:rPr>
        <w:t xml:space="preserve">2.attēls </w:t>
      </w:r>
      <w:r w:rsidRPr="006202E5">
        <w:rPr>
          <w:rFonts w:ascii="Times New Roman" w:hAnsi="Times New Roman"/>
          <w:b/>
          <w:sz w:val="24"/>
          <w:szCs w:val="24"/>
        </w:rPr>
        <w:t>Patēriņa cenu izmaiņas</w:t>
      </w:r>
    </w:p>
    <w:p w:rsidR="00871110" w:rsidRPr="006202E5" w:rsidRDefault="00871110" w:rsidP="00871110">
      <w:pPr>
        <w:spacing w:after="0" w:line="240" w:lineRule="auto"/>
        <w:rPr>
          <w:rFonts w:ascii="Times New Roman" w:hAnsi="Times New Roman"/>
          <w:sz w:val="24"/>
          <w:szCs w:val="24"/>
        </w:rPr>
      </w:pPr>
    </w:p>
    <w:tbl>
      <w:tblPr>
        <w:tblW w:w="5000" w:type="pct"/>
        <w:tblLook w:val="04A0" w:firstRow="1" w:lastRow="0" w:firstColumn="1" w:lastColumn="0" w:noHBand="0" w:noVBand="1"/>
      </w:tblPr>
      <w:tblGrid>
        <w:gridCol w:w="4428"/>
        <w:gridCol w:w="4428"/>
      </w:tblGrid>
      <w:tr w:rsidR="00871110" w:rsidRPr="0095540A" w:rsidTr="008413F7">
        <w:tc>
          <w:tcPr>
            <w:tcW w:w="2500" w:type="pct"/>
            <w:hideMark/>
          </w:tcPr>
          <w:p w:rsidR="00871110" w:rsidRPr="006202E5" w:rsidRDefault="00871110" w:rsidP="008413F7">
            <w:pPr>
              <w:spacing w:after="0" w:line="240" w:lineRule="auto"/>
              <w:jc w:val="center"/>
              <w:rPr>
                <w:rFonts w:ascii="Times New Roman" w:hAnsi="Times New Roman"/>
                <w:sz w:val="24"/>
                <w:szCs w:val="24"/>
              </w:rPr>
            </w:pPr>
            <w:r w:rsidRPr="006202E5">
              <w:rPr>
                <w:rFonts w:ascii="Times New Roman" w:hAnsi="Times New Roman"/>
                <w:sz w:val="24"/>
                <w:szCs w:val="24"/>
              </w:rPr>
              <w:lastRenderedPageBreak/>
              <w:t>indekss, 2008. gada decembris = 100</w:t>
            </w:r>
          </w:p>
        </w:tc>
        <w:tc>
          <w:tcPr>
            <w:tcW w:w="2500" w:type="pct"/>
            <w:hideMark/>
          </w:tcPr>
          <w:p w:rsidR="00871110" w:rsidRPr="006202E5" w:rsidRDefault="00871110" w:rsidP="00344A1C">
            <w:pPr>
              <w:spacing w:after="0" w:line="240" w:lineRule="auto"/>
              <w:jc w:val="center"/>
              <w:rPr>
                <w:rFonts w:ascii="Times New Roman" w:hAnsi="Times New Roman"/>
                <w:sz w:val="24"/>
                <w:szCs w:val="24"/>
              </w:rPr>
            </w:pPr>
            <w:r w:rsidRPr="006202E5">
              <w:rPr>
                <w:rFonts w:ascii="Times New Roman" w:hAnsi="Times New Roman"/>
                <w:sz w:val="24"/>
                <w:szCs w:val="24"/>
              </w:rPr>
              <w:t>12</w:t>
            </w:r>
            <w:r w:rsidR="00344A1C">
              <w:rPr>
                <w:rFonts w:ascii="Times New Roman" w:hAnsi="Times New Roman"/>
                <w:sz w:val="24"/>
                <w:szCs w:val="24"/>
              </w:rPr>
              <w:t xml:space="preserve"> </w:t>
            </w:r>
            <w:r w:rsidRPr="006202E5">
              <w:rPr>
                <w:rFonts w:ascii="Times New Roman" w:hAnsi="Times New Roman"/>
                <w:sz w:val="24"/>
                <w:szCs w:val="24"/>
              </w:rPr>
              <w:t>mēnešu un gada vidējā inflācija</w:t>
            </w:r>
          </w:p>
        </w:tc>
      </w:tr>
      <w:tr w:rsidR="00871110" w:rsidRPr="0095540A" w:rsidTr="008413F7">
        <w:tc>
          <w:tcPr>
            <w:tcW w:w="2500" w:type="pct"/>
            <w:hideMark/>
          </w:tcPr>
          <w:p w:rsidR="00871110" w:rsidRPr="006202E5" w:rsidRDefault="00871110" w:rsidP="008413F7">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266488CE" wp14:editId="79E0FD75">
                  <wp:extent cx="2882900" cy="1925320"/>
                  <wp:effectExtent l="0" t="0" r="0" b="0"/>
                  <wp:docPr id="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500" w:type="pct"/>
            <w:hideMark/>
          </w:tcPr>
          <w:p w:rsidR="00871110" w:rsidRPr="006202E5" w:rsidRDefault="00871110" w:rsidP="008413F7">
            <w:pPr>
              <w:spacing w:after="0" w:line="240" w:lineRule="auto"/>
              <w:rPr>
                <w:rFonts w:ascii="Times New Roman" w:hAnsi="Times New Roman"/>
                <w:sz w:val="24"/>
                <w:szCs w:val="24"/>
              </w:rPr>
            </w:pPr>
            <w:r>
              <w:rPr>
                <w:rFonts w:ascii="Times New Roman" w:hAnsi="Times New Roman"/>
                <w:noProof/>
                <w:sz w:val="24"/>
                <w:szCs w:val="24"/>
              </w:rPr>
              <w:drawing>
                <wp:inline distT="0" distB="0" distL="0" distR="0" wp14:anchorId="47685B4D" wp14:editId="09838519">
                  <wp:extent cx="2882900" cy="1861185"/>
                  <wp:effectExtent l="0" t="0" r="0" b="0"/>
                  <wp:docPr id="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871110" w:rsidRPr="00AF3D3D" w:rsidRDefault="00871110" w:rsidP="00871110">
      <w:pPr>
        <w:pStyle w:val="BodyTextIndent3"/>
        <w:suppressAutoHyphens/>
        <w:spacing w:after="0" w:line="240" w:lineRule="auto"/>
        <w:rPr>
          <w:rFonts w:ascii="Times New Roman" w:hAnsi="Times New Roman"/>
          <w:i/>
          <w:sz w:val="20"/>
          <w:szCs w:val="20"/>
          <w:lang w:val="lv-LV" w:eastAsia="lv-LV"/>
        </w:rPr>
      </w:pPr>
      <w:r w:rsidRPr="00AF3D3D">
        <w:rPr>
          <w:rFonts w:ascii="Times New Roman" w:hAnsi="Times New Roman"/>
          <w:i/>
          <w:sz w:val="20"/>
          <w:szCs w:val="20"/>
          <w:lang w:val="lv-LV" w:eastAsia="lv-LV"/>
        </w:rPr>
        <w:t>Avots: CSP, EM aprēķini</w:t>
      </w:r>
    </w:p>
    <w:p w:rsidR="00871110" w:rsidRPr="006202E5" w:rsidRDefault="00871110" w:rsidP="00871110">
      <w:pPr>
        <w:spacing w:after="0" w:line="240" w:lineRule="auto"/>
        <w:jc w:val="both"/>
        <w:rPr>
          <w:rFonts w:ascii="Times New Roman" w:eastAsia="Calibri" w:hAnsi="Times New Roman"/>
          <w:sz w:val="24"/>
          <w:szCs w:val="24"/>
          <w:lang w:eastAsia="en-US"/>
        </w:rPr>
      </w:pPr>
    </w:p>
    <w:p w:rsidR="00871110" w:rsidRPr="006202E5" w:rsidRDefault="00871110" w:rsidP="00871110">
      <w:pPr>
        <w:spacing w:after="0" w:line="240" w:lineRule="auto"/>
        <w:ind w:firstLine="426"/>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Lielāko ietekmi uz patēriņa cenām ir radījusi importētā inflācija, kuru nosaka energoresursu cenu izmaiņas (gada laikā siltumenerģijas cenas ir kāpušas par 14,6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bet gāzes tarifi pieauguši par 12,0</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un neapstrādātās pārtikas cenas (pieaugums par 6,7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Izmaiņu pamatā ir cenu svārstības pasaules izejvielu tirgos.</w:t>
      </w:r>
    </w:p>
    <w:p w:rsidR="00871110" w:rsidRPr="006202E5" w:rsidRDefault="00871110" w:rsidP="00871110">
      <w:pPr>
        <w:spacing w:after="0" w:line="240" w:lineRule="auto"/>
        <w:rPr>
          <w:rFonts w:ascii="Times New Roman" w:eastAsia="Calibri" w:hAnsi="Times New Roman"/>
          <w:i/>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3. attēls.</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Faktoru devums gada inflācijā pēc izcelsmes</w:t>
      </w:r>
      <w:r w:rsidRPr="006202E5">
        <w:rPr>
          <w:rFonts w:ascii="Times New Roman" w:eastAsia="Calibri" w:hAnsi="Times New Roman"/>
          <w:sz w:val="24"/>
          <w:szCs w:val="24"/>
          <w:vertAlign w:val="superscript"/>
          <w:lang w:eastAsia="en-US"/>
        </w:rPr>
        <w:footnoteReference w:id="3"/>
      </w:r>
    </w:p>
    <w:p w:rsidR="00871110" w:rsidRPr="006202E5" w:rsidRDefault="00871110" w:rsidP="00871110">
      <w:pPr>
        <w:spacing w:after="0" w:line="240" w:lineRule="auto"/>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1595C7AF" wp14:editId="2E1A2F82">
            <wp:extent cx="5281930" cy="2656840"/>
            <wp:effectExtent l="19050" t="0" r="0" b="0"/>
            <wp:docPr id="3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5281930" cy="2656840"/>
                    </a:xfrm>
                    <a:prstGeom prst="rect">
                      <a:avLst/>
                    </a:prstGeom>
                    <a:noFill/>
                    <a:ln w="9525">
                      <a:noFill/>
                      <a:miter lim="800000"/>
                      <a:headEnd/>
                      <a:tailEnd/>
                    </a:ln>
                  </pic:spPr>
                </pic:pic>
              </a:graphicData>
            </a:graphic>
          </wp:inline>
        </w:drawing>
      </w:r>
    </w:p>
    <w:p w:rsidR="00871110" w:rsidRPr="00AF3D3D" w:rsidRDefault="00871110" w:rsidP="00871110">
      <w:pPr>
        <w:spacing w:after="0" w:line="240" w:lineRule="auto"/>
        <w:jc w:val="both"/>
        <w:rPr>
          <w:rFonts w:ascii="Times New Roman" w:eastAsia="Calibri" w:hAnsi="Times New Roman"/>
          <w:i/>
          <w:sz w:val="20"/>
          <w:szCs w:val="20"/>
          <w:lang w:eastAsia="en-US"/>
        </w:rPr>
      </w:pPr>
      <w:r w:rsidRPr="00AF3D3D">
        <w:rPr>
          <w:rFonts w:ascii="Times New Roman" w:eastAsia="Calibri" w:hAnsi="Times New Roman"/>
          <w:i/>
          <w:sz w:val="20"/>
          <w:szCs w:val="20"/>
          <w:lang w:eastAsia="en-US"/>
        </w:rPr>
        <w:t>Avots: CSP; FM aprēķini</w:t>
      </w:r>
    </w:p>
    <w:p w:rsidR="00871110" w:rsidRPr="006202E5" w:rsidRDefault="00871110" w:rsidP="00871110">
      <w:pPr>
        <w:spacing w:after="0" w:line="240" w:lineRule="auto"/>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Jau no 2012.gada septembra Latvija izpilda Māstrihtas kritēriju inflācijai (gada vidējā inflācija)</w:t>
      </w:r>
      <w:r w:rsidR="00344A1C">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labvēlīgā cenu dinamika arī turpmāk nodrošinās šī kritērija izpildi. </w:t>
      </w:r>
      <w:r w:rsidRPr="006202E5">
        <w:rPr>
          <w:rFonts w:ascii="Times New Roman" w:eastAsia="Calibri" w:hAnsi="Times New Roman"/>
          <w:sz w:val="24"/>
          <w:szCs w:val="24"/>
          <w:lang w:eastAsia="en-US"/>
        </w:rPr>
        <w:lastRenderedPageBreak/>
        <w:t>Salīdzinājumā</w:t>
      </w:r>
      <w:r w:rsidR="00344A1C">
        <w:rPr>
          <w:rFonts w:ascii="Times New Roman" w:eastAsia="Calibri" w:hAnsi="Times New Roman"/>
          <w:sz w:val="24"/>
          <w:szCs w:val="24"/>
          <w:lang w:eastAsia="en-US"/>
        </w:rPr>
        <w:t xml:space="preserve"> ar 2012.gada vasaras prognozēm</w:t>
      </w:r>
      <w:r w:rsidRPr="006202E5">
        <w:rPr>
          <w:rFonts w:ascii="Times New Roman" w:eastAsia="Calibri" w:hAnsi="Times New Roman"/>
          <w:sz w:val="24"/>
          <w:szCs w:val="24"/>
          <w:lang w:eastAsia="en-US"/>
        </w:rPr>
        <w:t xml:space="preserve"> inflācijas prognoze palikusi nemainīga, un 2013.gadā gada vidējā inflācija tiek prognozēta 2,0</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apmērā.</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Atbilstoši jaunākajiem FM aprēķiniem Māstrihtas inflācijas kritērijs 2013.gada martā būs 2,6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bet Latvijas gada vidējā inflācija tiek prognozēta 1,7</w:t>
      </w:r>
      <w:r w:rsidR="00111406">
        <w:rPr>
          <w:rFonts w:ascii="Times New Roman" w:eastAsia="Calibri" w:hAnsi="Times New Roman"/>
          <w:sz w:val="24"/>
          <w:szCs w:val="24"/>
          <w:lang w:eastAsia="en-US"/>
        </w:rPr>
        <w:t> %</w:t>
      </w:r>
      <w:r w:rsidR="00344A1C">
        <w:rPr>
          <w:rFonts w:ascii="Times New Roman" w:eastAsia="Calibri" w:hAnsi="Times New Roman"/>
          <w:sz w:val="24"/>
          <w:szCs w:val="24"/>
          <w:lang w:eastAsia="en-US"/>
        </w:rPr>
        <w:t xml:space="preserve"> – </w:t>
      </w:r>
      <w:r w:rsidRPr="006202E5">
        <w:rPr>
          <w:rFonts w:ascii="Times New Roman" w:eastAsia="Calibri" w:hAnsi="Times New Roman"/>
          <w:sz w:val="24"/>
          <w:szCs w:val="24"/>
          <w:lang w:eastAsia="en-US"/>
        </w:rPr>
        <w:t>1,8</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apmērā. Paredzams, ka kritēriju noteiks Grieķija (0,7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Zviedrija (1,0</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un, iespējams, Īrija (1,7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Bet, tā kā prognozētā gada vidējā inflācija vairāk</w:t>
      </w:r>
      <w:r w:rsidR="00344A1C">
        <w:rPr>
          <w:rFonts w:ascii="Times New Roman" w:eastAsia="Calibri" w:hAnsi="Times New Roman"/>
          <w:sz w:val="24"/>
          <w:szCs w:val="24"/>
          <w:lang w:eastAsia="en-US"/>
        </w:rPr>
        <w:t>ā</w:t>
      </w:r>
      <w:r w:rsidRPr="006202E5">
        <w:rPr>
          <w:rFonts w:ascii="Times New Roman" w:eastAsia="Calibri" w:hAnsi="Times New Roman"/>
          <w:sz w:val="24"/>
          <w:szCs w:val="24"/>
          <w:lang w:eastAsia="en-US"/>
        </w:rPr>
        <w:t>s valst</w:t>
      </w:r>
      <w:r w:rsidR="00344A1C">
        <w:rPr>
          <w:rFonts w:ascii="Times New Roman" w:eastAsia="Calibri" w:hAnsi="Times New Roman"/>
          <w:sz w:val="24"/>
          <w:szCs w:val="24"/>
          <w:lang w:eastAsia="en-US"/>
        </w:rPr>
        <w:t>ī</w:t>
      </w:r>
      <w:r w:rsidRPr="006202E5">
        <w:rPr>
          <w:rFonts w:ascii="Times New Roman" w:eastAsia="Calibri" w:hAnsi="Times New Roman"/>
          <w:sz w:val="24"/>
          <w:szCs w:val="24"/>
          <w:lang w:eastAsia="en-US"/>
        </w:rPr>
        <w:t>s ir līdzīga Īrijas rādītājam, šobrīd precīzi noteikt trešo valsti nav iespējams. Pastāv varbūtība, ka trešā kritēriju nosakošā valsts varētu būt arī Latvija.</w:t>
      </w:r>
    </w:p>
    <w:p w:rsidR="00871110" w:rsidRPr="006202E5" w:rsidRDefault="00871110" w:rsidP="00871110">
      <w:pPr>
        <w:spacing w:after="0" w:line="240" w:lineRule="auto"/>
        <w:jc w:val="both"/>
        <w:rPr>
          <w:rFonts w:ascii="Times New Roman" w:eastAsia="Calibri" w:hAnsi="Times New Roman"/>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4. attēls.</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Māstrihtas inflācijas kritērija dinamika un izpilde</w:t>
      </w:r>
    </w:p>
    <w:p w:rsidR="00871110" w:rsidRPr="006202E5" w:rsidRDefault="00871110" w:rsidP="00871110">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3D9D6B23" wp14:editId="5B24008B">
            <wp:extent cx="5281930" cy="2839720"/>
            <wp:effectExtent l="1905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5281930" cy="2839720"/>
                    </a:xfrm>
                    <a:prstGeom prst="rect">
                      <a:avLst/>
                    </a:prstGeom>
                    <a:noFill/>
                    <a:ln w="9525">
                      <a:noFill/>
                      <a:miter lim="800000"/>
                      <a:headEnd/>
                      <a:tailEnd/>
                    </a:ln>
                  </pic:spPr>
                </pic:pic>
              </a:graphicData>
            </a:graphic>
          </wp:inline>
        </w:drawing>
      </w:r>
    </w:p>
    <w:p w:rsidR="00871110" w:rsidRPr="0080053F" w:rsidRDefault="00871110" w:rsidP="00871110">
      <w:pPr>
        <w:spacing w:after="0" w:line="240" w:lineRule="auto"/>
        <w:jc w:val="both"/>
        <w:rPr>
          <w:rFonts w:ascii="Times New Roman" w:eastAsia="Calibri" w:hAnsi="Times New Roman"/>
          <w:i/>
          <w:sz w:val="20"/>
          <w:szCs w:val="20"/>
          <w:lang w:eastAsia="en-US"/>
        </w:rPr>
      </w:pPr>
      <w:r w:rsidRPr="00AF3D3D">
        <w:rPr>
          <w:rFonts w:ascii="Times New Roman" w:eastAsia="Calibri" w:hAnsi="Times New Roman"/>
          <w:i/>
          <w:sz w:val="20"/>
          <w:szCs w:val="20"/>
          <w:lang w:eastAsia="en-US"/>
        </w:rPr>
        <w:t>Av</w:t>
      </w:r>
      <w:r>
        <w:rPr>
          <w:rFonts w:ascii="Times New Roman" w:eastAsia="Calibri" w:hAnsi="Times New Roman"/>
          <w:i/>
          <w:sz w:val="20"/>
          <w:szCs w:val="20"/>
          <w:lang w:eastAsia="en-US"/>
        </w:rPr>
        <w:t>ots: CSP; Eurostat, FM aprēķini</w:t>
      </w:r>
    </w:p>
    <w:p w:rsidR="00871110" w:rsidRPr="006202E5" w:rsidRDefault="00871110" w:rsidP="00871110">
      <w:pPr>
        <w:pStyle w:val="Heading3"/>
        <w:rPr>
          <w:szCs w:val="24"/>
        </w:rPr>
      </w:pPr>
      <w:bookmarkStart w:id="37" w:name="_Toc348089278"/>
      <w:bookmarkStart w:id="38" w:name="_Toc348948340"/>
      <w:r w:rsidRPr="006202E5">
        <w:rPr>
          <w:szCs w:val="24"/>
        </w:rPr>
        <w:t>1.3. Nodarbinātības un bezdarba rādītāji</w:t>
      </w:r>
      <w:bookmarkEnd w:id="37"/>
      <w:bookmarkEnd w:id="38"/>
      <w:r w:rsidRPr="006202E5">
        <w:rPr>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Pakāpeniska ekonomisko aktivitāšu palielināšanās pozitīvi ietekmē situāciju darba tirgū – pieaug nodarbinātība</w:t>
      </w:r>
      <w:r w:rsidR="00344A1C">
        <w:rPr>
          <w:rFonts w:ascii="Times New Roman" w:hAnsi="Times New Roman"/>
          <w:sz w:val="24"/>
          <w:szCs w:val="24"/>
        </w:rPr>
        <w:t>,</w:t>
      </w:r>
      <w:r w:rsidRPr="006202E5">
        <w:rPr>
          <w:rFonts w:ascii="Times New Roman" w:hAnsi="Times New Roman"/>
          <w:sz w:val="24"/>
          <w:szCs w:val="24"/>
        </w:rPr>
        <w:t xml:space="preserve"> mazinās krīzes izraisītais augstais bezdarbs. Tajā pašā laikā atsevišķas iedzīvotāju grupas, īpaši personas ar zemu izglītības līmeni un kvalifikāciju, gados vecāki cilvēki, kā arī jaunieši, situācijas uzlabošanos izjūt mazāk.</w:t>
      </w:r>
    </w:p>
    <w:p w:rsidR="00871110" w:rsidRPr="006202E5" w:rsidRDefault="00871110" w:rsidP="00871110">
      <w:pPr>
        <w:spacing w:after="0" w:line="240" w:lineRule="auto"/>
        <w:ind w:firstLine="720"/>
        <w:jc w:val="both"/>
        <w:rPr>
          <w:rFonts w:ascii="Times New Roman" w:hAnsi="Times New Roman"/>
          <w:color w:val="FF0000"/>
          <w:sz w:val="24"/>
          <w:szCs w:val="24"/>
        </w:rPr>
      </w:pPr>
      <w:r w:rsidRPr="006202E5">
        <w:rPr>
          <w:rFonts w:ascii="Times New Roman" w:hAnsi="Times New Roman"/>
          <w:sz w:val="24"/>
          <w:szCs w:val="24"/>
        </w:rPr>
        <w:t>2011.gadā nodarbināto skaits pieauga par 2,5 </w:t>
      </w:r>
      <w:r w:rsidR="00111406">
        <w:rPr>
          <w:rFonts w:ascii="Times New Roman" w:hAnsi="Times New Roman"/>
          <w:sz w:val="24"/>
          <w:szCs w:val="24"/>
        </w:rPr>
        <w:t>%</w:t>
      </w:r>
      <w:r w:rsidRPr="006202E5">
        <w:rPr>
          <w:rFonts w:ascii="Times New Roman" w:hAnsi="Times New Roman"/>
          <w:sz w:val="24"/>
          <w:szCs w:val="24"/>
        </w:rPr>
        <w:t xml:space="preserve">, salīdzinot ar 2010.gadu. </w:t>
      </w:r>
      <w:r w:rsidRPr="006202E5">
        <w:rPr>
          <w:rFonts w:ascii="Times New Roman" w:eastAsia="Calibri" w:hAnsi="Times New Roman"/>
          <w:sz w:val="24"/>
          <w:szCs w:val="24"/>
          <w:lang w:eastAsia="en-US"/>
        </w:rPr>
        <w:t>2012.gada pirmajos deviņos mēnešos, salīdzinot ar iepriekšējā gada attiecīgo periodu, nodarbināto iedzīvotāju skaits ir palielinājies par 2,7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Latvijas ekonomikai saglabājot straujus izaugsmes tempus, 2012.gada trešajā ceturksnī nodarbināto skaits sasniedza 905,1 tūksto</w:t>
      </w:r>
      <w:r w:rsidR="00344A1C">
        <w:rPr>
          <w:rFonts w:ascii="Times New Roman" w:eastAsia="Calibri" w:hAnsi="Times New Roman"/>
          <w:sz w:val="24"/>
          <w:szCs w:val="24"/>
          <w:lang w:eastAsia="en-US"/>
        </w:rPr>
        <w:t>ti</w:t>
      </w:r>
      <w:r w:rsidRPr="006202E5">
        <w:rPr>
          <w:rFonts w:ascii="Times New Roman" w:eastAsia="Calibri" w:hAnsi="Times New Roman"/>
          <w:sz w:val="24"/>
          <w:szCs w:val="24"/>
          <w:lang w:eastAsia="en-US"/>
        </w:rPr>
        <w:t xml:space="preserve"> iedzīvotāju, kas ir par 3,4</w:t>
      </w:r>
      <w:r w:rsidR="00111406">
        <w:rPr>
          <w:rFonts w:ascii="Times New Roman" w:eastAsia="Calibri" w:hAnsi="Times New Roman"/>
          <w:sz w:val="24"/>
          <w:szCs w:val="24"/>
          <w:lang w:eastAsia="en-US"/>
        </w:rPr>
        <w:t> %</w:t>
      </w:r>
      <w:r w:rsidR="00344A1C">
        <w:rPr>
          <w:rFonts w:ascii="Times New Roman" w:eastAsia="Calibri" w:hAnsi="Times New Roman"/>
          <w:sz w:val="24"/>
          <w:szCs w:val="24"/>
          <w:lang w:eastAsia="en-US"/>
        </w:rPr>
        <w:t xml:space="preserve"> vairāk</w:t>
      </w:r>
      <w:r w:rsidRPr="006202E5">
        <w:rPr>
          <w:rFonts w:ascii="Times New Roman" w:eastAsia="Calibri" w:hAnsi="Times New Roman"/>
          <w:sz w:val="24"/>
          <w:szCs w:val="24"/>
          <w:lang w:eastAsia="en-US"/>
        </w:rPr>
        <w:t xml:space="preserve"> nekā iepriekšējā gad</w:t>
      </w:r>
      <w:r w:rsidR="00344A1C">
        <w:rPr>
          <w:rFonts w:ascii="Times New Roman" w:eastAsia="Calibri" w:hAnsi="Times New Roman"/>
          <w:sz w:val="24"/>
          <w:szCs w:val="24"/>
          <w:lang w:eastAsia="en-US"/>
        </w:rPr>
        <w:t>a attiecīgajā periodā. Savukārt</w:t>
      </w:r>
      <w:r w:rsidRPr="006202E5">
        <w:rPr>
          <w:rFonts w:ascii="Times New Roman" w:eastAsia="Calibri" w:hAnsi="Times New Roman"/>
          <w:sz w:val="24"/>
          <w:szCs w:val="24"/>
          <w:lang w:eastAsia="en-US"/>
        </w:rPr>
        <w:t xml:space="preserve"> darba meklētāju īpatsvars 2012.gada trešajā ceturksnī sarucis līdz 13,5</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kas ir zemākais līmenis kopš 2008.gada beigām. Sagaidāms, ka vidējā termiņā būs vērojams mērens nodar</w:t>
      </w:r>
      <w:r w:rsidR="00344A1C">
        <w:rPr>
          <w:rFonts w:ascii="Times New Roman" w:eastAsia="Calibri" w:hAnsi="Times New Roman"/>
          <w:sz w:val="24"/>
          <w:szCs w:val="24"/>
          <w:lang w:eastAsia="en-US"/>
        </w:rPr>
        <w:t>binātības pieaugums un izaugsme galvenokārt</w:t>
      </w:r>
      <w:r w:rsidRPr="006202E5">
        <w:rPr>
          <w:rFonts w:ascii="Times New Roman" w:eastAsia="Calibri" w:hAnsi="Times New Roman"/>
          <w:sz w:val="24"/>
          <w:szCs w:val="24"/>
          <w:lang w:eastAsia="en-US"/>
        </w:rPr>
        <w:t xml:space="preserve"> balstīsies uz produktivitātes pieaugumu, savukārt darba meklētāju īpatsvara samazināšanās tempu noteiks tautsaimniecības izaugsme un strukturālās izmaiņas.</w:t>
      </w:r>
    </w:p>
    <w:p w:rsidR="00871110" w:rsidRPr="006202E5" w:rsidRDefault="00871110" w:rsidP="00871110">
      <w:pPr>
        <w:spacing w:after="0" w:line="240" w:lineRule="auto"/>
        <w:rPr>
          <w:rFonts w:ascii="Times New Roman" w:eastAsia="Calibri" w:hAnsi="Times New Roman"/>
          <w:i/>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5. attēls.</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Bezdarba rādītāju izmaiņas no 2008. – 2012. gadam</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r>
        <w:rPr>
          <w:rFonts w:ascii="Times New Roman" w:eastAsia="Calibri" w:hAnsi="Times New Roman"/>
          <w:noProof/>
          <w:sz w:val="24"/>
          <w:szCs w:val="24"/>
        </w:rPr>
        <w:lastRenderedPageBreak/>
        <w:drawing>
          <wp:inline distT="0" distB="0" distL="0" distR="0" wp14:anchorId="0F35C4BE" wp14:editId="1CC96440">
            <wp:extent cx="5281930" cy="2743200"/>
            <wp:effectExtent l="19050" t="0" r="0" b="0"/>
            <wp:docPr id="34"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5" cstate="print"/>
                    <a:srcRect/>
                    <a:stretch>
                      <a:fillRect/>
                    </a:stretch>
                  </pic:blipFill>
                  <pic:spPr bwMode="auto">
                    <a:xfrm>
                      <a:off x="0" y="0"/>
                      <a:ext cx="5281930" cy="2743200"/>
                    </a:xfrm>
                    <a:prstGeom prst="rect">
                      <a:avLst/>
                    </a:prstGeom>
                    <a:noFill/>
                    <a:ln w="9525">
                      <a:noFill/>
                      <a:miter lim="800000"/>
                      <a:headEnd/>
                      <a:tailEnd/>
                    </a:ln>
                  </pic:spPr>
                </pic:pic>
              </a:graphicData>
            </a:graphic>
          </wp:inline>
        </w:drawing>
      </w:r>
    </w:p>
    <w:p w:rsidR="00871110" w:rsidRPr="00AF3D3D" w:rsidRDefault="00871110" w:rsidP="00871110">
      <w:pPr>
        <w:spacing w:after="0" w:line="240" w:lineRule="auto"/>
        <w:jc w:val="both"/>
        <w:rPr>
          <w:rFonts w:ascii="Times New Roman" w:eastAsia="Calibri" w:hAnsi="Times New Roman"/>
          <w:i/>
          <w:sz w:val="20"/>
          <w:szCs w:val="20"/>
          <w:lang w:eastAsia="en-US"/>
        </w:rPr>
      </w:pPr>
      <w:r w:rsidRPr="00AF3D3D">
        <w:rPr>
          <w:rFonts w:ascii="Times New Roman" w:eastAsia="Calibri" w:hAnsi="Times New Roman"/>
          <w:i/>
          <w:sz w:val="20"/>
          <w:szCs w:val="20"/>
          <w:lang w:eastAsia="en-US"/>
        </w:rPr>
        <w:t>Avots: CSP</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eastAsia="Calibri" w:hAnsi="Times New Roman"/>
          <w:sz w:val="24"/>
          <w:szCs w:val="24"/>
          <w:lang w:eastAsia="en-US"/>
        </w:rPr>
        <w:t>Arī reģistrētā bezdarba līmenis 2012.gadā turpināja samazināties un gada beigās bija noslīdējis līdz 10,5</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no ekonomiski aktīvajiem iedzīvotājiem. Tas ir par vienu procentpunktu mazāk nekā 2011.gada beigās, un reāli bezdarba līmeņa samazināšanās bijusi vēl straujāka, jo 2012.gada datos ņemti vērā pēdējās tautas skaitīšanas rezultāti, atbilstoši kuriem ekonomiski aktīvo iedzīvotāju skaits ir izrādījies mazāks, nekā tika uzskatīts iepriekš. </w:t>
      </w:r>
      <w:r w:rsidRPr="00337F5B">
        <w:rPr>
          <w:rFonts w:ascii="Times New Roman" w:eastAsia="Calibri" w:hAnsi="Times New Roman"/>
          <w:sz w:val="24"/>
          <w:szCs w:val="24"/>
          <w:lang w:eastAsia="en-US"/>
        </w:rPr>
        <w:t>Reģistrēto bezdarbnieku skaits gada laikā ir sarucis par 28 tūkstošiem jeb 22</w:t>
      </w:r>
      <w:r w:rsidR="00111406">
        <w:rPr>
          <w:rFonts w:ascii="Times New Roman" w:eastAsia="Calibri" w:hAnsi="Times New Roman"/>
          <w:sz w:val="24"/>
          <w:szCs w:val="24"/>
          <w:lang w:eastAsia="en-US"/>
        </w:rPr>
        <w:t> %</w:t>
      </w:r>
      <w:r w:rsidRPr="00337F5B">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Savukārt no jauna reģistrēto bezdarbnieku skaits 2012.gada decembrī bija par 2,4 tūkstošiem jeb 23,2</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mazāks nekā attiecīgajā mēnesī pirms gada.</w:t>
      </w:r>
      <w:r w:rsidRPr="006202E5">
        <w:rPr>
          <w:rFonts w:ascii="Times New Roman" w:hAnsi="Times New Roman"/>
          <w:color w:val="FF0000"/>
          <w:sz w:val="24"/>
          <w:szCs w:val="24"/>
        </w:rPr>
        <w:t xml:space="preserve"> </w:t>
      </w:r>
      <w:r w:rsidRPr="006202E5">
        <w:rPr>
          <w:rFonts w:ascii="Times New Roman" w:hAnsi="Times New Roman"/>
          <w:sz w:val="24"/>
          <w:szCs w:val="24"/>
        </w:rPr>
        <w:t>Augstākais reģistrētais bezdarba līmenis 2012.gada decembra beigās saglabājās Latgales reģionā (21,2 </w:t>
      </w:r>
      <w:r w:rsidR="00111406">
        <w:rPr>
          <w:rFonts w:ascii="Times New Roman" w:hAnsi="Times New Roman"/>
          <w:sz w:val="24"/>
          <w:szCs w:val="24"/>
        </w:rPr>
        <w:t>%</w:t>
      </w:r>
      <w:r w:rsidRPr="006202E5">
        <w:rPr>
          <w:rFonts w:ascii="Times New Roman" w:hAnsi="Times New Roman"/>
          <w:sz w:val="24"/>
          <w:szCs w:val="24"/>
        </w:rPr>
        <w:t>), bet zemākais – Rīgā (6,8 %).</w:t>
      </w:r>
    </w:p>
    <w:p w:rsidR="00871110" w:rsidRPr="006202E5" w:rsidRDefault="00D81A65" w:rsidP="00871110">
      <w:pPr>
        <w:spacing w:after="0" w:line="240" w:lineRule="auto"/>
        <w:ind w:firstLine="720"/>
        <w:jc w:val="both"/>
        <w:rPr>
          <w:rFonts w:ascii="Times New Roman" w:hAnsi="Times New Roman"/>
          <w:sz w:val="24"/>
          <w:szCs w:val="24"/>
        </w:rPr>
      </w:pPr>
      <w:r>
        <w:rPr>
          <w:rFonts w:ascii="Times New Roman" w:hAnsi="Times New Roman"/>
          <w:sz w:val="24"/>
          <w:szCs w:val="24"/>
        </w:rPr>
        <w:t>Pašreizējais bezdarba līmenis galvenokārt</w:t>
      </w:r>
      <w:r w:rsidR="00871110" w:rsidRPr="006202E5">
        <w:rPr>
          <w:rFonts w:ascii="Times New Roman" w:hAnsi="Times New Roman"/>
          <w:sz w:val="24"/>
          <w:szCs w:val="24"/>
        </w:rPr>
        <w:t xml:space="preserve"> saistīts ar ciklisko bezdarbu, tomēr vērojamas arī strukturālā bezdarba pazīmes. Saglabāj</w:t>
      </w:r>
      <w:r>
        <w:rPr>
          <w:rFonts w:ascii="Times New Roman" w:hAnsi="Times New Roman"/>
          <w:sz w:val="24"/>
          <w:szCs w:val="24"/>
        </w:rPr>
        <w:t>a</w:t>
      </w:r>
      <w:r w:rsidR="00871110" w:rsidRPr="006202E5">
        <w:rPr>
          <w:rFonts w:ascii="Times New Roman" w:hAnsi="Times New Roman"/>
          <w:sz w:val="24"/>
          <w:szCs w:val="24"/>
        </w:rPr>
        <w:t>s risks, ka daļa no esošiem bezdarbniekiem ilgstoši nevarēs atrast darbu un strukturālās problēmas var kļūt izteiktākas, jo nozares, kas ātrāk atgūstas no krīzes nav tās pašas, kurās bija vakances pirms krīzes un kurās cilvēki zaudēja darbu krīzes laikā. Tautsaimniecībā notiek struktūras izmaiņas, un var veidoties neatbilstība starp darbaspēka piedāvājumu un pieprasījumu – darba meklētāju prasmes neatbilst tam, ko pieprasa uzņēmēji.</w:t>
      </w:r>
    </w:p>
    <w:p w:rsidR="00871110" w:rsidRPr="00564305" w:rsidRDefault="00871110" w:rsidP="00564305">
      <w:pPr>
        <w:spacing w:after="0" w:line="240" w:lineRule="auto"/>
        <w:ind w:firstLine="720"/>
        <w:jc w:val="both"/>
        <w:rPr>
          <w:color w:val="1F497D"/>
        </w:rPr>
      </w:pPr>
      <w:r w:rsidRPr="006202E5">
        <w:rPr>
          <w:rFonts w:ascii="Times New Roman" w:hAnsi="Times New Roman"/>
          <w:sz w:val="24"/>
          <w:szCs w:val="24"/>
        </w:rPr>
        <w:t>Krīzes laikā līdz ar kopējā bezdarba līmeņa pieaugumu palielinājās arī ilgstošo bezdarbnieku skaits (darba meklētāji, kas bez darba ir ilgāk par vienu gadu). Šobrīd vērojama tendence samazināties ilgstošo bezdarbnieku skaitam. Tomēr, pēc CSP datiem, 2012.gada 3.ceturksnī joprojām aptuveni puse (4</w:t>
      </w:r>
      <w:r>
        <w:rPr>
          <w:rFonts w:ascii="Times New Roman" w:hAnsi="Times New Roman"/>
          <w:sz w:val="24"/>
          <w:szCs w:val="24"/>
        </w:rPr>
        <w:t>7</w:t>
      </w:r>
      <w:r w:rsidRPr="006202E5">
        <w:rPr>
          <w:rFonts w:ascii="Times New Roman" w:hAnsi="Times New Roman"/>
          <w:sz w:val="24"/>
          <w:szCs w:val="24"/>
        </w:rPr>
        <w:t>,</w:t>
      </w:r>
      <w:r>
        <w:rPr>
          <w:rFonts w:ascii="Times New Roman" w:hAnsi="Times New Roman"/>
          <w:sz w:val="24"/>
          <w:szCs w:val="24"/>
        </w:rPr>
        <w:t>3</w:t>
      </w:r>
      <w:r w:rsidRPr="006202E5">
        <w:rPr>
          <w:rFonts w:ascii="Times New Roman" w:hAnsi="Times New Roman"/>
          <w:sz w:val="24"/>
          <w:szCs w:val="24"/>
        </w:rPr>
        <w:t xml:space="preserve"> %) jeb </w:t>
      </w:r>
      <w:r>
        <w:rPr>
          <w:rFonts w:ascii="Times New Roman" w:hAnsi="Times New Roman"/>
          <w:sz w:val="24"/>
          <w:szCs w:val="24"/>
        </w:rPr>
        <w:t xml:space="preserve">67,1 </w:t>
      </w:r>
      <w:r w:rsidRPr="006202E5">
        <w:rPr>
          <w:rFonts w:ascii="Times New Roman" w:hAnsi="Times New Roman"/>
          <w:sz w:val="24"/>
          <w:szCs w:val="24"/>
        </w:rPr>
        <w:t>tūkst</w:t>
      </w:r>
      <w:r>
        <w:rPr>
          <w:rFonts w:ascii="Times New Roman" w:hAnsi="Times New Roman"/>
          <w:sz w:val="24"/>
          <w:szCs w:val="24"/>
        </w:rPr>
        <w:t>.</w:t>
      </w:r>
      <w:r w:rsidRPr="006202E5">
        <w:rPr>
          <w:rFonts w:ascii="Times New Roman" w:hAnsi="Times New Roman"/>
          <w:sz w:val="24"/>
          <w:szCs w:val="24"/>
        </w:rPr>
        <w:t xml:space="preserve"> no kopējā bezdarbnieku skaita bija bez darba ilgāk par gadu. Liels ilgstošais bezdarbs var radīt strukturālā bezdarba pieaugumu, proti, jo ilgāk šie cilvēki ir bez darba, jo lielāks risks zaudēt darba iemaņas un prasmes.</w:t>
      </w:r>
      <w:r w:rsidRPr="00A42DB2">
        <w:rPr>
          <w:color w:val="1F497D"/>
        </w:rPr>
        <w:t xml:space="preserve"> </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hAnsi="Times New Roman"/>
          <w:sz w:val="24"/>
          <w:szCs w:val="24"/>
        </w:rPr>
        <w:t>Paredzams, ka situācija darba tirgū turpinās uzlaboties arī turpmāk, tomēr galvenie riski ir saistīti ar globālās ekonomikas attīstības tendencēm, kas var ietekmēt situāciju darba tirgū Latvijā.</w:t>
      </w:r>
      <w:r w:rsidRPr="006202E5">
        <w:rPr>
          <w:rFonts w:ascii="Times New Roman" w:eastAsia="Calibri" w:hAnsi="Times New Roman"/>
          <w:sz w:val="24"/>
          <w:szCs w:val="24"/>
          <w:lang w:eastAsia="en-US"/>
        </w:rPr>
        <w:t xml:space="preserve"> Tuvākajos gados algu pieaugumu ierobežos joprojā</w:t>
      </w:r>
      <w:r>
        <w:rPr>
          <w:rFonts w:ascii="Times New Roman" w:eastAsia="Calibri" w:hAnsi="Times New Roman"/>
          <w:sz w:val="24"/>
          <w:szCs w:val="24"/>
          <w:lang w:eastAsia="en-US"/>
        </w:rPr>
        <w:t>m salīdzinoši augstais bezdarbs</w:t>
      </w:r>
      <w:r w:rsidR="00A57B39">
        <w:rPr>
          <w:rFonts w:ascii="Times New Roman" w:eastAsia="Calibri" w:hAnsi="Times New Roman"/>
          <w:sz w:val="24"/>
          <w:szCs w:val="24"/>
          <w:lang w:eastAsia="en-US"/>
        </w:rPr>
        <w:t>, un</w:t>
      </w:r>
      <w:r w:rsidRPr="006202E5">
        <w:rPr>
          <w:rFonts w:ascii="Times New Roman" w:eastAsia="Calibri" w:hAnsi="Times New Roman"/>
          <w:sz w:val="24"/>
          <w:szCs w:val="24"/>
          <w:lang w:eastAsia="en-US"/>
        </w:rPr>
        <w:t xml:space="preserve"> vidējā termiņā algu pieaugumu noteiks produktivitātes pieaugums.</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lastRenderedPageBreak/>
        <w:t>Vidējā mēneša darba alga 2012.gada pirmajos deviņos mēnešos salīdzinājumā ar iepriekšējā gada attiecīgo periodu palielinājās par 3,6</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To noteica algas kāpums sabiedriskajā sektorā par 4,3</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Šis pieaugums galvenokārt bija saistīts ar algu pieaugumu valsts un pašvaldību kapitālsabiedrībās, kur salīdzinājumā ar iepriekšējā gada attiecīgo periodu vidējā mēneša darba alga palielinājās par 6,7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sz w:val="24"/>
          <w:szCs w:val="24"/>
          <w:lang w:eastAsia="en-US"/>
        </w:rPr>
      </w:pPr>
      <w:r w:rsidRPr="006202E5">
        <w:rPr>
          <w:rFonts w:ascii="Times New Roman" w:eastAsia="Calibri" w:hAnsi="Times New Roman"/>
          <w:i/>
          <w:sz w:val="24"/>
          <w:szCs w:val="24"/>
          <w:lang w:eastAsia="en-US"/>
        </w:rPr>
        <w:t>6. attēls.</w:t>
      </w:r>
      <w:r w:rsidRPr="006202E5">
        <w:rPr>
          <w:rFonts w:ascii="Times New Roman" w:eastAsia="Calibri" w:hAnsi="Times New Roman"/>
          <w:sz w:val="24"/>
          <w:szCs w:val="24"/>
          <w:lang w:eastAsia="en-US"/>
        </w:rPr>
        <w:t xml:space="preserve"> </w:t>
      </w:r>
      <w:r w:rsidRPr="006202E5">
        <w:rPr>
          <w:rFonts w:ascii="Times New Roman" w:eastAsia="Calibri" w:hAnsi="Times New Roman"/>
          <w:b/>
          <w:sz w:val="24"/>
          <w:szCs w:val="24"/>
          <w:lang w:eastAsia="en-US"/>
        </w:rPr>
        <w:t>Vidējā bruto darba samaksa pa ceturkšņiem, Ls</w:t>
      </w:r>
    </w:p>
    <w:p w:rsidR="00871110" w:rsidRPr="006202E5" w:rsidRDefault="00871110" w:rsidP="00871110">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751799B4" wp14:editId="25707FE9">
            <wp:extent cx="5281930" cy="2958465"/>
            <wp:effectExtent l="19050" t="0" r="0" b="0"/>
            <wp:docPr id="3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t="7735" b="3038"/>
                    <a:stretch>
                      <a:fillRect/>
                    </a:stretch>
                  </pic:blipFill>
                  <pic:spPr bwMode="auto">
                    <a:xfrm>
                      <a:off x="0" y="0"/>
                      <a:ext cx="5281930" cy="2958465"/>
                    </a:xfrm>
                    <a:prstGeom prst="rect">
                      <a:avLst/>
                    </a:prstGeom>
                    <a:noFill/>
                    <a:ln w="9525">
                      <a:noFill/>
                      <a:miter lim="800000"/>
                      <a:headEnd/>
                      <a:tailEnd/>
                    </a:ln>
                  </pic:spPr>
                </pic:pic>
              </a:graphicData>
            </a:graphic>
          </wp:inline>
        </w:drawing>
      </w:r>
    </w:p>
    <w:p w:rsidR="00871110" w:rsidRPr="00337F5B" w:rsidRDefault="00871110" w:rsidP="00871110">
      <w:pPr>
        <w:spacing w:after="0" w:line="240" w:lineRule="auto"/>
        <w:jc w:val="both"/>
        <w:rPr>
          <w:rFonts w:ascii="Times New Roman" w:eastAsia="Calibri" w:hAnsi="Times New Roman"/>
          <w:i/>
          <w:sz w:val="20"/>
          <w:szCs w:val="20"/>
          <w:lang w:eastAsia="en-US"/>
        </w:rPr>
      </w:pPr>
      <w:r w:rsidRPr="00337F5B">
        <w:rPr>
          <w:rFonts w:ascii="Times New Roman" w:eastAsia="Calibri" w:hAnsi="Times New Roman"/>
          <w:i/>
          <w:sz w:val="20"/>
          <w:szCs w:val="20"/>
          <w:lang w:eastAsia="en-US"/>
        </w:rPr>
        <w:t>Avots: CSP</w:t>
      </w:r>
    </w:p>
    <w:p w:rsidR="00871110" w:rsidRPr="006202E5" w:rsidRDefault="00871110" w:rsidP="00871110">
      <w:pPr>
        <w:spacing w:after="0" w:line="240" w:lineRule="auto"/>
        <w:ind w:firstLine="360"/>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eastAsia="Calibri" w:hAnsi="Times New Roman"/>
          <w:sz w:val="24"/>
          <w:szCs w:val="24"/>
          <w:lang w:eastAsia="en-US"/>
        </w:rPr>
        <w:t>Savukārt vispārējās valdības sektorā, kas ietver valsts un pašvaldību budžeta iestādes, algas gada laikā palielinājušās tikai par 2,2</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w:t>
      </w:r>
      <w:r w:rsidRPr="006202E5">
        <w:rPr>
          <w:rFonts w:ascii="Times New Roman" w:hAnsi="Times New Roman"/>
          <w:sz w:val="24"/>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2013.gadā plānots atalgojuma pieaugums Sociālās aprūpes darbiniekiem par darbu, kas saistīts ar īpašu risku, </w:t>
      </w:r>
      <w:r w:rsidR="00D81A65">
        <w:rPr>
          <w:rFonts w:ascii="Times New Roman" w:hAnsi="Times New Roman"/>
          <w:sz w:val="24"/>
          <w:szCs w:val="24"/>
        </w:rPr>
        <w:t xml:space="preserve">tas </w:t>
      </w:r>
      <w:r w:rsidRPr="006202E5">
        <w:rPr>
          <w:rFonts w:ascii="Times New Roman" w:hAnsi="Times New Roman"/>
          <w:sz w:val="24"/>
          <w:szCs w:val="24"/>
        </w:rPr>
        <w:t>kopā vidēji palielināsies par 36</w:t>
      </w:r>
      <w:r w:rsidR="00111406">
        <w:rPr>
          <w:rFonts w:ascii="Times New Roman" w:hAnsi="Times New Roman"/>
          <w:sz w:val="24"/>
          <w:szCs w:val="24"/>
        </w:rPr>
        <w:t> %</w:t>
      </w:r>
      <w:r w:rsidRPr="006202E5">
        <w:rPr>
          <w:rFonts w:ascii="Times New Roman" w:hAnsi="Times New Roman"/>
          <w:sz w:val="24"/>
          <w:szCs w:val="24"/>
        </w:rPr>
        <w:t xml:space="preserve"> </w:t>
      </w:r>
      <w:r w:rsidR="00D81A65">
        <w:rPr>
          <w:rFonts w:ascii="Times New Roman" w:hAnsi="Times New Roman"/>
          <w:sz w:val="24"/>
          <w:szCs w:val="24"/>
        </w:rPr>
        <w:t>–</w:t>
      </w:r>
      <w:r w:rsidRPr="006202E5">
        <w:rPr>
          <w:rFonts w:ascii="Times New Roman" w:hAnsi="Times New Roman"/>
          <w:sz w:val="24"/>
          <w:szCs w:val="24"/>
        </w:rPr>
        <w:t xml:space="preserve"> 67</w:t>
      </w:r>
      <w:r w:rsidR="00111406">
        <w:rPr>
          <w:rFonts w:ascii="Times New Roman" w:hAnsi="Times New Roman"/>
          <w:sz w:val="24"/>
          <w:szCs w:val="24"/>
        </w:rPr>
        <w:t> %</w:t>
      </w:r>
      <w:r w:rsidRPr="006202E5">
        <w:rPr>
          <w:rFonts w:ascii="Times New Roman" w:hAnsi="Times New Roman"/>
          <w:sz w:val="24"/>
          <w:szCs w:val="24"/>
        </w:rPr>
        <w:t>. Piešķirtais papildu valsts budžeta finansējums 2013.gadam – 3 378 470 latu. Tiesu un prokuratūras darbiniekiem</w:t>
      </w:r>
      <w:r w:rsidRPr="006202E5">
        <w:rPr>
          <w:rFonts w:ascii="Times New Roman" w:hAnsi="Times New Roman"/>
          <w:b/>
          <w:sz w:val="24"/>
          <w:szCs w:val="24"/>
        </w:rPr>
        <w:t xml:space="preserve"> </w:t>
      </w:r>
      <w:r w:rsidRPr="006202E5">
        <w:rPr>
          <w:rFonts w:ascii="Times New Roman" w:hAnsi="Times New Roman"/>
          <w:sz w:val="24"/>
          <w:szCs w:val="24"/>
        </w:rPr>
        <w:t xml:space="preserve">alga palielināsies vidēji par 40 latiem (bruto). Piešķirtais papildu finansējums 2013.gadam: augstākās tiesas darbiniekiem – 149 435 lati; prokuratūras darbiniekiem – 201 413 lati; TM tiesu darbiniekiem mēnešalgas palielināšanai un tiesu darbinieku veselības apdrošināšanai – 1 260 118 lati.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Lai nodrošinātu izglītības un zinātnes ministra parakstīto memorandu ar LIZDA par pedagogu atalgojumu reformas uzsākšanu, piešķirts finansējums zemākās mēneša darba algas likmes paaugstināšanai par 10</w:t>
      </w:r>
      <w:r w:rsidR="00111406">
        <w:rPr>
          <w:rFonts w:ascii="Times New Roman" w:hAnsi="Times New Roman"/>
          <w:sz w:val="24"/>
          <w:szCs w:val="24"/>
        </w:rPr>
        <w:t> %</w:t>
      </w:r>
      <w:r w:rsidR="00A57B39" w:rsidRPr="006202E5">
        <w:rPr>
          <w:rFonts w:ascii="Times New Roman" w:hAnsi="Times New Roman"/>
          <w:sz w:val="24"/>
          <w:szCs w:val="24"/>
        </w:rPr>
        <w:t xml:space="preserve"> </w:t>
      </w:r>
      <w:r w:rsidRPr="006202E5">
        <w:rPr>
          <w:rFonts w:ascii="Times New Roman" w:hAnsi="Times New Roman"/>
          <w:sz w:val="24"/>
          <w:szCs w:val="24"/>
        </w:rPr>
        <w:t>no 2012.gada 1.septembra, tiek uzsākta diferencēta pedagogu atalgojuma ieviešana, sasaistot to ar pedagogu profesionālās darbības kvalitāti, nodrošinot piemaksu vidēji 10</w:t>
      </w:r>
      <w:r w:rsidR="00111406">
        <w:rPr>
          <w:rFonts w:ascii="Times New Roman" w:hAnsi="Times New Roman"/>
          <w:sz w:val="24"/>
          <w:szCs w:val="24"/>
        </w:rPr>
        <w:t> %</w:t>
      </w:r>
      <w:r w:rsidRPr="006202E5">
        <w:rPr>
          <w:rFonts w:ascii="Times New Roman" w:hAnsi="Times New Roman"/>
          <w:sz w:val="24"/>
          <w:szCs w:val="24"/>
        </w:rPr>
        <w:t xml:space="preserve"> </w:t>
      </w:r>
      <w:r w:rsidR="00D81A65">
        <w:rPr>
          <w:rFonts w:ascii="Times New Roman" w:hAnsi="Times New Roman"/>
          <w:sz w:val="24"/>
          <w:szCs w:val="24"/>
        </w:rPr>
        <w:t xml:space="preserve">apmērā </w:t>
      </w:r>
      <w:r w:rsidRPr="006202E5">
        <w:rPr>
          <w:rFonts w:ascii="Times New Roman" w:hAnsi="Times New Roman"/>
          <w:sz w:val="24"/>
          <w:szCs w:val="24"/>
        </w:rPr>
        <w:t>pedagogiem, kuri ieguvuši 4. un 5.kvalitātes pakāpi, kā arī tiks maksātas piemaksas 10</w:t>
      </w:r>
      <w:r w:rsidR="00111406">
        <w:rPr>
          <w:rFonts w:ascii="Times New Roman" w:hAnsi="Times New Roman"/>
          <w:sz w:val="24"/>
          <w:szCs w:val="24"/>
        </w:rPr>
        <w:t> %</w:t>
      </w:r>
      <w:r w:rsidRPr="006202E5">
        <w:rPr>
          <w:rFonts w:ascii="Times New Roman" w:hAnsi="Times New Roman"/>
          <w:sz w:val="24"/>
          <w:szCs w:val="24"/>
        </w:rPr>
        <w:t xml:space="preserve"> apmērā no 2013.gada 1.septembra pedagogiem, kuri ieguvuši 3.kvalitātes pakāpi </w:t>
      </w:r>
      <w:r w:rsidR="00D81A65" w:rsidRPr="006202E5">
        <w:rPr>
          <w:rFonts w:ascii="Times New Roman" w:hAnsi="Times New Roman"/>
          <w:sz w:val="24"/>
          <w:szCs w:val="24"/>
        </w:rPr>
        <w:t xml:space="preserve">Piešķirts arī </w:t>
      </w:r>
      <w:r w:rsidRPr="006202E5">
        <w:rPr>
          <w:rFonts w:ascii="Times New Roman" w:hAnsi="Times New Roman"/>
          <w:sz w:val="24"/>
          <w:szCs w:val="24"/>
        </w:rPr>
        <w:t>finansējums sakarā ar audzēkņu skaita palielināšanos mācību iestādēs, tiks nodrošināts vienāds atalgojums kultūrizglītības iestāžu pedagogiem salīdzinājumā ar vispārizglītojošajām skolām. Piešķirtais papildu finansējums 2013.gadam – 11 302 131 lata apmērā.</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IeM sistēmas iestāžu amatpersonām ar speciālajām dienesta pakāpēm (policistiem, robežsargiem, ugunsdzēsējiem) un TM Ieslodzījuma vietu pārvaldes </w:t>
      </w:r>
      <w:r w:rsidRPr="006202E5">
        <w:rPr>
          <w:rFonts w:ascii="Times New Roman" w:hAnsi="Times New Roman"/>
          <w:sz w:val="24"/>
          <w:szCs w:val="24"/>
        </w:rPr>
        <w:lastRenderedPageBreak/>
        <w:t>amatpersonām ar speciālajām dienesta pakāpēm atalgojums palielināsies vidēji par 30 latiem neto (ar 2013.gadu mēnešalgā tiek integrēta uzturdevas kompensācija). Piešķirtais papildu finansējums 2013.gadam – 19 295 571 Ls.</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Tāpat ar 2012.gada 1.septembri tika atjaunots valsts budžeta finansējums pašvaldību tautas kolektīvu vadītāju darba samaksai. 2013.gadā tiek paredzēts finansējums pilnam gadam - 491 396 lati pašvaldību tautas mākslas kolektīvu vadītāju darba samaksai un valsts sociālās apdrošināšanas obligātajām iemaksām.</w:t>
      </w:r>
    </w:p>
    <w:p w:rsidR="00871110" w:rsidRPr="0091124F" w:rsidRDefault="00871110" w:rsidP="00871110">
      <w:pPr>
        <w:pStyle w:val="Heading3"/>
      </w:pPr>
      <w:bookmarkStart w:id="39" w:name="_Toc348089279"/>
      <w:bookmarkStart w:id="40" w:name="_Toc348948341"/>
      <w:r w:rsidRPr="0091124F">
        <w:t>1.4. Ārējā tirdzniecība</w:t>
      </w:r>
      <w:bookmarkEnd w:id="39"/>
      <w:bookmarkEnd w:id="40"/>
    </w:p>
    <w:p w:rsidR="00871110" w:rsidRPr="006202E5" w:rsidRDefault="00871110" w:rsidP="00871110">
      <w:pPr>
        <w:widowControl w:val="0"/>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6202E5">
        <w:rPr>
          <w:rFonts w:ascii="Times New Roman" w:eastAsia="Calibri" w:hAnsi="Times New Roman"/>
          <w:color w:val="000000"/>
          <w:sz w:val="24"/>
          <w:szCs w:val="24"/>
          <w:lang w:eastAsia="en-US"/>
        </w:rPr>
        <w:t>Neskatoties uz negatīvo ārē</w:t>
      </w:r>
      <w:r w:rsidR="00D81A65">
        <w:rPr>
          <w:rFonts w:ascii="Times New Roman" w:eastAsia="Calibri" w:hAnsi="Times New Roman"/>
          <w:color w:val="000000"/>
          <w:sz w:val="24"/>
          <w:szCs w:val="24"/>
          <w:lang w:eastAsia="en-US"/>
        </w:rPr>
        <w:t>jo fonu, ko pamatā noteica eiro</w:t>
      </w:r>
      <w:r w:rsidRPr="006202E5">
        <w:rPr>
          <w:rFonts w:ascii="Times New Roman" w:eastAsia="Calibri" w:hAnsi="Times New Roman"/>
          <w:color w:val="000000"/>
          <w:sz w:val="24"/>
          <w:szCs w:val="24"/>
          <w:lang w:eastAsia="en-US"/>
        </w:rPr>
        <w:t>zonas valstu izaugsmes tempu palēnināšanās, Latvijas ražotāju uzlabotās konkurētspējas un eksporta tirgu diversifikācijas rezultātā 2012. gadā eksporta apjomi turpināja palielināties un gada otrajā pusē sasniedza vēsturiski augstāko līmeni.</w:t>
      </w:r>
      <w:r w:rsidR="006D7AB4" w:rsidRPr="006202E5">
        <w:rPr>
          <w:rFonts w:ascii="Times New Roman" w:eastAsia="Calibri" w:hAnsi="Times New Roman"/>
          <w:color w:val="000000"/>
          <w:sz w:val="24"/>
          <w:szCs w:val="24"/>
          <w:lang w:eastAsia="en-US"/>
        </w:rPr>
        <w:t xml:space="preserve"> </w:t>
      </w:r>
    </w:p>
    <w:p w:rsidR="00871110" w:rsidRPr="0091124F" w:rsidRDefault="00871110" w:rsidP="00871110">
      <w:pPr>
        <w:widowControl w:val="0"/>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6202E5">
        <w:rPr>
          <w:rFonts w:ascii="Times New Roman" w:eastAsia="Calibri" w:hAnsi="Times New Roman"/>
          <w:color w:val="000000"/>
          <w:sz w:val="24"/>
          <w:szCs w:val="24"/>
          <w:lang w:eastAsia="en-US"/>
        </w:rPr>
        <w:t>Kopumā 2012. gada janvārī - novembrī Latvijas ārējās tirdzniecības apgrozījums sasniedza 14323,4 milj. latu – par 14,1</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xml:space="preserve"> jeb 1772,4 milj. vairāk nekā 2011. gada attiecīgajā periodā. Izzūdot bāzes efektam, gada ārējās tirdzniecības gada pieauguma tempi gada pirmajā pusē samazinājās - 2011. gadā ārējās tirdzniecības apgrozījuma gada pieauguma temps bija 29,3</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bet 2012. gada pirmajā pusē vairs tikai 13,5</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tomēr augstāks eksporta sniegums septembrī – novembrī paaugstināja preču eksporta apjomu izaugsmes tempus. Kopumā preču eksporta apjoms faktiskajās cenās gada vienpadsmit mēnešos sasniedza 6337,2 milj. latu – par 15,4</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xml:space="preserve"> jeb 844,0 milj. latu vairāk nekā 2011. gada atbilstošajā periodā. Importa apjoms faktiskajās cenās veidoja 7985,6 milj. latu, salīdzinājumā ar 2011. gada atbilstošo periodu palielinoties par 928,5 milj. jeb 13,2</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Ņemot</w:t>
      </w:r>
      <w:r w:rsidR="00D81A65">
        <w:rPr>
          <w:rFonts w:ascii="Times New Roman" w:eastAsia="Calibri" w:hAnsi="Times New Roman"/>
          <w:color w:val="000000"/>
          <w:sz w:val="24"/>
          <w:szCs w:val="24"/>
          <w:lang w:eastAsia="en-US"/>
        </w:rPr>
        <w:t xml:space="preserve"> vērā ekonomisko situāciju eiro</w:t>
      </w:r>
      <w:r w:rsidRPr="006202E5">
        <w:rPr>
          <w:rFonts w:ascii="Times New Roman" w:eastAsia="Calibri" w:hAnsi="Times New Roman"/>
          <w:color w:val="000000"/>
          <w:sz w:val="24"/>
          <w:szCs w:val="24"/>
          <w:lang w:eastAsia="en-US"/>
        </w:rPr>
        <w:t>zonā, šāds sniegums vērtējams ļoti pozitīvi.</w:t>
      </w:r>
    </w:p>
    <w:p w:rsidR="00871110" w:rsidRPr="006202E5" w:rsidRDefault="00871110" w:rsidP="00871110">
      <w:pPr>
        <w:spacing w:after="0" w:line="240" w:lineRule="auto"/>
        <w:ind w:firstLine="360"/>
        <w:jc w:val="center"/>
        <w:rPr>
          <w:rFonts w:ascii="Times New Roman" w:eastAsia="Calibri" w:hAnsi="Times New Roman"/>
          <w:b/>
          <w:sz w:val="24"/>
          <w:szCs w:val="24"/>
          <w:lang w:eastAsia="en-US"/>
        </w:rPr>
      </w:pPr>
    </w:p>
    <w:p w:rsidR="00871110" w:rsidRPr="006202E5" w:rsidRDefault="00871110" w:rsidP="00871110">
      <w:pPr>
        <w:spacing w:after="0" w:line="240" w:lineRule="auto"/>
        <w:ind w:firstLine="360"/>
        <w:jc w:val="center"/>
        <w:rPr>
          <w:rFonts w:ascii="Times New Roman" w:eastAsia="Calibri" w:hAnsi="Times New Roman"/>
          <w:b/>
          <w:sz w:val="24"/>
          <w:szCs w:val="24"/>
          <w:lang w:eastAsia="en-US"/>
        </w:rPr>
      </w:pPr>
      <w:r w:rsidRPr="006202E5">
        <w:rPr>
          <w:rFonts w:ascii="Times New Roman" w:eastAsia="Calibri" w:hAnsi="Times New Roman"/>
          <w:i/>
          <w:sz w:val="24"/>
          <w:szCs w:val="24"/>
          <w:lang w:eastAsia="en-US"/>
        </w:rPr>
        <w:t>7. attēls</w:t>
      </w:r>
      <w:r w:rsidRPr="006202E5">
        <w:rPr>
          <w:rFonts w:ascii="Times New Roman" w:eastAsia="Calibri" w:hAnsi="Times New Roman"/>
          <w:b/>
          <w:sz w:val="24"/>
          <w:szCs w:val="24"/>
          <w:lang w:eastAsia="en-US"/>
        </w:rPr>
        <w:t xml:space="preserve"> Preču eksports un imports pa mēnešiem, fakti</w:t>
      </w:r>
      <w:r>
        <w:rPr>
          <w:rFonts w:ascii="Times New Roman" w:eastAsia="Calibri" w:hAnsi="Times New Roman"/>
          <w:b/>
          <w:sz w:val="24"/>
          <w:szCs w:val="24"/>
          <w:lang w:eastAsia="en-US"/>
        </w:rPr>
        <w:t>skajās cenās, milj.</w:t>
      </w:r>
      <w:r w:rsidR="006D7AB4">
        <w:rPr>
          <w:rFonts w:ascii="Times New Roman" w:eastAsia="Calibri" w:hAnsi="Times New Roman"/>
          <w:b/>
          <w:sz w:val="24"/>
          <w:szCs w:val="24"/>
          <w:lang w:eastAsia="en-US"/>
        </w:rPr>
        <w:t xml:space="preserve"> </w:t>
      </w:r>
      <w:r w:rsidRPr="006202E5">
        <w:rPr>
          <w:rFonts w:ascii="Times New Roman" w:eastAsia="Calibri" w:hAnsi="Times New Roman"/>
          <w:b/>
          <w:sz w:val="24"/>
          <w:szCs w:val="24"/>
          <w:lang w:eastAsia="en-US"/>
        </w:rPr>
        <w:t>latu</w:t>
      </w:r>
    </w:p>
    <w:p w:rsidR="00871110" w:rsidRPr="006202E5" w:rsidRDefault="00871110" w:rsidP="00871110">
      <w:pPr>
        <w:spacing w:after="0" w:line="240" w:lineRule="auto"/>
        <w:jc w:val="both"/>
        <w:rPr>
          <w:rFonts w:ascii="Times New Roman" w:eastAsia="Calibri" w:hAnsi="Times New Roman"/>
          <w:sz w:val="24"/>
          <w:szCs w:val="24"/>
          <w:lang w:eastAsia="en-US"/>
        </w:rPr>
      </w:pPr>
      <w:r>
        <w:rPr>
          <w:noProof/>
        </w:rPr>
        <w:drawing>
          <wp:inline distT="0" distB="0" distL="0" distR="0" wp14:anchorId="67E7C850" wp14:editId="41FC8785">
            <wp:extent cx="5271135" cy="2473960"/>
            <wp:effectExtent l="19050" t="0" r="5715" b="0"/>
            <wp:docPr id="32" name="Chart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1"/>
                    <pic:cNvPicPr>
                      <a:picLocks noChangeArrowheads="1"/>
                    </pic:cNvPicPr>
                  </pic:nvPicPr>
                  <pic:blipFill>
                    <a:blip r:embed="rId17" cstate="print"/>
                    <a:srcRect r="-24" b="-76"/>
                    <a:stretch>
                      <a:fillRect/>
                    </a:stretch>
                  </pic:blipFill>
                  <pic:spPr bwMode="auto">
                    <a:xfrm>
                      <a:off x="0" y="0"/>
                      <a:ext cx="5271135" cy="2473960"/>
                    </a:xfrm>
                    <a:prstGeom prst="rect">
                      <a:avLst/>
                    </a:prstGeom>
                    <a:noFill/>
                    <a:ln w="9525">
                      <a:noFill/>
                      <a:miter lim="800000"/>
                      <a:headEnd/>
                      <a:tailEnd/>
                    </a:ln>
                  </pic:spPr>
                </pic:pic>
              </a:graphicData>
            </a:graphic>
          </wp:inline>
        </w:drawing>
      </w:r>
    </w:p>
    <w:p w:rsidR="00871110" w:rsidRPr="00337F5B" w:rsidRDefault="00871110" w:rsidP="00871110">
      <w:pPr>
        <w:spacing w:after="0" w:line="240" w:lineRule="auto"/>
        <w:jc w:val="both"/>
        <w:rPr>
          <w:rFonts w:ascii="Times New Roman" w:eastAsia="Calibri" w:hAnsi="Times New Roman"/>
          <w:i/>
          <w:sz w:val="20"/>
          <w:szCs w:val="20"/>
          <w:lang w:eastAsia="en-US"/>
        </w:rPr>
      </w:pPr>
      <w:r w:rsidRPr="00337F5B">
        <w:rPr>
          <w:rFonts w:ascii="Times New Roman" w:eastAsia="Calibri" w:hAnsi="Times New Roman"/>
          <w:i/>
          <w:sz w:val="20"/>
          <w:szCs w:val="20"/>
          <w:lang w:eastAsia="en-US"/>
        </w:rPr>
        <w:t>Avots: CSP</w:t>
      </w:r>
    </w:p>
    <w:p w:rsidR="00871110" w:rsidRPr="006202E5" w:rsidRDefault="00871110" w:rsidP="00871110">
      <w:pPr>
        <w:spacing w:after="0" w:line="240" w:lineRule="auto"/>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eastAsia="Calibri" w:hAnsi="Times New Roman"/>
          <w:color w:val="000000"/>
          <w:sz w:val="24"/>
          <w:szCs w:val="24"/>
          <w:lang w:eastAsia="en-US"/>
        </w:rPr>
      </w:pPr>
      <w:r w:rsidRPr="006202E5">
        <w:rPr>
          <w:rFonts w:ascii="Times New Roman" w:eastAsia="Calibri" w:hAnsi="Times New Roman"/>
          <w:sz w:val="24"/>
          <w:szCs w:val="24"/>
          <w:lang w:eastAsia="en-US"/>
        </w:rPr>
        <w:t xml:space="preserve">2012.gada vienpadsmit mēnešos kopumā ir mainījušies eksporta pieaugumu veidojošās nozares. Mazinājies ir koksnes un tās izstrādājumu devums pieaugumā, turpretim aizvien lielāku nozīmi iegūst lauksaimniecības un pārtikas produktu eksports, kā arī vairākas salīdzinoši mazas nozares. </w:t>
      </w:r>
      <w:r w:rsidRPr="006202E5">
        <w:rPr>
          <w:rFonts w:ascii="Times New Roman" w:eastAsia="Calibri" w:hAnsi="Times New Roman"/>
          <w:color w:val="000000"/>
          <w:sz w:val="24"/>
          <w:szCs w:val="24"/>
          <w:lang w:eastAsia="en-US"/>
        </w:rPr>
        <w:t xml:space="preserve">2012.gada vienpadsmit mēnešos eksporta </w:t>
      </w:r>
      <w:r w:rsidRPr="006202E5">
        <w:rPr>
          <w:rFonts w:ascii="Times New Roman" w:eastAsia="Calibri" w:hAnsi="Times New Roman"/>
          <w:color w:val="000000"/>
          <w:sz w:val="24"/>
          <w:szCs w:val="24"/>
          <w:lang w:eastAsia="en-US"/>
        </w:rPr>
        <w:lastRenderedPageBreak/>
        <w:t>apjomi faktiskajās cenās salīdzinājumā ar iepriekšējā gada atbilstošo periodu ir pieauguši teju visās nozarēs.</w:t>
      </w:r>
    </w:p>
    <w:p w:rsidR="00871110" w:rsidRPr="006202E5" w:rsidRDefault="00871110" w:rsidP="00871110">
      <w:pPr>
        <w:pStyle w:val="BodyText20"/>
        <w:spacing w:after="0" w:line="240" w:lineRule="auto"/>
        <w:ind w:left="720"/>
        <w:jc w:val="center"/>
        <w:rPr>
          <w:rFonts w:ascii="Times New Roman" w:hAnsi="Times New Roman"/>
          <w:i/>
          <w:sz w:val="24"/>
          <w:szCs w:val="24"/>
          <w:lang w:val="lv-LV" w:eastAsia="lv-LV"/>
        </w:rPr>
      </w:pPr>
    </w:p>
    <w:p w:rsidR="00871110" w:rsidRPr="009C776D" w:rsidRDefault="00871110" w:rsidP="00871110">
      <w:pPr>
        <w:pStyle w:val="BodyText20"/>
        <w:spacing w:after="0" w:line="240" w:lineRule="auto"/>
        <w:ind w:left="720"/>
        <w:jc w:val="center"/>
        <w:rPr>
          <w:rFonts w:ascii="Times New Roman" w:hAnsi="Times New Roman"/>
          <w:sz w:val="24"/>
          <w:szCs w:val="24"/>
          <w:lang w:val="lv-LV" w:eastAsia="lv-LV"/>
        </w:rPr>
      </w:pPr>
      <w:r w:rsidRPr="009C776D">
        <w:rPr>
          <w:rFonts w:ascii="Times New Roman" w:hAnsi="Times New Roman"/>
          <w:i/>
          <w:sz w:val="24"/>
          <w:szCs w:val="24"/>
          <w:lang w:val="lv-LV" w:eastAsia="lv-LV"/>
        </w:rPr>
        <w:t>2.tabula</w:t>
      </w:r>
      <w:r w:rsidRPr="009C776D">
        <w:rPr>
          <w:rFonts w:ascii="Times New Roman" w:hAnsi="Times New Roman"/>
          <w:b/>
          <w:sz w:val="24"/>
          <w:szCs w:val="24"/>
          <w:lang w:val="lv-LV" w:eastAsia="lv-LV"/>
        </w:rPr>
        <w:t xml:space="preserve"> Latvijas preču eksports pa galvenajām preču grupām,</w:t>
      </w:r>
    </w:p>
    <w:p w:rsidR="00871110" w:rsidRPr="009C776D" w:rsidRDefault="00871110" w:rsidP="00871110">
      <w:pPr>
        <w:pStyle w:val="BodyText20"/>
        <w:spacing w:after="0" w:line="240" w:lineRule="auto"/>
        <w:ind w:left="720"/>
        <w:jc w:val="center"/>
        <w:rPr>
          <w:rFonts w:ascii="Times New Roman" w:hAnsi="Times New Roman"/>
          <w:i/>
          <w:sz w:val="24"/>
          <w:szCs w:val="24"/>
          <w:lang w:val="lv-LV" w:eastAsia="lv-LV"/>
        </w:rPr>
      </w:pPr>
      <w:r w:rsidRPr="009C776D">
        <w:rPr>
          <w:rFonts w:ascii="Times New Roman" w:hAnsi="Times New Roman"/>
          <w:i/>
          <w:sz w:val="24"/>
          <w:szCs w:val="24"/>
          <w:lang w:val="lv-LV" w:eastAsia="lv-LV"/>
        </w:rPr>
        <w:t>%, faktiskajās FOB cenās</w:t>
      </w:r>
    </w:p>
    <w:tbl>
      <w:tblPr>
        <w:tblW w:w="8871" w:type="dxa"/>
        <w:jc w:val="center"/>
        <w:tblLayout w:type="fixed"/>
        <w:tblLook w:val="0400" w:firstRow="0" w:lastRow="0" w:firstColumn="0" w:lastColumn="0" w:noHBand="0" w:noVBand="1"/>
      </w:tblPr>
      <w:tblGrid>
        <w:gridCol w:w="3302"/>
        <w:gridCol w:w="1175"/>
        <w:gridCol w:w="1437"/>
        <w:gridCol w:w="1557"/>
        <w:gridCol w:w="1400"/>
      </w:tblGrid>
      <w:tr w:rsidR="00871110" w:rsidRPr="0095540A" w:rsidTr="008413F7">
        <w:trPr>
          <w:trHeight w:val="267"/>
          <w:jc w:val="center"/>
        </w:trPr>
        <w:tc>
          <w:tcPr>
            <w:tcW w:w="3302" w:type="dxa"/>
            <w:tcBorders>
              <w:top w:val="single" w:sz="4" w:space="0" w:color="0070C0"/>
            </w:tcBorders>
            <w:shd w:val="clear" w:color="auto" w:fill="auto"/>
          </w:tcPr>
          <w:p w:rsidR="00871110" w:rsidRPr="0095540A" w:rsidRDefault="00871110" w:rsidP="008413F7">
            <w:pPr>
              <w:numPr>
                <w:ilvl w:val="12"/>
                <w:numId w:val="0"/>
              </w:numPr>
              <w:spacing w:before="20" w:after="20"/>
              <w:jc w:val="center"/>
              <w:rPr>
                <w:rFonts w:ascii="Times New Roman" w:hAnsi="Times New Roman"/>
                <w:b/>
                <w:color w:val="000000"/>
                <w:sz w:val="24"/>
                <w:szCs w:val="24"/>
              </w:rPr>
            </w:pPr>
          </w:p>
        </w:tc>
        <w:tc>
          <w:tcPr>
            <w:tcW w:w="2612" w:type="dxa"/>
            <w:gridSpan w:val="2"/>
            <w:tcBorders>
              <w:top w:val="single" w:sz="4" w:space="0" w:color="0070C0"/>
            </w:tcBorders>
            <w:shd w:val="clear" w:color="auto" w:fill="auto"/>
          </w:tcPr>
          <w:p w:rsidR="00871110" w:rsidRPr="0095540A" w:rsidRDefault="00871110" w:rsidP="008413F7">
            <w:pPr>
              <w:keepLines/>
              <w:numPr>
                <w:ilvl w:val="12"/>
                <w:numId w:val="0"/>
              </w:numPr>
              <w:spacing w:before="20" w:after="20"/>
              <w:jc w:val="center"/>
              <w:rPr>
                <w:rFonts w:ascii="Times New Roman" w:hAnsi="Times New Roman"/>
                <w:b/>
                <w:color w:val="000000"/>
                <w:sz w:val="24"/>
                <w:szCs w:val="24"/>
              </w:rPr>
            </w:pPr>
            <w:r w:rsidRPr="0095540A">
              <w:rPr>
                <w:rFonts w:ascii="Times New Roman" w:hAnsi="Times New Roman"/>
                <w:b/>
                <w:color w:val="000000"/>
                <w:sz w:val="24"/>
                <w:szCs w:val="24"/>
              </w:rPr>
              <w:t>2011</w:t>
            </w:r>
          </w:p>
        </w:tc>
        <w:tc>
          <w:tcPr>
            <w:tcW w:w="2957" w:type="dxa"/>
            <w:gridSpan w:val="2"/>
            <w:tcBorders>
              <w:top w:val="single" w:sz="4" w:space="0" w:color="0070C0"/>
            </w:tcBorders>
            <w:shd w:val="clear" w:color="auto" w:fill="auto"/>
          </w:tcPr>
          <w:p w:rsidR="00871110" w:rsidRPr="0095540A" w:rsidRDefault="00871110" w:rsidP="008413F7">
            <w:pPr>
              <w:keepLines/>
              <w:numPr>
                <w:ilvl w:val="12"/>
                <w:numId w:val="0"/>
              </w:numPr>
              <w:spacing w:before="20" w:after="20"/>
              <w:jc w:val="center"/>
              <w:rPr>
                <w:rFonts w:ascii="Times New Roman" w:hAnsi="Times New Roman"/>
                <w:b/>
                <w:color w:val="000000"/>
                <w:sz w:val="24"/>
                <w:szCs w:val="24"/>
              </w:rPr>
            </w:pPr>
            <w:r w:rsidRPr="0095540A">
              <w:rPr>
                <w:rFonts w:ascii="Times New Roman" w:hAnsi="Times New Roman"/>
                <w:b/>
                <w:color w:val="000000"/>
                <w:sz w:val="24"/>
                <w:szCs w:val="24"/>
              </w:rPr>
              <w:t>2012. gada janvāris-novembris</w:t>
            </w:r>
          </w:p>
        </w:tc>
      </w:tr>
      <w:tr w:rsidR="00871110" w:rsidRPr="0095540A" w:rsidTr="008413F7">
        <w:trPr>
          <w:jc w:val="center"/>
        </w:trPr>
        <w:tc>
          <w:tcPr>
            <w:tcW w:w="3302" w:type="dxa"/>
            <w:tcBorders>
              <w:bottom w:val="single" w:sz="4" w:space="0" w:color="0070C0"/>
            </w:tcBorders>
            <w:shd w:val="clear" w:color="auto" w:fill="auto"/>
            <w:vAlign w:val="center"/>
          </w:tcPr>
          <w:p w:rsidR="00871110" w:rsidRPr="0095540A" w:rsidRDefault="00871110" w:rsidP="008413F7">
            <w:pPr>
              <w:numPr>
                <w:ilvl w:val="12"/>
                <w:numId w:val="0"/>
              </w:numPr>
              <w:spacing w:before="20" w:after="20"/>
              <w:jc w:val="center"/>
              <w:rPr>
                <w:rFonts w:ascii="Times New Roman" w:hAnsi="Times New Roman"/>
                <w:b/>
                <w:color w:val="000000"/>
                <w:sz w:val="24"/>
                <w:szCs w:val="24"/>
              </w:rPr>
            </w:pPr>
          </w:p>
        </w:tc>
        <w:tc>
          <w:tcPr>
            <w:tcW w:w="1175" w:type="dxa"/>
            <w:tcBorders>
              <w:bottom w:val="single" w:sz="4" w:space="0" w:color="0070C0"/>
            </w:tcBorders>
            <w:shd w:val="clear" w:color="auto" w:fill="auto"/>
            <w:vAlign w:val="center"/>
          </w:tcPr>
          <w:p w:rsidR="00871110" w:rsidRPr="0095540A" w:rsidRDefault="00871110" w:rsidP="008413F7">
            <w:pPr>
              <w:keepLines/>
              <w:numPr>
                <w:ilvl w:val="12"/>
                <w:numId w:val="0"/>
              </w:numPr>
              <w:spacing w:before="20" w:after="20"/>
              <w:jc w:val="center"/>
              <w:rPr>
                <w:rFonts w:ascii="Times New Roman" w:hAnsi="Times New Roman"/>
                <w:color w:val="000000"/>
                <w:sz w:val="24"/>
                <w:szCs w:val="24"/>
              </w:rPr>
            </w:pPr>
            <w:r w:rsidRPr="0095540A">
              <w:rPr>
                <w:rFonts w:ascii="Times New Roman" w:hAnsi="Times New Roman"/>
                <w:color w:val="000000"/>
                <w:sz w:val="24"/>
                <w:szCs w:val="24"/>
              </w:rPr>
              <w:t>struktūra</w:t>
            </w:r>
          </w:p>
        </w:tc>
        <w:tc>
          <w:tcPr>
            <w:tcW w:w="1437" w:type="dxa"/>
            <w:tcBorders>
              <w:bottom w:val="single" w:sz="4" w:space="0" w:color="0070C0"/>
            </w:tcBorders>
            <w:shd w:val="clear" w:color="auto" w:fill="auto"/>
            <w:vAlign w:val="center"/>
          </w:tcPr>
          <w:p w:rsidR="00871110" w:rsidRPr="0095540A" w:rsidRDefault="00871110" w:rsidP="008413F7">
            <w:pPr>
              <w:keepLines/>
              <w:numPr>
                <w:ilvl w:val="12"/>
                <w:numId w:val="0"/>
              </w:numPr>
              <w:spacing w:before="20" w:after="20"/>
              <w:ind w:left="-106" w:right="-127"/>
              <w:jc w:val="center"/>
              <w:rPr>
                <w:rFonts w:ascii="Times New Roman" w:hAnsi="Times New Roman"/>
                <w:color w:val="000000"/>
                <w:sz w:val="24"/>
                <w:szCs w:val="24"/>
              </w:rPr>
            </w:pPr>
            <w:r w:rsidRPr="0095540A">
              <w:rPr>
                <w:rFonts w:ascii="Times New Roman" w:hAnsi="Times New Roman"/>
                <w:color w:val="000000"/>
                <w:sz w:val="24"/>
                <w:szCs w:val="24"/>
              </w:rPr>
              <w:t>pieaugums pret iepriekšējo gadu</w:t>
            </w:r>
          </w:p>
        </w:tc>
        <w:tc>
          <w:tcPr>
            <w:tcW w:w="1557" w:type="dxa"/>
            <w:tcBorders>
              <w:bottom w:val="single" w:sz="4" w:space="0" w:color="0070C0"/>
            </w:tcBorders>
            <w:shd w:val="clear" w:color="auto" w:fill="auto"/>
            <w:vAlign w:val="center"/>
          </w:tcPr>
          <w:p w:rsidR="00871110" w:rsidRPr="0095540A" w:rsidRDefault="00871110" w:rsidP="008413F7">
            <w:pPr>
              <w:keepLines/>
              <w:numPr>
                <w:ilvl w:val="12"/>
                <w:numId w:val="0"/>
              </w:numPr>
              <w:spacing w:before="20" w:after="20"/>
              <w:ind w:left="-79" w:right="-56"/>
              <w:jc w:val="center"/>
              <w:rPr>
                <w:rFonts w:ascii="Times New Roman" w:hAnsi="Times New Roman"/>
                <w:color w:val="000000"/>
                <w:sz w:val="24"/>
                <w:szCs w:val="24"/>
              </w:rPr>
            </w:pPr>
            <w:r w:rsidRPr="0095540A">
              <w:rPr>
                <w:rFonts w:ascii="Times New Roman" w:hAnsi="Times New Roman"/>
                <w:color w:val="000000"/>
                <w:sz w:val="24"/>
                <w:szCs w:val="24"/>
              </w:rPr>
              <w:t>pieaugums pret iepriekšējā gada attiecīgo periodu</w:t>
            </w:r>
          </w:p>
        </w:tc>
        <w:tc>
          <w:tcPr>
            <w:tcW w:w="1400" w:type="dxa"/>
            <w:tcBorders>
              <w:bottom w:val="single" w:sz="4" w:space="0" w:color="0070C0"/>
            </w:tcBorders>
            <w:shd w:val="clear" w:color="auto" w:fill="auto"/>
            <w:vAlign w:val="center"/>
          </w:tcPr>
          <w:p w:rsidR="00871110" w:rsidRPr="0095540A" w:rsidRDefault="00871110" w:rsidP="008413F7">
            <w:pPr>
              <w:keepLines/>
              <w:numPr>
                <w:ilvl w:val="12"/>
                <w:numId w:val="0"/>
              </w:numPr>
              <w:spacing w:before="20" w:after="20"/>
              <w:ind w:left="-79" w:right="-56"/>
              <w:jc w:val="center"/>
              <w:rPr>
                <w:rFonts w:ascii="Times New Roman" w:hAnsi="Times New Roman"/>
                <w:color w:val="000000"/>
                <w:sz w:val="24"/>
                <w:szCs w:val="24"/>
              </w:rPr>
            </w:pPr>
            <w:r w:rsidRPr="0095540A">
              <w:rPr>
                <w:rFonts w:ascii="Times New Roman" w:hAnsi="Times New Roman"/>
                <w:color w:val="000000"/>
                <w:sz w:val="24"/>
                <w:szCs w:val="24"/>
              </w:rPr>
              <w:t>ieguldījums apjomu izmaiņās</w:t>
            </w:r>
          </w:p>
        </w:tc>
      </w:tr>
      <w:tr w:rsidR="00871110" w:rsidRPr="0095540A" w:rsidTr="008413F7">
        <w:trPr>
          <w:jc w:val="center"/>
        </w:trPr>
        <w:tc>
          <w:tcPr>
            <w:tcW w:w="3302" w:type="dxa"/>
            <w:tcBorders>
              <w:top w:val="single" w:sz="4" w:space="0" w:color="0070C0"/>
            </w:tcBorders>
            <w:shd w:val="clear" w:color="auto" w:fill="auto"/>
          </w:tcPr>
          <w:p w:rsidR="00871110" w:rsidRPr="0095540A" w:rsidRDefault="00871110" w:rsidP="008413F7">
            <w:pPr>
              <w:numPr>
                <w:ilvl w:val="12"/>
                <w:numId w:val="0"/>
              </w:numPr>
              <w:spacing w:before="20" w:after="20"/>
              <w:rPr>
                <w:rFonts w:ascii="Times New Roman" w:hAnsi="Times New Roman"/>
                <w:b/>
                <w:color w:val="000000"/>
                <w:sz w:val="24"/>
                <w:szCs w:val="24"/>
              </w:rPr>
            </w:pPr>
            <w:r w:rsidRPr="0095540A">
              <w:rPr>
                <w:rFonts w:ascii="Times New Roman" w:hAnsi="Times New Roman"/>
                <w:b/>
                <w:color w:val="000000"/>
                <w:sz w:val="24"/>
                <w:szCs w:val="24"/>
              </w:rPr>
              <w:t>Kopā</w:t>
            </w:r>
            <w:r w:rsidRPr="0095540A">
              <w:rPr>
                <w:rFonts w:ascii="Times New Roman" w:hAnsi="Times New Roman"/>
                <w:b/>
                <w:color w:val="000000"/>
                <w:sz w:val="24"/>
                <w:szCs w:val="24"/>
              </w:rPr>
              <w:br/>
            </w:r>
            <w:r w:rsidRPr="0095540A">
              <w:rPr>
                <w:rFonts w:ascii="Times New Roman" w:hAnsi="Times New Roman"/>
                <w:color w:val="000000"/>
                <w:sz w:val="24"/>
                <w:szCs w:val="24"/>
              </w:rPr>
              <w:t xml:space="preserve"> tai skaitā:</w:t>
            </w:r>
          </w:p>
        </w:tc>
        <w:tc>
          <w:tcPr>
            <w:tcW w:w="1175" w:type="dxa"/>
            <w:tcBorders>
              <w:top w:val="single" w:sz="4" w:space="0" w:color="0070C0"/>
            </w:tcBorders>
            <w:shd w:val="clear" w:color="auto" w:fill="auto"/>
          </w:tcPr>
          <w:p w:rsidR="00871110" w:rsidRPr="0095540A" w:rsidRDefault="00871110" w:rsidP="008413F7">
            <w:pPr>
              <w:tabs>
                <w:tab w:val="decimal" w:pos="457"/>
              </w:tabs>
              <w:spacing w:before="20" w:after="20"/>
              <w:rPr>
                <w:rFonts w:ascii="Times New Roman" w:hAnsi="Times New Roman"/>
                <w:b/>
                <w:color w:val="000000"/>
                <w:sz w:val="24"/>
                <w:szCs w:val="24"/>
              </w:rPr>
            </w:pPr>
            <w:r w:rsidRPr="0095540A">
              <w:rPr>
                <w:rFonts w:ascii="Times New Roman" w:hAnsi="Times New Roman"/>
                <w:b/>
                <w:color w:val="000000"/>
                <w:sz w:val="24"/>
                <w:szCs w:val="24"/>
              </w:rPr>
              <w:t>100</w:t>
            </w:r>
          </w:p>
        </w:tc>
        <w:tc>
          <w:tcPr>
            <w:tcW w:w="1437" w:type="dxa"/>
            <w:tcBorders>
              <w:top w:val="single" w:sz="4" w:space="0" w:color="0070C0"/>
            </w:tcBorders>
            <w:shd w:val="clear" w:color="auto" w:fill="auto"/>
          </w:tcPr>
          <w:p w:rsidR="00871110" w:rsidRPr="0095540A" w:rsidRDefault="00871110" w:rsidP="008413F7">
            <w:pPr>
              <w:tabs>
                <w:tab w:val="decimal" w:pos="581"/>
              </w:tabs>
              <w:spacing w:before="20" w:after="20"/>
              <w:rPr>
                <w:rFonts w:ascii="Times New Roman" w:hAnsi="Times New Roman"/>
                <w:b/>
                <w:color w:val="000000"/>
                <w:sz w:val="24"/>
                <w:szCs w:val="24"/>
              </w:rPr>
            </w:pPr>
            <w:r w:rsidRPr="0095540A">
              <w:rPr>
                <w:rFonts w:ascii="Times New Roman" w:hAnsi="Times New Roman"/>
                <w:b/>
                <w:color w:val="000000"/>
                <w:sz w:val="24"/>
                <w:szCs w:val="24"/>
              </w:rPr>
              <w:t>27,8</w:t>
            </w:r>
          </w:p>
        </w:tc>
        <w:tc>
          <w:tcPr>
            <w:tcW w:w="1557" w:type="dxa"/>
            <w:tcBorders>
              <w:top w:val="single" w:sz="4" w:space="0" w:color="0070C0"/>
            </w:tcBorders>
            <w:shd w:val="clear" w:color="auto" w:fill="auto"/>
          </w:tcPr>
          <w:p w:rsidR="00871110" w:rsidRPr="0095540A" w:rsidRDefault="00871110" w:rsidP="008413F7">
            <w:pPr>
              <w:tabs>
                <w:tab w:val="decimal" w:pos="581"/>
              </w:tabs>
              <w:spacing w:before="20" w:after="20"/>
              <w:rPr>
                <w:rFonts w:ascii="Times New Roman" w:hAnsi="Times New Roman"/>
                <w:b/>
                <w:color w:val="000000"/>
                <w:sz w:val="24"/>
                <w:szCs w:val="24"/>
              </w:rPr>
            </w:pPr>
            <w:r w:rsidRPr="0095540A">
              <w:rPr>
                <w:rFonts w:ascii="Times New Roman" w:hAnsi="Times New Roman"/>
                <w:b/>
                <w:color w:val="000000"/>
                <w:sz w:val="24"/>
                <w:szCs w:val="24"/>
              </w:rPr>
              <w:t>15,4</w:t>
            </w:r>
          </w:p>
        </w:tc>
        <w:tc>
          <w:tcPr>
            <w:tcW w:w="1400" w:type="dxa"/>
            <w:tcBorders>
              <w:top w:val="single" w:sz="4" w:space="0" w:color="0070C0"/>
            </w:tcBorders>
            <w:shd w:val="clear" w:color="auto" w:fill="auto"/>
          </w:tcPr>
          <w:p w:rsidR="00871110" w:rsidRPr="0095540A" w:rsidRDefault="00871110" w:rsidP="008413F7">
            <w:pPr>
              <w:tabs>
                <w:tab w:val="decimal" w:pos="431"/>
              </w:tabs>
              <w:spacing w:before="20" w:after="20"/>
              <w:rPr>
                <w:rFonts w:ascii="Times New Roman" w:hAnsi="Times New Roman"/>
                <w:b/>
                <w:color w:val="000000"/>
                <w:sz w:val="24"/>
                <w:szCs w:val="24"/>
              </w:rPr>
            </w:pPr>
            <w:r w:rsidRPr="0095540A">
              <w:rPr>
                <w:rFonts w:ascii="Times New Roman" w:hAnsi="Times New Roman"/>
                <w:b/>
                <w:color w:val="000000"/>
                <w:sz w:val="24"/>
                <w:szCs w:val="24"/>
              </w:rPr>
              <w:t>15,4</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lauksaimniecības un pārtikas produkti</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16,4</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17,0</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40,3</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6,5</w:t>
            </w:r>
          </w:p>
        </w:tc>
      </w:tr>
      <w:tr w:rsidR="00871110" w:rsidRPr="0095540A" w:rsidTr="008413F7">
        <w:trPr>
          <w:trHeight w:val="333"/>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koksne un tās izstrādājumi</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16,8</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13,5</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4,7</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0,8</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metāli un to izstrādājumi</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14,5</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33,5</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12,3</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1,8</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mašīnbūves produkcija</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12,7</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25,3</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23,7</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3,0</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ind w:right="-95"/>
              <w:rPr>
                <w:rFonts w:ascii="Times New Roman" w:hAnsi="Times New Roman"/>
                <w:color w:val="000000"/>
                <w:sz w:val="24"/>
                <w:szCs w:val="24"/>
              </w:rPr>
            </w:pPr>
            <w:r w:rsidRPr="0095540A">
              <w:rPr>
                <w:rFonts w:ascii="Times New Roman" w:hAnsi="Times New Roman"/>
                <w:color w:val="000000"/>
                <w:sz w:val="24"/>
                <w:szCs w:val="24"/>
              </w:rPr>
              <w:t xml:space="preserve">ķīmiskās rūpniecības, tās saskarnozaru </w:t>
            </w:r>
            <w:r w:rsidRPr="0095540A">
              <w:rPr>
                <w:rFonts w:ascii="Times New Roman" w:hAnsi="Times New Roman"/>
                <w:color w:val="000000"/>
                <w:sz w:val="24"/>
                <w:szCs w:val="24"/>
              </w:rPr>
              <w:br/>
              <w:t>produkcija un plastmasas</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10,5</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25,3</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2,5</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0,3</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minerālie produkti</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9,1</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93,8</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17,7</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1,6</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transporta līdzekļi</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6,7</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41,9</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-8,8</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-0,6</w:t>
            </w:r>
          </w:p>
        </w:tc>
      </w:tr>
      <w:tr w:rsidR="00871110" w:rsidRPr="0095540A" w:rsidTr="008413F7">
        <w:trPr>
          <w:jc w:val="center"/>
        </w:trPr>
        <w:tc>
          <w:tcPr>
            <w:tcW w:w="3302" w:type="dxa"/>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vieglās rūpniecības preces</w:t>
            </w:r>
          </w:p>
        </w:tc>
        <w:tc>
          <w:tcPr>
            <w:tcW w:w="1175" w:type="dxa"/>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4,7</w:t>
            </w:r>
          </w:p>
        </w:tc>
        <w:tc>
          <w:tcPr>
            <w:tcW w:w="143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19,4</w:t>
            </w:r>
          </w:p>
        </w:tc>
        <w:tc>
          <w:tcPr>
            <w:tcW w:w="1557" w:type="dxa"/>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15,9</w:t>
            </w:r>
          </w:p>
        </w:tc>
        <w:tc>
          <w:tcPr>
            <w:tcW w:w="1400" w:type="dxa"/>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0,7</w:t>
            </w:r>
          </w:p>
        </w:tc>
      </w:tr>
      <w:tr w:rsidR="00871110" w:rsidRPr="0095540A" w:rsidTr="008413F7">
        <w:trPr>
          <w:jc w:val="center"/>
        </w:trPr>
        <w:tc>
          <w:tcPr>
            <w:tcW w:w="3302" w:type="dxa"/>
            <w:tcBorders>
              <w:bottom w:val="single" w:sz="4" w:space="0" w:color="0070C0"/>
            </w:tcBorders>
            <w:shd w:val="clear" w:color="auto" w:fill="auto"/>
          </w:tcPr>
          <w:p w:rsidR="00871110" w:rsidRPr="0095540A" w:rsidRDefault="00871110" w:rsidP="008413F7">
            <w:pPr>
              <w:numPr>
                <w:ilvl w:val="12"/>
                <w:numId w:val="0"/>
              </w:numPr>
              <w:spacing w:before="20" w:after="20"/>
              <w:rPr>
                <w:rFonts w:ascii="Times New Roman" w:hAnsi="Times New Roman"/>
                <w:color w:val="000000"/>
                <w:sz w:val="24"/>
                <w:szCs w:val="24"/>
              </w:rPr>
            </w:pPr>
            <w:r w:rsidRPr="0095540A">
              <w:rPr>
                <w:rFonts w:ascii="Times New Roman" w:hAnsi="Times New Roman"/>
                <w:color w:val="000000"/>
                <w:sz w:val="24"/>
                <w:szCs w:val="24"/>
              </w:rPr>
              <w:t>pārējās preces</w:t>
            </w:r>
          </w:p>
        </w:tc>
        <w:tc>
          <w:tcPr>
            <w:tcW w:w="1175" w:type="dxa"/>
            <w:tcBorders>
              <w:bottom w:val="single" w:sz="4" w:space="0" w:color="0070C0"/>
            </w:tcBorders>
            <w:shd w:val="clear" w:color="auto" w:fill="auto"/>
          </w:tcPr>
          <w:p w:rsidR="00871110" w:rsidRPr="0095540A" w:rsidRDefault="00871110" w:rsidP="008413F7">
            <w:pPr>
              <w:tabs>
                <w:tab w:val="decimal" w:pos="457"/>
              </w:tabs>
              <w:spacing w:before="20" w:after="20"/>
              <w:rPr>
                <w:rFonts w:ascii="Times New Roman" w:hAnsi="Times New Roman"/>
                <w:color w:val="000000"/>
                <w:sz w:val="24"/>
                <w:szCs w:val="24"/>
              </w:rPr>
            </w:pPr>
            <w:r w:rsidRPr="0095540A">
              <w:rPr>
                <w:rFonts w:ascii="Times New Roman" w:hAnsi="Times New Roman"/>
                <w:color w:val="000000"/>
                <w:sz w:val="24"/>
                <w:szCs w:val="24"/>
              </w:rPr>
              <w:t>8,6</w:t>
            </w:r>
          </w:p>
        </w:tc>
        <w:tc>
          <w:tcPr>
            <w:tcW w:w="1437" w:type="dxa"/>
            <w:tcBorders>
              <w:bottom w:val="single" w:sz="4" w:space="0" w:color="0070C0"/>
            </w:tcBorders>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27,7</w:t>
            </w:r>
          </w:p>
        </w:tc>
        <w:tc>
          <w:tcPr>
            <w:tcW w:w="1557" w:type="dxa"/>
            <w:tcBorders>
              <w:bottom w:val="single" w:sz="4" w:space="0" w:color="0070C0"/>
            </w:tcBorders>
            <w:shd w:val="clear" w:color="auto" w:fill="auto"/>
          </w:tcPr>
          <w:p w:rsidR="00871110" w:rsidRPr="0095540A" w:rsidRDefault="00871110" w:rsidP="008413F7">
            <w:pPr>
              <w:tabs>
                <w:tab w:val="decimal" w:pos="581"/>
              </w:tabs>
              <w:spacing w:before="20" w:after="20"/>
              <w:rPr>
                <w:rFonts w:ascii="Times New Roman" w:hAnsi="Times New Roman"/>
                <w:color w:val="000000"/>
                <w:sz w:val="24"/>
                <w:szCs w:val="24"/>
              </w:rPr>
            </w:pPr>
            <w:r w:rsidRPr="0095540A">
              <w:rPr>
                <w:rFonts w:ascii="Times New Roman" w:hAnsi="Times New Roman"/>
                <w:color w:val="000000"/>
                <w:sz w:val="24"/>
                <w:szCs w:val="24"/>
              </w:rPr>
              <w:t>14,3</w:t>
            </w:r>
          </w:p>
        </w:tc>
        <w:tc>
          <w:tcPr>
            <w:tcW w:w="1400" w:type="dxa"/>
            <w:tcBorders>
              <w:bottom w:val="single" w:sz="4" w:space="0" w:color="0070C0"/>
            </w:tcBorders>
            <w:shd w:val="clear" w:color="auto" w:fill="auto"/>
          </w:tcPr>
          <w:p w:rsidR="00871110" w:rsidRPr="0095540A" w:rsidRDefault="00871110" w:rsidP="008413F7">
            <w:pPr>
              <w:tabs>
                <w:tab w:val="decimal" w:pos="431"/>
              </w:tabs>
              <w:spacing w:before="20" w:after="20"/>
              <w:rPr>
                <w:rFonts w:ascii="Times New Roman" w:hAnsi="Times New Roman"/>
                <w:color w:val="000000"/>
                <w:sz w:val="24"/>
                <w:szCs w:val="24"/>
              </w:rPr>
            </w:pPr>
            <w:r w:rsidRPr="0095540A">
              <w:rPr>
                <w:rFonts w:ascii="Times New Roman" w:hAnsi="Times New Roman"/>
                <w:color w:val="000000"/>
                <w:sz w:val="24"/>
                <w:szCs w:val="24"/>
              </w:rPr>
              <w:t>1,2</w:t>
            </w:r>
          </w:p>
        </w:tc>
      </w:tr>
    </w:tbl>
    <w:p w:rsidR="00871110" w:rsidRPr="00337F5B" w:rsidRDefault="00871110" w:rsidP="00871110">
      <w:pPr>
        <w:pStyle w:val="BodyTextIndent3"/>
        <w:suppressAutoHyphens/>
        <w:spacing w:after="0" w:line="240" w:lineRule="auto"/>
        <w:rPr>
          <w:rFonts w:ascii="Times New Roman" w:hAnsi="Times New Roman"/>
          <w:i/>
          <w:sz w:val="20"/>
          <w:szCs w:val="20"/>
          <w:lang w:val="lv-LV" w:eastAsia="lv-LV"/>
        </w:rPr>
      </w:pPr>
      <w:r w:rsidRPr="00337F5B">
        <w:rPr>
          <w:rFonts w:ascii="Times New Roman" w:hAnsi="Times New Roman"/>
          <w:i/>
          <w:sz w:val="20"/>
          <w:szCs w:val="20"/>
          <w:lang w:val="lv-LV" w:eastAsia="lv-LV"/>
        </w:rPr>
        <w:t>Avots: CSP, EM</w:t>
      </w:r>
    </w:p>
    <w:p w:rsidR="00871110" w:rsidRPr="006202E5" w:rsidRDefault="00871110" w:rsidP="00871110">
      <w:pPr>
        <w:spacing w:after="0" w:line="240" w:lineRule="auto"/>
        <w:ind w:firstLine="426"/>
        <w:jc w:val="both"/>
        <w:rPr>
          <w:rFonts w:ascii="Times New Roman" w:eastAsia="Calibri" w:hAnsi="Times New Roman"/>
          <w:sz w:val="24"/>
          <w:szCs w:val="24"/>
          <w:lang w:eastAsia="en-US"/>
        </w:rPr>
      </w:pPr>
    </w:p>
    <w:p w:rsidR="00871110" w:rsidRPr="00395EF7" w:rsidRDefault="00871110" w:rsidP="003210C7">
      <w:pPr>
        <w:spacing w:after="0" w:line="240" w:lineRule="auto"/>
        <w:ind w:firstLine="720"/>
        <w:jc w:val="both"/>
      </w:pPr>
      <w:r w:rsidRPr="00395EF7">
        <w:rPr>
          <w:rFonts w:ascii="Times New Roman" w:hAnsi="Times New Roman"/>
          <w:sz w:val="24"/>
          <w:szCs w:val="24"/>
        </w:rPr>
        <w:t xml:space="preserve">Eksporta attīstību 2012.gada vienpadsmit mēnešos lielākoties ietekmēja lauksaimniecības un pārtikas produktu eksporta apjomu pieaugums. Šī preču grupa nodrošināja vairāk nekā 40% no visa eksporta pieauguma. </w:t>
      </w:r>
      <w:r w:rsidRPr="00395EF7">
        <w:rPr>
          <w:rFonts w:ascii="Times New Roman" w:eastAsia="Calibri" w:hAnsi="Times New Roman"/>
          <w:color w:val="000000"/>
          <w:sz w:val="24"/>
          <w:szCs w:val="24"/>
          <w:lang w:eastAsia="en-US"/>
        </w:rPr>
        <w:t>Daļēji nominālā eksporta pieaugumu veicināja Latvijas eksportētājiem labvēlīgā pārtikas cenu dinamika, savukārt</w:t>
      </w:r>
      <w:r w:rsidR="00044502">
        <w:rPr>
          <w:rFonts w:ascii="Times New Roman" w:eastAsia="Calibri" w:hAnsi="Times New Roman"/>
          <w:color w:val="000000"/>
          <w:sz w:val="24"/>
          <w:szCs w:val="24"/>
          <w:lang w:eastAsia="en-US"/>
        </w:rPr>
        <w:t>,</w:t>
      </w:r>
      <w:r w:rsidRPr="00395EF7">
        <w:rPr>
          <w:rFonts w:ascii="Times New Roman" w:eastAsia="Calibri" w:hAnsi="Times New Roman"/>
          <w:color w:val="000000"/>
          <w:sz w:val="24"/>
          <w:szCs w:val="24"/>
          <w:lang w:eastAsia="en-US"/>
        </w:rPr>
        <w:t xml:space="preserve"> sākot ar septembri, nozares eksporta apjomu pieaugumu noteica labā graudaugu raža. Kopumā 2012.gada septembrī – novembrī graudaugu eksporta apjoms bija 3,7 reizes lielāks nekā 2011.gadā. </w:t>
      </w:r>
      <w:r w:rsidRPr="00395EF7">
        <w:rPr>
          <w:rFonts w:ascii="Times New Roman" w:eastAsia="Calibri" w:hAnsi="Times New Roman"/>
          <w:sz w:val="24"/>
          <w:szCs w:val="24"/>
          <w:lang w:eastAsia="en-US"/>
        </w:rPr>
        <w:t>Tāpat strauji turpināja pieaugt minerālproduktu eksports (+17,7</w:t>
      </w:r>
      <w:r w:rsidR="00111406">
        <w:rPr>
          <w:rFonts w:ascii="Times New Roman" w:eastAsia="Calibri" w:hAnsi="Times New Roman"/>
          <w:sz w:val="24"/>
          <w:szCs w:val="24"/>
          <w:lang w:eastAsia="en-US"/>
        </w:rPr>
        <w:t> %</w:t>
      </w:r>
      <w:r w:rsidRPr="00395EF7">
        <w:rPr>
          <w:rFonts w:ascii="Times New Roman" w:eastAsia="Calibri" w:hAnsi="Times New Roman"/>
          <w:sz w:val="24"/>
          <w:szCs w:val="24"/>
          <w:lang w:eastAsia="en-US"/>
        </w:rPr>
        <w:t>), kas galvenokārt saistīts ar preču uzglabāšanu tālākai izvešanai, tādējādi lielāko pienesumu dodot transporta un uzglabāšanas pakalpojumu eksportā. Ievērojami palielinājies arī mehānismu un ierīču eksports, kuru eksporta vērtība faktiskajās cenās palielinājusies par 23,7</w:t>
      </w:r>
      <w:r w:rsidR="00111406">
        <w:rPr>
          <w:rFonts w:ascii="Times New Roman" w:eastAsia="Calibri" w:hAnsi="Times New Roman"/>
          <w:sz w:val="24"/>
          <w:szCs w:val="24"/>
          <w:lang w:eastAsia="en-US"/>
        </w:rPr>
        <w:t> %</w:t>
      </w:r>
      <w:r w:rsidRPr="00395EF7">
        <w:rPr>
          <w:rFonts w:ascii="Times New Roman" w:eastAsia="Calibri" w:hAnsi="Times New Roman"/>
          <w:sz w:val="24"/>
          <w:szCs w:val="24"/>
          <w:lang w:eastAsia="en-US"/>
        </w:rPr>
        <w:t xml:space="preserve">. </w:t>
      </w:r>
      <w:r w:rsidRPr="00395EF7">
        <w:rPr>
          <w:rFonts w:ascii="Times New Roman" w:eastAsia="Calibri" w:hAnsi="Times New Roman"/>
          <w:color w:val="000000"/>
          <w:sz w:val="24"/>
          <w:szCs w:val="24"/>
          <w:lang w:eastAsia="en-US"/>
        </w:rPr>
        <w:t>Lai</w:t>
      </w:r>
      <w:r w:rsidRPr="006202E5">
        <w:rPr>
          <w:rFonts w:ascii="Times New Roman" w:eastAsia="Calibri" w:hAnsi="Times New Roman"/>
          <w:color w:val="000000"/>
          <w:sz w:val="24"/>
          <w:szCs w:val="24"/>
          <w:lang w:eastAsia="en-US"/>
        </w:rPr>
        <w:t xml:space="preserve"> arī metāla un tā izstrādājumu eksporta apjomi atsevišķu mē</w:t>
      </w:r>
      <w:r w:rsidR="00044502">
        <w:rPr>
          <w:rFonts w:ascii="Times New Roman" w:eastAsia="Calibri" w:hAnsi="Times New Roman"/>
          <w:color w:val="000000"/>
          <w:sz w:val="24"/>
          <w:szCs w:val="24"/>
          <w:lang w:eastAsia="en-US"/>
        </w:rPr>
        <w:t>nešu ietvaros ir ļoti svārstīgi</w:t>
      </w:r>
      <w:r w:rsidRPr="006202E5">
        <w:rPr>
          <w:rFonts w:ascii="Times New Roman" w:eastAsia="Calibri" w:hAnsi="Times New Roman"/>
          <w:color w:val="000000"/>
          <w:sz w:val="24"/>
          <w:szCs w:val="24"/>
          <w:lang w:eastAsia="en-US"/>
        </w:rPr>
        <w:t xml:space="preserve"> un 2012.gada nogalē nozares eksporta gada pieauguma tempi uzrādīja lejupvērstu tendenci, liecinot par ārējā pieprasījuma mazināšanos Eiropas valstu rūpniecības un būvniecības vājā snieguma ietekmē, kopumā gada vienpadsmit mēnešos metāla un tā izstrādājumu eksports uzrāda stabilu 12,3</w:t>
      </w:r>
      <w:r w:rsidR="00111406">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xml:space="preserve"> pieaugumu. Līdzīga </w:t>
      </w:r>
      <w:r w:rsidRPr="006202E5">
        <w:rPr>
          <w:rFonts w:ascii="Times New Roman" w:eastAsia="Calibri" w:hAnsi="Times New Roman"/>
          <w:color w:val="000000"/>
          <w:sz w:val="24"/>
          <w:szCs w:val="24"/>
          <w:lang w:eastAsia="en-US"/>
        </w:rPr>
        <w:lastRenderedPageBreak/>
        <w:t xml:space="preserve">situācija novērojama </w:t>
      </w:r>
      <w:r w:rsidRPr="006202E5">
        <w:rPr>
          <w:rFonts w:ascii="Times New Roman" w:eastAsia="Calibri" w:hAnsi="Times New Roman"/>
          <w:sz w:val="24"/>
          <w:szCs w:val="24"/>
          <w:lang w:eastAsia="en-US"/>
        </w:rPr>
        <w:t>koksnes un tās izstrādājumu nozarē, kuras eksporta pieaugums gada griezumā 2012.gada vienpadsmit mēnešos saglabājas vairs tikai 4,7</w:t>
      </w:r>
      <w:r w:rsidR="00111406">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w:t>
      </w:r>
    </w:p>
    <w:p w:rsidR="00871110" w:rsidRPr="006202E5" w:rsidRDefault="00871110" w:rsidP="00871110">
      <w:pPr>
        <w:spacing w:after="0" w:line="240" w:lineRule="auto"/>
        <w:ind w:firstLine="426"/>
        <w:jc w:val="both"/>
        <w:rPr>
          <w:rFonts w:ascii="Times New Roman" w:eastAsia="Calibri" w:hAnsi="Times New Roman"/>
          <w:sz w:val="24"/>
          <w:szCs w:val="24"/>
          <w:lang w:eastAsia="en-US"/>
        </w:rPr>
      </w:pPr>
    </w:p>
    <w:p w:rsidR="00871110" w:rsidRPr="006202E5" w:rsidRDefault="00871110" w:rsidP="00871110">
      <w:pPr>
        <w:spacing w:after="0" w:line="240" w:lineRule="auto"/>
        <w:jc w:val="center"/>
        <w:rPr>
          <w:rFonts w:ascii="Times New Roman" w:hAnsi="Times New Roman"/>
          <w:b/>
          <w:sz w:val="24"/>
          <w:szCs w:val="24"/>
          <w:lang w:eastAsia="en-US"/>
        </w:rPr>
      </w:pPr>
      <w:r w:rsidRPr="006202E5">
        <w:rPr>
          <w:rFonts w:ascii="Times New Roman" w:hAnsi="Times New Roman"/>
          <w:i/>
          <w:sz w:val="24"/>
          <w:szCs w:val="24"/>
          <w:lang w:eastAsia="en-US"/>
        </w:rPr>
        <w:t>8. attēls.</w:t>
      </w:r>
      <w:r w:rsidRPr="006202E5">
        <w:rPr>
          <w:rFonts w:ascii="Times New Roman" w:hAnsi="Times New Roman"/>
          <w:b/>
          <w:i/>
          <w:sz w:val="24"/>
          <w:szCs w:val="24"/>
          <w:lang w:eastAsia="en-US"/>
        </w:rPr>
        <w:t xml:space="preserve"> </w:t>
      </w:r>
      <w:r w:rsidRPr="006202E5">
        <w:rPr>
          <w:rFonts w:ascii="Times New Roman" w:hAnsi="Times New Roman"/>
          <w:b/>
          <w:sz w:val="24"/>
          <w:szCs w:val="24"/>
          <w:lang w:eastAsia="en-US"/>
        </w:rPr>
        <w:t xml:space="preserve">Eksporta apjomu izmaiņas nozaru griezumā, milj. latu </w:t>
      </w:r>
    </w:p>
    <w:p w:rsidR="00871110" w:rsidRPr="006202E5" w:rsidRDefault="00871110" w:rsidP="00871110">
      <w:pPr>
        <w:spacing w:after="0" w:line="240" w:lineRule="auto"/>
        <w:jc w:val="center"/>
        <w:rPr>
          <w:rFonts w:ascii="Times New Roman" w:hAnsi="Times New Roman"/>
          <w:i/>
          <w:sz w:val="24"/>
          <w:szCs w:val="24"/>
          <w:lang w:eastAsia="en-US"/>
        </w:rPr>
      </w:pPr>
      <w:r w:rsidRPr="006202E5">
        <w:rPr>
          <w:rFonts w:ascii="Times New Roman" w:hAnsi="Times New Roman"/>
          <w:i/>
          <w:sz w:val="24"/>
          <w:szCs w:val="24"/>
          <w:lang w:eastAsia="en-US"/>
        </w:rPr>
        <w:t>salīdzinājumā ar iepriekšējā gada atbilstošo periodu</w:t>
      </w:r>
    </w:p>
    <w:p w:rsidR="00871110" w:rsidRPr="006202E5" w:rsidRDefault="00871110" w:rsidP="00871110">
      <w:pPr>
        <w:spacing w:after="0" w:line="240" w:lineRule="auto"/>
        <w:jc w:val="both"/>
        <w:rPr>
          <w:rFonts w:ascii="Times New Roman" w:eastAsia="Calibri" w:hAnsi="Times New Roman"/>
          <w:sz w:val="24"/>
          <w:szCs w:val="24"/>
          <w:lang w:eastAsia="en-US"/>
        </w:rPr>
      </w:pPr>
      <w:r>
        <w:rPr>
          <w:rFonts w:ascii="Times New Roman" w:eastAsia="Calibri" w:hAnsi="Times New Roman"/>
          <w:noProof/>
          <w:sz w:val="24"/>
          <w:szCs w:val="24"/>
        </w:rPr>
        <w:drawing>
          <wp:inline distT="0" distB="0" distL="0" distR="0" wp14:anchorId="0FE7C6B8" wp14:editId="49BF4CAC">
            <wp:extent cx="5486400" cy="2915031"/>
            <wp:effectExtent l="0" t="0" r="0" b="254"/>
            <wp:docPr id="31"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202E5">
        <w:rPr>
          <w:rFonts w:ascii="Times New Roman" w:eastAsia="Calibri" w:hAnsi="Times New Roman"/>
          <w:i/>
          <w:sz w:val="24"/>
          <w:szCs w:val="24"/>
          <w:lang w:eastAsia="en-US"/>
        </w:rPr>
        <w:t>Avots: CSP, FM aprēķini</w:t>
      </w:r>
    </w:p>
    <w:p w:rsidR="00871110" w:rsidRPr="006202E5" w:rsidRDefault="00871110" w:rsidP="00871110">
      <w:pPr>
        <w:spacing w:after="0" w:line="240" w:lineRule="auto"/>
        <w:jc w:val="both"/>
        <w:rPr>
          <w:rFonts w:ascii="Times New Roman" w:eastAsia="Calibri" w:hAnsi="Times New Roman"/>
          <w:i/>
          <w:sz w:val="24"/>
          <w:szCs w:val="24"/>
          <w:lang w:eastAsia="en-US"/>
        </w:rPr>
      </w:pPr>
    </w:p>
    <w:p w:rsidR="007B3B40" w:rsidRPr="006202E5" w:rsidRDefault="007B3B40" w:rsidP="007B3B40">
      <w:pPr>
        <w:spacing w:after="0" w:line="240" w:lineRule="auto"/>
        <w:ind w:firstLine="720"/>
        <w:jc w:val="both"/>
        <w:rPr>
          <w:rFonts w:ascii="Times New Roman" w:eastAsia="Calibri" w:hAnsi="Times New Roman"/>
          <w:color w:val="000000"/>
          <w:sz w:val="24"/>
          <w:szCs w:val="24"/>
          <w:lang w:eastAsia="en-US"/>
        </w:rPr>
      </w:pPr>
      <w:bookmarkStart w:id="41" w:name="_Toc348089283"/>
      <w:r w:rsidRPr="006202E5">
        <w:rPr>
          <w:rFonts w:ascii="Times New Roman" w:eastAsia="Calibri" w:hAnsi="Times New Roman"/>
          <w:sz w:val="24"/>
          <w:szCs w:val="24"/>
          <w:lang w:eastAsia="en-US"/>
        </w:rPr>
        <w:t xml:space="preserve">Pozitīvi vērtējama 2012.gadā koksnes un tās izstrādājumu nozarē vērojamā tendence palielināties augstākas pievienotās vērtības izstrādājumu īpatsvaram eksportā. To noteicis gan resursu pieejamības problēmu saasinājums iekšzemē, gan iepriekš kokrūpniecībā veiktās investīcijas. Jāatzīmē, ka pieaugošais kokmateriālu imports liecina, ka </w:t>
      </w:r>
      <w:r w:rsidRPr="006202E5">
        <w:rPr>
          <w:rFonts w:ascii="Times New Roman" w:eastAsia="Calibri" w:hAnsi="Times New Roman"/>
          <w:color w:val="000000"/>
          <w:sz w:val="24"/>
          <w:szCs w:val="24"/>
          <w:lang w:eastAsia="en-US"/>
        </w:rPr>
        <w:t>trūkstošais izejmateriālu daudzums tiek kompensēts ar ievestiem izejmateriāliem.</w:t>
      </w:r>
    </w:p>
    <w:p w:rsidR="007B3B40" w:rsidRPr="006202E5" w:rsidRDefault="007B3B40" w:rsidP="007B3B4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 xml:space="preserve">Savukārt preču importa apjomi faktiskajās cenās 2012.gada vienpadsmit mēnešos palielinājās par </w:t>
      </w:r>
      <w:r>
        <w:rPr>
          <w:rFonts w:ascii="Times New Roman" w:eastAsia="Calibri" w:hAnsi="Times New Roman"/>
          <w:sz w:val="24"/>
          <w:szCs w:val="24"/>
          <w:lang w:eastAsia="en-US"/>
        </w:rPr>
        <w:t>14,1 %</w:t>
      </w:r>
      <w:r w:rsidRPr="006202E5">
        <w:rPr>
          <w:rFonts w:ascii="Times New Roman" w:eastAsia="Calibri" w:hAnsi="Times New Roman"/>
          <w:sz w:val="24"/>
          <w:szCs w:val="24"/>
          <w:lang w:eastAsia="en-US"/>
        </w:rPr>
        <w:t xml:space="preserve">, salīdzinot ar atbilstošo periodu 2011.gadā. Lai arī salīdzinoši straujo importa pieaugumu pamatā noteica kapitāla un starppatēriņa preču imports, vienlaikus no eksporta gūtie ienākumi ir sekmējuši sabalansēta iekšējā patēriņa pieauguma atjaunošanos, kas savukārt ir veicinājis straujāku importa apjomu pieaugumu. </w:t>
      </w:r>
    </w:p>
    <w:p w:rsidR="007B3B40" w:rsidRPr="006202E5" w:rsidRDefault="007B3B40" w:rsidP="007B3B4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Lai arī gada pirmajā pusē preču imports pieauga straujāk nekā eksports, tomēr</w:t>
      </w:r>
      <w:r>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sākot ar trešo ceturksni</w:t>
      </w:r>
      <w:r>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tirdzniecības negatīvais saldo salīdzinājumā ar attiecīgo periodu 2011.gadā pieauga lēnāk. Kopumā 2012.gada vienpadsmit mēnešos ārējās tirdzniecības negatīvais saldo bija 1647,8 milj. latu jeb 11,5</w:t>
      </w:r>
      <w:r>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no ārējās tirdzniecības apgrozījuma, tomēr tas joprojām ir ievērojami mazāks nekā 2007.</w:t>
      </w:r>
      <w:r>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2008.gadā, kad tas veidoja vairāk </w:t>
      </w:r>
      <w:r>
        <w:rPr>
          <w:rFonts w:ascii="Times New Roman" w:eastAsia="Calibri" w:hAnsi="Times New Roman"/>
          <w:sz w:val="24"/>
          <w:szCs w:val="24"/>
          <w:lang w:eastAsia="en-US"/>
        </w:rPr>
        <w:t>ne</w:t>
      </w:r>
      <w:r w:rsidRPr="006202E5">
        <w:rPr>
          <w:rFonts w:ascii="Times New Roman" w:eastAsia="Calibri" w:hAnsi="Times New Roman"/>
          <w:sz w:val="24"/>
          <w:szCs w:val="24"/>
          <w:lang w:eastAsia="en-US"/>
        </w:rPr>
        <w:t>kā 25</w:t>
      </w:r>
      <w:r>
        <w:rPr>
          <w:rFonts w:ascii="Times New Roman" w:eastAsia="Calibri" w:hAnsi="Times New Roman"/>
          <w:sz w:val="24"/>
          <w:szCs w:val="24"/>
          <w:lang w:eastAsia="en-US"/>
        </w:rPr>
        <w:t> %</w:t>
      </w:r>
      <w:r w:rsidRPr="006202E5">
        <w:rPr>
          <w:rFonts w:ascii="Times New Roman" w:eastAsia="Calibri" w:hAnsi="Times New Roman"/>
          <w:sz w:val="24"/>
          <w:szCs w:val="24"/>
          <w:lang w:eastAsia="en-US"/>
        </w:rPr>
        <w:t xml:space="preserve"> no ārējās tirdzniecības apjoma.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eastAsia="Calibri" w:hAnsi="Times New Roman"/>
          <w:color w:val="000000"/>
          <w:sz w:val="24"/>
          <w:szCs w:val="24"/>
          <w:lang w:eastAsia="en-US"/>
        </w:rPr>
        <w:t xml:space="preserve">Vērtējot eksporta tirgu struktūras izmaiņas, jāatzīmē, ka pieprasījuma samazinājums ES valstīs daļēji ir ticis kompensēts ar jaunu tirgu apgūšanu. Ja 2012.gada vienpadsmit mēnešos eksporta apjomi uz NVS un pārējām valstīm pieauga attiecīgi par </w:t>
      </w:r>
      <w:r>
        <w:rPr>
          <w:rFonts w:ascii="Times New Roman" w:eastAsia="Calibri" w:hAnsi="Times New Roman"/>
          <w:color w:val="000000"/>
          <w:sz w:val="24"/>
          <w:szCs w:val="24"/>
          <w:lang w:eastAsia="en-US"/>
        </w:rPr>
        <w:t>22,1 </w:t>
      </w:r>
      <w:r w:rsidRPr="006202E5">
        <w:rPr>
          <w:rFonts w:ascii="Times New Roman" w:eastAsia="Calibri" w:hAnsi="Times New Roman"/>
          <w:color w:val="000000"/>
          <w:sz w:val="24"/>
          <w:szCs w:val="24"/>
          <w:lang w:eastAsia="en-US"/>
        </w:rPr>
        <w:t xml:space="preserve">% un </w:t>
      </w:r>
      <w:r>
        <w:rPr>
          <w:rFonts w:ascii="Times New Roman" w:eastAsia="Calibri" w:hAnsi="Times New Roman"/>
          <w:color w:val="000000"/>
          <w:sz w:val="24"/>
          <w:szCs w:val="24"/>
          <w:lang w:eastAsia="en-US"/>
        </w:rPr>
        <w:t>31,1 </w:t>
      </w:r>
      <w:r w:rsidRPr="006202E5">
        <w:rPr>
          <w:rFonts w:ascii="Times New Roman" w:eastAsia="Calibri" w:hAnsi="Times New Roman"/>
          <w:color w:val="000000"/>
          <w:sz w:val="24"/>
          <w:szCs w:val="24"/>
          <w:lang w:eastAsia="en-US"/>
        </w:rPr>
        <w:t xml:space="preserve">%, tad eksporta pieaugums uz ES valstīm ir bijis </w:t>
      </w:r>
      <w:r>
        <w:rPr>
          <w:rFonts w:ascii="Times New Roman" w:eastAsia="Calibri" w:hAnsi="Times New Roman"/>
          <w:color w:val="000000"/>
          <w:sz w:val="24"/>
          <w:szCs w:val="24"/>
          <w:lang w:eastAsia="en-US"/>
        </w:rPr>
        <w:t>10,9 %</w:t>
      </w:r>
      <w:r w:rsidRPr="006202E5">
        <w:rPr>
          <w:rFonts w:ascii="Times New Roman" w:eastAsia="Calibri" w:hAnsi="Times New Roman"/>
          <w:color w:val="000000"/>
          <w:sz w:val="24"/>
          <w:szCs w:val="24"/>
          <w:lang w:eastAsia="en-US"/>
        </w:rPr>
        <w:t xml:space="preserve">, tādējādi nodrošinot ievērojamu eksporta pieaugumu tempu ārēji sarežģītos apstākļos. </w:t>
      </w:r>
      <w:r w:rsidRPr="006202E5">
        <w:rPr>
          <w:rFonts w:ascii="Times New Roman" w:hAnsi="Times New Roman"/>
          <w:sz w:val="24"/>
          <w:szCs w:val="24"/>
        </w:rPr>
        <w:t xml:space="preserve">Lielāko ieguldījumu eksporta pieaugumā gan uz ES valstīm (vairāk nekā </w:t>
      </w:r>
      <w:r>
        <w:rPr>
          <w:rFonts w:ascii="Times New Roman" w:hAnsi="Times New Roman"/>
          <w:sz w:val="24"/>
          <w:szCs w:val="24"/>
        </w:rPr>
        <w:t>40</w:t>
      </w:r>
      <w:r w:rsidRPr="006202E5">
        <w:rPr>
          <w:rFonts w:ascii="Times New Roman" w:hAnsi="Times New Roman"/>
          <w:sz w:val="24"/>
          <w:szCs w:val="24"/>
        </w:rPr>
        <w:t> %), gan NVS valstīm (50 %) sastādīja lauksaimniecības un pārtikas prod</w:t>
      </w:r>
      <w:r>
        <w:rPr>
          <w:rFonts w:ascii="Times New Roman" w:hAnsi="Times New Roman"/>
          <w:sz w:val="24"/>
          <w:szCs w:val="24"/>
        </w:rPr>
        <w:t xml:space="preserve">uktu eksporta grupas izaugsme. </w:t>
      </w:r>
      <w:r w:rsidRPr="006202E5">
        <w:rPr>
          <w:rFonts w:ascii="Times New Roman" w:hAnsi="Times New Roman"/>
          <w:sz w:val="24"/>
          <w:szCs w:val="24"/>
        </w:rPr>
        <w:lastRenderedPageBreak/>
        <w:t>2012.gada janvārī-novembrī, salīdzinot ar 2011.gada 11 mēnešiem, eksporta apjomi uz Igauniju un Lietuvu pieauga attiecīgi par 9 % un 3 %. Galvenās eksporta preces uz Igauniju un Lietuvu ir lauksaimniecības un pārtikas preces, kā arī mašīnbūves produkcija.</w:t>
      </w:r>
    </w:p>
    <w:p w:rsidR="007B3B40" w:rsidRPr="006202E5" w:rsidRDefault="007B3B40" w:rsidP="007B3B40">
      <w:pPr>
        <w:spacing w:after="0" w:line="240" w:lineRule="auto"/>
        <w:ind w:firstLine="720"/>
        <w:jc w:val="both"/>
        <w:rPr>
          <w:rFonts w:ascii="Times New Roman" w:eastAsia="Calibri" w:hAnsi="Times New Roman"/>
          <w:color w:val="000000"/>
          <w:sz w:val="24"/>
          <w:szCs w:val="24"/>
          <w:lang w:eastAsia="en-US"/>
        </w:rPr>
      </w:pPr>
      <w:r w:rsidRPr="006202E5">
        <w:rPr>
          <w:rFonts w:ascii="Times New Roman" w:eastAsia="Calibri" w:hAnsi="Times New Roman"/>
          <w:color w:val="000000"/>
          <w:sz w:val="24"/>
          <w:szCs w:val="24"/>
          <w:lang w:eastAsia="en-US"/>
        </w:rPr>
        <w:t>Neskatoties uz ievērojamo eksporta tirgu diversifikāciju, Eiropas valstis joprojām ir galvenais Latvijas eksporta noieta tirgus, veidojot 70</w:t>
      </w:r>
      <w:r>
        <w:rPr>
          <w:rFonts w:ascii="Times New Roman" w:eastAsia="Calibri" w:hAnsi="Times New Roman"/>
          <w:color w:val="000000"/>
          <w:sz w:val="24"/>
          <w:szCs w:val="24"/>
          <w:lang w:eastAsia="en-US"/>
        </w:rPr>
        <w:t> %</w:t>
      </w:r>
      <w:r w:rsidRPr="006202E5">
        <w:rPr>
          <w:rFonts w:ascii="Times New Roman" w:eastAsia="Calibri" w:hAnsi="Times New Roman"/>
          <w:color w:val="000000"/>
          <w:sz w:val="24"/>
          <w:szCs w:val="24"/>
          <w:lang w:eastAsia="en-US"/>
        </w:rPr>
        <w:t xml:space="preserve"> no visa Latvijas eksporta, tādēļ Latvijas eksporta dinamika būs atkarīga no pārējo Eiropas valstu izaugsmes. Paredzams, ka 2013.gadā eksporta apjomi turpinās palielināties, tomēr pieauguma tempi būs ievērojami zemāki nekā 2012.gadā. Straujš pieaugumu tempu samazinājums prognozējams 2013.gada nogalē, kad zemākus eksporta pieauguma tempus noteiks 2012.gada otrās puses augstā bāze. Eksporta dinamika joproj</w:t>
      </w:r>
      <w:r>
        <w:rPr>
          <w:rFonts w:ascii="Times New Roman" w:eastAsia="Calibri" w:hAnsi="Times New Roman"/>
          <w:color w:val="000000"/>
          <w:sz w:val="24"/>
          <w:szCs w:val="24"/>
          <w:lang w:eastAsia="en-US"/>
        </w:rPr>
        <w:t>ām būs atkarīga no norisēm eirozonā</w:t>
      </w:r>
      <w:r w:rsidRPr="006202E5">
        <w:rPr>
          <w:rFonts w:ascii="Times New Roman" w:eastAsia="Calibri" w:hAnsi="Times New Roman"/>
          <w:color w:val="000000"/>
          <w:sz w:val="24"/>
          <w:szCs w:val="24"/>
          <w:lang w:eastAsia="en-US"/>
        </w:rPr>
        <w:t xml:space="preserve"> un to ietekmes uz Latvijas tirdzniecības partnervalstu izaugsmi. </w:t>
      </w:r>
    </w:p>
    <w:p w:rsidR="007B3B40" w:rsidRPr="006202E5" w:rsidRDefault="007B3B40" w:rsidP="007B3B40">
      <w:pPr>
        <w:pStyle w:val="Heading3"/>
        <w:rPr>
          <w:rStyle w:val="Hyperlink"/>
          <w:szCs w:val="24"/>
        </w:rPr>
      </w:pPr>
      <w:bookmarkStart w:id="42" w:name="_Toc348089280"/>
      <w:bookmarkStart w:id="43" w:name="_Toc348948342"/>
      <w:r w:rsidRPr="006202E5">
        <w:rPr>
          <w:rStyle w:val="Hyperlink"/>
          <w:szCs w:val="24"/>
        </w:rPr>
        <w:t>1.5.</w:t>
      </w:r>
      <w:r w:rsidRPr="006202E5">
        <w:rPr>
          <w:szCs w:val="24"/>
        </w:rPr>
        <w:t xml:space="preserve"> </w:t>
      </w:r>
      <w:r w:rsidRPr="00D6736B">
        <w:rPr>
          <w:szCs w:val="24"/>
        </w:rPr>
        <w:t>Finanšu tirgus</w:t>
      </w:r>
      <w:bookmarkEnd w:id="42"/>
      <w:bookmarkEnd w:id="43"/>
      <w:r w:rsidRPr="006202E5">
        <w:rPr>
          <w:szCs w:val="24"/>
        </w:rPr>
        <w:t xml:space="preserve"> </w:t>
      </w:r>
    </w:p>
    <w:p w:rsidR="007B3B40" w:rsidRPr="006202E5" w:rsidRDefault="007B3B40" w:rsidP="007B3B40">
      <w:pPr>
        <w:spacing w:after="0" w:line="240" w:lineRule="auto"/>
        <w:ind w:firstLine="720"/>
        <w:jc w:val="both"/>
        <w:rPr>
          <w:rFonts w:ascii="Times New Roman" w:hAnsi="Times New Roman"/>
          <w:bCs/>
          <w:sz w:val="24"/>
          <w:szCs w:val="24"/>
        </w:rPr>
      </w:pPr>
      <w:r w:rsidRPr="006202E5">
        <w:rPr>
          <w:rFonts w:ascii="Times New Roman" w:hAnsi="Times New Roman"/>
          <w:sz w:val="24"/>
          <w:szCs w:val="24"/>
        </w:rPr>
        <w:t xml:space="preserve">2012.gada decembrī Latvija pirms termiņa pilnībā atmaksāja starptautiskās aizņēmuma programmas ietvaros saņemto aizņēmumu no </w:t>
      </w:r>
      <w:r w:rsidRPr="009502DC">
        <w:rPr>
          <w:rFonts w:ascii="Times New Roman" w:hAnsi="Times New Roman"/>
          <w:sz w:val="24"/>
          <w:szCs w:val="24"/>
        </w:rPr>
        <w:t>SVF</w:t>
      </w:r>
      <w:r w:rsidRPr="006202E5">
        <w:rPr>
          <w:rFonts w:ascii="Times New Roman" w:hAnsi="Times New Roman"/>
          <w:sz w:val="24"/>
          <w:szCs w:val="24"/>
        </w:rPr>
        <w:t>.</w:t>
      </w:r>
    </w:p>
    <w:p w:rsidR="007B3B40" w:rsidRPr="006202E5" w:rsidRDefault="007B3B40" w:rsidP="007B3B40">
      <w:pPr>
        <w:pStyle w:val="NormalWeb"/>
        <w:spacing w:before="0" w:beforeAutospacing="0" w:after="0" w:afterAutospacing="0"/>
        <w:ind w:firstLine="720"/>
        <w:jc w:val="both"/>
      </w:pPr>
      <w:r w:rsidRPr="006202E5">
        <w:t>2012.gada 14.februārī Latvija sekmīgi emitēja piecu gadu obligācijas viena miljarda ASV dolāru apmērā ar fiksēto procentu (kupona) likmi 5,25</w:t>
      </w:r>
      <w:r>
        <w:t> %</w:t>
      </w:r>
      <w:r w:rsidRPr="006202E5">
        <w:t xml:space="preserve"> gadā (ienesīgums 5,375</w:t>
      </w:r>
      <w:r>
        <w:t> %</w:t>
      </w:r>
      <w:r w:rsidRPr="006202E5">
        <w:t>), sasniedzot plašu investoru loku</w:t>
      </w:r>
      <w:r>
        <w:t>.</w:t>
      </w:r>
      <w:r w:rsidRPr="006202E5">
        <w:t xml:space="preserve"> Savukārt 2012.gada 5.decembrī Latvija sekmīgi emitēja septiņu gadu obligācijas 1,25 miljardu ASV dolāru apmērā ar fiksēto procentu (kupona) likmi 2,750</w:t>
      </w:r>
      <w:r>
        <w:t> %</w:t>
      </w:r>
      <w:r w:rsidRPr="006202E5">
        <w:t xml:space="preserve"> gadā (ienesīgums 2,889</w:t>
      </w:r>
      <w:r>
        <w:t> %</w:t>
      </w:r>
      <w:r w:rsidRPr="006202E5">
        <w:t>), kas ir vēsturiski zemākā vērtspapīru procentu likme kopš Latvija veic publiskus aizņēmumus starptautiskajos finanšu tirgos. Līdz ar to Valsts kase, pirms termiņa atmaksājot SVF aizdevumu, dārgu īstermiņa aizdevumu pārfinansēja ar lētu ilgtermiņa aizņēmumu.</w:t>
      </w:r>
    </w:p>
    <w:p w:rsidR="007B3B40" w:rsidRPr="003735F2" w:rsidRDefault="007B3B40" w:rsidP="007B3B40">
      <w:pPr>
        <w:spacing w:after="0" w:line="240" w:lineRule="auto"/>
        <w:ind w:firstLine="720"/>
        <w:jc w:val="both"/>
        <w:rPr>
          <w:rFonts w:ascii="Times New Roman" w:hAnsi="Times New Roman"/>
          <w:i/>
          <w:sz w:val="24"/>
          <w:szCs w:val="24"/>
        </w:rPr>
      </w:pPr>
      <w:r w:rsidRPr="006202E5">
        <w:rPr>
          <w:rFonts w:ascii="Times New Roman" w:hAnsi="Times New Roman"/>
          <w:sz w:val="24"/>
          <w:szCs w:val="24"/>
        </w:rPr>
        <w:t xml:space="preserve">2012.gada pirmajā pusgadā </w:t>
      </w:r>
      <w:r w:rsidRPr="006202E5">
        <w:rPr>
          <w:rFonts w:ascii="Times New Roman" w:hAnsi="Times New Roman"/>
          <w:bCs/>
          <w:iCs/>
          <w:sz w:val="24"/>
          <w:szCs w:val="24"/>
        </w:rPr>
        <w:t xml:space="preserve">starptautiskās reitingu aģentūras </w:t>
      </w:r>
      <w:r w:rsidRPr="006202E5">
        <w:rPr>
          <w:rFonts w:ascii="Times New Roman" w:hAnsi="Times New Roman"/>
          <w:i/>
          <w:sz w:val="24"/>
          <w:szCs w:val="24"/>
        </w:rPr>
        <w:t>Rating and Investment Information, Inc.</w:t>
      </w:r>
      <w:r w:rsidRPr="006202E5">
        <w:rPr>
          <w:rFonts w:ascii="Times New Roman" w:hAnsi="Times New Roman"/>
          <w:sz w:val="24"/>
          <w:szCs w:val="24"/>
        </w:rPr>
        <w:t xml:space="preserve"> un </w:t>
      </w:r>
      <w:r w:rsidRPr="006202E5">
        <w:rPr>
          <w:rFonts w:ascii="Times New Roman" w:hAnsi="Times New Roman"/>
          <w:bCs/>
          <w:i/>
          <w:iCs/>
          <w:sz w:val="24"/>
          <w:szCs w:val="24"/>
        </w:rPr>
        <w:t>Standart&amp;Poor’s</w:t>
      </w:r>
      <w:r w:rsidR="006D7AB4" w:rsidRPr="006202E5">
        <w:rPr>
          <w:rFonts w:ascii="Times New Roman" w:hAnsi="Times New Roman"/>
          <w:bCs/>
          <w:i/>
          <w:iCs/>
          <w:sz w:val="24"/>
          <w:szCs w:val="24"/>
        </w:rPr>
        <w:t xml:space="preserve"> </w:t>
      </w:r>
      <w:r w:rsidRPr="006202E5">
        <w:rPr>
          <w:rFonts w:ascii="Times New Roman" w:hAnsi="Times New Roman"/>
          <w:sz w:val="24"/>
          <w:szCs w:val="24"/>
        </w:rPr>
        <w:t>Latvijai paaugstināja kredītreitingu par vienu pakāpi no BB+ uz BBB- ar stabilu nākotnes vērtējumu. Līdz ar šo starptautisko reitingu aģentūru lēmumiem pēc vairāk nekā tr</w:t>
      </w:r>
      <w:r>
        <w:rPr>
          <w:rFonts w:ascii="Times New Roman" w:hAnsi="Times New Roman"/>
          <w:sz w:val="24"/>
          <w:szCs w:val="24"/>
        </w:rPr>
        <w:t>iju</w:t>
      </w:r>
      <w:r w:rsidRPr="006202E5">
        <w:rPr>
          <w:rFonts w:ascii="Times New Roman" w:hAnsi="Times New Roman"/>
          <w:sz w:val="24"/>
          <w:szCs w:val="24"/>
        </w:rPr>
        <w:t xml:space="preserve"> gadu pārtraukuma visas reitingu aģentūras Latviju atkal ievietoja investīciju kategorijas kredītreitinga līmenī. 2012.gada otrajā pusgadā </w:t>
      </w:r>
      <w:r w:rsidRPr="006202E5">
        <w:rPr>
          <w:rFonts w:ascii="Times New Roman" w:hAnsi="Times New Roman"/>
          <w:bCs/>
          <w:iCs/>
          <w:sz w:val="24"/>
          <w:szCs w:val="24"/>
        </w:rPr>
        <w:t xml:space="preserve">starptautiskās reitingu aģentūras </w:t>
      </w:r>
      <w:r w:rsidRPr="006202E5">
        <w:rPr>
          <w:rFonts w:ascii="Times New Roman" w:hAnsi="Times New Roman"/>
          <w:i/>
          <w:sz w:val="24"/>
          <w:szCs w:val="24"/>
        </w:rPr>
        <w:t>Fitch Ratings</w:t>
      </w:r>
      <w:r w:rsidRPr="006202E5">
        <w:rPr>
          <w:rFonts w:ascii="Times New Roman" w:hAnsi="Times New Roman"/>
          <w:sz w:val="24"/>
          <w:szCs w:val="24"/>
        </w:rPr>
        <w:t xml:space="preserve"> un </w:t>
      </w:r>
      <w:r w:rsidRPr="006202E5">
        <w:rPr>
          <w:rFonts w:ascii="Times New Roman" w:hAnsi="Times New Roman"/>
          <w:bCs/>
          <w:i/>
          <w:iCs/>
          <w:sz w:val="24"/>
          <w:szCs w:val="24"/>
        </w:rPr>
        <w:t xml:space="preserve">Standart&amp;Poor’s </w:t>
      </w:r>
      <w:r w:rsidRPr="006202E5">
        <w:rPr>
          <w:rFonts w:ascii="Times New Roman" w:hAnsi="Times New Roman"/>
          <w:sz w:val="24"/>
          <w:szCs w:val="24"/>
        </w:rPr>
        <w:t>paaugstināja Latvijas kredītreitingu par vēl vienu pakāpi no BBB- uz BBB un abas aģentūras noteica pozitīvus nākotnes vērtējumus. Šie reitinga paaugstinājumi ir</w:t>
      </w:r>
      <w:r w:rsidRPr="006202E5">
        <w:rPr>
          <w:rFonts w:ascii="Times New Roman" w:hAnsi="Times New Roman"/>
          <w:i/>
          <w:sz w:val="24"/>
          <w:szCs w:val="24"/>
        </w:rPr>
        <w:t xml:space="preserve"> </w:t>
      </w:r>
      <w:r w:rsidRPr="003735F2">
        <w:rPr>
          <w:rStyle w:val="Emphasis"/>
          <w:rFonts w:ascii="Times New Roman" w:hAnsi="Times New Roman"/>
          <w:sz w:val="24"/>
          <w:szCs w:val="24"/>
        </w:rPr>
        <w:t>nozīmīgs Latvijas tautsaimniecības attīstības novērtējums par konsekventas politikas īstenošanu, sakārtojot savas publiskās finanses, samazinot pārmērīgo budžeta deficītu, nodrošinot stabilu un prognozējamu nodokļu sistēmu, kā arī būtisks signāls ārvalstu investoriem</w:t>
      </w:r>
      <w:r>
        <w:rPr>
          <w:rStyle w:val="Emphasis"/>
          <w:rFonts w:ascii="Times New Roman" w:hAnsi="Times New Roman"/>
          <w:sz w:val="24"/>
          <w:szCs w:val="24"/>
        </w:rPr>
        <w:t>.</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bCs/>
          <w:sz w:val="24"/>
          <w:szCs w:val="24"/>
        </w:rPr>
        <w:t xml:space="preserve">MK </w:t>
      </w:r>
      <w:r w:rsidRPr="006202E5">
        <w:rPr>
          <w:rStyle w:val="spelle"/>
          <w:rFonts w:ascii="Times New Roman" w:hAnsi="Times New Roman"/>
          <w:sz w:val="24"/>
          <w:szCs w:val="24"/>
        </w:rPr>
        <w:t>konceptuāli atbalstījis jauna valsts iekšējā aizņēmuma instrumenta – Latvijas valsts krājobligāciju – ieviešanu 2013.gadā.</w:t>
      </w:r>
    </w:p>
    <w:p w:rsidR="007B3B40" w:rsidRPr="0091124F" w:rsidRDefault="007B3B40" w:rsidP="007B3B40">
      <w:pPr>
        <w:pStyle w:val="Heading4"/>
      </w:pPr>
      <w:r w:rsidRPr="0091124F">
        <w:t>1.5.1. Vienota attīstības finanšu institūcija</w:t>
      </w:r>
    </w:p>
    <w:p w:rsidR="007B3B40" w:rsidRPr="006202E5" w:rsidRDefault="007B3B40" w:rsidP="007B3B40">
      <w:pPr>
        <w:tabs>
          <w:tab w:val="left" w:pos="0"/>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6202E5">
        <w:rPr>
          <w:rFonts w:ascii="Times New Roman" w:hAnsi="Times New Roman"/>
          <w:sz w:val="24"/>
          <w:szCs w:val="24"/>
        </w:rPr>
        <w:t xml:space="preserve">MK izskatīts ziņojums par vienotas attīstības finanšu institūcijas izveidi un valsts atbalsta programmām, kas tiek īstenotas finanšu instrumentu veidā. Vienotais </w:t>
      </w:r>
      <w:r w:rsidRPr="009502DC">
        <w:rPr>
          <w:rFonts w:ascii="Times New Roman" w:hAnsi="Times New Roman"/>
          <w:sz w:val="24"/>
          <w:szCs w:val="24"/>
        </w:rPr>
        <w:t>AFI</w:t>
      </w:r>
      <w:r w:rsidRPr="006202E5">
        <w:rPr>
          <w:rFonts w:ascii="Times New Roman" w:hAnsi="Times New Roman"/>
          <w:sz w:val="24"/>
          <w:szCs w:val="24"/>
        </w:rPr>
        <w:t xml:space="preserve">  institucionālais un saturisk</w:t>
      </w:r>
      <w:r>
        <w:rPr>
          <w:rFonts w:ascii="Times New Roman" w:hAnsi="Times New Roman"/>
          <w:sz w:val="24"/>
          <w:szCs w:val="24"/>
        </w:rPr>
        <w:t>ais</w:t>
      </w:r>
      <w:r w:rsidRPr="006202E5">
        <w:rPr>
          <w:rFonts w:ascii="Times New Roman" w:hAnsi="Times New Roman"/>
          <w:sz w:val="24"/>
          <w:szCs w:val="24"/>
        </w:rPr>
        <w:t xml:space="preserve"> modelis piedāvā risinājumu un rekomendē valsts atbalsta programmas ieviest, izmantojot galvenokārt netiešo finansēšanas mehānismu, tomēr vienlaikus saglabājot vienotās AFI tiešās finansēšanas funkcionalitāti lietderīgā apmērā</w:t>
      </w:r>
      <w:r>
        <w:rPr>
          <w:rFonts w:ascii="Times New Roman" w:hAnsi="Times New Roman"/>
          <w:sz w:val="24"/>
          <w:szCs w:val="24"/>
        </w:rPr>
        <w:t>,</w:t>
      </w:r>
      <w:r w:rsidRPr="006202E5">
        <w:rPr>
          <w:rFonts w:ascii="Times New Roman" w:hAnsi="Times New Roman"/>
          <w:sz w:val="24"/>
          <w:szCs w:val="24"/>
        </w:rPr>
        <w:t xml:space="preserve"> </w:t>
      </w:r>
      <w:r>
        <w:rPr>
          <w:rFonts w:ascii="Times New Roman" w:hAnsi="Times New Roman"/>
          <w:sz w:val="24"/>
          <w:szCs w:val="24"/>
        </w:rPr>
        <w:t>ja</w:t>
      </w:r>
      <w:r w:rsidRPr="006202E5">
        <w:rPr>
          <w:rFonts w:ascii="Times New Roman" w:hAnsi="Times New Roman"/>
          <w:sz w:val="24"/>
          <w:szCs w:val="24"/>
        </w:rPr>
        <w:t xml:space="preserve"> ar netiešo finansēšanu nav iespējams sasniegt nepieciešamo mērķi</w:t>
      </w:r>
      <w:r>
        <w:rPr>
          <w:rFonts w:ascii="Times New Roman" w:hAnsi="Times New Roman"/>
          <w:sz w:val="24"/>
          <w:szCs w:val="24"/>
        </w:rPr>
        <w:t>.</w:t>
      </w:r>
      <w:r w:rsidRPr="006202E5">
        <w:rPr>
          <w:rFonts w:ascii="Times New Roman" w:hAnsi="Times New Roman"/>
          <w:sz w:val="24"/>
          <w:szCs w:val="24"/>
        </w:rPr>
        <w:t xml:space="preserve"> </w:t>
      </w:r>
      <w:r w:rsidRPr="009502DC">
        <w:rPr>
          <w:rFonts w:ascii="Times New Roman" w:hAnsi="Times New Roman"/>
          <w:sz w:val="24"/>
          <w:szCs w:val="24"/>
        </w:rPr>
        <w:t>AFI</w:t>
      </w:r>
      <w:r>
        <w:rPr>
          <w:rFonts w:ascii="Times New Roman" w:hAnsi="Times New Roman"/>
          <w:sz w:val="24"/>
          <w:szCs w:val="24"/>
        </w:rPr>
        <w:t xml:space="preserve"> </w:t>
      </w:r>
      <w:r w:rsidRPr="006202E5">
        <w:rPr>
          <w:rFonts w:ascii="Times New Roman" w:hAnsi="Times New Roman"/>
          <w:sz w:val="24"/>
          <w:szCs w:val="24"/>
        </w:rPr>
        <w:t xml:space="preserve">modelis </w:t>
      </w:r>
      <w:r>
        <w:rPr>
          <w:rFonts w:ascii="Times New Roman" w:hAnsi="Times New Roman"/>
          <w:sz w:val="24"/>
          <w:szCs w:val="24"/>
        </w:rPr>
        <w:t xml:space="preserve">iesaka, </w:t>
      </w:r>
      <w:r w:rsidRPr="006202E5">
        <w:rPr>
          <w:rFonts w:ascii="Times New Roman" w:hAnsi="Times New Roman"/>
          <w:sz w:val="24"/>
          <w:szCs w:val="24"/>
        </w:rPr>
        <w:t>īstenojot valsts atbalsta programmas</w:t>
      </w:r>
      <w:r>
        <w:rPr>
          <w:rFonts w:ascii="Times New Roman" w:hAnsi="Times New Roman"/>
          <w:sz w:val="24"/>
          <w:szCs w:val="24"/>
        </w:rPr>
        <w:t>,</w:t>
      </w:r>
      <w:r w:rsidRPr="006202E5">
        <w:rPr>
          <w:rFonts w:ascii="Times New Roman" w:hAnsi="Times New Roman"/>
          <w:sz w:val="24"/>
          <w:szCs w:val="24"/>
        </w:rPr>
        <w:t xml:space="preserve"> maksimāli veicināt sadarbību ar privātajiem finanšu starpniekiem, tādējādi uzlabojot finanšu tirgus daudzveidību, kā arī citus AFI darbības priekšnoteikumus. Būtisks priekšnosacījums vienotas AFI izveides </w:t>
      </w:r>
      <w:r w:rsidRPr="006202E5">
        <w:rPr>
          <w:rFonts w:ascii="Times New Roman" w:hAnsi="Times New Roman"/>
          <w:sz w:val="24"/>
          <w:szCs w:val="24"/>
        </w:rPr>
        <w:lastRenderedPageBreak/>
        <w:t>plāna izstrādāšanai ir arī sekmīga Hipotēku bankas pārveide, tai skaitā Hipotēku bankas komercdaļas atsavināšana. Tiek plānots, ka komercdaļas aktīvu atsavināšanas process pilnībā tiks noslēgts  2013. gada pirmajā pusē.</w:t>
      </w:r>
    </w:p>
    <w:p w:rsidR="007B3B40" w:rsidRPr="00265C58" w:rsidRDefault="007B3B40" w:rsidP="007B3B40">
      <w:pPr>
        <w:spacing w:after="0" w:line="240" w:lineRule="auto"/>
        <w:ind w:firstLine="425"/>
        <w:jc w:val="both"/>
        <w:rPr>
          <w:rFonts w:ascii="Times New Roman" w:hAnsi="Times New Roman"/>
          <w:sz w:val="24"/>
          <w:szCs w:val="24"/>
        </w:rPr>
      </w:pPr>
      <w:r w:rsidRPr="00265C58">
        <w:rPr>
          <w:rFonts w:ascii="Times New Roman" w:hAnsi="Times New Roman"/>
          <w:sz w:val="24"/>
          <w:szCs w:val="24"/>
        </w:rPr>
        <w:t>Pēc juridisko aspektu izvērtējuma tiks sagatavots detalizēts vienotas AFI izveides plāns, lai nodrošinātu vienotas AFI izveidi līdz 2013.gada beigām. Līdz vienotas AFI izveidei esošās valsts atbalsta programmas, kas tiek īstenotas finanšu instrumentu veidā, tiks apkalpotas ierastajā kārtībā.</w:t>
      </w:r>
      <w:r>
        <w:rPr>
          <w:rFonts w:ascii="Times New Roman" w:hAnsi="Times New Roman"/>
          <w:sz w:val="24"/>
          <w:szCs w:val="24"/>
        </w:rPr>
        <w:t xml:space="preserve"> </w:t>
      </w:r>
    </w:p>
    <w:p w:rsidR="007B3B40" w:rsidRPr="0091124F" w:rsidRDefault="007B3B40" w:rsidP="007B3B40">
      <w:pPr>
        <w:pStyle w:val="Heading4"/>
      </w:pPr>
      <w:r w:rsidRPr="0091124F">
        <w:t>1.5.2. Finanšu sektora attīstības politikas izstrāde</w:t>
      </w:r>
    </w:p>
    <w:p w:rsidR="007B3B40" w:rsidRPr="006202E5" w:rsidRDefault="007B3B40" w:rsidP="007B3B40">
      <w:pPr>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ab/>
      </w:r>
      <w:r w:rsidRPr="006202E5">
        <w:rPr>
          <w:rFonts w:ascii="Times New Roman" w:hAnsi="Times New Roman"/>
          <w:sz w:val="24"/>
          <w:szCs w:val="24"/>
        </w:rPr>
        <w:t xml:space="preserve">Finanšu krīzei ir bijusi paliekoša ietekme gan uz valsts, gan privāto tirgus dalībnieku finanšu situāciju, iespaidojot ieguldītāju un aizdevēju uzticību un finanšu sektora efektivitāti ekonomikas stimulēšanā. Kaut arī krīze Latvijā ir pārvarēta, par ko liecina 2012.gada beigās sekmīgi noslēgtā SVF-EK aizdevumu programma, fiskālās situācijas saasināšanās atsevišķās eirozonas valstīs pārauga visaptverošā valsts parāda krīzē ar nopietniem sistēmiskiem draudiem ES finanšu stabilitātei un izaugsmei Eiropā arī ārpus eirozonas. Saasinoties šiem ārējiem riskiem, Latvijas uzņēmumu kreditēšanas atveseļošanās vājinājās. Vispārējā uzticības krīze Eiropā 2012.gadā paralizēja finanšu tirgus dalībnieku aktivitāti, nelabvēlīgi ietekmējot pašu kredītiestāžu finansējuma pieejamību un cenu. </w:t>
      </w:r>
      <w:r>
        <w:rPr>
          <w:rFonts w:ascii="Times New Roman" w:hAnsi="Times New Roman"/>
          <w:sz w:val="24"/>
          <w:szCs w:val="24"/>
        </w:rPr>
        <w:t>K</w:t>
      </w:r>
      <w:r w:rsidRPr="006202E5">
        <w:rPr>
          <w:rFonts w:ascii="Times New Roman" w:hAnsi="Times New Roman"/>
          <w:sz w:val="24"/>
          <w:szCs w:val="24"/>
        </w:rPr>
        <w:t>aut arī starptautisk</w:t>
      </w:r>
      <w:r>
        <w:rPr>
          <w:rFonts w:ascii="Times New Roman" w:hAnsi="Times New Roman"/>
          <w:sz w:val="24"/>
          <w:szCs w:val="24"/>
        </w:rPr>
        <w:t>o</w:t>
      </w:r>
      <w:r w:rsidRPr="006202E5">
        <w:rPr>
          <w:rFonts w:ascii="Times New Roman" w:hAnsi="Times New Roman"/>
          <w:sz w:val="24"/>
          <w:szCs w:val="24"/>
        </w:rPr>
        <w:t xml:space="preserve"> finanšu tirgu </w:t>
      </w:r>
      <w:r>
        <w:rPr>
          <w:rFonts w:ascii="Times New Roman" w:hAnsi="Times New Roman"/>
          <w:sz w:val="24"/>
          <w:szCs w:val="24"/>
        </w:rPr>
        <w:t>aktivitātes krituma</w:t>
      </w:r>
      <w:r w:rsidRPr="006202E5">
        <w:rPr>
          <w:rFonts w:ascii="Times New Roman" w:hAnsi="Times New Roman"/>
          <w:sz w:val="24"/>
          <w:szCs w:val="24"/>
        </w:rPr>
        <w:t xml:space="preserve"> </w:t>
      </w:r>
      <w:r>
        <w:rPr>
          <w:rFonts w:ascii="Times New Roman" w:hAnsi="Times New Roman"/>
          <w:sz w:val="24"/>
          <w:szCs w:val="24"/>
        </w:rPr>
        <w:t xml:space="preserve">negatīvo </w:t>
      </w:r>
      <w:r w:rsidRPr="006202E5">
        <w:rPr>
          <w:rFonts w:ascii="Times New Roman" w:hAnsi="Times New Roman"/>
          <w:sz w:val="24"/>
          <w:szCs w:val="24"/>
        </w:rPr>
        <w:t>ietekmi mazināja tas, ka Latvijas kredītiestādēm ir niecīgi ieguldījumi eirozonas valstu riskantajos parāda vērstpapīros, Latvijas kredītiestādes ir atmaksājušas visus sindicētos kredītus un Latvijas kredītiestāžu lielākās mātesbankas atšķirībā no daudzu citu Eiropas valstu kredītiestādēm neizjūt nopietnas finansējuma grūtības, banku sektorā kopumā kreditēšanas standartu līmenis joprojām saglabājās augsts, riska apetīte zema un finansējuma pieejamība uzņēmumiem bija ierobežota.</w:t>
      </w:r>
    </w:p>
    <w:p w:rsidR="007B3B40" w:rsidRPr="006202E5" w:rsidRDefault="007B3B40" w:rsidP="007B3B40">
      <w:pPr>
        <w:tabs>
          <w:tab w:val="left" w:pos="709"/>
        </w:tabs>
        <w:spacing w:after="0" w:line="240" w:lineRule="auto"/>
        <w:ind w:firstLine="426"/>
        <w:jc w:val="both"/>
        <w:rPr>
          <w:rFonts w:ascii="Times New Roman" w:hAnsi="Times New Roman"/>
          <w:sz w:val="24"/>
          <w:szCs w:val="24"/>
        </w:rPr>
      </w:pPr>
      <w:r>
        <w:rPr>
          <w:rFonts w:ascii="Times New Roman" w:hAnsi="Times New Roman"/>
          <w:sz w:val="24"/>
          <w:szCs w:val="24"/>
        </w:rPr>
        <w:tab/>
      </w:r>
      <w:r w:rsidRPr="006202E5">
        <w:rPr>
          <w:rFonts w:ascii="Times New Roman" w:hAnsi="Times New Roman"/>
          <w:sz w:val="24"/>
          <w:szCs w:val="24"/>
        </w:rPr>
        <w:t xml:space="preserve">Lai pētītu alternatīvas finansējuma iespējas ilgtspējīgai Latvijas uzņēmumu attīstībai, t.sk. kapitāla tirgū, starpinstitūciju darba grupa ar pārstāvjiem no finanšu nozares </w:t>
      </w:r>
      <w:r>
        <w:rPr>
          <w:rFonts w:ascii="Times New Roman" w:hAnsi="Times New Roman"/>
          <w:sz w:val="24"/>
          <w:szCs w:val="24"/>
        </w:rPr>
        <w:t>apzināja</w:t>
      </w:r>
      <w:r w:rsidRPr="006202E5">
        <w:rPr>
          <w:rFonts w:ascii="Times New Roman" w:hAnsi="Times New Roman"/>
          <w:sz w:val="24"/>
          <w:szCs w:val="24"/>
        </w:rPr>
        <w:t xml:space="preserve"> nozares attīstības šķēršļu</w:t>
      </w:r>
      <w:r>
        <w:rPr>
          <w:rFonts w:ascii="Times New Roman" w:hAnsi="Times New Roman"/>
          <w:sz w:val="24"/>
          <w:szCs w:val="24"/>
        </w:rPr>
        <w:t>s</w:t>
      </w:r>
      <w:r w:rsidRPr="006202E5">
        <w:rPr>
          <w:rFonts w:ascii="Times New Roman" w:hAnsi="Times New Roman"/>
          <w:sz w:val="24"/>
          <w:szCs w:val="24"/>
        </w:rPr>
        <w:t xml:space="preserve"> un vienojās par galvenajiem politikas rīcības virzieniem un uzdevumiem, kas varētu sniegt atbalstu gan nozares pašregulācijas centieniem sava piedāvājuma kvalitātes un apjoma uzlabošanā, gan mazinātu būtiskākos šķēršļus – tiesiskos, informatīvos vai motivācijas, ar kuriem saskaras kredītsniedzēji un potenciālie ieguldītāji attiecībās ar uzņēmumiem un mājsaimniecībām. </w:t>
      </w:r>
    </w:p>
    <w:p w:rsidR="007B3B40" w:rsidRPr="006202E5" w:rsidRDefault="007B3B40" w:rsidP="007B3B40">
      <w:pPr>
        <w:pStyle w:val="Heading3"/>
        <w:rPr>
          <w:szCs w:val="24"/>
        </w:rPr>
      </w:pPr>
      <w:bookmarkStart w:id="44" w:name="_Toc348089281"/>
      <w:bookmarkStart w:id="45" w:name="_Toc348948343"/>
      <w:r w:rsidRPr="006202E5">
        <w:rPr>
          <w:szCs w:val="24"/>
        </w:rPr>
        <w:t>1.6. Nodokļu politika</w:t>
      </w:r>
      <w:bookmarkEnd w:id="44"/>
      <w:bookmarkEnd w:id="45"/>
    </w:p>
    <w:p w:rsidR="007B3B40" w:rsidRPr="0091124F" w:rsidRDefault="007B3B40" w:rsidP="007B3B40">
      <w:pPr>
        <w:pStyle w:val="Heading4"/>
      </w:pPr>
      <w:r w:rsidRPr="0091124F">
        <w:t>1.6.1. Pievienotās vērtības nodoklis</w:t>
      </w:r>
    </w:p>
    <w:p w:rsidR="007B3B40" w:rsidRPr="006202E5" w:rsidRDefault="007B3B40" w:rsidP="007B3B40">
      <w:pPr>
        <w:spacing w:after="0" w:line="240" w:lineRule="auto"/>
        <w:ind w:firstLine="720"/>
        <w:jc w:val="both"/>
        <w:rPr>
          <w:rFonts w:ascii="Times New Roman" w:hAnsi="Times New Roman"/>
          <w:sz w:val="24"/>
          <w:szCs w:val="24"/>
          <w:lang w:eastAsia="en-US"/>
        </w:rPr>
      </w:pPr>
      <w:r w:rsidRPr="006202E5">
        <w:rPr>
          <w:rFonts w:ascii="Times New Roman" w:hAnsi="Times New Roman"/>
          <w:sz w:val="24"/>
          <w:szCs w:val="24"/>
          <w:lang w:eastAsia="en-US"/>
        </w:rPr>
        <w:t xml:space="preserve">Ar 2012.gada 1.jūliju, lai tuvinātu PVN likmes kaimiņvalstīs piemērotajām likmēm, kas sekmētu Latvijas reģionālo konkurētspēju un mazinātu pasaules cenu kāpuma izraisīto inflācijas spiedienu uz iedzīvotājiem, tika veikti grozījumi likumā </w:t>
      </w:r>
      <w:r w:rsidR="00B167ED">
        <w:rPr>
          <w:rFonts w:ascii="Times New Roman" w:hAnsi="Times New Roman"/>
          <w:sz w:val="24"/>
          <w:szCs w:val="24"/>
          <w:lang w:eastAsia="en-US"/>
        </w:rPr>
        <w:t>"</w:t>
      </w:r>
      <w:r w:rsidRPr="006202E5">
        <w:rPr>
          <w:rFonts w:ascii="Times New Roman" w:hAnsi="Times New Roman"/>
          <w:sz w:val="24"/>
          <w:szCs w:val="24"/>
          <w:lang w:eastAsia="en-US"/>
        </w:rPr>
        <w:t>Par pievienotās vērtības nodokli</w:t>
      </w:r>
      <w:r w:rsidR="00B167ED">
        <w:rPr>
          <w:rFonts w:ascii="Times New Roman" w:hAnsi="Times New Roman"/>
          <w:sz w:val="24"/>
          <w:szCs w:val="24"/>
          <w:lang w:eastAsia="en-US"/>
        </w:rPr>
        <w:t>"</w:t>
      </w:r>
      <w:r w:rsidRPr="006202E5">
        <w:rPr>
          <w:rFonts w:ascii="Times New Roman" w:hAnsi="Times New Roman"/>
          <w:sz w:val="24"/>
          <w:szCs w:val="24"/>
          <w:lang w:eastAsia="en-US"/>
        </w:rPr>
        <w:t>, samazinot  PVN standartlikmi no 22 procentiem uz 21 procentu.</w:t>
      </w:r>
    </w:p>
    <w:p w:rsidR="007B3B40" w:rsidRPr="006202E5" w:rsidRDefault="007B3B40" w:rsidP="007B3B40">
      <w:pPr>
        <w:spacing w:after="0" w:line="240" w:lineRule="auto"/>
        <w:ind w:firstLine="720"/>
        <w:jc w:val="both"/>
        <w:rPr>
          <w:rFonts w:ascii="Times New Roman" w:hAnsi="Times New Roman"/>
          <w:sz w:val="24"/>
          <w:szCs w:val="24"/>
          <w:lang w:eastAsia="en-US"/>
        </w:rPr>
      </w:pPr>
      <w:r w:rsidRPr="006202E5">
        <w:rPr>
          <w:rFonts w:ascii="Times New Roman" w:hAnsi="Times New Roman"/>
          <w:sz w:val="24"/>
          <w:szCs w:val="24"/>
          <w:lang w:eastAsia="en-US"/>
        </w:rPr>
        <w:t xml:space="preserve">Lai īstenotu skaidru un saprotamu nodokļu politiku un veidotu precīzu nodokļu normatīvo bāzi, nepieļaujot dažādas normatīvo aktu traktēšanas iespējas, </w:t>
      </w:r>
      <w:r>
        <w:rPr>
          <w:rFonts w:ascii="Times New Roman" w:hAnsi="Times New Roman"/>
          <w:sz w:val="24"/>
          <w:szCs w:val="24"/>
          <w:lang w:eastAsia="en-US"/>
        </w:rPr>
        <w:t xml:space="preserve">jaunā redakcijā tika izstrādāts </w:t>
      </w:r>
      <w:r w:rsidRPr="00B33A6D">
        <w:rPr>
          <w:rFonts w:ascii="Times New Roman" w:hAnsi="Times New Roman"/>
          <w:sz w:val="24"/>
          <w:szCs w:val="24"/>
          <w:lang w:eastAsia="en-US"/>
        </w:rPr>
        <w:t>Pie</w:t>
      </w:r>
      <w:r>
        <w:rPr>
          <w:rFonts w:ascii="Times New Roman" w:hAnsi="Times New Roman"/>
          <w:sz w:val="24"/>
          <w:szCs w:val="24"/>
          <w:lang w:eastAsia="en-US"/>
        </w:rPr>
        <w:t>vienotās vērtības nodokļa likums, kurā</w:t>
      </w:r>
      <w:r w:rsidRPr="006202E5" w:rsidDel="00912BDA">
        <w:rPr>
          <w:rFonts w:ascii="Times New Roman" w:hAnsi="Times New Roman"/>
          <w:sz w:val="24"/>
          <w:szCs w:val="24"/>
          <w:lang w:eastAsia="en-US"/>
        </w:rPr>
        <w:t xml:space="preserve"> </w:t>
      </w:r>
      <w:r w:rsidRPr="006202E5">
        <w:rPr>
          <w:rFonts w:ascii="Times New Roman" w:hAnsi="Times New Roman"/>
          <w:sz w:val="24"/>
          <w:szCs w:val="24"/>
          <w:lang w:eastAsia="en-US"/>
        </w:rPr>
        <w:t xml:space="preserve">redakcionāli uzlabotas un pilnveidotas likuma </w:t>
      </w:r>
      <w:r w:rsidR="00B167ED">
        <w:rPr>
          <w:rFonts w:ascii="Times New Roman" w:hAnsi="Times New Roman"/>
          <w:sz w:val="24"/>
          <w:szCs w:val="24"/>
          <w:lang w:eastAsia="en-US"/>
        </w:rPr>
        <w:t>"</w:t>
      </w:r>
      <w:r w:rsidRPr="006202E5">
        <w:rPr>
          <w:rFonts w:ascii="Times New Roman" w:hAnsi="Times New Roman"/>
          <w:sz w:val="24"/>
          <w:szCs w:val="24"/>
          <w:lang w:eastAsia="en-US"/>
        </w:rPr>
        <w:t>Par pievienotās vērtības nodokli</w:t>
      </w:r>
      <w:r w:rsidR="00B167ED">
        <w:rPr>
          <w:rFonts w:ascii="Times New Roman" w:hAnsi="Times New Roman"/>
          <w:sz w:val="24"/>
          <w:szCs w:val="24"/>
          <w:lang w:eastAsia="en-US"/>
        </w:rPr>
        <w:t>"</w:t>
      </w:r>
      <w:r w:rsidRPr="006202E5">
        <w:rPr>
          <w:rFonts w:ascii="Times New Roman" w:hAnsi="Times New Roman"/>
          <w:sz w:val="24"/>
          <w:szCs w:val="24"/>
          <w:lang w:eastAsia="en-US"/>
        </w:rPr>
        <w:t xml:space="preserve"> normas, sakārtota tā struktūra un pr</w:t>
      </w:r>
      <w:r>
        <w:rPr>
          <w:rFonts w:ascii="Times New Roman" w:hAnsi="Times New Roman"/>
          <w:sz w:val="24"/>
          <w:szCs w:val="24"/>
          <w:lang w:eastAsia="en-US"/>
        </w:rPr>
        <w:t xml:space="preserve">ecizēta lietotā terminoloģija. </w:t>
      </w:r>
      <w:r w:rsidRPr="006202E5">
        <w:rPr>
          <w:rFonts w:ascii="Times New Roman" w:hAnsi="Times New Roman"/>
          <w:sz w:val="24"/>
          <w:szCs w:val="24"/>
          <w:lang w:eastAsia="en-US"/>
        </w:rPr>
        <w:t xml:space="preserve">Pievienotās vērtības nodokļa likumā ir iekļautas arī jaunas normas, piemēram, ieviesta izvēles norma piemērot PVN lietota nekustamā īpašuma </w:t>
      </w:r>
      <w:r w:rsidRPr="006202E5">
        <w:rPr>
          <w:rFonts w:ascii="Times New Roman" w:hAnsi="Times New Roman"/>
          <w:sz w:val="24"/>
          <w:szCs w:val="24"/>
          <w:lang w:eastAsia="en-US"/>
        </w:rPr>
        <w:lastRenderedPageBreak/>
        <w:t xml:space="preserve">piegādes darījumos, paredzēta īpaša reģistrācija </w:t>
      </w:r>
      <w:r>
        <w:rPr>
          <w:rFonts w:ascii="Times New Roman" w:hAnsi="Times New Roman"/>
          <w:sz w:val="24"/>
          <w:szCs w:val="24"/>
          <w:lang w:eastAsia="en-US"/>
        </w:rPr>
        <w:t>VID</w:t>
      </w:r>
      <w:r w:rsidRPr="006202E5">
        <w:rPr>
          <w:rFonts w:ascii="Times New Roman" w:hAnsi="Times New Roman"/>
          <w:sz w:val="24"/>
          <w:szCs w:val="24"/>
          <w:lang w:eastAsia="en-US"/>
        </w:rPr>
        <w:t xml:space="preserve"> PVN maksātāju reģistrā uz noteiktu laika periodu, kā arī tiesības pircējam vai pakalpojuma saņēmējam pašam sev izrakstīt PVN rēķin</w:t>
      </w:r>
      <w:r>
        <w:rPr>
          <w:rFonts w:ascii="Times New Roman" w:hAnsi="Times New Roman"/>
          <w:sz w:val="24"/>
          <w:szCs w:val="24"/>
          <w:lang w:eastAsia="en-US"/>
        </w:rPr>
        <w:t>u, reģistrēta nodokļa maksātāja</w:t>
      </w:r>
      <w:r w:rsidRPr="006202E5">
        <w:rPr>
          <w:rFonts w:ascii="Times New Roman" w:hAnsi="Times New Roman"/>
          <w:sz w:val="24"/>
          <w:szCs w:val="24"/>
          <w:lang w:eastAsia="en-US"/>
        </w:rPr>
        <w:t xml:space="preserve"> tiesības atmaksāt PVN trešās valsts vai trešās teritorijas fiziskai personai, kas nav PVN maksātājs ES teritorijā, par Latvijā iegādātajām precēm, ja ir piešķirta </w:t>
      </w:r>
      <w:r>
        <w:rPr>
          <w:rFonts w:ascii="Times New Roman" w:hAnsi="Times New Roman"/>
          <w:sz w:val="24"/>
          <w:szCs w:val="24"/>
          <w:lang w:eastAsia="en-US"/>
        </w:rPr>
        <w:t>VID</w:t>
      </w:r>
      <w:r w:rsidRPr="006202E5">
        <w:rPr>
          <w:rFonts w:ascii="Times New Roman" w:hAnsi="Times New Roman"/>
          <w:sz w:val="24"/>
          <w:szCs w:val="24"/>
          <w:lang w:eastAsia="en-US"/>
        </w:rPr>
        <w:t xml:space="preserve"> atļauja.</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uzlabotu Latvijas pozīcijas </w:t>
      </w:r>
      <w:r w:rsidRPr="006202E5">
        <w:rPr>
          <w:rFonts w:ascii="Times New Roman" w:hAnsi="Times New Roman"/>
          <w:i/>
          <w:iCs/>
          <w:sz w:val="24"/>
          <w:szCs w:val="24"/>
        </w:rPr>
        <w:t>Doing Business</w:t>
      </w:r>
      <w:r>
        <w:rPr>
          <w:rFonts w:ascii="Times New Roman" w:hAnsi="Times New Roman"/>
          <w:i/>
          <w:iCs/>
          <w:sz w:val="24"/>
          <w:szCs w:val="24"/>
        </w:rPr>
        <w:t>,</w:t>
      </w:r>
      <w:r w:rsidRPr="006202E5">
        <w:rPr>
          <w:rFonts w:ascii="Times New Roman" w:hAnsi="Times New Roman"/>
          <w:sz w:val="24"/>
          <w:szCs w:val="24"/>
        </w:rPr>
        <w:t xml:space="preserve"> ir jāsamazina laiks uzņēm</w:t>
      </w:r>
      <w:r>
        <w:rPr>
          <w:rFonts w:ascii="Times New Roman" w:hAnsi="Times New Roman"/>
          <w:sz w:val="24"/>
          <w:szCs w:val="24"/>
        </w:rPr>
        <w:t>ējdarbības uzsākšanai. Tādējādi</w:t>
      </w:r>
      <w:r w:rsidRPr="006202E5">
        <w:rPr>
          <w:rFonts w:ascii="Times New Roman" w:hAnsi="Times New Roman"/>
          <w:sz w:val="24"/>
          <w:szCs w:val="24"/>
        </w:rPr>
        <w:t xml:space="preserve"> </w:t>
      </w:r>
      <w:r w:rsidRPr="006202E5">
        <w:rPr>
          <w:rFonts w:ascii="Times New Roman" w:hAnsi="Times New Roman"/>
          <w:sz w:val="24"/>
          <w:szCs w:val="24"/>
          <w:lang w:eastAsia="en-US"/>
        </w:rPr>
        <w:t>Pievienotās vērtības nodokļa likumā ir</w:t>
      </w:r>
      <w:r w:rsidRPr="006202E5">
        <w:rPr>
          <w:rFonts w:ascii="Times New Roman" w:hAnsi="Times New Roman"/>
          <w:sz w:val="24"/>
          <w:szCs w:val="24"/>
        </w:rPr>
        <w:t xml:space="preserve"> ietverts regulējums, kas saīsina uzņēmuma reģistrēšanas laiku </w:t>
      </w:r>
      <w:r w:rsidRPr="006202E5">
        <w:rPr>
          <w:rFonts w:ascii="Times New Roman" w:hAnsi="Times New Roman"/>
          <w:sz w:val="24"/>
          <w:szCs w:val="24"/>
          <w:lang w:eastAsia="en-US"/>
        </w:rPr>
        <w:t>VID</w:t>
      </w:r>
      <w:r w:rsidRPr="006202E5">
        <w:rPr>
          <w:rFonts w:ascii="Times New Roman" w:hAnsi="Times New Roman"/>
          <w:sz w:val="24"/>
          <w:szCs w:val="24"/>
        </w:rPr>
        <w:t xml:space="preserve"> PVN maksātāju reģistrā no 10 dienām uz 5 dienām gadījumos, kad komersants neatbilst nevienai no reģistrēšanas riska pazīmēm.</w:t>
      </w:r>
    </w:p>
    <w:p w:rsidR="007B3B40" w:rsidRPr="0091124F" w:rsidRDefault="007B3B40" w:rsidP="007B3B40">
      <w:pPr>
        <w:pStyle w:val="Heading4"/>
      </w:pPr>
      <w:r w:rsidRPr="0091124F">
        <w:t>1.6.2. Uzņēmumu ienākuma nodoklis</w:t>
      </w:r>
    </w:p>
    <w:p w:rsidR="007B3B40" w:rsidRPr="0091124F" w:rsidRDefault="007B3B40" w:rsidP="007B3B40">
      <w:pPr>
        <w:spacing w:after="0" w:line="240" w:lineRule="auto"/>
        <w:ind w:firstLine="720"/>
        <w:jc w:val="both"/>
        <w:rPr>
          <w:rFonts w:ascii="Times New Roman" w:hAnsi="Times New Roman"/>
          <w:sz w:val="24"/>
          <w:szCs w:val="24"/>
        </w:rPr>
      </w:pPr>
      <w:r w:rsidRPr="0091124F">
        <w:rPr>
          <w:rFonts w:ascii="Times New Roman" w:hAnsi="Times New Roman"/>
          <w:sz w:val="24"/>
          <w:szCs w:val="24"/>
        </w:rPr>
        <w:t xml:space="preserve">Izstrādāti grozījumi likumā </w:t>
      </w:r>
      <w:r w:rsidR="00B167ED">
        <w:rPr>
          <w:rFonts w:ascii="Times New Roman" w:hAnsi="Times New Roman"/>
          <w:sz w:val="24"/>
          <w:szCs w:val="24"/>
        </w:rPr>
        <w:t>"</w:t>
      </w:r>
      <w:r w:rsidRPr="0091124F">
        <w:rPr>
          <w:rFonts w:ascii="Times New Roman" w:hAnsi="Times New Roman"/>
          <w:sz w:val="24"/>
          <w:szCs w:val="24"/>
        </w:rPr>
        <w:t>Par uzņēmumu ienākuma nodokli</w:t>
      </w:r>
      <w:r w:rsidR="00B167ED">
        <w:rPr>
          <w:rFonts w:ascii="Times New Roman" w:hAnsi="Times New Roman"/>
          <w:sz w:val="24"/>
          <w:szCs w:val="24"/>
        </w:rPr>
        <w:t>"</w:t>
      </w:r>
      <w:r w:rsidRPr="0091124F">
        <w:rPr>
          <w:rFonts w:ascii="Times New Roman" w:hAnsi="Times New Roman"/>
          <w:sz w:val="24"/>
          <w:szCs w:val="24"/>
        </w:rPr>
        <w:t>, kas paredz saglabāt neitrālu uzņēmumu ienākuma nodokļa režīmu attiecībā uz ES vai EEZ publiskās apgrozības vērtspapīru atsavināšanu</w:t>
      </w:r>
      <w:r>
        <w:rPr>
          <w:rFonts w:ascii="Times New Roman" w:hAnsi="Times New Roman"/>
          <w:sz w:val="24"/>
          <w:szCs w:val="24"/>
        </w:rPr>
        <w:t>,</w:t>
      </w:r>
      <w:r w:rsidRPr="0091124F">
        <w:rPr>
          <w:rFonts w:ascii="Times New Roman" w:hAnsi="Times New Roman"/>
          <w:sz w:val="24"/>
          <w:szCs w:val="24"/>
        </w:rPr>
        <w:t xml:space="preserve"> </w:t>
      </w:r>
      <w:r>
        <w:rPr>
          <w:rFonts w:ascii="Times New Roman" w:hAnsi="Times New Roman"/>
          <w:sz w:val="24"/>
          <w:szCs w:val="24"/>
        </w:rPr>
        <w:t>nosaka</w:t>
      </w:r>
      <w:r w:rsidRPr="0091124F">
        <w:rPr>
          <w:rFonts w:ascii="Times New Roman" w:hAnsi="Times New Roman"/>
          <w:sz w:val="24"/>
          <w:szCs w:val="24"/>
        </w:rPr>
        <w:t>, ka nodokļu parāds un attiecīgās sekas ir tikai tad, ja kopējais nodokļu parāds (arī nekustamā īpašuma nodokļa) pārsniedz 100</w:t>
      </w:r>
      <w:r>
        <w:rPr>
          <w:rFonts w:ascii="Times New Roman" w:hAnsi="Times New Roman"/>
          <w:sz w:val="24"/>
          <w:szCs w:val="24"/>
        </w:rPr>
        <w:t xml:space="preserve"> latu</w:t>
      </w:r>
      <w:r w:rsidRPr="0091124F">
        <w:rPr>
          <w:rFonts w:ascii="Times New Roman" w:hAnsi="Times New Roman"/>
          <w:sz w:val="24"/>
          <w:szCs w:val="24"/>
        </w:rPr>
        <w:t xml:space="preserve"> </w:t>
      </w:r>
      <w:r>
        <w:rPr>
          <w:rFonts w:ascii="Times New Roman" w:hAnsi="Times New Roman"/>
          <w:sz w:val="24"/>
          <w:szCs w:val="24"/>
        </w:rPr>
        <w:t>kā arī paredz</w:t>
      </w:r>
      <w:r w:rsidRPr="0091124F">
        <w:rPr>
          <w:rFonts w:ascii="Times New Roman" w:hAnsi="Times New Roman"/>
          <w:sz w:val="24"/>
          <w:szCs w:val="24"/>
        </w:rPr>
        <w:t xml:space="preserve">, ka par kredītiestādes parādu nodokļu maksātājs var samazināt ar uzņēmumu ienākuma nodokli apliekamo ienākumu jau brīdī, kad tiesa ir pieņēmusi lēmumu par kredītiestādes bankrota procedūras uzsākšanu. </w:t>
      </w:r>
      <w:r>
        <w:rPr>
          <w:rFonts w:ascii="Times New Roman" w:hAnsi="Times New Roman"/>
          <w:sz w:val="24"/>
          <w:szCs w:val="24"/>
        </w:rPr>
        <w:t>Izstrādātie grozījumi arī</w:t>
      </w:r>
      <w:r w:rsidRPr="0091124F">
        <w:rPr>
          <w:rFonts w:ascii="Times New Roman" w:hAnsi="Times New Roman"/>
          <w:sz w:val="24"/>
          <w:szCs w:val="24"/>
        </w:rPr>
        <w:t xml:space="preserve"> paredz likumu papildināt ar prioritārajām ražošanas nozarēm, kurās atbalstāmo investīciju projektu ietvaros veiktajām investīcijām tiek piemērota uzņēmumu ienākuma nodokļa atlaide. </w:t>
      </w:r>
    </w:p>
    <w:p w:rsidR="007B3B40" w:rsidRPr="0091124F" w:rsidRDefault="007B3B40" w:rsidP="007B3B40">
      <w:pPr>
        <w:pStyle w:val="Heading4"/>
      </w:pPr>
      <w:r w:rsidRPr="0091124F">
        <w:t>1.6.3. Iedzīvotāju ienākuma nodoklis</w:t>
      </w:r>
    </w:p>
    <w:p w:rsidR="007B3B40" w:rsidRPr="006202E5" w:rsidRDefault="007B3B40" w:rsidP="007B3B40">
      <w:pPr>
        <w:autoSpaceDE w:val="0"/>
        <w:autoSpaceDN w:val="0"/>
        <w:spacing w:after="0" w:line="240" w:lineRule="auto"/>
        <w:ind w:firstLine="720"/>
        <w:jc w:val="both"/>
        <w:rPr>
          <w:rFonts w:ascii="Times New Roman" w:hAnsi="Times New Roman"/>
          <w:sz w:val="24"/>
          <w:szCs w:val="24"/>
        </w:rPr>
      </w:pPr>
      <w:r>
        <w:rPr>
          <w:rFonts w:ascii="Times New Roman" w:hAnsi="Times New Roman"/>
          <w:sz w:val="24"/>
          <w:szCs w:val="24"/>
        </w:rPr>
        <w:t>I</w:t>
      </w:r>
      <w:r w:rsidRPr="006202E5">
        <w:rPr>
          <w:rFonts w:ascii="Times New Roman" w:hAnsi="Times New Roman"/>
          <w:sz w:val="24"/>
          <w:szCs w:val="24"/>
        </w:rPr>
        <w:t xml:space="preserve">zmaiņas likumā </w:t>
      </w:r>
      <w:r w:rsidR="00B167ED">
        <w:rPr>
          <w:rFonts w:ascii="Times New Roman" w:hAnsi="Times New Roman"/>
          <w:sz w:val="24"/>
          <w:szCs w:val="24"/>
        </w:rPr>
        <w:t>"</w:t>
      </w:r>
      <w:r w:rsidRPr="006202E5">
        <w:rPr>
          <w:rFonts w:ascii="Times New Roman" w:hAnsi="Times New Roman"/>
          <w:sz w:val="24"/>
          <w:szCs w:val="24"/>
        </w:rPr>
        <w:t>Par iedzīvotāju ienākuma nodokli</w:t>
      </w:r>
      <w:r w:rsidR="00B167ED">
        <w:rPr>
          <w:rFonts w:ascii="Times New Roman" w:hAnsi="Times New Roman"/>
          <w:sz w:val="24"/>
          <w:szCs w:val="24"/>
        </w:rPr>
        <w:t>"</w:t>
      </w:r>
      <w:r w:rsidRPr="006202E5">
        <w:rPr>
          <w:rFonts w:ascii="Times New Roman" w:hAnsi="Times New Roman"/>
          <w:sz w:val="24"/>
          <w:szCs w:val="24"/>
        </w:rPr>
        <w:t xml:space="preserve"> paredz, ka trīs gadu laikā iedzīvotāju ienākumu nodokļa likme tiks samazināta par pieciem procentpunktiem – no pašreizējiem 25</w:t>
      </w:r>
      <w:r>
        <w:rPr>
          <w:rFonts w:ascii="Times New Roman" w:hAnsi="Times New Roman"/>
          <w:sz w:val="24"/>
          <w:szCs w:val="24"/>
        </w:rPr>
        <w:t> %</w:t>
      </w:r>
      <w:r w:rsidRPr="006202E5">
        <w:rPr>
          <w:rFonts w:ascii="Times New Roman" w:hAnsi="Times New Roman"/>
          <w:sz w:val="24"/>
          <w:szCs w:val="24"/>
        </w:rPr>
        <w:t xml:space="preserve"> līdz 20</w:t>
      </w:r>
      <w:r>
        <w:rPr>
          <w:rFonts w:ascii="Times New Roman" w:hAnsi="Times New Roman"/>
          <w:sz w:val="24"/>
          <w:szCs w:val="24"/>
        </w:rPr>
        <w:t> %</w:t>
      </w:r>
      <w:r w:rsidRPr="006202E5">
        <w:rPr>
          <w:rFonts w:ascii="Times New Roman" w:hAnsi="Times New Roman"/>
          <w:sz w:val="24"/>
          <w:szCs w:val="24"/>
        </w:rPr>
        <w:t xml:space="preserve">. </w:t>
      </w:r>
      <w:r>
        <w:rPr>
          <w:rFonts w:ascii="Times New Roman" w:hAnsi="Times New Roman"/>
          <w:sz w:val="24"/>
          <w:szCs w:val="24"/>
        </w:rPr>
        <w:t>N</w:t>
      </w:r>
      <w:r w:rsidRPr="006202E5">
        <w:rPr>
          <w:rFonts w:ascii="Times New Roman" w:hAnsi="Times New Roman"/>
          <w:sz w:val="24"/>
          <w:szCs w:val="24"/>
        </w:rPr>
        <w:t xml:space="preserve">o 2013. gada 1.janvāra iedzīvotāju ienākumu nodokļa likme </w:t>
      </w:r>
      <w:r>
        <w:rPr>
          <w:rFonts w:ascii="Times New Roman" w:hAnsi="Times New Roman"/>
          <w:sz w:val="24"/>
          <w:szCs w:val="24"/>
        </w:rPr>
        <w:t>ir</w:t>
      </w:r>
      <w:r w:rsidRPr="006202E5">
        <w:rPr>
          <w:rFonts w:ascii="Times New Roman" w:hAnsi="Times New Roman"/>
          <w:sz w:val="24"/>
          <w:szCs w:val="24"/>
        </w:rPr>
        <w:t xml:space="preserve"> 24</w:t>
      </w:r>
      <w:r>
        <w:rPr>
          <w:rFonts w:ascii="Times New Roman" w:hAnsi="Times New Roman"/>
          <w:sz w:val="24"/>
          <w:szCs w:val="24"/>
        </w:rPr>
        <w:t> %</w:t>
      </w:r>
      <w:r w:rsidRPr="006202E5">
        <w:rPr>
          <w:rFonts w:ascii="Times New Roman" w:hAnsi="Times New Roman"/>
          <w:sz w:val="24"/>
          <w:szCs w:val="24"/>
        </w:rPr>
        <w:t>, 2014. gadā – 22</w:t>
      </w:r>
      <w:r>
        <w:rPr>
          <w:rFonts w:ascii="Times New Roman" w:hAnsi="Times New Roman"/>
          <w:sz w:val="24"/>
          <w:szCs w:val="24"/>
        </w:rPr>
        <w:t> %</w:t>
      </w:r>
      <w:r w:rsidRPr="006202E5">
        <w:rPr>
          <w:rFonts w:ascii="Times New Roman" w:hAnsi="Times New Roman"/>
          <w:sz w:val="24"/>
          <w:szCs w:val="24"/>
        </w:rPr>
        <w:t>, bet no 2015. gada – 20</w:t>
      </w:r>
      <w:r>
        <w:rPr>
          <w:rFonts w:ascii="Times New Roman" w:hAnsi="Times New Roman"/>
          <w:sz w:val="24"/>
          <w:szCs w:val="24"/>
        </w:rPr>
        <w:t> %</w:t>
      </w:r>
      <w:r w:rsidRPr="006202E5">
        <w:rPr>
          <w:rFonts w:ascii="Times New Roman" w:hAnsi="Times New Roman"/>
          <w:sz w:val="24"/>
          <w:szCs w:val="24"/>
        </w:rPr>
        <w:t>.</w:t>
      </w:r>
    </w:p>
    <w:p w:rsidR="007B3B40" w:rsidRPr="006202E5" w:rsidRDefault="007B3B40" w:rsidP="007B3B40">
      <w:pPr>
        <w:autoSpaceDE w:val="0"/>
        <w:autoSpaceDN w:val="0"/>
        <w:spacing w:after="0" w:line="240" w:lineRule="auto"/>
        <w:ind w:firstLine="720"/>
        <w:jc w:val="both"/>
        <w:rPr>
          <w:rFonts w:ascii="Times New Roman" w:hAnsi="Times New Roman"/>
          <w:sz w:val="24"/>
          <w:szCs w:val="24"/>
        </w:rPr>
      </w:pPr>
      <w:r w:rsidRPr="006202E5">
        <w:rPr>
          <w:rFonts w:ascii="Times New Roman" w:hAnsi="Times New Roman"/>
          <w:sz w:val="24"/>
          <w:szCs w:val="24"/>
        </w:rPr>
        <w:t>Papildu grozījum</w:t>
      </w:r>
      <w:r>
        <w:rPr>
          <w:rFonts w:ascii="Times New Roman" w:hAnsi="Times New Roman"/>
          <w:sz w:val="24"/>
          <w:szCs w:val="24"/>
        </w:rPr>
        <w:t>i</w:t>
      </w:r>
      <w:r w:rsidRPr="006202E5">
        <w:rPr>
          <w:rFonts w:ascii="Times New Roman" w:hAnsi="Times New Roman"/>
          <w:sz w:val="24"/>
          <w:szCs w:val="24"/>
        </w:rPr>
        <w:t xml:space="preserve"> likumā </w:t>
      </w:r>
      <w:r w:rsidR="00B167ED">
        <w:rPr>
          <w:rFonts w:ascii="Times New Roman" w:hAnsi="Times New Roman"/>
          <w:sz w:val="24"/>
          <w:szCs w:val="24"/>
        </w:rPr>
        <w:t>"</w:t>
      </w:r>
      <w:r w:rsidRPr="006202E5">
        <w:rPr>
          <w:rFonts w:ascii="Times New Roman" w:hAnsi="Times New Roman"/>
          <w:sz w:val="24"/>
          <w:szCs w:val="24"/>
        </w:rPr>
        <w:t>Par iedzīvotāju ienākuma nodokli</w:t>
      </w:r>
      <w:r w:rsidR="00B167ED">
        <w:rPr>
          <w:rFonts w:ascii="Times New Roman" w:hAnsi="Times New Roman"/>
          <w:sz w:val="24"/>
          <w:szCs w:val="24"/>
        </w:rPr>
        <w:t>"</w:t>
      </w:r>
      <w:r w:rsidRPr="006202E5">
        <w:rPr>
          <w:rFonts w:ascii="Times New Roman" w:hAnsi="Times New Roman"/>
          <w:sz w:val="24"/>
          <w:szCs w:val="24"/>
        </w:rPr>
        <w:t xml:space="preserve"> paredz tiesisko regulējumu attiecībā uz akciju pirkuma tiesību īstenošanas ienākumu aplikšanu ar nodokli</w:t>
      </w:r>
      <w:r>
        <w:rPr>
          <w:rFonts w:ascii="Times New Roman" w:hAnsi="Times New Roman"/>
          <w:sz w:val="24"/>
          <w:szCs w:val="24"/>
        </w:rPr>
        <w:t>,</w:t>
      </w:r>
      <w:r w:rsidRPr="006202E5">
        <w:rPr>
          <w:rFonts w:ascii="Times New Roman" w:hAnsi="Times New Roman"/>
          <w:sz w:val="24"/>
          <w:szCs w:val="24"/>
        </w:rPr>
        <w:t xml:space="preserve"> nodokļu pretizvairīšanās normas attiecībā uz tāda ienākuma aplikšanu ar nodokli, kas maksātājam pienākas no tā līdzdalības zemu nodokļu un beznodokļu valstu vai teritoriju kapitālsabiedrībās, trastos vai citos juridiskos veidojumos</w:t>
      </w:r>
      <w:r>
        <w:rPr>
          <w:rFonts w:ascii="Times New Roman" w:hAnsi="Times New Roman"/>
          <w:sz w:val="24"/>
          <w:szCs w:val="24"/>
        </w:rPr>
        <w:t>,</w:t>
      </w:r>
      <w:r w:rsidRPr="006202E5">
        <w:rPr>
          <w:rFonts w:ascii="Times New Roman" w:hAnsi="Times New Roman"/>
          <w:sz w:val="24"/>
          <w:szCs w:val="24"/>
        </w:rPr>
        <w:t xml:space="preserve"> </w:t>
      </w:r>
      <w:r>
        <w:rPr>
          <w:rFonts w:ascii="Times New Roman" w:hAnsi="Times New Roman"/>
          <w:sz w:val="24"/>
          <w:szCs w:val="24"/>
        </w:rPr>
        <w:t xml:space="preserve">kā arī </w:t>
      </w:r>
      <w:r w:rsidRPr="006202E5">
        <w:rPr>
          <w:rFonts w:ascii="Times New Roman" w:hAnsi="Times New Roman"/>
          <w:sz w:val="24"/>
          <w:szCs w:val="24"/>
        </w:rPr>
        <w:t>uz izsniegtajiem skaidrās vai bezskaidrās naudas avansiem darbiniekam, valdes loceklim, padomes loceklim, īpašniekam, dalībniekam vai biedram, par kuriem ilgstoši netiek veikti norēķini un avansa summas turpina pieaugt, izņemot gadījumu, ja kopējo izsniegto skaidrās vai bezskaidrās naudas avansu atlikusī summa, kura ir avansa saņēmēja rīcībā, nepārsniegs valstī noteikto minimālo mēneša darba algas apmēru</w:t>
      </w:r>
      <w:r>
        <w:rPr>
          <w:rFonts w:ascii="Times New Roman" w:hAnsi="Times New Roman"/>
          <w:sz w:val="24"/>
          <w:szCs w:val="24"/>
        </w:rPr>
        <w:t xml:space="preserve">, </w:t>
      </w:r>
      <w:r w:rsidRPr="006202E5">
        <w:rPr>
          <w:rFonts w:ascii="Times New Roman" w:hAnsi="Times New Roman"/>
          <w:sz w:val="24"/>
          <w:szCs w:val="24"/>
        </w:rPr>
        <w:t>atbrīvot no iedzīvotāju ienākuma nodokļa</w:t>
      </w:r>
      <w:r w:rsidRPr="00D6736B">
        <w:rPr>
          <w:rFonts w:ascii="Times New Roman" w:hAnsi="Times New Roman"/>
          <w:sz w:val="24"/>
          <w:szCs w:val="24"/>
        </w:rPr>
        <w:t xml:space="preserve"> </w:t>
      </w:r>
      <w:r w:rsidRPr="006202E5">
        <w:rPr>
          <w:rFonts w:ascii="Times New Roman" w:hAnsi="Times New Roman"/>
          <w:sz w:val="24"/>
          <w:szCs w:val="24"/>
        </w:rPr>
        <w:t>maksājumus</w:t>
      </w:r>
      <w:r>
        <w:rPr>
          <w:rFonts w:ascii="Times New Roman" w:hAnsi="Times New Roman"/>
          <w:sz w:val="24"/>
          <w:szCs w:val="24"/>
        </w:rPr>
        <w:t>, kas</w:t>
      </w:r>
      <w:r w:rsidRPr="006202E5">
        <w:rPr>
          <w:rFonts w:ascii="Times New Roman" w:hAnsi="Times New Roman"/>
          <w:sz w:val="24"/>
          <w:szCs w:val="24"/>
        </w:rPr>
        <w:t xml:space="preserve"> 2013.gadā saņemt</w:t>
      </w:r>
      <w:r>
        <w:rPr>
          <w:rFonts w:ascii="Times New Roman" w:hAnsi="Times New Roman"/>
          <w:sz w:val="24"/>
          <w:szCs w:val="24"/>
        </w:rPr>
        <w:t>i</w:t>
      </w:r>
      <w:r w:rsidRPr="006202E5">
        <w:rPr>
          <w:rFonts w:ascii="Times New Roman" w:hAnsi="Times New Roman"/>
          <w:sz w:val="24"/>
          <w:szCs w:val="24"/>
        </w:rPr>
        <w:t xml:space="preserve"> valsts atbalsta vai ES atbalsta lauksaimniecībai un lauku attīstībai ietvaros.</w:t>
      </w:r>
      <w:r>
        <w:rPr>
          <w:rFonts w:ascii="Times New Roman" w:hAnsi="Times New Roman"/>
          <w:sz w:val="24"/>
          <w:szCs w:val="24"/>
        </w:rPr>
        <w:t xml:space="preserve"> </w:t>
      </w:r>
    </w:p>
    <w:p w:rsidR="007B3B40" w:rsidRPr="006202E5" w:rsidRDefault="007B3B40" w:rsidP="007B3B40">
      <w:pPr>
        <w:autoSpaceDE w:val="0"/>
        <w:autoSpaceDN w:val="0"/>
        <w:spacing w:after="0" w:line="240" w:lineRule="auto"/>
        <w:ind w:firstLine="720"/>
        <w:jc w:val="both"/>
        <w:rPr>
          <w:rFonts w:ascii="Times New Roman" w:hAnsi="Times New Roman"/>
          <w:sz w:val="24"/>
          <w:szCs w:val="24"/>
        </w:rPr>
      </w:pPr>
      <w:r w:rsidRPr="006202E5">
        <w:rPr>
          <w:rFonts w:ascii="Times New Roman" w:hAnsi="Times New Roman"/>
          <w:sz w:val="24"/>
          <w:szCs w:val="24"/>
        </w:rPr>
        <w:t>Ar 2013.gada 1.jūliju noteikumi par mēneša neapliekamā minimuma un nodokļa atvieglojuma apmēru iedzīvotāju ienākuma nodokļa aprēķināšanai paredz paaugstināt iedzīvotāju ienākuma nodokļa atvieglojuma apmēru par apgādībā esošu personu līdz 80</w:t>
      </w:r>
      <w:r>
        <w:rPr>
          <w:rFonts w:ascii="Times New Roman" w:hAnsi="Times New Roman"/>
          <w:sz w:val="24"/>
          <w:szCs w:val="24"/>
        </w:rPr>
        <w:t xml:space="preserve"> latiem</w:t>
      </w:r>
      <w:r w:rsidRPr="006202E5">
        <w:rPr>
          <w:rFonts w:ascii="Times New Roman" w:hAnsi="Times New Roman"/>
          <w:sz w:val="24"/>
          <w:szCs w:val="24"/>
        </w:rPr>
        <w:t xml:space="preserve">. </w:t>
      </w:r>
    </w:p>
    <w:p w:rsidR="007B3B40" w:rsidRPr="0091124F" w:rsidRDefault="007B3B40" w:rsidP="007B3B40">
      <w:pPr>
        <w:pStyle w:val="Heading4"/>
      </w:pPr>
      <w:r w:rsidRPr="0091124F">
        <w:lastRenderedPageBreak/>
        <w:t>1.6.4. Mikrouzņēmumu nodoklis</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Likumprojekts </w:t>
      </w:r>
      <w:r w:rsidR="00B167ED">
        <w:rPr>
          <w:rFonts w:ascii="Times New Roman" w:hAnsi="Times New Roman"/>
          <w:sz w:val="24"/>
          <w:szCs w:val="24"/>
        </w:rPr>
        <w:t>"</w:t>
      </w:r>
      <w:r w:rsidRPr="006202E5">
        <w:rPr>
          <w:rFonts w:ascii="Times New Roman" w:hAnsi="Times New Roman"/>
          <w:sz w:val="24"/>
          <w:szCs w:val="24"/>
        </w:rPr>
        <w:t>Grozījumi Mikrouzņēmumu nodokļa likumā</w:t>
      </w:r>
      <w:r w:rsidR="00B167ED">
        <w:rPr>
          <w:rFonts w:ascii="Times New Roman" w:hAnsi="Times New Roman"/>
          <w:sz w:val="24"/>
          <w:szCs w:val="24"/>
        </w:rPr>
        <w:t>"</w:t>
      </w:r>
      <w:r w:rsidR="006D7AB4" w:rsidRPr="006202E5">
        <w:rPr>
          <w:rFonts w:ascii="Times New Roman" w:hAnsi="Times New Roman"/>
          <w:sz w:val="24"/>
          <w:szCs w:val="24"/>
        </w:rPr>
        <w:t xml:space="preserve"> </w:t>
      </w:r>
      <w:r w:rsidRPr="006202E5">
        <w:rPr>
          <w:rFonts w:ascii="Times New Roman" w:hAnsi="Times New Roman"/>
          <w:sz w:val="24"/>
          <w:szCs w:val="24"/>
        </w:rPr>
        <w:t>paredz tiesisko regulējumu attiecībā uz mikrouzņēmumu nodokļa maksātāja (darba devēja) pienākumu savlaicīgi rakstveidā informēt darbiniekus par nodokļu maksāšanas režīma maiņu un atbildību par to, ka darba devējs ir pārkāpis minēto normu</w:t>
      </w:r>
      <w:r>
        <w:rPr>
          <w:rFonts w:ascii="Times New Roman" w:hAnsi="Times New Roman"/>
          <w:sz w:val="24"/>
          <w:szCs w:val="24"/>
        </w:rPr>
        <w:t xml:space="preserve"> un</w:t>
      </w:r>
      <w:r w:rsidR="006D7AB4">
        <w:rPr>
          <w:rFonts w:ascii="Times New Roman" w:hAnsi="Times New Roman"/>
          <w:sz w:val="24"/>
          <w:szCs w:val="24"/>
        </w:rPr>
        <w:t xml:space="preserve"> </w:t>
      </w:r>
      <w:r>
        <w:rPr>
          <w:rFonts w:ascii="Times New Roman" w:hAnsi="Times New Roman"/>
          <w:sz w:val="24"/>
          <w:szCs w:val="24"/>
        </w:rPr>
        <w:t>nav brīdinājis darbiniekus, kā arī</w:t>
      </w:r>
      <w:r w:rsidRPr="006202E5">
        <w:rPr>
          <w:rFonts w:ascii="Times New Roman" w:hAnsi="Times New Roman"/>
          <w:sz w:val="24"/>
          <w:szCs w:val="24"/>
        </w:rPr>
        <w:t xml:space="preserve"> pretizvairīšanās normu gadījumos, kad tiek precizēta vai iesniegta ar nokavējumu mikrouzņēmumu nodokļa deklarācija par kādu no iepriekšējiem taksācijas periodiem un tiek konstatēts, ka mikrouzņēmumu nodokļa maksātājs nepamatoti ir saglabājis atvieglotu nodokļu maksāšanas režīmu, kā arī tiesisko regulējumu attiecībā uz mikrouzņēmuma darbiniekam izmaksājamo summu par ikgadējo apmaksāto atvaļinājuma laiku, kas aprēķināta atbilstoši Darba likuma normām.</w:t>
      </w:r>
    </w:p>
    <w:p w:rsidR="007B3B40" w:rsidRPr="0091124F" w:rsidRDefault="007B3B40" w:rsidP="007B3B40">
      <w:pPr>
        <w:pStyle w:val="Heading4"/>
      </w:pPr>
      <w:r w:rsidRPr="0091124F">
        <w:t xml:space="preserve">1.6.5. </w:t>
      </w:r>
      <w:r>
        <w:t>Uzņēmumu v</w:t>
      </w:r>
      <w:r w:rsidRPr="0091124F">
        <w:t>ieglo transportlīdzekļu nodoklis</w:t>
      </w:r>
    </w:p>
    <w:p w:rsidR="007B3B40" w:rsidRPr="006202E5" w:rsidRDefault="007B3B40" w:rsidP="007B3B40">
      <w:pPr>
        <w:spacing w:after="0" w:line="240" w:lineRule="auto"/>
        <w:ind w:firstLine="720"/>
        <w:jc w:val="both"/>
        <w:rPr>
          <w:rFonts w:ascii="Times New Roman" w:hAnsi="Times New Roman"/>
          <w:sz w:val="24"/>
          <w:szCs w:val="24"/>
          <w:lang w:eastAsia="en-US"/>
        </w:rPr>
      </w:pPr>
      <w:r w:rsidRPr="006202E5">
        <w:rPr>
          <w:rFonts w:ascii="Times New Roman" w:hAnsi="Times New Roman"/>
          <w:sz w:val="24"/>
          <w:szCs w:val="24"/>
        </w:rPr>
        <w:t xml:space="preserve">Ar </w:t>
      </w:r>
      <w:r w:rsidRPr="006202E5">
        <w:rPr>
          <w:rFonts w:ascii="Times New Roman" w:hAnsi="Times New Roman"/>
          <w:sz w:val="24"/>
          <w:szCs w:val="24"/>
          <w:lang w:eastAsia="en-US"/>
        </w:rPr>
        <w:t xml:space="preserve">2013.gada 1.janvāri stājās spēkā tiesību normas, kas paplašina uzņēmumu vieglo transportlīdzekļu nodokļa maksātāju loku, nosakot, ka nodoklis par īpašumā vai turējumā esošu vieglo transportlīdzekli ir jāmaksā ne tikai komersantiem, bet arī ārvalsts komersantu filiālēm un zemnieku saimniecībām. Transportlīdzekļa ekspluatācijas nodokļa un uzņēmumu vieglo transportlīdzekļu nodokļa likums ir papildināts arī ar vairākiem atbrīvojumiem no uzņēmumu vieglo transportlīdzekļu nodokļa maksāšanas. </w:t>
      </w:r>
    </w:p>
    <w:p w:rsidR="007B3B40" w:rsidRPr="0091124F" w:rsidRDefault="007B3B40" w:rsidP="007B3B40">
      <w:pPr>
        <w:pStyle w:val="Heading4"/>
      </w:pPr>
      <w:r w:rsidRPr="0091124F">
        <w:t>1.6.6. Sadarbība starp nodokļu maksātāju un nodokļu administrāciju</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Sākot ar 2012.gada 1.jūliju</w:t>
      </w:r>
      <w:r>
        <w:rPr>
          <w:rFonts w:ascii="Times New Roman" w:hAnsi="Times New Roman"/>
          <w:sz w:val="24"/>
          <w:szCs w:val="24"/>
        </w:rPr>
        <w:t>,</w:t>
      </w:r>
      <w:r w:rsidRPr="006202E5">
        <w:rPr>
          <w:rFonts w:ascii="Times New Roman" w:hAnsi="Times New Roman"/>
          <w:sz w:val="24"/>
          <w:szCs w:val="24"/>
        </w:rPr>
        <w:t xml:space="preserve"> ir uzsākta Padziļinātās sadarbības programma, kuras mērķis ir veicināt ciešāku un efektīvāku sadarbību starp nodokļu maksātāju un nodokļu administrāciju, mazinot administratīvo slogu</w:t>
      </w:r>
      <w:r w:rsidRPr="00E00715">
        <w:rPr>
          <w:rFonts w:ascii="Times New Roman" w:hAnsi="Times New Roman"/>
          <w:sz w:val="24"/>
          <w:szCs w:val="24"/>
        </w:rPr>
        <w:t xml:space="preserve"> </w:t>
      </w:r>
      <w:r>
        <w:rPr>
          <w:rFonts w:ascii="Times New Roman" w:hAnsi="Times New Roman"/>
          <w:sz w:val="24"/>
          <w:szCs w:val="24"/>
        </w:rPr>
        <w:t>un piedāvājot nodokļu maksātājiem dažādus papildu ieguvumus</w:t>
      </w:r>
      <w:r w:rsidRPr="006202E5">
        <w:rPr>
          <w:rFonts w:ascii="Times New Roman" w:hAnsi="Times New Roman"/>
          <w:sz w:val="24"/>
          <w:szCs w:val="24"/>
        </w:rPr>
        <w:t>. Līdz 2012.gada 31.decembrim dalībai programmā bija pieteikušies 77 nodokļu maksātāji, no tiem dalībai programmā iekļauti 36 nodokļu maksātāji.</w:t>
      </w:r>
    </w:p>
    <w:p w:rsidR="007B3B40" w:rsidRPr="006202E5" w:rsidRDefault="007B3B40" w:rsidP="007B3B40">
      <w:pPr>
        <w:spacing w:after="0" w:line="240" w:lineRule="auto"/>
        <w:ind w:firstLine="720"/>
        <w:jc w:val="both"/>
        <w:rPr>
          <w:rFonts w:ascii="Times New Roman" w:hAnsi="Times New Roman"/>
          <w:sz w:val="24"/>
          <w:szCs w:val="24"/>
        </w:rPr>
      </w:pPr>
      <w:r>
        <w:rPr>
          <w:rFonts w:ascii="Times New Roman" w:hAnsi="Times New Roman"/>
          <w:sz w:val="24"/>
          <w:szCs w:val="24"/>
        </w:rPr>
        <w:t>A</w:t>
      </w:r>
      <w:r w:rsidRPr="006202E5">
        <w:rPr>
          <w:rFonts w:ascii="Times New Roman" w:hAnsi="Times New Roman"/>
          <w:sz w:val="24"/>
          <w:szCs w:val="24"/>
        </w:rPr>
        <w:t xml:space="preserve">r 2013.gadu likumā </w:t>
      </w:r>
      <w:r w:rsidR="00B167ED">
        <w:rPr>
          <w:rFonts w:ascii="Times New Roman" w:hAnsi="Times New Roman"/>
          <w:sz w:val="24"/>
          <w:szCs w:val="24"/>
        </w:rPr>
        <w:t>"</w:t>
      </w:r>
      <w:r w:rsidRPr="006202E5">
        <w:rPr>
          <w:rFonts w:ascii="Times New Roman" w:hAnsi="Times New Roman"/>
          <w:sz w:val="24"/>
          <w:szCs w:val="24"/>
        </w:rPr>
        <w:t>Par nodokļiem un nodevām</w:t>
      </w:r>
      <w:r w:rsidR="00B167ED">
        <w:rPr>
          <w:rFonts w:ascii="Times New Roman" w:hAnsi="Times New Roman"/>
          <w:sz w:val="24"/>
          <w:szCs w:val="24"/>
        </w:rPr>
        <w:t>"</w:t>
      </w:r>
      <w:r w:rsidRPr="006202E5">
        <w:rPr>
          <w:rFonts w:ascii="Times New Roman" w:hAnsi="Times New Roman"/>
          <w:sz w:val="24"/>
          <w:szCs w:val="24"/>
        </w:rPr>
        <w:t xml:space="preserve"> precīzi tiek noteikts, kādu informāciju un kādos gadījumos ir pienākums sniegt nodokļu maksātājam pēc nodokļu administrācijas pieprasījuma, lai apliecinātu darījuma cenas atbilstību tirgus cenai (vērtībai), kā arī ir noteiktas tiesības noslēgt iepriekšēju vienošanos par darījuma vai darījumu veida tirgus cenas (vērtības) noteikšanu, proti, šādu vienošanos ir tiesīgs noslēgt nodokļu maksātājs, lai vienotos ar nodokļu administrāciju par cenu, kāda tiks piemērota šā nodokļu maksātāja darījumos ar saistītu ārvalstu uzņēmumu.</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2012.gada nogalē atbalstīti grozījumi likumā </w:t>
      </w:r>
      <w:r w:rsidR="00B167ED">
        <w:rPr>
          <w:rFonts w:ascii="Times New Roman" w:hAnsi="Times New Roman"/>
          <w:sz w:val="24"/>
          <w:szCs w:val="24"/>
        </w:rPr>
        <w:t>"</w:t>
      </w:r>
      <w:r w:rsidRPr="006202E5">
        <w:rPr>
          <w:rFonts w:ascii="Times New Roman" w:hAnsi="Times New Roman"/>
          <w:sz w:val="24"/>
          <w:szCs w:val="24"/>
        </w:rPr>
        <w:t>Par nodokļiem un nodevām</w:t>
      </w:r>
      <w:r w:rsidR="00B167ED">
        <w:rPr>
          <w:rFonts w:ascii="Times New Roman" w:hAnsi="Times New Roman"/>
          <w:sz w:val="24"/>
          <w:szCs w:val="24"/>
        </w:rPr>
        <w:t>"</w:t>
      </w:r>
      <w:r w:rsidRPr="006202E5">
        <w:rPr>
          <w:rFonts w:ascii="Times New Roman" w:hAnsi="Times New Roman"/>
          <w:sz w:val="24"/>
          <w:szCs w:val="24"/>
        </w:rPr>
        <w:t>, paredzot nod</w:t>
      </w:r>
      <w:r>
        <w:rPr>
          <w:rFonts w:ascii="Times New Roman" w:hAnsi="Times New Roman"/>
          <w:sz w:val="24"/>
          <w:szCs w:val="24"/>
        </w:rPr>
        <w:t>rošināt nodokļu parādnieku datu</w:t>
      </w:r>
      <w:r w:rsidRPr="006202E5">
        <w:rPr>
          <w:rFonts w:ascii="Times New Roman" w:hAnsi="Times New Roman"/>
          <w:sz w:val="24"/>
          <w:szCs w:val="24"/>
        </w:rPr>
        <w:t>bāzes un saimnieciskās darbības veicēju datubāzes publisku pieejamību. Datubāzes publiski būs pieejamas ar 2013.gada 1.aprīli.</w:t>
      </w:r>
    </w:p>
    <w:p w:rsidR="007B3B40" w:rsidRPr="0091124F" w:rsidRDefault="007B3B40" w:rsidP="007B3B40">
      <w:pPr>
        <w:pStyle w:val="Heading4"/>
      </w:pPr>
      <w:r w:rsidRPr="0091124F">
        <w:t>1.6.7. Nodokļu atbalsta pasākums</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atvieglotu nodokļu maksātājiem ekonomiskās krīzes rezultātā radušos nodokļu parāda slogu, saskaņā ar Nodokļu atbalsta pasākuma likumu nodokļu maksātājiem – fiziskajām un juridiskajām personām, kurām pēc stāvokļa 2011.gada 1.septembrī izveidojies nodokļu parāds, kas nav samaksāts līdz 2012.gada 1.oktobrim, sākot ar 2012.gada 1.oktobri, ir iespēja pieteikties nodokļu atbalsta pasākumam. Tas paredz nokavējuma naudas un 90 % soda naudas dzēšanu ar nosacījumu, ka nodokļu maksātājs līdz noteiktam datumam samaksā nodokļu pamatparādu un ar to saistīto soda naudu 10 % apmērā. Līdz 2012.gada 31.decembrim saņemti 2 774 iesniegumi par </w:t>
      </w:r>
      <w:r w:rsidRPr="006202E5">
        <w:rPr>
          <w:rFonts w:ascii="Times New Roman" w:hAnsi="Times New Roman"/>
          <w:sz w:val="24"/>
          <w:szCs w:val="24"/>
        </w:rPr>
        <w:lastRenderedPageBreak/>
        <w:t>piedalīšanos nodokļu atbalsta pasākumam, no tiem pieņemti 1 738 lēmumi par nodokļu atbalsta pasākuma piemērošanu par kopējo parādu summu 10 133 069,98 lati.</w:t>
      </w:r>
      <w:r w:rsidR="006D7AB4" w:rsidRPr="006202E5">
        <w:rPr>
          <w:rFonts w:ascii="Times New Roman" w:hAnsi="Times New Roman"/>
          <w:sz w:val="24"/>
          <w:szCs w:val="24"/>
        </w:rPr>
        <w:t xml:space="preserve"> </w:t>
      </w:r>
    </w:p>
    <w:p w:rsidR="007B3B40" w:rsidRPr="0091124F" w:rsidRDefault="007B3B40" w:rsidP="007B3B40">
      <w:pPr>
        <w:pStyle w:val="Heading3"/>
      </w:pPr>
      <w:bookmarkStart w:id="46" w:name="_Toc348089282"/>
      <w:bookmarkStart w:id="47" w:name="_Toc348948344"/>
      <w:r w:rsidRPr="0091124F">
        <w:t>1.7. Ēnu ekonomikas apkarošana</w:t>
      </w:r>
      <w:bookmarkEnd w:id="46"/>
      <w:bookmarkEnd w:id="47"/>
      <w:r w:rsidRPr="0091124F">
        <w:t xml:space="preserve">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Ēnu ekonomikas apkarošana joprojām ir viena no galvenajām prioritātēm, </w:t>
      </w:r>
      <w:r>
        <w:rPr>
          <w:rFonts w:ascii="Times New Roman" w:hAnsi="Times New Roman"/>
          <w:sz w:val="24"/>
          <w:szCs w:val="24"/>
        </w:rPr>
        <w:t xml:space="preserve">ņemot vērā to, ka ēnu ekonomika </w:t>
      </w:r>
      <w:r w:rsidRPr="006202E5">
        <w:rPr>
          <w:rFonts w:ascii="Times New Roman" w:hAnsi="Times New Roman"/>
          <w:sz w:val="24"/>
          <w:szCs w:val="24"/>
        </w:rPr>
        <w:t xml:space="preserve">tieši ietekmē valsts budžeta ieņēmumus, </w:t>
      </w:r>
      <w:r w:rsidRPr="00A17B95">
        <w:rPr>
          <w:rFonts w:ascii="Times New Roman" w:hAnsi="Times New Roman"/>
          <w:sz w:val="24"/>
          <w:szCs w:val="24"/>
        </w:rPr>
        <w:t>kā arī rada nevienlīdzīgu konkurenci</w:t>
      </w:r>
      <w:r w:rsidRPr="006202E5">
        <w:rPr>
          <w:rFonts w:ascii="Times New Roman" w:hAnsi="Times New Roman"/>
          <w:sz w:val="24"/>
          <w:szCs w:val="24"/>
        </w:rPr>
        <w:t xml:space="preserve"> uzņēmēju starpā. Aizvadītajā gadā atbildīgās iestādes, izvērtējot prioritārās jomas, savas kompetences ietvaros un cieši sadarbojoties ar pārējām iestādēm, turpināja darbu pie pasākum</w:t>
      </w:r>
      <w:r>
        <w:rPr>
          <w:rFonts w:ascii="Times New Roman" w:hAnsi="Times New Roman"/>
          <w:sz w:val="24"/>
          <w:szCs w:val="24"/>
        </w:rPr>
        <w:t>iem</w:t>
      </w:r>
      <w:r w:rsidRPr="006202E5">
        <w:rPr>
          <w:rFonts w:ascii="Times New Roman" w:hAnsi="Times New Roman"/>
          <w:sz w:val="24"/>
          <w:szCs w:val="24"/>
        </w:rPr>
        <w:t>, kas mazinātu ēnu ekonomiku valsts mērogā.</w:t>
      </w:r>
    </w:p>
    <w:p w:rsidR="007B3B40" w:rsidRPr="006202E5" w:rsidRDefault="007B3B40" w:rsidP="007B3B40">
      <w:pPr>
        <w:tabs>
          <w:tab w:val="left" w:pos="1134"/>
        </w:tabs>
        <w:spacing w:after="0" w:line="240" w:lineRule="auto"/>
        <w:ind w:firstLine="709"/>
        <w:jc w:val="both"/>
        <w:rPr>
          <w:rFonts w:ascii="Times New Roman" w:hAnsi="Times New Roman"/>
          <w:bCs/>
          <w:sz w:val="24"/>
          <w:szCs w:val="24"/>
        </w:rPr>
      </w:pPr>
      <w:r w:rsidRPr="006202E5">
        <w:rPr>
          <w:rFonts w:ascii="Times New Roman" w:hAnsi="Times New Roman"/>
          <w:bCs/>
          <w:sz w:val="24"/>
          <w:szCs w:val="24"/>
        </w:rPr>
        <w:t xml:space="preserve">2012.gadā </w:t>
      </w:r>
      <w:r>
        <w:rPr>
          <w:rFonts w:ascii="Times New Roman" w:hAnsi="Times New Roman"/>
          <w:bCs/>
          <w:sz w:val="24"/>
          <w:szCs w:val="24"/>
        </w:rPr>
        <w:t>VID</w:t>
      </w:r>
      <w:r w:rsidRPr="006202E5">
        <w:rPr>
          <w:rFonts w:ascii="Times New Roman" w:hAnsi="Times New Roman"/>
          <w:bCs/>
          <w:sz w:val="24"/>
          <w:szCs w:val="24"/>
        </w:rPr>
        <w:t xml:space="preserve"> administrētie budžeta ieņēmumi bija 4 550,27 milj. latu, </w:t>
      </w:r>
      <w:r w:rsidRPr="006202E5">
        <w:rPr>
          <w:rFonts w:ascii="Times New Roman" w:hAnsi="Times New Roman"/>
          <w:sz w:val="24"/>
          <w:szCs w:val="24"/>
        </w:rPr>
        <w:t>pārsniedzot plānotos ieņēmumus par 2,3 % jeb 102,37 milj. latu un</w:t>
      </w:r>
      <w:r w:rsidRPr="006202E5">
        <w:rPr>
          <w:rFonts w:ascii="Times New Roman" w:hAnsi="Times New Roman"/>
          <w:bCs/>
          <w:sz w:val="24"/>
          <w:szCs w:val="24"/>
        </w:rPr>
        <w:t xml:space="preserve"> </w:t>
      </w:r>
      <w:r w:rsidRPr="006202E5">
        <w:rPr>
          <w:rFonts w:ascii="Times New Roman" w:hAnsi="Times New Roman"/>
          <w:sz w:val="24"/>
          <w:szCs w:val="24"/>
        </w:rPr>
        <w:t>pārsniedzot 2011.gada ieņēmumus par 12,1 % jeb 490,49 milj. latu.</w:t>
      </w:r>
      <w:r w:rsidRPr="006202E5">
        <w:rPr>
          <w:rFonts w:ascii="Times New Roman" w:hAnsi="Times New Roman"/>
          <w:bCs/>
          <w:sz w:val="24"/>
          <w:szCs w:val="24"/>
        </w:rPr>
        <w:t xml:space="preserve"> Saskaņā ar 2012.gada 13.septembra grozījumiem likumā</w:t>
      </w:r>
      <w:r w:rsidR="006D7AB4" w:rsidRPr="006202E5">
        <w:rPr>
          <w:rFonts w:ascii="Times New Roman" w:hAnsi="Times New Roman"/>
          <w:bCs/>
          <w:sz w:val="24"/>
          <w:szCs w:val="24"/>
        </w:rPr>
        <w:t xml:space="preserve"> </w:t>
      </w:r>
      <w:r w:rsidR="006D7AB4">
        <w:rPr>
          <w:rFonts w:ascii="Times New Roman" w:hAnsi="Times New Roman"/>
          <w:bCs/>
          <w:sz w:val="24"/>
          <w:szCs w:val="24"/>
        </w:rPr>
        <w:t>"</w:t>
      </w:r>
      <w:r w:rsidRPr="006202E5">
        <w:rPr>
          <w:rFonts w:ascii="Times New Roman" w:hAnsi="Times New Roman"/>
          <w:bCs/>
          <w:sz w:val="24"/>
          <w:szCs w:val="24"/>
        </w:rPr>
        <w:t>Par valsts budžetu 2012.gadam</w:t>
      </w:r>
      <w:r w:rsidR="00B167ED">
        <w:rPr>
          <w:rFonts w:ascii="Times New Roman" w:hAnsi="Times New Roman"/>
          <w:bCs/>
          <w:sz w:val="24"/>
          <w:szCs w:val="24"/>
        </w:rPr>
        <w:t>"</w:t>
      </w:r>
      <w:r w:rsidRPr="006202E5">
        <w:rPr>
          <w:rFonts w:ascii="Times New Roman" w:hAnsi="Times New Roman"/>
          <w:bCs/>
          <w:sz w:val="24"/>
          <w:szCs w:val="24"/>
        </w:rPr>
        <w:t xml:space="preserve"> VID administrēto valsts budžeta ieņēmumu plāns tika palielināts par 215,10 milj. latu jeb 5,1 %.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Lai novērstu nodokļu ieņēmumu zudumus saistībā ar nepamatoti pieprasītām nodokļu pārmaksu atmaksām, tiek veikti datu ticamības novērtējumi. Rezultātā 2012.gadā atteiktas nepamatoti pieprasītās nodokļu pārmaksas atmaksas 16,02 milj. latu apmērā.</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Īstenojot nereģistrētās uzņēmējdarbības un aplokšņu algu apkarošanas pasākumus</w:t>
      </w:r>
      <w:r w:rsidR="006D7AB4" w:rsidRPr="006202E5">
        <w:rPr>
          <w:rFonts w:ascii="Times New Roman" w:hAnsi="Times New Roman"/>
          <w:sz w:val="24"/>
          <w:szCs w:val="24"/>
        </w:rPr>
        <w:t xml:space="preserve"> </w:t>
      </w:r>
      <w:r w:rsidRPr="006202E5">
        <w:rPr>
          <w:rFonts w:ascii="Times New Roman" w:hAnsi="Times New Roman"/>
          <w:sz w:val="24"/>
          <w:szCs w:val="24"/>
        </w:rPr>
        <w:t>preventīvā un uzraudzības darba rezultātā nodokļu ieņēmumi (iedzīvotāju ienākuma nodoklis un valsts sociālās apdrošināšanas obligātās iemaksas) palielinājās par 724,52 tūkst. latu</w:t>
      </w:r>
      <w:r>
        <w:rPr>
          <w:rFonts w:ascii="Times New Roman" w:hAnsi="Times New Roman"/>
          <w:sz w:val="24"/>
          <w:szCs w:val="24"/>
        </w:rPr>
        <w:t xml:space="preserve">, </w:t>
      </w:r>
      <w:r w:rsidRPr="00AB3BB0">
        <w:rPr>
          <w:rFonts w:ascii="Times New Roman" w:hAnsi="Times New Roman"/>
          <w:sz w:val="24"/>
          <w:szCs w:val="24"/>
        </w:rPr>
        <w:t>kontroles darba rezultātā iemaksai budžetā papildus aprēķināti 6 613,3 tūkst. latu</w:t>
      </w:r>
      <w:r w:rsidRPr="006202E5">
        <w:rPr>
          <w:rFonts w:ascii="Times New Roman" w:hAnsi="Times New Roman"/>
          <w:sz w:val="24"/>
          <w:szCs w:val="24"/>
        </w:rPr>
        <w:t>.</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novērstu kontrabandas preču ievešanu valstī, kā arī nelikumīgu akcīzes preču apriti, pastiprināti tika veikti akcīzes preču nelikumīgas pārvietošanas un muitas noteikumu pārkāpumu kontroles pasākumi un akcīzes preču aprites uzraudzības pārbaudes. Veikto pasākumu rezultātā 2012.gadā kopumā izņemtas akcīzes preces: 88 814 276 gab. </w:t>
      </w:r>
      <w:r>
        <w:rPr>
          <w:rFonts w:ascii="Times New Roman" w:hAnsi="Times New Roman"/>
          <w:sz w:val="24"/>
          <w:szCs w:val="24"/>
        </w:rPr>
        <w:t>c</w:t>
      </w:r>
      <w:r w:rsidRPr="006202E5">
        <w:rPr>
          <w:rFonts w:ascii="Times New Roman" w:hAnsi="Times New Roman"/>
          <w:sz w:val="24"/>
          <w:szCs w:val="24"/>
        </w:rPr>
        <w:t>igarešu, 81 127 litri degvielas un 5 851,5 litri alkoholisko dzērienu.</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Organizētās noziedzības un krāpšanas apkarošana valsts ieņēmumu un muitas jomā ir būtiska ēnu ekonomikas īpatsvara mazināšanā. 2012.gadā VID atklāta un pārtraukta 13 organizēto noziedzīgo grupējumu darbība, uzsākti 520 kriminālprocesi un kriminālvajāšanas uzsākšanai nosūtīti 285 kriminālprocesi. Veiktā darba rezultātā valsts b</w:t>
      </w:r>
      <w:r>
        <w:rPr>
          <w:rFonts w:ascii="Times New Roman" w:hAnsi="Times New Roman"/>
          <w:sz w:val="24"/>
          <w:szCs w:val="24"/>
        </w:rPr>
        <w:t>udžetā ieskaitīta manta (nauda)</w:t>
      </w:r>
      <w:r w:rsidRPr="006202E5">
        <w:rPr>
          <w:rFonts w:ascii="Times New Roman" w:hAnsi="Times New Roman"/>
          <w:sz w:val="24"/>
          <w:szCs w:val="24"/>
        </w:rPr>
        <w:t xml:space="preserve"> 710,96 tūkst. latu apmērā</w:t>
      </w:r>
      <w:r>
        <w:rPr>
          <w:rFonts w:ascii="Times New Roman" w:hAnsi="Times New Roman"/>
          <w:sz w:val="24"/>
          <w:szCs w:val="24"/>
        </w:rPr>
        <w:t>,</w:t>
      </w:r>
      <w:r w:rsidRPr="006202E5">
        <w:rPr>
          <w:rFonts w:ascii="Times New Roman" w:hAnsi="Times New Roman"/>
          <w:sz w:val="24"/>
          <w:szCs w:val="24"/>
        </w:rPr>
        <w:t xml:space="preserve"> kas atzīta par noziedzīgi iegūtu, un patiesā labuma guvēji, kas izmantoja “naudas atmazgāšanas</w:t>
      </w:r>
      <w:r w:rsidR="00B167ED">
        <w:rPr>
          <w:rFonts w:ascii="Times New Roman" w:hAnsi="Times New Roman"/>
          <w:sz w:val="24"/>
          <w:szCs w:val="24"/>
        </w:rPr>
        <w:t>"</w:t>
      </w:r>
      <w:r w:rsidRPr="006202E5">
        <w:rPr>
          <w:rFonts w:ascii="Times New Roman" w:hAnsi="Times New Roman"/>
          <w:sz w:val="24"/>
          <w:szCs w:val="24"/>
        </w:rPr>
        <w:t xml:space="preserve"> shēmas, precizējuši deklarācijas un iemaksājuši valsts budžetā 394,83 tūkst. latu.</w:t>
      </w:r>
    </w:p>
    <w:p w:rsidR="007B3B40" w:rsidRPr="0095540A" w:rsidRDefault="007B3B40" w:rsidP="007B3B40">
      <w:pPr>
        <w:spacing w:after="0" w:line="240" w:lineRule="auto"/>
        <w:ind w:firstLine="720"/>
        <w:jc w:val="both"/>
        <w:rPr>
          <w:rFonts w:ascii="Times New Roman" w:hAnsi="Times New Roman"/>
          <w:color w:val="000000"/>
          <w:sz w:val="24"/>
          <w:szCs w:val="24"/>
        </w:rPr>
      </w:pPr>
      <w:r w:rsidRPr="0095540A">
        <w:rPr>
          <w:rFonts w:ascii="Times New Roman" w:hAnsi="Times New Roman"/>
          <w:color w:val="000000"/>
          <w:sz w:val="24"/>
          <w:szCs w:val="24"/>
        </w:rPr>
        <w:t xml:space="preserve">Pārtikas aprites jomā, īstenojot pasākumu plānu ēnu ekonomikas apkarošanai un godīgas konkurences nodrošināšanai, 2012.gadā brīvdienās un ārpus darba laika pārbaudīti 1540 pārtikas uzņēmumi. Neatbilstības konstatētas 1052 jeb 68,3% no pārbaudītajiem uzņēmumiem, tai skaitā 41 gadījumā – nereģistrēta darbība. Pārbaužu laikā izņemtas 10 tonnas pārtikas produktu, kā arī 320 gadījumos piemērots naudas sods par kopējo summu 19426 Ls. </w:t>
      </w:r>
    </w:p>
    <w:p w:rsidR="007B3B40" w:rsidRPr="0095540A" w:rsidRDefault="007B3B40" w:rsidP="007B3B40">
      <w:pPr>
        <w:spacing w:after="0" w:line="240" w:lineRule="auto"/>
        <w:ind w:firstLine="720"/>
        <w:jc w:val="both"/>
        <w:rPr>
          <w:rFonts w:ascii="Times New Roman" w:hAnsi="Times New Roman"/>
          <w:color w:val="000000"/>
          <w:sz w:val="24"/>
          <w:szCs w:val="24"/>
        </w:rPr>
      </w:pPr>
      <w:r w:rsidRPr="0095540A">
        <w:rPr>
          <w:rFonts w:ascii="Times New Roman" w:hAnsi="Times New Roman"/>
          <w:color w:val="000000"/>
          <w:sz w:val="24"/>
          <w:szCs w:val="24"/>
        </w:rPr>
        <w:t xml:space="preserve">2013.gadā PVD uzsāk darbību Informācijas analīzes un ātrās reaģēšanas daļa 4 darbinieku sastāvā, kuras mērķis – kompetences robežās efektīvi un pastāvīgi, veicot visaptverošus analītiskus un kontroles pasākumus, tostarp sadarbībā ar citām valsts iestādēm un sabiedriskajām organizācijām, operatīvi reaģēt, atklāt un minimizēt nelikumīgas komercprakses īstenošanu LR teritorijā, </w:t>
      </w:r>
      <w:r>
        <w:rPr>
          <w:rFonts w:ascii="Times New Roman" w:hAnsi="Times New Roman"/>
          <w:color w:val="000000"/>
          <w:sz w:val="24"/>
          <w:szCs w:val="24"/>
        </w:rPr>
        <w:t>kontrolējot</w:t>
      </w:r>
      <w:r w:rsidRPr="0095540A">
        <w:rPr>
          <w:rFonts w:ascii="Times New Roman" w:hAnsi="Times New Roman"/>
          <w:color w:val="000000"/>
          <w:sz w:val="24"/>
          <w:szCs w:val="24"/>
        </w:rPr>
        <w:t xml:space="preserve"> svaigu augļu un dārzeņu izcelsm</w:t>
      </w:r>
      <w:r>
        <w:rPr>
          <w:rFonts w:ascii="Times New Roman" w:hAnsi="Times New Roman"/>
          <w:color w:val="000000"/>
          <w:sz w:val="24"/>
          <w:szCs w:val="24"/>
        </w:rPr>
        <w:t>i</w:t>
      </w:r>
      <w:r w:rsidRPr="0095540A">
        <w:rPr>
          <w:rFonts w:ascii="Times New Roman" w:hAnsi="Times New Roman"/>
          <w:color w:val="000000"/>
          <w:sz w:val="24"/>
          <w:szCs w:val="24"/>
        </w:rPr>
        <w:t>, pārtikas ieguv</w:t>
      </w:r>
      <w:r>
        <w:rPr>
          <w:rFonts w:ascii="Times New Roman" w:hAnsi="Times New Roman"/>
          <w:color w:val="000000"/>
          <w:sz w:val="24"/>
          <w:szCs w:val="24"/>
        </w:rPr>
        <w:t>i</w:t>
      </w:r>
      <w:r w:rsidRPr="0095540A">
        <w:rPr>
          <w:rFonts w:ascii="Times New Roman" w:hAnsi="Times New Roman"/>
          <w:color w:val="000000"/>
          <w:sz w:val="24"/>
          <w:szCs w:val="24"/>
        </w:rPr>
        <w:t>, pārstrād</w:t>
      </w:r>
      <w:r>
        <w:rPr>
          <w:rFonts w:ascii="Times New Roman" w:hAnsi="Times New Roman"/>
          <w:color w:val="000000"/>
          <w:sz w:val="24"/>
          <w:szCs w:val="24"/>
        </w:rPr>
        <w:t>i</w:t>
      </w:r>
      <w:r w:rsidRPr="0095540A">
        <w:rPr>
          <w:rFonts w:ascii="Times New Roman" w:hAnsi="Times New Roman"/>
          <w:color w:val="000000"/>
          <w:sz w:val="24"/>
          <w:szCs w:val="24"/>
        </w:rPr>
        <w:t>, izplatīšan</w:t>
      </w:r>
      <w:r>
        <w:rPr>
          <w:rFonts w:ascii="Times New Roman" w:hAnsi="Times New Roman"/>
          <w:color w:val="000000"/>
          <w:sz w:val="24"/>
          <w:szCs w:val="24"/>
        </w:rPr>
        <w:t>u</w:t>
      </w:r>
      <w:r w:rsidRPr="0095540A">
        <w:rPr>
          <w:rFonts w:ascii="Times New Roman" w:hAnsi="Times New Roman"/>
          <w:color w:val="000000"/>
          <w:sz w:val="24"/>
          <w:szCs w:val="24"/>
        </w:rPr>
        <w:t>, dzīvnieku izcelsmes blakusproduktu</w:t>
      </w:r>
      <w:r w:rsidRPr="00D6736B">
        <w:rPr>
          <w:rFonts w:ascii="Times New Roman" w:hAnsi="Times New Roman"/>
          <w:color w:val="000000"/>
          <w:sz w:val="24"/>
          <w:szCs w:val="24"/>
        </w:rPr>
        <w:t xml:space="preserve"> </w:t>
      </w:r>
      <w:r w:rsidRPr="0095540A">
        <w:rPr>
          <w:rFonts w:ascii="Times New Roman" w:hAnsi="Times New Roman"/>
          <w:color w:val="000000"/>
          <w:sz w:val="24"/>
          <w:szCs w:val="24"/>
        </w:rPr>
        <w:lastRenderedPageBreak/>
        <w:t>aprit</w:t>
      </w:r>
      <w:r>
        <w:rPr>
          <w:rFonts w:ascii="Times New Roman" w:hAnsi="Times New Roman"/>
          <w:color w:val="000000"/>
          <w:sz w:val="24"/>
          <w:szCs w:val="24"/>
        </w:rPr>
        <w:t>i</w:t>
      </w:r>
      <w:r w:rsidRPr="0095540A">
        <w:rPr>
          <w:rFonts w:ascii="Times New Roman" w:hAnsi="Times New Roman"/>
          <w:color w:val="000000"/>
          <w:sz w:val="24"/>
          <w:szCs w:val="24"/>
        </w:rPr>
        <w:t>, kuri nav paredzēti cilvēku patēriņam, kā arī veterināro zāļu aprit</w:t>
      </w:r>
      <w:r>
        <w:rPr>
          <w:rFonts w:ascii="Times New Roman" w:hAnsi="Times New Roman"/>
          <w:color w:val="000000"/>
          <w:sz w:val="24"/>
          <w:szCs w:val="24"/>
        </w:rPr>
        <w:t>i</w:t>
      </w:r>
      <w:r w:rsidRPr="0095540A">
        <w:rPr>
          <w:rFonts w:ascii="Times New Roman" w:hAnsi="Times New Roman"/>
          <w:color w:val="000000"/>
          <w:sz w:val="24"/>
          <w:szCs w:val="24"/>
        </w:rPr>
        <w:t xml:space="preserve"> (</w:t>
      </w:r>
      <w:r>
        <w:rPr>
          <w:rFonts w:ascii="Times New Roman" w:hAnsi="Times New Roman"/>
          <w:color w:val="000000"/>
          <w:sz w:val="24"/>
          <w:szCs w:val="24"/>
        </w:rPr>
        <w:t>arī</w:t>
      </w:r>
      <w:r w:rsidRPr="0095540A">
        <w:rPr>
          <w:rFonts w:ascii="Times New Roman" w:hAnsi="Times New Roman"/>
          <w:color w:val="000000"/>
          <w:sz w:val="24"/>
          <w:szCs w:val="24"/>
        </w:rPr>
        <w:t xml:space="preserve"> vei</w:t>
      </w:r>
      <w:r>
        <w:rPr>
          <w:rFonts w:ascii="Times New Roman" w:hAnsi="Times New Roman"/>
          <w:color w:val="000000"/>
          <w:sz w:val="24"/>
          <w:szCs w:val="24"/>
        </w:rPr>
        <w:t>cot</w:t>
      </w:r>
      <w:r w:rsidRPr="0095540A">
        <w:rPr>
          <w:rFonts w:ascii="Times New Roman" w:hAnsi="Times New Roman"/>
          <w:color w:val="000000"/>
          <w:sz w:val="24"/>
          <w:szCs w:val="24"/>
        </w:rPr>
        <w:t xml:space="preserve"> kontrolpirkum</w:t>
      </w:r>
      <w:r>
        <w:rPr>
          <w:rFonts w:ascii="Times New Roman" w:hAnsi="Times New Roman"/>
          <w:color w:val="000000"/>
          <w:sz w:val="24"/>
          <w:szCs w:val="24"/>
        </w:rPr>
        <w:t>s</w:t>
      </w:r>
      <w:r w:rsidRPr="0095540A">
        <w:rPr>
          <w:rFonts w:ascii="Times New Roman" w:hAnsi="Times New Roman"/>
          <w:color w:val="000000"/>
          <w:sz w:val="24"/>
          <w:szCs w:val="24"/>
        </w:rPr>
        <w:t xml:space="preserve">). </w:t>
      </w:r>
    </w:p>
    <w:p w:rsidR="007B3B40" w:rsidRPr="0091124F" w:rsidRDefault="007B3B40" w:rsidP="007B3B40">
      <w:pPr>
        <w:pStyle w:val="Heading4"/>
        <w:jc w:val="both"/>
      </w:pPr>
      <w:r w:rsidRPr="0091124F">
        <w:t>1.7.1. Pasākumu plān</w:t>
      </w:r>
      <w:r>
        <w:t>a</w:t>
      </w:r>
      <w:r w:rsidRPr="0091124F">
        <w:t xml:space="preserve"> ēnu ekonomikas apkarošanai un godīgas konkurences nodrošināšanai īstenošana</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Viens no izstrādātajiem stratēģiskajiem dokumentiem, kas nosaka uzdevumus cīņai ar ēnu ekonomiku</w:t>
      </w:r>
      <w:r>
        <w:rPr>
          <w:rFonts w:ascii="Times New Roman" w:hAnsi="Times New Roman"/>
          <w:sz w:val="24"/>
          <w:szCs w:val="24"/>
        </w:rPr>
        <w:t>,</w:t>
      </w:r>
      <w:r w:rsidRPr="006202E5">
        <w:rPr>
          <w:rFonts w:ascii="Times New Roman" w:hAnsi="Times New Roman"/>
          <w:sz w:val="24"/>
          <w:szCs w:val="24"/>
        </w:rPr>
        <w:t xml:space="preserve"> ir Pasākumu plāns ēnu ekonomikas apkarošanai un godīgas konkurences nodrošināšanai 2010.–2013.gadam. Tajā šobrīd ir iekļauti 66 pasākumi, no </w:t>
      </w:r>
      <w:r>
        <w:rPr>
          <w:rFonts w:ascii="Times New Roman" w:hAnsi="Times New Roman"/>
          <w:sz w:val="24"/>
          <w:szCs w:val="24"/>
        </w:rPr>
        <w:t>t</w:t>
      </w:r>
      <w:r w:rsidRPr="006202E5">
        <w:rPr>
          <w:rFonts w:ascii="Times New Roman" w:hAnsi="Times New Roman"/>
          <w:sz w:val="24"/>
          <w:szCs w:val="24"/>
        </w:rPr>
        <w:t>iem līdz 2012.gada 31.decembrim pilnībā izpildīti 63 pasākumi</w:t>
      </w:r>
      <w:r>
        <w:rPr>
          <w:rFonts w:ascii="Times New Roman" w:hAnsi="Times New Roman"/>
          <w:sz w:val="24"/>
          <w:szCs w:val="24"/>
        </w:rPr>
        <w:t>,</w:t>
      </w:r>
      <w:r w:rsidRPr="006202E5">
        <w:rPr>
          <w:rFonts w:ascii="Times New Roman" w:hAnsi="Times New Roman"/>
          <w:sz w:val="24"/>
          <w:szCs w:val="24"/>
        </w:rPr>
        <w:t xml:space="preserve"> pārējo uzdevumu izpilde turpinās.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Pieņemta Koncepcij</w:t>
      </w:r>
      <w:r>
        <w:rPr>
          <w:rFonts w:ascii="Times New Roman" w:hAnsi="Times New Roman"/>
          <w:sz w:val="24"/>
          <w:szCs w:val="24"/>
        </w:rPr>
        <w:t>a</w:t>
      </w:r>
      <w:r w:rsidRPr="006202E5">
        <w:rPr>
          <w:rFonts w:ascii="Times New Roman" w:hAnsi="Times New Roman"/>
          <w:sz w:val="24"/>
          <w:szCs w:val="24"/>
        </w:rPr>
        <w:t xml:space="preserve"> par mazo uzņēmumu nodokļa maksāšanas režīmu konsolidāciju un vienkāršošanu, kurā ir izvērtēti pastāvošie nodokļu maksāšanas režīmi mazajiem uzņēmumiem un izvirzīti mērķi samazināt vienkāršoto nodokļu režīmu skaitu, līdzīgos režīmus konsolidējot, kā arī iekļaut likumos pretizvairīšanās normas, palielināt saimnieciskās darbības veicēju skaitu, panākot, ka darbību legalizē nereģistrēti saimnieciskās darbības veicēji, radīt mehānismu, kas </w:t>
      </w:r>
      <w:r>
        <w:rPr>
          <w:rFonts w:ascii="Times New Roman" w:hAnsi="Times New Roman"/>
          <w:sz w:val="24"/>
          <w:szCs w:val="24"/>
        </w:rPr>
        <w:t>motivētu</w:t>
      </w:r>
      <w:r w:rsidRPr="006202E5">
        <w:rPr>
          <w:rFonts w:ascii="Times New Roman" w:hAnsi="Times New Roman"/>
          <w:sz w:val="24"/>
          <w:szCs w:val="24"/>
        </w:rPr>
        <w:t xml:space="preserve"> mazos uzņēmumus neslēpt izaugsmi un iekļauties vispārējā nodokļu maksāšanas sistēmā, kā arī palielināt mazo uzņēmēju un mikrouzņēmumu darbinieku sociālās garantijas ilgtermiņā.</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Turpinās diskusijas par iespēju sasaistīt personu veiktos nodokļu maksājumus ar veselības aprūpes pakalpojumu sa</w:t>
      </w:r>
      <w:r>
        <w:rPr>
          <w:rFonts w:ascii="Times New Roman" w:hAnsi="Times New Roman"/>
          <w:sz w:val="24"/>
          <w:szCs w:val="24"/>
        </w:rPr>
        <w:t>ņemšanas nosacījumiem, tādējādi</w:t>
      </w:r>
      <w:r w:rsidRPr="006202E5">
        <w:rPr>
          <w:rFonts w:ascii="Times New Roman" w:hAnsi="Times New Roman"/>
          <w:sz w:val="24"/>
          <w:szCs w:val="24"/>
        </w:rPr>
        <w:t xml:space="preserve"> motivējot personas maksāt nodokļus un izvairīties </w:t>
      </w:r>
      <w:r>
        <w:rPr>
          <w:rFonts w:ascii="Times New Roman" w:hAnsi="Times New Roman"/>
          <w:sz w:val="24"/>
          <w:szCs w:val="24"/>
        </w:rPr>
        <w:t>no</w:t>
      </w:r>
      <w:r w:rsidRPr="006202E5">
        <w:rPr>
          <w:rFonts w:ascii="Times New Roman" w:hAnsi="Times New Roman"/>
          <w:sz w:val="24"/>
          <w:szCs w:val="24"/>
        </w:rPr>
        <w:t xml:space="preserve"> </w:t>
      </w:r>
      <w:r w:rsidR="00B167ED">
        <w:rPr>
          <w:rFonts w:ascii="Times New Roman" w:hAnsi="Times New Roman"/>
          <w:sz w:val="24"/>
          <w:szCs w:val="24"/>
        </w:rPr>
        <w:t>"</w:t>
      </w:r>
      <w:r w:rsidRPr="006202E5">
        <w:rPr>
          <w:rFonts w:ascii="Times New Roman" w:hAnsi="Times New Roman"/>
          <w:sz w:val="24"/>
          <w:szCs w:val="24"/>
        </w:rPr>
        <w:t>aplokšņu alg</w:t>
      </w:r>
      <w:r>
        <w:rPr>
          <w:rFonts w:ascii="Times New Roman" w:hAnsi="Times New Roman"/>
          <w:sz w:val="24"/>
          <w:szCs w:val="24"/>
        </w:rPr>
        <w:t>ām</w:t>
      </w:r>
      <w:r w:rsidR="00B167ED">
        <w:rPr>
          <w:rFonts w:ascii="Times New Roman" w:hAnsi="Times New Roman"/>
          <w:sz w:val="24"/>
          <w:szCs w:val="24"/>
        </w:rPr>
        <w:t>"</w:t>
      </w:r>
      <w:r w:rsidRPr="006202E5">
        <w:rPr>
          <w:rFonts w:ascii="Times New Roman" w:hAnsi="Times New Roman"/>
          <w:sz w:val="24"/>
          <w:szCs w:val="24"/>
        </w:rPr>
        <w:t>.</w:t>
      </w:r>
    </w:p>
    <w:p w:rsidR="007B3B40"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Saeimā atbalstīti grozījumi likumā </w:t>
      </w:r>
      <w:r w:rsidR="00B167ED">
        <w:rPr>
          <w:rFonts w:ascii="Times New Roman" w:hAnsi="Times New Roman"/>
          <w:sz w:val="24"/>
          <w:szCs w:val="24"/>
        </w:rPr>
        <w:t>"</w:t>
      </w:r>
      <w:r w:rsidRPr="006202E5">
        <w:rPr>
          <w:rFonts w:ascii="Times New Roman" w:hAnsi="Times New Roman"/>
          <w:sz w:val="24"/>
          <w:szCs w:val="24"/>
        </w:rPr>
        <w:t>Par nodokļiem un nodevām</w:t>
      </w:r>
      <w:r w:rsidR="00B167ED">
        <w:rPr>
          <w:rFonts w:ascii="Times New Roman" w:hAnsi="Times New Roman"/>
          <w:sz w:val="24"/>
          <w:szCs w:val="24"/>
        </w:rPr>
        <w:t>"</w:t>
      </w:r>
      <w:r w:rsidRPr="006202E5">
        <w:rPr>
          <w:rFonts w:ascii="Times New Roman" w:hAnsi="Times New Roman"/>
          <w:sz w:val="24"/>
          <w:szCs w:val="24"/>
        </w:rPr>
        <w:t>, kas paredz VID tiesības apturēt nodokļu maksātāja saimniecisko darbību. Minētā regulējuma mērķis liegt ar saimniecisko darbību nodarboties tiem nodokļu maksātājiem, kuri pieļauj būtisku</w:t>
      </w:r>
      <w:r>
        <w:rPr>
          <w:rFonts w:ascii="Times New Roman" w:hAnsi="Times New Roman"/>
          <w:sz w:val="24"/>
          <w:szCs w:val="24"/>
        </w:rPr>
        <w:t>s</w:t>
      </w:r>
      <w:r w:rsidRPr="006202E5">
        <w:rPr>
          <w:rFonts w:ascii="Times New Roman" w:hAnsi="Times New Roman"/>
          <w:sz w:val="24"/>
          <w:szCs w:val="24"/>
        </w:rPr>
        <w:t xml:space="preserve"> normatīvo aktu pārkāpumus un neizpilda nodokļu administrācijas prasības.</w:t>
      </w:r>
      <w:r>
        <w:rPr>
          <w:rFonts w:ascii="Times New Roman" w:hAnsi="Times New Roman"/>
          <w:sz w:val="24"/>
          <w:szCs w:val="24"/>
        </w:rPr>
        <w:t xml:space="preserve"> Vienlaikus Saeima atbalstījusi arī grozījumus </w:t>
      </w:r>
      <w:r w:rsidRPr="002D7BDD">
        <w:rPr>
          <w:rFonts w:ascii="Times New Roman" w:hAnsi="Times New Roman"/>
          <w:sz w:val="24"/>
          <w:szCs w:val="24"/>
        </w:rPr>
        <w:t>Latvijas Administratīvo pārkāpumu kodeksā, kas par būtiskiem pārkāpumiem finanšu jomā paredz valdes loceklim noteikt papildsod</w:t>
      </w:r>
      <w:r>
        <w:rPr>
          <w:rFonts w:ascii="Times New Roman" w:hAnsi="Times New Roman"/>
          <w:sz w:val="24"/>
          <w:szCs w:val="24"/>
        </w:rPr>
        <w:t>u</w:t>
      </w:r>
      <w:r w:rsidRPr="002D7BDD">
        <w:rPr>
          <w:rFonts w:ascii="Times New Roman" w:hAnsi="Times New Roman"/>
          <w:sz w:val="24"/>
          <w:szCs w:val="24"/>
        </w:rPr>
        <w:t xml:space="preserve"> </w:t>
      </w:r>
      <w:r>
        <w:rPr>
          <w:rFonts w:ascii="Times New Roman" w:hAnsi="Times New Roman"/>
          <w:sz w:val="24"/>
          <w:szCs w:val="24"/>
        </w:rPr>
        <w:t xml:space="preserve">– </w:t>
      </w:r>
      <w:r w:rsidRPr="002D7BDD">
        <w:rPr>
          <w:rFonts w:ascii="Times New Roman" w:hAnsi="Times New Roman"/>
          <w:sz w:val="24"/>
          <w:szCs w:val="24"/>
        </w:rPr>
        <w:t>tiesību atņemšan</w:t>
      </w:r>
      <w:r>
        <w:rPr>
          <w:rFonts w:ascii="Times New Roman" w:hAnsi="Times New Roman"/>
          <w:sz w:val="24"/>
          <w:szCs w:val="24"/>
        </w:rPr>
        <w:t>u</w:t>
      </w:r>
      <w:r w:rsidRPr="002D7BDD">
        <w:rPr>
          <w:rFonts w:ascii="Times New Roman" w:hAnsi="Times New Roman"/>
          <w:sz w:val="24"/>
          <w:szCs w:val="24"/>
        </w:rPr>
        <w:t xml:space="preserve"> ieņemt noteiktus amatus komercsabiedrībās</w:t>
      </w:r>
      <w:r>
        <w:rPr>
          <w:rFonts w:ascii="Times New Roman" w:hAnsi="Times New Roman"/>
          <w:sz w:val="24"/>
          <w:szCs w:val="24"/>
        </w:rPr>
        <w:t xml:space="preserve"> –</w:t>
      </w:r>
      <w:r w:rsidRPr="002D7BDD">
        <w:rPr>
          <w:rFonts w:ascii="Times New Roman" w:hAnsi="Times New Roman"/>
          <w:sz w:val="24"/>
          <w:szCs w:val="24"/>
        </w:rPr>
        <w:t>, kas liegtu iespēju pārkāpējam turpināt darboties citā komercsabiedrībā</w:t>
      </w:r>
      <w:r>
        <w:rPr>
          <w:rFonts w:ascii="Times New Roman" w:hAnsi="Times New Roman"/>
          <w:sz w:val="24"/>
          <w:szCs w:val="24"/>
        </w:rPr>
        <w:t>.</w:t>
      </w:r>
    </w:p>
    <w:p w:rsidR="007B3B40" w:rsidRPr="006202E5" w:rsidRDefault="007B3B40" w:rsidP="007B3B40">
      <w:pPr>
        <w:spacing w:after="0" w:line="240" w:lineRule="auto"/>
        <w:ind w:firstLine="720"/>
        <w:jc w:val="both"/>
        <w:rPr>
          <w:rFonts w:ascii="Times New Roman" w:hAnsi="Times New Roman"/>
          <w:sz w:val="24"/>
          <w:szCs w:val="24"/>
        </w:rPr>
      </w:pPr>
      <w:r w:rsidRPr="002D7BDD">
        <w:rPr>
          <w:rFonts w:ascii="Times New Roman" w:hAnsi="Times New Roman"/>
          <w:sz w:val="24"/>
          <w:szCs w:val="24"/>
        </w:rPr>
        <w:t>Lai efektīvāk kontrol</w:t>
      </w:r>
      <w:r>
        <w:rPr>
          <w:rFonts w:ascii="Times New Roman" w:hAnsi="Times New Roman"/>
          <w:sz w:val="24"/>
          <w:szCs w:val="24"/>
        </w:rPr>
        <w:t>ētu</w:t>
      </w:r>
      <w:r w:rsidRPr="002D7BDD">
        <w:rPr>
          <w:rFonts w:ascii="Times New Roman" w:hAnsi="Times New Roman"/>
          <w:sz w:val="24"/>
          <w:szCs w:val="24"/>
        </w:rPr>
        <w:t xml:space="preserve"> skaidrā naudā veikto</w:t>
      </w:r>
      <w:r>
        <w:rPr>
          <w:rFonts w:ascii="Times New Roman" w:hAnsi="Times New Roman"/>
          <w:sz w:val="24"/>
          <w:szCs w:val="24"/>
        </w:rPr>
        <w:t>s</w:t>
      </w:r>
      <w:r w:rsidRPr="002D7BDD">
        <w:rPr>
          <w:rFonts w:ascii="Times New Roman" w:hAnsi="Times New Roman"/>
          <w:sz w:val="24"/>
          <w:szCs w:val="24"/>
        </w:rPr>
        <w:t xml:space="preserve"> darījumu</w:t>
      </w:r>
      <w:r>
        <w:rPr>
          <w:rFonts w:ascii="Times New Roman" w:hAnsi="Times New Roman"/>
          <w:sz w:val="24"/>
          <w:szCs w:val="24"/>
        </w:rPr>
        <w:t>s</w:t>
      </w:r>
      <w:r w:rsidRPr="002D7BDD">
        <w:rPr>
          <w:rFonts w:ascii="Times New Roman" w:hAnsi="Times New Roman"/>
          <w:sz w:val="24"/>
          <w:szCs w:val="24"/>
        </w:rPr>
        <w:t>, ierobežotu skaidras naudas apriti lielā apmērā un ierobežotu izvairīšan</w:t>
      </w:r>
      <w:r>
        <w:rPr>
          <w:rFonts w:ascii="Times New Roman" w:hAnsi="Times New Roman"/>
          <w:sz w:val="24"/>
          <w:szCs w:val="24"/>
        </w:rPr>
        <w:t>o</w:t>
      </w:r>
      <w:r w:rsidRPr="002D7BDD">
        <w:rPr>
          <w:rFonts w:ascii="Times New Roman" w:hAnsi="Times New Roman"/>
          <w:sz w:val="24"/>
          <w:szCs w:val="24"/>
        </w:rPr>
        <w:t>s no nodokļu maksāšanas</w:t>
      </w:r>
      <w:r>
        <w:rPr>
          <w:rFonts w:ascii="Times New Roman" w:hAnsi="Times New Roman"/>
          <w:sz w:val="24"/>
          <w:szCs w:val="24"/>
        </w:rPr>
        <w:t>,</w:t>
      </w:r>
      <w:r w:rsidRPr="002D7BDD">
        <w:rPr>
          <w:rFonts w:ascii="Times New Roman" w:hAnsi="Times New Roman"/>
          <w:sz w:val="24"/>
          <w:szCs w:val="24"/>
        </w:rPr>
        <w:t xml:space="preserve"> tādējādi samazin</w:t>
      </w:r>
      <w:r>
        <w:rPr>
          <w:rFonts w:ascii="Times New Roman" w:hAnsi="Times New Roman"/>
          <w:sz w:val="24"/>
          <w:szCs w:val="24"/>
        </w:rPr>
        <w:t>o</w:t>
      </w:r>
      <w:r w:rsidRPr="002D7BDD">
        <w:rPr>
          <w:rFonts w:ascii="Times New Roman" w:hAnsi="Times New Roman"/>
          <w:sz w:val="24"/>
          <w:szCs w:val="24"/>
        </w:rPr>
        <w:t xml:space="preserve">t ēnu ekonomikas īpatsvaru, ar 2013.gadu ir </w:t>
      </w:r>
      <w:r>
        <w:rPr>
          <w:rFonts w:ascii="Times New Roman" w:hAnsi="Times New Roman"/>
          <w:sz w:val="24"/>
          <w:szCs w:val="24"/>
        </w:rPr>
        <w:t>pastiprināti</w:t>
      </w:r>
      <w:r w:rsidRPr="002D7BDD">
        <w:rPr>
          <w:rFonts w:ascii="Times New Roman" w:hAnsi="Times New Roman"/>
          <w:sz w:val="24"/>
          <w:szCs w:val="24"/>
        </w:rPr>
        <w:t xml:space="preserve"> skaidras naudas lietošanas ierobežojumi</w:t>
      </w:r>
      <w:r>
        <w:rPr>
          <w:rFonts w:ascii="Times New Roman" w:hAnsi="Times New Roman"/>
          <w:sz w:val="24"/>
          <w:szCs w:val="24"/>
        </w:rPr>
        <w:t>.</w:t>
      </w:r>
    </w:p>
    <w:p w:rsidR="007B3B40" w:rsidRPr="0091124F" w:rsidRDefault="007B3B40" w:rsidP="007B3B40">
      <w:pPr>
        <w:pStyle w:val="Heading4"/>
      </w:pPr>
      <w:r w:rsidRPr="0091124F">
        <w:t>1.7.2. Fizisko personu mantiskā stāvokļa un nedeklarēto ienākumu deklarēšana</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Ar 2011.gada 15.decembri stājās spēkā Fizisko personu mantiskā stāvokļa un nedeklarēto ienākumu deklarēšanas likums, kura mērķis ir sekmēt fizisko personu mantiskā stāvokļa, ienākumu un izdevumu atbilstības un attiecīgi nodokļu samaksas un ienākumu legalitātes kontroles iespējas, kā arī dot fiziskajām personām iespēju deklarēt iepriekš nedeklarētos ar iedzīvotāju ienākuma nodokli apliekamos ienākumus, izņemot tos ienākumus, kurus personai bija tiesības nedeklarēt. Līdz 2012.gada 31.decembrim VID iesniegtas 132 033 mantiskā stāvokļa deklarācijas. Par iepriekš nedeklarētiem ienākumiem aprēķināts iedzīvotāju ienākuma nodoklis 675,18 tūkst. latu apmērā, no kuriem </w:t>
      </w:r>
      <w:r>
        <w:rPr>
          <w:rFonts w:ascii="Times New Roman" w:hAnsi="Times New Roman"/>
          <w:sz w:val="24"/>
          <w:szCs w:val="24"/>
        </w:rPr>
        <w:t xml:space="preserve">veikti </w:t>
      </w:r>
      <w:r w:rsidRPr="006202E5">
        <w:rPr>
          <w:rFonts w:ascii="Times New Roman" w:hAnsi="Times New Roman"/>
          <w:sz w:val="24"/>
          <w:szCs w:val="24"/>
        </w:rPr>
        <w:t>maksājumi budžetā 672,19 tūkst. latu apmērā</w:t>
      </w:r>
      <w:r>
        <w:rPr>
          <w:rFonts w:ascii="Times New Roman" w:hAnsi="Times New Roman"/>
          <w:sz w:val="24"/>
          <w:szCs w:val="24"/>
        </w:rPr>
        <w:t>.</w:t>
      </w:r>
      <w:r w:rsidRPr="006202E5">
        <w:rPr>
          <w:rFonts w:ascii="Times New Roman" w:hAnsi="Times New Roman"/>
          <w:sz w:val="24"/>
          <w:szCs w:val="24"/>
        </w:rPr>
        <w:t xml:space="preserve"> </w:t>
      </w:r>
    </w:p>
    <w:p w:rsidR="007B3B40" w:rsidRPr="0091124F" w:rsidRDefault="007B3B40" w:rsidP="007B3B40">
      <w:pPr>
        <w:pStyle w:val="Heading2"/>
        <w:jc w:val="both"/>
      </w:pPr>
      <w:bookmarkStart w:id="48" w:name="_Toc348948345"/>
      <w:bookmarkEnd w:id="41"/>
      <w:r w:rsidRPr="0091124F">
        <w:lastRenderedPageBreak/>
        <w:t>2. Makroekonomiskā stabilitāte un valsts budžeta izpilde, fiskālā disciplīna</w:t>
      </w:r>
      <w:bookmarkEnd w:id="48"/>
    </w:p>
    <w:p w:rsidR="007B3B40" w:rsidRPr="0091124F" w:rsidRDefault="007B3B40" w:rsidP="007B3B40">
      <w:pPr>
        <w:pStyle w:val="Heading3"/>
      </w:pPr>
      <w:bookmarkStart w:id="49" w:name="_Toc348089284"/>
      <w:bookmarkStart w:id="50" w:name="_Toc348948346"/>
      <w:r w:rsidRPr="0091124F">
        <w:t>2.1. Kopbudžeta un vispārējās valdības budžeta izpilde 2012.gadā</w:t>
      </w:r>
      <w:bookmarkEnd w:id="49"/>
      <w:bookmarkEnd w:id="50"/>
      <w:r w:rsidRPr="0091124F">
        <w:t xml:space="preserve">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Nozīmīgi labāka tautsaimniecības izaugsme 2012.gadā ievērojami sekmēja fiskālās situācijas uzlabošanos. Saskaņā ar Valsts kases oficiālajiem datiem par budžeta izpildi 2012.gadā kopbudžeta ieņēmumi (5742,8 miljonu latu) pārsniedza izdevumus </w:t>
      </w:r>
      <w:r>
        <w:rPr>
          <w:rFonts w:ascii="Times New Roman" w:hAnsi="Times New Roman"/>
          <w:sz w:val="24"/>
          <w:szCs w:val="24"/>
        </w:rPr>
        <w:t>(5723,6 miljoni latu), tādējādi</w:t>
      </w:r>
      <w:r w:rsidRPr="006202E5">
        <w:rPr>
          <w:rFonts w:ascii="Times New Roman" w:hAnsi="Times New Roman"/>
          <w:sz w:val="24"/>
          <w:szCs w:val="24"/>
        </w:rPr>
        <w:t xml:space="preserve"> veidojot pārpalikumu 19,1 miljon</w:t>
      </w:r>
      <w:r>
        <w:rPr>
          <w:rFonts w:ascii="Times New Roman" w:hAnsi="Times New Roman"/>
          <w:sz w:val="24"/>
          <w:szCs w:val="24"/>
        </w:rPr>
        <w:t>a</w:t>
      </w:r>
      <w:r w:rsidRPr="006202E5">
        <w:rPr>
          <w:rFonts w:ascii="Times New Roman" w:hAnsi="Times New Roman"/>
          <w:sz w:val="24"/>
          <w:szCs w:val="24"/>
        </w:rPr>
        <w:t> latu apmērā. Būtiski atzīmēt, ka bilance ievērojami uzlabojās, jo 2011.gadā kopbudžetā bija deficīts 454,8 miljoni latu. 2012.gadā kopbudžeta ieņēmumi, salīdzinot ar 2011.gadu, bija par 657,3 miljoniem latu jeb 12,9</w:t>
      </w:r>
      <w:r>
        <w:rPr>
          <w:rFonts w:ascii="Times New Roman" w:hAnsi="Times New Roman"/>
          <w:sz w:val="24"/>
          <w:szCs w:val="24"/>
        </w:rPr>
        <w:t> %</w:t>
      </w:r>
      <w:r w:rsidRPr="006202E5">
        <w:rPr>
          <w:rFonts w:ascii="Times New Roman" w:hAnsi="Times New Roman"/>
          <w:sz w:val="24"/>
          <w:szCs w:val="24"/>
        </w:rPr>
        <w:t xml:space="preserve"> lielāki, kur ieņēmumu pieaugumu pamatā sekmēja labāka nod</w:t>
      </w:r>
      <w:r>
        <w:rPr>
          <w:rFonts w:ascii="Times New Roman" w:hAnsi="Times New Roman"/>
          <w:sz w:val="24"/>
          <w:szCs w:val="24"/>
        </w:rPr>
        <w:t>okļu ieņēmumu izpilde. Savukārt</w:t>
      </w:r>
      <w:r w:rsidRPr="006202E5">
        <w:rPr>
          <w:rFonts w:ascii="Times New Roman" w:hAnsi="Times New Roman"/>
          <w:sz w:val="24"/>
          <w:szCs w:val="24"/>
        </w:rPr>
        <w:t xml:space="preserve"> kopbudžeta izdevumi pieauga mērenāk – par 183,4 miljoniem latu jeb 3,3 procentiem.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Analizējot izpildi pa budžetiem, 2012.gadā ievērojami labāka situācija bija vērojama valsts konsolidētajā budžetā. Straujāks ieņēmumu pieaugums salīdzinājumā ar izdevumu palielināšanos noteica labāku valsts konsolidētā budžeta bilanci, kas 2012.gadā, salīdzinot ar 2011.gadu, uzlabojās par 490,3 miljoniem latu</w:t>
      </w:r>
      <w:r>
        <w:rPr>
          <w:rFonts w:ascii="Times New Roman" w:hAnsi="Times New Roman"/>
          <w:sz w:val="24"/>
          <w:szCs w:val="24"/>
        </w:rPr>
        <w:t>,</w:t>
      </w:r>
      <w:r w:rsidRPr="006202E5">
        <w:rPr>
          <w:rFonts w:ascii="Times New Roman" w:hAnsi="Times New Roman"/>
          <w:sz w:val="24"/>
          <w:szCs w:val="24"/>
        </w:rPr>
        <w:t xml:space="preserve"> un pārpalikums tajā veidoja 81,7 miljonus latu. Nodarbinātības un darba samaksas kāpums veicināja darba nodokļu izpildi – sociālās apdrošināšanas obligāto iemaksu un iedzīvotāju ienākuma nodokļa pieaugumu salīdzinājumā ar 2011.</w:t>
      </w:r>
      <w:r>
        <w:rPr>
          <w:rFonts w:ascii="Times New Roman" w:hAnsi="Times New Roman"/>
          <w:sz w:val="24"/>
          <w:szCs w:val="24"/>
        </w:rPr>
        <w:t>gadu. Savukārt</w:t>
      </w:r>
      <w:r w:rsidRPr="006202E5">
        <w:rPr>
          <w:rFonts w:ascii="Times New Roman" w:hAnsi="Times New Roman"/>
          <w:sz w:val="24"/>
          <w:szCs w:val="24"/>
        </w:rPr>
        <w:t xml:space="preserve"> augsts privātais patēriņš, par ko liecina mazumtirdzniecības apgrozījuma dati, nodrošināja ievērojamu pievienotās vērtības nodokļa ieņēmumu pieaugumu. Jāatzīmē, ka arī pārējo nodokļu ieņēmumu izpilde 2012.gadā bija labāka, salīdzinot ar iepriekš</w:t>
      </w:r>
      <w:r>
        <w:rPr>
          <w:rFonts w:ascii="Times New Roman" w:hAnsi="Times New Roman"/>
          <w:sz w:val="24"/>
          <w:szCs w:val="24"/>
        </w:rPr>
        <w:t>ējo</w:t>
      </w:r>
      <w:r w:rsidRPr="006202E5">
        <w:rPr>
          <w:rFonts w:ascii="Times New Roman" w:hAnsi="Times New Roman"/>
          <w:sz w:val="24"/>
          <w:szCs w:val="24"/>
        </w:rPr>
        <w:t xml:space="preserve"> gadu.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Attiecīb</w:t>
      </w:r>
      <w:r>
        <w:rPr>
          <w:rFonts w:ascii="Times New Roman" w:hAnsi="Times New Roman"/>
          <w:sz w:val="24"/>
          <w:szCs w:val="24"/>
        </w:rPr>
        <w:t>ā uz pašvaldību budžeta izpildi</w:t>
      </w:r>
      <w:r w:rsidRPr="006202E5">
        <w:rPr>
          <w:rFonts w:ascii="Times New Roman" w:hAnsi="Times New Roman"/>
          <w:sz w:val="24"/>
          <w:szCs w:val="24"/>
        </w:rPr>
        <w:t xml:space="preserve"> 2012.ga</w:t>
      </w:r>
      <w:r>
        <w:rPr>
          <w:rFonts w:ascii="Times New Roman" w:hAnsi="Times New Roman"/>
          <w:sz w:val="24"/>
          <w:szCs w:val="24"/>
        </w:rPr>
        <w:t xml:space="preserve">dā tajā izveidojās 62,5 milj. </w:t>
      </w:r>
      <w:r w:rsidRPr="006202E5">
        <w:rPr>
          <w:rFonts w:ascii="Times New Roman" w:hAnsi="Times New Roman"/>
          <w:sz w:val="24"/>
          <w:szCs w:val="24"/>
        </w:rPr>
        <w:t>latu liels deficīts, kas ir par 12,6  miljoniem latu vairāk salīdzinājumā ar 2011.gadu. Pašvaldību budžeta ieņēmumos bija vērojami augstāki iedzīvotāju ienākuma nodokļa un nekustamā īpašuma nodokļa ieņēmumi, kā arī pieaugums tādās ieņēmumu pozīcijās kā nenodokļu ieņēmum</w:t>
      </w:r>
      <w:r>
        <w:rPr>
          <w:rFonts w:ascii="Times New Roman" w:hAnsi="Times New Roman"/>
          <w:sz w:val="24"/>
          <w:szCs w:val="24"/>
        </w:rPr>
        <w:t>i</w:t>
      </w:r>
      <w:r w:rsidRPr="006202E5">
        <w:rPr>
          <w:rFonts w:ascii="Times New Roman" w:hAnsi="Times New Roman"/>
          <w:sz w:val="24"/>
          <w:szCs w:val="24"/>
        </w:rPr>
        <w:t xml:space="preserve"> un ieņēmumi no</w:t>
      </w:r>
      <w:r>
        <w:rPr>
          <w:rFonts w:ascii="Times New Roman" w:hAnsi="Times New Roman"/>
          <w:sz w:val="24"/>
          <w:szCs w:val="24"/>
        </w:rPr>
        <w:t xml:space="preserve"> maksas pakalpojumiem. Savukārt</w:t>
      </w:r>
      <w:r w:rsidRPr="006202E5">
        <w:rPr>
          <w:rFonts w:ascii="Times New Roman" w:hAnsi="Times New Roman"/>
          <w:sz w:val="24"/>
          <w:szCs w:val="24"/>
        </w:rPr>
        <w:t xml:space="preserve"> izdevumi, salīdzinot ar 2011.gadu, pērn pieauga gandrīz visās pozīcijās (precēm un pakalpojumiem, atalgojumam, subsīdijām un dotācijām, kapitālajiem izdevumiem), turpretī izdevumi sociālajiem pabalstiem bija ievērojami zemāki.</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Kopbudžeta izpilde, veicot uzskaiti pēc naudas plūsmas, 2012. gadā vērtējama ļoti pozitīvi. Vērtējot budžeta izpildi atbilstoši Eiropas kontu sistēmas metodoloģijai (pēc uzkrājuma principa)</w:t>
      </w:r>
      <w:r>
        <w:rPr>
          <w:rFonts w:ascii="Times New Roman" w:hAnsi="Times New Roman"/>
          <w:sz w:val="24"/>
          <w:szCs w:val="24"/>
        </w:rPr>
        <w:t>,</w:t>
      </w:r>
      <w:r w:rsidRPr="006202E5">
        <w:rPr>
          <w:rFonts w:ascii="Times New Roman" w:hAnsi="Times New Roman"/>
          <w:sz w:val="24"/>
          <w:szCs w:val="24"/>
        </w:rPr>
        <w:t xml:space="preserve"> FM </w:t>
      </w:r>
      <w:r>
        <w:rPr>
          <w:rFonts w:ascii="Times New Roman" w:hAnsi="Times New Roman"/>
          <w:sz w:val="24"/>
          <w:szCs w:val="24"/>
        </w:rPr>
        <w:t>konstatējusi</w:t>
      </w:r>
      <w:r w:rsidRPr="006202E5">
        <w:rPr>
          <w:rFonts w:ascii="Times New Roman" w:hAnsi="Times New Roman"/>
          <w:sz w:val="24"/>
          <w:szCs w:val="24"/>
        </w:rPr>
        <w:t>, ka vispārējās valdības budžeta deficīts 2012.gadā ir 1,5</w:t>
      </w:r>
      <w:r>
        <w:rPr>
          <w:rFonts w:ascii="Times New Roman" w:hAnsi="Times New Roman"/>
          <w:sz w:val="24"/>
          <w:szCs w:val="24"/>
        </w:rPr>
        <w:t> %</w:t>
      </w:r>
      <w:r w:rsidRPr="006202E5">
        <w:rPr>
          <w:rFonts w:ascii="Times New Roman" w:hAnsi="Times New Roman"/>
          <w:sz w:val="24"/>
          <w:szCs w:val="24"/>
        </w:rPr>
        <w:t xml:space="preserve"> no IKP. Jāatzīmē, ka sākotnēji noteiktais deficīta mērķis 2012.gadam bija 2,5</w:t>
      </w:r>
      <w:r>
        <w:rPr>
          <w:rFonts w:ascii="Times New Roman" w:hAnsi="Times New Roman"/>
          <w:sz w:val="24"/>
          <w:szCs w:val="24"/>
        </w:rPr>
        <w:t> %</w:t>
      </w:r>
      <w:r w:rsidRPr="006202E5">
        <w:rPr>
          <w:rFonts w:ascii="Times New Roman" w:hAnsi="Times New Roman"/>
          <w:sz w:val="24"/>
          <w:szCs w:val="24"/>
        </w:rPr>
        <w:t xml:space="preserve"> no IKP un sasniegtais rezultāts ir nozīmīg</w:t>
      </w:r>
      <w:r>
        <w:rPr>
          <w:rFonts w:ascii="Times New Roman" w:hAnsi="Times New Roman"/>
          <w:sz w:val="24"/>
          <w:szCs w:val="24"/>
        </w:rPr>
        <w:t xml:space="preserve">i labāks par iepriekš plānoto. Saskaņā ar </w:t>
      </w:r>
      <w:r w:rsidRPr="006202E5">
        <w:rPr>
          <w:rFonts w:ascii="Times New Roman" w:hAnsi="Times New Roman"/>
          <w:sz w:val="24"/>
          <w:szCs w:val="24"/>
        </w:rPr>
        <w:t xml:space="preserve">FM </w:t>
      </w:r>
      <w:r>
        <w:rPr>
          <w:rFonts w:ascii="Times New Roman" w:hAnsi="Times New Roman"/>
          <w:sz w:val="24"/>
          <w:szCs w:val="24"/>
        </w:rPr>
        <w:t xml:space="preserve">sniegto informāciju </w:t>
      </w:r>
      <w:r w:rsidRPr="006202E5">
        <w:rPr>
          <w:rFonts w:ascii="Times New Roman" w:hAnsi="Times New Roman"/>
          <w:sz w:val="24"/>
          <w:szCs w:val="24"/>
        </w:rPr>
        <w:t>oficiālais vispārējās valdības budžeta deficīta apjoms būs pieejams uz valsts budžeta deficīta un parāda notifikācijas iesniegšanas brīdi Eurostat 2013.gada 1. aprīlī.</w:t>
      </w:r>
    </w:p>
    <w:p w:rsidR="007B3B40" w:rsidRPr="006202E5" w:rsidRDefault="007B3B40" w:rsidP="007B3B40">
      <w:pPr>
        <w:pStyle w:val="Heading3"/>
        <w:rPr>
          <w:szCs w:val="24"/>
        </w:rPr>
      </w:pPr>
      <w:bookmarkStart w:id="51" w:name="_Toc348089285"/>
      <w:bookmarkStart w:id="52" w:name="_Toc348089286"/>
      <w:bookmarkStart w:id="53" w:name="_Toc348948347"/>
      <w:r w:rsidRPr="006202E5">
        <w:rPr>
          <w:szCs w:val="24"/>
        </w:rPr>
        <w:t>2.2. Fiskālā disciplīna</w:t>
      </w:r>
      <w:bookmarkEnd w:id="51"/>
      <w:bookmarkEnd w:id="53"/>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Pēdējos gados valstī ir nodrošināta stingras fiskālās politikas īstenošana</w:t>
      </w:r>
      <w:r w:rsidRPr="006202E5">
        <w:rPr>
          <w:rFonts w:ascii="Times New Roman" w:hAnsi="Times New Roman"/>
          <w:b/>
          <w:sz w:val="24"/>
          <w:szCs w:val="24"/>
        </w:rPr>
        <w:t xml:space="preserve"> -</w:t>
      </w:r>
      <w:r w:rsidRPr="006202E5">
        <w:rPr>
          <w:rFonts w:ascii="Times New Roman" w:hAnsi="Times New Roman"/>
          <w:sz w:val="24"/>
          <w:szCs w:val="24"/>
        </w:rPr>
        <w:t xml:space="preserve"> ievērota fiskālā disciplīna, veikti pasākumi, lai samazinātu vispārējās valdības budžeta deficīta apmēru, kā arī veikti pasākumi, lai atjaunotu valsts ekonomisko attīstību.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Fiskālo politiku šobrīd un arī turpmākos gadus turpinās noteikt trīs galvenie faktori: valdības deklarācijā noteiktā apņemšanās virzīties uz ekonomiskajā ciklā </w:t>
      </w:r>
      <w:r w:rsidRPr="006202E5">
        <w:rPr>
          <w:rFonts w:ascii="Times New Roman" w:hAnsi="Times New Roman"/>
          <w:sz w:val="24"/>
          <w:szCs w:val="24"/>
        </w:rPr>
        <w:lastRenderedPageBreak/>
        <w:t>sabalansētu budžetu</w:t>
      </w:r>
      <w:r>
        <w:rPr>
          <w:rFonts w:ascii="Times New Roman" w:hAnsi="Times New Roman"/>
          <w:sz w:val="24"/>
          <w:szCs w:val="24"/>
        </w:rPr>
        <w:t>,</w:t>
      </w:r>
      <w:r w:rsidRPr="006202E5">
        <w:rPr>
          <w:rFonts w:ascii="Times New Roman" w:hAnsi="Times New Roman"/>
          <w:sz w:val="24"/>
          <w:szCs w:val="24"/>
        </w:rPr>
        <w:t xml:space="preserve">  ES Stabilitātes un izaugsmes paktā noteikto fiskālās politikas nosacījumu</w:t>
      </w:r>
      <w:r>
        <w:rPr>
          <w:rFonts w:ascii="Times New Roman" w:hAnsi="Times New Roman"/>
          <w:sz w:val="24"/>
          <w:szCs w:val="24"/>
        </w:rPr>
        <w:t xml:space="preserve"> ievērošana</w:t>
      </w:r>
      <w:r w:rsidRPr="006202E5">
        <w:rPr>
          <w:rFonts w:ascii="Times New Roman" w:hAnsi="Times New Roman"/>
          <w:sz w:val="24"/>
          <w:szCs w:val="24"/>
        </w:rPr>
        <w:t xml:space="preserve"> un atrašanās pēckrīzes periodā.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nostiprinātu pretcikliskas fiskālās politikas principa īstenošanu tiesību aktos, ir izstrādāts Fiskālās disciplīnas likums (turpmāk – FDL), kura mērķis ir noteikt tādus fiskālās politikas principus un nosacījumus, kas nodrošina virzību uz ekonomikas ciklā sabalansētu budžetu, un tādējādi sekmēt ilgtspējīgu valsts attīstību, makroekonomisko stabilitāti un samazināt ārējo faktoru negatīvu ietekmi uz tautsaimniecību. </w:t>
      </w:r>
    </w:p>
    <w:p w:rsidR="007B3B40" w:rsidRPr="006202E5" w:rsidRDefault="007B3B40" w:rsidP="007B3B4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2013.gada 1.janvārī stājās spēkā grozījumi Likumā par budžetu un finanšu vadību. Grozījumi tika izstrādāti, lai precizētu un pilnveidotu vidēja termiņa budžeta plānošanas procesu. Jau līdz šim LBFV bija paredzēts, ka vidējā termiņa plānošanas kontekstā katru gadu tiks izstrādāts Vidēja termiņa budžeta ietvara likums (turpmāk – Ietvara likums). Pirmais šāds likums tika izstrādāts 2013.–2015. gadu periodam un apstiprināts Saeimā 2012.gada 15.novembrī. Tajā katram likuma perioda gadam tika norādīti galvenie makroekonomikas un finanšu rādītāji, tai skaitā vidēja termiņa budžeta mērķi, valsts budžeta finansiālās bilances apjoms, maksimāli pieļaujamo valsts budžeta izdevumu kopapjoms, maksimāli pieļaujamo valsts budžeta kopējo izdevumu apjoms katrai ministrijai un citai centrālajai valsts iestādei u.c. rādītāji. </w:t>
      </w:r>
    </w:p>
    <w:p w:rsidR="007B3B40" w:rsidRPr="006202E5" w:rsidRDefault="007B3B40" w:rsidP="007B3B40">
      <w:pPr>
        <w:spacing w:after="0" w:line="240" w:lineRule="auto"/>
        <w:ind w:firstLine="709"/>
        <w:jc w:val="both"/>
        <w:rPr>
          <w:rFonts w:ascii="Times New Roman" w:hAnsi="Times New Roman"/>
          <w:sz w:val="24"/>
          <w:szCs w:val="24"/>
        </w:rPr>
      </w:pPr>
      <w:r w:rsidRPr="006202E5">
        <w:rPr>
          <w:rFonts w:ascii="Times New Roman" w:hAnsi="Times New Roman"/>
          <w:sz w:val="24"/>
          <w:szCs w:val="24"/>
        </w:rPr>
        <w:t>Nākamais Ietvara likums tiks izstrādāts 2014.–2016.gadu periodam, attiecīgi šo procesu turpinot arī nākotnē. Lai nodrošinātu Ietvara likumu savstarpējo pēctecību, kā arī lai saistītu gadskārtējo valsts budžeta likumu ar vidēja termiņa plānu, ir precizētas LBFV ietvertās normas attiecībā uz Ietvara likumu savstarpējo sasaisti un saturu, kā arī veikti citi budžeta procesa uzlabojumi. Turpmākā darbība un precizējumi vidēja termiņa plānošanas sistēmā norisināsies saistībā ar Saeimā</w:t>
      </w:r>
      <w:r w:rsidRPr="006202E5" w:rsidDel="00025F25">
        <w:rPr>
          <w:rFonts w:ascii="Times New Roman" w:hAnsi="Times New Roman"/>
          <w:sz w:val="24"/>
          <w:szCs w:val="24"/>
        </w:rPr>
        <w:t xml:space="preserve"> </w:t>
      </w:r>
      <w:r>
        <w:rPr>
          <w:rFonts w:ascii="Times New Roman" w:hAnsi="Times New Roman"/>
          <w:sz w:val="24"/>
          <w:szCs w:val="24"/>
        </w:rPr>
        <w:t xml:space="preserve">apstiprināto </w:t>
      </w:r>
      <w:r w:rsidRPr="006202E5">
        <w:rPr>
          <w:rFonts w:ascii="Times New Roman" w:hAnsi="Times New Roman"/>
          <w:sz w:val="24"/>
          <w:szCs w:val="24"/>
        </w:rPr>
        <w:t>FDL, savstarpēji harmonizējot likumdošanas normas.</w:t>
      </w:r>
    </w:p>
    <w:p w:rsidR="007B3B40" w:rsidRPr="006202E5" w:rsidRDefault="007B3B40" w:rsidP="007B3B40">
      <w:pPr>
        <w:spacing w:after="0" w:line="240" w:lineRule="auto"/>
        <w:ind w:firstLine="709"/>
        <w:jc w:val="both"/>
        <w:rPr>
          <w:rFonts w:ascii="Times New Roman" w:eastAsia="Calibri" w:hAnsi="Times New Roman"/>
          <w:sz w:val="24"/>
          <w:szCs w:val="24"/>
        </w:rPr>
      </w:pPr>
      <w:r w:rsidRPr="006202E5">
        <w:rPr>
          <w:rFonts w:ascii="Times New Roman" w:hAnsi="Times New Roman"/>
          <w:sz w:val="24"/>
          <w:szCs w:val="24"/>
        </w:rPr>
        <w:t>FDL paredz</w:t>
      </w:r>
      <w:r>
        <w:rPr>
          <w:rFonts w:ascii="Times New Roman" w:hAnsi="Times New Roman"/>
          <w:sz w:val="24"/>
          <w:szCs w:val="24"/>
        </w:rPr>
        <w:t xml:space="preserve"> I</w:t>
      </w:r>
      <w:r w:rsidRPr="006202E5">
        <w:rPr>
          <w:rFonts w:ascii="Times New Roman" w:hAnsi="Times New Roman"/>
          <w:sz w:val="24"/>
          <w:szCs w:val="24"/>
        </w:rPr>
        <w:t>etvara likumu kā galveno instrumentu</w:t>
      </w:r>
      <w:r>
        <w:rPr>
          <w:rFonts w:ascii="Times New Roman" w:hAnsi="Times New Roman"/>
          <w:sz w:val="24"/>
          <w:szCs w:val="24"/>
        </w:rPr>
        <w:t>,</w:t>
      </w:r>
      <w:r w:rsidRPr="006202E5">
        <w:rPr>
          <w:rFonts w:ascii="Times New Roman" w:hAnsi="Times New Roman"/>
          <w:sz w:val="24"/>
          <w:szCs w:val="24"/>
        </w:rPr>
        <w:t xml:space="preserve"> ar kuru nākamajiem tr</w:t>
      </w:r>
      <w:r>
        <w:rPr>
          <w:rFonts w:ascii="Times New Roman" w:hAnsi="Times New Roman"/>
          <w:sz w:val="24"/>
          <w:szCs w:val="24"/>
        </w:rPr>
        <w:t>im</w:t>
      </w:r>
      <w:r w:rsidRPr="006202E5">
        <w:rPr>
          <w:rFonts w:ascii="Times New Roman" w:hAnsi="Times New Roman"/>
          <w:sz w:val="24"/>
          <w:szCs w:val="24"/>
        </w:rPr>
        <w:t xml:space="preserve"> gadiem tiek noteikts centrālās valdības pieļaujamais izdevumu līmenis. Maksimāli pieļaujamais valsts konsolidētā budžeta izdevumu kopējais apjoms pirmajam un otrajam </w:t>
      </w:r>
      <w:r>
        <w:rPr>
          <w:rFonts w:ascii="Times New Roman" w:hAnsi="Times New Roman"/>
          <w:sz w:val="24"/>
          <w:szCs w:val="24"/>
        </w:rPr>
        <w:t>I</w:t>
      </w:r>
      <w:r w:rsidRPr="006202E5">
        <w:rPr>
          <w:rFonts w:ascii="Times New Roman" w:hAnsi="Times New Roman"/>
          <w:sz w:val="24"/>
          <w:szCs w:val="24"/>
        </w:rPr>
        <w:t xml:space="preserve">etvara likuma perioda gadam pārmantojas no iepriekšējā </w:t>
      </w:r>
      <w:r>
        <w:rPr>
          <w:rFonts w:ascii="Times New Roman" w:hAnsi="Times New Roman"/>
          <w:sz w:val="24"/>
          <w:szCs w:val="24"/>
        </w:rPr>
        <w:t>I</w:t>
      </w:r>
      <w:r w:rsidRPr="006202E5">
        <w:rPr>
          <w:rFonts w:ascii="Times New Roman" w:hAnsi="Times New Roman"/>
          <w:sz w:val="24"/>
          <w:szCs w:val="24"/>
        </w:rPr>
        <w:t xml:space="preserve">etvara likuma perioda otrā un trešā gada, savukārt gadskārtējā valsts budžeta likumprojekta </w:t>
      </w:r>
      <w:r w:rsidRPr="006202E5">
        <w:rPr>
          <w:rFonts w:ascii="Times New Roman" w:eastAsia="Calibri" w:hAnsi="Times New Roman"/>
          <w:sz w:val="24"/>
          <w:szCs w:val="24"/>
        </w:rPr>
        <w:t xml:space="preserve">finanšu rādītāji izrietēs no </w:t>
      </w:r>
      <w:r>
        <w:rPr>
          <w:rFonts w:ascii="Times New Roman" w:eastAsia="Calibri" w:hAnsi="Times New Roman"/>
          <w:sz w:val="24"/>
          <w:szCs w:val="24"/>
        </w:rPr>
        <w:t>I</w:t>
      </w:r>
      <w:r w:rsidRPr="006202E5">
        <w:rPr>
          <w:rFonts w:ascii="Times New Roman" w:eastAsia="Calibri" w:hAnsi="Times New Roman"/>
          <w:sz w:val="24"/>
          <w:szCs w:val="24"/>
        </w:rPr>
        <w:t>etvara likumā pirmajam gadam noteiktajiem finanšu rādītājiem.</w:t>
      </w:r>
    </w:p>
    <w:p w:rsidR="007B3B40" w:rsidRPr="006202E5" w:rsidRDefault="007B3B40" w:rsidP="007B3B4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Valsts budžeta bāzes izdevumu aprēķinu veikšanā turpmāk par pamatu tiks izmantots vidējā termiņa budžeta ietvarā noteiktais izdevumu apjoms katrai ministrijai, kas var tikt palielināts tikai atsevišķos LBFV noteiktajos gadījumos. Tādā veidā budžeta bāzes izdevumu apjoma noteikšanā tiks ievērota sasaiste jeb pēctecība starp spēkā esošo un nākamo izstrādājamo </w:t>
      </w:r>
      <w:r>
        <w:rPr>
          <w:rFonts w:ascii="Times New Roman" w:hAnsi="Times New Roman"/>
          <w:sz w:val="24"/>
          <w:szCs w:val="24"/>
        </w:rPr>
        <w:t>I</w:t>
      </w:r>
      <w:r w:rsidRPr="006202E5">
        <w:rPr>
          <w:rFonts w:ascii="Times New Roman" w:hAnsi="Times New Roman"/>
          <w:sz w:val="24"/>
          <w:szCs w:val="24"/>
        </w:rPr>
        <w:t>etvar</w:t>
      </w:r>
      <w:r>
        <w:rPr>
          <w:rFonts w:ascii="Times New Roman" w:hAnsi="Times New Roman"/>
          <w:sz w:val="24"/>
          <w:szCs w:val="24"/>
        </w:rPr>
        <w:t>a likumu. Savukārt</w:t>
      </w:r>
      <w:r w:rsidRPr="006202E5">
        <w:rPr>
          <w:rFonts w:ascii="Times New Roman" w:hAnsi="Times New Roman"/>
          <w:sz w:val="24"/>
          <w:szCs w:val="24"/>
        </w:rPr>
        <w:t xml:space="preserve"> priekšlikumus jaunajām politikas iniciatīvām ir paredzēts vērtēt pēc vairākiem politikas atbilstības kritērijiem, un kā būtiskākais vērtēšanas kritērijs ir paredzēta jaunās politikas iniciatīvas atbilstība NAP, tādā veidā sekmējot valsts budžeta plānošanas un attīstības plānošanas procesu saskaņotību. </w:t>
      </w:r>
    </w:p>
    <w:p w:rsidR="007B3B40" w:rsidRDefault="007B3B40" w:rsidP="007B3B40">
      <w:pPr>
        <w:pStyle w:val="Heading2"/>
        <w:spacing w:before="0"/>
      </w:pPr>
    </w:p>
    <w:p w:rsidR="007B3B40" w:rsidRPr="003C49ED" w:rsidRDefault="007B3B40" w:rsidP="007B3B40">
      <w:pPr>
        <w:pStyle w:val="Heading2"/>
        <w:spacing w:before="0"/>
      </w:pPr>
      <w:bookmarkStart w:id="54" w:name="_Toc348948348"/>
      <w:r w:rsidRPr="003C49ED">
        <w:t>3. Pasākumi, lai sagatavotos eiro ieviešanai</w:t>
      </w:r>
      <w:bookmarkEnd w:id="52"/>
      <w:bookmarkEnd w:id="54"/>
      <w:r w:rsidRPr="003C49ED">
        <w:t xml:space="preserve"> </w:t>
      </w:r>
    </w:p>
    <w:p w:rsidR="007B3B40" w:rsidRPr="006202E5" w:rsidRDefault="007B3B40" w:rsidP="007B3B40">
      <w:pPr>
        <w:spacing w:after="0" w:line="240" w:lineRule="auto"/>
        <w:jc w:val="both"/>
        <w:rPr>
          <w:rFonts w:ascii="Times New Roman" w:hAnsi="Times New Roman"/>
          <w:sz w:val="24"/>
          <w:szCs w:val="24"/>
        </w:rPr>
      </w:pP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2012.gadā tika īstenot</w:t>
      </w:r>
      <w:r>
        <w:rPr>
          <w:rFonts w:ascii="Times New Roman" w:hAnsi="Times New Roman"/>
          <w:sz w:val="24"/>
          <w:szCs w:val="24"/>
        </w:rPr>
        <w:t>as</w:t>
      </w:r>
      <w:r w:rsidRPr="006202E5">
        <w:rPr>
          <w:rFonts w:ascii="Times New Roman" w:hAnsi="Times New Roman"/>
          <w:sz w:val="24"/>
          <w:szCs w:val="24"/>
        </w:rPr>
        <w:t xml:space="preserve"> Pasākumu plān</w:t>
      </w:r>
      <w:r>
        <w:rPr>
          <w:rFonts w:ascii="Times New Roman" w:hAnsi="Times New Roman"/>
          <w:sz w:val="24"/>
          <w:szCs w:val="24"/>
        </w:rPr>
        <w:t>ā</w:t>
      </w:r>
      <w:r w:rsidRPr="006202E5">
        <w:rPr>
          <w:rFonts w:ascii="Times New Roman" w:hAnsi="Times New Roman"/>
          <w:sz w:val="24"/>
          <w:szCs w:val="24"/>
        </w:rPr>
        <w:t xml:space="preserve"> Eiropas vienotās valūtas ieviešanai Latvijā noteiktās aktivitātes, kas bija ieplānotas 2012.gada periodam.</w:t>
      </w:r>
    </w:p>
    <w:p w:rsidR="007B3B40" w:rsidRPr="006202E5" w:rsidRDefault="007B3B40" w:rsidP="007B3B40">
      <w:pPr>
        <w:spacing w:after="0" w:line="240" w:lineRule="auto"/>
        <w:ind w:firstLine="720"/>
        <w:jc w:val="both"/>
        <w:rPr>
          <w:rFonts w:ascii="Times New Roman" w:eastAsia="Calibri" w:hAnsi="Times New Roman"/>
          <w:sz w:val="24"/>
          <w:szCs w:val="24"/>
        </w:rPr>
      </w:pPr>
      <w:r w:rsidRPr="006202E5">
        <w:rPr>
          <w:rFonts w:ascii="Times New Roman" w:eastAsia="Calibri" w:hAnsi="Times New Roman"/>
          <w:sz w:val="24"/>
          <w:szCs w:val="24"/>
        </w:rPr>
        <w:t>Eiro ieviešanas jautājumā svarīgākie pasākumi bija saistīti ar normatīvo aktu pielāgošan</w:t>
      </w:r>
      <w:r>
        <w:rPr>
          <w:rFonts w:ascii="Times New Roman" w:eastAsia="Calibri" w:hAnsi="Times New Roman"/>
          <w:sz w:val="24"/>
          <w:szCs w:val="24"/>
        </w:rPr>
        <w:t>u</w:t>
      </w:r>
      <w:r w:rsidRPr="006202E5">
        <w:rPr>
          <w:rFonts w:ascii="Times New Roman" w:eastAsia="Calibri" w:hAnsi="Times New Roman"/>
          <w:sz w:val="24"/>
          <w:szCs w:val="24"/>
        </w:rPr>
        <w:t xml:space="preserve">. MK apstiprināta Koncepcija normatīvo aktu sakārtošanai eiro ieviešanai </w:t>
      </w:r>
      <w:r w:rsidRPr="006202E5">
        <w:rPr>
          <w:rFonts w:ascii="Times New Roman" w:eastAsia="Calibri" w:hAnsi="Times New Roman"/>
          <w:sz w:val="24"/>
          <w:szCs w:val="24"/>
        </w:rPr>
        <w:lastRenderedPageBreak/>
        <w:t>Latvijā, kas noteica principus, pēc kādiem Latvijā tiks sakārtoti normatīvie akti un pašvaldību saistošie noteikumi.</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2012.gadā notika virkne ar eiro ieviešanu saistīto papildu komunikācijas aktivitāšu pašvaldībās, </w:t>
      </w:r>
      <w:r>
        <w:rPr>
          <w:rFonts w:ascii="Times New Roman" w:hAnsi="Times New Roman"/>
          <w:sz w:val="24"/>
          <w:szCs w:val="24"/>
        </w:rPr>
        <w:t xml:space="preserve">kā </w:t>
      </w:r>
      <w:r w:rsidRPr="006202E5">
        <w:rPr>
          <w:rFonts w:ascii="Times New Roman" w:hAnsi="Times New Roman"/>
          <w:sz w:val="24"/>
          <w:szCs w:val="24"/>
        </w:rPr>
        <w:t>arī sadarbībā ar profesionālajām asociācijām. 2012</w:t>
      </w:r>
      <w:r>
        <w:rPr>
          <w:rFonts w:ascii="Times New Roman" w:hAnsi="Times New Roman"/>
          <w:sz w:val="24"/>
          <w:szCs w:val="24"/>
        </w:rPr>
        <w:t>. </w:t>
      </w:r>
      <w:r w:rsidRPr="006202E5">
        <w:rPr>
          <w:rFonts w:ascii="Times New Roman" w:hAnsi="Times New Roman"/>
          <w:sz w:val="24"/>
          <w:szCs w:val="24"/>
        </w:rPr>
        <w:t xml:space="preserve">gada 10.jūlijā Finanšu ministrs parakstīja Partnerības līgumu ar Eiropas Komisiju par </w:t>
      </w:r>
      <w:r w:rsidRPr="006202E5">
        <w:rPr>
          <w:rFonts w:ascii="Times New Roman" w:hAnsi="Times New Roman"/>
          <w:i/>
          <w:sz w:val="24"/>
          <w:szCs w:val="24"/>
        </w:rPr>
        <w:t>euro</w:t>
      </w:r>
      <w:r w:rsidRPr="006202E5">
        <w:rPr>
          <w:rFonts w:ascii="Times New Roman" w:hAnsi="Times New Roman"/>
          <w:sz w:val="24"/>
          <w:szCs w:val="24"/>
        </w:rPr>
        <w:t xml:space="preserve"> ieviešanas informācijas un komunikācijas kampaņu organizēšanu. 2012.gada nogalē tika atjaunota Eiro ieviešanas komunikācijas stratēģija Latvijā, pārceļot aktīvās komunikācijas kampaņ</w:t>
      </w:r>
      <w:r>
        <w:rPr>
          <w:rFonts w:ascii="Times New Roman" w:hAnsi="Times New Roman"/>
          <w:sz w:val="24"/>
          <w:szCs w:val="24"/>
        </w:rPr>
        <w:t>u</w:t>
      </w:r>
      <w:r w:rsidRPr="006202E5">
        <w:rPr>
          <w:rFonts w:ascii="Times New Roman" w:hAnsi="Times New Roman"/>
          <w:sz w:val="24"/>
          <w:szCs w:val="24"/>
        </w:rPr>
        <w:t xml:space="preserve"> par praktiskajiem eiro ieviešanas jautājumiem uz 2013.gada maiju.</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2012.gadā Valsts kase ir uzsākusi Valsts kases informācijas sistēmu pielāgošanu eiro</w:t>
      </w:r>
      <w:r w:rsidRPr="006657E8">
        <w:rPr>
          <w:rFonts w:ascii="Times New Roman" w:hAnsi="Times New Roman"/>
          <w:sz w:val="24"/>
          <w:szCs w:val="24"/>
        </w:rPr>
        <w:t xml:space="preserve"> </w:t>
      </w:r>
      <w:r w:rsidRPr="006202E5">
        <w:rPr>
          <w:rFonts w:ascii="Times New Roman" w:hAnsi="Times New Roman"/>
          <w:sz w:val="24"/>
          <w:szCs w:val="24"/>
        </w:rPr>
        <w:t>ieviešanai, ir apzinātas VID informācijas sistēm</w:t>
      </w:r>
      <w:r>
        <w:rPr>
          <w:rFonts w:ascii="Times New Roman" w:hAnsi="Times New Roman"/>
          <w:sz w:val="24"/>
          <w:szCs w:val="24"/>
        </w:rPr>
        <w:t>u</w:t>
      </w:r>
      <w:r w:rsidRPr="006202E5">
        <w:rPr>
          <w:rFonts w:ascii="Times New Roman" w:hAnsi="Times New Roman"/>
          <w:sz w:val="24"/>
          <w:szCs w:val="24"/>
        </w:rPr>
        <w:t xml:space="preserve"> pielāgošanas darbu izmaksas – pavisam eiro VID jāpielāgo 17 informācijas sistēmas par kopējo summu 1 683 000 latu. </w:t>
      </w:r>
    </w:p>
    <w:p w:rsidR="007B3B40" w:rsidRPr="006202E5" w:rsidRDefault="007B3B40" w:rsidP="007B3B40">
      <w:pPr>
        <w:spacing w:after="0" w:line="240" w:lineRule="auto"/>
        <w:ind w:firstLine="720"/>
        <w:jc w:val="both"/>
        <w:rPr>
          <w:rFonts w:ascii="Times New Roman" w:hAnsi="Times New Roman"/>
          <w:sz w:val="24"/>
          <w:szCs w:val="24"/>
        </w:rPr>
      </w:pPr>
      <w:r>
        <w:rPr>
          <w:rFonts w:ascii="Times New Roman" w:hAnsi="Times New Roman"/>
          <w:sz w:val="24"/>
          <w:szCs w:val="24"/>
        </w:rPr>
        <w:t>Lai</w:t>
      </w:r>
      <w:r w:rsidRPr="006202E5">
        <w:rPr>
          <w:rFonts w:ascii="Times New Roman" w:hAnsi="Times New Roman"/>
          <w:sz w:val="24"/>
          <w:szCs w:val="24"/>
        </w:rPr>
        <w:t xml:space="preserve"> nepieļaut</w:t>
      </w:r>
      <w:r>
        <w:rPr>
          <w:rFonts w:ascii="Times New Roman" w:hAnsi="Times New Roman"/>
          <w:sz w:val="24"/>
          <w:szCs w:val="24"/>
        </w:rPr>
        <w:t>u</w:t>
      </w:r>
      <w:r w:rsidRPr="006202E5">
        <w:rPr>
          <w:rFonts w:ascii="Times New Roman" w:hAnsi="Times New Roman"/>
          <w:sz w:val="24"/>
          <w:szCs w:val="24"/>
        </w:rPr>
        <w:t xml:space="preserve"> iespējamos patērētāju tiesību pārkāpumus un mazināt</w:t>
      </w:r>
      <w:r>
        <w:rPr>
          <w:rFonts w:ascii="Times New Roman" w:hAnsi="Times New Roman"/>
          <w:sz w:val="24"/>
          <w:szCs w:val="24"/>
        </w:rPr>
        <w:t>u</w:t>
      </w:r>
      <w:r w:rsidRPr="006202E5">
        <w:rPr>
          <w:rFonts w:ascii="Times New Roman" w:hAnsi="Times New Roman"/>
          <w:sz w:val="24"/>
          <w:szCs w:val="24"/>
        </w:rPr>
        <w:t xml:space="preserve"> preču un pakalpojumu cenu spekulatīvu kāpumu, 2012.gadā notika aktīvs darbs pie normatīvo aktu izstrādes un pilnveidošanas saistībā ar pareizu cenu norādīšanu paralēlās atspoguļošanas periodā un pielāgošanu eiro.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2013.gadā plānots turpināt strādāt pie normatīvo aktu pielāgošanas un pilnveidošanas atbilstoši </w:t>
      </w:r>
      <w:r w:rsidRPr="006202E5">
        <w:rPr>
          <w:rFonts w:ascii="Times New Roman" w:hAnsi="Times New Roman"/>
          <w:i/>
          <w:sz w:val="24"/>
          <w:szCs w:val="24"/>
        </w:rPr>
        <w:t>Euro</w:t>
      </w:r>
      <w:r w:rsidRPr="006202E5">
        <w:rPr>
          <w:rFonts w:ascii="Times New Roman" w:hAnsi="Times New Roman"/>
          <w:sz w:val="24"/>
          <w:szCs w:val="24"/>
        </w:rPr>
        <w:t xml:space="preserve"> ieviešanas likuma prasībām. </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Patēriņa cenu monitorings ir viens no Eiro plānā iekļautajiem pasākumiem, kura galvenais mērķis ir novērot cenu svārstības pirms </w:t>
      </w:r>
      <w:r w:rsidRPr="006202E5">
        <w:rPr>
          <w:rFonts w:ascii="Times New Roman" w:hAnsi="Times New Roman"/>
          <w:i/>
          <w:iCs/>
          <w:sz w:val="24"/>
          <w:szCs w:val="24"/>
        </w:rPr>
        <w:t>euro</w:t>
      </w:r>
      <w:r w:rsidRPr="006202E5">
        <w:rPr>
          <w:rFonts w:ascii="Times New Roman" w:hAnsi="Times New Roman"/>
          <w:sz w:val="24"/>
          <w:szCs w:val="24"/>
        </w:rPr>
        <w:t xml:space="preserve"> ieviešanas un tās laikā, lai identificētu nepamatotu un spekulatīvu cenu kāpumu tirdzniecības un pakalpojumu sniegšanas vietās. Līdz 2013.gada 30.septembrim cenu monitoringu plānots veikt reizi mēnesī Rīgā, Daugavpilī, Rēzeknē, Jelgavā, Valmierā, Liepājā un Ventspilī, paredzot monitorēt un fiksēt aptuveni 120 preču un pakalpojumu cenas dažādās tirdzniecības un pakalpojumu sniegšanas vietās. No 2013.gada 1.oktobra līdz 31.decembrim cenas tiks novērotas četras reizes mēnesī. </w:t>
      </w:r>
    </w:p>
    <w:p w:rsidR="007B3B40"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nodrošinātu informēšanas pasākumus, kas orientēti uz uzņēmēju mērķauditoriju, aicinot komersantus veikt pareizu cenu pārrēķinu, tiks īstenota kampaņa </w:t>
      </w:r>
      <w:r w:rsidR="00B167ED">
        <w:rPr>
          <w:rFonts w:ascii="Times New Roman" w:hAnsi="Times New Roman"/>
          <w:sz w:val="24"/>
          <w:szCs w:val="24"/>
        </w:rPr>
        <w:t>"</w:t>
      </w:r>
      <w:r w:rsidRPr="006202E5">
        <w:rPr>
          <w:rFonts w:ascii="Times New Roman" w:hAnsi="Times New Roman"/>
          <w:sz w:val="24"/>
          <w:szCs w:val="24"/>
        </w:rPr>
        <w:t>Godīgs eiro ieviesējs</w:t>
      </w:r>
      <w:r w:rsidR="00B167ED">
        <w:rPr>
          <w:rFonts w:ascii="Times New Roman" w:hAnsi="Times New Roman"/>
          <w:sz w:val="24"/>
          <w:szCs w:val="24"/>
        </w:rPr>
        <w:t>"</w:t>
      </w:r>
      <w:r w:rsidRPr="006202E5">
        <w:rPr>
          <w:rFonts w:ascii="Times New Roman" w:hAnsi="Times New Roman"/>
          <w:sz w:val="24"/>
          <w:szCs w:val="24"/>
        </w:rPr>
        <w:t xml:space="preserve">. Kampaņu plānots uzsākt 2013.gada jūlijā, uzreiz pēc Eiropas Centrālās Bankas noteiktā eiro valūtas kursa paziņošanas, bet intensīvi gatavošanās darbi šīs kampaņas īstenošanā plānoti jau 2013.gada februārī un martā. 2013.gada otrajā pusē tiks organizēti profesionālie mācību semināri nevalstiskajām organizācijām un nefinanšu sabiedrībām par eiro ieviešanas procesu, kuros skaidros pareizu cenu aprēķinu un to atspoguļošanu. </w:t>
      </w:r>
    </w:p>
    <w:p w:rsidR="007B3B40" w:rsidRPr="006202E5" w:rsidRDefault="007B3B40" w:rsidP="007B3B40">
      <w:pPr>
        <w:pStyle w:val="Heading2"/>
      </w:pPr>
      <w:bookmarkStart w:id="55" w:name="_Toc348089287"/>
      <w:bookmarkStart w:id="56" w:name="_Toc348948349"/>
      <w:r w:rsidRPr="006202E5">
        <w:t xml:space="preserve">4. ES </w:t>
      </w:r>
      <w:r w:rsidRPr="003C49ED">
        <w:t>fondu</w:t>
      </w:r>
      <w:r w:rsidRPr="006202E5">
        <w:t xml:space="preserve"> ieviešanas statuss</w:t>
      </w:r>
      <w:bookmarkEnd w:id="55"/>
      <w:bookmarkEnd w:id="56"/>
    </w:p>
    <w:p w:rsidR="007B3B40" w:rsidRPr="006202E5" w:rsidRDefault="007B3B40" w:rsidP="007B3B40">
      <w:pPr>
        <w:spacing w:after="0" w:line="240" w:lineRule="auto"/>
        <w:ind w:firstLine="720"/>
        <w:jc w:val="both"/>
        <w:rPr>
          <w:rFonts w:ascii="Times New Roman" w:hAnsi="Times New Roman"/>
          <w:sz w:val="24"/>
          <w:szCs w:val="24"/>
        </w:rPr>
      </w:pP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2012.gadā aktīvi turpinājās Eiropas Savienības fondu ieviešana Latvijā – gada laikā noslēgts 951 līgums par projektu īstenošanu, un finansējuma saņēmējiem izmaksāti 422,2 milj. </w:t>
      </w:r>
      <w:r>
        <w:rPr>
          <w:rFonts w:ascii="Times New Roman" w:hAnsi="Times New Roman"/>
          <w:sz w:val="24"/>
          <w:szCs w:val="24"/>
        </w:rPr>
        <w:t>latu</w:t>
      </w:r>
      <w:r w:rsidRPr="006202E5">
        <w:rPr>
          <w:rFonts w:ascii="Times New Roman" w:hAnsi="Times New Roman"/>
          <w:sz w:val="24"/>
          <w:szCs w:val="24"/>
        </w:rPr>
        <w:t>, tādējādi izpildot noteikto nacionālo mērķi maksājumiem par 76,8</w:t>
      </w:r>
      <w:r>
        <w:rPr>
          <w:rFonts w:ascii="Times New Roman" w:hAnsi="Times New Roman"/>
          <w:sz w:val="24"/>
          <w:szCs w:val="24"/>
        </w:rPr>
        <w:t> %</w:t>
      </w:r>
      <w:r w:rsidRPr="006202E5">
        <w:rPr>
          <w:rFonts w:ascii="Times New Roman" w:hAnsi="Times New Roman"/>
          <w:sz w:val="24"/>
          <w:szCs w:val="24"/>
        </w:rPr>
        <w:t>. Vislabāk ir veicies ar Eiropas Sociālā fonda projektu ieviešanu, savukārt apguves lielākās problēmas bija vērojamas Kohēzijas fonda ietvaros.</w:t>
      </w:r>
      <w:r w:rsidRPr="006202E5">
        <w:rPr>
          <w:rFonts w:ascii="Times New Roman" w:hAnsi="Times New Roman"/>
          <w:color w:val="1F497D"/>
          <w:sz w:val="24"/>
          <w:szCs w:val="24"/>
        </w:rPr>
        <w:t xml:space="preserve"> </w:t>
      </w:r>
      <w:r w:rsidRPr="006202E5">
        <w:rPr>
          <w:rFonts w:ascii="Times New Roman" w:hAnsi="Times New Roman"/>
          <w:sz w:val="24"/>
          <w:szCs w:val="24"/>
        </w:rPr>
        <w:t xml:space="preserve">Lai nodrošinātu pilnīgu ES fondu apguvi, valdība 2012.gadā apstiprinājusi valsts budžeta virssaistības 298,6 milj. </w:t>
      </w:r>
      <w:r>
        <w:rPr>
          <w:rFonts w:ascii="Times New Roman" w:hAnsi="Times New Roman"/>
          <w:sz w:val="24"/>
          <w:szCs w:val="24"/>
        </w:rPr>
        <w:t>latu</w:t>
      </w:r>
      <w:r w:rsidRPr="006202E5">
        <w:rPr>
          <w:rFonts w:ascii="Times New Roman" w:hAnsi="Times New Roman"/>
          <w:sz w:val="24"/>
          <w:szCs w:val="24"/>
        </w:rPr>
        <w:t xml:space="preserve"> apmērā. Uzņemto virssaistību mērķis ir nodrošināt 100</w:t>
      </w:r>
      <w:r>
        <w:rPr>
          <w:rFonts w:ascii="Times New Roman" w:hAnsi="Times New Roman"/>
          <w:sz w:val="24"/>
          <w:szCs w:val="24"/>
        </w:rPr>
        <w:t> %</w:t>
      </w:r>
      <w:r w:rsidRPr="006202E5">
        <w:rPr>
          <w:rFonts w:ascii="Times New Roman" w:hAnsi="Times New Roman"/>
          <w:sz w:val="24"/>
          <w:szCs w:val="24"/>
        </w:rPr>
        <w:t xml:space="preserve"> ES fondu apguvi, kompensējot neatbilstības un lauztos līgumus, vienlaikus neatstājot negatīvu ietekmi uz valsts budžeta deficītu.</w:t>
      </w:r>
    </w:p>
    <w:p w:rsidR="007B3B40" w:rsidRPr="006202E5" w:rsidRDefault="007B3B40" w:rsidP="007B3B40">
      <w:pPr>
        <w:spacing w:after="0" w:line="240" w:lineRule="auto"/>
        <w:ind w:firstLine="720"/>
        <w:jc w:val="both"/>
        <w:rPr>
          <w:rFonts w:ascii="Times New Roman" w:hAnsi="Times New Roman"/>
          <w:sz w:val="24"/>
          <w:szCs w:val="24"/>
        </w:rPr>
      </w:pPr>
      <w:r w:rsidRPr="006202E5">
        <w:rPr>
          <w:rFonts w:ascii="Times New Roman" w:hAnsi="Times New Roman"/>
          <w:sz w:val="24"/>
          <w:szCs w:val="24"/>
        </w:rPr>
        <w:lastRenderedPageBreak/>
        <w:t xml:space="preserve">Kopumā apstiprināti projekti par </w:t>
      </w:r>
      <w:r w:rsidRPr="006202E5">
        <w:rPr>
          <w:rFonts w:ascii="Times New Roman" w:hAnsi="Times New Roman"/>
          <w:bCs/>
          <w:sz w:val="24"/>
          <w:szCs w:val="24"/>
        </w:rPr>
        <w:t xml:space="preserve">3 036,4 </w:t>
      </w:r>
      <w:r w:rsidRPr="006202E5">
        <w:rPr>
          <w:rFonts w:ascii="Times New Roman" w:hAnsi="Times New Roman"/>
          <w:sz w:val="24"/>
          <w:szCs w:val="24"/>
        </w:rPr>
        <w:t xml:space="preserve">milj. </w:t>
      </w:r>
      <w:r>
        <w:rPr>
          <w:rFonts w:ascii="Times New Roman" w:hAnsi="Times New Roman"/>
          <w:sz w:val="24"/>
          <w:szCs w:val="24"/>
        </w:rPr>
        <w:t>latu</w:t>
      </w:r>
      <w:r w:rsidRPr="006202E5">
        <w:rPr>
          <w:rFonts w:ascii="Times New Roman" w:hAnsi="Times New Roman"/>
          <w:sz w:val="24"/>
          <w:szCs w:val="24"/>
        </w:rPr>
        <w:t xml:space="preserve"> jeb par 95,4</w:t>
      </w:r>
      <w:r>
        <w:rPr>
          <w:rFonts w:ascii="Times New Roman" w:hAnsi="Times New Roman"/>
          <w:sz w:val="24"/>
          <w:szCs w:val="24"/>
        </w:rPr>
        <w:t> %</w:t>
      </w:r>
      <w:r w:rsidRPr="006202E5">
        <w:rPr>
          <w:rFonts w:ascii="Times New Roman" w:hAnsi="Times New Roman"/>
          <w:sz w:val="24"/>
          <w:szCs w:val="24"/>
        </w:rPr>
        <w:t xml:space="preserve"> un noslēgti līgumi par 2 989,5 milj. </w:t>
      </w:r>
      <w:r>
        <w:rPr>
          <w:rFonts w:ascii="Times New Roman" w:hAnsi="Times New Roman"/>
          <w:sz w:val="24"/>
          <w:szCs w:val="24"/>
        </w:rPr>
        <w:t>latu</w:t>
      </w:r>
      <w:r w:rsidRPr="006202E5">
        <w:rPr>
          <w:rFonts w:ascii="Times New Roman" w:hAnsi="Times New Roman"/>
          <w:sz w:val="24"/>
          <w:szCs w:val="24"/>
        </w:rPr>
        <w:t xml:space="preserve"> jeb 93,9</w:t>
      </w:r>
      <w:r>
        <w:rPr>
          <w:rFonts w:ascii="Times New Roman" w:hAnsi="Times New Roman"/>
          <w:sz w:val="24"/>
          <w:szCs w:val="24"/>
        </w:rPr>
        <w:t> %</w:t>
      </w:r>
      <w:r w:rsidRPr="006202E5">
        <w:rPr>
          <w:rFonts w:ascii="Times New Roman" w:hAnsi="Times New Roman"/>
          <w:sz w:val="24"/>
          <w:szCs w:val="24"/>
        </w:rPr>
        <w:t xml:space="preserve"> no ES fondu finansējuma. Finansējuma saņēmējiem veikti maksājumi 1 788,1 milj. </w:t>
      </w:r>
      <w:r>
        <w:rPr>
          <w:rFonts w:ascii="Times New Roman" w:hAnsi="Times New Roman"/>
          <w:sz w:val="24"/>
          <w:szCs w:val="24"/>
        </w:rPr>
        <w:t>latu</w:t>
      </w:r>
      <w:r w:rsidRPr="006202E5">
        <w:rPr>
          <w:rFonts w:ascii="Times New Roman" w:hAnsi="Times New Roman"/>
          <w:sz w:val="24"/>
          <w:szCs w:val="24"/>
        </w:rPr>
        <w:t xml:space="preserve"> apmērā jeb par 56,2</w:t>
      </w:r>
      <w:r>
        <w:rPr>
          <w:rFonts w:ascii="Times New Roman" w:hAnsi="Times New Roman"/>
          <w:sz w:val="24"/>
          <w:szCs w:val="24"/>
        </w:rPr>
        <w:t> %</w:t>
      </w:r>
      <w:r w:rsidRPr="006202E5">
        <w:rPr>
          <w:rFonts w:ascii="Times New Roman" w:hAnsi="Times New Roman"/>
          <w:sz w:val="24"/>
          <w:szCs w:val="24"/>
        </w:rPr>
        <w:t xml:space="preserve"> no ES fondu finansējuma.</w:t>
      </w:r>
    </w:p>
    <w:p w:rsidR="00871110" w:rsidRPr="006202E5" w:rsidRDefault="007B3B40" w:rsidP="007B3B40">
      <w:pPr>
        <w:spacing w:after="0" w:line="240" w:lineRule="auto"/>
        <w:ind w:firstLine="720"/>
        <w:jc w:val="both"/>
        <w:rPr>
          <w:rFonts w:ascii="Times New Roman" w:hAnsi="Times New Roman"/>
          <w:sz w:val="24"/>
          <w:szCs w:val="24"/>
          <w:highlight w:val="yellow"/>
        </w:rPr>
      </w:pPr>
      <w:r w:rsidRPr="006202E5">
        <w:rPr>
          <w:rFonts w:ascii="Times New Roman" w:hAnsi="Times New Roman"/>
          <w:sz w:val="24"/>
          <w:szCs w:val="24"/>
        </w:rPr>
        <w:t xml:space="preserve">No EK līdz 2012.gada decembra beigām saņemti avansa un starpposma maksājumi kopumā 1 662,0 milj. </w:t>
      </w:r>
      <w:r>
        <w:rPr>
          <w:rFonts w:ascii="Times New Roman" w:hAnsi="Times New Roman"/>
          <w:sz w:val="24"/>
          <w:szCs w:val="24"/>
        </w:rPr>
        <w:t>latu</w:t>
      </w:r>
      <w:r w:rsidRPr="006202E5">
        <w:rPr>
          <w:rFonts w:ascii="Times New Roman" w:hAnsi="Times New Roman"/>
          <w:sz w:val="24"/>
          <w:szCs w:val="24"/>
        </w:rPr>
        <w:t xml:space="preserve"> apmērā jeb par 52,2</w:t>
      </w:r>
      <w:r>
        <w:rPr>
          <w:rFonts w:ascii="Times New Roman" w:hAnsi="Times New Roman"/>
          <w:sz w:val="24"/>
          <w:szCs w:val="24"/>
        </w:rPr>
        <w:t> %</w:t>
      </w:r>
      <w:r w:rsidRPr="006202E5">
        <w:rPr>
          <w:rFonts w:ascii="Times New Roman" w:hAnsi="Times New Roman"/>
          <w:sz w:val="24"/>
          <w:szCs w:val="24"/>
        </w:rPr>
        <w:t xml:space="preserve"> no Latvijai pieejamā ES fondu finansējuma.</w:t>
      </w:r>
    </w:p>
    <w:p w:rsidR="00871110" w:rsidRPr="006202E5" w:rsidRDefault="00871110" w:rsidP="00871110">
      <w:pPr>
        <w:spacing w:after="0" w:line="240" w:lineRule="auto"/>
        <w:ind w:firstLine="720"/>
        <w:jc w:val="both"/>
        <w:rPr>
          <w:rFonts w:ascii="Times New Roman" w:hAnsi="Times New Roman"/>
          <w:sz w:val="24"/>
          <w:szCs w:val="24"/>
          <w:highlight w:val="yellow"/>
        </w:rPr>
      </w:pPr>
    </w:p>
    <w:p w:rsidR="00871110" w:rsidRPr="006202E5" w:rsidRDefault="00871110" w:rsidP="00871110">
      <w:pPr>
        <w:spacing w:after="0" w:line="240" w:lineRule="auto"/>
        <w:ind w:firstLine="720"/>
        <w:jc w:val="center"/>
        <w:rPr>
          <w:rFonts w:ascii="Times New Roman" w:hAnsi="Times New Roman"/>
          <w:b/>
          <w:i/>
          <w:sz w:val="24"/>
          <w:szCs w:val="24"/>
        </w:rPr>
      </w:pPr>
      <w:r w:rsidRPr="006202E5">
        <w:rPr>
          <w:rFonts w:ascii="Times New Roman" w:hAnsi="Times New Roman"/>
          <w:i/>
          <w:sz w:val="24"/>
          <w:szCs w:val="24"/>
          <w:lang w:eastAsia="en-US"/>
        </w:rPr>
        <w:t>9. attēls.</w:t>
      </w:r>
      <w:r w:rsidRPr="006202E5">
        <w:rPr>
          <w:rFonts w:ascii="Times New Roman" w:hAnsi="Times New Roman"/>
          <w:b/>
          <w:i/>
          <w:sz w:val="24"/>
          <w:szCs w:val="24"/>
          <w:lang w:eastAsia="en-US"/>
        </w:rPr>
        <w:t xml:space="preserve"> </w:t>
      </w:r>
      <w:r w:rsidRPr="006202E5">
        <w:rPr>
          <w:rFonts w:ascii="Times New Roman" w:hAnsi="Times New Roman"/>
          <w:b/>
          <w:sz w:val="24"/>
          <w:szCs w:val="24"/>
        </w:rPr>
        <w:t>ES fondu apguve līdz 31.12.2012., milj. LVL, % no ES fondu finansējuma</w:t>
      </w:r>
    </w:p>
    <w:p w:rsidR="00871110" w:rsidRPr="00265C58" w:rsidRDefault="00871110" w:rsidP="00871110">
      <w:pPr>
        <w:spacing w:after="0" w:line="240" w:lineRule="auto"/>
        <w:rPr>
          <w:rFonts w:ascii="Times New Roman" w:hAnsi="Times New Roman"/>
          <w:i/>
          <w:sz w:val="16"/>
          <w:szCs w:val="16"/>
        </w:rPr>
      </w:pPr>
      <w:r>
        <w:rPr>
          <w:rFonts w:ascii="Times New Roman" w:hAnsi="Times New Roman"/>
          <w:noProof/>
          <w:sz w:val="24"/>
          <w:szCs w:val="24"/>
        </w:rPr>
        <w:drawing>
          <wp:inline distT="0" distB="0" distL="0" distR="0" wp14:anchorId="15DF24E4" wp14:editId="2C970DCE">
            <wp:extent cx="5687055" cy="3891902"/>
            <wp:effectExtent l="6098" t="6102" r="8512" b="7246"/>
            <wp:docPr id="26"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265C58">
        <w:rPr>
          <w:rFonts w:ascii="Times New Roman" w:hAnsi="Times New Roman"/>
          <w:i/>
          <w:sz w:val="16"/>
          <w:szCs w:val="16"/>
        </w:rPr>
        <w:t>*Ņemot vērā uzņemto valsts budžeta virssaistību apjomu, ir iespējams noslēgt līgumus par lielāku apjomu nekā pieejamais ES fondu finansējums</w:t>
      </w:r>
    </w:p>
    <w:p w:rsidR="00871110" w:rsidRPr="00265C58" w:rsidRDefault="00871110" w:rsidP="00871110">
      <w:pPr>
        <w:spacing w:after="0" w:line="240" w:lineRule="auto"/>
        <w:rPr>
          <w:rFonts w:ascii="Times New Roman" w:hAnsi="Times New Roman"/>
          <w:sz w:val="20"/>
          <w:szCs w:val="20"/>
          <w:highlight w:val="yellow"/>
        </w:rPr>
      </w:pPr>
      <w:r w:rsidRPr="00265C58">
        <w:rPr>
          <w:rFonts w:ascii="Times New Roman" w:hAnsi="Times New Roman"/>
          <w:i/>
          <w:sz w:val="20"/>
          <w:szCs w:val="20"/>
        </w:rPr>
        <w:t>Avots: ES struktūrfondu un Kohēzijas fonda vadības informācijas sistēma (pārskati veidoti 09.01.2013.)</w:t>
      </w:r>
    </w:p>
    <w:p w:rsidR="00871110" w:rsidRPr="006202E5" w:rsidRDefault="00871110" w:rsidP="00871110">
      <w:pPr>
        <w:spacing w:after="0" w:line="240" w:lineRule="auto"/>
        <w:ind w:firstLine="720"/>
        <w:rPr>
          <w:rFonts w:ascii="Times New Roman" w:hAnsi="Times New Roman"/>
          <w:sz w:val="24"/>
          <w:szCs w:val="24"/>
        </w:rPr>
      </w:pP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Salīdzinot Eiropas Komisijas veiktos maksājumus </w:t>
      </w:r>
      <w:r>
        <w:rPr>
          <w:rFonts w:ascii="Times New Roman" w:hAnsi="Times New Roman"/>
          <w:sz w:val="24"/>
          <w:szCs w:val="24"/>
        </w:rPr>
        <w:t>ES</w:t>
      </w:r>
      <w:r w:rsidRPr="006202E5">
        <w:rPr>
          <w:rFonts w:ascii="Times New Roman" w:hAnsi="Times New Roman"/>
          <w:sz w:val="24"/>
          <w:szCs w:val="24"/>
        </w:rPr>
        <w:t xml:space="preserve"> jaunajām dalībvalstīm, uz 2012.gada beigām Latvija pēc kopējo saņemto maksājumu apjoma ierindojas 4.vietā aiz Polijas, Igaunijas un Lietuvas. Taču ESF ietvaros saņemto maksājumu ziņā uz decembra beigām Latvija ir atguvusi pirmo vietu starp visām ES dalībvalstīm, par 5,8</w:t>
      </w:r>
      <w:r w:rsidR="00111406">
        <w:rPr>
          <w:rFonts w:ascii="Times New Roman" w:hAnsi="Times New Roman"/>
          <w:sz w:val="24"/>
          <w:szCs w:val="24"/>
        </w:rPr>
        <w:t> %</w:t>
      </w:r>
      <w:r w:rsidRPr="006202E5">
        <w:rPr>
          <w:rFonts w:ascii="Times New Roman" w:hAnsi="Times New Roman"/>
          <w:sz w:val="24"/>
          <w:szCs w:val="24"/>
        </w:rPr>
        <w:t xml:space="preserve"> apsteidzot iepriekšējo līderi Igauniju.</w:t>
      </w:r>
    </w:p>
    <w:p w:rsidR="00871110" w:rsidRPr="006202E5" w:rsidRDefault="00871110" w:rsidP="00871110">
      <w:pPr>
        <w:spacing w:after="0" w:line="240" w:lineRule="auto"/>
        <w:ind w:firstLine="720"/>
        <w:jc w:val="both"/>
        <w:rPr>
          <w:rFonts w:ascii="Times New Roman" w:hAnsi="Times New Roman"/>
          <w:b/>
          <w:sz w:val="24"/>
          <w:szCs w:val="24"/>
        </w:rPr>
      </w:pPr>
    </w:p>
    <w:p w:rsidR="00871110" w:rsidRPr="006202E5" w:rsidRDefault="00871110" w:rsidP="00871110">
      <w:pPr>
        <w:spacing w:after="0" w:line="240" w:lineRule="auto"/>
        <w:ind w:firstLine="720"/>
        <w:jc w:val="center"/>
        <w:rPr>
          <w:rFonts w:ascii="Times New Roman" w:hAnsi="Times New Roman"/>
          <w:b/>
          <w:sz w:val="24"/>
          <w:szCs w:val="24"/>
        </w:rPr>
      </w:pPr>
      <w:r w:rsidRPr="006202E5">
        <w:rPr>
          <w:rFonts w:ascii="Times New Roman" w:hAnsi="Times New Roman"/>
          <w:i/>
          <w:sz w:val="24"/>
          <w:szCs w:val="24"/>
          <w:lang w:eastAsia="en-US"/>
        </w:rPr>
        <w:t>10. attēls.</w:t>
      </w:r>
      <w:r w:rsidRPr="006202E5">
        <w:rPr>
          <w:rFonts w:ascii="Times New Roman" w:hAnsi="Times New Roman"/>
          <w:b/>
          <w:i/>
          <w:sz w:val="24"/>
          <w:szCs w:val="24"/>
          <w:lang w:eastAsia="en-US"/>
        </w:rPr>
        <w:t xml:space="preserve"> </w:t>
      </w:r>
      <w:r w:rsidRPr="006202E5">
        <w:rPr>
          <w:rFonts w:ascii="Times New Roman" w:hAnsi="Times New Roman"/>
          <w:b/>
          <w:sz w:val="24"/>
          <w:szCs w:val="24"/>
        </w:rPr>
        <w:t>EK veiktie maksājumi ES dalībvalstīm ESF ietvaros līdz 15.01.2013., % no dalībvalsts piešķīruma</w:t>
      </w:r>
    </w:p>
    <w:p w:rsidR="00871110" w:rsidRDefault="00871110" w:rsidP="00871110">
      <w:pPr>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39F95C8C" wp14:editId="2E602FFE">
            <wp:extent cx="5722245" cy="4475737"/>
            <wp:effectExtent l="6093" t="6094" r="5712" b="3809"/>
            <wp:docPr id="2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71110" w:rsidRPr="00265C58" w:rsidRDefault="00871110" w:rsidP="00871110">
      <w:pPr>
        <w:spacing w:after="0" w:line="240" w:lineRule="auto"/>
        <w:ind w:firstLine="360"/>
        <w:rPr>
          <w:rFonts w:ascii="Times New Roman" w:hAnsi="Times New Roman"/>
          <w:i/>
          <w:sz w:val="20"/>
          <w:szCs w:val="20"/>
        </w:rPr>
      </w:pPr>
      <w:r w:rsidRPr="00265C58">
        <w:rPr>
          <w:rFonts w:ascii="Times New Roman" w:hAnsi="Times New Roman"/>
          <w:i/>
          <w:sz w:val="20"/>
          <w:szCs w:val="20"/>
        </w:rPr>
        <w:t>Avots: EK sniegtā informācija par veiktajiem maksājumiem ES dalībvalstīm 15.01.2013</w:t>
      </w:r>
    </w:p>
    <w:p w:rsidR="00871110" w:rsidRDefault="00871110" w:rsidP="00871110">
      <w:pPr>
        <w:spacing w:after="0" w:line="240" w:lineRule="auto"/>
        <w:ind w:firstLine="360"/>
        <w:jc w:val="both"/>
        <w:rPr>
          <w:rFonts w:ascii="Times New Roman" w:hAnsi="Times New Roman"/>
          <w:sz w:val="24"/>
          <w:szCs w:val="24"/>
        </w:rPr>
      </w:pPr>
    </w:p>
    <w:p w:rsidR="00871110" w:rsidRPr="006202E5" w:rsidRDefault="00871110" w:rsidP="00871110">
      <w:pPr>
        <w:spacing w:after="0" w:line="240" w:lineRule="auto"/>
        <w:ind w:firstLine="360"/>
        <w:jc w:val="both"/>
        <w:rPr>
          <w:rFonts w:ascii="Times New Roman" w:hAnsi="Times New Roman"/>
          <w:sz w:val="24"/>
          <w:szCs w:val="24"/>
        </w:rPr>
      </w:pPr>
      <w:r w:rsidRPr="006202E5">
        <w:rPr>
          <w:rFonts w:ascii="Times New Roman" w:hAnsi="Times New Roman"/>
          <w:sz w:val="24"/>
          <w:szCs w:val="24"/>
        </w:rPr>
        <w:t>Pieejamais ES fondu finansējums ir sniedzis ieguldījumu vairāku jomu attīstībā, par ko liecina sasniegtie uzraudzības rādītāji līdz 2012.gada beigām:</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8 169 personas (270</w:t>
      </w:r>
      <w:r w:rsidR="00111406">
        <w:rPr>
          <w:rFonts w:ascii="Times New Roman" w:hAnsi="Times New Roman"/>
          <w:sz w:val="24"/>
          <w:szCs w:val="24"/>
        </w:rPr>
        <w:t> %</w:t>
      </w:r>
      <w:r w:rsidRPr="006202E5">
        <w:rPr>
          <w:rFonts w:ascii="Times New Roman" w:hAnsi="Times New Roman"/>
          <w:sz w:val="24"/>
          <w:szCs w:val="24"/>
        </w:rPr>
        <w:t xml:space="preserve"> no plānošanas perioda mērķa) ar funkcionāliem traucējumiem</w:t>
      </w:r>
      <w:r w:rsidR="006D7AB4" w:rsidRPr="006202E5">
        <w:rPr>
          <w:rFonts w:ascii="Times New Roman" w:hAnsi="Times New Roman"/>
          <w:sz w:val="24"/>
          <w:szCs w:val="24"/>
        </w:rPr>
        <w:t xml:space="preserve"> </w:t>
      </w:r>
      <w:r w:rsidRPr="006202E5">
        <w:rPr>
          <w:rFonts w:ascii="Times New Roman" w:hAnsi="Times New Roman"/>
          <w:sz w:val="24"/>
          <w:szCs w:val="24"/>
        </w:rPr>
        <w:t>un 1 597 personas (108</w:t>
      </w:r>
      <w:r w:rsidR="00111406">
        <w:rPr>
          <w:rFonts w:ascii="Times New Roman" w:hAnsi="Times New Roman"/>
          <w:sz w:val="24"/>
          <w:szCs w:val="24"/>
        </w:rPr>
        <w:t> %</w:t>
      </w:r>
      <w:r w:rsidRPr="006202E5">
        <w:rPr>
          <w:rFonts w:ascii="Times New Roman" w:hAnsi="Times New Roman"/>
          <w:sz w:val="24"/>
          <w:szCs w:val="24"/>
        </w:rPr>
        <w:t xml:space="preserve"> no plānošanas perioda mērķa) ar redzes un dzirdes traucējumiem saņēmušas pilnveidotus sociālās rehabilitācijas pakalpojumus; </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100 000 darba vietās veikts darba vides risku novērtējums (100</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pabeigti 123 pētniecības projekti (62</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160 komersanti veiksmīgi īstenojuši projektus, kuru ietvaros ieviesti jauni produkti vai tehnoloģijas (38</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 xml:space="preserve">pabeigti </w:t>
      </w:r>
      <w:r>
        <w:rPr>
          <w:rFonts w:ascii="Times New Roman" w:hAnsi="Times New Roman"/>
          <w:sz w:val="24"/>
          <w:szCs w:val="24"/>
        </w:rPr>
        <w:t>septiņi</w:t>
      </w:r>
      <w:r w:rsidRPr="006202E5">
        <w:rPr>
          <w:rFonts w:ascii="Times New Roman" w:hAnsi="Times New Roman"/>
          <w:sz w:val="24"/>
          <w:szCs w:val="24"/>
        </w:rPr>
        <w:t xml:space="preserve"> augstas pievienotās vērtības projekti (70</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realizēti 984 uz ārējo tirgu apgūšanu vērsti projekti (298</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45</w:t>
      </w:r>
      <w:r w:rsidR="00111406">
        <w:rPr>
          <w:rFonts w:ascii="Times New Roman" w:hAnsi="Times New Roman"/>
          <w:sz w:val="24"/>
          <w:szCs w:val="24"/>
        </w:rPr>
        <w:t> %</w:t>
      </w:r>
      <w:r w:rsidRPr="006202E5">
        <w:rPr>
          <w:rFonts w:ascii="Times New Roman" w:hAnsi="Times New Roman"/>
          <w:sz w:val="24"/>
          <w:szCs w:val="24"/>
        </w:rPr>
        <w:t xml:space="preserve"> no vispārējās vidējās izglītības iestāžu audzēkņiem mācās modernizētos dabaszinātņu kabinetos (45</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atbalstīti 24 veselības aprūpes centri (96</w:t>
      </w:r>
      <w:r w:rsidR="00111406">
        <w:rPr>
          <w:rFonts w:ascii="Times New Roman" w:hAnsi="Times New Roman"/>
          <w:sz w:val="24"/>
          <w:szCs w:val="24"/>
        </w:rPr>
        <w:t> %</w:t>
      </w:r>
      <w:r w:rsidRPr="006202E5">
        <w:rPr>
          <w:rFonts w:ascii="Times New Roman" w:hAnsi="Times New Roman"/>
          <w:sz w:val="24"/>
          <w:szCs w:val="24"/>
        </w:rPr>
        <w:t xml:space="preserve"> </w:t>
      </w:r>
      <w:r w:rsidR="00123282">
        <w:rPr>
          <w:rFonts w:ascii="Times New Roman" w:hAnsi="Times New Roman"/>
          <w:sz w:val="24"/>
          <w:szCs w:val="24"/>
        </w:rPr>
        <w:t xml:space="preserve">no </w:t>
      </w:r>
      <w:r w:rsidRPr="006202E5">
        <w:rPr>
          <w:rFonts w:ascii="Times New Roman" w:hAnsi="Times New Roman"/>
          <w:sz w:val="24"/>
          <w:szCs w:val="24"/>
        </w:rPr>
        <w:t>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lastRenderedPageBreak/>
        <w:t>146 daudzdzīvokļu mājās ieviesti en</w:t>
      </w:r>
      <w:r w:rsidR="00111406">
        <w:rPr>
          <w:rFonts w:ascii="Times New Roman" w:hAnsi="Times New Roman"/>
          <w:sz w:val="24"/>
          <w:szCs w:val="24"/>
        </w:rPr>
        <w:t>ergoefektivitātes pasākumi (122 %</w:t>
      </w:r>
      <w:r w:rsidRPr="006202E5">
        <w:rPr>
          <w:rFonts w:ascii="Times New Roman" w:hAnsi="Times New Roman"/>
          <w:sz w:val="24"/>
          <w:szCs w:val="24"/>
        </w:rPr>
        <w:t xml:space="preserve"> no plānošanas perioda mērķa);</w:t>
      </w:r>
    </w:p>
    <w:p w:rsidR="00871110" w:rsidRPr="006202E5" w:rsidRDefault="00871110" w:rsidP="00871110">
      <w:pPr>
        <w:pStyle w:val="ListParagraph"/>
        <w:numPr>
          <w:ilvl w:val="0"/>
          <w:numId w:val="16"/>
        </w:numPr>
        <w:spacing w:after="0" w:line="240" w:lineRule="auto"/>
        <w:jc w:val="both"/>
        <w:rPr>
          <w:rFonts w:ascii="Times New Roman" w:hAnsi="Times New Roman"/>
          <w:sz w:val="24"/>
          <w:szCs w:val="24"/>
        </w:rPr>
      </w:pPr>
      <w:r w:rsidRPr="006202E5">
        <w:rPr>
          <w:rFonts w:ascii="Times New Roman" w:hAnsi="Times New Roman"/>
          <w:sz w:val="24"/>
          <w:szCs w:val="24"/>
        </w:rPr>
        <w:t>noasfaltēti 1.šķiras un TEN-T ceļi 389,1 km garumā (109</w:t>
      </w:r>
      <w:r w:rsidR="00111406">
        <w:rPr>
          <w:rFonts w:ascii="Times New Roman" w:hAnsi="Times New Roman"/>
          <w:sz w:val="24"/>
          <w:szCs w:val="24"/>
        </w:rPr>
        <w:t> %</w:t>
      </w:r>
      <w:r w:rsidRPr="006202E5">
        <w:rPr>
          <w:rFonts w:ascii="Times New Roman" w:hAnsi="Times New Roman"/>
          <w:sz w:val="24"/>
          <w:szCs w:val="24"/>
        </w:rPr>
        <w:t xml:space="preserve"> no plānošanas perioda mērķa).</w:t>
      </w:r>
    </w:p>
    <w:p w:rsidR="00871110" w:rsidRPr="006202E5" w:rsidRDefault="00871110" w:rsidP="00871110">
      <w:pPr>
        <w:pStyle w:val="PlainText"/>
        <w:rPr>
          <w:rFonts w:ascii="Times New Roman" w:hAnsi="Times New Roman" w:cs="Times New Roman"/>
          <w:sz w:val="24"/>
          <w:szCs w:val="24"/>
        </w:rPr>
      </w:pPr>
    </w:p>
    <w:p w:rsidR="00871110" w:rsidRPr="0095540A" w:rsidRDefault="00871110" w:rsidP="00871110">
      <w:pPr>
        <w:spacing w:after="0" w:line="240" w:lineRule="auto"/>
        <w:ind w:firstLine="720"/>
        <w:jc w:val="both"/>
        <w:rPr>
          <w:rFonts w:ascii="Times New Roman" w:hAnsi="Times New Roman"/>
          <w:color w:val="000000"/>
          <w:sz w:val="24"/>
          <w:szCs w:val="24"/>
        </w:rPr>
      </w:pPr>
      <w:r w:rsidRPr="0095540A">
        <w:rPr>
          <w:rFonts w:ascii="Times New Roman" w:hAnsi="Times New Roman"/>
          <w:color w:val="000000"/>
          <w:sz w:val="24"/>
          <w:szCs w:val="24"/>
        </w:rPr>
        <w:t xml:space="preserve">Dažādu sarežģījumu </w:t>
      </w:r>
      <w:r w:rsidR="00123282" w:rsidRPr="0095540A">
        <w:rPr>
          <w:rFonts w:ascii="Times New Roman" w:hAnsi="Times New Roman"/>
          <w:color w:val="000000"/>
          <w:sz w:val="24"/>
          <w:szCs w:val="24"/>
        </w:rPr>
        <w:t xml:space="preserve">dēļ </w:t>
      </w:r>
      <w:r w:rsidRPr="0095540A">
        <w:rPr>
          <w:rFonts w:ascii="Times New Roman" w:hAnsi="Times New Roman"/>
          <w:color w:val="000000"/>
          <w:sz w:val="24"/>
          <w:szCs w:val="24"/>
        </w:rPr>
        <w:t>projektu ieviešanas gaitā 2012.gadā nacionālo mērķu maksājum</w:t>
      </w:r>
      <w:r w:rsidR="00123282">
        <w:rPr>
          <w:rFonts w:ascii="Times New Roman" w:hAnsi="Times New Roman"/>
          <w:color w:val="000000"/>
          <w:sz w:val="24"/>
          <w:szCs w:val="24"/>
        </w:rPr>
        <w:t>u</w:t>
      </w:r>
      <w:r w:rsidRPr="0095540A">
        <w:rPr>
          <w:rFonts w:ascii="Times New Roman" w:hAnsi="Times New Roman"/>
          <w:color w:val="000000"/>
          <w:sz w:val="24"/>
          <w:szCs w:val="24"/>
        </w:rPr>
        <w:t xml:space="preserve"> </w:t>
      </w:r>
      <w:r w:rsidR="00123282" w:rsidRPr="0095540A">
        <w:rPr>
          <w:rFonts w:ascii="Times New Roman" w:hAnsi="Times New Roman"/>
          <w:color w:val="000000"/>
          <w:sz w:val="24"/>
          <w:szCs w:val="24"/>
        </w:rPr>
        <w:t xml:space="preserve">izpilde </w:t>
      </w:r>
      <w:r w:rsidRPr="0095540A">
        <w:rPr>
          <w:rFonts w:ascii="Times New Roman" w:hAnsi="Times New Roman"/>
          <w:color w:val="000000"/>
          <w:sz w:val="24"/>
          <w:szCs w:val="24"/>
        </w:rPr>
        <w:t>finansējuma saņēmējiem nav bijusi pietiekoši laba (76,9</w:t>
      </w:r>
      <w:r w:rsidR="00111406">
        <w:rPr>
          <w:rFonts w:ascii="Times New Roman" w:hAnsi="Times New Roman"/>
          <w:color w:val="000000"/>
          <w:sz w:val="24"/>
          <w:szCs w:val="24"/>
        </w:rPr>
        <w:t> %</w:t>
      </w:r>
      <w:r w:rsidRPr="0095540A">
        <w:rPr>
          <w:rFonts w:ascii="Times New Roman" w:hAnsi="Times New Roman"/>
          <w:color w:val="000000"/>
          <w:sz w:val="24"/>
          <w:szCs w:val="24"/>
        </w:rPr>
        <w:t xml:space="preserve"> no plānotā). </w:t>
      </w:r>
      <w:r w:rsidR="00123282">
        <w:rPr>
          <w:rFonts w:ascii="Times New Roman" w:hAnsi="Times New Roman"/>
          <w:color w:val="000000"/>
          <w:sz w:val="24"/>
          <w:szCs w:val="24"/>
        </w:rPr>
        <w:t>Budžets netika izpildīts</w:t>
      </w:r>
      <w:r w:rsidRPr="0095540A">
        <w:rPr>
          <w:rFonts w:ascii="Times New Roman" w:hAnsi="Times New Roman"/>
          <w:color w:val="000000"/>
          <w:sz w:val="24"/>
          <w:szCs w:val="24"/>
        </w:rPr>
        <w:t xml:space="preserve"> šādās jomās: lielo ostu infrastruktūras attīstība – Krievu salas osta (8.1 milj. latu), IKT (5.5 milj. latu), IT infrastruktūra zinātniskajai darbībai (3.2 milj. latu), </w:t>
      </w:r>
      <w:r w:rsidRPr="006349F5">
        <w:rPr>
          <w:rFonts w:ascii="Times New Roman" w:hAnsi="Times New Roman"/>
          <w:color w:val="000000"/>
          <w:sz w:val="24"/>
          <w:szCs w:val="24"/>
        </w:rPr>
        <w:t>tehniskā palīdzība</w:t>
      </w:r>
      <w:r w:rsidRPr="005D62A2">
        <w:rPr>
          <w:rFonts w:ascii="Times New Roman" w:hAnsi="Times New Roman"/>
          <w:color w:val="000000"/>
          <w:sz w:val="28"/>
          <w:szCs w:val="28"/>
        </w:rPr>
        <w:t xml:space="preserve"> </w:t>
      </w:r>
      <w:r w:rsidRPr="0095540A">
        <w:rPr>
          <w:rFonts w:ascii="Times New Roman" w:hAnsi="Times New Roman"/>
          <w:color w:val="000000"/>
          <w:sz w:val="24"/>
          <w:szCs w:val="24"/>
        </w:rPr>
        <w:t>(2.1 milj. latu), publiskais transports ārpus Rīgas (2.0 milj. latu), mācību aprīkojums profesionālās izglītības iestādēs (2.0 milj. latu), uzņēmējdarbības atbalst</w:t>
      </w:r>
      <w:r w:rsidR="00123282">
        <w:rPr>
          <w:rFonts w:ascii="Times New Roman" w:hAnsi="Times New Roman"/>
          <w:color w:val="000000"/>
          <w:sz w:val="24"/>
          <w:szCs w:val="24"/>
        </w:rPr>
        <w:t>s</w:t>
      </w:r>
      <w:r w:rsidRPr="0095540A">
        <w:rPr>
          <w:rFonts w:ascii="Times New Roman" w:hAnsi="Times New Roman"/>
          <w:color w:val="000000"/>
          <w:sz w:val="24"/>
          <w:szCs w:val="24"/>
        </w:rPr>
        <w:t xml:space="preserve"> (2.6 milj. latu), tūrism</w:t>
      </w:r>
      <w:r w:rsidR="00123282">
        <w:rPr>
          <w:rFonts w:ascii="Times New Roman" w:hAnsi="Times New Roman"/>
          <w:color w:val="000000"/>
          <w:sz w:val="24"/>
          <w:szCs w:val="24"/>
        </w:rPr>
        <w:t>s</w:t>
      </w:r>
      <w:r w:rsidRPr="0095540A">
        <w:rPr>
          <w:rFonts w:ascii="Times New Roman" w:hAnsi="Times New Roman"/>
          <w:color w:val="000000"/>
          <w:sz w:val="24"/>
          <w:szCs w:val="24"/>
        </w:rPr>
        <w:t xml:space="preserve"> (2 milj.</w:t>
      </w:r>
      <w:r w:rsidR="006D7AB4">
        <w:rPr>
          <w:rFonts w:ascii="Times New Roman" w:hAnsi="Times New Roman"/>
          <w:color w:val="000000"/>
          <w:sz w:val="24"/>
          <w:szCs w:val="24"/>
        </w:rPr>
        <w:t xml:space="preserve"> </w:t>
      </w:r>
      <w:r w:rsidRPr="0095540A">
        <w:rPr>
          <w:rFonts w:ascii="Times New Roman" w:hAnsi="Times New Roman"/>
          <w:color w:val="000000"/>
          <w:sz w:val="24"/>
          <w:szCs w:val="24"/>
        </w:rPr>
        <w:t>latu) enerģētik</w:t>
      </w:r>
      <w:r w:rsidR="00123282">
        <w:rPr>
          <w:rFonts w:ascii="Times New Roman" w:hAnsi="Times New Roman"/>
          <w:color w:val="000000"/>
          <w:sz w:val="24"/>
          <w:szCs w:val="24"/>
        </w:rPr>
        <w:t>a</w:t>
      </w:r>
      <w:r w:rsidRPr="0095540A">
        <w:rPr>
          <w:rFonts w:ascii="Times New Roman" w:hAnsi="Times New Roman"/>
          <w:color w:val="000000"/>
          <w:sz w:val="24"/>
          <w:szCs w:val="24"/>
        </w:rPr>
        <w:t xml:space="preserve"> (1.2 milj. latu). Galvenie kavējumu iemesli: iepirkumi,</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kavējumi darbu izpildē,</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nekvalitatīvi dokumenti,</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nep</w:t>
      </w:r>
      <w:r w:rsidR="00123282">
        <w:rPr>
          <w:rFonts w:ascii="Times New Roman" w:hAnsi="Times New Roman"/>
          <w:color w:val="000000"/>
          <w:sz w:val="24"/>
          <w:szCs w:val="24"/>
        </w:rPr>
        <w:t>recīza plānošana,  padziļinātas</w:t>
      </w:r>
      <w:r w:rsidRPr="0095540A">
        <w:rPr>
          <w:rFonts w:ascii="Times New Roman" w:hAnsi="Times New Roman"/>
          <w:color w:val="000000"/>
          <w:sz w:val="24"/>
          <w:szCs w:val="24"/>
        </w:rPr>
        <w:t xml:space="preserve"> papildu kontroles. Tāpat ES fondu vadībā iesaistīto iestāžu pastiprinātas kontroles pasākumi, īpaši iepirkumu jomā, sākotnēji palēnina apguves tempus, tomēr ar pozitīvu efektu, savlaicīgi novēršot ES finansējuma attiecināmības problēmas un nodrošinot</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 xml:space="preserve">kvalitatīva rezultāta sasniegšanu, veicot rezultātu sasniegšanas pārbaudes. </w:t>
      </w:r>
    </w:p>
    <w:p w:rsidR="00871110" w:rsidRPr="006202E5" w:rsidRDefault="00871110" w:rsidP="00871110">
      <w:pPr>
        <w:pStyle w:val="PlainText"/>
        <w:ind w:firstLine="720"/>
        <w:jc w:val="both"/>
        <w:rPr>
          <w:rFonts w:ascii="Times New Roman" w:hAnsi="Times New Roman" w:cs="Times New Roman"/>
          <w:sz w:val="24"/>
          <w:szCs w:val="24"/>
        </w:rPr>
      </w:pPr>
      <w:r w:rsidRPr="006202E5">
        <w:rPr>
          <w:rFonts w:ascii="Times New Roman" w:hAnsi="Times New Roman" w:cs="Times New Roman"/>
          <w:sz w:val="24"/>
          <w:szCs w:val="24"/>
        </w:rPr>
        <w:t>Ja vērtē ES fondu projektu rezultāt</w:t>
      </w:r>
      <w:r>
        <w:rPr>
          <w:rFonts w:ascii="Times New Roman" w:hAnsi="Times New Roman" w:cs="Times New Roman"/>
          <w:sz w:val="24"/>
          <w:szCs w:val="24"/>
        </w:rPr>
        <w:t xml:space="preserve">u sasniegšanas progresu kopumā, </w:t>
      </w:r>
      <w:r w:rsidRPr="006202E5">
        <w:rPr>
          <w:rFonts w:ascii="Times New Roman" w:hAnsi="Times New Roman" w:cs="Times New Roman"/>
          <w:sz w:val="24"/>
          <w:szCs w:val="24"/>
        </w:rPr>
        <w:t>konstatējamas šādas galvenās problēmas un riski:</w:t>
      </w:r>
    </w:p>
    <w:p w:rsidR="00871110" w:rsidRPr="006202E5" w:rsidRDefault="00871110" w:rsidP="00871110">
      <w:pPr>
        <w:pStyle w:val="ListParagraph"/>
        <w:numPr>
          <w:ilvl w:val="0"/>
          <w:numId w:val="26"/>
        </w:numPr>
        <w:spacing w:after="0" w:line="240" w:lineRule="auto"/>
        <w:jc w:val="both"/>
        <w:rPr>
          <w:rFonts w:ascii="Times New Roman" w:hAnsi="Times New Roman"/>
          <w:sz w:val="24"/>
          <w:szCs w:val="24"/>
        </w:rPr>
      </w:pPr>
      <w:r w:rsidRPr="006202E5">
        <w:rPr>
          <w:rFonts w:ascii="Times New Roman" w:hAnsi="Times New Roman"/>
          <w:sz w:val="24"/>
          <w:szCs w:val="24"/>
        </w:rPr>
        <w:t>Eiropas Sociālā fonda atbalstītās jomās novirzes iespējamas dažās izglītības atbalsta aktivitātes, darba vietu izveides, kā arī</w:t>
      </w:r>
      <w:r w:rsidR="006D7AB4" w:rsidRPr="006202E5">
        <w:rPr>
          <w:rFonts w:ascii="Times New Roman" w:hAnsi="Times New Roman"/>
          <w:sz w:val="24"/>
          <w:szCs w:val="24"/>
        </w:rPr>
        <w:t xml:space="preserve"> </w:t>
      </w:r>
      <w:r w:rsidRPr="006202E5">
        <w:rPr>
          <w:rFonts w:ascii="Times New Roman" w:hAnsi="Times New Roman"/>
          <w:sz w:val="24"/>
          <w:szCs w:val="24"/>
        </w:rPr>
        <w:t>p</w:t>
      </w:r>
      <w:r w:rsidRPr="0095540A">
        <w:rPr>
          <w:rFonts w:ascii="Times New Roman" w:hAnsi="Times New Roman"/>
          <w:color w:val="000000"/>
          <w:sz w:val="24"/>
          <w:szCs w:val="24"/>
        </w:rPr>
        <w:t>lānošanas reģionu un vietējo pašvaldību kapacitātes stiprināšanas aktivitātēs, bet kopumā, pamatojoties uz atbildīgo iestāžu prognozēm,</w:t>
      </w:r>
      <w:r w:rsidR="006D7AB4" w:rsidRPr="0095540A">
        <w:rPr>
          <w:rFonts w:ascii="Times New Roman" w:hAnsi="Times New Roman"/>
          <w:color w:val="000000"/>
          <w:sz w:val="24"/>
          <w:szCs w:val="24"/>
        </w:rPr>
        <w:t xml:space="preserve"> </w:t>
      </w:r>
      <w:r w:rsidRPr="006202E5">
        <w:rPr>
          <w:rFonts w:ascii="Times New Roman" w:hAnsi="Times New Roman"/>
          <w:sz w:val="24"/>
          <w:szCs w:val="24"/>
        </w:rPr>
        <w:t>lielākā daļa rādītāju tiks sasniegti noteiktajā apjomā;</w:t>
      </w:r>
    </w:p>
    <w:p w:rsidR="00871110" w:rsidRPr="006202E5" w:rsidRDefault="00871110" w:rsidP="00871110">
      <w:pPr>
        <w:pStyle w:val="ListParagraph"/>
        <w:numPr>
          <w:ilvl w:val="0"/>
          <w:numId w:val="26"/>
        </w:numPr>
        <w:spacing w:after="0" w:line="240" w:lineRule="auto"/>
        <w:jc w:val="both"/>
        <w:rPr>
          <w:rFonts w:ascii="Times New Roman" w:hAnsi="Times New Roman"/>
          <w:sz w:val="24"/>
          <w:szCs w:val="24"/>
        </w:rPr>
      </w:pPr>
      <w:r w:rsidRPr="0095540A">
        <w:rPr>
          <w:rFonts w:ascii="Times New Roman" w:hAnsi="Times New Roman"/>
          <w:color w:val="000000"/>
          <w:sz w:val="24"/>
          <w:szCs w:val="24"/>
        </w:rPr>
        <w:t xml:space="preserve">Uzņēmējdarbības un inovāciju jomā aktualizējas riski finanšu instrumentu ieviešanā. Tam par iemeslu ir gan EK novēlotie skaidrojumi par ieviešanas ierobežojošiem nosacījumiem, gan dažādu kapitāla instrumentu, t.sk. riska kapitāla un </w:t>
      </w:r>
      <w:r w:rsidRPr="0095540A">
        <w:rPr>
          <w:rFonts w:ascii="Times New Roman" w:hAnsi="Times New Roman"/>
          <w:i/>
          <w:color w:val="000000"/>
          <w:sz w:val="24"/>
          <w:szCs w:val="24"/>
        </w:rPr>
        <w:t>start –up</w:t>
      </w:r>
      <w:r w:rsidRPr="0095540A">
        <w:rPr>
          <w:rFonts w:ascii="Times New Roman" w:hAnsi="Times New Roman"/>
          <w:color w:val="000000"/>
          <w:sz w:val="24"/>
          <w:szCs w:val="24"/>
        </w:rPr>
        <w:t xml:space="preserve"> fondu ieviešanas kavējumi. Papildus jāņem vērā arī šo jauno instrumentu sarežģīt</w:t>
      </w:r>
      <w:r w:rsidR="006D7AB4">
        <w:rPr>
          <w:rFonts w:ascii="Times New Roman" w:hAnsi="Times New Roman"/>
          <w:color w:val="000000"/>
          <w:sz w:val="24"/>
          <w:szCs w:val="24"/>
        </w:rPr>
        <w:t>ais</w:t>
      </w:r>
      <w:r w:rsidRPr="0095540A">
        <w:rPr>
          <w:rFonts w:ascii="Times New Roman" w:hAnsi="Times New Roman"/>
          <w:color w:val="000000"/>
          <w:sz w:val="24"/>
          <w:szCs w:val="24"/>
        </w:rPr>
        <w:t xml:space="preserve"> mehānism</w:t>
      </w:r>
      <w:r w:rsidR="006D7AB4">
        <w:rPr>
          <w:rFonts w:ascii="Times New Roman" w:hAnsi="Times New Roman"/>
          <w:color w:val="000000"/>
          <w:sz w:val="24"/>
          <w:szCs w:val="24"/>
        </w:rPr>
        <w:t>s</w:t>
      </w:r>
      <w:r w:rsidRPr="0095540A">
        <w:rPr>
          <w:rFonts w:ascii="Times New Roman" w:hAnsi="Times New Roman"/>
          <w:color w:val="000000"/>
          <w:sz w:val="24"/>
          <w:szCs w:val="24"/>
        </w:rPr>
        <w:t>, kā arī privātā kapitāla tirgus nepietiekoš</w:t>
      </w:r>
      <w:r w:rsidR="006D7AB4">
        <w:rPr>
          <w:rFonts w:ascii="Times New Roman" w:hAnsi="Times New Roman"/>
          <w:color w:val="000000"/>
          <w:sz w:val="24"/>
          <w:szCs w:val="24"/>
        </w:rPr>
        <w:t>a</w:t>
      </w:r>
      <w:r w:rsidRPr="0095540A">
        <w:rPr>
          <w:rFonts w:ascii="Times New Roman" w:hAnsi="Times New Roman"/>
          <w:color w:val="000000"/>
          <w:sz w:val="24"/>
          <w:szCs w:val="24"/>
        </w:rPr>
        <w:t xml:space="preserve"> gatavīb</w:t>
      </w:r>
      <w:r w:rsidR="006D7AB4">
        <w:rPr>
          <w:rFonts w:ascii="Times New Roman" w:hAnsi="Times New Roman"/>
          <w:color w:val="000000"/>
          <w:sz w:val="24"/>
          <w:szCs w:val="24"/>
        </w:rPr>
        <w:t>a</w:t>
      </w:r>
      <w:r w:rsidRPr="0095540A">
        <w:rPr>
          <w:rFonts w:ascii="Times New Roman" w:hAnsi="Times New Roman"/>
          <w:color w:val="000000"/>
          <w:sz w:val="24"/>
          <w:szCs w:val="24"/>
        </w:rPr>
        <w:t xml:space="preserve"> un izmaiņas finanšu tirgus nepilnībās. EM </w:t>
      </w:r>
      <w:r w:rsidRPr="006202E5">
        <w:rPr>
          <w:rFonts w:ascii="Times New Roman" w:hAnsi="Times New Roman"/>
          <w:sz w:val="24"/>
          <w:szCs w:val="24"/>
        </w:rPr>
        <w:t xml:space="preserve">strādā pie priekšlikuma risinājumam finanšu instrumentu ieviešanas uzlabošanai, kas sniegtu labāku efektu tautsaimniecības attīstībai un segtu tirgus nepilnības. Paredzams, ka sasniedzamie rādītāji, proti, </w:t>
      </w:r>
      <w:r w:rsidR="00B167ED">
        <w:rPr>
          <w:rFonts w:ascii="Times New Roman" w:hAnsi="Times New Roman"/>
          <w:sz w:val="24"/>
          <w:szCs w:val="24"/>
        </w:rPr>
        <w:t>"</w:t>
      </w:r>
      <w:r w:rsidRPr="006202E5">
        <w:rPr>
          <w:rFonts w:ascii="Times New Roman" w:hAnsi="Times New Roman"/>
          <w:sz w:val="24"/>
          <w:szCs w:val="24"/>
        </w:rPr>
        <w:t>riska kapitāla finansējumu saņēmušo MVK skaits</w:t>
      </w:r>
      <w:r w:rsidR="00B167ED">
        <w:rPr>
          <w:rFonts w:ascii="Times New Roman" w:hAnsi="Times New Roman"/>
          <w:sz w:val="24"/>
          <w:szCs w:val="24"/>
        </w:rPr>
        <w:t>"</w:t>
      </w:r>
      <w:r w:rsidRPr="006202E5">
        <w:rPr>
          <w:rFonts w:ascii="Times New Roman" w:hAnsi="Times New Roman"/>
          <w:sz w:val="24"/>
          <w:szCs w:val="24"/>
        </w:rPr>
        <w:t xml:space="preserve"> un </w:t>
      </w:r>
      <w:r w:rsidR="00B167ED">
        <w:rPr>
          <w:rFonts w:ascii="Times New Roman" w:hAnsi="Times New Roman"/>
          <w:sz w:val="24"/>
          <w:szCs w:val="24"/>
        </w:rPr>
        <w:t>"</w:t>
      </w:r>
      <w:r w:rsidRPr="006202E5">
        <w:rPr>
          <w:rFonts w:ascii="Times New Roman" w:hAnsi="Times New Roman"/>
          <w:sz w:val="24"/>
          <w:szCs w:val="24"/>
        </w:rPr>
        <w:t>sēklas stadijas investīciju skaits, kas tiek finansētas tālākās attīstības stadijā</w:t>
      </w:r>
      <w:r w:rsidR="00B167ED">
        <w:rPr>
          <w:rFonts w:ascii="Times New Roman" w:hAnsi="Times New Roman"/>
          <w:sz w:val="24"/>
          <w:szCs w:val="24"/>
        </w:rPr>
        <w:t>"</w:t>
      </w:r>
      <w:r w:rsidRPr="006202E5">
        <w:rPr>
          <w:rFonts w:ascii="Times New Roman" w:hAnsi="Times New Roman"/>
          <w:sz w:val="24"/>
          <w:szCs w:val="24"/>
        </w:rPr>
        <w:t xml:space="preserve"> būs zemāki nekā sākotnēji plānots; </w:t>
      </w:r>
    </w:p>
    <w:p w:rsidR="00871110" w:rsidRPr="006202E5" w:rsidRDefault="00871110" w:rsidP="00871110">
      <w:pPr>
        <w:pStyle w:val="ListParagraph"/>
        <w:numPr>
          <w:ilvl w:val="0"/>
          <w:numId w:val="26"/>
        </w:numPr>
        <w:spacing w:after="0" w:line="240" w:lineRule="auto"/>
        <w:jc w:val="both"/>
        <w:rPr>
          <w:rFonts w:ascii="Times New Roman" w:hAnsi="Times New Roman"/>
          <w:sz w:val="24"/>
          <w:szCs w:val="24"/>
        </w:rPr>
      </w:pPr>
      <w:r w:rsidRPr="006202E5">
        <w:rPr>
          <w:rFonts w:ascii="Times New Roman" w:hAnsi="Times New Roman"/>
          <w:sz w:val="24"/>
          <w:szCs w:val="24"/>
        </w:rPr>
        <w:t>Infrastruktūras projektu ietvaros g</w:t>
      </w:r>
      <w:r w:rsidRPr="0095540A">
        <w:rPr>
          <w:rFonts w:ascii="Times New Roman" w:hAnsi="Times New Roman"/>
          <w:color w:val="000000"/>
          <w:sz w:val="24"/>
          <w:szCs w:val="24"/>
        </w:rPr>
        <w:t xml:space="preserve">alvenie nesasniegtie rezultāti būs saistībā ar lielā projekta </w:t>
      </w:r>
      <w:r w:rsidR="00B167ED">
        <w:rPr>
          <w:rFonts w:ascii="Times New Roman" w:hAnsi="Times New Roman"/>
          <w:color w:val="000000"/>
          <w:sz w:val="24"/>
          <w:szCs w:val="24"/>
        </w:rPr>
        <w:t>"</w:t>
      </w:r>
      <w:r w:rsidRPr="0095540A">
        <w:rPr>
          <w:rFonts w:ascii="Times New Roman" w:hAnsi="Times New Roman"/>
          <w:color w:val="000000"/>
          <w:sz w:val="24"/>
          <w:szCs w:val="24"/>
        </w:rPr>
        <w:t>Rīgas piepilsētas dzelzceļa pasažieru pārvadājumu sistēmas modernizācija un dīzeļvilcienu ritošā sastāva atjaunošana</w:t>
      </w:r>
      <w:r w:rsidR="00B167ED">
        <w:rPr>
          <w:rFonts w:ascii="Times New Roman" w:hAnsi="Times New Roman"/>
          <w:color w:val="000000"/>
          <w:sz w:val="24"/>
          <w:szCs w:val="24"/>
        </w:rPr>
        <w:t>"</w:t>
      </w:r>
      <w:r w:rsidRPr="0095540A">
        <w:rPr>
          <w:rFonts w:ascii="Times New Roman" w:hAnsi="Times New Roman"/>
          <w:color w:val="000000"/>
          <w:sz w:val="24"/>
          <w:szCs w:val="24"/>
        </w:rPr>
        <w:t xml:space="preserve"> neīstenošanu (plānotais pārvadāto pasažieru skaits Rīgā un piepilsētā, iegādāto trīsvagonu dīzeļvilcienu skaits, vidējais vecums, modernizētais līniju skaits). Vienlaikus, lai sasniegtu ilgtspējīgas transporta sistēmas mērķi</w:t>
      </w:r>
      <w:r w:rsidRPr="006202E5">
        <w:rPr>
          <w:sz w:val="24"/>
          <w:szCs w:val="24"/>
          <w:vertAlign w:val="superscript"/>
        </w:rPr>
        <w:footnoteReference w:id="4"/>
      </w:r>
      <w:r w:rsidRPr="0095540A">
        <w:rPr>
          <w:rFonts w:ascii="Times New Roman" w:hAnsi="Times New Roman"/>
          <w:color w:val="000000"/>
          <w:sz w:val="24"/>
          <w:szCs w:val="24"/>
        </w:rPr>
        <w:t>, SM strādā pie priekšlikuma atbrīvotā finansējuma izmantošanai citiem</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projektiem dzelzceļa infrastruktūras uzlabošanai.</w:t>
      </w:r>
      <w:r w:rsidR="006D7AB4" w:rsidRPr="0095540A">
        <w:rPr>
          <w:rFonts w:ascii="Times New Roman" w:hAnsi="Times New Roman"/>
          <w:color w:val="000000"/>
          <w:sz w:val="24"/>
          <w:szCs w:val="24"/>
        </w:rPr>
        <w:t xml:space="preserve"> </w:t>
      </w:r>
      <w:r w:rsidRPr="006202E5">
        <w:rPr>
          <w:rFonts w:ascii="Times New Roman" w:hAnsi="Times New Roman"/>
          <w:sz w:val="24"/>
          <w:szCs w:val="24"/>
        </w:rPr>
        <w:t xml:space="preserve">30.10.2012. Briselē no EK dienestiem ir saņemts </w:t>
      </w:r>
      <w:r w:rsidRPr="006202E5">
        <w:rPr>
          <w:rFonts w:ascii="Times New Roman" w:hAnsi="Times New Roman"/>
          <w:sz w:val="24"/>
          <w:szCs w:val="24"/>
        </w:rPr>
        <w:lastRenderedPageBreak/>
        <w:t xml:space="preserve">konceptuāls atbalsts un tiek gatavots iesniegšanai projektu saraksts ar detalizētu aprakstu. </w:t>
      </w:r>
      <w:r w:rsidRPr="0095540A">
        <w:rPr>
          <w:rFonts w:ascii="Times New Roman" w:hAnsi="Times New Roman"/>
          <w:color w:val="000000"/>
          <w:sz w:val="24"/>
          <w:szCs w:val="24"/>
        </w:rPr>
        <w:t>Ievērojot ES finansējuma apjomu 100,1 milj. latu, kas vēlākais jāizlieto efektīvi līdz 2015.gada beigām,</w:t>
      </w:r>
      <w:r w:rsidR="006D7AB4" w:rsidRPr="0095540A">
        <w:rPr>
          <w:rFonts w:ascii="Times New Roman" w:hAnsi="Times New Roman"/>
          <w:color w:val="000000"/>
          <w:sz w:val="24"/>
          <w:szCs w:val="24"/>
        </w:rPr>
        <w:t xml:space="preserve"> </w:t>
      </w:r>
      <w:r w:rsidRPr="0095540A">
        <w:rPr>
          <w:rFonts w:ascii="Times New Roman" w:hAnsi="Times New Roman"/>
          <w:color w:val="000000"/>
          <w:sz w:val="24"/>
          <w:szCs w:val="24"/>
        </w:rPr>
        <w:t xml:space="preserve">ir paaugstināts risks, ja tiek pieļauti turpmāki kavējumi un rodas sarežģījumi. </w:t>
      </w:r>
    </w:p>
    <w:p w:rsidR="00871110" w:rsidRPr="006202E5" w:rsidRDefault="00871110" w:rsidP="00871110">
      <w:pPr>
        <w:pStyle w:val="PlainText"/>
        <w:rPr>
          <w:rFonts w:ascii="Times New Roman" w:hAnsi="Times New Roman" w:cs="Times New Roman"/>
          <w:sz w:val="24"/>
          <w:szCs w:val="24"/>
          <w:highlight w:val="yellow"/>
        </w:rPr>
      </w:pPr>
    </w:p>
    <w:p w:rsidR="00871110" w:rsidRPr="0095540A" w:rsidRDefault="00871110" w:rsidP="00871110">
      <w:pPr>
        <w:spacing w:after="0" w:line="240" w:lineRule="auto"/>
        <w:ind w:firstLine="360"/>
        <w:jc w:val="both"/>
        <w:rPr>
          <w:rFonts w:ascii="Times New Roman" w:hAnsi="Times New Roman"/>
          <w:color w:val="000000"/>
          <w:sz w:val="24"/>
          <w:szCs w:val="24"/>
        </w:rPr>
      </w:pPr>
      <w:r w:rsidRPr="0095540A">
        <w:rPr>
          <w:rFonts w:ascii="Times New Roman" w:hAnsi="Times New Roman"/>
          <w:color w:val="000000"/>
          <w:sz w:val="24"/>
          <w:szCs w:val="24"/>
        </w:rPr>
        <w:t xml:space="preserve"> </w:t>
      </w:r>
      <w:r w:rsidRPr="0095540A">
        <w:rPr>
          <w:rFonts w:ascii="Times New Roman" w:hAnsi="Times New Roman"/>
          <w:color w:val="000000"/>
          <w:sz w:val="24"/>
          <w:szCs w:val="24"/>
        </w:rPr>
        <w:tab/>
        <w:t>Tā kā noteikto nacionālo mērķu izpilde ir bijusi neapmierinoša, valdība, uzklausot FM progresa ziņojumus, ir uzstājīgi aicinājusi nozaru ministrijas veikt pasākumus apguves paātrināšanai, diskutēt par apguvi kavējošajiem faktoriem dažāda līmeņa forumos un meklēt veidus</w:t>
      </w:r>
      <w:r w:rsidR="00123282">
        <w:rPr>
          <w:rFonts w:ascii="Times New Roman" w:hAnsi="Times New Roman"/>
          <w:color w:val="000000"/>
          <w:sz w:val="24"/>
          <w:szCs w:val="24"/>
        </w:rPr>
        <w:t>,</w:t>
      </w:r>
      <w:r w:rsidRPr="0095540A">
        <w:rPr>
          <w:rFonts w:ascii="Times New Roman" w:hAnsi="Times New Roman"/>
          <w:color w:val="000000"/>
          <w:sz w:val="24"/>
          <w:szCs w:val="24"/>
        </w:rPr>
        <w:t xml:space="preserve"> kā tos novērst, kā arī noteikusi stingrus finanšu disciplīnas pasākumus</w:t>
      </w:r>
      <w:r w:rsidR="00123282">
        <w:rPr>
          <w:rFonts w:ascii="Times New Roman" w:hAnsi="Times New Roman"/>
          <w:color w:val="000000"/>
          <w:sz w:val="24"/>
          <w:szCs w:val="24"/>
        </w:rPr>
        <w:t xml:space="preserve"> un</w:t>
      </w:r>
      <w:r w:rsidRPr="0095540A">
        <w:rPr>
          <w:rFonts w:ascii="Times New Roman" w:hAnsi="Times New Roman"/>
          <w:color w:val="000000"/>
          <w:sz w:val="24"/>
          <w:szCs w:val="24"/>
        </w:rPr>
        <w:t xml:space="preserve"> veikusi v</w:t>
      </w:r>
      <w:r w:rsidR="00123282">
        <w:rPr>
          <w:rFonts w:ascii="Times New Roman" w:hAnsi="Times New Roman"/>
          <w:color w:val="000000"/>
          <w:sz w:val="24"/>
          <w:szCs w:val="24"/>
        </w:rPr>
        <w:t>irkni citu pasākumu, tai skaitā</w:t>
      </w:r>
      <w:r w:rsidRPr="0095540A">
        <w:rPr>
          <w:rFonts w:ascii="Times New Roman" w:hAnsi="Times New Roman"/>
          <w:color w:val="000000"/>
          <w:sz w:val="24"/>
          <w:szCs w:val="24"/>
        </w:rPr>
        <w:t xml:space="preserve"> finansējuma pārdal</w:t>
      </w:r>
      <w:r w:rsidR="00123282">
        <w:rPr>
          <w:rFonts w:ascii="Times New Roman" w:hAnsi="Times New Roman"/>
          <w:color w:val="000000"/>
          <w:sz w:val="24"/>
          <w:szCs w:val="24"/>
        </w:rPr>
        <w:t>i</w:t>
      </w:r>
      <w:r w:rsidRPr="0095540A">
        <w:rPr>
          <w:rFonts w:ascii="Times New Roman" w:hAnsi="Times New Roman"/>
          <w:color w:val="000000"/>
          <w:sz w:val="24"/>
          <w:szCs w:val="24"/>
        </w:rPr>
        <w:t xml:space="preserve"> starp aktivitātēm. </w:t>
      </w:r>
    </w:p>
    <w:p w:rsidR="00871110" w:rsidRPr="0095540A" w:rsidRDefault="00871110" w:rsidP="00871110">
      <w:pPr>
        <w:autoSpaceDE w:val="0"/>
        <w:autoSpaceDN w:val="0"/>
        <w:adjustRightInd w:val="0"/>
        <w:spacing w:after="0" w:line="240" w:lineRule="auto"/>
        <w:ind w:firstLine="720"/>
        <w:jc w:val="both"/>
        <w:rPr>
          <w:rFonts w:ascii="Times New Roman" w:hAnsi="Times New Roman"/>
          <w:color w:val="000000"/>
          <w:sz w:val="24"/>
          <w:szCs w:val="24"/>
        </w:rPr>
      </w:pPr>
      <w:r w:rsidRPr="0095540A">
        <w:rPr>
          <w:rFonts w:ascii="Times New Roman" w:hAnsi="Times New Roman"/>
          <w:color w:val="000000"/>
          <w:sz w:val="24"/>
          <w:szCs w:val="24"/>
        </w:rPr>
        <w:t>Sākot ar 2013.gada 1.ceturksni</w:t>
      </w:r>
      <w:r w:rsidR="00123282">
        <w:rPr>
          <w:rFonts w:ascii="Times New Roman" w:hAnsi="Times New Roman"/>
          <w:color w:val="000000"/>
          <w:sz w:val="24"/>
          <w:szCs w:val="24"/>
        </w:rPr>
        <w:t>,</w:t>
      </w:r>
      <w:r w:rsidRPr="0095540A">
        <w:rPr>
          <w:rFonts w:ascii="Times New Roman" w:hAnsi="Times New Roman"/>
          <w:color w:val="000000"/>
          <w:sz w:val="24"/>
          <w:szCs w:val="24"/>
        </w:rPr>
        <w:t xml:space="preserve"> tiks pielietots virssaistību uzraudzības mehānisms, kas paredz noteikt skaidru virssaistību izlietojuma plāna un finanšu apguves mērķa izpildes uzraudzību</w:t>
      </w:r>
      <w:r w:rsidR="00123282">
        <w:rPr>
          <w:rFonts w:ascii="Times New Roman" w:hAnsi="Times New Roman"/>
          <w:color w:val="000000"/>
          <w:sz w:val="24"/>
          <w:szCs w:val="24"/>
        </w:rPr>
        <w:t>, kā arī</w:t>
      </w:r>
      <w:r w:rsidRPr="0095540A">
        <w:rPr>
          <w:rFonts w:ascii="Times New Roman" w:hAnsi="Times New Roman"/>
          <w:color w:val="000000"/>
          <w:sz w:val="24"/>
          <w:szCs w:val="24"/>
        </w:rPr>
        <w:t xml:space="preserve"> </w:t>
      </w:r>
      <w:r w:rsidR="00123282" w:rsidRPr="0095540A">
        <w:rPr>
          <w:rFonts w:ascii="Times New Roman" w:hAnsi="Times New Roman"/>
          <w:color w:val="000000"/>
          <w:sz w:val="24"/>
          <w:szCs w:val="24"/>
        </w:rPr>
        <w:t>korekcij</w:t>
      </w:r>
      <w:r w:rsidR="00123282">
        <w:rPr>
          <w:rFonts w:ascii="Times New Roman" w:hAnsi="Times New Roman"/>
          <w:color w:val="000000"/>
          <w:sz w:val="24"/>
          <w:szCs w:val="24"/>
        </w:rPr>
        <w:t>u</w:t>
      </w:r>
      <w:r w:rsidR="00123282" w:rsidRPr="0095540A">
        <w:rPr>
          <w:rFonts w:ascii="Times New Roman" w:hAnsi="Times New Roman"/>
          <w:color w:val="000000"/>
          <w:sz w:val="24"/>
          <w:szCs w:val="24"/>
        </w:rPr>
        <w:t xml:space="preserve"> </w:t>
      </w:r>
      <w:r w:rsidRPr="0095540A">
        <w:rPr>
          <w:rFonts w:ascii="Times New Roman" w:hAnsi="Times New Roman"/>
          <w:color w:val="000000"/>
          <w:sz w:val="24"/>
          <w:szCs w:val="24"/>
        </w:rPr>
        <w:t>mehānismu</w:t>
      </w:r>
      <w:r w:rsidR="00123282">
        <w:rPr>
          <w:rFonts w:ascii="Times New Roman" w:hAnsi="Times New Roman"/>
          <w:color w:val="000000"/>
          <w:sz w:val="24"/>
          <w:szCs w:val="24"/>
        </w:rPr>
        <w:t>, ja</w:t>
      </w:r>
      <w:r w:rsidRPr="0095540A">
        <w:rPr>
          <w:rFonts w:ascii="Times New Roman" w:hAnsi="Times New Roman"/>
          <w:color w:val="000000"/>
          <w:sz w:val="24"/>
          <w:szCs w:val="24"/>
        </w:rPr>
        <w:t xml:space="preserve"> </w:t>
      </w:r>
      <w:r w:rsidR="00123282">
        <w:rPr>
          <w:rFonts w:ascii="Times New Roman" w:hAnsi="Times New Roman"/>
          <w:color w:val="000000"/>
          <w:sz w:val="24"/>
          <w:szCs w:val="24"/>
        </w:rPr>
        <w:t>plāns netiek pildīts</w:t>
      </w:r>
      <w:r w:rsidRPr="0095540A">
        <w:rPr>
          <w:rFonts w:ascii="Times New Roman" w:hAnsi="Times New Roman"/>
          <w:color w:val="000000"/>
          <w:sz w:val="24"/>
          <w:szCs w:val="24"/>
        </w:rPr>
        <w:t xml:space="preserve">. </w:t>
      </w:r>
    </w:p>
    <w:p w:rsidR="00871110" w:rsidRPr="0095540A" w:rsidRDefault="00871110" w:rsidP="00871110">
      <w:pPr>
        <w:spacing w:after="0" w:line="240" w:lineRule="auto"/>
        <w:ind w:firstLine="720"/>
        <w:jc w:val="both"/>
        <w:rPr>
          <w:rFonts w:ascii="Times New Roman" w:hAnsi="Times New Roman"/>
          <w:color w:val="000000"/>
          <w:sz w:val="24"/>
          <w:szCs w:val="24"/>
        </w:rPr>
      </w:pPr>
      <w:r w:rsidRPr="0095540A">
        <w:rPr>
          <w:rFonts w:ascii="Times New Roman" w:hAnsi="Times New Roman"/>
          <w:color w:val="000000"/>
          <w:sz w:val="24"/>
          <w:szCs w:val="24"/>
        </w:rPr>
        <w:t xml:space="preserve">Ievērojot stingrākus ieviešanas tempus, Latvijā joprojām ir iespējams veiksmīgi apgūt visu pieejamo ES finansējumu, līdzīgi kā iepriekšējā 2004-2006.gadu plānošanas periodā, turpinot finanšu disciplīnas pasākumus un veicot elastīgas izmaiņas, kad nepieciešams. </w:t>
      </w:r>
    </w:p>
    <w:p w:rsidR="00871110" w:rsidRPr="003C49ED" w:rsidRDefault="00871110" w:rsidP="00871110">
      <w:pPr>
        <w:pStyle w:val="Heading3"/>
      </w:pPr>
      <w:bookmarkStart w:id="57" w:name="_Toc348089288"/>
      <w:bookmarkStart w:id="58" w:name="_Toc348948350"/>
      <w:r w:rsidRPr="003C49ED">
        <w:t>4.1.Jaunais ES fondu plānošanas periods</w:t>
      </w:r>
      <w:bookmarkEnd w:id="57"/>
      <w:bookmarkEnd w:id="58"/>
    </w:p>
    <w:p w:rsidR="00871110" w:rsidRPr="006202E5" w:rsidRDefault="00871110" w:rsidP="00871110">
      <w:pPr>
        <w:spacing w:after="0" w:line="240" w:lineRule="auto"/>
        <w:ind w:firstLine="720"/>
        <w:jc w:val="both"/>
        <w:rPr>
          <w:rFonts w:ascii="Times New Roman" w:hAnsi="Times New Roman"/>
          <w:sz w:val="24"/>
          <w:szCs w:val="24"/>
        </w:rPr>
      </w:pPr>
      <w:bookmarkStart w:id="59" w:name="_Toc348089289"/>
      <w:r w:rsidRPr="006202E5">
        <w:rPr>
          <w:rFonts w:ascii="Times New Roman" w:hAnsi="Times New Roman"/>
          <w:sz w:val="24"/>
          <w:szCs w:val="24"/>
        </w:rPr>
        <w:t>Latvijā aptuveni 70</w:t>
      </w:r>
      <w:r w:rsidR="00111406">
        <w:rPr>
          <w:rFonts w:ascii="Times New Roman" w:hAnsi="Times New Roman"/>
          <w:sz w:val="24"/>
          <w:szCs w:val="24"/>
        </w:rPr>
        <w:t> %</w:t>
      </w:r>
      <w:r w:rsidRPr="006202E5">
        <w:rPr>
          <w:rFonts w:ascii="Times New Roman" w:hAnsi="Times New Roman"/>
          <w:sz w:val="24"/>
          <w:szCs w:val="24"/>
        </w:rPr>
        <w:t xml:space="preserve"> no publiskajām investīcijām sastāda ES fondu finansējums. Ņemot vērā nozīmīgo ES fondu ietekmi uz Latvijas tautsaimniecību, ES budžeta 2014. – 2020. gadam sarunu ietvaros 2012. gadā tika veiktas regulāras aktivitātes, lai sekmētu ES Kohēzijas politikas piešķīruma saglabāšanu </w:t>
      </w:r>
      <w:r w:rsidR="00123282" w:rsidRPr="006202E5">
        <w:rPr>
          <w:rFonts w:ascii="Times New Roman" w:hAnsi="Times New Roman"/>
          <w:sz w:val="24"/>
          <w:szCs w:val="24"/>
        </w:rPr>
        <w:t xml:space="preserve">Latvijai </w:t>
      </w:r>
      <w:r w:rsidRPr="006202E5">
        <w:rPr>
          <w:rFonts w:ascii="Times New Roman" w:hAnsi="Times New Roman"/>
          <w:sz w:val="24"/>
          <w:szCs w:val="24"/>
        </w:rPr>
        <w:t>vismaz esošā plānošanas perioda apjomā.</w:t>
      </w:r>
      <w:r>
        <w:rPr>
          <w:rFonts w:ascii="Times New Roman" w:hAnsi="Times New Roman"/>
          <w:sz w:val="24"/>
          <w:szCs w:val="24"/>
        </w:rPr>
        <w:t xml:space="preserve"> Tāpat F</w:t>
      </w:r>
      <w:r w:rsidRPr="006202E5">
        <w:rPr>
          <w:rFonts w:ascii="Times New Roman" w:hAnsi="Times New Roman"/>
          <w:sz w:val="24"/>
          <w:szCs w:val="24"/>
        </w:rPr>
        <w:t xml:space="preserve">M aktīvi </w:t>
      </w:r>
      <w:r>
        <w:rPr>
          <w:rFonts w:ascii="Times New Roman" w:hAnsi="Times New Roman"/>
          <w:sz w:val="24"/>
          <w:szCs w:val="24"/>
        </w:rPr>
        <w:t>piedalās un aizstāv</w:t>
      </w:r>
      <w:r w:rsidRPr="006202E5">
        <w:rPr>
          <w:rFonts w:ascii="Times New Roman" w:hAnsi="Times New Roman"/>
          <w:sz w:val="24"/>
          <w:szCs w:val="24"/>
        </w:rPr>
        <w:t xml:space="preserve"> Latvijas intereses sarunās par Kohēzijas politik</w:t>
      </w:r>
      <w:r>
        <w:rPr>
          <w:rFonts w:ascii="Times New Roman" w:hAnsi="Times New Roman"/>
          <w:sz w:val="24"/>
          <w:szCs w:val="24"/>
        </w:rPr>
        <w:t>as regulējumu pēc 2013. gada</w:t>
      </w:r>
      <w:r w:rsidR="00123282">
        <w:rPr>
          <w:rFonts w:ascii="Times New Roman" w:hAnsi="Times New Roman"/>
          <w:sz w:val="24"/>
          <w:szCs w:val="24"/>
        </w:rPr>
        <w:t>,</w:t>
      </w:r>
      <w:r>
        <w:rPr>
          <w:rFonts w:ascii="Times New Roman" w:hAnsi="Times New Roman"/>
          <w:sz w:val="24"/>
          <w:szCs w:val="24"/>
        </w:rPr>
        <w:t xml:space="preserve"> balstoties uz Nacionālajām pozīcijām Nr. 1-6 </w:t>
      </w:r>
      <w:r w:rsidR="00B167ED">
        <w:rPr>
          <w:rFonts w:ascii="Times New Roman" w:hAnsi="Times New Roman"/>
          <w:sz w:val="24"/>
          <w:szCs w:val="24"/>
        </w:rPr>
        <w:t>"</w:t>
      </w:r>
      <w:r w:rsidRPr="006202E5">
        <w:rPr>
          <w:rFonts w:ascii="Times New Roman" w:hAnsi="Times New Roman"/>
          <w:sz w:val="24"/>
          <w:szCs w:val="24"/>
        </w:rPr>
        <w:t>Par ES Kohēzijas politikas regulu priekšlikumiem 2014. – 2020.gada plānošanas periodam</w:t>
      </w:r>
      <w:r w:rsidR="00B167ED">
        <w:rPr>
          <w:rFonts w:ascii="Times New Roman" w:hAnsi="Times New Roman"/>
          <w:sz w:val="24"/>
          <w:szCs w:val="24"/>
        </w:rPr>
        <w:t>"</w:t>
      </w:r>
      <w:r w:rsidR="00123282">
        <w:rPr>
          <w:rFonts w:ascii="Times New Roman" w:hAnsi="Times New Roman"/>
          <w:sz w:val="24"/>
          <w:szCs w:val="24"/>
        </w:rPr>
        <w:t>.</w:t>
      </w:r>
      <w:r w:rsidRPr="006202E5">
        <w:rPr>
          <w:rFonts w:ascii="Times New Roman" w:hAnsi="Times New Roman"/>
          <w:sz w:val="24"/>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Pr>
          <w:rFonts w:ascii="Times New Roman" w:hAnsi="Times New Roman"/>
          <w:sz w:val="24"/>
          <w:szCs w:val="24"/>
        </w:rPr>
        <w:t>G</w:t>
      </w:r>
      <w:r w:rsidRPr="006202E5">
        <w:rPr>
          <w:rFonts w:ascii="Times New Roman" w:hAnsi="Times New Roman"/>
          <w:sz w:val="24"/>
          <w:szCs w:val="24"/>
        </w:rPr>
        <w:t>atavojoties nākamajam ES fondu plānošanas periodam, 2012. gadā tika veiktas daudzas aktivitātes arī nacionālā līmenī. Tā kā ES fondu 2014. – 2020. gada plānošana Latvijā norisinās uz Nacionālā attīstības plāna</w:t>
      </w:r>
      <w:r w:rsidR="006D7AB4" w:rsidRPr="006202E5">
        <w:rPr>
          <w:rFonts w:ascii="Times New Roman" w:hAnsi="Times New Roman"/>
          <w:sz w:val="24"/>
          <w:szCs w:val="24"/>
        </w:rPr>
        <w:t xml:space="preserve"> </w:t>
      </w:r>
      <w:r w:rsidRPr="006202E5">
        <w:rPr>
          <w:rFonts w:ascii="Times New Roman" w:hAnsi="Times New Roman"/>
          <w:sz w:val="24"/>
          <w:szCs w:val="24"/>
        </w:rPr>
        <w:t>2014. – 2020. gadam</w:t>
      </w:r>
      <w:r w:rsidR="006D7AB4" w:rsidRPr="006202E5">
        <w:rPr>
          <w:rFonts w:ascii="Times New Roman" w:hAnsi="Times New Roman"/>
          <w:sz w:val="24"/>
          <w:szCs w:val="24"/>
        </w:rPr>
        <w:t xml:space="preserve"> </w:t>
      </w:r>
      <w:r w:rsidRPr="006202E5">
        <w:rPr>
          <w:rFonts w:ascii="Times New Roman" w:hAnsi="Times New Roman"/>
          <w:sz w:val="24"/>
          <w:szCs w:val="24"/>
        </w:rPr>
        <w:t>bāzes, tad atskaites periodā tika nodrošināta NAP iekļautās informācijas atbilstība ES fondu plānošanas nosacījumiem. Nodrošinot partnerības principa ievērošanu nākamā perioda ES Kohēzijas politikas fondu plānošanā, tika izveidota ES Kohēzijas politikas fondu Pagaidu Uzraudzības komiteja, kuras sastāvā iesaistīti nevalstiskā sektora pārstāvji un sociālie partneri. 2012. gada septembrī notika šīs komitejas pirmā sēde.</w:t>
      </w:r>
      <w:r>
        <w:rPr>
          <w:rFonts w:ascii="Times New Roman" w:hAnsi="Times New Roman"/>
          <w:sz w:val="24"/>
          <w:szCs w:val="24"/>
        </w:rPr>
        <w:t xml:space="preserve"> 2012. gada decembrī tika atklātas neformālās konsultācijas ar EK par ES Kohēzijas politikas fondu plānošanas dokumentu izstrādi 2014.-2020. gada periodam</w:t>
      </w:r>
      <w:r w:rsidRPr="006202E5">
        <w:rPr>
          <w:rFonts w:ascii="Times New Roman" w:hAnsi="Times New Roman"/>
          <w:sz w:val="24"/>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Lai nodrošinātu </w:t>
      </w:r>
      <w:r>
        <w:rPr>
          <w:rFonts w:ascii="Times New Roman" w:hAnsi="Times New Roman"/>
          <w:sz w:val="24"/>
          <w:szCs w:val="24"/>
        </w:rPr>
        <w:t>uz rezultātu vērstu</w:t>
      </w:r>
      <w:r w:rsidRPr="006202E5">
        <w:rPr>
          <w:rFonts w:ascii="Times New Roman" w:hAnsi="Times New Roman"/>
          <w:sz w:val="24"/>
          <w:szCs w:val="24"/>
        </w:rPr>
        <w:t xml:space="preserve"> ES fondu apguvi un mazinātu administratīvo slogu, gatavojoties nākamajam plānošanas periodam, FM 2012.gadā ir strādājusi pie projekta </w:t>
      </w:r>
      <w:r w:rsidR="00B167ED">
        <w:rPr>
          <w:rFonts w:ascii="Times New Roman" w:hAnsi="Times New Roman"/>
          <w:sz w:val="24"/>
          <w:szCs w:val="24"/>
        </w:rPr>
        <w:t>"</w:t>
      </w:r>
      <w:r w:rsidRPr="006202E5">
        <w:rPr>
          <w:rFonts w:ascii="Times New Roman" w:hAnsi="Times New Roman"/>
          <w:sz w:val="24"/>
          <w:szCs w:val="24"/>
        </w:rPr>
        <w:t xml:space="preserve">Koncepcija par Eiropas Reģionālās attīstības fonda, Eiropas </w:t>
      </w:r>
      <w:r w:rsidR="006D7AB4" w:rsidRPr="006202E5">
        <w:rPr>
          <w:rFonts w:ascii="Times New Roman" w:hAnsi="Times New Roman"/>
          <w:sz w:val="24"/>
          <w:szCs w:val="24"/>
        </w:rPr>
        <w:t xml:space="preserve">Sociālā </w:t>
      </w:r>
      <w:r w:rsidRPr="006202E5">
        <w:rPr>
          <w:rFonts w:ascii="Times New Roman" w:hAnsi="Times New Roman"/>
          <w:sz w:val="24"/>
          <w:szCs w:val="24"/>
        </w:rPr>
        <w:t>fonda, Kohēzijas fonda, Eiropas lauksaimniecības fonda lauku attīstībai un Eiropas jūrlietu un zivsaimniecības fonda ieviešanu 2014. – 2020.gadā Latvijā</w:t>
      </w:r>
      <w:r w:rsidR="00B167ED">
        <w:rPr>
          <w:rFonts w:ascii="Times New Roman" w:hAnsi="Times New Roman"/>
          <w:sz w:val="24"/>
          <w:szCs w:val="24"/>
        </w:rPr>
        <w:t>"</w:t>
      </w:r>
      <w:r w:rsidRPr="006202E5">
        <w:rPr>
          <w:rFonts w:ascii="Times New Roman" w:hAnsi="Times New Roman"/>
          <w:sz w:val="24"/>
          <w:szCs w:val="24"/>
        </w:rPr>
        <w:t>, kuru plānots virzīt apstiprināšanai Ministru kabinetā 2013.gada februārī.</w:t>
      </w:r>
    </w:p>
    <w:p w:rsidR="00871110" w:rsidRPr="003C49ED" w:rsidRDefault="00871110" w:rsidP="00871110">
      <w:pPr>
        <w:pStyle w:val="Heading3"/>
      </w:pPr>
      <w:bookmarkStart w:id="60" w:name="_Toc348948351"/>
      <w:r w:rsidRPr="003C49ED">
        <w:t>4.2. Latvijas un Šveices sadarbības programma</w:t>
      </w:r>
      <w:bookmarkEnd w:id="59"/>
      <w:bookmarkEnd w:id="60"/>
    </w:p>
    <w:p w:rsidR="00871110" w:rsidRPr="006202E5" w:rsidRDefault="00871110" w:rsidP="00871110">
      <w:pPr>
        <w:spacing w:after="0" w:line="240" w:lineRule="auto"/>
        <w:ind w:firstLine="567"/>
        <w:jc w:val="both"/>
        <w:rPr>
          <w:rFonts w:ascii="Times New Roman" w:hAnsi="Times New Roman"/>
          <w:color w:val="000000"/>
          <w:sz w:val="24"/>
          <w:szCs w:val="24"/>
        </w:rPr>
      </w:pPr>
      <w:r w:rsidRPr="006202E5">
        <w:rPr>
          <w:rFonts w:ascii="Times New Roman" w:hAnsi="Times New Roman"/>
          <w:color w:val="000000"/>
          <w:sz w:val="24"/>
          <w:szCs w:val="24"/>
        </w:rPr>
        <w:t xml:space="preserve">Šveices programmas finansējums Latvijai ir pieejams no 2007.gada 14.jūnija līdz 2017.gada 14.jūnijam 56,9 milj. Šveices franku (33,5 milj. </w:t>
      </w:r>
      <w:r>
        <w:rPr>
          <w:rFonts w:ascii="Times New Roman" w:hAnsi="Times New Roman"/>
          <w:color w:val="000000"/>
          <w:sz w:val="24"/>
          <w:szCs w:val="24"/>
        </w:rPr>
        <w:t>latu</w:t>
      </w:r>
      <w:r w:rsidRPr="006202E5">
        <w:rPr>
          <w:rFonts w:ascii="Times New Roman" w:hAnsi="Times New Roman"/>
          <w:color w:val="000000"/>
          <w:sz w:val="24"/>
          <w:szCs w:val="24"/>
        </w:rPr>
        <w:t>) apmērā.</w:t>
      </w:r>
    </w:p>
    <w:p w:rsidR="00871110" w:rsidRPr="006202E5" w:rsidRDefault="00871110" w:rsidP="00871110">
      <w:pPr>
        <w:spacing w:after="0" w:line="240" w:lineRule="auto"/>
        <w:ind w:firstLine="567"/>
        <w:jc w:val="both"/>
        <w:rPr>
          <w:rFonts w:ascii="Times New Roman" w:hAnsi="Times New Roman"/>
          <w:color w:val="000000"/>
          <w:sz w:val="24"/>
          <w:szCs w:val="24"/>
        </w:rPr>
      </w:pPr>
      <w:r w:rsidRPr="006202E5">
        <w:rPr>
          <w:rFonts w:ascii="Times New Roman" w:hAnsi="Times New Roman"/>
          <w:color w:val="000000"/>
          <w:sz w:val="24"/>
          <w:szCs w:val="24"/>
        </w:rPr>
        <w:lastRenderedPageBreak/>
        <w:t>Kopumā līdz 31.12.2012. ir apstiprināti visi 11 paredzētie projektu līgumi par visu Latvijai pieejamo finansējumu, t.i., 100</w:t>
      </w:r>
      <w:r w:rsidR="00111406">
        <w:rPr>
          <w:rFonts w:ascii="Times New Roman" w:hAnsi="Times New Roman"/>
          <w:color w:val="000000"/>
          <w:sz w:val="24"/>
          <w:szCs w:val="24"/>
        </w:rPr>
        <w:t> %</w:t>
      </w:r>
      <w:r w:rsidRPr="006202E5">
        <w:rPr>
          <w:rFonts w:ascii="Times New Roman" w:hAnsi="Times New Roman"/>
          <w:color w:val="000000"/>
          <w:sz w:val="24"/>
          <w:szCs w:val="24"/>
        </w:rPr>
        <w:t xml:space="preserve"> apmērā. Līdz 2012.gada beigām ir pabeigti</w:t>
      </w:r>
      <w:r w:rsidRPr="006202E5">
        <w:rPr>
          <w:rFonts w:ascii="Times New Roman" w:hAnsi="Times New Roman"/>
          <w:sz w:val="24"/>
          <w:szCs w:val="24"/>
        </w:rPr>
        <w:t xml:space="preserve"> </w:t>
      </w:r>
      <w:r>
        <w:rPr>
          <w:rFonts w:ascii="Times New Roman" w:hAnsi="Times New Roman"/>
          <w:sz w:val="24"/>
          <w:szCs w:val="24"/>
        </w:rPr>
        <w:t xml:space="preserve">divi </w:t>
      </w:r>
      <w:r w:rsidRPr="006202E5">
        <w:rPr>
          <w:rFonts w:ascii="Times New Roman" w:hAnsi="Times New Roman"/>
          <w:sz w:val="24"/>
          <w:szCs w:val="24"/>
        </w:rPr>
        <w:t>projekti, pārējo projektu īstenošana turpinās.</w:t>
      </w:r>
      <w:r w:rsidRPr="006202E5">
        <w:rPr>
          <w:rFonts w:ascii="Times New Roman" w:hAnsi="Times New Roman"/>
          <w:color w:val="000000"/>
          <w:sz w:val="24"/>
          <w:szCs w:val="24"/>
        </w:rPr>
        <w:t xml:space="preserve"> </w:t>
      </w:r>
    </w:p>
    <w:p w:rsidR="00871110" w:rsidRPr="006202E5" w:rsidRDefault="00871110" w:rsidP="00871110">
      <w:pPr>
        <w:spacing w:after="0" w:line="240" w:lineRule="auto"/>
        <w:ind w:firstLine="567"/>
        <w:jc w:val="both"/>
        <w:rPr>
          <w:rFonts w:ascii="Times New Roman" w:hAnsi="Times New Roman"/>
          <w:color w:val="000000"/>
          <w:sz w:val="24"/>
          <w:szCs w:val="24"/>
        </w:rPr>
      </w:pPr>
      <w:r w:rsidRPr="006202E5">
        <w:rPr>
          <w:rFonts w:ascii="Times New Roman" w:hAnsi="Times New Roman"/>
          <w:sz w:val="24"/>
          <w:szCs w:val="24"/>
        </w:rPr>
        <w:t>No Šveices līdz 2012.gada decembra beigām saņemti maksājumi kopumā 30,2 milj. CHF</w:t>
      </w:r>
      <w:r w:rsidRPr="006202E5">
        <w:rPr>
          <w:rStyle w:val="FootnoteReference"/>
          <w:rFonts w:ascii="Times New Roman" w:hAnsi="Times New Roman"/>
          <w:sz w:val="24"/>
          <w:szCs w:val="24"/>
        </w:rPr>
        <w:footnoteReference w:id="5"/>
      </w:r>
      <w:r w:rsidRPr="006202E5">
        <w:rPr>
          <w:rFonts w:ascii="Times New Roman" w:hAnsi="Times New Roman"/>
          <w:sz w:val="24"/>
          <w:szCs w:val="24"/>
        </w:rPr>
        <w:t xml:space="preserve"> (~17,7 milj. LVL) apmērā jeb 53 </w:t>
      </w:r>
      <w:r w:rsidR="00111406">
        <w:rPr>
          <w:rFonts w:ascii="Times New Roman" w:hAnsi="Times New Roman"/>
          <w:sz w:val="24"/>
          <w:szCs w:val="24"/>
        </w:rPr>
        <w:t> %</w:t>
      </w:r>
      <w:r w:rsidRPr="006202E5">
        <w:rPr>
          <w:rFonts w:ascii="Times New Roman" w:hAnsi="Times New Roman"/>
          <w:sz w:val="24"/>
          <w:szCs w:val="24"/>
        </w:rPr>
        <w:t xml:space="preserve"> no Šveices programmas kopējā finansējuma.</w:t>
      </w:r>
    </w:p>
    <w:p w:rsidR="00871110" w:rsidRPr="006202E5" w:rsidRDefault="00871110" w:rsidP="00871110">
      <w:pPr>
        <w:spacing w:after="0" w:line="240" w:lineRule="auto"/>
        <w:ind w:firstLine="567"/>
        <w:jc w:val="both"/>
        <w:rPr>
          <w:rFonts w:ascii="Times New Roman" w:hAnsi="Times New Roman"/>
          <w:sz w:val="24"/>
          <w:szCs w:val="24"/>
        </w:rPr>
      </w:pPr>
      <w:r w:rsidRPr="006202E5">
        <w:rPr>
          <w:rFonts w:ascii="Times New Roman" w:hAnsi="Times New Roman"/>
          <w:sz w:val="24"/>
          <w:szCs w:val="24"/>
        </w:rPr>
        <w:t>Salīdzinot veiktos maksājumus 10 Šveices finansējuma saņēmējvalstīm uz 2012.gada beigām, Latvija pēc kopējā saņemtā maksājumu apjoma ierindojas 1.vietā, par 21</w:t>
      </w:r>
      <w:r w:rsidR="00111406">
        <w:rPr>
          <w:rFonts w:ascii="Times New Roman" w:hAnsi="Times New Roman"/>
          <w:sz w:val="24"/>
          <w:szCs w:val="24"/>
        </w:rPr>
        <w:t> %</w:t>
      </w:r>
      <w:r w:rsidRPr="006202E5">
        <w:rPr>
          <w:rFonts w:ascii="Times New Roman" w:hAnsi="Times New Roman"/>
          <w:sz w:val="24"/>
          <w:szCs w:val="24"/>
        </w:rPr>
        <w:t xml:space="preserve"> apsteidzot Igauniju.</w:t>
      </w:r>
    </w:p>
    <w:p w:rsidR="00871110" w:rsidRPr="006202E5" w:rsidRDefault="00871110" w:rsidP="00871110">
      <w:pPr>
        <w:spacing w:after="0" w:line="240" w:lineRule="auto"/>
        <w:jc w:val="both"/>
        <w:rPr>
          <w:rFonts w:ascii="Times New Roman" w:hAnsi="Times New Roman"/>
          <w:color w:val="000000"/>
          <w:sz w:val="24"/>
          <w:szCs w:val="24"/>
        </w:rPr>
      </w:pPr>
    </w:p>
    <w:p w:rsidR="00871110" w:rsidRPr="006202E5" w:rsidRDefault="00871110" w:rsidP="00871110">
      <w:pPr>
        <w:spacing w:after="0" w:line="240" w:lineRule="auto"/>
        <w:ind w:firstLine="567"/>
        <w:jc w:val="center"/>
        <w:rPr>
          <w:rFonts w:ascii="Times New Roman" w:hAnsi="Times New Roman"/>
          <w:b/>
          <w:sz w:val="24"/>
          <w:szCs w:val="24"/>
        </w:rPr>
      </w:pPr>
      <w:r w:rsidRPr="006202E5">
        <w:rPr>
          <w:rFonts w:ascii="Times New Roman" w:hAnsi="Times New Roman"/>
          <w:i/>
          <w:sz w:val="24"/>
          <w:szCs w:val="24"/>
          <w:lang w:eastAsia="en-US"/>
        </w:rPr>
        <w:t>11. attēls.</w:t>
      </w:r>
      <w:r w:rsidRPr="006202E5">
        <w:rPr>
          <w:rFonts w:ascii="Times New Roman" w:hAnsi="Times New Roman"/>
          <w:b/>
          <w:i/>
          <w:sz w:val="24"/>
          <w:szCs w:val="24"/>
          <w:lang w:eastAsia="en-US"/>
        </w:rPr>
        <w:t xml:space="preserve"> </w:t>
      </w:r>
      <w:r w:rsidRPr="006202E5">
        <w:rPr>
          <w:rFonts w:ascii="Times New Roman" w:hAnsi="Times New Roman"/>
          <w:b/>
          <w:i/>
          <w:sz w:val="24"/>
          <w:szCs w:val="24"/>
        </w:rPr>
        <w:t xml:space="preserve"> </w:t>
      </w:r>
      <w:r w:rsidRPr="006202E5">
        <w:rPr>
          <w:rFonts w:ascii="Times New Roman" w:hAnsi="Times New Roman"/>
          <w:b/>
          <w:sz w:val="24"/>
          <w:szCs w:val="24"/>
        </w:rPr>
        <w:t>Veiktie maksājumi saņēmējvalstīm Šveices sadarbības programmas ietvaros līdz 07.01.2013</w:t>
      </w:r>
    </w:p>
    <w:p w:rsidR="00871110" w:rsidRPr="006202E5" w:rsidRDefault="00871110" w:rsidP="00871110">
      <w:pPr>
        <w:spacing w:before="120" w:after="120"/>
        <w:ind w:firstLine="567"/>
        <w:jc w:val="both"/>
        <w:rPr>
          <w:rFonts w:ascii="Times New Roman" w:hAnsi="Times New Roman"/>
          <w:color w:val="000000"/>
          <w:sz w:val="24"/>
          <w:szCs w:val="24"/>
        </w:rPr>
      </w:pPr>
      <w:r>
        <w:rPr>
          <w:rFonts w:ascii="Times New Roman" w:hAnsi="Times New Roman"/>
          <w:noProof/>
          <w:sz w:val="24"/>
          <w:szCs w:val="24"/>
        </w:rPr>
        <w:drawing>
          <wp:inline distT="0" distB="0" distL="0" distR="0" wp14:anchorId="33AE8FC6" wp14:editId="4ACE759F">
            <wp:extent cx="5423154" cy="3012066"/>
            <wp:effectExtent l="6096" t="6092" r="3175" b="4442"/>
            <wp:docPr id="24"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71110" w:rsidRPr="00913FCF" w:rsidRDefault="00871110" w:rsidP="00871110">
      <w:pPr>
        <w:pStyle w:val="Default"/>
        <w:jc w:val="both"/>
        <w:rPr>
          <w:rFonts w:ascii="Times New Roman" w:hAnsi="Times New Roman"/>
          <w:i/>
          <w:color w:val="auto"/>
          <w:sz w:val="20"/>
          <w:szCs w:val="20"/>
        </w:rPr>
      </w:pPr>
      <w:bookmarkStart w:id="61" w:name="_Toc348089290"/>
      <w:r w:rsidRPr="00913FCF">
        <w:rPr>
          <w:rFonts w:ascii="Times New Roman" w:hAnsi="Times New Roman"/>
          <w:i/>
          <w:color w:val="auto"/>
          <w:sz w:val="20"/>
          <w:szCs w:val="20"/>
        </w:rPr>
        <w:t>Avots: Šveices vēstniecības statistikas dati uz 07.01.2013.</w:t>
      </w:r>
    </w:p>
    <w:p w:rsidR="00871110" w:rsidRPr="003C49ED" w:rsidRDefault="00871110" w:rsidP="00871110">
      <w:pPr>
        <w:pStyle w:val="Heading3"/>
      </w:pPr>
      <w:bookmarkStart w:id="62" w:name="_Toc348948352"/>
      <w:r w:rsidRPr="003C49ED">
        <w:t>4.3. EEZ/Norvēģijas finanšu instruments</w:t>
      </w:r>
      <w:bookmarkEnd w:id="61"/>
      <w:bookmarkEnd w:id="62"/>
    </w:p>
    <w:p w:rsidR="00871110" w:rsidRPr="00C609F3" w:rsidRDefault="00871110" w:rsidP="00871110">
      <w:pPr>
        <w:pStyle w:val="Default"/>
        <w:ind w:firstLine="720"/>
        <w:jc w:val="both"/>
        <w:rPr>
          <w:rFonts w:ascii="Times New Roman" w:hAnsi="Times New Roman"/>
          <w:color w:val="auto"/>
        </w:rPr>
      </w:pPr>
      <w:r w:rsidRPr="006202E5">
        <w:rPr>
          <w:rFonts w:ascii="Times New Roman" w:hAnsi="Times New Roman"/>
          <w:color w:val="auto"/>
        </w:rPr>
        <w:t>Līdz 2012.gada beigām donorvalstis ir apstiprinājušas sešas no septiņām paredzētajām EEZ/Norvēģijas finanšu instrumentu 2009.-2014.gada perioda Latvijas programmām, pēdējo plānots apstiprināt 2013.gada 1.ceturksnī. Latvijā reālā projektu īstenošana programmu ietvaros uzsāksies 2013.gadā un turpināsies līdz pat 2016.gadam par kopējo finansējumu 53 milj. latu (ieskaitot nacionālo līdzfinansējumu no 5</w:t>
      </w:r>
      <w:r w:rsidR="00111406">
        <w:rPr>
          <w:rFonts w:ascii="Times New Roman" w:hAnsi="Times New Roman"/>
          <w:color w:val="auto"/>
        </w:rPr>
        <w:t> %</w:t>
      </w:r>
      <w:r w:rsidRPr="006202E5">
        <w:rPr>
          <w:rFonts w:ascii="Times New Roman" w:hAnsi="Times New Roman"/>
          <w:color w:val="auto"/>
        </w:rPr>
        <w:t>-15</w:t>
      </w:r>
      <w:r w:rsidR="00111406">
        <w:rPr>
          <w:rFonts w:ascii="Times New Roman" w:hAnsi="Times New Roman"/>
          <w:color w:val="auto"/>
        </w:rPr>
        <w:t> %</w:t>
      </w:r>
      <w:r w:rsidRPr="006202E5">
        <w:rPr>
          <w:rFonts w:ascii="Times New Roman" w:hAnsi="Times New Roman"/>
          <w:color w:val="auto"/>
        </w:rPr>
        <w:t xml:space="preserve"> atkarībā no programmas specifikas). 2012.gadā aktīvi noritēja darbs pie apstiprināto programmu līgumu projektu  saskaņošanas ar donorvalstīm. Pats pirmais projektu konkurss izsludināts 2012.gada novembrī Sabiedrības integrācijas fonda apsaimn</w:t>
      </w:r>
      <w:r>
        <w:rPr>
          <w:rFonts w:ascii="Times New Roman" w:hAnsi="Times New Roman"/>
          <w:color w:val="auto"/>
        </w:rPr>
        <w:t xml:space="preserve">iekotajā programmā </w:t>
      </w:r>
      <w:r w:rsidR="00B167ED">
        <w:rPr>
          <w:rFonts w:ascii="Times New Roman" w:hAnsi="Times New Roman"/>
          <w:color w:val="auto"/>
        </w:rPr>
        <w:t>"</w:t>
      </w:r>
      <w:r>
        <w:rPr>
          <w:rFonts w:ascii="Times New Roman" w:hAnsi="Times New Roman"/>
          <w:color w:val="auto"/>
        </w:rPr>
        <w:t>NVO fonds</w:t>
      </w:r>
      <w:r w:rsidR="00B167ED">
        <w:rPr>
          <w:rFonts w:ascii="Times New Roman" w:hAnsi="Times New Roman"/>
          <w:color w:val="auto"/>
        </w:rPr>
        <w:t>"</w:t>
      </w:r>
      <w:r>
        <w:rPr>
          <w:rFonts w:ascii="Times New Roman" w:hAnsi="Times New Roman"/>
          <w:color w:val="auto"/>
        </w:rPr>
        <w:t>.</w:t>
      </w:r>
    </w:p>
    <w:p w:rsidR="00871110" w:rsidRPr="003C49ED" w:rsidRDefault="00871110" w:rsidP="00871110">
      <w:pPr>
        <w:pStyle w:val="Heading2"/>
        <w:jc w:val="both"/>
      </w:pPr>
      <w:bookmarkStart w:id="63" w:name="_Toc348089291"/>
      <w:bookmarkStart w:id="64" w:name="_Toc348948353"/>
      <w:r w:rsidRPr="003C49ED">
        <w:lastRenderedPageBreak/>
        <w:t xml:space="preserve">5. Ārējā ekonomiskā politika, t.sk. stratēģijas </w:t>
      </w:r>
      <w:r w:rsidR="00B167ED">
        <w:t>"</w:t>
      </w:r>
      <w:r w:rsidRPr="003C49ED">
        <w:t>Eiropa 2020</w:t>
      </w:r>
      <w:r w:rsidR="00B167ED">
        <w:t>"</w:t>
      </w:r>
      <w:r w:rsidRPr="003C49ED">
        <w:t xml:space="preserve"> mērķu sasniegšanas veicināšana</w:t>
      </w:r>
      <w:bookmarkEnd w:id="63"/>
      <w:bookmarkEnd w:id="64"/>
    </w:p>
    <w:p w:rsidR="00871110" w:rsidRPr="006202E5" w:rsidRDefault="00871110" w:rsidP="00871110">
      <w:pPr>
        <w:spacing w:after="0" w:line="240" w:lineRule="auto"/>
        <w:ind w:firstLine="709"/>
        <w:jc w:val="both"/>
        <w:rPr>
          <w:rFonts w:ascii="Times New Roman" w:hAnsi="Times New Roman"/>
          <w:sz w:val="24"/>
          <w:szCs w:val="24"/>
        </w:rPr>
      </w:pP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2012.gada 15.maijā tika izveidota Ārējās ekonomiskās politikas koordinācijas padome, lai nodrošinātu vienotu, efektīvu ārējo ekonomisko politiku Latvijas starptautiskās konkurētspējas stiprināšanai. 2013.gadā Ārējās ekonomiskās politikas koordinācijas padome turpinās</w:t>
      </w:r>
      <w:r w:rsidR="00B167ED">
        <w:rPr>
          <w:rFonts w:ascii="Times New Roman" w:hAnsi="Times New Roman"/>
          <w:sz w:val="24"/>
          <w:szCs w:val="24"/>
        </w:rPr>
        <w:t xml:space="preserve"> darbu, lai noteiktu </w:t>
      </w:r>
      <w:r w:rsidRPr="006202E5">
        <w:rPr>
          <w:rFonts w:ascii="Times New Roman" w:hAnsi="Times New Roman"/>
          <w:sz w:val="24"/>
          <w:szCs w:val="24"/>
        </w:rPr>
        <w:t>Latvijas ekonomiski prioritār</w:t>
      </w:r>
      <w:r w:rsidR="00B167ED">
        <w:rPr>
          <w:rFonts w:ascii="Times New Roman" w:hAnsi="Times New Roman"/>
          <w:sz w:val="24"/>
          <w:szCs w:val="24"/>
        </w:rPr>
        <w:t>ās</w:t>
      </w:r>
      <w:r w:rsidRPr="006202E5">
        <w:rPr>
          <w:rFonts w:ascii="Times New Roman" w:hAnsi="Times New Roman"/>
          <w:sz w:val="24"/>
          <w:szCs w:val="24"/>
        </w:rPr>
        <w:t xml:space="preserve"> mērķ</w:t>
      </w:r>
      <w:r w:rsidR="00B167ED">
        <w:rPr>
          <w:rFonts w:ascii="Times New Roman" w:hAnsi="Times New Roman"/>
          <w:sz w:val="24"/>
          <w:szCs w:val="24"/>
        </w:rPr>
        <w:t>a</w:t>
      </w:r>
      <w:r w:rsidRPr="006202E5">
        <w:rPr>
          <w:rFonts w:ascii="Times New Roman" w:hAnsi="Times New Roman"/>
          <w:sz w:val="24"/>
          <w:szCs w:val="24"/>
        </w:rPr>
        <w:t xml:space="preserve"> valst</w:t>
      </w:r>
      <w:r w:rsidR="00B167ED">
        <w:rPr>
          <w:rFonts w:ascii="Times New Roman" w:hAnsi="Times New Roman"/>
          <w:sz w:val="24"/>
          <w:szCs w:val="24"/>
        </w:rPr>
        <w:t>is,</w:t>
      </w:r>
      <w:r w:rsidRPr="006202E5">
        <w:rPr>
          <w:rFonts w:ascii="Times New Roman" w:hAnsi="Times New Roman"/>
          <w:sz w:val="24"/>
          <w:szCs w:val="24"/>
        </w:rPr>
        <w:t xml:space="preserve"> un </w:t>
      </w:r>
      <w:r w:rsidR="00B167ED">
        <w:rPr>
          <w:rFonts w:ascii="Times New Roman" w:hAnsi="Times New Roman"/>
          <w:sz w:val="24"/>
          <w:szCs w:val="24"/>
        </w:rPr>
        <w:t>sagatavos</w:t>
      </w:r>
      <w:r w:rsidRPr="006202E5">
        <w:rPr>
          <w:rFonts w:ascii="Times New Roman" w:hAnsi="Times New Roman"/>
          <w:sz w:val="24"/>
          <w:szCs w:val="24"/>
        </w:rPr>
        <w:t xml:space="preserve"> rekomendācijas Latvijas diplomātisko un konsulāro pārstāvniecību tīkla pilnveidošanai un indikatoru izstrādei Latvijas diplomātu ekonomiskās darbības izvērtēšanai. </w:t>
      </w:r>
    </w:p>
    <w:p w:rsidR="00871110" w:rsidRPr="003C49ED" w:rsidRDefault="00871110" w:rsidP="00871110">
      <w:pPr>
        <w:pStyle w:val="Heading3"/>
      </w:pPr>
      <w:bookmarkStart w:id="65" w:name="_Toc348089292"/>
      <w:bookmarkStart w:id="66" w:name="_Toc348948354"/>
      <w:r w:rsidRPr="003C49ED">
        <w:t>5.1. Divpusējās ekonomiskās attiecības</w:t>
      </w:r>
      <w:bookmarkEnd w:id="65"/>
      <w:bookmarkEnd w:id="66"/>
      <w:r w:rsidRPr="003C49ED">
        <w:t xml:space="preserve"> </w:t>
      </w:r>
    </w:p>
    <w:p w:rsidR="00871110" w:rsidRPr="006202E5" w:rsidRDefault="00B167ED" w:rsidP="00871110">
      <w:pPr>
        <w:spacing w:after="0" w:line="240" w:lineRule="auto"/>
        <w:ind w:firstLine="709"/>
        <w:jc w:val="both"/>
        <w:rPr>
          <w:rFonts w:ascii="Times New Roman" w:hAnsi="Times New Roman"/>
          <w:sz w:val="24"/>
          <w:szCs w:val="24"/>
        </w:rPr>
      </w:pPr>
      <w:r>
        <w:rPr>
          <w:rFonts w:ascii="Times New Roman" w:hAnsi="Times New Roman"/>
          <w:sz w:val="24"/>
          <w:szCs w:val="24"/>
        </w:rPr>
        <w:t>Lai</w:t>
      </w:r>
      <w:r w:rsidR="00871110" w:rsidRPr="006202E5">
        <w:rPr>
          <w:rFonts w:ascii="Times New Roman" w:hAnsi="Times New Roman"/>
          <w:sz w:val="24"/>
          <w:szCs w:val="24"/>
        </w:rPr>
        <w:t xml:space="preserve"> sekmēt</w:t>
      </w:r>
      <w:r>
        <w:rPr>
          <w:rFonts w:ascii="Times New Roman" w:hAnsi="Times New Roman"/>
          <w:sz w:val="24"/>
          <w:szCs w:val="24"/>
        </w:rPr>
        <w:t xml:space="preserve">u </w:t>
      </w:r>
      <w:r w:rsidR="00871110" w:rsidRPr="006202E5">
        <w:rPr>
          <w:rFonts w:ascii="Times New Roman" w:hAnsi="Times New Roman"/>
          <w:sz w:val="24"/>
          <w:szCs w:val="24"/>
        </w:rPr>
        <w:t xml:space="preserve"> Latvijas divpusējās ekonomiskās attiecības ar Latvijas komersantiem svarīgām partnervalstīm, 2012. gadā tika organizētas vairākas ekonomikas ministra un uzņēmēju vizītes ārvalstīs, t.sk. uz ASV, Vāciju, Zviedriju, Līča valstīm, Turciju u.c., kā arī nodrošināta vairāku ārvalstu delegāciju</w:t>
      </w:r>
      <w:r>
        <w:rPr>
          <w:rFonts w:ascii="Times New Roman" w:hAnsi="Times New Roman"/>
          <w:sz w:val="24"/>
          <w:szCs w:val="24"/>
        </w:rPr>
        <w:t xml:space="preserve"> (</w:t>
      </w:r>
      <w:r w:rsidR="00871110" w:rsidRPr="006202E5">
        <w:rPr>
          <w:rFonts w:ascii="Times New Roman" w:hAnsi="Times New Roman"/>
          <w:sz w:val="24"/>
          <w:szCs w:val="24"/>
        </w:rPr>
        <w:t>piemēram, Ukrainas, ASV, Ķīnas, Baltkrievijas, Gruzijas, Japānas, Turcijas</w:t>
      </w:r>
      <w:r>
        <w:rPr>
          <w:rFonts w:ascii="Times New Roman" w:hAnsi="Times New Roman"/>
          <w:sz w:val="24"/>
          <w:szCs w:val="24"/>
        </w:rPr>
        <w:t>)</w:t>
      </w:r>
      <w:r w:rsidR="00871110" w:rsidRPr="006202E5">
        <w:rPr>
          <w:rFonts w:ascii="Times New Roman" w:hAnsi="Times New Roman"/>
          <w:sz w:val="24"/>
          <w:szCs w:val="24"/>
        </w:rPr>
        <w:t xml:space="preserve"> uzņemšan</w:t>
      </w:r>
      <w:r>
        <w:rPr>
          <w:rFonts w:ascii="Times New Roman" w:hAnsi="Times New Roman"/>
          <w:sz w:val="24"/>
          <w:szCs w:val="24"/>
        </w:rPr>
        <w:t>a</w:t>
      </w:r>
      <w:r w:rsidR="00871110" w:rsidRPr="006202E5">
        <w:rPr>
          <w:rFonts w:ascii="Times New Roman" w:hAnsi="Times New Roman"/>
          <w:sz w:val="24"/>
          <w:szCs w:val="24"/>
        </w:rPr>
        <w:t>. Notika Latvijas Starpvaldību komisijas/Apvienotās komitejas sēdes ar Ķīn</w:t>
      </w:r>
      <w:r>
        <w:rPr>
          <w:rFonts w:ascii="Times New Roman" w:hAnsi="Times New Roman"/>
          <w:sz w:val="24"/>
          <w:szCs w:val="24"/>
        </w:rPr>
        <w:t>as</w:t>
      </w:r>
      <w:r w:rsidR="00871110" w:rsidRPr="006202E5">
        <w:rPr>
          <w:rFonts w:ascii="Times New Roman" w:hAnsi="Times New Roman"/>
          <w:sz w:val="24"/>
          <w:szCs w:val="24"/>
        </w:rPr>
        <w:t>, Uzbekistān</w:t>
      </w:r>
      <w:r>
        <w:rPr>
          <w:rFonts w:ascii="Times New Roman" w:hAnsi="Times New Roman"/>
          <w:sz w:val="24"/>
          <w:szCs w:val="24"/>
        </w:rPr>
        <w:t>as</w:t>
      </w:r>
      <w:r w:rsidR="00871110" w:rsidRPr="006202E5">
        <w:rPr>
          <w:rFonts w:ascii="Times New Roman" w:hAnsi="Times New Roman"/>
          <w:sz w:val="24"/>
          <w:szCs w:val="24"/>
        </w:rPr>
        <w:t>, Kazahstān</w:t>
      </w:r>
      <w:r>
        <w:rPr>
          <w:rFonts w:ascii="Times New Roman" w:hAnsi="Times New Roman"/>
          <w:sz w:val="24"/>
          <w:szCs w:val="24"/>
        </w:rPr>
        <w:t>as</w:t>
      </w:r>
      <w:r w:rsidR="00871110" w:rsidRPr="006202E5">
        <w:rPr>
          <w:rFonts w:ascii="Times New Roman" w:hAnsi="Times New Roman"/>
          <w:sz w:val="24"/>
          <w:szCs w:val="24"/>
        </w:rPr>
        <w:t>, Ukrain</w:t>
      </w:r>
      <w:r>
        <w:rPr>
          <w:rFonts w:ascii="Times New Roman" w:hAnsi="Times New Roman"/>
          <w:sz w:val="24"/>
          <w:szCs w:val="24"/>
        </w:rPr>
        <w:t>as</w:t>
      </w:r>
      <w:r w:rsidR="00871110" w:rsidRPr="006202E5">
        <w:rPr>
          <w:rFonts w:ascii="Times New Roman" w:hAnsi="Times New Roman"/>
          <w:sz w:val="24"/>
          <w:szCs w:val="24"/>
        </w:rPr>
        <w:t>, Turkmenistān</w:t>
      </w:r>
      <w:r>
        <w:rPr>
          <w:rFonts w:ascii="Times New Roman" w:hAnsi="Times New Roman"/>
          <w:sz w:val="24"/>
          <w:szCs w:val="24"/>
        </w:rPr>
        <w:t>as</w:t>
      </w:r>
      <w:r w:rsidR="00871110" w:rsidRPr="006202E5">
        <w:rPr>
          <w:rFonts w:ascii="Times New Roman" w:hAnsi="Times New Roman"/>
          <w:sz w:val="24"/>
          <w:szCs w:val="24"/>
        </w:rPr>
        <w:t>, Baltkrievij</w:t>
      </w:r>
      <w:r>
        <w:rPr>
          <w:rFonts w:ascii="Times New Roman" w:hAnsi="Times New Roman"/>
          <w:sz w:val="24"/>
          <w:szCs w:val="24"/>
        </w:rPr>
        <w:t>as pārstāvjiem.</w:t>
      </w:r>
      <w:r w:rsidR="00871110" w:rsidRPr="006202E5">
        <w:rPr>
          <w:rFonts w:ascii="Times New Roman" w:hAnsi="Times New Roman"/>
          <w:sz w:val="24"/>
          <w:szCs w:val="24"/>
        </w:rPr>
        <w:t>.</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2012.gadā notika ārlietu ministra vizītes uz Azerbaidžānu, Japānu, Brazīliju un Dienvidaustrumāziju (Malaizija, Indonēzija un Singapūra), kurās piedalījās arī Latvijas uzņēmēju delegācijas.</w:t>
      </w:r>
      <w:r w:rsidRPr="006202E5">
        <w:rPr>
          <w:rFonts w:ascii="Times New Roman" w:hAnsi="Times New Roman"/>
          <w:b/>
          <w:sz w:val="24"/>
          <w:szCs w:val="24"/>
        </w:rPr>
        <w:t xml:space="preserve"> </w:t>
      </w:r>
      <w:r w:rsidRPr="006202E5">
        <w:rPr>
          <w:rFonts w:ascii="Times New Roman" w:hAnsi="Times New Roman"/>
          <w:sz w:val="24"/>
          <w:szCs w:val="24"/>
        </w:rPr>
        <w:t>ĀM iesaistījās arī Ministru prezidenta vizītes sagatavošanā uz Līča valstīm un Azerbaidžānu, kā arī aktīvi strādā</w:t>
      </w:r>
      <w:r>
        <w:rPr>
          <w:rFonts w:ascii="Times New Roman" w:hAnsi="Times New Roman"/>
          <w:sz w:val="24"/>
          <w:szCs w:val="24"/>
        </w:rPr>
        <w:t>ja</w:t>
      </w:r>
      <w:r w:rsidRPr="006202E5">
        <w:rPr>
          <w:rFonts w:ascii="Times New Roman" w:hAnsi="Times New Roman"/>
          <w:sz w:val="24"/>
          <w:szCs w:val="24"/>
        </w:rPr>
        <w:t xml:space="preserve"> pie ekonomisko sakaru attīstības ar Ķīnas Tautas Republiku, t.sk. vei</w:t>
      </w:r>
      <w:r w:rsidR="00BE4403">
        <w:rPr>
          <w:rFonts w:ascii="Times New Roman" w:hAnsi="Times New Roman"/>
          <w:sz w:val="24"/>
          <w:szCs w:val="24"/>
        </w:rPr>
        <w:t>ca</w:t>
      </w:r>
      <w:r w:rsidRPr="006202E5">
        <w:rPr>
          <w:rFonts w:ascii="Times New Roman" w:hAnsi="Times New Roman"/>
          <w:sz w:val="24"/>
          <w:szCs w:val="24"/>
        </w:rPr>
        <w:t xml:space="preserve"> priekšdarb</w:t>
      </w:r>
      <w:r w:rsidR="00BE4403">
        <w:rPr>
          <w:rFonts w:ascii="Times New Roman" w:hAnsi="Times New Roman"/>
          <w:sz w:val="24"/>
          <w:szCs w:val="24"/>
        </w:rPr>
        <w:t>us</w:t>
      </w:r>
      <w:r w:rsidRPr="006202E5">
        <w:rPr>
          <w:rFonts w:ascii="Times New Roman" w:hAnsi="Times New Roman"/>
          <w:sz w:val="24"/>
          <w:szCs w:val="24"/>
        </w:rPr>
        <w:t>, lai ĶTR iniciatīva sadarbībai ar Centrāl</w:t>
      </w:r>
      <w:r w:rsidR="00BE4403">
        <w:rPr>
          <w:rFonts w:ascii="Times New Roman" w:hAnsi="Times New Roman"/>
          <w:sz w:val="24"/>
          <w:szCs w:val="24"/>
        </w:rPr>
        <w:t>eiropas</w:t>
      </w:r>
      <w:r w:rsidRPr="006202E5">
        <w:rPr>
          <w:rFonts w:ascii="Times New Roman" w:hAnsi="Times New Roman"/>
          <w:sz w:val="24"/>
          <w:szCs w:val="24"/>
        </w:rPr>
        <w:t xml:space="preserve"> un Austrumeiropas valstīm kļūtu par Latvijas un Ķīnas dialoga sastāvdaļu. </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Noslēgta Latvijas Republikas Ekonomikas ministrijas un Krievijas Federācijas Kirovas apgabala valdības vienošanās par ekonomisko sadarbību; Latvijas Republikas un Ukrainas ekonomiskās sadarbības programma 2012.</w:t>
      </w:r>
      <w:r w:rsidR="00BE4403">
        <w:rPr>
          <w:rFonts w:ascii="Times New Roman" w:hAnsi="Times New Roman"/>
          <w:sz w:val="24"/>
          <w:szCs w:val="24"/>
        </w:rPr>
        <w:t>–</w:t>
      </w:r>
      <w:r w:rsidRPr="006202E5">
        <w:rPr>
          <w:rFonts w:ascii="Times New Roman" w:hAnsi="Times New Roman"/>
          <w:sz w:val="24"/>
          <w:szCs w:val="24"/>
        </w:rPr>
        <w:t>2013.gadam; Latvijas Republikas Ekonomikas ministrijas un Pleskavas apgabala (Krievijas Federācija) administrācijas vienošanās par ekonomisko sadarbību īstenošanas darba programma 2012.</w:t>
      </w:r>
      <w:r w:rsidR="00BE4403">
        <w:rPr>
          <w:rFonts w:ascii="Times New Roman" w:hAnsi="Times New Roman"/>
          <w:sz w:val="24"/>
          <w:szCs w:val="24"/>
        </w:rPr>
        <w:t>–</w:t>
      </w:r>
      <w:r w:rsidRPr="006202E5">
        <w:rPr>
          <w:rFonts w:ascii="Times New Roman" w:hAnsi="Times New Roman"/>
          <w:sz w:val="24"/>
          <w:szCs w:val="24"/>
        </w:rPr>
        <w:t>2014.gadam.</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Paplašinot ekonomiskās sadarbības līgumtiesisko bāzi, 2013. gadā plānots parakstīt Latvijas Republikas un Krievijas Federācijas deklarācijas par modernizācijas partnerību realizācijas rīcības plānu un vienošanos par ekonomisko sadarbību ar Krievijas Federācijas Kalugas apgabala valdību, kā arī turpināt sarunas ar citiem Krievijas reģioniem – Ivanovas apgabalu, Jaroslavļas apgabalu un Baškortostānas Republiku </w:t>
      </w:r>
      <w:r w:rsidR="00BE4403">
        <w:rPr>
          <w:rFonts w:ascii="Times New Roman" w:hAnsi="Times New Roman"/>
          <w:sz w:val="24"/>
          <w:szCs w:val="24"/>
        </w:rPr>
        <w:t>–</w:t>
      </w:r>
      <w:r w:rsidRPr="006202E5">
        <w:rPr>
          <w:rFonts w:ascii="Times New Roman" w:hAnsi="Times New Roman"/>
          <w:sz w:val="24"/>
          <w:szCs w:val="24"/>
        </w:rPr>
        <w:t xml:space="preserve"> par vienošanos noslēgšanu ekonomiskās sadarbības jomā. </w:t>
      </w:r>
      <w:r w:rsidR="00BE4403">
        <w:rPr>
          <w:rFonts w:ascii="Times New Roman" w:hAnsi="Times New Roman"/>
          <w:sz w:val="24"/>
          <w:szCs w:val="24"/>
        </w:rPr>
        <w:t>P</w:t>
      </w:r>
      <w:r w:rsidRPr="006202E5">
        <w:rPr>
          <w:rFonts w:ascii="Times New Roman" w:hAnsi="Times New Roman"/>
          <w:sz w:val="24"/>
          <w:szCs w:val="24"/>
        </w:rPr>
        <w:t xml:space="preserve">lānots turpināt vienošanos par ekonomisko sadarbību īstenošanas programmu </w:t>
      </w:r>
      <w:r w:rsidR="00BE4403" w:rsidRPr="006202E5">
        <w:rPr>
          <w:rFonts w:ascii="Times New Roman" w:hAnsi="Times New Roman"/>
          <w:sz w:val="24"/>
          <w:szCs w:val="24"/>
        </w:rPr>
        <w:t xml:space="preserve">izstrādi un saskaņošanu </w:t>
      </w:r>
      <w:r w:rsidRPr="006202E5">
        <w:rPr>
          <w:rFonts w:ascii="Times New Roman" w:hAnsi="Times New Roman"/>
          <w:sz w:val="24"/>
          <w:szCs w:val="24"/>
        </w:rPr>
        <w:t>ar Kirovas apgabala valdību un Vologdas apgabala valdību.</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Vēršoties pret protekcionisma pasākumiem un tirdzniecības šķēršļiem eksporta tirgos, ar LIAA Ārējo ekonomisko pārstāvniecību un Latvijas Republikas vēstniecību un pastāvīgo pārstāvniecību palīdzību plānots nodrošināt tirdzniecības nosacījumu un PTO saistību uzraudzību</w:t>
      </w:r>
      <w:r w:rsidRPr="006202E5">
        <w:rPr>
          <w:rFonts w:ascii="Times New Roman" w:hAnsi="Times New Roman"/>
          <w:b/>
          <w:sz w:val="24"/>
          <w:szCs w:val="24"/>
        </w:rPr>
        <w:t xml:space="preserve"> </w:t>
      </w:r>
      <w:r w:rsidRPr="006202E5">
        <w:rPr>
          <w:rFonts w:ascii="Times New Roman" w:hAnsi="Times New Roman"/>
          <w:sz w:val="24"/>
          <w:szCs w:val="24"/>
        </w:rPr>
        <w:t>ne tikai Krievijā, bet arī tuvākajās kaimiņvalstīs, piemēram, Ukrainā un Baltkrievijā.</w:t>
      </w:r>
    </w:p>
    <w:p w:rsidR="00871110" w:rsidRPr="006202E5" w:rsidRDefault="00871110" w:rsidP="00871110">
      <w:pPr>
        <w:pStyle w:val="Heading3"/>
        <w:rPr>
          <w:szCs w:val="24"/>
        </w:rPr>
      </w:pPr>
      <w:bookmarkStart w:id="67" w:name="_Toc348089293"/>
      <w:bookmarkStart w:id="68" w:name="_Toc348948355"/>
      <w:r w:rsidRPr="006202E5">
        <w:rPr>
          <w:szCs w:val="24"/>
        </w:rPr>
        <w:lastRenderedPageBreak/>
        <w:t>5.2. ES kopējā tirdzniecības politika</w:t>
      </w:r>
      <w:bookmarkEnd w:id="67"/>
      <w:bookmarkEnd w:id="68"/>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ES divpusējo ekonomisko attiecību tālākai attīstībai</w:t>
      </w:r>
      <w:r w:rsidRPr="006202E5">
        <w:rPr>
          <w:rFonts w:ascii="Times New Roman" w:hAnsi="Times New Roman"/>
          <w:b/>
          <w:sz w:val="24"/>
          <w:szCs w:val="24"/>
        </w:rPr>
        <w:t xml:space="preserve"> </w:t>
      </w:r>
      <w:r w:rsidRPr="006202E5">
        <w:rPr>
          <w:rFonts w:ascii="Times New Roman" w:hAnsi="Times New Roman"/>
          <w:sz w:val="24"/>
          <w:szCs w:val="24"/>
        </w:rPr>
        <w:t>ES līmenī parakstīti ES</w:t>
      </w:r>
      <w:r w:rsidR="00BE4403">
        <w:rPr>
          <w:rFonts w:ascii="Times New Roman" w:hAnsi="Times New Roman"/>
          <w:sz w:val="24"/>
          <w:szCs w:val="24"/>
        </w:rPr>
        <w:t>–</w:t>
      </w:r>
      <w:r w:rsidRPr="006202E5">
        <w:rPr>
          <w:rFonts w:ascii="Times New Roman" w:hAnsi="Times New Roman"/>
          <w:sz w:val="24"/>
          <w:szCs w:val="24"/>
        </w:rPr>
        <w:t xml:space="preserve">Peru un Kolumbijas </w:t>
      </w:r>
      <w:r w:rsidR="00BE4403">
        <w:rPr>
          <w:rFonts w:ascii="Times New Roman" w:hAnsi="Times New Roman"/>
          <w:sz w:val="24"/>
          <w:szCs w:val="24"/>
        </w:rPr>
        <w:t>b</w:t>
      </w:r>
      <w:r w:rsidRPr="006202E5">
        <w:rPr>
          <w:rFonts w:ascii="Times New Roman" w:hAnsi="Times New Roman"/>
          <w:sz w:val="24"/>
          <w:szCs w:val="24"/>
        </w:rPr>
        <w:t>rīvās tirdzniecības līgums, kā arī ES</w:t>
      </w:r>
      <w:r w:rsidR="00BE4403">
        <w:rPr>
          <w:rFonts w:ascii="Times New Roman" w:hAnsi="Times New Roman"/>
          <w:sz w:val="24"/>
          <w:szCs w:val="24"/>
        </w:rPr>
        <w:t>–</w:t>
      </w:r>
      <w:r w:rsidRPr="006202E5">
        <w:rPr>
          <w:rFonts w:ascii="Times New Roman" w:hAnsi="Times New Roman"/>
          <w:sz w:val="24"/>
          <w:szCs w:val="24"/>
        </w:rPr>
        <w:t xml:space="preserve">Centrālamerikas </w:t>
      </w:r>
      <w:r w:rsidR="00BE4403">
        <w:rPr>
          <w:rFonts w:ascii="Times New Roman" w:hAnsi="Times New Roman"/>
          <w:sz w:val="24"/>
          <w:szCs w:val="24"/>
        </w:rPr>
        <w:t>a</w:t>
      </w:r>
      <w:r w:rsidRPr="006202E5">
        <w:rPr>
          <w:rFonts w:ascii="Times New Roman" w:hAnsi="Times New Roman"/>
          <w:sz w:val="24"/>
          <w:szCs w:val="24"/>
        </w:rPr>
        <w:t xml:space="preserve">sociācijās līgums, kas ietver </w:t>
      </w:r>
      <w:r w:rsidR="00BE4403">
        <w:rPr>
          <w:rFonts w:ascii="Times New Roman" w:hAnsi="Times New Roman"/>
          <w:sz w:val="24"/>
          <w:szCs w:val="24"/>
        </w:rPr>
        <w:t>b</w:t>
      </w:r>
      <w:r w:rsidRPr="006202E5">
        <w:rPr>
          <w:rFonts w:ascii="Times New Roman" w:hAnsi="Times New Roman"/>
          <w:sz w:val="24"/>
          <w:szCs w:val="24"/>
        </w:rPr>
        <w:t xml:space="preserve">rīvās tirdzniecības līgumu, un ir uzsākts darbs pie šo līgumu ratifikācijas Saeimā. </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2013.gadā ES Kopējās tirdzniecības politikas ietvaros plānots turpināt darbu pie ES tirdzniecības attiecību padziļināšanas ar stratēģiskajiem partneriem, tostarp pie ES</w:t>
      </w:r>
      <w:r w:rsidR="00BE4403">
        <w:rPr>
          <w:rFonts w:ascii="Times New Roman" w:hAnsi="Times New Roman"/>
          <w:sz w:val="24"/>
          <w:szCs w:val="24"/>
        </w:rPr>
        <w:t>–</w:t>
      </w:r>
      <w:r w:rsidRPr="006202E5">
        <w:rPr>
          <w:rFonts w:ascii="Times New Roman" w:hAnsi="Times New Roman"/>
          <w:sz w:val="24"/>
          <w:szCs w:val="24"/>
        </w:rPr>
        <w:t xml:space="preserve">ASV </w:t>
      </w:r>
      <w:r w:rsidR="00BE4403">
        <w:rPr>
          <w:rFonts w:ascii="Times New Roman" w:hAnsi="Times New Roman"/>
          <w:sz w:val="24"/>
          <w:szCs w:val="24"/>
        </w:rPr>
        <w:t>b</w:t>
      </w:r>
      <w:r w:rsidRPr="006202E5">
        <w:rPr>
          <w:rFonts w:ascii="Times New Roman" w:hAnsi="Times New Roman"/>
          <w:sz w:val="24"/>
          <w:szCs w:val="24"/>
        </w:rPr>
        <w:t>rīvās tirdzniecības līguma sarunu mandāta izstrādes, ES</w:t>
      </w:r>
      <w:r w:rsidR="00BE4403">
        <w:rPr>
          <w:rFonts w:ascii="Times New Roman" w:hAnsi="Times New Roman"/>
          <w:sz w:val="24"/>
          <w:szCs w:val="24"/>
        </w:rPr>
        <w:t>–</w:t>
      </w:r>
      <w:r w:rsidRPr="006202E5">
        <w:rPr>
          <w:rFonts w:ascii="Times New Roman" w:hAnsi="Times New Roman"/>
          <w:sz w:val="24"/>
          <w:szCs w:val="24"/>
        </w:rPr>
        <w:t xml:space="preserve">Ķīnas ieguldījumu aizsardzības līguma sarunu mandāta sagatavošanas, kā arī </w:t>
      </w:r>
      <w:r w:rsidR="00BE4403">
        <w:rPr>
          <w:rFonts w:ascii="Times New Roman" w:hAnsi="Times New Roman"/>
          <w:sz w:val="24"/>
          <w:szCs w:val="24"/>
        </w:rPr>
        <w:t>b</w:t>
      </w:r>
      <w:r w:rsidRPr="006202E5">
        <w:rPr>
          <w:rFonts w:ascii="Times New Roman" w:hAnsi="Times New Roman"/>
          <w:sz w:val="24"/>
          <w:szCs w:val="24"/>
        </w:rPr>
        <w:t xml:space="preserve">rīvās tirdzniecības sarunu uzsākšanas ar Japānu. </w:t>
      </w:r>
      <w:r w:rsidR="00BE4403">
        <w:rPr>
          <w:rFonts w:ascii="Times New Roman" w:hAnsi="Times New Roman"/>
          <w:sz w:val="24"/>
          <w:szCs w:val="24"/>
        </w:rPr>
        <w:t>J</w:t>
      </w:r>
      <w:r w:rsidRPr="006202E5">
        <w:rPr>
          <w:rFonts w:ascii="Times New Roman" w:hAnsi="Times New Roman"/>
          <w:sz w:val="24"/>
          <w:szCs w:val="24"/>
        </w:rPr>
        <w:t>a puses spēs vienoties par atvērtajiem konceptuāl</w:t>
      </w:r>
      <w:r w:rsidR="00BE4403">
        <w:rPr>
          <w:rFonts w:ascii="Times New Roman" w:hAnsi="Times New Roman"/>
          <w:sz w:val="24"/>
          <w:szCs w:val="24"/>
        </w:rPr>
        <w:t>aj</w:t>
      </w:r>
      <w:r w:rsidRPr="006202E5">
        <w:rPr>
          <w:rFonts w:ascii="Times New Roman" w:hAnsi="Times New Roman"/>
          <w:sz w:val="24"/>
          <w:szCs w:val="24"/>
        </w:rPr>
        <w:t xml:space="preserve">iem jautājumiem, 2013.gadā ir plānots pabeigt </w:t>
      </w:r>
      <w:r w:rsidR="00BE4403">
        <w:rPr>
          <w:rFonts w:ascii="Times New Roman" w:hAnsi="Times New Roman"/>
          <w:sz w:val="24"/>
          <w:szCs w:val="24"/>
        </w:rPr>
        <w:t>b</w:t>
      </w:r>
      <w:r w:rsidRPr="006202E5">
        <w:rPr>
          <w:rFonts w:ascii="Times New Roman" w:hAnsi="Times New Roman"/>
          <w:sz w:val="24"/>
          <w:szCs w:val="24"/>
        </w:rPr>
        <w:t>rīvās tirdzniecības nolīgumu sarunas ar Kanādu un Singapūru.</w:t>
      </w:r>
    </w:p>
    <w:p w:rsidR="00871110" w:rsidRPr="006202E5" w:rsidRDefault="00871110" w:rsidP="00871110">
      <w:pPr>
        <w:pStyle w:val="Heading3"/>
        <w:rPr>
          <w:szCs w:val="24"/>
        </w:rPr>
      </w:pPr>
      <w:bookmarkStart w:id="69" w:name="_Toc348089294"/>
      <w:bookmarkStart w:id="70" w:name="_Toc348948356"/>
      <w:r w:rsidRPr="006202E5">
        <w:rPr>
          <w:szCs w:val="24"/>
        </w:rPr>
        <w:t xml:space="preserve">5.3. </w:t>
      </w:r>
      <w:r w:rsidR="00982F76">
        <w:rPr>
          <w:szCs w:val="24"/>
        </w:rPr>
        <w:t>S</w:t>
      </w:r>
      <w:r w:rsidR="00982F76" w:rsidRPr="006202E5">
        <w:rPr>
          <w:szCs w:val="24"/>
        </w:rPr>
        <w:t>tratēģijas</w:t>
      </w:r>
      <w:r w:rsidR="00982F76">
        <w:rPr>
          <w:szCs w:val="24"/>
        </w:rPr>
        <w:t xml:space="preserve"> </w:t>
      </w:r>
      <w:r w:rsidR="00B167ED">
        <w:rPr>
          <w:szCs w:val="24"/>
        </w:rPr>
        <w:t>"</w:t>
      </w:r>
      <w:r w:rsidRPr="006202E5">
        <w:rPr>
          <w:szCs w:val="24"/>
        </w:rPr>
        <w:t>Eiropa 2020</w:t>
      </w:r>
      <w:r w:rsidR="00B167ED">
        <w:rPr>
          <w:szCs w:val="24"/>
        </w:rPr>
        <w:t>"</w:t>
      </w:r>
      <w:r w:rsidRPr="006202E5">
        <w:rPr>
          <w:szCs w:val="24"/>
        </w:rPr>
        <w:t xml:space="preserve"> īstenošana</w:t>
      </w:r>
      <w:bookmarkEnd w:id="69"/>
      <w:bookmarkEnd w:id="70"/>
    </w:p>
    <w:p w:rsidR="00871110" w:rsidRPr="006202E5" w:rsidRDefault="00982F76" w:rsidP="00871110">
      <w:pPr>
        <w:spacing w:after="0" w:line="240" w:lineRule="auto"/>
        <w:ind w:firstLine="709"/>
        <w:jc w:val="both"/>
        <w:rPr>
          <w:rFonts w:ascii="Times New Roman" w:hAnsi="Times New Roman"/>
          <w:sz w:val="24"/>
          <w:szCs w:val="24"/>
        </w:rPr>
      </w:pPr>
      <w:r>
        <w:rPr>
          <w:rFonts w:ascii="Times New Roman" w:hAnsi="Times New Roman"/>
          <w:sz w:val="24"/>
          <w:szCs w:val="24"/>
        </w:rPr>
        <w:t>S</w:t>
      </w:r>
      <w:r w:rsidRPr="006202E5">
        <w:rPr>
          <w:rFonts w:ascii="Times New Roman" w:hAnsi="Times New Roman"/>
          <w:sz w:val="24"/>
          <w:szCs w:val="24"/>
        </w:rPr>
        <w:t>tratēģijas</w:t>
      </w:r>
      <w:r>
        <w:rPr>
          <w:rFonts w:ascii="Times New Roman" w:hAnsi="Times New Roman"/>
          <w:sz w:val="24"/>
          <w:szCs w:val="24"/>
        </w:rPr>
        <w:t xml:space="preserve"> </w:t>
      </w:r>
      <w:r w:rsidR="00B167ED">
        <w:rPr>
          <w:rFonts w:ascii="Times New Roman" w:hAnsi="Times New Roman"/>
          <w:sz w:val="24"/>
          <w:szCs w:val="24"/>
        </w:rPr>
        <w:t>"</w:t>
      </w:r>
      <w:r w:rsidR="00871110" w:rsidRPr="006202E5">
        <w:rPr>
          <w:rFonts w:ascii="Times New Roman" w:hAnsi="Times New Roman"/>
          <w:sz w:val="24"/>
          <w:szCs w:val="24"/>
        </w:rPr>
        <w:t>Eiropa 2020</w:t>
      </w:r>
      <w:r w:rsidR="00B167ED">
        <w:rPr>
          <w:rFonts w:ascii="Times New Roman" w:hAnsi="Times New Roman"/>
          <w:sz w:val="24"/>
          <w:szCs w:val="24"/>
        </w:rPr>
        <w:t>"</w:t>
      </w:r>
      <w:r w:rsidR="00871110" w:rsidRPr="006202E5">
        <w:rPr>
          <w:rFonts w:ascii="Times New Roman" w:hAnsi="Times New Roman"/>
          <w:sz w:val="24"/>
          <w:szCs w:val="24"/>
        </w:rPr>
        <w:t xml:space="preserve"> īstenošanas un Eiropas semestra ietvaros sagatavots 2012.gada </w:t>
      </w:r>
      <w:r w:rsidR="00871110" w:rsidRPr="00982F76">
        <w:rPr>
          <w:rFonts w:ascii="Times New Roman" w:hAnsi="Times New Roman"/>
          <w:i/>
          <w:iCs/>
          <w:sz w:val="24"/>
          <w:szCs w:val="24"/>
        </w:rPr>
        <w:t xml:space="preserve">Progresa ziņojums par Latvijas nacionālās reformu programmas </w:t>
      </w:r>
      <w:r w:rsidR="00B167ED" w:rsidRPr="00982F76">
        <w:rPr>
          <w:rFonts w:ascii="Times New Roman" w:hAnsi="Times New Roman"/>
          <w:i/>
          <w:iCs/>
          <w:sz w:val="24"/>
          <w:szCs w:val="24"/>
        </w:rPr>
        <w:t>"</w:t>
      </w:r>
      <w:r w:rsidR="00871110" w:rsidRPr="00982F76">
        <w:rPr>
          <w:rFonts w:ascii="Times New Roman" w:hAnsi="Times New Roman"/>
          <w:i/>
          <w:iCs/>
          <w:sz w:val="24"/>
          <w:szCs w:val="24"/>
        </w:rPr>
        <w:t>Eiropa 2020</w:t>
      </w:r>
      <w:r w:rsidR="00B167ED" w:rsidRPr="00982F76">
        <w:rPr>
          <w:rFonts w:ascii="Times New Roman" w:hAnsi="Times New Roman"/>
          <w:i/>
          <w:iCs/>
          <w:sz w:val="24"/>
          <w:szCs w:val="24"/>
        </w:rPr>
        <w:t>"</w:t>
      </w:r>
      <w:r w:rsidR="00871110" w:rsidRPr="00982F76">
        <w:rPr>
          <w:rFonts w:ascii="Times New Roman" w:hAnsi="Times New Roman"/>
          <w:i/>
          <w:iCs/>
          <w:sz w:val="24"/>
          <w:szCs w:val="24"/>
        </w:rPr>
        <w:t xml:space="preserve"> stratēģijas kontekstā</w:t>
      </w:r>
      <w:r w:rsidR="00871110" w:rsidRPr="006202E5">
        <w:rPr>
          <w:rFonts w:ascii="Times New Roman" w:hAnsi="Times New Roman"/>
          <w:iCs/>
          <w:sz w:val="24"/>
          <w:szCs w:val="24"/>
        </w:rPr>
        <w:t xml:space="preserve"> īstenošanu</w:t>
      </w:r>
      <w:r w:rsidR="00871110" w:rsidRPr="006202E5">
        <w:rPr>
          <w:rFonts w:ascii="Times New Roman" w:hAnsi="Times New Roman"/>
          <w:sz w:val="24"/>
          <w:szCs w:val="24"/>
        </w:rPr>
        <w:t xml:space="preserve"> (apstiprināts MK 27.04.2012. un iesniegts Eiropas Komisijā 28.04.2012.). Sagatavots </w:t>
      </w:r>
      <w:r w:rsidR="00871110" w:rsidRPr="006202E5">
        <w:rPr>
          <w:rFonts w:ascii="Times New Roman" w:hAnsi="Times New Roman"/>
          <w:iCs/>
          <w:sz w:val="24"/>
          <w:szCs w:val="24"/>
        </w:rPr>
        <w:t>Informatīvais ziņojums par divpusējām sarunām ar Eiropas Komisiju</w:t>
      </w:r>
      <w:r w:rsidR="00871110" w:rsidRPr="006202E5">
        <w:rPr>
          <w:rFonts w:ascii="Times New Roman" w:hAnsi="Times New Roman"/>
          <w:sz w:val="24"/>
          <w:szCs w:val="24"/>
        </w:rPr>
        <w:t>, kurā ir atspoguļota informācija par galvenajiem pasākumiem ES Padomes rekomendāciju izpildei 2012.</w:t>
      </w:r>
      <w:r>
        <w:rPr>
          <w:rFonts w:ascii="Times New Roman" w:hAnsi="Times New Roman"/>
          <w:sz w:val="24"/>
          <w:szCs w:val="24"/>
        </w:rPr>
        <w:t>–</w:t>
      </w:r>
      <w:r w:rsidR="00871110" w:rsidRPr="006202E5">
        <w:rPr>
          <w:rFonts w:ascii="Times New Roman" w:hAnsi="Times New Roman"/>
          <w:sz w:val="24"/>
          <w:szCs w:val="24"/>
        </w:rPr>
        <w:t>2013.gadā.</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Plānots izvērtēt </w:t>
      </w:r>
      <w:r w:rsidR="00982F76" w:rsidRPr="006202E5">
        <w:rPr>
          <w:rFonts w:ascii="Times New Roman" w:hAnsi="Times New Roman"/>
          <w:sz w:val="24"/>
          <w:szCs w:val="24"/>
        </w:rPr>
        <w:t>stratēģijas</w:t>
      </w:r>
      <w:r w:rsidR="00982F76">
        <w:rPr>
          <w:rFonts w:ascii="Times New Roman" w:hAnsi="Times New Roman"/>
          <w:sz w:val="24"/>
          <w:szCs w:val="24"/>
        </w:rPr>
        <w:t xml:space="preserve"> </w:t>
      </w:r>
      <w:r w:rsidR="00B167ED">
        <w:rPr>
          <w:rFonts w:ascii="Times New Roman" w:hAnsi="Times New Roman"/>
          <w:sz w:val="24"/>
          <w:szCs w:val="24"/>
        </w:rPr>
        <w:t>"</w:t>
      </w:r>
      <w:r w:rsidRPr="006202E5">
        <w:rPr>
          <w:rFonts w:ascii="Times New Roman" w:hAnsi="Times New Roman"/>
          <w:sz w:val="24"/>
          <w:szCs w:val="24"/>
        </w:rPr>
        <w:t>Eiropa 2020</w:t>
      </w:r>
      <w:r w:rsidR="00B167ED">
        <w:rPr>
          <w:rFonts w:ascii="Times New Roman" w:hAnsi="Times New Roman"/>
          <w:sz w:val="24"/>
          <w:szCs w:val="24"/>
        </w:rPr>
        <w:t>"</w:t>
      </w:r>
      <w:r w:rsidRPr="006202E5">
        <w:rPr>
          <w:rFonts w:ascii="Times New Roman" w:hAnsi="Times New Roman"/>
          <w:sz w:val="24"/>
          <w:szCs w:val="24"/>
        </w:rPr>
        <w:t xml:space="preserve"> īstenošan</w:t>
      </w:r>
      <w:r w:rsidR="00982F76">
        <w:rPr>
          <w:rFonts w:ascii="Times New Roman" w:hAnsi="Times New Roman"/>
          <w:sz w:val="24"/>
          <w:szCs w:val="24"/>
        </w:rPr>
        <w:t>as</w:t>
      </w:r>
      <w:r w:rsidRPr="006202E5">
        <w:rPr>
          <w:rFonts w:ascii="Times New Roman" w:hAnsi="Times New Roman"/>
          <w:sz w:val="24"/>
          <w:szCs w:val="24"/>
        </w:rPr>
        <w:t xml:space="preserve"> </w:t>
      </w:r>
      <w:r w:rsidR="00982F76" w:rsidRPr="006202E5">
        <w:rPr>
          <w:rFonts w:ascii="Times New Roman" w:hAnsi="Times New Roman"/>
          <w:sz w:val="24"/>
          <w:szCs w:val="24"/>
        </w:rPr>
        <w:t>progresu</w:t>
      </w:r>
      <w:r w:rsidR="00982F76">
        <w:rPr>
          <w:rFonts w:ascii="Times New Roman" w:hAnsi="Times New Roman"/>
          <w:sz w:val="24"/>
          <w:szCs w:val="24"/>
        </w:rPr>
        <w:t>,</w:t>
      </w:r>
      <w:r w:rsidR="00982F76" w:rsidRPr="006202E5">
        <w:rPr>
          <w:rFonts w:ascii="Times New Roman" w:hAnsi="Times New Roman"/>
          <w:sz w:val="24"/>
          <w:szCs w:val="24"/>
        </w:rPr>
        <w:t xml:space="preserve"> </w:t>
      </w:r>
      <w:r w:rsidRPr="006202E5">
        <w:rPr>
          <w:rFonts w:ascii="Times New Roman" w:hAnsi="Times New Roman"/>
          <w:sz w:val="24"/>
          <w:szCs w:val="24"/>
        </w:rPr>
        <w:t>sagatavojot</w:t>
      </w:r>
      <w:r w:rsidRPr="006202E5">
        <w:rPr>
          <w:rFonts w:ascii="Times New Roman" w:hAnsi="Times New Roman"/>
          <w:i/>
          <w:iCs/>
          <w:sz w:val="24"/>
          <w:szCs w:val="24"/>
        </w:rPr>
        <w:t xml:space="preserve"> </w:t>
      </w:r>
      <w:r w:rsidR="00982F76">
        <w:rPr>
          <w:rFonts w:ascii="Times New Roman" w:hAnsi="Times New Roman"/>
          <w:iCs/>
          <w:sz w:val="24"/>
          <w:szCs w:val="24"/>
        </w:rPr>
        <w:t>nākamo p</w:t>
      </w:r>
      <w:r w:rsidRPr="006202E5">
        <w:rPr>
          <w:rFonts w:ascii="Times New Roman" w:hAnsi="Times New Roman"/>
          <w:iCs/>
          <w:sz w:val="24"/>
          <w:szCs w:val="24"/>
        </w:rPr>
        <w:t xml:space="preserve">rogresa ziņojumu par Latvijas nacionālās reformu programmas </w:t>
      </w:r>
      <w:r w:rsidR="00B167ED">
        <w:rPr>
          <w:rFonts w:ascii="Times New Roman" w:hAnsi="Times New Roman"/>
          <w:iCs/>
          <w:sz w:val="24"/>
          <w:szCs w:val="24"/>
        </w:rPr>
        <w:t>"</w:t>
      </w:r>
      <w:r w:rsidRPr="006202E5">
        <w:rPr>
          <w:rFonts w:ascii="Times New Roman" w:hAnsi="Times New Roman"/>
          <w:iCs/>
          <w:sz w:val="24"/>
          <w:szCs w:val="24"/>
        </w:rPr>
        <w:t>Eiropa 2020</w:t>
      </w:r>
      <w:r w:rsidR="00B167ED">
        <w:rPr>
          <w:rFonts w:ascii="Times New Roman" w:hAnsi="Times New Roman"/>
          <w:iCs/>
          <w:sz w:val="24"/>
          <w:szCs w:val="24"/>
        </w:rPr>
        <w:t>"</w:t>
      </w:r>
      <w:r w:rsidRPr="006202E5">
        <w:rPr>
          <w:rFonts w:ascii="Times New Roman" w:hAnsi="Times New Roman"/>
          <w:iCs/>
          <w:sz w:val="24"/>
          <w:szCs w:val="24"/>
        </w:rPr>
        <w:t xml:space="preserve"> stratēģijas kontekstā īstenošanu</w:t>
      </w:r>
      <w:r w:rsidRPr="006202E5">
        <w:rPr>
          <w:rFonts w:ascii="Times New Roman" w:hAnsi="Times New Roman"/>
          <w:sz w:val="24"/>
          <w:szCs w:val="24"/>
        </w:rPr>
        <w:t>, kas jāiesniedz EK līdz 2013.gada 30.aprīlim.</w:t>
      </w:r>
    </w:p>
    <w:p w:rsidR="00871110" w:rsidRPr="006202E5" w:rsidRDefault="00871110" w:rsidP="00871110">
      <w:pPr>
        <w:pStyle w:val="Heading3"/>
        <w:jc w:val="both"/>
        <w:rPr>
          <w:szCs w:val="24"/>
        </w:rPr>
      </w:pPr>
      <w:bookmarkStart w:id="71" w:name="_Toc348089295"/>
      <w:bookmarkStart w:id="72" w:name="_Toc348948357"/>
      <w:r w:rsidRPr="006202E5">
        <w:rPr>
          <w:szCs w:val="24"/>
        </w:rPr>
        <w:t>5.4. Informatīvo pasākumu, tajā skaitā starptautisko forumu un konferenču</w:t>
      </w:r>
      <w:r w:rsidR="00982F76">
        <w:rPr>
          <w:szCs w:val="24"/>
        </w:rPr>
        <w:t>,</w:t>
      </w:r>
      <w:r w:rsidRPr="006202E5">
        <w:rPr>
          <w:szCs w:val="24"/>
        </w:rPr>
        <w:t xml:space="preserve"> organizēšana</w:t>
      </w:r>
      <w:bookmarkEnd w:id="71"/>
      <w:bookmarkEnd w:id="72"/>
    </w:p>
    <w:p w:rsidR="00871110" w:rsidRPr="006202E5" w:rsidRDefault="00871110" w:rsidP="00871110">
      <w:pPr>
        <w:pStyle w:val="ListParagraph"/>
        <w:spacing w:after="0" w:line="240" w:lineRule="auto"/>
        <w:ind w:left="0" w:firstLine="720"/>
        <w:jc w:val="both"/>
        <w:rPr>
          <w:rFonts w:ascii="Times New Roman" w:hAnsi="Times New Roman"/>
          <w:sz w:val="24"/>
          <w:szCs w:val="24"/>
        </w:rPr>
      </w:pPr>
      <w:r w:rsidRPr="006202E5">
        <w:rPr>
          <w:rFonts w:ascii="Times New Roman" w:hAnsi="Times New Roman"/>
          <w:sz w:val="24"/>
          <w:szCs w:val="24"/>
        </w:rPr>
        <w:t xml:space="preserve">Ņemot vērā Krievijas nozīmi Latvijas ārējā tirdzniecībā, 2012.gada 2.februārī Rīgā EM sadarbībā ar Eiropas Komisiju organizēja starptautisku konferenci </w:t>
      </w:r>
      <w:r w:rsidR="00B167ED">
        <w:rPr>
          <w:rFonts w:ascii="Times New Roman" w:hAnsi="Times New Roman"/>
          <w:sz w:val="24"/>
          <w:szCs w:val="24"/>
        </w:rPr>
        <w:t>"</w:t>
      </w:r>
      <w:r w:rsidRPr="006202E5">
        <w:rPr>
          <w:rFonts w:ascii="Times New Roman" w:hAnsi="Times New Roman"/>
          <w:sz w:val="24"/>
          <w:szCs w:val="24"/>
        </w:rPr>
        <w:t>Krievijas iestāšanās PTO – biznesa iespējas</w:t>
      </w:r>
      <w:r w:rsidR="00B167ED">
        <w:rPr>
          <w:rFonts w:ascii="Times New Roman" w:hAnsi="Times New Roman"/>
          <w:sz w:val="24"/>
          <w:szCs w:val="24"/>
        </w:rPr>
        <w:t>"</w:t>
      </w:r>
      <w:r w:rsidRPr="006202E5">
        <w:rPr>
          <w:rFonts w:ascii="Times New Roman" w:hAnsi="Times New Roman"/>
          <w:sz w:val="24"/>
          <w:szCs w:val="24"/>
        </w:rPr>
        <w:t xml:space="preserve">, kuras laikā interesentiem tika sniegta informācija par izmaiņām Krievijas ārējās tirdzniecības nosacījumos pēc tās iestāšanās Pasaules Tirdzniecības </w:t>
      </w:r>
      <w:r w:rsidR="00982F76">
        <w:rPr>
          <w:rFonts w:ascii="Times New Roman" w:hAnsi="Times New Roman"/>
          <w:sz w:val="24"/>
          <w:szCs w:val="24"/>
        </w:rPr>
        <w:t>o</w:t>
      </w:r>
      <w:r w:rsidRPr="006202E5">
        <w:rPr>
          <w:rFonts w:ascii="Times New Roman" w:hAnsi="Times New Roman"/>
          <w:sz w:val="24"/>
          <w:szCs w:val="24"/>
        </w:rPr>
        <w:t>rganizācijā (turpmāk – PTO), t.sk. attiecībā uz Krievijas izcelsmes skujkoku apaļkoku eksporta tarifu kvotas sistēmu, kas tika uzsākta ar 2012.gada 1.septembri. Līdz ar lēmuma pieņemšanu par Krievijas uzņemšanu PTO 2011. gada decembrī, 2012.gadā</w:t>
      </w:r>
      <w:r w:rsidRPr="006202E5">
        <w:rPr>
          <w:rFonts w:ascii="Times New Roman" w:hAnsi="Times New Roman"/>
          <w:b/>
          <w:sz w:val="24"/>
          <w:szCs w:val="24"/>
        </w:rPr>
        <w:t xml:space="preserve"> </w:t>
      </w:r>
      <w:r w:rsidRPr="006202E5">
        <w:rPr>
          <w:rFonts w:ascii="Times New Roman" w:hAnsi="Times New Roman"/>
          <w:sz w:val="24"/>
          <w:szCs w:val="24"/>
        </w:rPr>
        <w:t xml:space="preserve">uzsākta Krievijas tirdzniecības nosacījumu un </w:t>
      </w:r>
      <w:r w:rsidR="00982F76" w:rsidRPr="006202E5">
        <w:rPr>
          <w:rFonts w:ascii="Times New Roman" w:hAnsi="Times New Roman"/>
          <w:sz w:val="24"/>
          <w:szCs w:val="24"/>
        </w:rPr>
        <w:t xml:space="preserve">PTO </w:t>
      </w:r>
      <w:r w:rsidRPr="006202E5">
        <w:rPr>
          <w:rFonts w:ascii="Times New Roman" w:hAnsi="Times New Roman"/>
          <w:sz w:val="24"/>
          <w:szCs w:val="24"/>
        </w:rPr>
        <w:t>saistību uzraudzība. Gada laikā tika aktualizēti vairāki Latvijai svarīgi tirdzniecības problēmjautājumi, tostarp jautājums par PTO praksei neatbilstošo Krievijas dzīvu cūku importa ierobežojumu, Krievijas noteikto metāllūžņu eksporta ierobežojumu caur Sanktpēterburgas ostu un Krievijas lēmumu noteikt preču importa ierobežojumus caur noteiktiem robežpārejas punktiem.</w:t>
      </w:r>
    </w:p>
    <w:p w:rsidR="00871110" w:rsidRPr="00807A1E"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Sadarbībā ar organizāciju </w:t>
      </w:r>
      <w:r w:rsidRPr="006202E5">
        <w:rPr>
          <w:rFonts w:ascii="Times New Roman" w:hAnsi="Times New Roman"/>
          <w:i/>
          <w:sz w:val="24"/>
          <w:szCs w:val="24"/>
        </w:rPr>
        <w:t>Horasis</w:t>
      </w:r>
      <w:r w:rsidRPr="006202E5">
        <w:rPr>
          <w:rFonts w:ascii="Times New Roman" w:hAnsi="Times New Roman"/>
          <w:sz w:val="24"/>
          <w:szCs w:val="24"/>
        </w:rPr>
        <w:t xml:space="preserve"> 2012.gada 25.</w:t>
      </w:r>
      <w:r w:rsidR="00982F76">
        <w:rPr>
          <w:rFonts w:ascii="Times New Roman" w:hAnsi="Times New Roman"/>
          <w:sz w:val="24"/>
          <w:szCs w:val="24"/>
        </w:rPr>
        <w:t>–</w:t>
      </w:r>
      <w:r w:rsidRPr="006202E5">
        <w:rPr>
          <w:rFonts w:ascii="Times New Roman" w:hAnsi="Times New Roman"/>
          <w:sz w:val="24"/>
          <w:szCs w:val="24"/>
        </w:rPr>
        <w:t xml:space="preserve">26.novembrī Rīgā tika organizēts 2012.gada Starptautiskais Ķīnas uzņēmējdarbības forums </w:t>
      </w:r>
      <w:r w:rsidRPr="006202E5">
        <w:rPr>
          <w:rFonts w:ascii="Times New Roman" w:hAnsi="Times New Roman"/>
          <w:i/>
          <w:sz w:val="24"/>
          <w:szCs w:val="24"/>
        </w:rPr>
        <w:t>(2012 Global China Business Meeting)</w:t>
      </w:r>
      <w:r>
        <w:rPr>
          <w:rFonts w:ascii="Times New Roman" w:hAnsi="Times New Roman"/>
          <w:sz w:val="24"/>
          <w:szCs w:val="24"/>
        </w:rPr>
        <w:t>, kurā piedalījās 441 dalībnieks.</w:t>
      </w:r>
      <w:r w:rsidRPr="006202E5">
        <w:rPr>
          <w:rFonts w:ascii="Times New Roman" w:hAnsi="Times New Roman"/>
          <w:sz w:val="24"/>
          <w:szCs w:val="24"/>
        </w:rPr>
        <w:t xml:space="preserve"> </w:t>
      </w:r>
      <w:r w:rsidRPr="00807A1E">
        <w:rPr>
          <w:rFonts w:ascii="Times New Roman" w:hAnsi="Times New Roman"/>
          <w:sz w:val="24"/>
          <w:szCs w:val="24"/>
        </w:rPr>
        <w:t>Ikgadējais Starptautiskais Ķīnas uzņēmējdarbības forums ir augstākā līmeņa Ķīnas uzņēmēju un to ārvalstu sadarbības partneru forums, kura galvenais mērķis bija radīt iespēju tikties augsta līmeņa amatpersonām un uzņēmējiem no dažādām pasaules valstīm</w:t>
      </w:r>
      <w:r>
        <w:rPr>
          <w:rFonts w:ascii="Times New Roman" w:hAnsi="Times New Roman"/>
          <w:sz w:val="24"/>
          <w:szCs w:val="24"/>
        </w:rPr>
        <w:t xml:space="preserve">.  </w:t>
      </w:r>
      <w:r w:rsidRPr="00E92119">
        <w:rPr>
          <w:rFonts w:ascii="Times New Roman" w:hAnsi="Times New Roman"/>
          <w:sz w:val="24"/>
          <w:szCs w:val="24"/>
        </w:rPr>
        <w:t xml:space="preserve">Paralēli forumam </w:t>
      </w:r>
      <w:r>
        <w:rPr>
          <w:rFonts w:ascii="Times New Roman" w:hAnsi="Times New Roman"/>
          <w:sz w:val="24"/>
          <w:szCs w:val="24"/>
        </w:rPr>
        <w:t xml:space="preserve">Ministru prezidentam un ekonomikas ministram tika </w:t>
      </w:r>
      <w:r w:rsidRPr="00E92119">
        <w:rPr>
          <w:rFonts w:ascii="Times New Roman" w:hAnsi="Times New Roman"/>
          <w:sz w:val="24"/>
          <w:szCs w:val="24"/>
        </w:rPr>
        <w:t>organizētas arī individuālās tikšanās</w:t>
      </w:r>
      <w:r>
        <w:rPr>
          <w:rFonts w:ascii="Times New Roman" w:hAnsi="Times New Roman"/>
          <w:sz w:val="24"/>
          <w:szCs w:val="24"/>
        </w:rPr>
        <w:t xml:space="preserve"> ar Ķīnas </w:t>
      </w:r>
      <w:r>
        <w:rPr>
          <w:rFonts w:ascii="Times New Roman" w:hAnsi="Times New Roman"/>
          <w:sz w:val="24"/>
          <w:szCs w:val="24"/>
        </w:rPr>
        <w:lastRenderedPageBreak/>
        <w:t xml:space="preserve">un citu valstu uzņēmējiem. </w:t>
      </w:r>
      <w:r w:rsidRPr="00103817">
        <w:rPr>
          <w:rFonts w:ascii="Times New Roman" w:hAnsi="Times New Roman"/>
          <w:sz w:val="24"/>
          <w:szCs w:val="24"/>
          <w:lang w:eastAsia="zh-CN"/>
        </w:rPr>
        <w:t>LIAA un Latvijas Ārējā ekonomiskā pārstāvniecība</w:t>
      </w:r>
      <w:r>
        <w:rPr>
          <w:rFonts w:ascii="Times New Roman" w:hAnsi="Times New Roman"/>
          <w:sz w:val="24"/>
          <w:szCs w:val="24"/>
          <w:lang w:eastAsia="zh-CN"/>
        </w:rPr>
        <w:t xml:space="preserve"> Ķīnā aktīvi strādā </w:t>
      </w:r>
      <w:r w:rsidRPr="00103817">
        <w:rPr>
          <w:rFonts w:ascii="Times New Roman" w:hAnsi="Times New Roman"/>
          <w:sz w:val="24"/>
          <w:szCs w:val="24"/>
          <w:lang w:eastAsia="zh-CN"/>
        </w:rPr>
        <w:t xml:space="preserve">ar </w:t>
      </w:r>
      <w:r>
        <w:rPr>
          <w:rFonts w:ascii="Times New Roman" w:hAnsi="Times New Roman"/>
          <w:sz w:val="24"/>
          <w:szCs w:val="24"/>
          <w:lang w:eastAsia="zh-CN"/>
        </w:rPr>
        <w:t>f</w:t>
      </w:r>
      <w:r w:rsidRPr="00103817">
        <w:rPr>
          <w:rFonts w:ascii="Times New Roman" w:hAnsi="Times New Roman"/>
          <w:sz w:val="24"/>
          <w:szCs w:val="24"/>
          <w:lang w:eastAsia="zh-CN"/>
        </w:rPr>
        <w:t>oruma laikā identificētajiem potenciālajiem sadarbības partneriem.</w:t>
      </w:r>
    </w:p>
    <w:p w:rsidR="00871110" w:rsidRPr="006202E5"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Saistībā ar</w:t>
      </w:r>
      <w:r w:rsidRPr="006202E5">
        <w:rPr>
          <w:rFonts w:ascii="Times New Roman" w:hAnsi="Times New Roman"/>
          <w:sz w:val="24"/>
          <w:szCs w:val="24"/>
        </w:rPr>
        <w:t xml:space="preserve"> ES vienotā tirgus 20.gadadienu 2012.gada 17.oktobrī Rīgā notika ES Vienotā tirgus forums. Forums tika organizēts ar mērķi </w:t>
      </w:r>
      <w:r>
        <w:rPr>
          <w:rFonts w:ascii="Times New Roman" w:hAnsi="Times New Roman"/>
          <w:sz w:val="24"/>
          <w:szCs w:val="24"/>
        </w:rPr>
        <w:t>sniegt informāciju</w:t>
      </w:r>
      <w:r w:rsidRPr="006202E5">
        <w:rPr>
          <w:rFonts w:ascii="Times New Roman" w:hAnsi="Times New Roman"/>
          <w:sz w:val="24"/>
          <w:szCs w:val="24"/>
        </w:rPr>
        <w:t xml:space="preserve"> Latvijas uzņēmēj</w:t>
      </w:r>
      <w:r>
        <w:rPr>
          <w:rFonts w:ascii="Times New Roman" w:hAnsi="Times New Roman"/>
          <w:sz w:val="24"/>
          <w:szCs w:val="24"/>
        </w:rPr>
        <w:t xml:space="preserve">iem par svarīgajiem un aktuālajiem </w:t>
      </w:r>
      <w:r w:rsidRPr="006202E5">
        <w:rPr>
          <w:rFonts w:ascii="Times New Roman" w:hAnsi="Times New Roman"/>
          <w:sz w:val="24"/>
          <w:szCs w:val="24"/>
        </w:rPr>
        <w:t>ES vienotā tirgus jautājum</w:t>
      </w:r>
      <w:r>
        <w:rPr>
          <w:rFonts w:ascii="Times New Roman" w:hAnsi="Times New Roman"/>
          <w:sz w:val="24"/>
          <w:szCs w:val="24"/>
        </w:rPr>
        <w:t>iem</w:t>
      </w:r>
      <w:r w:rsidRPr="006202E5">
        <w:rPr>
          <w:rFonts w:ascii="Times New Roman" w:hAnsi="Times New Roman"/>
          <w:sz w:val="24"/>
          <w:szCs w:val="24"/>
        </w:rPr>
        <w:t xml:space="preserve">, kas palīdzētu skaidrāk izprast </w:t>
      </w:r>
      <w:r>
        <w:rPr>
          <w:rFonts w:ascii="Times New Roman" w:hAnsi="Times New Roman"/>
          <w:sz w:val="24"/>
          <w:szCs w:val="24"/>
        </w:rPr>
        <w:t xml:space="preserve">un izmantot </w:t>
      </w:r>
      <w:r w:rsidRPr="006202E5">
        <w:rPr>
          <w:rFonts w:ascii="Times New Roman" w:hAnsi="Times New Roman"/>
          <w:sz w:val="24"/>
          <w:szCs w:val="24"/>
        </w:rPr>
        <w:t xml:space="preserve">ES vienotā tirgus regulējumu un tā piedāvātās iespējas, identificēt šķēršļus un apzināt vienotā tirgus veiksmes stāstus.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ĀM 2012.gadā organizēja 19 eksporta veicināšanas pasākumus gan par Latvijai tradicionāliem (Skandināvijas valstis, Beļģija, Krievija, Lielbritānija, Nīderlande un Vācija), gan mazāk tradicionāliem noieta tirgiem (Austrumāzija, Centrāleiropa, Centrālāzija un Līča valstis).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EM uzsākusi darbu pie 2013.gada 29.</w:t>
      </w:r>
      <w:r w:rsidR="00F3424B">
        <w:rPr>
          <w:rFonts w:ascii="Times New Roman" w:hAnsi="Times New Roman"/>
          <w:sz w:val="24"/>
          <w:szCs w:val="24"/>
        </w:rPr>
        <w:t>–</w:t>
      </w:r>
      <w:r w:rsidRPr="006202E5">
        <w:rPr>
          <w:rFonts w:ascii="Times New Roman" w:hAnsi="Times New Roman"/>
          <w:sz w:val="24"/>
          <w:szCs w:val="24"/>
        </w:rPr>
        <w:t xml:space="preserve">30.maijā Rīgā plānotā Baltijas </w:t>
      </w:r>
      <w:r w:rsidR="00F3424B">
        <w:rPr>
          <w:rFonts w:ascii="Times New Roman" w:hAnsi="Times New Roman"/>
          <w:sz w:val="24"/>
          <w:szCs w:val="24"/>
        </w:rPr>
        <w:t>a</w:t>
      </w:r>
      <w:r w:rsidRPr="006202E5">
        <w:rPr>
          <w:rFonts w:ascii="Times New Roman" w:hAnsi="Times New Roman"/>
          <w:sz w:val="24"/>
          <w:szCs w:val="24"/>
        </w:rPr>
        <w:t xml:space="preserve">ttīstības </w:t>
      </w:r>
      <w:r w:rsidR="00F3424B">
        <w:rPr>
          <w:rFonts w:ascii="Times New Roman" w:hAnsi="Times New Roman"/>
          <w:sz w:val="24"/>
          <w:szCs w:val="24"/>
        </w:rPr>
        <w:t>f</w:t>
      </w:r>
      <w:r w:rsidRPr="006202E5">
        <w:rPr>
          <w:rFonts w:ascii="Times New Roman" w:hAnsi="Times New Roman"/>
          <w:sz w:val="24"/>
          <w:szCs w:val="24"/>
        </w:rPr>
        <w:t>oruma</w:t>
      </w:r>
      <w:r w:rsidRPr="006202E5">
        <w:rPr>
          <w:rFonts w:ascii="Times New Roman" w:hAnsi="Times New Roman"/>
          <w:b/>
          <w:sz w:val="24"/>
          <w:szCs w:val="24"/>
        </w:rPr>
        <w:t xml:space="preserve"> </w:t>
      </w:r>
      <w:r w:rsidRPr="006202E5">
        <w:rPr>
          <w:rFonts w:ascii="Times New Roman" w:hAnsi="Times New Roman"/>
          <w:sz w:val="24"/>
          <w:szCs w:val="24"/>
        </w:rPr>
        <w:t xml:space="preserve">samita </w:t>
      </w:r>
      <w:r w:rsidR="00B167ED">
        <w:rPr>
          <w:rFonts w:ascii="Times New Roman" w:hAnsi="Times New Roman"/>
          <w:i/>
          <w:sz w:val="24"/>
          <w:szCs w:val="24"/>
        </w:rPr>
        <w:t>"</w:t>
      </w:r>
      <w:r w:rsidRPr="006202E5">
        <w:rPr>
          <w:rFonts w:ascii="Times New Roman" w:hAnsi="Times New Roman"/>
          <w:i/>
          <w:sz w:val="24"/>
          <w:szCs w:val="24"/>
        </w:rPr>
        <w:t>Konkurētspēja un investīcijas Baltijas jūras reģionā</w:t>
      </w:r>
      <w:r w:rsidR="00B167ED">
        <w:rPr>
          <w:rFonts w:ascii="Times New Roman" w:hAnsi="Times New Roman"/>
          <w:i/>
          <w:sz w:val="24"/>
          <w:szCs w:val="24"/>
        </w:rPr>
        <w:t>"</w:t>
      </w:r>
      <w:r w:rsidRPr="006202E5">
        <w:rPr>
          <w:rFonts w:ascii="Times New Roman" w:hAnsi="Times New Roman"/>
          <w:sz w:val="24"/>
          <w:szCs w:val="24"/>
        </w:rPr>
        <w:t xml:space="preserve"> organizēšanas, kas pulcēs aptuveni 400 reģiona ietekmīgāko lēmumu pieņēmēju no politiskām, uzņēmējdarbības un akadēmiskajām aprindām, kā arī vietējās un starptautiskās preses pārstāvjus.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2013.gadā ārlietu dienests sadarbībā ar LTRK plāno organizēt desmit apaļā galda diskusijas, kas būs veltītas konkrētas nozares uzņēmumu iespējām ārvalstu tirgos.</w:t>
      </w:r>
    </w:p>
    <w:p w:rsidR="00871110" w:rsidRPr="00C609F3"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2013.gadā plānots likt uzsvaru uz latviešu diasporas iesaistīšanu Latvijas ekonomiskajā dzīvē. Lai veicinātu investīciju piesaisti Latvijai un paplašinātu Latvijas uzņēmēju biznesa kontaktu loku ārvalstīs, ĀM </w:t>
      </w:r>
      <w:r>
        <w:rPr>
          <w:rFonts w:ascii="Times New Roman" w:hAnsi="Times New Roman"/>
          <w:sz w:val="24"/>
          <w:szCs w:val="24"/>
        </w:rPr>
        <w:t xml:space="preserve">un EM aktīvi </w:t>
      </w:r>
      <w:r w:rsidRPr="006202E5">
        <w:rPr>
          <w:rFonts w:ascii="Times New Roman" w:hAnsi="Times New Roman"/>
          <w:sz w:val="24"/>
          <w:szCs w:val="24"/>
        </w:rPr>
        <w:t xml:space="preserve">iesaistīsies Pasaules </w:t>
      </w:r>
      <w:r w:rsidR="00F3424B">
        <w:rPr>
          <w:rFonts w:ascii="Times New Roman" w:hAnsi="Times New Roman"/>
          <w:sz w:val="24"/>
          <w:szCs w:val="24"/>
        </w:rPr>
        <w:t>l</w:t>
      </w:r>
      <w:r w:rsidRPr="006202E5">
        <w:rPr>
          <w:rFonts w:ascii="Times New Roman" w:hAnsi="Times New Roman"/>
          <w:sz w:val="24"/>
          <w:szCs w:val="24"/>
        </w:rPr>
        <w:t>atviešu ekonomikas un inovāciju foruma organizēšanā 2013.gada jūlijā</w:t>
      </w:r>
      <w:r>
        <w:rPr>
          <w:rFonts w:ascii="Times New Roman" w:hAnsi="Times New Roman"/>
          <w:sz w:val="24"/>
          <w:szCs w:val="24"/>
        </w:rPr>
        <w:t>.</w:t>
      </w:r>
    </w:p>
    <w:p w:rsidR="00871110" w:rsidRPr="003C49ED" w:rsidRDefault="00871110" w:rsidP="00871110">
      <w:pPr>
        <w:pStyle w:val="Heading2"/>
      </w:pPr>
      <w:bookmarkStart w:id="73" w:name="_Toc348089296"/>
      <w:bookmarkStart w:id="74" w:name="_Toc348948358"/>
      <w:r>
        <w:t xml:space="preserve">6. </w:t>
      </w:r>
      <w:r w:rsidRPr="003C49ED">
        <w:t>Industriālā (nozaru) politika un inovācijas</w:t>
      </w:r>
      <w:bookmarkEnd w:id="73"/>
      <w:bookmarkEnd w:id="74"/>
    </w:p>
    <w:p w:rsidR="00871110" w:rsidRPr="006202E5" w:rsidRDefault="00871110" w:rsidP="00871110">
      <w:pPr>
        <w:pStyle w:val="Heading3"/>
        <w:rPr>
          <w:szCs w:val="24"/>
        </w:rPr>
      </w:pPr>
      <w:bookmarkStart w:id="75" w:name="_Toc348089297"/>
      <w:bookmarkStart w:id="76" w:name="_Toc348948359"/>
      <w:r w:rsidRPr="006202E5">
        <w:rPr>
          <w:szCs w:val="24"/>
        </w:rPr>
        <w:t>6.1. Nacionālā industriālā politika</w:t>
      </w:r>
      <w:bookmarkEnd w:id="75"/>
      <w:bookmarkEnd w:id="76"/>
    </w:p>
    <w:p w:rsidR="00871110" w:rsidRDefault="006139BB" w:rsidP="00871110">
      <w:pPr>
        <w:spacing w:after="0" w:line="240" w:lineRule="auto"/>
        <w:ind w:firstLine="709"/>
        <w:jc w:val="both"/>
        <w:rPr>
          <w:rFonts w:ascii="Times New Roman" w:hAnsi="Times New Roman"/>
          <w:sz w:val="24"/>
          <w:szCs w:val="24"/>
        </w:rPr>
      </w:pPr>
      <w:r>
        <w:rPr>
          <w:rFonts w:ascii="Times New Roman" w:hAnsi="Times New Roman"/>
          <w:sz w:val="24"/>
          <w:szCs w:val="24"/>
        </w:rPr>
        <w:t>Lai s</w:t>
      </w:r>
      <w:r w:rsidR="00871110" w:rsidRPr="006202E5">
        <w:rPr>
          <w:rFonts w:ascii="Times New Roman" w:hAnsi="Times New Roman"/>
          <w:sz w:val="24"/>
          <w:szCs w:val="24"/>
        </w:rPr>
        <w:t>ekmēt</w:t>
      </w:r>
      <w:r>
        <w:rPr>
          <w:rFonts w:ascii="Times New Roman" w:hAnsi="Times New Roman"/>
          <w:sz w:val="24"/>
          <w:szCs w:val="24"/>
        </w:rPr>
        <w:t>u</w:t>
      </w:r>
      <w:r w:rsidR="00871110" w:rsidRPr="006202E5">
        <w:rPr>
          <w:rFonts w:ascii="Times New Roman" w:hAnsi="Times New Roman"/>
          <w:sz w:val="24"/>
          <w:szCs w:val="24"/>
        </w:rPr>
        <w:t xml:space="preserve"> Latvijas ekonomikas ilgtspējīgu izaugsmi, izstrādātas un 2012.gada aprīļa beigās publicētas Nacionālās industriālās politikas (turpmāk </w:t>
      </w:r>
      <w:r>
        <w:rPr>
          <w:rFonts w:ascii="Times New Roman" w:hAnsi="Times New Roman"/>
          <w:sz w:val="24"/>
          <w:szCs w:val="24"/>
        </w:rPr>
        <w:t>–</w:t>
      </w:r>
      <w:r w:rsidR="00871110" w:rsidRPr="006202E5">
        <w:rPr>
          <w:rFonts w:ascii="Times New Roman" w:hAnsi="Times New Roman"/>
          <w:sz w:val="24"/>
          <w:szCs w:val="24"/>
        </w:rPr>
        <w:t xml:space="preserve"> NIP) vadlīnijas, kuru galvenie uzstādījumi ir integrēti NAP. </w:t>
      </w:r>
    </w:p>
    <w:p w:rsidR="00871110"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NIP galvenais</w:t>
      </w:r>
      <w:r w:rsidRPr="006202E5">
        <w:rPr>
          <w:rFonts w:ascii="Times New Roman" w:hAnsi="Times New Roman"/>
          <w:bCs/>
          <w:sz w:val="24"/>
          <w:szCs w:val="24"/>
        </w:rPr>
        <w:t xml:space="preserve"> mērķis ir veicināt ekonomikas strukturālās izmaiņas par labu preču </w:t>
      </w:r>
      <w:r w:rsidR="006139BB" w:rsidRPr="006202E5">
        <w:rPr>
          <w:rFonts w:ascii="Times New Roman" w:hAnsi="Times New Roman"/>
          <w:bCs/>
          <w:sz w:val="24"/>
          <w:szCs w:val="24"/>
        </w:rPr>
        <w:t xml:space="preserve">ražošanai </w:t>
      </w:r>
      <w:r w:rsidRPr="006202E5">
        <w:rPr>
          <w:rFonts w:ascii="Times New Roman" w:hAnsi="Times New Roman"/>
          <w:bCs/>
          <w:sz w:val="24"/>
          <w:szCs w:val="24"/>
        </w:rPr>
        <w:t xml:space="preserve">un pakalpojumu </w:t>
      </w:r>
      <w:r w:rsidR="006139BB">
        <w:rPr>
          <w:rFonts w:ascii="Times New Roman" w:hAnsi="Times New Roman"/>
          <w:bCs/>
          <w:sz w:val="24"/>
          <w:szCs w:val="24"/>
        </w:rPr>
        <w:t xml:space="preserve">sniegšanai </w:t>
      </w:r>
      <w:r w:rsidRPr="006202E5">
        <w:rPr>
          <w:rFonts w:ascii="Times New Roman" w:hAnsi="Times New Roman"/>
          <w:bCs/>
          <w:sz w:val="24"/>
          <w:szCs w:val="24"/>
        </w:rPr>
        <w:t>ar augstāku pievienoto vērtību, t.sk. rūpniecības lomas palielināšanai, rūpniecības un pakalpojumu modernizācijai un eksporta komplicētībai</w:t>
      </w:r>
      <w:r w:rsidRPr="006202E5">
        <w:rPr>
          <w:rFonts w:ascii="Times New Roman" w:hAnsi="Times New Roman"/>
          <w:sz w:val="24"/>
          <w:szCs w:val="24"/>
        </w:rPr>
        <w:t>. EM veikusi datu makroanalīzi un pirmo reizi arī mikroanalīzi</w:t>
      </w:r>
      <w:r>
        <w:rPr>
          <w:rFonts w:ascii="Times New Roman" w:hAnsi="Times New Roman"/>
          <w:sz w:val="24"/>
          <w:szCs w:val="24"/>
        </w:rPr>
        <w:t xml:space="preserve">. Visās NIP izstrādes fāzēs EM ir konsultējusies ar lielākajām nozaru asociācijām un uzņēmumu pārstāvošajām nevalstiskajām organizācijām, kā arī ir veiktas 28 uzņēmumu vadības padziļinātās intervijas, kas nodrošināja papildu informāciju par ekonomikas mikro līmeņa darbības principiem un galvenajiem izaicinājumiem. </w:t>
      </w:r>
    </w:p>
    <w:p w:rsidR="00871110" w:rsidRDefault="00871110" w:rsidP="00871110">
      <w:pPr>
        <w:spacing w:after="0" w:line="240" w:lineRule="auto"/>
        <w:ind w:firstLine="709"/>
        <w:jc w:val="both"/>
        <w:rPr>
          <w:rFonts w:ascii="Times New Roman" w:hAnsi="Times New Roman"/>
          <w:sz w:val="24"/>
          <w:szCs w:val="24"/>
        </w:rPr>
      </w:pPr>
      <w:r w:rsidRPr="00974F70">
        <w:rPr>
          <w:rFonts w:ascii="Times New Roman" w:hAnsi="Times New Roman"/>
          <w:sz w:val="24"/>
          <w:szCs w:val="24"/>
        </w:rPr>
        <w:t>Anal</w:t>
      </w:r>
      <w:r w:rsidR="006139BB">
        <w:rPr>
          <w:rFonts w:ascii="Times New Roman" w:hAnsi="Times New Roman"/>
          <w:sz w:val="24"/>
          <w:szCs w:val="24"/>
        </w:rPr>
        <w:t>izējot</w:t>
      </w:r>
      <w:r w:rsidRPr="00974F70">
        <w:rPr>
          <w:rFonts w:ascii="Times New Roman" w:hAnsi="Times New Roman"/>
          <w:sz w:val="24"/>
          <w:szCs w:val="24"/>
        </w:rPr>
        <w:t xml:space="preserve"> </w:t>
      </w:r>
      <w:r>
        <w:rPr>
          <w:rFonts w:ascii="Times New Roman" w:hAnsi="Times New Roman"/>
          <w:sz w:val="24"/>
          <w:szCs w:val="24"/>
        </w:rPr>
        <w:t>ir definētas piecas</w:t>
      </w:r>
      <w:r w:rsidRPr="00974F70">
        <w:rPr>
          <w:rFonts w:ascii="Times New Roman" w:hAnsi="Times New Roman"/>
          <w:sz w:val="24"/>
          <w:szCs w:val="24"/>
        </w:rPr>
        <w:t xml:space="preserve"> </w:t>
      </w:r>
      <w:r w:rsidR="001E1576">
        <w:rPr>
          <w:rFonts w:ascii="Times New Roman" w:hAnsi="Times New Roman"/>
          <w:sz w:val="24"/>
          <w:szCs w:val="24"/>
        </w:rPr>
        <w:t xml:space="preserve">problēmu </w:t>
      </w:r>
      <w:r w:rsidRPr="00974F70">
        <w:rPr>
          <w:rFonts w:ascii="Times New Roman" w:hAnsi="Times New Roman"/>
          <w:sz w:val="24"/>
          <w:szCs w:val="24"/>
        </w:rPr>
        <w:t xml:space="preserve">izaicinājumu kategorijas: </w:t>
      </w:r>
      <w:r w:rsidR="001E1576">
        <w:rPr>
          <w:rFonts w:ascii="Times New Roman" w:hAnsi="Times New Roman"/>
          <w:sz w:val="24"/>
          <w:szCs w:val="24"/>
        </w:rPr>
        <w:t>1) </w:t>
      </w:r>
      <w:r>
        <w:rPr>
          <w:rFonts w:ascii="Times New Roman" w:hAnsi="Times New Roman"/>
          <w:sz w:val="24"/>
          <w:szCs w:val="24"/>
        </w:rPr>
        <w:t>zemā</w:t>
      </w:r>
      <w:r w:rsidRPr="00974F70">
        <w:rPr>
          <w:rFonts w:ascii="Times New Roman" w:hAnsi="Times New Roman"/>
          <w:sz w:val="24"/>
          <w:szCs w:val="24"/>
        </w:rPr>
        <w:t xml:space="preserve"> produktivitāt</w:t>
      </w:r>
      <w:r>
        <w:rPr>
          <w:rFonts w:ascii="Times New Roman" w:hAnsi="Times New Roman"/>
          <w:sz w:val="24"/>
          <w:szCs w:val="24"/>
        </w:rPr>
        <w:t>e</w:t>
      </w:r>
      <w:r w:rsidRPr="00974F70">
        <w:rPr>
          <w:rFonts w:ascii="Times New Roman" w:hAnsi="Times New Roman"/>
          <w:sz w:val="24"/>
          <w:szCs w:val="24"/>
        </w:rPr>
        <w:t xml:space="preserve"> un vāj</w:t>
      </w:r>
      <w:r>
        <w:rPr>
          <w:rFonts w:ascii="Times New Roman" w:hAnsi="Times New Roman"/>
          <w:sz w:val="24"/>
          <w:szCs w:val="24"/>
        </w:rPr>
        <w:t>ais</w:t>
      </w:r>
      <w:r w:rsidRPr="00974F70">
        <w:rPr>
          <w:rFonts w:ascii="Times New Roman" w:hAnsi="Times New Roman"/>
          <w:sz w:val="24"/>
          <w:szCs w:val="24"/>
        </w:rPr>
        <w:t xml:space="preserve"> inovācijas sniegum</w:t>
      </w:r>
      <w:r>
        <w:rPr>
          <w:rFonts w:ascii="Times New Roman" w:hAnsi="Times New Roman"/>
          <w:sz w:val="24"/>
          <w:szCs w:val="24"/>
        </w:rPr>
        <w:t>s,</w:t>
      </w:r>
      <w:r w:rsidRPr="00974F70">
        <w:rPr>
          <w:rFonts w:ascii="Times New Roman" w:hAnsi="Times New Roman"/>
          <w:sz w:val="24"/>
          <w:szCs w:val="24"/>
        </w:rPr>
        <w:t xml:space="preserve"> </w:t>
      </w:r>
      <w:r w:rsidR="001E1576">
        <w:rPr>
          <w:rFonts w:ascii="Times New Roman" w:hAnsi="Times New Roman"/>
          <w:sz w:val="24"/>
          <w:szCs w:val="24"/>
        </w:rPr>
        <w:t>2) </w:t>
      </w:r>
      <w:r w:rsidRPr="00974F70">
        <w:rPr>
          <w:rFonts w:ascii="Times New Roman" w:hAnsi="Times New Roman"/>
          <w:sz w:val="24"/>
          <w:szCs w:val="24"/>
        </w:rPr>
        <w:t>darba spēka izmaks</w:t>
      </w:r>
      <w:r>
        <w:rPr>
          <w:rFonts w:ascii="Times New Roman" w:hAnsi="Times New Roman"/>
          <w:sz w:val="24"/>
          <w:szCs w:val="24"/>
        </w:rPr>
        <w:t>as</w:t>
      </w:r>
      <w:r w:rsidRPr="00974F70">
        <w:rPr>
          <w:rFonts w:ascii="Times New Roman" w:hAnsi="Times New Roman"/>
          <w:sz w:val="24"/>
          <w:szCs w:val="24"/>
        </w:rPr>
        <w:t xml:space="preserve"> un cenu konkurētspēj</w:t>
      </w:r>
      <w:r>
        <w:rPr>
          <w:rFonts w:ascii="Times New Roman" w:hAnsi="Times New Roman"/>
          <w:sz w:val="24"/>
          <w:szCs w:val="24"/>
        </w:rPr>
        <w:t>a,</w:t>
      </w:r>
      <w:r w:rsidRPr="00974F70">
        <w:rPr>
          <w:rFonts w:ascii="Times New Roman" w:hAnsi="Times New Roman"/>
          <w:sz w:val="24"/>
          <w:szCs w:val="24"/>
        </w:rPr>
        <w:t xml:space="preserve"> </w:t>
      </w:r>
      <w:r w:rsidR="001E1576">
        <w:rPr>
          <w:rFonts w:ascii="Times New Roman" w:hAnsi="Times New Roman"/>
          <w:sz w:val="24"/>
          <w:szCs w:val="24"/>
        </w:rPr>
        <w:t>3) </w:t>
      </w:r>
      <w:r w:rsidRPr="00974F70">
        <w:rPr>
          <w:rFonts w:ascii="Times New Roman" w:hAnsi="Times New Roman"/>
          <w:sz w:val="24"/>
          <w:szCs w:val="24"/>
        </w:rPr>
        <w:t>demogrāfisk</w:t>
      </w:r>
      <w:r>
        <w:rPr>
          <w:rFonts w:ascii="Times New Roman" w:hAnsi="Times New Roman"/>
          <w:sz w:val="24"/>
          <w:szCs w:val="24"/>
        </w:rPr>
        <w:t>ā</w:t>
      </w:r>
      <w:r w:rsidRPr="00974F70">
        <w:rPr>
          <w:rFonts w:ascii="Times New Roman" w:hAnsi="Times New Roman"/>
          <w:sz w:val="24"/>
          <w:szCs w:val="24"/>
        </w:rPr>
        <w:t xml:space="preserve"> situācij</w:t>
      </w:r>
      <w:r>
        <w:rPr>
          <w:rFonts w:ascii="Times New Roman" w:hAnsi="Times New Roman"/>
          <w:sz w:val="24"/>
          <w:szCs w:val="24"/>
        </w:rPr>
        <w:t>a</w:t>
      </w:r>
      <w:r w:rsidRPr="00974F70">
        <w:rPr>
          <w:rFonts w:ascii="Times New Roman" w:hAnsi="Times New Roman"/>
          <w:sz w:val="24"/>
          <w:szCs w:val="24"/>
        </w:rPr>
        <w:t xml:space="preserve">, </w:t>
      </w:r>
      <w:r w:rsidR="001E1576">
        <w:rPr>
          <w:rFonts w:ascii="Times New Roman" w:hAnsi="Times New Roman"/>
          <w:sz w:val="24"/>
          <w:szCs w:val="24"/>
        </w:rPr>
        <w:t>4) </w:t>
      </w:r>
      <w:r w:rsidRPr="00974F70">
        <w:rPr>
          <w:rFonts w:ascii="Times New Roman" w:hAnsi="Times New Roman"/>
          <w:sz w:val="24"/>
          <w:szCs w:val="24"/>
        </w:rPr>
        <w:t xml:space="preserve">finansējuma ierobežojumi un </w:t>
      </w:r>
      <w:r w:rsidR="001E1576">
        <w:rPr>
          <w:rFonts w:ascii="Times New Roman" w:hAnsi="Times New Roman"/>
          <w:sz w:val="24"/>
          <w:szCs w:val="24"/>
        </w:rPr>
        <w:t>5) </w:t>
      </w:r>
      <w:r w:rsidRPr="00974F70">
        <w:rPr>
          <w:rFonts w:ascii="Times New Roman" w:hAnsi="Times New Roman"/>
          <w:sz w:val="24"/>
          <w:szCs w:val="24"/>
        </w:rPr>
        <w:t>starptautiskā biznesa transformācij</w:t>
      </w:r>
      <w:r>
        <w:rPr>
          <w:rFonts w:ascii="Times New Roman" w:hAnsi="Times New Roman"/>
          <w:sz w:val="24"/>
          <w:szCs w:val="24"/>
        </w:rPr>
        <w:t>a. Lai efektīvi risinātu š</w:t>
      </w:r>
      <w:r w:rsidR="001E1576">
        <w:rPr>
          <w:rFonts w:ascii="Times New Roman" w:hAnsi="Times New Roman"/>
          <w:sz w:val="24"/>
          <w:szCs w:val="24"/>
        </w:rPr>
        <w:t>īs</w:t>
      </w:r>
      <w:r>
        <w:rPr>
          <w:rFonts w:ascii="Times New Roman" w:hAnsi="Times New Roman"/>
          <w:sz w:val="24"/>
          <w:szCs w:val="24"/>
        </w:rPr>
        <w:t xml:space="preserve"> </w:t>
      </w:r>
      <w:r w:rsidR="001E1576">
        <w:rPr>
          <w:rFonts w:ascii="Times New Roman" w:hAnsi="Times New Roman"/>
          <w:sz w:val="24"/>
          <w:szCs w:val="24"/>
        </w:rPr>
        <w:t>problēmas</w:t>
      </w:r>
      <w:r>
        <w:rPr>
          <w:rFonts w:ascii="Times New Roman" w:hAnsi="Times New Roman"/>
          <w:sz w:val="24"/>
          <w:szCs w:val="24"/>
        </w:rPr>
        <w:t xml:space="preserve">, </w:t>
      </w:r>
      <w:r w:rsidRPr="00974F70">
        <w:rPr>
          <w:rFonts w:ascii="Times New Roman" w:hAnsi="Times New Roman"/>
          <w:sz w:val="24"/>
          <w:szCs w:val="24"/>
        </w:rPr>
        <w:t xml:space="preserve">NIP </w:t>
      </w:r>
      <w:r>
        <w:rPr>
          <w:rFonts w:ascii="Times New Roman" w:hAnsi="Times New Roman"/>
          <w:sz w:val="24"/>
          <w:szCs w:val="24"/>
        </w:rPr>
        <w:t>to</w:t>
      </w:r>
      <w:r w:rsidRPr="00974F70">
        <w:rPr>
          <w:rFonts w:ascii="Times New Roman" w:hAnsi="Times New Roman"/>
          <w:sz w:val="24"/>
          <w:szCs w:val="24"/>
        </w:rPr>
        <w:t xml:space="preserve"> mazināšan</w:t>
      </w:r>
      <w:r>
        <w:rPr>
          <w:rFonts w:ascii="Times New Roman" w:hAnsi="Times New Roman"/>
          <w:sz w:val="24"/>
          <w:szCs w:val="24"/>
        </w:rPr>
        <w:t>ai</w:t>
      </w:r>
      <w:r w:rsidRPr="00974F70">
        <w:rPr>
          <w:rFonts w:ascii="Times New Roman" w:hAnsi="Times New Roman"/>
          <w:sz w:val="24"/>
          <w:szCs w:val="24"/>
        </w:rPr>
        <w:t xml:space="preserve"> </w:t>
      </w:r>
      <w:r w:rsidR="001E1576">
        <w:rPr>
          <w:rFonts w:ascii="Times New Roman" w:hAnsi="Times New Roman"/>
          <w:sz w:val="24"/>
          <w:szCs w:val="24"/>
        </w:rPr>
        <w:t>paredz īstenot aktivitātes</w:t>
      </w:r>
      <w:r w:rsidR="001E1576" w:rsidRPr="00974F70">
        <w:rPr>
          <w:rFonts w:ascii="Times New Roman" w:hAnsi="Times New Roman"/>
          <w:sz w:val="24"/>
          <w:szCs w:val="24"/>
        </w:rPr>
        <w:t xml:space="preserve"> </w:t>
      </w:r>
      <w:r>
        <w:rPr>
          <w:rFonts w:ascii="Times New Roman" w:hAnsi="Times New Roman"/>
          <w:sz w:val="24"/>
          <w:szCs w:val="24"/>
        </w:rPr>
        <w:t>šādās</w:t>
      </w:r>
      <w:r w:rsidRPr="00974F70">
        <w:rPr>
          <w:rFonts w:ascii="Times New Roman" w:hAnsi="Times New Roman"/>
          <w:sz w:val="24"/>
          <w:szCs w:val="24"/>
        </w:rPr>
        <w:t xml:space="preserve"> jomās: darba spēka pieejamība un prasm</w:t>
      </w:r>
      <w:r>
        <w:rPr>
          <w:rFonts w:ascii="Times New Roman" w:hAnsi="Times New Roman"/>
          <w:sz w:val="24"/>
          <w:szCs w:val="24"/>
        </w:rPr>
        <w:t>ju pilnveidošana</w:t>
      </w:r>
      <w:r w:rsidRPr="00974F70">
        <w:rPr>
          <w:rFonts w:ascii="Times New Roman" w:hAnsi="Times New Roman"/>
          <w:sz w:val="24"/>
          <w:szCs w:val="24"/>
        </w:rPr>
        <w:t xml:space="preserve">, industriālo </w:t>
      </w:r>
      <w:r>
        <w:rPr>
          <w:rFonts w:ascii="Times New Roman" w:hAnsi="Times New Roman"/>
          <w:sz w:val="24"/>
          <w:szCs w:val="24"/>
        </w:rPr>
        <w:t>telpu un teritoriju</w:t>
      </w:r>
      <w:r w:rsidRPr="00974F70">
        <w:rPr>
          <w:rFonts w:ascii="Times New Roman" w:hAnsi="Times New Roman"/>
          <w:sz w:val="24"/>
          <w:szCs w:val="24"/>
        </w:rPr>
        <w:t xml:space="preserve"> pieejamība, finanšu pieejamība</w:t>
      </w:r>
      <w:r>
        <w:rPr>
          <w:rFonts w:ascii="Times New Roman" w:hAnsi="Times New Roman"/>
          <w:sz w:val="24"/>
          <w:szCs w:val="24"/>
        </w:rPr>
        <w:t>s nodrošināšana</w:t>
      </w:r>
      <w:r w:rsidRPr="00974F70">
        <w:rPr>
          <w:rFonts w:ascii="Times New Roman" w:hAnsi="Times New Roman"/>
          <w:sz w:val="24"/>
          <w:szCs w:val="24"/>
        </w:rPr>
        <w:t>, inovācijas veicināšana, eksporta veicināšana un energoresursu izmaksas.</w:t>
      </w:r>
    </w:p>
    <w:p w:rsidR="008413F7" w:rsidRDefault="008413F7" w:rsidP="008413F7">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Vienlaikus, lai pirms dokumenta oficiālās pieņemšanas sāktu politikas īstenošanu, EM 2012.gadā sagatavojusi vai </w:t>
      </w:r>
      <w:r w:rsidR="001E1576">
        <w:rPr>
          <w:rFonts w:ascii="Times New Roman" w:hAnsi="Times New Roman" w:cs="Times New Roman"/>
          <w:sz w:val="24"/>
          <w:szCs w:val="24"/>
        </w:rPr>
        <w:t xml:space="preserve">jau </w:t>
      </w:r>
      <w:r>
        <w:rPr>
          <w:rFonts w:ascii="Times New Roman" w:hAnsi="Times New Roman" w:cs="Times New Roman"/>
          <w:sz w:val="24"/>
          <w:szCs w:val="24"/>
        </w:rPr>
        <w:t xml:space="preserve">sākusi </w:t>
      </w:r>
      <w:r w:rsidR="001E1576">
        <w:rPr>
          <w:rFonts w:ascii="Times New Roman" w:hAnsi="Times New Roman" w:cs="Times New Roman"/>
          <w:sz w:val="24"/>
          <w:szCs w:val="24"/>
        </w:rPr>
        <w:t xml:space="preserve">īstenot </w:t>
      </w:r>
      <w:r>
        <w:rPr>
          <w:rFonts w:ascii="Times New Roman" w:hAnsi="Times New Roman" w:cs="Times New Roman"/>
          <w:sz w:val="24"/>
          <w:szCs w:val="24"/>
        </w:rPr>
        <w:t>vairāku</w:t>
      </w:r>
      <w:r w:rsidR="001E1576">
        <w:rPr>
          <w:rFonts w:ascii="Times New Roman" w:hAnsi="Times New Roman" w:cs="Times New Roman"/>
          <w:sz w:val="24"/>
          <w:szCs w:val="24"/>
        </w:rPr>
        <w:t>s</w:t>
      </w:r>
      <w:r>
        <w:rPr>
          <w:rFonts w:ascii="Times New Roman" w:hAnsi="Times New Roman" w:cs="Times New Roman"/>
          <w:sz w:val="24"/>
          <w:szCs w:val="24"/>
        </w:rPr>
        <w:t xml:space="preserve"> pilotprojektu</w:t>
      </w:r>
      <w:r w:rsidR="001E1576">
        <w:rPr>
          <w:rFonts w:ascii="Times New Roman" w:hAnsi="Times New Roman" w:cs="Times New Roman"/>
          <w:sz w:val="24"/>
          <w:szCs w:val="24"/>
        </w:rPr>
        <w:t>s</w:t>
      </w:r>
      <w:r w:rsidRPr="00F216A7">
        <w:rPr>
          <w:rFonts w:ascii="Times New Roman" w:hAnsi="Times New Roman"/>
          <w:sz w:val="24"/>
          <w:szCs w:val="24"/>
        </w:rPr>
        <w:t>, piemēram, programm</w:t>
      </w:r>
      <w:r w:rsidR="001E1576">
        <w:rPr>
          <w:rFonts w:ascii="Times New Roman" w:hAnsi="Times New Roman"/>
          <w:sz w:val="24"/>
          <w:szCs w:val="24"/>
        </w:rPr>
        <w:t>u</w:t>
      </w:r>
      <w:r w:rsidRPr="00F216A7">
        <w:rPr>
          <w:rFonts w:ascii="Times New Roman" w:hAnsi="Times New Roman"/>
          <w:sz w:val="24"/>
          <w:szCs w:val="24"/>
        </w:rPr>
        <w:t xml:space="preserve"> </w:t>
      </w:r>
      <w:r w:rsidR="001E1576">
        <w:rPr>
          <w:rFonts w:ascii="Times New Roman" w:hAnsi="Times New Roman"/>
          <w:sz w:val="24"/>
          <w:szCs w:val="24"/>
        </w:rPr>
        <w:t>"</w:t>
      </w:r>
      <w:r w:rsidRPr="00F216A7">
        <w:rPr>
          <w:rFonts w:ascii="Times New Roman" w:hAnsi="Times New Roman"/>
          <w:sz w:val="24"/>
          <w:szCs w:val="24"/>
        </w:rPr>
        <w:t>zaļās</w:t>
      </w:r>
      <w:r w:rsidR="001E1576">
        <w:rPr>
          <w:rFonts w:ascii="Times New Roman" w:hAnsi="Times New Roman"/>
          <w:sz w:val="24"/>
          <w:szCs w:val="24"/>
        </w:rPr>
        <w:t>"</w:t>
      </w:r>
      <w:r w:rsidRPr="00F216A7">
        <w:rPr>
          <w:rFonts w:ascii="Times New Roman" w:hAnsi="Times New Roman"/>
          <w:sz w:val="24"/>
          <w:szCs w:val="24"/>
        </w:rPr>
        <w:t xml:space="preserve"> ražošanas attīstībai Latvijā ar 8 miljonu latu finansējumu, izaugsmes </w:t>
      </w:r>
      <w:r w:rsidRPr="00F216A7">
        <w:rPr>
          <w:rFonts w:ascii="Times New Roman" w:hAnsi="Times New Roman"/>
          <w:sz w:val="24"/>
          <w:szCs w:val="24"/>
        </w:rPr>
        <w:lastRenderedPageBreak/>
        <w:t>kapitāla instrument</w:t>
      </w:r>
      <w:r w:rsidR="001E1576">
        <w:rPr>
          <w:rFonts w:ascii="Times New Roman" w:hAnsi="Times New Roman"/>
          <w:sz w:val="24"/>
          <w:szCs w:val="24"/>
        </w:rPr>
        <w:t>u</w:t>
      </w:r>
      <w:r w:rsidRPr="00F216A7">
        <w:rPr>
          <w:rFonts w:ascii="Times New Roman" w:hAnsi="Times New Roman"/>
          <w:sz w:val="24"/>
          <w:szCs w:val="24"/>
        </w:rPr>
        <w:t xml:space="preserve"> ar 28 miljonu latu finansējumu</w:t>
      </w:r>
      <w:r w:rsidR="001E1576">
        <w:rPr>
          <w:rFonts w:ascii="Times New Roman" w:hAnsi="Times New Roman"/>
          <w:sz w:val="24"/>
          <w:szCs w:val="24"/>
        </w:rPr>
        <w:t>;</w:t>
      </w:r>
      <w:r w:rsidRPr="00F216A7">
        <w:rPr>
          <w:rFonts w:ascii="Times New Roman" w:hAnsi="Times New Roman"/>
          <w:sz w:val="24"/>
          <w:szCs w:val="24"/>
        </w:rPr>
        <w:t xml:space="preserve"> saskaņošanas procesā ar Eiropas Komisiju ir programma ražošanas telpu renovācijai reģionos 1</w:t>
      </w:r>
      <w:r>
        <w:rPr>
          <w:rFonts w:ascii="Times New Roman" w:hAnsi="Times New Roman"/>
          <w:sz w:val="24"/>
          <w:szCs w:val="24"/>
        </w:rPr>
        <w:t>3</w:t>
      </w:r>
      <w:r w:rsidRPr="00F216A7">
        <w:rPr>
          <w:rFonts w:ascii="Times New Roman" w:hAnsi="Times New Roman"/>
          <w:sz w:val="24"/>
          <w:szCs w:val="24"/>
        </w:rPr>
        <w:t xml:space="preserve"> miljonu latu apmērā. Tāpat </w:t>
      </w:r>
      <w:r w:rsidRPr="008413F7">
        <w:rPr>
          <w:rFonts w:ascii="Times New Roman" w:hAnsi="Times New Roman"/>
          <w:sz w:val="24"/>
          <w:szCs w:val="24"/>
        </w:rPr>
        <w:t>saskaņā ar NIP paredzētajiem uzstādījumiem likumdošanā nostiprināts darbaspēka nodokļu reformas plāns, kas paredz trīs gadu laikā iedzīvotāju ienākuma nodokli samazināt par 5 procentpunktiem.</w:t>
      </w:r>
      <w:r w:rsidRPr="00F216A7">
        <w:rPr>
          <w:rFonts w:ascii="Times New Roman" w:hAnsi="Times New Roman"/>
          <w:sz w:val="24"/>
          <w:szCs w:val="24"/>
        </w:rPr>
        <w:t xml:space="preserve"> </w:t>
      </w:r>
    </w:p>
    <w:p w:rsidR="00871110" w:rsidRPr="006202E5"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NIP</w:t>
      </w:r>
      <w:r w:rsidRPr="006202E5">
        <w:rPr>
          <w:rFonts w:ascii="Times New Roman" w:hAnsi="Times New Roman"/>
          <w:sz w:val="24"/>
          <w:szCs w:val="24"/>
        </w:rPr>
        <w:t xml:space="preserve"> pamatnostādnes 2013</w:t>
      </w:r>
      <w:r>
        <w:rPr>
          <w:rFonts w:ascii="Times New Roman" w:hAnsi="Times New Roman"/>
          <w:sz w:val="24"/>
          <w:szCs w:val="24"/>
        </w:rPr>
        <w:t>.</w:t>
      </w:r>
      <w:r w:rsidR="00A80BE8">
        <w:rPr>
          <w:rFonts w:ascii="Times New Roman" w:hAnsi="Times New Roman"/>
          <w:sz w:val="24"/>
          <w:szCs w:val="24"/>
        </w:rPr>
        <w:t>–</w:t>
      </w:r>
      <w:r w:rsidRPr="006202E5">
        <w:rPr>
          <w:rFonts w:ascii="Times New Roman" w:hAnsi="Times New Roman"/>
          <w:sz w:val="24"/>
          <w:szCs w:val="24"/>
        </w:rPr>
        <w:t>2020.gadam</w:t>
      </w:r>
      <w:r>
        <w:rPr>
          <w:rFonts w:ascii="Times New Roman" w:hAnsi="Times New Roman"/>
          <w:sz w:val="24"/>
          <w:szCs w:val="24"/>
        </w:rPr>
        <w:t xml:space="preserve"> </w:t>
      </w:r>
      <w:r w:rsidRPr="006202E5">
        <w:rPr>
          <w:rFonts w:ascii="Times New Roman" w:hAnsi="Times New Roman"/>
          <w:sz w:val="24"/>
          <w:szCs w:val="24"/>
        </w:rPr>
        <w:t>plānots</w:t>
      </w:r>
      <w:r>
        <w:rPr>
          <w:rFonts w:ascii="Times New Roman" w:hAnsi="Times New Roman"/>
          <w:sz w:val="24"/>
          <w:szCs w:val="24"/>
        </w:rPr>
        <w:t xml:space="preserve"> </w:t>
      </w:r>
      <w:r w:rsidRPr="006202E5">
        <w:rPr>
          <w:rFonts w:ascii="Times New Roman" w:hAnsi="Times New Roman"/>
          <w:sz w:val="24"/>
          <w:szCs w:val="24"/>
        </w:rPr>
        <w:t>apstiprināt</w:t>
      </w:r>
      <w:r>
        <w:rPr>
          <w:rFonts w:ascii="Times New Roman" w:hAnsi="Times New Roman"/>
          <w:sz w:val="24"/>
          <w:szCs w:val="24"/>
        </w:rPr>
        <w:t xml:space="preserve"> MK</w:t>
      </w:r>
      <w:r w:rsidRPr="006202E5">
        <w:rPr>
          <w:rFonts w:ascii="Times New Roman" w:hAnsi="Times New Roman"/>
          <w:sz w:val="24"/>
          <w:szCs w:val="24"/>
        </w:rPr>
        <w:t xml:space="preserve"> 2013.</w:t>
      </w:r>
      <w:r w:rsidR="00A80BE8">
        <w:rPr>
          <w:rFonts w:ascii="Times New Roman" w:hAnsi="Times New Roman"/>
          <w:sz w:val="24"/>
          <w:szCs w:val="24"/>
        </w:rPr>
        <w:t>gadā.</w:t>
      </w:r>
      <w:r w:rsidRPr="006202E5">
        <w:rPr>
          <w:rFonts w:ascii="Times New Roman" w:hAnsi="Times New Roman"/>
          <w:sz w:val="24"/>
          <w:szCs w:val="24"/>
        </w:rPr>
        <w:t xml:space="preserve"> </w:t>
      </w:r>
      <w:r>
        <w:rPr>
          <w:rFonts w:ascii="Times New Roman" w:hAnsi="Times New Roman"/>
          <w:sz w:val="24"/>
          <w:szCs w:val="24"/>
        </w:rPr>
        <w:t xml:space="preserve">Tāpat, vadoties </w:t>
      </w:r>
      <w:r w:rsidR="006D7AB4">
        <w:rPr>
          <w:rFonts w:ascii="Times New Roman" w:hAnsi="Times New Roman"/>
          <w:sz w:val="24"/>
          <w:szCs w:val="24"/>
        </w:rPr>
        <w:t>pēc</w:t>
      </w:r>
      <w:r>
        <w:rPr>
          <w:rFonts w:ascii="Times New Roman" w:hAnsi="Times New Roman"/>
          <w:sz w:val="24"/>
          <w:szCs w:val="24"/>
        </w:rPr>
        <w:t xml:space="preserve"> NIP uzstādījumiem, 2013.gadā plānots apstiprināt MK </w:t>
      </w:r>
      <w:r w:rsidRPr="006202E5">
        <w:rPr>
          <w:rFonts w:ascii="Times New Roman" w:hAnsi="Times New Roman"/>
          <w:sz w:val="24"/>
          <w:szCs w:val="24"/>
        </w:rPr>
        <w:t>Latvijas preču un pakalpojumu eksporta veicināšanas un ārvalstu investīciju piesaistes pamatnostādnes 2013.</w:t>
      </w:r>
      <w:r w:rsidR="00A80BE8">
        <w:rPr>
          <w:rFonts w:ascii="Times New Roman" w:hAnsi="Times New Roman"/>
          <w:sz w:val="24"/>
          <w:szCs w:val="24"/>
        </w:rPr>
        <w:t>–</w:t>
      </w:r>
      <w:r w:rsidRPr="006202E5">
        <w:rPr>
          <w:rFonts w:ascii="Times New Roman" w:hAnsi="Times New Roman"/>
          <w:sz w:val="24"/>
          <w:szCs w:val="24"/>
        </w:rPr>
        <w:t>2019.gadam.</w:t>
      </w:r>
      <w:r>
        <w:rPr>
          <w:rFonts w:ascii="Times New Roman" w:hAnsi="Times New Roman"/>
          <w:sz w:val="24"/>
          <w:szCs w:val="24"/>
        </w:rPr>
        <w:t xml:space="preserve"> </w:t>
      </w:r>
    </w:p>
    <w:p w:rsidR="00871110" w:rsidRPr="006202E5" w:rsidRDefault="00871110" w:rsidP="00871110">
      <w:pPr>
        <w:pStyle w:val="Heading3"/>
        <w:rPr>
          <w:szCs w:val="24"/>
        </w:rPr>
      </w:pPr>
      <w:bookmarkStart w:id="77" w:name="_Toc348089298"/>
      <w:bookmarkStart w:id="78" w:name="_Toc348948360"/>
      <w:r w:rsidRPr="006202E5">
        <w:rPr>
          <w:szCs w:val="24"/>
        </w:rPr>
        <w:t>6.2. Uzņēmējdarbības atbalsta instrumenti</w:t>
      </w:r>
      <w:bookmarkEnd w:id="77"/>
      <w:bookmarkEnd w:id="78"/>
    </w:p>
    <w:p w:rsidR="00871110" w:rsidRPr="006202E5" w:rsidRDefault="00871110" w:rsidP="00871110">
      <w:pPr>
        <w:pStyle w:val="ListParagraph"/>
        <w:spacing w:after="0" w:line="240" w:lineRule="auto"/>
        <w:ind w:left="0" w:firstLine="709"/>
        <w:jc w:val="both"/>
        <w:rPr>
          <w:rFonts w:ascii="Times New Roman" w:hAnsi="Times New Roman"/>
          <w:sz w:val="24"/>
          <w:szCs w:val="24"/>
        </w:rPr>
      </w:pPr>
      <w:r w:rsidRPr="006202E5">
        <w:rPr>
          <w:rFonts w:ascii="Times New Roman" w:hAnsi="Times New Roman"/>
          <w:sz w:val="24"/>
          <w:szCs w:val="24"/>
        </w:rPr>
        <w:t xml:space="preserve">Sniedzot atbalstu komersantiem par nozīmīgu investīciju projektu īstenošanu, EM nodrošinājusi lielo investīciju projektu dokumentācijas izvērtēšanu un attiecīga lēmuma projekta iesniegšanu Ministru kabinetā. Kopš iniciatīvas uzsākšanas līdz 2012.gada beigām Ministru kabinetā ir atbalstīti pieci lielo investīciju projekti par kopējo ieguldījumu summu 32,2 milj. latu: AS </w:t>
      </w:r>
      <w:r w:rsidR="00B167ED">
        <w:rPr>
          <w:rFonts w:ascii="Times New Roman" w:hAnsi="Times New Roman"/>
          <w:sz w:val="24"/>
          <w:szCs w:val="24"/>
        </w:rPr>
        <w:t>"</w:t>
      </w:r>
      <w:r w:rsidRPr="006202E5">
        <w:rPr>
          <w:rFonts w:ascii="Times New Roman" w:hAnsi="Times New Roman"/>
          <w:sz w:val="24"/>
          <w:szCs w:val="24"/>
        </w:rPr>
        <w:t>Dobeles dzirnavnieks</w:t>
      </w:r>
      <w:r w:rsidR="00B167ED">
        <w:rPr>
          <w:rFonts w:ascii="Times New Roman" w:hAnsi="Times New Roman"/>
          <w:sz w:val="24"/>
          <w:szCs w:val="24"/>
        </w:rPr>
        <w:t>"</w:t>
      </w:r>
      <w:r w:rsidRPr="006202E5">
        <w:rPr>
          <w:rFonts w:ascii="Times New Roman" w:hAnsi="Times New Roman"/>
          <w:sz w:val="24"/>
          <w:szCs w:val="24"/>
        </w:rPr>
        <w:t xml:space="preserve"> ar ieguldījumu apjomu 7,92 milj. latu; SIA </w:t>
      </w:r>
      <w:r w:rsidR="00B167ED">
        <w:rPr>
          <w:rFonts w:ascii="Times New Roman" w:hAnsi="Times New Roman"/>
          <w:sz w:val="24"/>
          <w:szCs w:val="24"/>
        </w:rPr>
        <w:t>"</w:t>
      </w:r>
      <w:r w:rsidRPr="006202E5">
        <w:rPr>
          <w:rFonts w:ascii="Times New Roman" w:hAnsi="Times New Roman"/>
          <w:sz w:val="24"/>
          <w:szCs w:val="24"/>
        </w:rPr>
        <w:t>Baltic Crystal</w:t>
      </w:r>
      <w:r w:rsidR="00B167ED">
        <w:rPr>
          <w:rFonts w:ascii="Times New Roman" w:hAnsi="Times New Roman"/>
          <w:sz w:val="24"/>
          <w:szCs w:val="24"/>
        </w:rPr>
        <w:t>"</w:t>
      </w:r>
      <w:r w:rsidRPr="006202E5">
        <w:rPr>
          <w:rFonts w:ascii="Times New Roman" w:hAnsi="Times New Roman"/>
          <w:sz w:val="24"/>
          <w:szCs w:val="24"/>
        </w:rPr>
        <w:t xml:space="preserve"> ar ieguldījumu apjomu 6,97 milj. latu; AS </w:t>
      </w:r>
      <w:r w:rsidR="00B167ED">
        <w:rPr>
          <w:rFonts w:ascii="Times New Roman" w:hAnsi="Times New Roman"/>
          <w:sz w:val="24"/>
          <w:szCs w:val="24"/>
        </w:rPr>
        <w:t>"</w:t>
      </w:r>
      <w:r w:rsidRPr="006202E5">
        <w:rPr>
          <w:rFonts w:ascii="Times New Roman" w:hAnsi="Times New Roman"/>
          <w:sz w:val="24"/>
          <w:szCs w:val="24"/>
        </w:rPr>
        <w:t>Tērvetes AL</w:t>
      </w:r>
      <w:r w:rsidR="00B167ED">
        <w:rPr>
          <w:rFonts w:ascii="Times New Roman" w:hAnsi="Times New Roman"/>
          <w:sz w:val="24"/>
          <w:szCs w:val="24"/>
        </w:rPr>
        <w:t>"</w:t>
      </w:r>
      <w:r w:rsidRPr="006202E5">
        <w:rPr>
          <w:rFonts w:ascii="Times New Roman" w:hAnsi="Times New Roman"/>
          <w:sz w:val="24"/>
          <w:szCs w:val="24"/>
        </w:rPr>
        <w:t xml:space="preserve"> ar ieguldījumu apjomu 3,98 milj. latu; SIA </w:t>
      </w:r>
      <w:r w:rsidR="00B167ED">
        <w:rPr>
          <w:rFonts w:ascii="Times New Roman" w:hAnsi="Times New Roman"/>
          <w:sz w:val="24"/>
          <w:szCs w:val="24"/>
        </w:rPr>
        <w:t>"</w:t>
      </w:r>
      <w:r w:rsidRPr="006202E5">
        <w:rPr>
          <w:rFonts w:ascii="Times New Roman" w:hAnsi="Times New Roman"/>
          <w:sz w:val="24"/>
          <w:szCs w:val="24"/>
        </w:rPr>
        <w:t>AKG Thermotechnik Lettland</w:t>
      </w:r>
      <w:r w:rsidR="00B167ED">
        <w:rPr>
          <w:rFonts w:ascii="Times New Roman" w:hAnsi="Times New Roman"/>
          <w:sz w:val="24"/>
          <w:szCs w:val="24"/>
        </w:rPr>
        <w:t>"</w:t>
      </w:r>
      <w:r w:rsidRPr="006202E5">
        <w:rPr>
          <w:rFonts w:ascii="Times New Roman" w:hAnsi="Times New Roman"/>
          <w:sz w:val="24"/>
          <w:szCs w:val="24"/>
        </w:rPr>
        <w:t xml:space="preserve"> ar ieguldījumu apjomu 6,94 milj. latu; SIA </w:t>
      </w:r>
      <w:r w:rsidR="00B167ED">
        <w:rPr>
          <w:rFonts w:ascii="Times New Roman" w:hAnsi="Times New Roman"/>
          <w:sz w:val="24"/>
          <w:szCs w:val="24"/>
        </w:rPr>
        <w:t>"</w:t>
      </w:r>
      <w:r w:rsidRPr="006202E5">
        <w:rPr>
          <w:rFonts w:ascii="Times New Roman" w:hAnsi="Times New Roman"/>
          <w:sz w:val="24"/>
          <w:szCs w:val="24"/>
        </w:rPr>
        <w:t>METALLEKS</w:t>
      </w:r>
      <w:r w:rsidR="00B167ED">
        <w:rPr>
          <w:rFonts w:ascii="Times New Roman" w:hAnsi="Times New Roman"/>
          <w:sz w:val="24"/>
          <w:szCs w:val="24"/>
        </w:rPr>
        <w:t>"</w:t>
      </w:r>
      <w:r w:rsidRPr="006202E5">
        <w:rPr>
          <w:rFonts w:ascii="Times New Roman" w:hAnsi="Times New Roman"/>
          <w:sz w:val="24"/>
          <w:szCs w:val="24"/>
        </w:rPr>
        <w:t xml:space="preserve"> ar ieguldījumu apjomu 6,4</w:t>
      </w:r>
      <w:r w:rsidR="00A80BE8">
        <w:rPr>
          <w:rFonts w:ascii="Times New Roman" w:hAnsi="Times New Roman"/>
          <w:sz w:val="24"/>
          <w:szCs w:val="24"/>
        </w:rPr>
        <w:t> </w:t>
      </w:r>
      <w:r w:rsidRPr="006202E5">
        <w:rPr>
          <w:rFonts w:ascii="Times New Roman" w:hAnsi="Times New Roman"/>
          <w:sz w:val="24"/>
          <w:szCs w:val="24"/>
        </w:rPr>
        <w:t>milj. latu.</w:t>
      </w:r>
    </w:p>
    <w:p w:rsidR="00871110" w:rsidRPr="006202E5" w:rsidRDefault="00871110" w:rsidP="00871110">
      <w:pPr>
        <w:spacing w:after="0" w:line="240" w:lineRule="auto"/>
        <w:ind w:firstLine="709"/>
        <w:jc w:val="both"/>
        <w:rPr>
          <w:rFonts w:ascii="Times New Roman" w:hAnsi="Times New Roman"/>
          <w:iCs/>
          <w:sz w:val="24"/>
          <w:szCs w:val="24"/>
        </w:rPr>
      </w:pPr>
      <w:r w:rsidRPr="006202E5">
        <w:rPr>
          <w:rFonts w:ascii="Times New Roman" w:hAnsi="Times New Roman"/>
          <w:sz w:val="24"/>
          <w:szCs w:val="24"/>
        </w:rPr>
        <w:t xml:space="preserve">2012.gadā sniegts atbalsts Latvijas komersantiem līdzšinējo ES fondu aktivitāšu ietvaros dalībai starptautiskās izstādēs, darbinieku apmācībām, jaunu uzņēmumu radīšanai, jauniešu biznesa plānu konkursiem, kā arī sniedzot finanšu instrumentu atbalstu </w:t>
      </w:r>
      <w:r w:rsidR="00A80BE8">
        <w:rPr>
          <w:rFonts w:ascii="Times New Roman" w:hAnsi="Times New Roman"/>
          <w:sz w:val="24"/>
          <w:szCs w:val="24"/>
        </w:rPr>
        <w:t>–</w:t>
      </w:r>
      <w:r w:rsidRPr="006202E5">
        <w:rPr>
          <w:rFonts w:ascii="Times New Roman" w:hAnsi="Times New Roman"/>
          <w:sz w:val="24"/>
          <w:szCs w:val="24"/>
        </w:rPr>
        <w:t xml:space="preserve"> kredīt</w:t>
      </w:r>
      <w:r w:rsidR="00A80BE8">
        <w:rPr>
          <w:rFonts w:ascii="Times New Roman" w:hAnsi="Times New Roman"/>
          <w:sz w:val="24"/>
          <w:szCs w:val="24"/>
        </w:rPr>
        <w:t>us</w:t>
      </w:r>
      <w:r w:rsidRPr="006202E5">
        <w:rPr>
          <w:rFonts w:ascii="Times New Roman" w:hAnsi="Times New Roman"/>
          <w:sz w:val="24"/>
          <w:szCs w:val="24"/>
        </w:rPr>
        <w:t xml:space="preserve"> ar atvieglotiem nosacījumiem, kredītu un eksporta garantijas, riska kapitāla investīcijas.</w:t>
      </w:r>
      <w:r w:rsidRPr="006202E5">
        <w:rPr>
          <w:rFonts w:ascii="Times New Roman" w:hAnsi="Times New Roman"/>
          <w:iCs/>
          <w:sz w:val="24"/>
          <w:szCs w:val="24"/>
        </w:rPr>
        <w:t xml:space="preserve"> 2013.gadā plānots uzsākt jaunu riska kapitāla fondu, mikroaizdevumu programmas un akseleratoru programmas ieviešanu ar SIA </w:t>
      </w:r>
      <w:r w:rsidR="00B167ED">
        <w:rPr>
          <w:rFonts w:ascii="Times New Roman" w:hAnsi="Times New Roman"/>
          <w:iCs/>
          <w:sz w:val="24"/>
          <w:szCs w:val="24"/>
        </w:rPr>
        <w:t>"</w:t>
      </w:r>
      <w:r w:rsidRPr="006202E5">
        <w:rPr>
          <w:rFonts w:ascii="Times New Roman" w:hAnsi="Times New Roman"/>
          <w:iCs/>
          <w:sz w:val="24"/>
          <w:szCs w:val="24"/>
        </w:rPr>
        <w:t>Latvijas Garantiju aģentūra</w:t>
      </w:r>
      <w:r w:rsidR="00B167ED">
        <w:rPr>
          <w:rFonts w:ascii="Times New Roman" w:hAnsi="Times New Roman"/>
          <w:iCs/>
          <w:sz w:val="24"/>
          <w:szCs w:val="24"/>
        </w:rPr>
        <w:t>"</w:t>
      </w:r>
      <w:r w:rsidRPr="006202E5">
        <w:rPr>
          <w:rFonts w:ascii="Times New Roman" w:hAnsi="Times New Roman"/>
          <w:iCs/>
          <w:sz w:val="24"/>
          <w:szCs w:val="24"/>
        </w:rPr>
        <w:t xml:space="preserve"> starpniecību, kā arī ES fondu 2014.</w:t>
      </w:r>
      <w:r w:rsidR="00A80BE8">
        <w:rPr>
          <w:rFonts w:ascii="Times New Roman" w:hAnsi="Times New Roman"/>
          <w:iCs/>
          <w:sz w:val="24"/>
          <w:szCs w:val="24"/>
        </w:rPr>
        <w:t>–</w:t>
      </w:r>
      <w:r w:rsidRPr="006202E5">
        <w:rPr>
          <w:rFonts w:ascii="Times New Roman" w:hAnsi="Times New Roman"/>
          <w:iCs/>
          <w:sz w:val="24"/>
          <w:szCs w:val="24"/>
        </w:rPr>
        <w:t>2020.gada plānošanas perioda atbalsta programmu uzņēmējiem izstrādi.</w:t>
      </w:r>
    </w:p>
    <w:p w:rsidR="00871110" w:rsidRPr="006202E5" w:rsidRDefault="00871110" w:rsidP="00871110">
      <w:pPr>
        <w:pStyle w:val="ListParagraph"/>
        <w:spacing w:after="0" w:line="240" w:lineRule="auto"/>
        <w:ind w:left="0" w:firstLine="709"/>
        <w:jc w:val="both"/>
        <w:rPr>
          <w:rFonts w:ascii="Times New Roman" w:hAnsi="Times New Roman"/>
          <w:sz w:val="24"/>
          <w:szCs w:val="24"/>
        </w:rPr>
      </w:pPr>
      <w:r w:rsidRPr="006202E5">
        <w:rPr>
          <w:rFonts w:ascii="Times New Roman" w:hAnsi="Times New Roman"/>
          <w:sz w:val="24"/>
          <w:szCs w:val="24"/>
        </w:rPr>
        <w:t xml:space="preserve">2012.gadā nodrošināta aktivitātes </w:t>
      </w:r>
      <w:r w:rsidR="00B167ED">
        <w:rPr>
          <w:rFonts w:ascii="Times New Roman" w:hAnsi="Times New Roman"/>
          <w:sz w:val="24"/>
          <w:szCs w:val="24"/>
        </w:rPr>
        <w:t>"</w:t>
      </w:r>
      <w:r w:rsidRPr="006202E5">
        <w:rPr>
          <w:rFonts w:ascii="Times New Roman" w:hAnsi="Times New Roman"/>
          <w:sz w:val="24"/>
          <w:szCs w:val="24"/>
        </w:rPr>
        <w:t>Augstas pievienotās vērtības investīcijas</w:t>
      </w:r>
      <w:r w:rsidR="00B167ED">
        <w:rPr>
          <w:rFonts w:ascii="Times New Roman" w:hAnsi="Times New Roman"/>
          <w:sz w:val="24"/>
          <w:szCs w:val="24"/>
        </w:rPr>
        <w:t>"</w:t>
      </w:r>
      <w:r w:rsidRPr="006202E5">
        <w:rPr>
          <w:rFonts w:ascii="Times New Roman" w:hAnsi="Times New Roman"/>
          <w:sz w:val="24"/>
          <w:szCs w:val="24"/>
        </w:rPr>
        <w:t xml:space="preserve"> projektu iesniegumu atlases 2.kārtas izsludināšana un noslēgšana. Kārtas ietvaros uzsākta 16 lielu ražošanas modernizācijas projektu īstenošana 97 milj. latu apmērā.</w:t>
      </w:r>
    </w:p>
    <w:p w:rsidR="00871110" w:rsidRPr="006202E5" w:rsidRDefault="00871110" w:rsidP="00871110">
      <w:pPr>
        <w:spacing w:after="0" w:line="240" w:lineRule="auto"/>
        <w:jc w:val="both"/>
        <w:rPr>
          <w:rFonts w:ascii="Times New Roman" w:hAnsi="Times New Roman"/>
          <w:sz w:val="24"/>
          <w:szCs w:val="24"/>
        </w:rPr>
      </w:pPr>
      <w:r w:rsidRPr="006202E5">
        <w:rPr>
          <w:rFonts w:ascii="Times New Roman" w:hAnsi="Times New Roman"/>
          <w:sz w:val="24"/>
          <w:szCs w:val="24"/>
        </w:rPr>
        <w:tab/>
        <w:t>2013.gadā plānots uzsākt īsteno</w:t>
      </w:r>
      <w:r w:rsidR="00A80BE8">
        <w:rPr>
          <w:rFonts w:ascii="Times New Roman" w:hAnsi="Times New Roman"/>
          <w:sz w:val="24"/>
          <w:szCs w:val="24"/>
        </w:rPr>
        <w:t>šanu</w:t>
      </w:r>
      <w:r w:rsidRPr="006202E5">
        <w:rPr>
          <w:rFonts w:ascii="Times New Roman" w:hAnsi="Times New Roman"/>
          <w:sz w:val="24"/>
          <w:szCs w:val="24"/>
        </w:rPr>
        <w:t xml:space="preserve"> Norvēģijas finanšu instrumenta līdzfinansēt</w:t>
      </w:r>
      <w:r w:rsidR="00A80BE8">
        <w:rPr>
          <w:rFonts w:ascii="Times New Roman" w:hAnsi="Times New Roman"/>
          <w:sz w:val="24"/>
          <w:szCs w:val="24"/>
        </w:rPr>
        <w:t>ās</w:t>
      </w:r>
      <w:r w:rsidRPr="006202E5">
        <w:rPr>
          <w:rFonts w:ascii="Times New Roman" w:hAnsi="Times New Roman"/>
          <w:sz w:val="24"/>
          <w:szCs w:val="24"/>
        </w:rPr>
        <w:t xml:space="preserve"> programm</w:t>
      </w:r>
      <w:r w:rsidR="00A80BE8">
        <w:rPr>
          <w:rFonts w:ascii="Times New Roman" w:hAnsi="Times New Roman"/>
          <w:sz w:val="24"/>
          <w:szCs w:val="24"/>
        </w:rPr>
        <w:t>as</w:t>
      </w:r>
      <w:r w:rsidRPr="006202E5">
        <w:rPr>
          <w:rFonts w:ascii="Times New Roman" w:hAnsi="Times New Roman"/>
          <w:sz w:val="24"/>
          <w:szCs w:val="24"/>
        </w:rPr>
        <w:t xml:space="preserve"> </w:t>
      </w:r>
      <w:r w:rsidR="00B167ED">
        <w:rPr>
          <w:rFonts w:ascii="Times New Roman" w:hAnsi="Times New Roman"/>
          <w:sz w:val="24"/>
          <w:szCs w:val="24"/>
        </w:rPr>
        <w:t>"</w:t>
      </w:r>
      <w:r w:rsidRPr="006202E5">
        <w:rPr>
          <w:rFonts w:ascii="Times New Roman" w:hAnsi="Times New Roman"/>
          <w:sz w:val="24"/>
          <w:szCs w:val="24"/>
        </w:rPr>
        <w:t xml:space="preserve">Inovācijas </w:t>
      </w:r>
      <w:r w:rsidR="00B167ED">
        <w:rPr>
          <w:rFonts w:ascii="Times New Roman" w:hAnsi="Times New Roman"/>
          <w:sz w:val="24"/>
          <w:szCs w:val="24"/>
        </w:rPr>
        <w:t>"</w:t>
      </w:r>
      <w:r w:rsidRPr="006202E5">
        <w:rPr>
          <w:rFonts w:ascii="Times New Roman" w:hAnsi="Times New Roman"/>
          <w:sz w:val="24"/>
          <w:szCs w:val="24"/>
        </w:rPr>
        <w:t>zaļās</w:t>
      </w:r>
      <w:r w:rsidR="00B167ED">
        <w:rPr>
          <w:rFonts w:ascii="Times New Roman" w:hAnsi="Times New Roman"/>
          <w:sz w:val="24"/>
          <w:szCs w:val="24"/>
        </w:rPr>
        <w:t>"</w:t>
      </w:r>
      <w:r w:rsidRPr="006202E5">
        <w:rPr>
          <w:rFonts w:ascii="Times New Roman" w:hAnsi="Times New Roman"/>
          <w:sz w:val="24"/>
          <w:szCs w:val="24"/>
        </w:rPr>
        <w:t xml:space="preserve"> ražošanas jomā</w:t>
      </w:r>
      <w:r w:rsidR="00B167ED">
        <w:rPr>
          <w:rFonts w:ascii="Times New Roman" w:hAnsi="Times New Roman"/>
          <w:sz w:val="24"/>
          <w:szCs w:val="24"/>
        </w:rPr>
        <w:t>"</w:t>
      </w:r>
      <w:r w:rsidRPr="006202E5">
        <w:rPr>
          <w:rFonts w:ascii="Times New Roman" w:hAnsi="Times New Roman"/>
          <w:sz w:val="24"/>
          <w:szCs w:val="24"/>
        </w:rPr>
        <w:t xml:space="preserve">. Programmas ietvaros paredzēts izveidot </w:t>
      </w:r>
      <w:r w:rsidR="00432495">
        <w:rPr>
          <w:rFonts w:ascii="Times New Roman" w:hAnsi="Times New Roman"/>
          <w:sz w:val="24"/>
          <w:szCs w:val="24"/>
        </w:rPr>
        <w:t>t</w:t>
      </w:r>
      <w:r w:rsidRPr="006202E5">
        <w:rPr>
          <w:rFonts w:ascii="Times New Roman" w:hAnsi="Times New Roman"/>
          <w:sz w:val="24"/>
          <w:szCs w:val="24"/>
        </w:rPr>
        <w:t xml:space="preserve">ehnoloģiju inkubatoru, kas sniegs atbalstu  inovatīvu biznesa ideju attīstībai. </w:t>
      </w:r>
      <w:r w:rsidR="00432495">
        <w:rPr>
          <w:rFonts w:ascii="Times New Roman" w:hAnsi="Times New Roman"/>
          <w:sz w:val="24"/>
          <w:szCs w:val="24"/>
        </w:rPr>
        <w:t>P</w:t>
      </w:r>
      <w:r w:rsidRPr="006202E5">
        <w:rPr>
          <w:rFonts w:ascii="Times New Roman" w:hAnsi="Times New Roman"/>
          <w:sz w:val="24"/>
          <w:szCs w:val="24"/>
        </w:rPr>
        <w:t>rogramm</w:t>
      </w:r>
      <w:r w:rsidR="00432495">
        <w:rPr>
          <w:rFonts w:ascii="Times New Roman" w:hAnsi="Times New Roman"/>
          <w:sz w:val="24"/>
          <w:szCs w:val="24"/>
        </w:rPr>
        <w:t>ā</w:t>
      </w:r>
      <w:r w:rsidRPr="006202E5">
        <w:rPr>
          <w:rFonts w:ascii="Times New Roman" w:hAnsi="Times New Roman"/>
          <w:sz w:val="24"/>
          <w:szCs w:val="24"/>
        </w:rPr>
        <w:t xml:space="preserve"> paredzēts īstenot </w:t>
      </w:r>
      <w:r w:rsidR="00432495">
        <w:rPr>
          <w:rFonts w:ascii="Times New Roman" w:hAnsi="Times New Roman"/>
          <w:sz w:val="24"/>
          <w:szCs w:val="24"/>
        </w:rPr>
        <w:t xml:space="preserve">arī </w:t>
      </w:r>
      <w:r w:rsidRPr="006202E5">
        <w:rPr>
          <w:rFonts w:ascii="Times New Roman" w:hAnsi="Times New Roman"/>
          <w:sz w:val="24"/>
          <w:szCs w:val="24"/>
        </w:rPr>
        <w:t xml:space="preserve">atklātu projektu iesniegumu konkursu, lai uzņēmējiem sniegtu atbalstu iekārtu iegādei, kas palīdz samazināt atkritumu </w:t>
      </w:r>
      <w:r w:rsidR="00432495" w:rsidRPr="006202E5">
        <w:rPr>
          <w:rFonts w:ascii="Times New Roman" w:hAnsi="Times New Roman"/>
          <w:sz w:val="24"/>
          <w:szCs w:val="24"/>
        </w:rPr>
        <w:t xml:space="preserve">veidošanos </w:t>
      </w:r>
      <w:r w:rsidRPr="006202E5">
        <w:rPr>
          <w:rFonts w:ascii="Times New Roman" w:hAnsi="Times New Roman"/>
          <w:sz w:val="24"/>
          <w:szCs w:val="24"/>
        </w:rPr>
        <w:t xml:space="preserve">un emisiju un veicina videi draudzīgu risinājumu ieviešanu ražošanas procesā. </w:t>
      </w:r>
    </w:p>
    <w:p w:rsidR="00871110" w:rsidRPr="003C49ED" w:rsidRDefault="00871110" w:rsidP="00871110">
      <w:pPr>
        <w:spacing w:after="0" w:line="240" w:lineRule="auto"/>
        <w:ind w:firstLine="709"/>
        <w:jc w:val="both"/>
        <w:rPr>
          <w:rFonts w:ascii="Times New Roman" w:hAnsi="Times New Roman"/>
          <w:iCs/>
          <w:sz w:val="24"/>
          <w:szCs w:val="24"/>
        </w:rPr>
      </w:pPr>
      <w:r w:rsidRPr="006202E5">
        <w:rPr>
          <w:rFonts w:ascii="Times New Roman" w:hAnsi="Times New Roman"/>
          <w:sz w:val="24"/>
          <w:szCs w:val="24"/>
        </w:rPr>
        <w:t>Plānots i</w:t>
      </w:r>
      <w:r w:rsidRPr="006202E5">
        <w:rPr>
          <w:rFonts w:ascii="Times New Roman" w:hAnsi="Times New Roman"/>
          <w:iCs/>
          <w:sz w:val="24"/>
          <w:szCs w:val="24"/>
        </w:rPr>
        <w:t xml:space="preserve">zsludināt aktivitātes </w:t>
      </w:r>
      <w:r w:rsidR="00B167ED">
        <w:rPr>
          <w:rFonts w:ascii="Times New Roman" w:hAnsi="Times New Roman"/>
          <w:iCs/>
          <w:sz w:val="24"/>
          <w:szCs w:val="24"/>
        </w:rPr>
        <w:t>"</w:t>
      </w:r>
      <w:r w:rsidRPr="006202E5">
        <w:rPr>
          <w:rFonts w:ascii="Times New Roman" w:hAnsi="Times New Roman"/>
          <w:iCs/>
          <w:sz w:val="24"/>
          <w:szCs w:val="24"/>
        </w:rPr>
        <w:t>Augstas pievienotās vērtības investīcijas</w:t>
      </w:r>
      <w:r w:rsidR="00B167ED">
        <w:rPr>
          <w:rFonts w:ascii="Times New Roman" w:hAnsi="Times New Roman"/>
          <w:iCs/>
          <w:sz w:val="24"/>
          <w:szCs w:val="24"/>
        </w:rPr>
        <w:t>"</w:t>
      </w:r>
      <w:r w:rsidRPr="006202E5">
        <w:rPr>
          <w:rFonts w:ascii="Times New Roman" w:hAnsi="Times New Roman"/>
          <w:iCs/>
          <w:sz w:val="24"/>
          <w:szCs w:val="24"/>
        </w:rPr>
        <w:t xml:space="preserve"> projektu iesniegumu atlases 3.kārtu, kā arī </w:t>
      </w:r>
      <w:r w:rsidRPr="006202E5">
        <w:rPr>
          <w:rFonts w:ascii="Times New Roman" w:hAnsi="Times New Roman"/>
          <w:sz w:val="24"/>
          <w:szCs w:val="24"/>
        </w:rPr>
        <w:t>i</w:t>
      </w:r>
      <w:r w:rsidRPr="006202E5">
        <w:rPr>
          <w:rFonts w:ascii="Times New Roman" w:hAnsi="Times New Roman"/>
          <w:iCs/>
          <w:sz w:val="24"/>
          <w:szCs w:val="24"/>
        </w:rPr>
        <w:t xml:space="preserve">zsludināt aktivitātes </w:t>
      </w:r>
      <w:r w:rsidR="00B167ED">
        <w:rPr>
          <w:rFonts w:ascii="Times New Roman" w:hAnsi="Times New Roman"/>
          <w:iCs/>
          <w:sz w:val="24"/>
          <w:szCs w:val="24"/>
        </w:rPr>
        <w:t>"</w:t>
      </w:r>
      <w:r w:rsidRPr="006202E5">
        <w:rPr>
          <w:rFonts w:ascii="Times New Roman" w:hAnsi="Times New Roman"/>
          <w:iCs/>
          <w:sz w:val="24"/>
          <w:szCs w:val="24"/>
        </w:rPr>
        <w:t>Atbalsts ieguldījumiem ražošanas telpu izveidei vai rekonstrukcijai</w:t>
      </w:r>
      <w:r w:rsidR="00B167ED">
        <w:rPr>
          <w:rFonts w:ascii="Times New Roman" w:hAnsi="Times New Roman"/>
          <w:iCs/>
          <w:sz w:val="24"/>
          <w:szCs w:val="24"/>
        </w:rPr>
        <w:t>"</w:t>
      </w:r>
      <w:r w:rsidRPr="006202E5">
        <w:rPr>
          <w:rFonts w:ascii="Times New Roman" w:hAnsi="Times New Roman"/>
          <w:iCs/>
          <w:sz w:val="24"/>
          <w:szCs w:val="24"/>
        </w:rPr>
        <w:t xml:space="preserve"> projektu iesniegumu atlasi</w:t>
      </w:r>
      <w:r>
        <w:rPr>
          <w:rFonts w:ascii="Times New Roman" w:hAnsi="Times New Roman"/>
          <w:iCs/>
          <w:sz w:val="24"/>
          <w:szCs w:val="24"/>
        </w:rPr>
        <w:t xml:space="preserve"> 13 miljonu latu vērtībā</w:t>
      </w:r>
      <w:r w:rsidRPr="006202E5">
        <w:rPr>
          <w:rFonts w:ascii="Times New Roman" w:hAnsi="Times New Roman"/>
          <w:iCs/>
          <w:sz w:val="24"/>
          <w:szCs w:val="24"/>
        </w:rPr>
        <w:t xml:space="preserve">. Aktivitātes ietvaros plānots sniegt atbalstu industriālo telpu rekonstrukcijai deviņās lielākajās Latvijas pilsētās, izņemot Rīgu. Katrā pilsētā plānots rekonstruēt vai izbūvēt no jauna ražošanas telpas vismaz 4 000 m2 platībā, kurās darbosies vismaz trīs uzņēmumi un tiks radītas vismaz 50 darba vietas. </w:t>
      </w:r>
    </w:p>
    <w:p w:rsidR="00871110" w:rsidRPr="003C49ED" w:rsidRDefault="00871110" w:rsidP="00871110">
      <w:pPr>
        <w:pStyle w:val="Heading2"/>
      </w:pPr>
      <w:bookmarkStart w:id="79" w:name="_Toc348089299"/>
      <w:bookmarkStart w:id="80" w:name="_Toc348948361"/>
      <w:r w:rsidRPr="003C49ED">
        <w:lastRenderedPageBreak/>
        <w:t>7.</w:t>
      </w:r>
      <w:r w:rsidR="00405486">
        <w:t xml:space="preserve"> </w:t>
      </w:r>
      <w:r w:rsidRPr="003C49ED">
        <w:t>Uzņēmējdarbības vide un investīcijas</w:t>
      </w:r>
      <w:bookmarkEnd w:id="79"/>
      <w:bookmarkEnd w:id="80"/>
      <w:r w:rsidRPr="003C49ED">
        <w:t xml:space="preserve"> </w:t>
      </w:r>
    </w:p>
    <w:p w:rsidR="00871110" w:rsidRPr="003C49ED" w:rsidRDefault="00871110" w:rsidP="00871110">
      <w:pPr>
        <w:pStyle w:val="Heading3"/>
        <w:rPr>
          <w:szCs w:val="24"/>
        </w:rPr>
      </w:pPr>
      <w:bookmarkStart w:id="81" w:name="_Toc348089300"/>
      <w:bookmarkStart w:id="82" w:name="_Toc348948362"/>
      <w:r w:rsidRPr="003C49ED">
        <w:rPr>
          <w:szCs w:val="24"/>
        </w:rPr>
        <w:t>7.1. Uzņēmējdarbības vides uzlabošanas pasākumu plāna īstenošana</w:t>
      </w:r>
      <w:bookmarkEnd w:id="81"/>
      <w:bookmarkEnd w:id="82"/>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Uzņēmējdarbības vides pilnveidošanai izstrādāts un Ministru kabinetā apstiprināts Uzņēmējdarbības vides uzlabošanas pasākumu plāns 2012.gadam, kā arī nodrošināta tajā iekļauto pasākumu īstenošanas uzraudzību.</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color w:val="000000"/>
          <w:sz w:val="24"/>
          <w:szCs w:val="24"/>
        </w:rPr>
        <w:t xml:space="preserve">Latvijā ir ieviesta uzņēmumu elektroniskā dibināšana portālā </w:t>
      </w:r>
      <w:hyperlink r:id="rId22" w:history="1">
        <w:r w:rsidRPr="003C49ED">
          <w:rPr>
            <w:rStyle w:val="Hyperlink"/>
            <w:rFonts w:ascii="Times New Roman" w:hAnsi="Times New Roman"/>
            <w:sz w:val="24"/>
            <w:szCs w:val="24"/>
          </w:rPr>
          <w:t>www.latvija.lv</w:t>
        </w:r>
      </w:hyperlink>
      <w:r w:rsidRPr="003C49ED">
        <w:rPr>
          <w:rFonts w:ascii="Times New Roman" w:hAnsi="Times New Roman"/>
          <w:sz w:val="24"/>
          <w:szCs w:val="24"/>
        </w:rPr>
        <w:t xml:space="preserve"> un </w:t>
      </w:r>
      <w:r w:rsidRPr="006202E5">
        <w:rPr>
          <w:rFonts w:ascii="Times New Roman" w:hAnsi="Times New Roman"/>
          <w:sz w:val="24"/>
          <w:szCs w:val="24"/>
        </w:rPr>
        <w:t xml:space="preserve">nodrošināta atvieglojumu </w:t>
      </w:r>
      <w:r w:rsidR="00405486">
        <w:rPr>
          <w:rFonts w:ascii="Times New Roman" w:hAnsi="Times New Roman"/>
          <w:sz w:val="24"/>
          <w:szCs w:val="24"/>
        </w:rPr>
        <w:t xml:space="preserve">piemērošanas </w:t>
      </w:r>
      <w:r w:rsidRPr="006202E5">
        <w:rPr>
          <w:rFonts w:ascii="Times New Roman" w:hAnsi="Times New Roman"/>
          <w:sz w:val="24"/>
          <w:szCs w:val="24"/>
        </w:rPr>
        <w:t xml:space="preserve">turpināšana mikrouzņēmumiem par </w:t>
      </w:r>
      <w:r w:rsidR="00405486" w:rsidRPr="006202E5">
        <w:rPr>
          <w:rFonts w:ascii="Times New Roman" w:hAnsi="Times New Roman"/>
          <w:sz w:val="24"/>
          <w:szCs w:val="24"/>
        </w:rPr>
        <w:t>ierakstu izdarīšanu Komercreģistrā</w:t>
      </w:r>
      <w:r w:rsidR="00405486">
        <w:rPr>
          <w:rFonts w:ascii="Times New Roman" w:hAnsi="Times New Roman"/>
          <w:sz w:val="24"/>
          <w:szCs w:val="24"/>
        </w:rPr>
        <w:t>, kuri saistīti ar</w:t>
      </w:r>
      <w:r w:rsidR="00405486" w:rsidRPr="006202E5">
        <w:rPr>
          <w:rFonts w:ascii="Times New Roman" w:hAnsi="Times New Roman"/>
          <w:sz w:val="24"/>
          <w:szCs w:val="24"/>
        </w:rPr>
        <w:t xml:space="preserve"> </w:t>
      </w:r>
      <w:r w:rsidRPr="006202E5">
        <w:rPr>
          <w:rFonts w:ascii="Times New Roman" w:hAnsi="Times New Roman"/>
          <w:sz w:val="24"/>
          <w:szCs w:val="24"/>
        </w:rPr>
        <w:t>pamatkapitāla palielināšanu.</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Grozījumi </w:t>
      </w:r>
      <w:r w:rsidRPr="006202E5">
        <w:rPr>
          <w:rFonts w:ascii="Times New Roman" w:hAnsi="Times New Roman"/>
          <w:color w:val="000000"/>
          <w:sz w:val="24"/>
          <w:szCs w:val="24"/>
        </w:rPr>
        <w:t xml:space="preserve">Komerclikumā, Finanšu instrumentu tirgus likumā </w:t>
      </w:r>
      <w:r w:rsidRPr="006202E5">
        <w:rPr>
          <w:rFonts w:ascii="Times New Roman" w:hAnsi="Times New Roman"/>
          <w:sz w:val="24"/>
          <w:szCs w:val="24"/>
        </w:rPr>
        <w:t>un Gada pārskatu likumā</w:t>
      </w:r>
      <w:r w:rsidRPr="006202E5">
        <w:rPr>
          <w:rFonts w:ascii="Times New Roman" w:hAnsi="Times New Roman"/>
          <w:color w:val="000000"/>
          <w:sz w:val="24"/>
          <w:szCs w:val="24"/>
        </w:rPr>
        <w:t>, kas paredz</w:t>
      </w:r>
      <w:r w:rsidRPr="006202E5">
        <w:rPr>
          <w:rFonts w:ascii="Times New Roman" w:hAnsi="Times New Roman"/>
          <w:sz w:val="24"/>
          <w:szCs w:val="24"/>
        </w:rPr>
        <w:t xml:space="preserve"> valdes, padomes locekļu un dalībnieku interešu konfliktu novēršanu darījumu slēgšanā, tādējādi uzlabojot </w:t>
      </w:r>
      <w:r w:rsidRPr="006202E5">
        <w:rPr>
          <w:rFonts w:ascii="Times New Roman" w:hAnsi="Times New Roman"/>
          <w:color w:val="000000"/>
          <w:sz w:val="24"/>
          <w:szCs w:val="24"/>
        </w:rPr>
        <w:t>tiesisko regulējumu investoru aizsardzībā</w:t>
      </w:r>
      <w:r w:rsidRPr="006202E5">
        <w:rPr>
          <w:rFonts w:ascii="Times New Roman" w:hAnsi="Times New Roman"/>
          <w:sz w:val="24"/>
          <w:szCs w:val="24"/>
        </w:rPr>
        <w:t>.</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color w:val="000000"/>
          <w:sz w:val="24"/>
          <w:szCs w:val="24"/>
        </w:rPr>
        <w:t xml:space="preserve">Izstrādāts regulējums vienas pieturas aģentūras principa ieviešanai īpašuma datu reģistrēšanā un īpašumtiesību nostiprināšanā. Minētā principa ieviešanai izstrādāti </w:t>
      </w:r>
      <w:r w:rsidRPr="006202E5">
        <w:rPr>
          <w:rFonts w:ascii="Times New Roman" w:hAnsi="Times New Roman"/>
          <w:sz w:val="24"/>
          <w:szCs w:val="24"/>
        </w:rPr>
        <w:t xml:space="preserve">grozījumi Zemesgrāmatu likumā, Nekustamā īpašuma valsts kadastra likumā un Likumā par nekustamā īpašuma ierakstīšanu zemesgrāmatā. </w:t>
      </w:r>
      <w:r>
        <w:rPr>
          <w:rFonts w:ascii="Times New Roman" w:hAnsi="Times New Roman"/>
          <w:sz w:val="24"/>
          <w:szCs w:val="24"/>
        </w:rPr>
        <w:t>Principa praktiska īstenošana ir paredzēta no 2014.gada.</w:t>
      </w:r>
    </w:p>
    <w:p w:rsidR="00871110" w:rsidRPr="006202E5" w:rsidRDefault="00871110" w:rsidP="00871110">
      <w:pPr>
        <w:spacing w:after="0" w:line="240" w:lineRule="auto"/>
        <w:ind w:firstLine="709"/>
        <w:jc w:val="both"/>
        <w:rPr>
          <w:rFonts w:ascii="Times New Roman" w:hAnsi="Times New Roman"/>
          <w:color w:val="000000"/>
          <w:sz w:val="24"/>
          <w:szCs w:val="24"/>
        </w:rPr>
      </w:pPr>
      <w:r w:rsidRPr="006202E5">
        <w:rPr>
          <w:rFonts w:ascii="Times New Roman" w:hAnsi="Times New Roman"/>
          <w:color w:val="000000"/>
          <w:sz w:val="24"/>
          <w:szCs w:val="24"/>
        </w:rPr>
        <w:t xml:space="preserve">Izstrādāti grozījumi Civilprocesa likumā, kas paredz speciālu tiesvedības kārtību lietās par kapitālsabiedrības dalībnieku (akcionāru) sapulces lēmumu atzīšanu par spēkā neesošiem, kā arī paredz speciālo tiesvedības kārtību ar pirmo instanci un kasācijas instanci </w:t>
      </w:r>
      <w:r w:rsidR="00405486">
        <w:rPr>
          <w:rFonts w:ascii="Times New Roman" w:hAnsi="Times New Roman"/>
          <w:color w:val="000000"/>
          <w:sz w:val="24"/>
          <w:szCs w:val="24"/>
        </w:rPr>
        <w:t>–</w:t>
      </w:r>
      <w:r w:rsidRPr="006202E5">
        <w:rPr>
          <w:rFonts w:ascii="Times New Roman" w:hAnsi="Times New Roman"/>
          <w:color w:val="000000"/>
          <w:sz w:val="24"/>
          <w:szCs w:val="24"/>
        </w:rPr>
        <w:t xml:space="preserve"> rajona (pilsētas) tiesu. </w:t>
      </w:r>
    </w:p>
    <w:p w:rsidR="00871110" w:rsidRPr="006202E5" w:rsidRDefault="00871110" w:rsidP="00871110">
      <w:pPr>
        <w:pStyle w:val="Heading3"/>
      </w:pPr>
      <w:bookmarkStart w:id="83" w:name="_Toc348089301"/>
      <w:bookmarkStart w:id="84" w:name="_Toc348948363"/>
      <w:r w:rsidRPr="006202E5">
        <w:t xml:space="preserve">7.2. Komercsabiedrību </w:t>
      </w:r>
      <w:r w:rsidRPr="003C49ED">
        <w:t>revīzijas</w:t>
      </w:r>
      <w:r w:rsidRPr="006202E5">
        <w:t xml:space="preserve"> politika</w:t>
      </w:r>
      <w:bookmarkEnd w:id="83"/>
      <w:bookmarkEnd w:id="84"/>
    </w:p>
    <w:p w:rsidR="00871110" w:rsidRPr="006202E5" w:rsidRDefault="00871110" w:rsidP="00871110">
      <w:pPr>
        <w:spacing w:after="0" w:line="240" w:lineRule="auto"/>
        <w:ind w:firstLine="426"/>
        <w:jc w:val="both"/>
        <w:rPr>
          <w:rFonts w:ascii="Times New Roman" w:hAnsi="Times New Roman"/>
          <w:sz w:val="24"/>
          <w:szCs w:val="24"/>
        </w:rPr>
      </w:pPr>
      <w:r w:rsidRPr="006202E5">
        <w:rPr>
          <w:rFonts w:ascii="Times New Roman" w:hAnsi="Times New Roman"/>
          <w:sz w:val="24"/>
          <w:szCs w:val="24"/>
        </w:rPr>
        <w:t>Komercsabiedrību revīzijas politikas īstenošanai 2012.gad</w:t>
      </w:r>
      <w:r w:rsidR="00405486">
        <w:rPr>
          <w:rFonts w:ascii="Times New Roman" w:hAnsi="Times New Roman"/>
          <w:sz w:val="24"/>
          <w:szCs w:val="24"/>
        </w:rPr>
        <w:t>ā</w:t>
      </w:r>
      <w:r w:rsidRPr="006202E5">
        <w:rPr>
          <w:rFonts w:ascii="Times New Roman" w:hAnsi="Times New Roman"/>
          <w:sz w:val="24"/>
          <w:szCs w:val="24"/>
        </w:rPr>
        <w:t xml:space="preserve"> izstrādāti grozījumi likumā </w:t>
      </w:r>
      <w:r w:rsidR="00B167ED">
        <w:rPr>
          <w:rFonts w:ascii="Times New Roman" w:hAnsi="Times New Roman"/>
          <w:sz w:val="24"/>
          <w:szCs w:val="24"/>
        </w:rPr>
        <w:t>"</w:t>
      </w:r>
      <w:r w:rsidRPr="006202E5">
        <w:rPr>
          <w:rFonts w:ascii="Times New Roman" w:hAnsi="Times New Roman"/>
          <w:sz w:val="24"/>
          <w:szCs w:val="24"/>
        </w:rPr>
        <w:t>Par zvērinātiem revidentiem</w:t>
      </w:r>
      <w:r w:rsidR="00B167ED">
        <w:rPr>
          <w:rFonts w:ascii="Times New Roman" w:hAnsi="Times New Roman"/>
          <w:sz w:val="24"/>
          <w:szCs w:val="24"/>
        </w:rPr>
        <w:t>"</w:t>
      </w:r>
      <w:r w:rsidRPr="006202E5">
        <w:rPr>
          <w:rFonts w:ascii="Times New Roman" w:hAnsi="Times New Roman"/>
          <w:sz w:val="24"/>
          <w:szCs w:val="24"/>
        </w:rPr>
        <w:t>, lai noteiktu gadījumu, kad piemērojams Brīvas pakalpojumu sniegšanas likumā minētais noklusējums attiecībā uz zvērinātu revidentu komercsabiedrības licences izsniegšanu, kā arī pienākumu Latvijas Zvērinātu revidentu asociācijai informēt zvērinātu revidentu komercsabiedrības licences pieprasītāju par to, kādā termiņā tiks izsniegta licence</w:t>
      </w:r>
      <w:r w:rsidR="00405486">
        <w:rPr>
          <w:rFonts w:ascii="Times New Roman" w:hAnsi="Times New Roman"/>
          <w:sz w:val="24"/>
          <w:szCs w:val="24"/>
        </w:rPr>
        <w:t>,</w:t>
      </w:r>
      <w:r w:rsidRPr="006202E5">
        <w:rPr>
          <w:rFonts w:ascii="Times New Roman" w:hAnsi="Times New Roman"/>
          <w:sz w:val="24"/>
          <w:szCs w:val="24"/>
        </w:rPr>
        <w:t xml:space="preserve"> un par kārtību, kādā ir iespējams apstrīdēt motivētu rakstveida atteikumu izsniegt licenci.</w:t>
      </w:r>
    </w:p>
    <w:p w:rsidR="00871110" w:rsidRPr="006202E5" w:rsidRDefault="00871110" w:rsidP="00871110">
      <w:pPr>
        <w:pStyle w:val="Heading3"/>
        <w:rPr>
          <w:szCs w:val="24"/>
        </w:rPr>
      </w:pPr>
      <w:bookmarkStart w:id="85" w:name="_Toc348089302"/>
      <w:bookmarkStart w:id="86" w:name="_Toc348948364"/>
      <w:r w:rsidRPr="006202E5">
        <w:rPr>
          <w:szCs w:val="24"/>
        </w:rPr>
        <w:t>7.3.</w:t>
      </w:r>
      <w:r w:rsidR="00405486">
        <w:rPr>
          <w:szCs w:val="24"/>
        </w:rPr>
        <w:t xml:space="preserve"> </w:t>
      </w:r>
      <w:r w:rsidRPr="006202E5">
        <w:rPr>
          <w:szCs w:val="24"/>
        </w:rPr>
        <w:t>Grāmatvedības politika</w:t>
      </w:r>
      <w:bookmarkEnd w:id="85"/>
      <w:bookmarkEnd w:id="86"/>
    </w:p>
    <w:p w:rsidR="00871110" w:rsidRPr="006202E5" w:rsidRDefault="00871110" w:rsidP="00871110">
      <w:pPr>
        <w:spacing w:after="0" w:line="240" w:lineRule="auto"/>
        <w:ind w:firstLine="426"/>
        <w:jc w:val="both"/>
        <w:rPr>
          <w:rFonts w:ascii="Times New Roman" w:hAnsi="Times New Roman"/>
          <w:sz w:val="24"/>
          <w:szCs w:val="24"/>
        </w:rPr>
      </w:pPr>
      <w:r w:rsidRPr="006202E5">
        <w:rPr>
          <w:rFonts w:ascii="Times New Roman" w:hAnsi="Times New Roman"/>
          <w:sz w:val="24"/>
          <w:szCs w:val="24"/>
        </w:rPr>
        <w:t>2012.gad</w:t>
      </w:r>
      <w:r w:rsidR="00405486">
        <w:rPr>
          <w:rFonts w:ascii="Times New Roman" w:hAnsi="Times New Roman"/>
          <w:sz w:val="24"/>
          <w:szCs w:val="24"/>
        </w:rPr>
        <w:t>ā</w:t>
      </w:r>
      <w:r w:rsidRPr="006202E5">
        <w:rPr>
          <w:rFonts w:ascii="Times New Roman" w:hAnsi="Times New Roman"/>
          <w:sz w:val="24"/>
          <w:szCs w:val="24"/>
        </w:rPr>
        <w:t xml:space="preserve"> atbalstīti grozījumi Gada pārskatu likumā (stājās spēkā 2013.gada 1.janvārī), lai Gada pārskatu likumā iekļautu jaunu komercdarbību kategoriju, noteiktu saīsinātās bilances sagatavošanas kārtību un bilances piezīmēs sniedzamās informācijas apjomu, kā arī precizējumu attiecībā uz vadības ziņojuma sagatavošanu.</w:t>
      </w:r>
    </w:p>
    <w:p w:rsidR="00871110" w:rsidRPr="006202E5" w:rsidRDefault="00871110" w:rsidP="00871110">
      <w:pPr>
        <w:pStyle w:val="Heading3"/>
        <w:rPr>
          <w:szCs w:val="24"/>
          <w:u w:val="single"/>
        </w:rPr>
      </w:pPr>
      <w:bookmarkStart w:id="87" w:name="_Toc348089303"/>
      <w:bookmarkStart w:id="88" w:name="_Toc348948365"/>
      <w:r w:rsidRPr="006202E5">
        <w:rPr>
          <w:szCs w:val="24"/>
        </w:rPr>
        <w:t>7.4. Uzņēmumu elektroniskā reģistrēšana</w:t>
      </w:r>
      <w:bookmarkEnd w:id="87"/>
      <w:bookmarkEnd w:id="88"/>
      <w:r w:rsidRPr="006202E5">
        <w:rPr>
          <w:szCs w:val="24"/>
          <w:u w:val="single"/>
        </w:rPr>
        <w:t xml:space="preserve"> </w:t>
      </w:r>
    </w:p>
    <w:p w:rsidR="00871110" w:rsidRPr="006202E5" w:rsidRDefault="00871110" w:rsidP="00871110">
      <w:pPr>
        <w:pStyle w:val="ListParagraph"/>
        <w:spacing w:after="0" w:line="240" w:lineRule="auto"/>
        <w:ind w:left="0" w:firstLine="720"/>
        <w:jc w:val="both"/>
        <w:rPr>
          <w:rFonts w:ascii="Times New Roman" w:hAnsi="Times New Roman"/>
          <w:sz w:val="24"/>
          <w:szCs w:val="24"/>
        </w:rPr>
      </w:pPr>
      <w:r w:rsidRPr="006202E5">
        <w:rPr>
          <w:rFonts w:ascii="Times New Roman" w:hAnsi="Times New Roman"/>
          <w:sz w:val="24"/>
          <w:szCs w:val="24"/>
        </w:rPr>
        <w:t xml:space="preserve">Ar 2012. gada 21. novembri jauna komersanta reģistrācija </w:t>
      </w:r>
      <w:r w:rsidR="00405486" w:rsidRPr="006202E5">
        <w:rPr>
          <w:rFonts w:ascii="Times New Roman" w:hAnsi="Times New Roman"/>
          <w:sz w:val="24"/>
          <w:szCs w:val="24"/>
        </w:rPr>
        <w:t>Uzņēmumu reģistr</w:t>
      </w:r>
      <w:r w:rsidR="00405486">
        <w:rPr>
          <w:rFonts w:ascii="Times New Roman" w:hAnsi="Times New Roman"/>
          <w:sz w:val="24"/>
          <w:szCs w:val="24"/>
        </w:rPr>
        <w:t>a</w:t>
      </w:r>
      <w:r w:rsidR="00405486" w:rsidRPr="006202E5">
        <w:rPr>
          <w:rFonts w:ascii="Times New Roman" w:hAnsi="Times New Roman"/>
          <w:sz w:val="24"/>
          <w:szCs w:val="24"/>
        </w:rPr>
        <w:t xml:space="preserve"> </w:t>
      </w:r>
      <w:r w:rsidRPr="006202E5">
        <w:rPr>
          <w:rFonts w:ascii="Times New Roman" w:hAnsi="Times New Roman"/>
          <w:sz w:val="24"/>
          <w:szCs w:val="24"/>
        </w:rPr>
        <w:t xml:space="preserve">Komercreģistrā iespējama elektroniski. Uzņēmējam ir iespēja sākotnēji pārliecināties, vai reģistrējamā uzņēmuma nosaukums jau netiek izmantots, apskatīt līdzīgos nosaukumus, pievienot dokumentus, kā arī integrēt savus fiziskās personas datus, izmantojot autentifikācijas informāciju. Reģistrācijas pieteikumu e-pakalpojuma ietvaros iespējams parakstīt ar Latvijā izsniegtu drošu e-parakstu. Vienlaikus ir iespēja veikt valsts nodevas </w:t>
      </w:r>
      <w:r w:rsidR="00405486">
        <w:rPr>
          <w:rFonts w:ascii="Times New Roman" w:hAnsi="Times New Roman"/>
          <w:sz w:val="24"/>
          <w:szCs w:val="24"/>
        </w:rPr>
        <w:t>sa</w:t>
      </w:r>
      <w:r w:rsidRPr="006202E5">
        <w:rPr>
          <w:rFonts w:ascii="Times New Roman" w:hAnsi="Times New Roman"/>
          <w:sz w:val="24"/>
          <w:szCs w:val="24"/>
        </w:rPr>
        <w:t>maksu, publikāciju</w:t>
      </w:r>
      <w:r w:rsidR="00405486">
        <w:rPr>
          <w:rFonts w:ascii="Times New Roman" w:hAnsi="Times New Roman"/>
          <w:sz w:val="24"/>
          <w:szCs w:val="24"/>
        </w:rPr>
        <w:t xml:space="preserve"> oficiālajā izdevumā</w:t>
      </w:r>
      <w:r>
        <w:rPr>
          <w:rFonts w:ascii="Times New Roman" w:hAnsi="Times New Roman"/>
          <w:sz w:val="24"/>
          <w:szCs w:val="24"/>
        </w:rPr>
        <w:t xml:space="preserve"> </w:t>
      </w:r>
      <w:r w:rsidR="00405486">
        <w:rPr>
          <w:rFonts w:ascii="Times New Roman" w:hAnsi="Times New Roman"/>
          <w:sz w:val="24"/>
          <w:szCs w:val="24"/>
        </w:rPr>
        <w:t>"</w:t>
      </w:r>
      <w:r>
        <w:rPr>
          <w:rFonts w:ascii="Times New Roman" w:hAnsi="Times New Roman"/>
          <w:sz w:val="24"/>
          <w:szCs w:val="24"/>
        </w:rPr>
        <w:t>Latvijas Vēstnes</w:t>
      </w:r>
      <w:r w:rsidR="00405486">
        <w:rPr>
          <w:rFonts w:ascii="Times New Roman" w:hAnsi="Times New Roman"/>
          <w:sz w:val="24"/>
          <w:szCs w:val="24"/>
        </w:rPr>
        <w:t>is"</w:t>
      </w:r>
      <w:r>
        <w:rPr>
          <w:rFonts w:ascii="Times New Roman" w:hAnsi="Times New Roman"/>
          <w:sz w:val="24"/>
          <w:szCs w:val="24"/>
        </w:rPr>
        <w:t>. J</w:t>
      </w:r>
      <w:r w:rsidRPr="006202E5">
        <w:rPr>
          <w:rFonts w:ascii="Times New Roman" w:hAnsi="Times New Roman"/>
          <w:sz w:val="24"/>
          <w:szCs w:val="24"/>
        </w:rPr>
        <w:t>aunā sistēma paredz arī pieteikt reģistrācijai izmaiņas, reorganizāciju, maksātnespēju, likvidāciju un līguma izbeigšanu.</w:t>
      </w:r>
    </w:p>
    <w:p w:rsidR="00871110" w:rsidRPr="006202E5" w:rsidRDefault="00871110" w:rsidP="00871110">
      <w:pPr>
        <w:pStyle w:val="Heading3"/>
        <w:rPr>
          <w:szCs w:val="24"/>
        </w:rPr>
      </w:pPr>
      <w:bookmarkStart w:id="89" w:name="_Toc348089304"/>
      <w:bookmarkStart w:id="90" w:name="_Toc348948366"/>
      <w:r w:rsidRPr="006202E5">
        <w:rPr>
          <w:szCs w:val="24"/>
        </w:rPr>
        <w:lastRenderedPageBreak/>
        <w:t>7.5. Komercdarbības vides tiesiskā regulējuma uzlabošana</w:t>
      </w:r>
      <w:bookmarkEnd w:id="89"/>
      <w:bookmarkEnd w:id="90"/>
    </w:p>
    <w:p w:rsidR="00871110" w:rsidRPr="006202E5" w:rsidRDefault="00871110" w:rsidP="00871110">
      <w:pPr>
        <w:pStyle w:val="ListParagraph"/>
        <w:spacing w:after="0" w:line="240" w:lineRule="auto"/>
        <w:ind w:left="0" w:firstLine="720"/>
        <w:jc w:val="both"/>
        <w:rPr>
          <w:rFonts w:ascii="Times New Roman" w:hAnsi="Times New Roman"/>
          <w:sz w:val="24"/>
          <w:szCs w:val="24"/>
        </w:rPr>
      </w:pPr>
      <w:r w:rsidRPr="006202E5">
        <w:rPr>
          <w:rFonts w:ascii="Times New Roman" w:hAnsi="Times New Roman"/>
          <w:sz w:val="24"/>
          <w:szCs w:val="24"/>
        </w:rPr>
        <w:t xml:space="preserve">2012.gada nogalē Saeimā otrajā lasījumā atbalstīti grozījumi Komerclikumā, Civilprocesa likumā un likumā </w:t>
      </w:r>
      <w:r w:rsidR="00B167ED">
        <w:rPr>
          <w:rFonts w:ascii="Times New Roman" w:hAnsi="Times New Roman"/>
          <w:sz w:val="24"/>
          <w:szCs w:val="24"/>
        </w:rPr>
        <w:t>"</w:t>
      </w:r>
      <w:r w:rsidRPr="006202E5">
        <w:rPr>
          <w:rFonts w:ascii="Times New Roman" w:hAnsi="Times New Roman"/>
          <w:sz w:val="24"/>
          <w:szCs w:val="24"/>
        </w:rPr>
        <w:t>Par Latvijas Republikas Uzņēmumu reģistru</w:t>
      </w:r>
      <w:r w:rsidR="00B167ED">
        <w:rPr>
          <w:rFonts w:ascii="Times New Roman" w:hAnsi="Times New Roman"/>
          <w:sz w:val="24"/>
          <w:szCs w:val="24"/>
        </w:rPr>
        <w:t>"</w:t>
      </w:r>
      <w:r w:rsidRPr="006202E5">
        <w:rPr>
          <w:rFonts w:ascii="Times New Roman" w:hAnsi="Times New Roman"/>
          <w:sz w:val="24"/>
          <w:szCs w:val="24"/>
        </w:rPr>
        <w:t xml:space="preserve"> ar mērķi mazināt reiderisma jeb kapitālsabiedrības nelikumīgas pārņemšanas iespējas, nodrošinot augstāku drošības pakāpi pamatkapitāla daļu atsavināšanas kārtībā un būtiskāko dalībnieku (akcionāru) sapulču lēmumu pieņemšanā, kā arī paaugstināt drošību dokumentu iesniegšanā Uzņēmumu reģistram, lai reģistrētu būtiskākās izmaiņas kapitālsabiedrības darbībā un tās pārvaldes institūcijās. Paredzēts izveidot speciālu tiesvedības kārtību dalībnieku (akcionāru) iekšējo strīdu risināšanai jeb dalībnieku (akcionāru) sapulču atsevišķu lēmumu apstrīdēšanai, nodrošinot šādu strīdu izskatīšanu vienā </w:t>
      </w:r>
      <w:r w:rsidR="00B167ED">
        <w:rPr>
          <w:rFonts w:ascii="Times New Roman" w:hAnsi="Times New Roman"/>
          <w:sz w:val="24"/>
          <w:szCs w:val="24"/>
        </w:rPr>
        <w:t>"</w:t>
      </w:r>
      <w:r w:rsidRPr="006202E5">
        <w:rPr>
          <w:rFonts w:ascii="Times New Roman" w:hAnsi="Times New Roman"/>
          <w:sz w:val="24"/>
          <w:szCs w:val="24"/>
        </w:rPr>
        <w:t>specializētā</w:t>
      </w:r>
      <w:r w:rsidR="00B167ED">
        <w:rPr>
          <w:rFonts w:ascii="Times New Roman" w:hAnsi="Times New Roman"/>
          <w:sz w:val="24"/>
          <w:szCs w:val="24"/>
        </w:rPr>
        <w:t>"</w:t>
      </w:r>
      <w:r w:rsidRPr="006202E5">
        <w:rPr>
          <w:rFonts w:ascii="Times New Roman" w:hAnsi="Times New Roman"/>
          <w:sz w:val="24"/>
          <w:szCs w:val="24"/>
        </w:rPr>
        <w:t xml:space="preserve"> tiesā, divās instancēs un rakstveida procesā. Ieviešot speciālo tiesvedības kārtību, ir plānots panākt šo strīdu izskatīšanu pirmajā instancē vidēji 70 dienu laikā, savukārt abās instancēs – vidēji pusgada laikā. Savukārt </w:t>
      </w:r>
      <w:r w:rsidR="00405486">
        <w:rPr>
          <w:rFonts w:ascii="Times New Roman" w:hAnsi="Times New Roman"/>
          <w:sz w:val="24"/>
          <w:szCs w:val="24"/>
        </w:rPr>
        <w:t xml:space="preserve"> 2013.gada 1.</w:t>
      </w:r>
      <w:r w:rsidRPr="006202E5">
        <w:rPr>
          <w:rFonts w:ascii="Times New Roman" w:hAnsi="Times New Roman"/>
          <w:sz w:val="24"/>
          <w:szCs w:val="24"/>
        </w:rPr>
        <w:t>janvār</w:t>
      </w:r>
      <w:r w:rsidR="00405486">
        <w:rPr>
          <w:rFonts w:ascii="Times New Roman" w:hAnsi="Times New Roman"/>
          <w:sz w:val="24"/>
          <w:szCs w:val="24"/>
        </w:rPr>
        <w:t>ī</w:t>
      </w:r>
      <w:r w:rsidRPr="006202E5">
        <w:rPr>
          <w:rFonts w:ascii="Times New Roman" w:hAnsi="Times New Roman"/>
          <w:sz w:val="24"/>
          <w:szCs w:val="24"/>
        </w:rPr>
        <w:t xml:space="preserve"> spēkā stājās likumdošanas izmaiņas, kas vērstas uz negodprātīgu komersantu sodīšanu un </w:t>
      </w:r>
      <w:r w:rsidR="00405486" w:rsidRPr="006202E5">
        <w:rPr>
          <w:rFonts w:ascii="Times New Roman" w:hAnsi="Times New Roman"/>
          <w:sz w:val="24"/>
          <w:szCs w:val="24"/>
        </w:rPr>
        <w:t xml:space="preserve">izslēgšanu </w:t>
      </w:r>
      <w:r w:rsidR="00405486">
        <w:rPr>
          <w:rFonts w:ascii="Times New Roman" w:hAnsi="Times New Roman"/>
          <w:sz w:val="24"/>
          <w:szCs w:val="24"/>
        </w:rPr>
        <w:t>(</w:t>
      </w:r>
      <w:r w:rsidRPr="006202E5">
        <w:rPr>
          <w:rFonts w:ascii="Times New Roman" w:hAnsi="Times New Roman"/>
          <w:sz w:val="24"/>
          <w:szCs w:val="24"/>
        </w:rPr>
        <w:t>pilnīgu vai uz laiku</w:t>
      </w:r>
      <w:r w:rsidR="00405486">
        <w:rPr>
          <w:rFonts w:ascii="Times New Roman" w:hAnsi="Times New Roman"/>
          <w:sz w:val="24"/>
          <w:szCs w:val="24"/>
        </w:rPr>
        <w:t>)</w:t>
      </w:r>
      <w:r w:rsidRPr="006202E5">
        <w:rPr>
          <w:rFonts w:ascii="Times New Roman" w:hAnsi="Times New Roman"/>
          <w:sz w:val="24"/>
          <w:szCs w:val="24"/>
        </w:rPr>
        <w:t xml:space="preserve"> no komerctiesiskās vides.</w:t>
      </w:r>
    </w:p>
    <w:p w:rsidR="00871110" w:rsidRPr="006202E5" w:rsidRDefault="00871110" w:rsidP="00871110">
      <w:pPr>
        <w:pStyle w:val="ListParagraph"/>
        <w:spacing w:after="0" w:line="240" w:lineRule="auto"/>
        <w:ind w:left="0" w:firstLine="720"/>
        <w:jc w:val="both"/>
        <w:rPr>
          <w:rFonts w:ascii="Times New Roman" w:hAnsi="Times New Roman"/>
          <w:sz w:val="24"/>
          <w:szCs w:val="24"/>
        </w:rPr>
      </w:pPr>
      <w:r w:rsidRPr="006202E5">
        <w:rPr>
          <w:rFonts w:ascii="Times New Roman" w:hAnsi="Times New Roman"/>
          <w:sz w:val="24"/>
          <w:szCs w:val="24"/>
        </w:rPr>
        <w:t xml:space="preserve">Tāpat 2013. gada 1. janvārī spēkā stājās likumi </w:t>
      </w:r>
      <w:r w:rsidR="00B167ED">
        <w:rPr>
          <w:rFonts w:ascii="Times New Roman" w:hAnsi="Times New Roman"/>
          <w:sz w:val="24"/>
          <w:szCs w:val="24"/>
        </w:rPr>
        <w:t>"</w:t>
      </w:r>
      <w:r w:rsidRPr="006202E5">
        <w:rPr>
          <w:rFonts w:ascii="Times New Roman" w:hAnsi="Times New Roman"/>
          <w:sz w:val="24"/>
          <w:szCs w:val="24"/>
        </w:rPr>
        <w:t>Grozījumi Komerclikumā</w:t>
      </w:r>
      <w:r w:rsidR="00B167ED">
        <w:rPr>
          <w:rFonts w:ascii="Times New Roman" w:hAnsi="Times New Roman"/>
          <w:sz w:val="24"/>
          <w:szCs w:val="24"/>
        </w:rPr>
        <w:t>"</w:t>
      </w:r>
      <w:r w:rsidRPr="006202E5">
        <w:rPr>
          <w:rFonts w:ascii="Times New Roman" w:hAnsi="Times New Roman"/>
          <w:sz w:val="24"/>
          <w:szCs w:val="24"/>
        </w:rPr>
        <w:t xml:space="preserve">, </w:t>
      </w:r>
      <w:r w:rsidR="00B167ED">
        <w:rPr>
          <w:rFonts w:ascii="Times New Roman" w:hAnsi="Times New Roman"/>
          <w:sz w:val="24"/>
          <w:szCs w:val="24"/>
        </w:rPr>
        <w:t>"</w:t>
      </w:r>
      <w:r w:rsidRPr="006202E5">
        <w:rPr>
          <w:rFonts w:ascii="Times New Roman" w:hAnsi="Times New Roman"/>
          <w:sz w:val="24"/>
          <w:szCs w:val="24"/>
        </w:rPr>
        <w:t xml:space="preserve">Grozījumi likumā </w:t>
      </w:r>
      <w:r w:rsidR="00B167ED">
        <w:rPr>
          <w:rFonts w:ascii="Times New Roman" w:hAnsi="Times New Roman"/>
          <w:sz w:val="24"/>
          <w:szCs w:val="24"/>
        </w:rPr>
        <w:t>"</w:t>
      </w:r>
      <w:r w:rsidRPr="006202E5">
        <w:rPr>
          <w:rFonts w:ascii="Times New Roman" w:hAnsi="Times New Roman"/>
          <w:sz w:val="24"/>
          <w:szCs w:val="24"/>
        </w:rPr>
        <w:t>Par Latvijas Republikas Uzņēmumu reģistru</w:t>
      </w:r>
      <w:r w:rsidR="00B167ED">
        <w:rPr>
          <w:rFonts w:ascii="Times New Roman" w:hAnsi="Times New Roman"/>
          <w:sz w:val="24"/>
          <w:szCs w:val="24"/>
        </w:rPr>
        <w:t>""</w:t>
      </w:r>
      <w:r w:rsidRPr="006202E5">
        <w:rPr>
          <w:rFonts w:ascii="Times New Roman" w:hAnsi="Times New Roman"/>
          <w:sz w:val="24"/>
          <w:szCs w:val="24"/>
        </w:rPr>
        <w:t xml:space="preserve"> un </w:t>
      </w:r>
      <w:r w:rsidR="00B167ED">
        <w:rPr>
          <w:rFonts w:ascii="Times New Roman" w:hAnsi="Times New Roman"/>
          <w:sz w:val="24"/>
          <w:szCs w:val="24"/>
        </w:rPr>
        <w:t>"</w:t>
      </w:r>
      <w:r w:rsidRPr="006202E5">
        <w:rPr>
          <w:rFonts w:ascii="Times New Roman" w:hAnsi="Times New Roman"/>
          <w:sz w:val="24"/>
          <w:szCs w:val="24"/>
        </w:rPr>
        <w:t>Grozījumi Latvijas Administratīvo pārkāpumu kodeksā</w:t>
      </w:r>
      <w:r w:rsidR="00B167ED">
        <w:rPr>
          <w:rFonts w:ascii="Times New Roman" w:hAnsi="Times New Roman"/>
          <w:sz w:val="24"/>
          <w:szCs w:val="24"/>
        </w:rPr>
        <w:t>"</w:t>
      </w:r>
      <w:r w:rsidRPr="006202E5">
        <w:rPr>
          <w:rFonts w:ascii="Times New Roman" w:hAnsi="Times New Roman"/>
          <w:sz w:val="24"/>
          <w:szCs w:val="24"/>
        </w:rPr>
        <w:t>, kas vērsti uz negodprātīgu komersantu sodīšanu un izslēgšanu (pilnīgu vai uz laiku) no komerctiesiskās vides.</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Lai uzņēmējiem radītu visās pašvaldībās vienādas prasības reklāmas izvietošan</w:t>
      </w:r>
      <w:r w:rsidR="00405486">
        <w:rPr>
          <w:rFonts w:ascii="Times New Roman" w:hAnsi="Times New Roman"/>
          <w:sz w:val="24"/>
          <w:szCs w:val="24"/>
        </w:rPr>
        <w:t>ā</w:t>
      </w:r>
      <w:r w:rsidRPr="006202E5">
        <w:rPr>
          <w:rFonts w:ascii="Times New Roman" w:hAnsi="Times New Roman"/>
          <w:sz w:val="24"/>
          <w:szCs w:val="24"/>
        </w:rPr>
        <w:t xml:space="preserve"> un ekspluatācij</w:t>
      </w:r>
      <w:r w:rsidR="00405486">
        <w:rPr>
          <w:rFonts w:ascii="Times New Roman" w:hAnsi="Times New Roman"/>
          <w:sz w:val="24"/>
          <w:szCs w:val="24"/>
        </w:rPr>
        <w:t>ā</w:t>
      </w:r>
      <w:r w:rsidRPr="006202E5">
        <w:rPr>
          <w:rFonts w:ascii="Times New Roman" w:hAnsi="Times New Roman"/>
          <w:sz w:val="24"/>
          <w:szCs w:val="24"/>
        </w:rPr>
        <w:t xml:space="preserve"> publiskajā ārtelpā, kā arī samazinātu administratīvo slogu šī pakalpojuma saņemšanā, 2012.gadā 30.oktobrī stājās spēkā MK noteikumi Nr.732 </w:t>
      </w:r>
      <w:r w:rsidR="00B167ED">
        <w:rPr>
          <w:rFonts w:ascii="Times New Roman" w:hAnsi="Times New Roman"/>
          <w:sz w:val="24"/>
          <w:szCs w:val="24"/>
        </w:rPr>
        <w:t>"</w:t>
      </w:r>
      <w:r w:rsidRPr="006202E5">
        <w:rPr>
          <w:rFonts w:ascii="Times New Roman" w:hAnsi="Times New Roman"/>
          <w:sz w:val="24"/>
          <w:szCs w:val="24"/>
        </w:rPr>
        <w:t>Kārtība, kādā saņemama atļauja reklāmas izvietošanai publiskās vietās vai vietās, kas vērstas pret publisku vietu</w:t>
      </w:r>
      <w:r w:rsidR="00B167ED">
        <w:rPr>
          <w:rFonts w:ascii="Times New Roman" w:hAnsi="Times New Roman"/>
          <w:sz w:val="24"/>
          <w:szCs w:val="24"/>
        </w:rPr>
        <w:t>"</w:t>
      </w:r>
      <w:r w:rsidRPr="006202E5">
        <w:rPr>
          <w:rFonts w:ascii="Times New Roman" w:hAnsi="Times New Roman"/>
          <w:sz w:val="24"/>
          <w:szCs w:val="24"/>
        </w:rPr>
        <w:t>. MK noteikumi novērsīs situāciju, ka uzņēmējiem, kuri vēlas izvietot savu reklāmu vairākās pašvaldībās, ir jātērē laika un finanšu resursi, lai apzinātu un izpildītu pašvaldību atšķirīgās prasības.</w:t>
      </w:r>
    </w:p>
    <w:p w:rsidR="00871110" w:rsidRPr="00871110"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2013.gadā plānots pilnveidot tiesisko regulējumu investoru tiesiskās aizsardzības stiprināšanai, nodrošinot iespēju komercķīlas reģistrāciju veikt pilnīgi elektroniski, vienkāršojot esošās reģistrācijas procedūras un samazinot administratīvo slogu, kā arī uzlabojot </w:t>
      </w:r>
      <w:r w:rsidR="00405486" w:rsidRPr="006202E5">
        <w:rPr>
          <w:rFonts w:ascii="Times New Roman" w:hAnsi="Times New Roman"/>
          <w:sz w:val="24"/>
          <w:szCs w:val="24"/>
        </w:rPr>
        <w:t xml:space="preserve">regulējumu </w:t>
      </w:r>
      <w:r w:rsidRPr="006202E5">
        <w:rPr>
          <w:rFonts w:ascii="Times New Roman" w:hAnsi="Times New Roman"/>
          <w:sz w:val="24"/>
          <w:szCs w:val="24"/>
        </w:rPr>
        <w:t>komercķīlas tiesības izlietošana</w:t>
      </w:r>
      <w:r w:rsidR="00405486">
        <w:rPr>
          <w:rFonts w:ascii="Times New Roman" w:hAnsi="Times New Roman"/>
          <w:sz w:val="24"/>
          <w:szCs w:val="24"/>
        </w:rPr>
        <w:t>i</w:t>
      </w:r>
      <w:r w:rsidRPr="006202E5">
        <w:rPr>
          <w:rFonts w:ascii="Times New Roman" w:hAnsi="Times New Roman"/>
          <w:sz w:val="24"/>
          <w:szCs w:val="24"/>
        </w:rPr>
        <w:t xml:space="preserve"> un komercķīlas priekšmeta pārņemšana</w:t>
      </w:r>
      <w:r w:rsidR="00405486">
        <w:rPr>
          <w:rFonts w:ascii="Times New Roman" w:hAnsi="Times New Roman"/>
          <w:sz w:val="24"/>
          <w:szCs w:val="24"/>
        </w:rPr>
        <w:t>i</w:t>
      </w:r>
      <w:r w:rsidRPr="006202E5">
        <w:rPr>
          <w:rFonts w:ascii="Times New Roman" w:hAnsi="Times New Roman"/>
          <w:sz w:val="24"/>
          <w:szCs w:val="24"/>
        </w:rPr>
        <w:t xml:space="preserve"> valdījumā un atsavināšana</w:t>
      </w:r>
      <w:r w:rsidR="00405486">
        <w:rPr>
          <w:rFonts w:ascii="Times New Roman" w:hAnsi="Times New Roman"/>
          <w:sz w:val="24"/>
          <w:szCs w:val="24"/>
        </w:rPr>
        <w:t>i</w:t>
      </w:r>
      <w:r w:rsidRPr="006202E5">
        <w:rPr>
          <w:rFonts w:ascii="Times New Roman" w:hAnsi="Times New Roman"/>
          <w:sz w:val="24"/>
          <w:szCs w:val="24"/>
        </w:rPr>
        <w:t>; pilnveidojot koncernu tiesisko</w:t>
      </w:r>
      <w:r w:rsidR="00002678">
        <w:rPr>
          <w:rFonts w:ascii="Times New Roman" w:hAnsi="Times New Roman"/>
          <w:sz w:val="24"/>
          <w:szCs w:val="24"/>
        </w:rPr>
        <w:t xml:space="preserve"> regulējumu</w:t>
      </w:r>
      <w:r w:rsidRPr="006202E5">
        <w:rPr>
          <w:rFonts w:ascii="Times New Roman" w:hAnsi="Times New Roman"/>
          <w:sz w:val="24"/>
          <w:szCs w:val="24"/>
        </w:rPr>
        <w:t xml:space="preserve"> </w:t>
      </w:r>
      <w:r w:rsidR="00002678">
        <w:rPr>
          <w:rFonts w:ascii="Times New Roman" w:hAnsi="Times New Roman"/>
          <w:sz w:val="24"/>
          <w:szCs w:val="24"/>
        </w:rPr>
        <w:t>un</w:t>
      </w:r>
      <w:r w:rsidRPr="006202E5">
        <w:rPr>
          <w:rFonts w:ascii="Times New Roman" w:hAnsi="Times New Roman"/>
          <w:sz w:val="24"/>
          <w:szCs w:val="24"/>
        </w:rPr>
        <w:t xml:space="preserve"> akcionāru reģistra vešanas kārtību. </w:t>
      </w:r>
    </w:p>
    <w:p w:rsidR="00871110" w:rsidRPr="00BC4E45" w:rsidRDefault="00871110" w:rsidP="00871110">
      <w:pPr>
        <w:pStyle w:val="Heading3"/>
      </w:pPr>
      <w:bookmarkStart w:id="91" w:name="_Toc348948367"/>
      <w:r w:rsidRPr="00BC4E45">
        <w:t>7.6. Tūrisma politika</w:t>
      </w:r>
      <w:bookmarkEnd w:id="91"/>
    </w:p>
    <w:p w:rsidR="00871110" w:rsidRDefault="00871110" w:rsidP="00871110">
      <w:pPr>
        <w:pStyle w:val="ListParagraph"/>
        <w:spacing w:after="0" w:line="240" w:lineRule="auto"/>
        <w:ind w:left="0" w:firstLine="709"/>
        <w:jc w:val="both"/>
        <w:rPr>
          <w:rFonts w:ascii="Times New Roman" w:hAnsi="Times New Roman"/>
          <w:sz w:val="24"/>
          <w:szCs w:val="24"/>
        </w:rPr>
      </w:pPr>
      <w:r w:rsidRPr="00FE1AC1">
        <w:rPr>
          <w:rFonts w:ascii="Times New Roman" w:hAnsi="Times New Roman"/>
          <w:sz w:val="24"/>
          <w:szCs w:val="24"/>
        </w:rPr>
        <w:t>Tūrisma nozares izaugsmes sekmēšanai</w:t>
      </w:r>
      <w:r w:rsidRPr="00034A96">
        <w:rPr>
          <w:rFonts w:ascii="Times New Roman" w:hAnsi="Times New Roman"/>
          <w:sz w:val="24"/>
          <w:szCs w:val="24"/>
        </w:rPr>
        <w:t xml:space="preserve"> 2012.gadā sagatavoti un Saeimā apstiprināti grozījumi Tūrisma likumā</w:t>
      </w:r>
      <w:r w:rsidRPr="00034A96">
        <w:rPr>
          <w:rFonts w:ascii="Times New Roman" w:hAnsi="Times New Roman"/>
          <w:b/>
          <w:sz w:val="24"/>
          <w:szCs w:val="24"/>
        </w:rPr>
        <w:t>,</w:t>
      </w:r>
      <w:r w:rsidRPr="00034A96">
        <w:rPr>
          <w:rFonts w:ascii="Times New Roman" w:hAnsi="Times New Roman"/>
          <w:sz w:val="24"/>
          <w:szCs w:val="24"/>
        </w:rPr>
        <w:t xml:space="preserve"> kas nosaka kūrorta kritērijus. </w:t>
      </w:r>
      <w:r w:rsidR="00002678">
        <w:rPr>
          <w:rFonts w:ascii="Times New Roman" w:hAnsi="Times New Roman"/>
          <w:sz w:val="24"/>
          <w:szCs w:val="24"/>
        </w:rPr>
        <w:t xml:space="preserve">2012.gada 18.decembrī </w:t>
      </w:r>
      <w:r w:rsidR="00564305">
        <w:rPr>
          <w:rFonts w:ascii="Times New Roman" w:hAnsi="Times New Roman"/>
          <w:sz w:val="24"/>
          <w:szCs w:val="24"/>
        </w:rPr>
        <w:t>MK</w:t>
      </w:r>
      <w:r>
        <w:rPr>
          <w:rFonts w:ascii="Times New Roman" w:hAnsi="Times New Roman"/>
          <w:sz w:val="24"/>
          <w:szCs w:val="24"/>
        </w:rPr>
        <w:t xml:space="preserve"> apstiprināja noteikumus Nr.905 </w:t>
      </w:r>
      <w:r w:rsidR="00B167ED">
        <w:rPr>
          <w:rFonts w:ascii="Times New Roman" w:hAnsi="Times New Roman"/>
          <w:sz w:val="24"/>
          <w:szCs w:val="24"/>
        </w:rPr>
        <w:t>"</w:t>
      </w:r>
      <w:r w:rsidRPr="00034A96">
        <w:rPr>
          <w:rFonts w:ascii="Times New Roman" w:hAnsi="Times New Roman"/>
          <w:sz w:val="24"/>
          <w:szCs w:val="24"/>
        </w:rPr>
        <w:t>Kūrorta statusa piešķiršanas un anulēšanas kārtība</w:t>
      </w:r>
      <w:r w:rsidR="00B167ED">
        <w:rPr>
          <w:rFonts w:ascii="Times New Roman" w:hAnsi="Times New Roman"/>
          <w:sz w:val="24"/>
          <w:szCs w:val="24"/>
        </w:rPr>
        <w:t>"</w:t>
      </w:r>
      <w:r>
        <w:rPr>
          <w:rFonts w:ascii="Times New Roman" w:hAnsi="Times New Roman"/>
          <w:sz w:val="24"/>
          <w:szCs w:val="24"/>
        </w:rPr>
        <w:t>,</w:t>
      </w:r>
      <w:r w:rsidRPr="00034A96">
        <w:rPr>
          <w:rFonts w:ascii="Times New Roman" w:hAnsi="Times New Roman"/>
          <w:sz w:val="24"/>
          <w:szCs w:val="24"/>
        </w:rPr>
        <w:t xml:space="preserve"> kas nosaka kārtību, kādā pašvaldība iesniedz pieteikumu par kūrorta statusa piešķiršanu</w:t>
      </w:r>
      <w:r>
        <w:rPr>
          <w:rFonts w:ascii="Times New Roman" w:hAnsi="Times New Roman"/>
          <w:sz w:val="24"/>
          <w:szCs w:val="24"/>
        </w:rPr>
        <w:t xml:space="preserve"> un </w:t>
      </w:r>
      <w:r w:rsidRPr="00034A96">
        <w:rPr>
          <w:rFonts w:ascii="Times New Roman" w:hAnsi="Times New Roman"/>
          <w:sz w:val="24"/>
          <w:szCs w:val="24"/>
        </w:rPr>
        <w:t>sniedz pārskatu par teritorijas attīstības plānošanas dokumentos paredzēto kūrorta attīstību un vides kvalitātes rādītājiem. Kūrorta statuss kalpos par instrumentu, ar kura palīdzību pašvaldība varēs pārliecināt gan attiecīgās teritorijas tūrisma komersantus, gan potenciālos Latvijas un ārvalstu investorus, ka šajā teritorijā kūrortiestāžu darbība un veselības tūrisma pakalpojumi tiks attīstīti plānveidīgi un ilgtermiņā.</w:t>
      </w:r>
      <w:r>
        <w:rPr>
          <w:rFonts w:ascii="Times New Roman" w:hAnsi="Times New Roman"/>
          <w:sz w:val="24"/>
          <w:szCs w:val="24"/>
        </w:rPr>
        <w:t xml:space="preserve"> </w:t>
      </w:r>
    </w:p>
    <w:p w:rsidR="00871110" w:rsidRPr="00871110" w:rsidRDefault="00871110" w:rsidP="00871110">
      <w:pPr>
        <w:spacing w:after="0" w:line="240" w:lineRule="auto"/>
        <w:ind w:firstLine="709"/>
        <w:jc w:val="both"/>
        <w:rPr>
          <w:rFonts w:ascii="Times New Roman" w:hAnsi="Times New Roman"/>
          <w:iCs/>
          <w:sz w:val="24"/>
          <w:szCs w:val="24"/>
        </w:rPr>
      </w:pPr>
      <w:r>
        <w:rPr>
          <w:rFonts w:ascii="Times New Roman" w:hAnsi="Times New Roman"/>
          <w:sz w:val="24"/>
          <w:szCs w:val="24"/>
        </w:rPr>
        <w:lastRenderedPageBreak/>
        <w:t>2013.gadā n</w:t>
      </w:r>
      <w:r w:rsidRPr="00034A96">
        <w:rPr>
          <w:rFonts w:ascii="Times New Roman" w:hAnsi="Times New Roman"/>
          <w:sz w:val="24"/>
          <w:szCs w:val="24"/>
        </w:rPr>
        <w:t xml:space="preserve">ozares ilgtspējīgas izaugsmes sekmēšanai plānots izstrādāt un iesniegt apstiprināšanai </w:t>
      </w:r>
      <w:r w:rsidR="009749E5">
        <w:rPr>
          <w:rFonts w:ascii="Times New Roman" w:hAnsi="Times New Roman"/>
          <w:sz w:val="24"/>
          <w:szCs w:val="24"/>
        </w:rPr>
        <w:t>MK</w:t>
      </w:r>
      <w:r w:rsidRPr="00034A96">
        <w:rPr>
          <w:rFonts w:ascii="Times New Roman" w:hAnsi="Times New Roman"/>
          <w:sz w:val="24"/>
          <w:szCs w:val="24"/>
        </w:rPr>
        <w:t xml:space="preserve"> </w:t>
      </w:r>
      <w:r w:rsidRPr="008E4419">
        <w:rPr>
          <w:rFonts w:ascii="Times New Roman" w:hAnsi="Times New Roman"/>
          <w:sz w:val="24"/>
          <w:szCs w:val="24"/>
        </w:rPr>
        <w:t>Latvijas tūrisma attīstības plānošanas dokumentu 2014.</w:t>
      </w:r>
      <w:r w:rsidR="00002678">
        <w:rPr>
          <w:rFonts w:ascii="Times New Roman" w:hAnsi="Times New Roman"/>
          <w:sz w:val="24"/>
          <w:szCs w:val="24"/>
        </w:rPr>
        <w:t>–</w:t>
      </w:r>
      <w:r w:rsidRPr="008E4419">
        <w:rPr>
          <w:rFonts w:ascii="Times New Roman" w:hAnsi="Times New Roman"/>
          <w:sz w:val="24"/>
          <w:szCs w:val="24"/>
        </w:rPr>
        <w:t xml:space="preserve">2020.gadam, </w:t>
      </w:r>
      <w:r w:rsidRPr="00034A96">
        <w:rPr>
          <w:rFonts w:ascii="Times New Roman" w:hAnsi="Times New Roman"/>
          <w:sz w:val="24"/>
          <w:szCs w:val="24"/>
        </w:rPr>
        <w:t xml:space="preserve">definējot mērķus un rīcības virzienus tūrisma nozares </w:t>
      </w:r>
      <w:r w:rsidR="00002678">
        <w:rPr>
          <w:rFonts w:ascii="Times New Roman" w:hAnsi="Times New Roman"/>
          <w:sz w:val="24"/>
          <w:szCs w:val="24"/>
        </w:rPr>
        <w:t>turpmākai</w:t>
      </w:r>
      <w:r w:rsidRPr="00034A96">
        <w:rPr>
          <w:rFonts w:ascii="Times New Roman" w:hAnsi="Times New Roman"/>
          <w:sz w:val="24"/>
          <w:szCs w:val="24"/>
        </w:rPr>
        <w:t xml:space="preserve"> attīstībai.</w:t>
      </w:r>
    </w:p>
    <w:p w:rsidR="00871110" w:rsidRPr="003C49ED" w:rsidRDefault="00871110" w:rsidP="00871110">
      <w:pPr>
        <w:pStyle w:val="Heading2"/>
        <w:jc w:val="both"/>
      </w:pPr>
      <w:bookmarkStart w:id="92" w:name="_Toc348089305"/>
      <w:bookmarkStart w:id="93" w:name="_Toc348948368"/>
      <w:r w:rsidRPr="003C49ED">
        <w:t>8. Transports un telekomunikācijas (infrastruktūra un pakalpojumi), digitāli vienota tirgus izveide</w:t>
      </w:r>
      <w:bookmarkEnd w:id="93"/>
      <w:r w:rsidRPr="003C49ED">
        <w:t xml:space="preserve"> </w:t>
      </w:r>
      <w:bookmarkEnd w:id="92"/>
    </w:p>
    <w:p w:rsidR="00871110" w:rsidRPr="003C49ED" w:rsidRDefault="00871110" w:rsidP="00871110">
      <w:pPr>
        <w:pStyle w:val="Heading3"/>
        <w:jc w:val="both"/>
      </w:pPr>
      <w:bookmarkStart w:id="94" w:name="_Toc348089306"/>
      <w:bookmarkStart w:id="95" w:name="_Toc348089314"/>
      <w:bookmarkStart w:id="96" w:name="_Toc348948369"/>
      <w:r w:rsidRPr="003C49ED">
        <w:t>8.1. Eiropas Savienības fondu izmantošana un Eiropas Transporta tīkla (TEN-T) politikas pārskatīšana</w:t>
      </w:r>
      <w:bookmarkEnd w:id="94"/>
      <w:bookmarkEnd w:id="96"/>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hAnsi="Times New Roman"/>
          <w:sz w:val="24"/>
          <w:szCs w:val="24"/>
        </w:rPr>
        <w:t>Sekmīgi apgūstot ES</w:t>
      </w:r>
      <w:r>
        <w:rPr>
          <w:rFonts w:ascii="Times New Roman" w:hAnsi="Times New Roman"/>
          <w:sz w:val="24"/>
          <w:szCs w:val="24"/>
        </w:rPr>
        <w:t xml:space="preserve"> fondu</w:t>
      </w:r>
      <w:r w:rsidRPr="006202E5">
        <w:rPr>
          <w:rFonts w:ascii="Times New Roman" w:hAnsi="Times New Roman"/>
          <w:sz w:val="24"/>
          <w:szCs w:val="24"/>
        </w:rPr>
        <w:t xml:space="preserve"> līdzekļus, ir apstiprināti projekti par 98</w:t>
      </w:r>
      <w:r w:rsidR="00111406">
        <w:rPr>
          <w:rFonts w:ascii="Times New Roman" w:hAnsi="Times New Roman"/>
          <w:sz w:val="24"/>
          <w:szCs w:val="24"/>
        </w:rPr>
        <w:t> %</w:t>
      </w:r>
      <w:r w:rsidRPr="006202E5">
        <w:rPr>
          <w:rFonts w:ascii="Times New Roman" w:hAnsi="Times New Roman"/>
          <w:sz w:val="24"/>
          <w:szCs w:val="24"/>
        </w:rPr>
        <w:t xml:space="preserve"> no pieejamā fondu finansējuma (t.sk. virs saistībām) 2007.</w:t>
      </w:r>
      <w:r w:rsidR="00002678">
        <w:rPr>
          <w:rFonts w:ascii="Times New Roman" w:hAnsi="Times New Roman"/>
          <w:sz w:val="24"/>
          <w:szCs w:val="24"/>
        </w:rPr>
        <w:t>–</w:t>
      </w:r>
      <w:r w:rsidRPr="006202E5">
        <w:rPr>
          <w:rFonts w:ascii="Times New Roman" w:hAnsi="Times New Roman"/>
          <w:sz w:val="24"/>
          <w:szCs w:val="24"/>
        </w:rPr>
        <w:t>2013. gada plānošanas periodam. 2</w:t>
      </w:r>
      <w:r w:rsidR="00002678">
        <w:rPr>
          <w:rFonts w:ascii="Times New Roman" w:eastAsia="Calibri" w:hAnsi="Times New Roman"/>
          <w:sz w:val="24"/>
          <w:szCs w:val="24"/>
          <w:lang w:eastAsia="en-US"/>
        </w:rPr>
        <w:t>012.gada 22.</w:t>
      </w:r>
      <w:r w:rsidRPr="006202E5">
        <w:rPr>
          <w:rFonts w:ascii="Times New Roman" w:eastAsia="Calibri" w:hAnsi="Times New Roman"/>
          <w:sz w:val="24"/>
          <w:szCs w:val="24"/>
          <w:lang w:eastAsia="en-US"/>
        </w:rPr>
        <w:t xml:space="preserve">martā Transporta, telekomunikāciju un enerģētikas ministru padomē ir panākta ES dalībvalstu </w:t>
      </w:r>
      <w:r w:rsidR="00002678">
        <w:rPr>
          <w:rFonts w:ascii="Times New Roman" w:eastAsia="Calibri" w:hAnsi="Times New Roman"/>
          <w:sz w:val="24"/>
          <w:szCs w:val="24"/>
          <w:lang w:eastAsia="en-US"/>
        </w:rPr>
        <w:t>v</w:t>
      </w:r>
      <w:r w:rsidRPr="006202E5">
        <w:rPr>
          <w:rFonts w:ascii="Times New Roman" w:eastAsia="Calibri" w:hAnsi="Times New Roman"/>
          <w:sz w:val="24"/>
          <w:szCs w:val="24"/>
          <w:lang w:eastAsia="en-US"/>
        </w:rPr>
        <w:t xml:space="preserve">ispārējā vienošanās par </w:t>
      </w:r>
      <w:r w:rsidRPr="006202E5">
        <w:rPr>
          <w:rFonts w:ascii="Times New Roman" w:hAnsi="Times New Roman"/>
          <w:bCs/>
          <w:sz w:val="24"/>
          <w:szCs w:val="24"/>
        </w:rPr>
        <w:t>Eiropas Parlamenta un Padomes Regulas par Savienības vadlīnijām TEN-T attīstībai</w:t>
      </w:r>
      <w:r w:rsidRPr="006202E5">
        <w:rPr>
          <w:rFonts w:ascii="Times New Roman" w:eastAsia="Calibri" w:hAnsi="Times New Roman"/>
          <w:sz w:val="24"/>
          <w:szCs w:val="24"/>
          <w:lang w:eastAsia="en-US"/>
        </w:rPr>
        <w:t xml:space="preserve"> projektu, ko ir atbalstījusi arī Latvija. </w:t>
      </w:r>
    </w:p>
    <w:p w:rsidR="00871110" w:rsidRPr="006202E5" w:rsidRDefault="00871110" w:rsidP="00871110">
      <w:pPr>
        <w:spacing w:after="0" w:line="240" w:lineRule="auto"/>
        <w:ind w:firstLine="720"/>
        <w:jc w:val="both"/>
        <w:rPr>
          <w:rFonts w:ascii="Times New Roman" w:hAnsi="Times New Roman"/>
          <w:color w:val="000000"/>
          <w:sz w:val="24"/>
          <w:szCs w:val="24"/>
        </w:rPr>
      </w:pPr>
      <w:r w:rsidRPr="006202E5">
        <w:rPr>
          <w:rFonts w:ascii="Times New Roman" w:hAnsi="Times New Roman"/>
          <w:sz w:val="24"/>
          <w:szCs w:val="24"/>
        </w:rPr>
        <w:t xml:space="preserve">Aktīva un koordinēta darba rezultātā Latvijai izdevies panākt vairākus svarīgus nosacījumus par jaunā Eiropas Infrastruktūras savienošanas instrumenta jeb </w:t>
      </w:r>
      <w:r w:rsidRPr="006202E5">
        <w:rPr>
          <w:rFonts w:ascii="Times New Roman" w:hAnsi="Times New Roman"/>
          <w:i/>
          <w:sz w:val="24"/>
          <w:szCs w:val="24"/>
        </w:rPr>
        <w:t>Connecting Europe Facility</w:t>
      </w:r>
      <w:r w:rsidRPr="006202E5">
        <w:rPr>
          <w:rFonts w:ascii="Times New Roman" w:hAnsi="Times New Roman"/>
          <w:sz w:val="24"/>
          <w:szCs w:val="24"/>
        </w:rPr>
        <w:t xml:space="preserve"> (CEF) regulējumu</w:t>
      </w:r>
      <w:r w:rsidRPr="006202E5">
        <w:rPr>
          <w:rFonts w:ascii="Times New Roman" w:hAnsi="Times New Roman"/>
          <w:color w:val="000000"/>
          <w:sz w:val="24"/>
          <w:szCs w:val="24"/>
        </w:rPr>
        <w:t>, t.i., Baltijas</w:t>
      </w:r>
      <w:r w:rsidR="00002678">
        <w:rPr>
          <w:rFonts w:ascii="Times New Roman" w:hAnsi="Times New Roman"/>
          <w:color w:val="000000"/>
          <w:sz w:val="24"/>
          <w:szCs w:val="24"/>
        </w:rPr>
        <w:t>–</w:t>
      </w:r>
      <w:r w:rsidRPr="006202E5">
        <w:rPr>
          <w:rFonts w:ascii="Times New Roman" w:hAnsi="Times New Roman"/>
          <w:color w:val="000000"/>
          <w:sz w:val="24"/>
          <w:szCs w:val="24"/>
        </w:rPr>
        <w:t xml:space="preserve">Adrijas transporta koridorā (kas Baltijas valstīs pazīstams kā </w:t>
      </w:r>
      <w:r w:rsidRPr="006202E5">
        <w:rPr>
          <w:rFonts w:ascii="Times New Roman" w:hAnsi="Times New Roman"/>
          <w:i/>
          <w:iCs/>
          <w:color w:val="000000"/>
          <w:sz w:val="24"/>
          <w:szCs w:val="24"/>
        </w:rPr>
        <w:t>Rail Baltica</w:t>
      </w:r>
      <w:r w:rsidR="00002678">
        <w:rPr>
          <w:rFonts w:ascii="Times New Roman" w:hAnsi="Times New Roman"/>
          <w:i/>
          <w:iCs/>
          <w:color w:val="000000"/>
          <w:sz w:val="24"/>
          <w:szCs w:val="24"/>
        </w:rPr>
        <w:t xml:space="preserve"> </w:t>
      </w:r>
      <w:r>
        <w:rPr>
          <w:rFonts w:ascii="Times New Roman" w:hAnsi="Times New Roman"/>
          <w:i/>
          <w:iCs/>
          <w:color w:val="000000"/>
          <w:sz w:val="24"/>
          <w:szCs w:val="24"/>
        </w:rPr>
        <w:t>2</w:t>
      </w:r>
      <w:r w:rsidRPr="006202E5">
        <w:rPr>
          <w:rFonts w:ascii="Times New Roman" w:hAnsi="Times New Roman"/>
          <w:color w:val="000000"/>
          <w:sz w:val="24"/>
          <w:szCs w:val="24"/>
        </w:rPr>
        <w:t>) tika iekļauti savienojumi ar Rīgas un Ventspils ost</w:t>
      </w:r>
      <w:r w:rsidR="00002678">
        <w:rPr>
          <w:rFonts w:ascii="Times New Roman" w:hAnsi="Times New Roman"/>
          <w:color w:val="000000"/>
          <w:sz w:val="24"/>
          <w:szCs w:val="24"/>
        </w:rPr>
        <w:t>u</w:t>
      </w:r>
      <w:r w:rsidRPr="006202E5">
        <w:rPr>
          <w:rFonts w:ascii="Times New Roman" w:hAnsi="Times New Roman"/>
          <w:color w:val="000000"/>
          <w:sz w:val="24"/>
          <w:szCs w:val="24"/>
        </w:rPr>
        <w:t>, kā arī Rīgas lidostu. Tāpat koridora atzarā Ventspils</w:t>
      </w:r>
      <w:r w:rsidR="00B21D72">
        <w:rPr>
          <w:rFonts w:ascii="Times New Roman" w:hAnsi="Times New Roman"/>
          <w:color w:val="000000"/>
          <w:sz w:val="24"/>
          <w:szCs w:val="24"/>
        </w:rPr>
        <w:t>–</w:t>
      </w:r>
      <w:r w:rsidRPr="006202E5">
        <w:rPr>
          <w:rFonts w:ascii="Times New Roman" w:hAnsi="Times New Roman"/>
          <w:color w:val="000000"/>
          <w:sz w:val="24"/>
          <w:szCs w:val="24"/>
        </w:rPr>
        <w:t>Rīga, kas ietver arī abas Latvijas lielākās ostas, pavērs iespējas savienojumu attīstībai Baltijas jūras reģionā, Rīgas un Ventspils ost</w:t>
      </w:r>
      <w:r w:rsidR="00B21D72">
        <w:rPr>
          <w:rFonts w:ascii="Times New Roman" w:hAnsi="Times New Roman"/>
          <w:color w:val="000000"/>
          <w:sz w:val="24"/>
          <w:szCs w:val="24"/>
        </w:rPr>
        <w:t>ai</w:t>
      </w:r>
      <w:r w:rsidRPr="006202E5">
        <w:rPr>
          <w:rFonts w:ascii="Times New Roman" w:hAnsi="Times New Roman"/>
          <w:color w:val="000000"/>
          <w:sz w:val="24"/>
          <w:szCs w:val="24"/>
        </w:rPr>
        <w:t xml:space="preserve"> attīstot jūras maģistrālos savienojumus (</w:t>
      </w:r>
      <w:r w:rsidRPr="006202E5">
        <w:rPr>
          <w:rFonts w:ascii="Times New Roman" w:hAnsi="Times New Roman"/>
          <w:i/>
          <w:iCs/>
          <w:color w:val="000000"/>
          <w:sz w:val="24"/>
          <w:szCs w:val="24"/>
        </w:rPr>
        <w:t>Motorways of the Sea</w:t>
      </w:r>
      <w:r w:rsidRPr="006202E5">
        <w:rPr>
          <w:rFonts w:ascii="Times New Roman" w:hAnsi="Times New Roman"/>
          <w:color w:val="000000"/>
          <w:sz w:val="24"/>
          <w:szCs w:val="24"/>
        </w:rPr>
        <w:t>), piemēram, ar Ziemeļvācijas un Skandināvijas ostām. Tāpat starp CEF prioritātēm ir jāsaglabā iekļautais Latvijas Rietumu-Austrumu koridors, savienojot Rīgu ar Krieviju un Baltkrieviju, kā arī iezīmējot Latvijai nozīmīgu lomu Rietumu</w:t>
      </w:r>
      <w:r w:rsidR="00B21D72">
        <w:rPr>
          <w:rFonts w:ascii="Times New Roman" w:hAnsi="Times New Roman"/>
          <w:color w:val="000000"/>
          <w:sz w:val="24"/>
          <w:szCs w:val="24"/>
        </w:rPr>
        <w:t>–</w:t>
      </w:r>
      <w:r w:rsidRPr="006202E5">
        <w:rPr>
          <w:rFonts w:ascii="Times New Roman" w:hAnsi="Times New Roman"/>
          <w:color w:val="000000"/>
          <w:sz w:val="24"/>
          <w:szCs w:val="24"/>
        </w:rPr>
        <w:t>Austrumu un Ziemeļu</w:t>
      </w:r>
      <w:r w:rsidR="00B21D72">
        <w:rPr>
          <w:rFonts w:ascii="Times New Roman" w:hAnsi="Times New Roman"/>
          <w:color w:val="000000"/>
          <w:sz w:val="24"/>
          <w:szCs w:val="24"/>
        </w:rPr>
        <w:t>–</w:t>
      </w:r>
      <w:r w:rsidRPr="006202E5">
        <w:rPr>
          <w:rFonts w:ascii="Times New Roman" w:hAnsi="Times New Roman"/>
          <w:color w:val="000000"/>
          <w:sz w:val="24"/>
          <w:szCs w:val="24"/>
        </w:rPr>
        <w:t xml:space="preserve">Dienvidu stratēģisko koridoru krustcelēs. </w:t>
      </w:r>
    </w:p>
    <w:p w:rsidR="00871110" w:rsidRPr="006202E5" w:rsidRDefault="00871110" w:rsidP="00871110">
      <w:pPr>
        <w:pStyle w:val="NoSpacing"/>
        <w:spacing w:line="240" w:lineRule="auto"/>
        <w:ind w:firstLine="720"/>
        <w:jc w:val="both"/>
        <w:rPr>
          <w:rFonts w:ascii="Times New Roman" w:hAnsi="Times New Roman"/>
          <w:sz w:val="24"/>
          <w:szCs w:val="24"/>
        </w:rPr>
      </w:pPr>
      <w:r w:rsidRPr="006202E5">
        <w:rPr>
          <w:rFonts w:ascii="Times New Roman" w:hAnsi="Times New Roman"/>
          <w:sz w:val="24"/>
          <w:szCs w:val="24"/>
        </w:rPr>
        <w:t>2013.gadā</w:t>
      </w:r>
      <w:r w:rsidRPr="006202E5">
        <w:rPr>
          <w:rFonts w:ascii="Times New Roman" w:hAnsi="Times New Roman"/>
          <w:i/>
          <w:sz w:val="24"/>
          <w:szCs w:val="24"/>
        </w:rPr>
        <w:t xml:space="preserve"> </w:t>
      </w:r>
      <w:r w:rsidR="00B21D72">
        <w:rPr>
          <w:rFonts w:ascii="Times New Roman" w:hAnsi="Times New Roman"/>
          <w:sz w:val="24"/>
          <w:szCs w:val="24"/>
        </w:rPr>
        <w:t>jāturpina 2007.–</w:t>
      </w:r>
      <w:r w:rsidRPr="006202E5">
        <w:rPr>
          <w:rFonts w:ascii="Times New Roman" w:hAnsi="Times New Roman"/>
          <w:sz w:val="24"/>
          <w:szCs w:val="24"/>
        </w:rPr>
        <w:t>2013. gada plānošanas perioda ES fondu apguve, kā arī iesākto lielāko K</w:t>
      </w:r>
      <w:r>
        <w:rPr>
          <w:rFonts w:ascii="Times New Roman" w:hAnsi="Times New Roman"/>
          <w:sz w:val="24"/>
          <w:szCs w:val="24"/>
        </w:rPr>
        <w:t>ohēzijas fonda</w:t>
      </w:r>
      <w:r w:rsidRPr="006202E5">
        <w:rPr>
          <w:rFonts w:ascii="Times New Roman" w:hAnsi="Times New Roman"/>
          <w:sz w:val="24"/>
          <w:szCs w:val="24"/>
        </w:rPr>
        <w:t xml:space="preserve"> projektu īstenošana, piemēram, </w:t>
      </w:r>
      <w:r w:rsidR="00B21D72">
        <w:rPr>
          <w:rFonts w:ascii="Times New Roman" w:hAnsi="Times New Roman"/>
          <w:sz w:val="24"/>
          <w:szCs w:val="24"/>
        </w:rPr>
        <w:t>valsts autoceļa E22 posmu Ludza–</w:t>
      </w:r>
      <w:r w:rsidRPr="006202E5">
        <w:rPr>
          <w:rFonts w:ascii="Times New Roman" w:hAnsi="Times New Roman"/>
          <w:sz w:val="24"/>
          <w:szCs w:val="24"/>
        </w:rPr>
        <w:t>Tere</w:t>
      </w:r>
      <w:r w:rsidR="00B21D72">
        <w:rPr>
          <w:rFonts w:ascii="Times New Roman" w:hAnsi="Times New Roman"/>
          <w:sz w:val="24"/>
          <w:szCs w:val="24"/>
        </w:rPr>
        <w:t>hova un Tīnūži–</w:t>
      </w:r>
      <w:r w:rsidRPr="006202E5">
        <w:rPr>
          <w:rFonts w:ascii="Times New Roman" w:hAnsi="Times New Roman"/>
          <w:sz w:val="24"/>
          <w:szCs w:val="24"/>
        </w:rPr>
        <w:t>Koknese rekonstrukcija un būvni</w:t>
      </w:r>
      <w:r w:rsidR="00B21D72">
        <w:rPr>
          <w:rFonts w:ascii="Times New Roman" w:hAnsi="Times New Roman"/>
          <w:sz w:val="24"/>
          <w:szCs w:val="24"/>
        </w:rPr>
        <w:t>ecība, dzelzceļa posma Skrīveri–</w:t>
      </w:r>
      <w:r w:rsidRPr="006202E5">
        <w:rPr>
          <w:rFonts w:ascii="Times New Roman" w:hAnsi="Times New Roman"/>
          <w:sz w:val="24"/>
          <w:szCs w:val="24"/>
        </w:rPr>
        <w:t xml:space="preserve">Krustpils otrā sliežu ceļa izbūve, </w:t>
      </w:r>
      <w:r w:rsidR="00B21D72">
        <w:rPr>
          <w:rFonts w:ascii="Times New Roman" w:hAnsi="Times New Roman"/>
          <w:sz w:val="24"/>
          <w:szCs w:val="24"/>
        </w:rPr>
        <w:t>i</w:t>
      </w:r>
      <w:r w:rsidRPr="006202E5">
        <w:rPr>
          <w:rFonts w:ascii="Times New Roman" w:hAnsi="Times New Roman"/>
          <w:sz w:val="24"/>
          <w:szCs w:val="24"/>
        </w:rPr>
        <w:t xml:space="preserve">nfrastruktūras attīstība Krievu salā ostas </w:t>
      </w:r>
      <w:r w:rsidR="00B21D72">
        <w:rPr>
          <w:rFonts w:ascii="Times New Roman" w:hAnsi="Times New Roman"/>
          <w:sz w:val="24"/>
          <w:szCs w:val="24"/>
        </w:rPr>
        <w:t>darbības</w:t>
      </w:r>
      <w:r w:rsidRPr="006202E5">
        <w:rPr>
          <w:rFonts w:ascii="Times New Roman" w:hAnsi="Times New Roman"/>
          <w:sz w:val="24"/>
          <w:szCs w:val="24"/>
        </w:rPr>
        <w:t xml:space="preserve"> pārcelšanai no pilsētas centra, starptautiskās lidostas </w:t>
      </w:r>
      <w:r w:rsidR="00B167ED">
        <w:rPr>
          <w:rFonts w:ascii="Times New Roman" w:hAnsi="Times New Roman"/>
          <w:sz w:val="24"/>
          <w:szCs w:val="24"/>
        </w:rPr>
        <w:t>"</w:t>
      </w:r>
      <w:r w:rsidRPr="006202E5">
        <w:rPr>
          <w:rFonts w:ascii="Times New Roman" w:hAnsi="Times New Roman"/>
          <w:sz w:val="24"/>
          <w:szCs w:val="24"/>
        </w:rPr>
        <w:t>Rīga</w:t>
      </w:r>
      <w:r w:rsidR="00B167ED">
        <w:rPr>
          <w:rFonts w:ascii="Times New Roman" w:hAnsi="Times New Roman"/>
          <w:sz w:val="24"/>
          <w:szCs w:val="24"/>
        </w:rPr>
        <w:t>"</w:t>
      </w:r>
      <w:r w:rsidRPr="006202E5">
        <w:rPr>
          <w:rFonts w:ascii="Times New Roman" w:hAnsi="Times New Roman"/>
          <w:sz w:val="24"/>
          <w:szCs w:val="24"/>
        </w:rPr>
        <w:t xml:space="preserve"> infrastruktūras attīstība, platjoslas infrastruktūras pieejamības nodrošināšanā visā Latvijas teritorijā.</w:t>
      </w:r>
    </w:p>
    <w:p w:rsidR="00871110" w:rsidRPr="006202E5" w:rsidRDefault="00871110" w:rsidP="00871110">
      <w:pPr>
        <w:pStyle w:val="Heading3"/>
        <w:rPr>
          <w:rFonts w:eastAsia="Calibri"/>
          <w:lang w:eastAsia="en-US"/>
        </w:rPr>
      </w:pPr>
      <w:bookmarkStart w:id="97" w:name="_Toc348089307"/>
      <w:bookmarkStart w:id="98" w:name="_Toc348948370"/>
      <w:r w:rsidRPr="006202E5">
        <w:rPr>
          <w:rFonts w:eastAsia="Calibri"/>
          <w:lang w:eastAsia="en-US"/>
        </w:rPr>
        <w:t>8.2. Ostu attīstība un tranzīta veicināšana</w:t>
      </w:r>
      <w:bookmarkEnd w:id="97"/>
      <w:bookmarkEnd w:id="98"/>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 xml:space="preserve">Grozījumi likumā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Par nodokļu piemērošanu brīvostās un speciālajās ekonomiskajās zonās</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kā arī grozījumi Liepājas speciālās ekonomiskās zonas </w:t>
      </w:r>
      <w:r w:rsidR="00B21D72">
        <w:rPr>
          <w:rFonts w:ascii="Times New Roman" w:eastAsia="Calibri" w:hAnsi="Times New Roman"/>
          <w:sz w:val="24"/>
          <w:szCs w:val="24"/>
          <w:lang w:eastAsia="en-US"/>
        </w:rPr>
        <w:t xml:space="preserve">likumā </w:t>
      </w:r>
      <w:r w:rsidRPr="006202E5">
        <w:rPr>
          <w:rFonts w:ascii="Times New Roman" w:eastAsia="Calibri" w:hAnsi="Times New Roman"/>
          <w:sz w:val="24"/>
          <w:szCs w:val="24"/>
          <w:lang w:eastAsia="en-US"/>
        </w:rPr>
        <w:t>un Rēzeknes speciālās ekonomiskās zonas likum</w:t>
      </w:r>
      <w:r w:rsidR="00B21D72">
        <w:rPr>
          <w:rFonts w:ascii="Times New Roman" w:eastAsia="Calibri" w:hAnsi="Times New Roman"/>
          <w:sz w:val="24"/>
          <w:szCs w:val="24"/>
          <w:lang w:eastAsia="en-US"/>
        </w:rPr>
        <w:t>ā</w:t>
      </w:r>
      <w:r w:rsidRPr="006202E5">
        <w:rPr>
          <w:rFonts w:ascii="Times New Roman" w:eastAsia="Calibri" w:hAnsi="Times New Roman"/>
          <w:sz w:val="24"/>
          <w:szCs w:val="24"/>
          <w:lang w:eastAsia="en-US"/>
        </w:rPr>
        <w:t xml:space="preserve">, nosaka speciālās ekonomiskās zonas statusa </w:t>
      </w:r>
      <w:r w:rsidR="00B21D72">
        <w:rPr>
          <w:rFonts w:ascii="Times New Roman" w:eastAsia="Calibri" w:hAnsi="Times New Roman"/>
          <w:sz w:val="24"/>
          <w:szCs w:val="24"/>
          <w:lang w:eastAsia="en-US"/>
        </w:rPr>
        <w:t>termiņa pagarinājumu līdz 2035.</w:t>
      </w:r>
      <w:r w:rsidRPr="006202E5">
        <w:rPr>
          <w:rFonts w:ascii="Times New Roman" w:eastAsia="Calibri" w:hAnsi="Times New Roman"/>
          <w:sz w:val="24"/>
          <w:szCs w:val="24"/>
          <w:lang w:eastAsia="en-US"/>
        </w:rPr>
        <w:t xml:space="preserve">gadam. </w:t>
      </w:r>
    </w:p>
    <w:p w:rsidR="00871110" w:rsidRDefault="00871110" w:rsidP="00871110">
      <w:pPr>
        <w:tabs>
          <w:tab w:val="left" w:pos="0"/>
        </w:tabs>
        <w:spacing w:after="0" w:line="240" w:lineRule="auto"/>
        <w:ind w:right="71"/>
        <w:jc w:val="both"/>
        <w:rPr>
          <w:rFonts w:ascii="Times New Roman" w:eastAsia="Calibri" w:hAnsi="Times New Roman"/>
          <w:sz w:val="24"/>
          <w:szCs w:val="24"/>
          <w:lang w:eastAsia="en-US"/>
        </w:rPr>
      </w:pPr>
      <w:r w:rsidRPr="006202E5">
        <w:rPr>
          <w:rFonts w:ascii="Times New Roman" w:hAnsi="Times New Roman"/>
          <w:sz w:val="24"/>
          <w:szCs w:val="24"/>
        </w:rPr>
        <w:tab/>
      </w:r>
      <w:r w:rsidRPr="006202E5">
        <w:rPr>
          <w:rFonts w:ascii="Times New Roman" w:eastAsia="Calibri" w:hAnsi="Times New Roman"/>
          <w:sz w:val="24"/>
          <w:szCs w:val="24"/>
          <w:lang w:eastAsia="en-US"/>
        </w:rPr>
        <w:t>2012.gadā turpinājās Liepājas un Ventspils ost</w:t>
      </w:r>
      <w:r w:rsidR="00B21D72">
        <w:rPr>
          <w:rFonts w:ascii="Times New Roman" w:eastAsia="Calibri" w:hAnsi="Times New Roman"/>
          <w:sz w:val="24"/>
          <w:szCs w:val="24"/>
          <w:lang w:eastAsia="en-US"/>
        </w:rPr>
        <w:t>as</w:t>
      </w:r>
      <w:r w:rsidRPr="006202E5">
        <w:rPr>
          <w:rFonts w:ascii="Times New Roman" w:eastAsia="Calibri" w:hAnsi="Times New Roman"/>
          <w:sz w:val="24"/>
          <w:szCs w:val="24"/>
          <w:lang w:eastAsia="en-US"/>
        </w:rPr>
        <w:t xml:space="preserve"> ES fondu līdzfinansēto projektu īstenošana. Noslēgts būvdarbu līgums infrastruktūras attīstībai Krievu salā Rīgas ostas </w:t>
      </w:r>
      <w:r w:rsidR="00B21D72">
        <w:rPr>
          <w:rFonts w:ascii="Times New Roman" w:eastAsia="Calibri" w:hAnsi="Times New Roman"/>
          <w:sz w:val="24"/>
          <w:szCs w:val="24"/>
          <w:lang w:eastAsia="en-US"/>
        </w:rPr>
        <w:t>darbības</w:t>
      </w:r>
      <w:r w:rsidRPr="006202E5">
        <w:rPr>
          <w:rFonts w:ascii="Times New Roman" w:eastAsia="Calibri" w:hAnsi="Times New Roman"/>
          <w:sz w:val="24"/>
          <w:szCs w:val="24"/>
          <w:lang w:eastAsia="en-US"/>
        </w:rPr>
        <w:t xml:space="preserve"> pārcelšanai no pilsētas centra </w:t>
      </w:r>
      <w:r w:rsidR="00B21D72">
        <w:rPr>
          <w:rFonts w:ascii="Times New Roman" w:eastAsia="Calibri" w:hAnsi="Times New Roman"/>
          <w:sz w:val="24"/>
          <w:szCs w:val="24"/>
          <w:lang w:eastAsia="en-US"/>
        </w:rPr>
        <w:t>(</w:t>
      </w:r>
      <w:r w:rsidRPr="006202E5">
        <w:rPr>
          <w:rFonts w:ascii="Times New Roman" w:eastAsia="Calibri" w:hAnsi="Times New Roman"/>
          <w:sz w:val="24"/>
          <w:szCs w:val="24"/>
          <w:lang w:eastAsia="en-US"/>
        </w:rPr>
        <w:t>projekta ietvaros</w:t>
      </w:r>
      <w:r w:rsidR="00B21D72">
        <w:rPr>
          <w:rFonts w:ascii="Times New Roman" w:eastAsia="Calibri" w:hAnsi="Times New Roman"/>
          <w:sz w:val="24"/>
          <w:szCs w:val="24"/>
          <w:lang w:eastAsia="en-US"/>
        </w:rPr>
        <w:t>)</w:t>
      </w:r>
      <w:r w:rsidRPr="006202E5">
        <w:rPr>
          <w:rFonts w:ascii="Times New Roman" w:eastAsia="Calibri" w:hAnsi="Times New Roman"/>
          <w:sz w:val="24"/>
          <w:szCs w:val="24"/>
          <w:lang w:eastAsia="en-US"/>
        </w:rPr>
        <w:t>.</w:t>
      </w:r>
    </w:p>
    <w:p w:rsidR="00871110" w:rsidRPr="002856A4" w:rsidRDefault="00871110" w:rsidP="00871110">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ab/>
      </w:r>
      <w:r w:rsidR="00B21D72">
        <w:rPr>
          <w:rFonts w:ascii="Times New Roman" w:hAnsi="Times New Roman"/>
          <w:sz w:val="24"/>
          <w:szCs w:val="24"/>
        </w:rPr>
        <w:t>Optimizēts</w:t>
      </w:r>
      <w:r w:rsidRPr="002856A4">
        <w:rPr>
          <w:rFonts w:ascii="Times New Roman" w:hAnsi="Times New Roman"/>
          <w:sz w:val="24"/>
          <w:szCs w:val="24"/>
        </w:rPr>
        <w:t xml:space="preserve"> arī ostu pārvalžu darb</w:t>
      </w:r>
      <w:r w:rsidR="00B21D72">
        <w:rPr>
          <w:rFonts w:ascii="Times New Roman" w:hAnsi="Times New Roman"/>
          <w:sz w:val="24"/>
          <w:szCs w:val="24"/>
        </w:rPr>
        <w:t>s</w:t>
      </w:r>
      <w:r w:rsidRPr="002856A4">
        <w:rPr>
          <w:rFonts w:ascii="Times New Roman" w:hAnsi="Times New Roman"/>
          <w:sz w:val="24"/>
          <w:szCs w:val="24"/>
        </w:rPr>
        <w:t>. Ministru kabinets ir apstiprinājis Rīgas brīvostas pārvaldes nolikumu un Ventspils brīvostas pārva</w:t>
      </w:r>
      <w:r w:rsidR="00B21D72">
        <w:rPr>
          <w:rFonts w:ascii="Times New Roman" w:hAnsi="Times New Roman"/>
          <w:sz w:val="24"/>
          <w:szCs w:val="24"/>
        </w:rPr>
        <w:t>l</w:t>
      </w:r>
      <w:r w:rsidRPr="002856A4">
        <w:rPr>
          <w:rFonts w:ascii="Times New Roman" w:hAnsi="Times New Roman"/>
          <w:sz w:val="24"/>
          <w:szCs w:val="24"/>
        </w:rPr>
        <w:t>des nolikumu, ietverot normas, kas paredz trīs dienu laikā pēc valdes sēdes ievietot informāciju par valdes pieņemtajiem lēmumiem attiecīgā interneta vietnē. Noteikta arī gada pārskatu publicēšana divu nedēļu laikā pēc to apstiprināšanas, mārketinga stratēģiju apstiprināšana valdē, kā arī komersantu tiesības preze</w:t>
      </w:r>
      <w:r>
        <w:rPr>
          <w:rFonts w:ascii="Times New Roman" w:hAnsi="Times New Roman"/>
          <w:sz w:val="24"/>
          <w:szCs w:val="24"/>
        </w:rPr>
        <w:t>ntēt savu viedokli valdes sēdē.</w:t>
      </w:r>
    </w:p>
    <w:p w:rsidR="00871110" w:rsidRPr="006202E5" w:rsidRDefault="00871110" w:rsidP="00871110">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lastRenderedPageBreak/>
        <w:tab/>
      </w:r>
      <w:r w:rsidRPr="006202E5">
        <w:rPr>
          <w:rFonts w:ascii="Times New Roman" w:hAnsi="Times New Roman"/>
          <w:sz w:val="24"/>
          <w:szCs w:val="24"/>
        </w:rPr>
        <w:t>2012.gadā, salīdzinot ar 2011.gadu, kravu apgrozījums Latvijas ostās palielinājies par 9,3</w:t>
      </w:r>
      <w:r w:rsidR="00111406">
        <w:rPr>
          <w:rFonts w:ascii="Times New Roman" w:hAnsi="Times New Roman"/>
          <w:sz w:val="24"/>
          <w:szCs w:val="24"/>
        </w:rPr>
        <w:t> %</w:t>
      </w:r>
      <w:r w:rsidRPr="006202E5">
        <w:rPr>
          <w:rFonts w:ascii="Times New Roman" w:hAnsi="Times New Roman"/>
          <w:sz w:val="24"/>
          <w:szCs w:val="24"/>
        </w:rPr>
        <w:t xml:space="preserve">, sasniedzot 75,19 milj. tonnu. Gandrīz puse no Latvijas kopējā ostu kravu apgrozījuma </w:t>
      </w:r>
      <w:r w:rsidR="00B21D72">
        <w:rPr>
          <w:rFonts w:ascii="Times New Roman" w:hAnsi="Times New Roman"/>
          <w:sz w:val="24"/>
          <w:szCs w:val="24"/>
        </w:rPr>
        <w:t>–</w:t>
      </w:r>
      <w:r w:rsidRPr="006202E5">
        <w:rPr>
          <w:rFonts w:ascii="Times New Roman" w:hAnsi="Times New Roman"/>
          <w:sz w:val="24"/>
          <w:szCs w:val="24"/>
        </w:rPr>
        <w:t xml:space="preserve"> 36,05 milj. tonnu </w:t>
      </w:r>
      <w:r w:rsidR="00B21D72">
        <w:rPr>
          <w:rFonts w:ascii="Times New Roman" w:hAnsi="Times New Roman"/>
          <w:sz w:val="24"/>
          <w:szCs w:val="24"/>
        </w:rPr>
        <w:t>–</w:t>
      </w:r>
      <w:r w:rsidRPr="006202E5">
        <w:rPr>
          <w:rFonts w:ascii="Times New Roman" w:hAnsi="Times New Roman"/>
          <w:sz w:val="24"/>
          <w:szCs w:val="24"/>
        </w:rPr>
        <w:t xml:space="preserve"> pārkrauta Rīgas ostā. Tai seko Ventspils </w:t>
      </w:r>
      <w:r w:rsidR="00B21D72">
        <w:rPr>
          <w:rFonts w:ascii="Times New Roman" w:hAnsi="Times New Roman"/>
          <w:sz w:val="24"/>
          <w:szCs w:val="24"/>
        </w:rPr>
        <w:t xml:space="preserve">osta </w:t>
      </w:r>
      <w:r w:rsidRPr="006202E5">
        <w:rPr>
          <w:rFonts w:ascii="Times New Roman" w:hAnsi="Times New Roman"/>
          <w:sz w:val="24"/>
          <w:szCs w:val="24"/>
        </w:rPr>
        <w:t>ar 30,35 milj. tonnu un Liepāja</w:t>
      </w:r>
      <w:r w:rsidR="00B21D72">
        <w:rPr>
          <w:rFonts w:ascii="Times New Roman" w:hAnsi="Times New Roman"/>
          <w:sz w:val="24"/>
          <w:szCs w:val="24"/>
        </w:rPr>
        <w:t>s osta</w:t>
      </w:r>
      <w:r w:rsidRPr="006202E5">
        <w:rPr>
          <w:rFonts w:ascii="Times New Roman" w:hAnsi="Times New Roman"/>
          <w:sz w:val="24"/>
          <w:szCs w:val="24"/>
        </w:rPr>
        <w:t xml:space="preserve"> ar 7,43 milj. tonnu. No lielajām ostām visstraujākais kravu apgrozījuma pieaugums fiksēts Liepājā </w:t>
      </w:r>
      <w:r w:rsidR="00B21D72">
        <w:rPr>
          <w:rFonts w:ascii="Times New Roman" w:hAnsi="Times New Roman"/>
          <w:sz w:val="24"/>
          <w:szCs w:val="24"/>
        </w:rPr>
        <w:t>–</w:t>
      </w:r>
      <w:r w:rsidRPr="006202E5">
        <w:rPr>
          <w:rFonts w:ascii="Times New Roman" w:hAnsi="Times New Roman"/>
          <w:sz w:val="24"/>
          <w:szCs w:val="24"/>
        </w:rPr>
        <w:t xml:space="preserve"> par 53</w:t>
      </w:r>
      <w:r w:rsidR="00111406">
        <w:rPr>
          <w:rFonts w:ascii="Times New Roman" w:hAnsi="Times New Roman"/>
          <w:sz w:val="24"/>
          <w:szCs w:val="24"/>
        </w:rPr>
        <w:t> %</w:t>
      </w:r>
      <w:r w:rsidRPr="006202E5">
        <w:rPr>
          <w:rFonts w:ascii="Times New Roman" w:hAnsi="Times New Roman"/>
          <w:sz w:val="24"/>
          <w:szCs w:val="24"/>
        </w:rPr>
        <w:t>. Otrajā vietā ir Ventspils ar pieaugumu par 6,7</w:t>
      </w:r>
      <w:r w:rsidR="00111406">
        <w:rPr>
          <w:rFonts w:ascii="Times New Roman" w:hAnsi="Times New Roman"/>
          <w:sz w:val="24"/>
          <w:szCs w:val="24"/>
        </w:rPr>
        <w:t> %</w:t>
      </w:r>
      <w:r w:rsidRPr="006202E5">
        <w:rPr>
          <w:rFonts w:ascii="Times New Roman" w:hAnsi="Times New Roman"/>
          <w:sz w:val="24"/>
          <w:szCs w:val="24"/>
        </w:rPr>
        <w:t>. Rīgas ostā pērn pārkrauto kravu apjom</w:t>
      </w:r>
      <w:r w:rsidR="00B21D72">
        <w:rPr>
          <w:rFonts w:ascii="Times New Roman" w:hAnsi="Times New Roman"/>
          <w:sz w:val="24"/>
          <w:szCs w:val="24"/>
        </w:rPr>
        <w:t>s</w:t>
      </w:r>
      <w:r w:rsidRPr="006202E5">
        <w:rPr>
          <w:rFonts w:ascii="Times New Roman" w:hAnsi="Times New Roman"/>
          <w:sz w:val="24"/>
          <w:szCs w:val="24"/>
        </w:rPr>
        <w:t xml:space="preserve"> pieau</w:t>
      </w:r>
      <w:r w:rsidR="00B21D72">
        <w:rPr>
          <w:rFonts w:ascii="Times New Roman" w:hAnsi="Times New Roman"/>
          <w:sz w:val="24"/>
          <w:szCs w:val="24"/>
        </w:rPr>
        <w:t>dzis</w:t>
      </w:r>
      <w:r w:rsidRPr="006202E5">
        <w:rPr>
          <w:rFonts w:ascii="Times New Roman" w:hAnsi="Times New Roman"/>
          <w:sz w:val="24"/>
          <w:szCs w:val="24"/>
        </w:rPr>
        <w:t xml:space="preserve"> par 5,9</w:t>
      </w:r>
      <w:r w:rsidR="00111406">
        <w:rPr>
          <w:rFonts w:ascii="Times New Roman" w:hAnsi="Times New Roman"/>
          <w:sz w:val="24"/>
          <w:szCs w:val="24"/>
        </w:rPr>
        <w:t> %</w:t>
      </w:r>
      <w:r w:rsidRPr="006202E5">
        <w:rPr>
          <w:rFonts w:ascii="Times New Roman" w:hAnsi="Times New Roman"/>
          <w:sz w:val="24"/>
          <w:szCs w:val="24"/>
        </w:rPr>
        <w:t>. Turpretim konkurējošās kaimiņvalstu ostās Klaipēdā un Tallinā kravu apgrozījum</w:t>
      </w:r>
      <w:r w:rsidR="00B21D72">
        <w:rPr>
          <w:rFonts w:ascii="Times New Roman" w:hAnsi="Times New Roman"/>
          <w:sz w:val="24"/>
          <w:szCs w:val="24"/>
        </w:rPr>
        <w:t>s</w:t>
      </w:r>
      <w:r w:rsidRPr="006202E5">
        <w:rPr>
          <w:rFonts w:ascii="Times New Roman" w:hAnsi="Times New Roman"/>
          <w:sz w:val="24"/>
          <w:szCs w:val="24"/>
        </w:rPr>
        <w:t xml:space="preserve"> pērn samazinājies attiecīgi par 3,7</w:t>
      </w:r>
      <w:r w:rsidR="00111406">
        <w:rPr>
          <w:rFonts w:ascii="Times New Roman" w:hAnsi="Times New Roman"/>
          <w:sz w:val="24"/>
          <w:szCs w:val="24"/>
        </w:rPr>
        <w:t> %</w:t>
      </w:r>
      <w:r w:rsidRPr="006202E5">
        <w:rPr>
          <w:rFonts w:ascii="Times New Roman" w:hAnsi="Times New Roman"/>
          <w:sz w:val="24"/>
          <w:szCs w:val="24"/>
        </w:rPr>
        <w:t xml:space="preserve"> un 19,2</w:t>
      </w:r>
      <w:r w:rsidR="00111406">
        <w:rPr>
          <w:rFonts w:ascii="Times New Roman" w:hAnsi="Times New Roman"/>
          <w:sz w:val="24"/>
          <w:szCs w:val="24"/>
        </w:rPr>
        <w:t> %</w:t>
      </w:r>
      <w:r w:rsidRPr="006202E5">
        <w:rPr>
          <w:rFonts w:ascii="Times New Roman" w:hAnsi="Times New Roman"/>
          <w:sz w:val="24"/>
          <w:szCs w:val="24"/>
        </w:rPr>
        <w:t xml:space="preserve">, salīdzinot ar 2011.gadu. Jāuzsver, ka Rīgas osta pēc kravu apjoma ir izvirzījusies līderos starp Baltijas valstu ostām. Sasniegtie rezultāti apliecina Latvijas ostu darbības efektivitāti un konkurētspēju. </w:t>
      </w:r>
    </w:p>
    <w:p w:rsidR="00871110" w:rsidRPr="006202E5" w:rsidRDefault="00871110" w:rsidP="00871110">
      <w:pPr>
        <w:shd w:val="clear" w:color="auto" w:fill="FFFFFF"/>
        <w:spacing w:after="0" w:line="240" w:lineRule="auto"/>
        <w:ind w:firstLine="720"/>
        <w:jc w:val="both"/>
        <w:rPr>
          <w:rFonts w:ascii="Times New Roman" w:hAnsi="Times New Roman"/>
          <w:sz w:val="24"/>
          <w:szCs w:val="24"/>
        </w:rPr>
      </w:pPr>
    </w:p>
    <w:p w:rsidR="00871110" w:rsidRPr="006202E5" w:rsidRDefault="00871110" w:rsidP="00871110">
      <w:pPr>
        <w:shd w:val="clear" w:color="auto" w:fill="FFFFFF"/>
        <w:spacing w:after="0" w:line="240" w:lineRule="auto"/>
        <w:jc w:val="both"/>
        <w:rPr>
          <w:rFonts w:ascii="Times New Roman" w:hAnsi="Times New Roman"/>
          <w:sz w:val="24"/>
          <w:szCs w:val="24"/>
        </w:rPr>
      </w:pPr>
      <w:r w:rsidRPr="006202E5">
        <w:rPr>
          <w:rFonts w:ascii="Times New Roman" w:hAnsi="Times New Roman"/>
          <w:i/>
          <w:sz w:val="24"/>
          <w:szCs w:val="24"/>
          <w:lang w:eastAsia="en-US"/>
        </w:rPr>
        <w:t>12. attēls.</w:t>
      </w:r>
    </w:p>
    <w:p w:rsidR="00871110" w:rsidRPr="006202E5" w:rsidRDefault="00871110" w:rsidP="00871110">
      <w:pPr>
        <w:tabs>
          <w:tab w:val="left" w:pos="0"/>
        </w:tabs>
        <w:spacing w:after="0" w:line="240" w:lineRule="auto"/>
        <w:ind w:right="71"/>
        <w:jc w:val="both"/>
        <w:rPr>
          <w:rFonts w:ascii="Times New Roman" w:hAnsi="Times New Roman"/>
          <w:sz w:val="24"/>
          <w:szCs w:val="24"/>
        </w:rPr>
      </w:pPr>
      <w:r>
        <w:rPr>
          <w:rFonts w:ascii="Times New Roman" w:hAnsi="Times New Roman"/>
          <w:noProof/>
          <w:sz w:val="24"/>
          <w:szCs w:val="24"/>
        </w:rPr>
        <w:drawing>
          <wp:inline distT="0" distB="0" distL="0" distR="0" wp14:anchorId="72FC0285" wp14:editId="48F9A931">
            <wp:extent cx="4399915" cy="2527935"/>
            <wp:effectExtent l="19050" t="0" r="63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399915" cy="2527935"/>
                    </a:xfrm>
                    <a:prstGeom prst="rect">
                      <a:avLst/>
                    </a:prstGeom>
                    <a:noFill/>
                    <a:ln w="9525">
                      <a:noFill/>
                      <a:miter lim="800000"/>
                      <a:headEnd/>
                      <a:tailEnd/>
                    </a:ln>
                  </pic:spPr>
                </pic:pic>
              </a:graphicData>
            </a:graphic>
          </wp:inline>
        </w:drawing>
      </w:r>
    </w:p>
    <w:p w:rsidR="00871110" w:rsidRPr="004544AA" w:rsidRDefault="00871110" w:rsidP="00871110">
      <w:pPr>
        <w:tabs>
          <w:tab w:val="left" w:pos="0"/>
        </w:tabs>
        <w:spacing w:after="0" w:line="240" w:lineRule="auto"/>
        <w:ind w:right="71"/>
        <w:jc w:val="both"/>
        <w:rPr>
          <w:rFonts w:ascii="Times New Roman" w:hAnsi="Times New Roman"/>
          <w:i/>
          <w:sz w:val="20"/>
          <w:szCs w:val="20"/>
        </w:rPr>
      </w:pPr>
      <w:r w:rsidRPr="004544AA">
        <w:rPr>
          <w:rFonts w:ascii="Times New Roman" w:hAnsi="Times New Roman"/>
          <w:i/>
          <w:sz w:val="20"/>
          <w:szCs w:val="20"/>
        </w:rPr>
        <w:t>Avots: SM</w:t>
      </w:r>
    </w:p>
    <w:p w:rsidR="00871110"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ab/>
      </w:r>
    </w:p>
    <w:p w:rsidR="00871110" w:rsidRPr="006202E5"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Dzelzceļa pārvadājumos Latvijā pērn atkal sasniegts kārtējais rekords un kopumā pārvadāti 60,6 miljoni tonnu kravu. Turpretim konkurējošajos tranzīta koridoros Lietuvā un Igaunijā dzelzceļa kravu pārvadājumi samazinājušies attiecīgi par 5</w:t>
      </w:r>
      <w:r w:rsidR="00111406">
        <w:rPr>
          <w:rFonts w:ascii="Times New Roman" w:hAnsi="Times New Roman"/>
          <w:sz w:val="24"/>
          <w:szCs w:val="24"/>
        </w:rPr>
        <w:t> %</w:t>
      </w:r>
      <w:r w:rsidRPr="006202E5">
        <w:rPr>
          <w:rFonts w:ascii="Times New Roman" w:hAnsi="Times New Roman"/>
          <w:sz w:val="24"/>
          <w:szCs w:val="24"/>
        </w:rPr>
        <w:t xml:space="preserve"> un 14</w:t>
      </w:r>
      <w:r w:rsidR="00111406">
        <w:rPr>
          <w:rFonts w:ascii="Times New Roman" w:hAnsi="Times New Roman"/>
          <w:sz w:val="24"/>
          <w:szCs w:val="24"/>
        </w:rPr>
        <w:t> %</w:t>
      </w:r>
      <w:r w:rsidRPr="006202E5">
        <w:rPr>
          <w:rFonts w:ascii="Times New Roman" w:hAnsi="Times New Roman"/>
          <w:sz w:val="24"/>
          <w:szCs w:val="24"/>
        </w:rPr>
        <w:t xml:space="preserve">, salīdzinot ar iepriekšējo gadu. </w:t>
      </w:r>
    </w:p>
    <w:p w:rsidR="00871110" w:rsidRDefault="00871110" w:rsidP="00871110">
      <w:pPr>
        <w:tabs>
          <w:tab w:val="left" w:pos="0"/>
        </w:tabs>
        <w:spacing w:after="0" w:line="240" w:lineRule="auto"/>
        <w:ind w:right="71"/>
        <w:jc w:val="both"/>
        <w:rPr>
          <w:rFonts w:ascii="Times New Roman" w:hAnsi="Times New Roman"/>
          <w:i/>
          <w:sz w:val="24"/>
          <w:szCs w:val="24"/>
          <w:lang w:eastAsia="en-US"/>
        </w:rPr>
      </w:pPr>
    </w:p>
    <w:p w:rsidR="00871110" w:rsidRPr="006202E5"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i/>
          <w:sz w:val="24"/>
          <w:szCs w:val="24"/>
          <w:lang w:eastAsia="en-US"/>
        </w:rPr>
        <w:t>13. attēls.</w:t>
      </w:r>
    </w:p>
    <w:p w:rsidR="00871110" w:rsidRPr="006202E5" w:rsidRDefault="00871110" w:rsidP="00871110">
      <w:pPr>
        <w:tabs>
          <w:tab w:val="left" w:pos="0"/>
        </w:tabs>
        <w:spacing w:after="0" w:line="240" w:lineRule="auto"/>
        <w:ind w:right="71"/>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2CDCA6D3" wp14:editId="27F8C751">
            <wp:extent cx="4399915" cy="2377440"/>
            <wp:effectExtent l="19050" t="0" r="635" b="0"/>
            <wp:docPr id="2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399915" cy="2377440"/>
                    </a:xfrm>
                    <a:prstGeom prst="rect">
                      <a:avLst/>
                    </a:prstGeom>
                    <a:noFill/>
                    <a:ln w="9525">
                      <a:noFill/>
                      <a:miter lim="800000"/>
                      <a:headEnd/>
                      <a:tailEnd/>
                    </a:ln>
                  </pic:spPr>
                </pic:pic>
              </a:graphicData>
            </a:graphic>
          </wp:inline>
        </w:drawing>
      </w:r>
    </w:p>
    <w:p w:rsidR="00871110" w:rsidRPr="004544AA" w:rsidRDefault="00871110" w:rsidP="00871110">
      <w:pPr>
        <w:tabs>
          <w:tab w:val="left" w:pos="0"/>
        </w:tabs>
        <w:spacing w:after="0" w:line="240" w:lineRule="auto"/>
        <w:ind w:right="71"/>
        <w:jc w:val="both"/>
        <w:rPr>
          <w:rFonts w:ascii="Times New Roman" w:hAnsi="Times New Roman"/>
          <w:i/>
          <w:sz w:val="20"/>
          <w:szCs w:val="20"/>
        </w:rPr>
      </w:pPr>
      <w:r w:rsidRPr="004544AA">
        <w:rPr>
          <w:rFonts w:ascii="Times New Roman" w:hAnsi="Times New Roman"/>
          <w:i/>
          <w:sz w:val="20"/>
          <w:szCs w:val="20"/>
        </w:rPr>
        <w:t>Avots: SM</w:t>
      </w:r>
    </w:p>
    <w:p w:rsidR="00871110" w:rsidRDefault="00871110" w:rsidP="00871110">
      <w:pPr>
        <w:spacing w:after="0" w:line="240" w:lineRule="auto"/>
        <w:ind w:firstLine="720"/>
        <w:jc w:val="both"/>
        <w:rPr>
          <w:rFonts w:ascii="Times New Roman" w:eastAsia="Calibri" w:hAnsi="Times New Roman"/>
          <w:sz w:val="24"/>
          <w:szCs w:val="24"/>
          <w:lang w:eastAsia="en-US"/>
        </w:rPr>
      </w:pP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Ir turpināta sadarbības attīstī</w:t>
      </w:r>
      <w:r w:rsidR="00B21D72">
        <w:rPr>
          <w:rFonts w:ascii="Times New Roman" w:eastAsia="Calibri" w:hAnsi="Times New Roman"/>
          <w:sz w:val="24"/>
          <w:szCs w:val="24"/>
          <w:lang w:eastAsia="en-US"/>
        </w:rPr>
        <w:t>šana ar Afganistānu. Kopš 2009.</w:t>
      </w:r>
      <w:r w:rsidRPr="006202E5">
        <w:rPr>
          <w:rFonts w:ascii="Times New Roman" w:eastAsia="Calibri" w:hAnsi="Times New Roman"/>
          <w:sz w:val="24"/>
          <w:szCs w:val="24"/>
          <w:lang w:eastAsia="en-US"/>
        </w:rPr>
        <w:t>gada caur</w:t>
      </w:r>
      <w:r w:rsidR="00B21D72">
        <w:rPr>
          <w:rFonts w:ascii="Times New Roman" w:eastAsia="Calibri" w:hAnsi="Times New Roman"/>
          <w:sz w:val="24"/>
          <w:szCs w:val="24"/>
          <w:lang w:eastAsia="en-US"/>
        </w:rPr>
        <w:t>i</w:t>
      </w:r>
      <w:r w:rsidRPr="006202E5">
        <w:rPr>
          <w:rFonts w:ascii="Times New Roman" w:eastAsia="Calibri" w:hAnsi="Times New Roman"/>
          <w:sz w:val="24"/>
          <w:szCs w:val="24"/>
          <w:lang w:eastAsia="en-US"/>
        </w:rPr>
        <w:t xml:space="preserve"> Latvij</w:t>
      </w:r>
      <w:r w:rsidR="00B21D72">
        <w:rPr>
          <w:rFonts w:ascii="Times New Roman" w:eastAsia="Calibri" w:hAnsi="Times New Roman"/>
          <w:sz w:val="24"/>
          <w:szCs w:val="24"/>
          <w:lang w:eastAsia="en-US"/>
        </w:rPr>
        <w:t>ai</w:t>
      </w:r>
      <w:r w:rsidRPr="006202E5">
        <w:rPr>
          <w:rFonts w:ascii="Times New Roman" w:eastAsia="Calibri" w:hAnsi="Times New Roman"/>
          <w:sz w:val="24"/>
          <w:szCs w:val="24"/>
          <w:lang w:eastAsia="en-US"/>
        </w:rPr>
        <w:t xml:space="preserve"> uz Afganistānu nosūtītas kravas vismaz 60 000 TEU</w:t>
      </w:r>
      <w:r w:rsidRPr="006202E5">
        <w:rPr>
          <w:rFonts w:ascii="Times New Roman" w:eastAsia="Calibri" w:hAnsi="Times New Roman"/>
          <w:sz w:val="24"/>
          <w:szCs w:val="24"/>
          <w:vertAlign w:val="superscript"/>
          <w:lang w:eastAsia="en-US"/>
        </w:rPr>
        <w:footnoteReference w:id="6"/>
      </w:r>
      <w:r w:rsidR="00C70E2B">
        <w:rPr>
          <w:rFonts w:ascii="Times New Roman" w:eastAsia="Calibri" w:hAnsi="Times New Roman"/>
          <w:sz w:val="24"/>
          <w:szCs w:val="24"/>
          <w:lang w:eastAsia="en-US"/>
        </w:rPr>
        <w:t xml:space="preserve"> apmērā</w:t>
      </w:r>
      <w:r w:rsidRPr="006202E5">
        <w:rPr>
          <w:rFonts w:ascii="Times New Roman" w:eastAsia="Calibri" w:hAnsi="Times New Roman"/>
          <w:sz w:val="24"/>
          <w:szCs w:val="24"/>
          <w:lang w:eastAsia="en-US"/>
        </w:rPr>
        <w:t>.</w:t>
      </w:r>
      <w:r w:rsidRPr="006202E5">
        <w:rPr>
          <w:rFonts w:ascii="Times New Roman" w:eastAsia="Calibri" w:hAnsi="Times New Roman"/>
          <w:i/>
          <w:sz w:val="24"/>
          <w:szCs w:val="24"/>
          <w:lang w:eastAsia="en-US"/>
        </w:rPr>
        <w:t xml:space="preserve"> </w:t>
      </w:r>
      <w:r w:rsidRPr="006202E5">
        <w:rPr>
          <w:rFonts w:ascii="Times New Roman" w:eastAsia="Calibri" w:hAnsi="Times New Roman"/>
          <w:sz w:val="24"/>
          <w:szCs w:val="24"/>
          <w:lang w:eastAsia="en-US"/>
        </w:rPr>
        <w:t xml:space="preserve">2012. gada aprīlī tika uzsākti regulāri kravu pārvadājumi no lidostas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Rīga</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bet maijā pretējā virzienā </w:t>
      </w:r>
      <w:r w:rsidR="00C70E2B">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no Afganistānas. 2012.gadā u</w:t>
      </w:r>
      <w:r w:rsidRPr="006202E5">
        <w:rPr>
          <w:rFonts w:ascii="Times New Roman" w:eastAsia="Calibri" w:hAnsi="Times New Roman"/>
          <w:bCs/>
          <w:sz w:val="24"/>
          <w:szCs w:val="24"/>
          <w:lang w:eastAsia="en-US"/>
        </w:rPr>
        <w:t xml:space="preserve">z </w:t>
      </w:r>
      <w:r w:rsidR="00C70E2B" w:rsidRPr="006202E5">
        <w:rPr>
          <w:rFonts w:ascii="Times New Roman" w:eastAsia="Calibri" w:hAnsi="Times New Roman"/>
          <w:bCs/>
          <w:sz w:val="24"/>
          <w:szCs w:val="24"/>
          <w:lang w:eastAsia="en-US"/>
        </w:rPr>
        <w:t>Afganistān</w:t>
      </w:r>
      <w:r w:rsidR="00C70E2B">
        <w:rPr>
          <w:rFonts w:ascii="Times New Roman" w:eastAsia="Calibri" w:hAnsi="Times New Roman"/>
          <w:bCs/>
          <w:sz w:val="24"/>
          <w:szCs w:val="24"/>
          <w:lang w:eastAsia="en-US"/>
        </w:rPr>
        <w:t>u</w:t>
      </w:r>
      <w:r w:rsidR="00C70E2B" w:rsidRPr="006202E5">
        <w:rPr>
          <w:rFonts w:ascii="Times New Roman" w:eastAsia="Calibri" w:hAnsi="Times New Roman"/>
          <w:bCs/>
          <w:sz w:val="24"/>
          <w:szCs w:val="24"/>
          <w:lang w:eastAsia="en-US"/>
        </w:rPr>
        <w:t xml:space="preserve"> </w:t>
      </w:r>
      <w:r w:rsidRPr="006202E5">
        <w:rPr>
          <w:rFonts w:ascii="Times New Roman" w:eastAsia="Calibri" w:hAnsi="Times New Roman"/>
          <w:bCs/>
          <w:sz w:val="24"/>
          <w:szCs w:val="24"/>
          <w:lang w:eastAsia="en-US"/>
        </w:rPr>
        <w:t xml:space="preserve">un no </w:t>
      </w:r>
      <w:r w:rsidR="00C70E2B">
        <w:rPr>
          <w:rFonts w:ascii="Times New Roman" w:eastAsia="Calibri" w:hAnsi="Times New Roman"/>
          <w:bCs/>
          <w:sz w:val="24"/>
          <w:szCs w:val="24"/>
          <w:lang w:eastAsia="en-US"/>
        </w:rPr>
        <w:t xml:space="preserve">tās </w:t>
      </w:r>
      <w:r w:rsidRPr="006202E5">
        <w:rPr>
          <w:rFonts w:ascii="Times New Roman" w:eastAsia="Calibri" w:hAnsi="Times New Roman"/>
          <w:bCs/>
          <w:sz w:val="24"/>
          <w:szCs w:val="24"/>
          <w:lang w:eastAsia="en-US"/>
        </w:rPr>
        <w:t>vestās kravas</w:t>
      </w:r>
      <w:r w:rsidRPr="006202E5">
        <w:rPr>
          <w:rFonts w:ascii="Times New Roman" w:eastAsia="Calibri" w:hAnsi="Times New Roman"/>
          <w:sz w:val="24"/>
          <w:szCs w:val="24"/>
          <w:lang w:eastAsia="en-US"/>
        </w:rPr>
        <w:t xml:space="preserve"> veido gandrīz 60 % no </w:t>
      </w:r>
      <w:r w:rsidRPr="006202E5">
        <w:rPr>
          <w:rFonts w:ascii="Times New Roman" w:eastAsia="Calibri" w:hAnsi="Times New Roman"/>
          <w:bCs/>
          <w:sz w:val="24"/>
          <w:szCs w:val="24"/>
          <w:lang w:eastAsia="en-US"/>
        </w:rPr>
        <w:t xml:space="preserve">lidostā </w:t>
      </w:r>
      <w:r w:rsidR="00B167ED">
        <w:rPr>
          <w:rFonts w:ascii="Times New Roman" w:eastAsia="Calibri" w:hAnsi="Times New Roman"/>
          <w:bCs/>
          <w:sz w:val="24"/>
          <w:szCs w:val="24"/>
          <w:lang w:eastAsia="en-US"/>
        </w:rPr>
        <w:t>"</w:t>
      </w:r>
      <w:r w:rsidRPr="006202E5">
        <w:rPr>
          <w:rFonts w:ascii="Times New Roman" w:eastAsia="Calibri" w:hAnsi="Times New Roman"/>
          <w:bCs/>
          <w:sz w:val="24"/>
          <w:szCs w:val="24"/>
          <w:lang w:eastAsia="en-US"/>
        </w:rPr>
        <w:t>Rīga</w:t>
      </w:r>
      <w:r w:rsidR="00B167ED">
        <w:rPr>
          <w:rFonts w:ascii="Times New Roman" w:eastAsia="Calibri" w:hAnsi="Times New Roman"/>
          <w:bCs/>
          <w:sz w:val="24"/>
          <w:szCs w:val="24"/>
          <w:lang w:eastAsia="en-US"/>
        </w:rPr>
        <w:t>"</w:t>
      </w:r>
      <w:r w:rsidRPr="006202E5">
        <w:rPr>
          <w:rFonts w:ascii="Times New Roman" w:eastAsia="Calibri" w:hAnsi="Times New Roman"/>
          <w:bCs/>
          <w:sz w:val="24"/>
          <w:szCs w:val="24"/>
          <w:lang w:eastAsia="en-US"/>
        </w:rPr>
        <w:t xml:space="preserve"> </w:t>
      </w:r>
      <w:r w:rsidRPr="006202E5">
        <w:rPr>
          <w:rFonts w:ascii="Times New Roman" w:eastAsia="Calibri" w:hAnsi="Times New Roman"/>
          <w:sz w:val="24"/>
          <w:szCs w:val="24"/>
          <w:lang w:eastAsia="en-US"/>
        </w:rPr>
        <w:t xml:space="preserve">apkalpotajām kravām. Savukārt 2012.gada decembrī notika pirmais kravu pārvadājums no Afganistānas pa sauszemi Latvijas teritorijā. </w:t>
      </w:r>
    </w:p>
    <w:p w:rsidR="00871110" w:rsidRPr="006202E5" w:rsidRDefault="00C70E2B" w:rsidP="00871110">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Pēc</w:t>
      </w:r>
      <w:r w:rsidR="00871110" w:rsidRPr="006202E5">
        <w:rPr>
          <w:rFonts w:ascii="Times New Roman" w:hAnsi="Times New Roman"/>
          <w:color w:val="000000"/>
          <w:sz w:val="24"/>
          <w:szCs w:val="24"/>
        </w:rPr>
        <w:t xml:space="preserve"> divām SM un ĀM delegācij</w:t>
      </w:r>
      <w:r>
        <w:rPr>
          <w:rFonts w:ascii="Times New Roman" w:hAnsi="Times New Roman"/>
          <w:color w:val="000000"/>
          <w:sz w:val="24"/>
          <w:szCs w:val="24"/>
        </w:rPr>
        <w:t>as</w:t>
      </w:r>
      <w:r w:rsidR="00871110" w:rsidRPr="006202E5">
        <w:rPr>
          <w:rFonts w:ascii="Times New Roman" w:hAnsi="Times New Roman"/>
          <w:color w:val="000000"/>
          <w:sz w:val="24"/>
          <w:szCs w:val="24"/>
        </w:rPr>
        <w:t xml:space="preserve"> vizītēm Afganistānā – Kabulā, Mazarišarīfā un Hairatonā – 2012.gada oktobrī notika Afganistānas aviācijas speciālistu vizīte Latvijā, bet 2012.gada decembrī Rīgā ieradās Kabulas Politehniskās universitātes mācībspēki. Vizīšu laikā sāktas sarunas par divpusējo nolīgumu par gaisa satiksmi starp Latviju un Afganistānu, kā arī par sadarbības līgumiem starp Kabulas Politehnisko universitāti un Latvijas transporta nozares mācību iestādēm. </w:t>
      </w:r>
    </w:p>
    <w:p w:rsidR="00871110" w:rsidRPr="006202E5" w:rsidRDefault="00871110" w:rsidP="00871110">
      <w:pPr>
        <w:spacing w:after="0" w:line="240" w:lineRule="auto"/>
        <w:ind w:firstLine="720"/>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Turpmākās prioritātes ir nostiprināt kravu pārvadājumus no Afganistānas, pakāpeniski palielinot kravu apjomu, kā arī sniegt atbalstu Afganistānas transporta speciālistu zināšanu un prasmju attīstībā.</w:t>
      </w:r>
    </w:p>
    <w:p w:rsidR="00871110" w:rsidRPr="003C49ED" w:rsidRDefault="00871110" w:rsidP="00871110">
      <w:pPr>
        <w:pStyle w:val="Heading3"/>
      </w:pPr>
      <w:bookmarkStart w:id="99" w:name="_Toc348089308"/>
      <w:bookmarkStart w:id="100" w:name="_Toc348948371"/>
      <w:r w:rsidRPr="003C49ED">
        <w:t>8.3. Autoceļu sakārtošana</w:t>
      </w:r>
      <w:bookmarkEnd w:id="99"/>
      <w:bookmarkEnd w:id="100"/>
      <w:r w:rsidRPr="003C49ED">
        <w:t xml:space="preserve"> </w:t>
      </w:r>
    </w:p>
    <w:p w:rsidR="00871110" w:rsidRPr="006202E5" w:rsidRDefault="00871110" w:rsidP="00871110">
      <w:pPr>
        <w:pStyle w:val="NoSpacing"/>
        <w:spacing w:line="240" w:lineRule="auto"/>
        <w:ind w:firstLine="720"/>
        <w:jc w:val="both"/>
        <w:rPr>
          <w:rFonts w:ascii="Times New Roman" w:hAnsi="Times New Roman"/>
          <w:sz w:val="24"/>
          <w:szCs w:val="24"/>
        </w:rPr>
      </w:pPr>
      <w:r w:rsidRPr="006202E5">
        <w:rPr>
          <w:rFonts w:ascii="Times New Roman" w:hAnsi="Times New Roman"/>
          <w:sz w:val="24"/>
          <w:szCs w:val="24"/>
        </w:rPr>
        <w:t>2012. gadā ES fondu finansēto projektu ietvaros sakārtoto ceļa posmu (valsts galvenie, reģionālie ceļi, tranzītielas) garums ir 184,07 km</w:t>
      </w:r>
      <w:r w:rsidRPr="006202E5">
        <w:rPr>
          <w:rFonts w:ascii="Times New Roman" w:hAnsi="Times New Roman"/>
          <w:i/>
          <w:sz w:val="24"/>
          <w:szCs w:val="24"/>
        </w:rPr>
        <w:t>.</w:t>
      </w:r>
      <w:r w:rsidRPr="006202E5">
        <w:rPr>
          <w:rStyle w:val="FootnoteReference"/>
          <w:rFonts w:ascii="Times New Roman" w:hAnsi="Times New Roman"/>
          <w:sz w:val="24"/>
          <w:szCs w:val="24"/>
        </w:rPr>
        <w:footnoteReference w:id="7"/>
      </w:r>
    </w:p>
    <w:p w:rsidR="00871110"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lastRenderedPageBreak/>
        <w:t xml:space="preserve">2012. gadā SM pārziņā esošajām ES fondu finansētajām valsts galveno autoceļu un tranzītielu sakārtošanas aktivitātēm tika piešķirts papildu finansējums 57,0 milj. </w:t>
      </w:r>
      <w:r w:rsidR="00C70E2B">
        <w:rPr>
          <w:rFonts w:ascii="Times New Roman" w:hAnsi="Times New Roman"/>
          <w:sz w:val="24"/>
          <w:szCs w:val="24"/>
        </w:rPr>
        <w:t>latu</w:t>
      </w:r>
      <w:r w:rsidRPr="006202E5">
        <w:rPr>
          <w:rFonts w:ascii="Times New Roman" w:hAnsi="Times New Roman"/>
          <w:sz w:val="24"/>
          <w:szCs w:val="24"/>
        </w:rPr>
        <w:t xml:space="preserve"> apmērā. Tas ļaus īstenot kopumā 29 ES fondu un valsts budžeta finansētus projektus tranzītielu sakārtošanai, kā arī tika īstenoti vairāki TEN-T autoceļu tīkla uzlabojumu projekti, kuriem iepriekš nebija pieejams finansējums. </w:t>
      </w:r>
    </w:p>
    <w:p w:rsidR="00871110" w:rsidRPr="006202E5" w:rsidRDefault="00871110" w:rsidP="00871110">
      <w:pPr>
        <w:spacing w:after="0" w:line="240" w:lineRule="auto"/>
        <w:ind w:firstLine="720"/>
        <w:jc w:val="both"/>
        <w:rPr>
          <w:rFonts w:ascii="Times New Roman" w:hAnsi="Times New Roman"/>
          <w:sz w:val="24"/>
          <w:szCs w:val="24"/>
        </w:rPr>
      </w:pPr>
      <w:r w:rsidRPr="00C52675">
        <w:rPr>
          <w:rFonts w:ascii="Times New Roman" w:hAnsi="Times New Roman"/>
          <w:sz w:val="24"/>
          <w:szCs w:val="24"/>
        </w:rPr>
        <w:t>No valsts budžeta Valsts autoceļu fonda programmai pieejamā finansējuma 2012.gadā ir atjaunoti 160,9</w:t>
      </w:r>
      <w:r>
        <w:rPr>
          <w:rFonts w:ascii="Times New Roman" w:hAnsi="Times New Roman"/>
          <w:sz w:val="24"/>
          <w:szCs w:val="24"/>
        </w:rPr>
        <w:t xml:space="preserve"> </w:t>
      </w:r>
      <w:r w:rsidRPr="00C52675">
        <w:rPr>
          <w:rFonts w:ascii="Times New Roman" w:hAnsi="Times New Roman"/>
          <w:sz w:val="24"/>
          <w:szCs w:val="24"/>
        </w:rPr>
        <w:t>km ceļu ar grants segumu, tas ir</w:t>
      </w:r>
      <w:r w:rsidR="00C70E2B">
        <w:rPr>
          <w:rFonts w:ascii="Times New Roman" w:hAnsi="Times New Roman"/>
          <w:sz w:val="24"/>
          <w:szCs w:val="24"/>
        </w:rPr>
        <w:t>,</w:t>
      </w:r>
      <w:r w:rsidRPr="00C52675">
        <w:rPr>
          <w:rFonts w:ascii="Times New Roman" w:hAnsi="Times New Roman"/>
          <w:sz w:val="24"/>
          <w:szCs w:val="24"/>
        </w:rPr>
        <w:t xml:space="preserve"> 1,38</w:t>
      </w:r>
      <w:r w:rsidR="00111406">
        <w:rPr>
          <w:rFonts w:ascii="Times New Roman" w:hAnsi="Times New Roman"/>
          <w:sz w:val="24"/>
          <w:szCs w:val="24"/>
        </w:rPr>
        <w:t> %</w:t>
      </w:r>
      <w:r w:rsidRPr="00C52675">
        <w:rPr>
          <w:rFonts w:ascii="Times New Roman" w:hAnsi="Times New Roman"/>
          <w:sz w:val="24"/>
          <w:szCs w:val="24"/>
        </w:rPr>
        <w:t xml:space="preserve"> no 11661</w:t>
      </w:r>
      <w:r w:rsidR="00C70E2B">
        <w:rPr>
          <w:rFonts w:ascii="Times New Roman" w:hAnsi="Times New Roman"/>
          <w:sz w:val="24"/>
          <w:szCs w:val="24"/>
        </w:rPr>
        <w:t> </w:t>
      </w:r>
      <w:r w:rsidRPr="00C52675">
        <w:rPr>
          <w:rFonts w:ascii="Times New Roman" w:hAnsi="Times New Roman"/>
          <w:sz w:val="24"/>
          <w:szCs w:val="24"/>
        </w:rPr>
        <w:t>km grants ceļu, un atjaunoti segumi 242,2 km (2,86</w:t>
      </w:r>
      <w:r w:rsidR="00111406">
        <w:rPr>
          <w:rFonts w:ascii="Times New Roman" w:hAnsi="Times New Roman"/>
          <w:sz w:val="24"/>
          <w:szCs w:val="24"/>
        </w:rPr>
        <w:t> %</w:t>
      </w:r>
      <w:r w:rsidRPr="00C52675">
        <w:rPr>
          <w:rFonts w:ascii="Times New Roman" w:hAnsi="Times New Roman"/>
          <w:sz w:val="24"/>
          <w:szCs w:val="24"/>
        </w:rPr>
        <w:t>) no 8456</w:t>
      </w:r>
      <w:r w:rsidR="00C70E2B">
        <w:rPr>
          <w:rFonts w:ascii="Times New Roman" w:hAnsi="Times New Roman"/>
          <w:sz w:val="24"/>
          <w:szCs w:val="24"/>
        </w:rPr>
        <w:t> </w:t>
      </w:r>
      <w:r w:rsidRPr="00C52675">
        <w:rPr>
          <w:rFonts w:ascii="Times New Roman" w:hAnsi="Times New Roman"/>
          <w:sz w:val="24"/>
          <w:szCs w:val="24"/>
        </w:rPr>
        <w:t>km valsts autoceļu ar melno segumu. Ņemot vērā nepietiekamo finansējumu valsts autoceļu uzturēšanai un normatīvi noteiktajā laikā neveiktajiem remontdarbiem, gadu no gada pieaug arī remontu deficī</w:t>
      </w:r>
      <w:r>
        <w:rPr>
          <w:rFonts w:ascii="Times New Roman" w:hAnsi="Times New Roman"/>
          <w:sz w:val="24"/>
          <w:szCs w:val="24"/>
        </w:rPr>
        <w:t>ts, sasniedzot jau 4,528 milj. latu</w:t>
      </w:r>
      <w:r w:rsidRPr="00C52675">
        <w:rPr>
          <w:rFonts w:ascii="Times New Roman" w:hAnsi="Times New Roman"/>
          <w:sz w:val="24"/>
          <w:szCs w:val="24"/>
        </w:rPr>
        <w:t>.</w:t>
      </w:r>
    </w:p>
    <w:p w:rsidR="00871110"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Papildu līdzekļu piesaistei valsts autoceļu sakārtošanai plānots valsts pamatbudžeta Valsts autoceļu fonda programmas finansēšanas plānošanas modeļa</w:t>
      </w:r>
      <w:r w:rsidR="00C70E2B">
        <w:rPr>
          <w:rFonts w:ascii="Times New Roman" w:hAnsi="Times New Roman"/>
          <w:sz w:val="24"/>
          <w:szCs w:val="24"/>
        </w:rPr>
        <w:t xml:space="preserve"> maiņa</w:t>
      </w:r>
      <w:r w:rsidR="006D7AB4">
        <w:rPr>
          <w:rFonts w:ascii="Times New Roman" w:hAnsi="Times New Roman"/>
          <w:sz w:val="24"/>
          <w:szCs w:val="24"/>
        </w:rPr>
        <w:t>, lai</w:t>
      </w:r>
      <w:r w:rsidRPr="006202E5">
        <w:rPr>
          <w:rFonts w:ascii="Times New Roman" w:hAnsi="Times New Roman"/>
          <w:sz w:val="24"/>
          <w:szCs w:val="24"/>
        </w:rPr>
        <w:t xml:space="preserve"> pakāpeniski septiņu gadu periodā palielināt</w:t>
      </w:r>
      <w:r w:rsidR="006D7AB4">
        <w:rPr>
          <w:rFonts w:ascii="Times New Roman" w:hAnsi="Times New Roman"/>
          <w:sz w:val="24"/>
          <w:szCs w:val="24"/>
        </w:rPr>
        <w:t>u</w:t>
      </w:r>
      <w:r w:rsidRPr="006202E5">
        <w:rPr>
          <w:rFonts w:ascii="Times New Roman" w:hAnsi="Times New Roman"/>
          <w:sz w:val="24"/>
          <w:szCs w:val="24"/>
        </w:rPr>
        <w:t xml:space="preserve"> valsts budžetā autoceļiem paredzēto finansējumu un plānošanu</w:t>
      </w:r>
      <w:r w:rsidR="006D7AB4">
        <w:rPr>
          <w:rFonts w:ascii="Times New Roman" w:hAnsi="Times New Roman"/>
          <w:sz w:val="24"/>
          <w:szCs w:val="24"/>
        </w:rPr>
        <w:t>,</w:t>
      </w:r>
      <w:r w:rsidRPr="006202E5">
        <w:rPr>
          <w:rFonts w:ascii="Times New Roman" w:hAnsi="Times New Roman"/>
          <w:sz w:val="24"/>
          <w:szCs w:val="24"/>
        </w:rPr>
        <w:t xml:space="preserve"> piesaistot autoceļu lietotāju maksājumiem. </w:t>
      </w:r>
    </w:p>
    <w:p w:rsidR="00871110" w:rsidRPr="00AA7E01" w:rsidRDefault="00871110" w:rsidP="00871110">
      <w:pPr>
        <w:spacing w:after="0" w:line="240" w:lineRule="auto"/>
        <w:ind w:firstLine="720"/>
        <w:jc w:val="both"/>
        <w:rPr>
          <w:rFonts w:ascii="Times New Roman" w:hAnsi="Times New Roman"/>
          <w:sz w:val="24"/>
          <w:szCs w:val="24"/>
        </w:rPr>
      </w:pPr>
      <w:r w:rsidRPr="00AA7E01">
        <w:rPr>
          <w:rFonts w:ascii="Times New Roman" w:hAnsi="Times New Roman"/>
          <w:sz w:val="24"/>
          <w:szCs w:val="24"/>
        </w:rPr>
        <w:t xml:space="preserve">Ceļu satiksmes drošība ir viena no </w:t>
      </w:r>
      <w:r>
        <w:rPr>
          <w:rFonts w:ascii="Times New Roman" w:hAnsi="Times New Roman"/>
          <w:sz w:val="24"/>
          <w:szCs w:val="24"/>
        </w:rPr>
        <w:t>būtiskām p</w:t>
      </w:r>
      <w:r w:rsidRPr="00AA7E01">
        <w:rPr>
          <w:rFonts w:ascii="Times New Roman" w:hAnsi="Times New Roman"/>
          <w:sz w:val="24"/>
          <w:szCs w:val="24"/>
        </w:rPr>
        <w:t xml:space="preserve">rioritātēm, ņemot vērā šī jautājuma ietekmi uz iedzīvotāju dzīvību, veselību un valsts tautsaimniecību kopumā. </w:t>
      </w:r>
      <w:r>
        <w:rPr>
          <w:rFonts w:ascii="Times New Roman" w:hAnsi="Times New Roman"/>
          <w:sz w:val="24"/>
          <w:szCs w:val="24"/>
        </w:rPr>
        <w:t>Dažādu p</w:t>
      </w:r>
      <w:r w:rsidRPr="00AA7E01">
        <w:rPr>
          <w:rFonts w:ascii="Times New Roman" w:hAnsi="Times New Roman"/>
          <w:sz w:val="24"/>
          <w:szCs w:val="24"/>
        </w:rPr>
        <w:t xml:space="preserve">asākumu īstenošana </w:t>
      </w:r>
      <w:r>
        <w:rPr>
          <w:rFonts w:ascii="Times New Roman" w:hAnsi="Times New Roman"/>
          <w:sz w:val="24"/>
          <w:szCs w:val="24"/>
        </w:rPr>
        <w:t xml:space="preserve">ir </w:t>
      </w:r>
      <w:r w:rsidRPr="00AA7E01">
        <w:rPr>
          <w:rFonts w:ascii="Times New Roman" w:hAnsi="Times New Roman"/>
          <w:sz w:val="24"/>
          <w:szCs w:val="24"/>
        </w:rPr>
        <w:t>būtiski uzlaboj</w:t>
      </w:r>
      <w:r>
        <w:rPr>
          <w:rFonts w:ascii="Times New Roman" w:hAnsi="Times New Roman"/>
          <w:sz w:val="24"/>
          <w:szCs w:val="24"/>
        </w:rPr>
        <w:t>usi</w:t>
      </w:r>
      <w:r w:rsidRPr="00AA7E01">
        <w:rPr>
          <w:rFonts w:ascii="Times New Roman" w:hAnsi="Times New Roman"/>
          <w:sz w:val="24"/>
          <w:szCs w:val="24"/>
        </w:rPr>
        <w:t xml:space="preserve"> satiksmes drošību Latvijā un sekmēj</w:t>
      </w:r>
      <w:r>
        <w:rPr>
          <w:rFonts w:ascii="Times New Roman" w:hAnsi="Times New Roman"/>
          <w:sz w:val="24"/>
          <w:szCs w:val="24"/>
        </w:rPr>
        <w:t>usi</w:t>
      </w:r>
      <w:r w:rsidRPr="00AA7E01">
        <w:rPr>
          <w:rFonts w:ascii="Times New Roman" w:hAnsi="Times New Roman"/>
          <w:sz w:val="24"/>
          <w:szCs w:val="24"/>
        </w:rPr>
        <w:t xml:space="preserve"> ceļu satiksmes negadījumos bojāgājušo skaita samazināšanos 10 gadu periodā (2001. – 2011.) par 68</w:t>
      </w:r>
      <w:r w:rsidR="00111406">
        <w:rPr>
          <w:rFonts w:ascii="Times New Roman" w:hAnsi="Times New Roman"/>
          <w:sz w:val="24"/>
          <w:szCs w:val="24"/>
        </w:rPr>
        <w:t> %</w:t>
      </w:r>
      <w:r w:rsidRPr="00AA7E01">
        <w:rPr>
          <w:rFonts w:ascii="Times New Roman" w:hAnsi="Times New Roman"/>
          <w:sz w:val="24"/>
          <w:szCs w:val="24"/>
        </w:rPr>
        <w:t xml:space="preserve">, kas ir labākais rādītājs Eiropas Savienības valstīs. </w:t>
      </w:r>
      <w:r w:rsidR="00C70E2B">
        <w:rPr>
          <w:rFonts w:ascii="Times New Roman" w:hAnsi="Times New Roman"/>
          <w:sz w:val="24"/>
          <w:szCs w:val="24"/>
        </w:rPr>
        <w:t>Tomēr</w:t>
      </w:r>
      <w:r w:rsidRPr="00AA7E01">
        <w:rPr>
          <w:rFonts w:ascii="Times New Roman" w:hAnsi="Times New Roman"/>
          <w:sz w:val="24"/>
          <w:szCs w:val="24"/>
        </w:rPr>
        <w:t xml:space="preserve"> bojāgājušo skaits uz miljons iedzīvotājiem joprojām saglabājas augsts un tas ir 1,3 reizes lielāks nekā ES valstīs vidēji. Tāpat arī Eiropas Komisija ir izvirzījusi dalībvalstīm mērķus satiksmes drošības uzlabošanai </w:t>
      </w:r>
      <w:r w:rsidR="00C70E2B">
        <w:rPr>
          <w:rFonts w:ascii="Times New Roman" w:hAnsi="Times New Roman"/>
          <w:sz w:val="24"/>
          <w:szCs w:val="24"/>
        </w:rPr>
        <w:t>–</w:t>
      </w:r>
      <w:r w:rsidRPr="00AA7E01">
        <w:rPr>
          <w:rFonts w:ascii="Times New Roman" w:hAnsi="Times New Roman"/>
          <w:sz w:val="24"/>
          <w:szCs w:val="24"/>
        </w:rPr>
        <w:t xml:space="preserve"> 10 gadu periodā (līdz 2020.gadam) samazināt par 50</w:t>
      </w:r>
      <w:r w:rsidR="00111406">
        <w:rPr>
          <w:rFonts w:ascii="Times New Roman" w:hAnsi="Times New Roman"/>
          <w:sz w:val="24"/>
          <w:szCs w:val="24"/>
        </w:rPr>
        <w:t> %</w:t>
      </w:r>
      <w:r w:rsidRPr="00AA7E01">
        <w:rPr>
          <w:rFonts w:ascii="Times New Roman" w:hAnsi="Times New Roman"/>
          <w:sz w:val="24"/>
          <w:szCs w:val="24"/>
        </w:rPr>
        <w:t xml:space="preserve"> ceļu satiksmes negadījumos bojāgājušo un arī smagi ievainoto skaitu.</w:t>
      </w:r>
    </w:p>
    <w:p w:rsidR="00871110" w:rsidRDefault="00C70E2B" w:rsidP="00871110">
      <w:pPr>
        <w:spacing w:after="0" w:line="240" w:lineRule="auto"/>
        <w:ind w:firstLine="720"/>
        <w:jc w:val="both"/>
        <w:rPr>
          <w:rFonts w:ascii="Times New Roman" w:hAnsi="Times New Roman"/>
          <w:b/>
          <w:bCs/>
          <w:sz w:val="24"/>
          <w:szCs w:val="24"/>
        </w:rPr>
      </w:pPr>
      <w:r>
        <w:rPr>
          <w:rFonts w:ascii="Times New Roman" w:hAnsi="Times New Roman"/>
          <w:sz w:val="24"/>
          <w:szCs w:val="24"/>
        </w:rPr>
        <w:t>Salīdzinot ar 2006.</w:t>
      </w:r>
      <w:r w:rsidR="00871110" w:rsidRPr="00AA7E01">
        <w:rPr>
          <w:rFonts w:ascii="Times New Roman" w:hAnsi="Times New Roman"/>
          <w:sz w:val="24"/>
          <w:szCs w:val="24"/>
        </w:rPr>
        <w:t>gadu, bojāgājušo skaits samazinājies par 228 cilvēkiem (56,0</w:t>
      </w:r>
      <w:r w:rsidR="00111406">
        <w:rPr>
          <w:rFonts w:ascii="Times New Roman" w:hAnsi="Times New Roman"/>
          <w:sz w:val="24"/>
          <w:szCs w:val="24"/>
        </w:rPr>
        <w:t> %</w:t>
      </w:r>
      <w:r w:rsidR="00871110" w:rsidRPr="00AA7E01">
        <w:rPr>
          <w:rFonts w:ascii="Times New Roman" w:hAnsi="Times New Roman"/>
          <w:sz w:val="24"/>
          <w:szCs w:val="24"/>
        </w:rPr>
        <w:t>), smagi ievainoto skaits samazinājies par 99 (-15,7</w:t>
      </w:r>
      <w:r w:rsidR="00111406">
        <w:rPr>
          <w:rFonts w:ascii="Times New Roman" w:hAnsi="Times New Roman"/>
          <w:sz w:val="24"/>
          <w:szCs w:val="24"/>
        </w:rPr>
        <w:t> %</w:t>
      </w:r>
      <w:r w:rsidR="00871110" w:rsidRPr="00AA7E01">
        <w:rPr>
          <w:rFonts w:ascii="Times New Roman" w:hAnsi="Times New Roman"/>
          <w:sz w:val="24"/>
          <w:szCs w:val="24"/>
        </w:rPr>
        <w:t>). Par 44,1</w:t>
      </w:r>
      <w:r w:rsidR="00111406">
        <w:rPr>
          <w:rFonts w:ascii="Times New Roman" w:hAnsi="Times New Roman"/>
          <w:sz w:val="24"/>
          <w:szCs w:val="24"/>
        </w:rPr>
        <w:t> %</w:t>
      </w:r>
      <w:r w:rsidR="00871110" w:rsidRPr="00AA7E01">
        <w:rPr>
          <w:rFonts w:ascii="Times New Roman" w:hAnsi="Times New Roman"/>
          <w:sz w:val="24"/>
          <w:szCs w:val="24"/>
        </w:rPr>
        <w:t xml:space="preserve"> samazinājusies arī CSNg smaguma pakāpe</w:t>
      </w:r>
      <w:r w:rsidR="00390D47">
        <w:rPr>
          <w:rFonts w:ascii="Times New Roman" w:hAnsi="Times New Roman"/>
          <w:sz w:val="24"/>
          <w:szCs w:val="24"/>
        </w:rPr>
        <w:t>,</w:t>
      </w:r>
      <w:r w:rsidR="00871110" w:rsidRPr="00AA7E01">
        <w:rPr>
          <w:rFonts w:ascii="Times New Roman" w:hAnsi="Times New Roman"/>
          <w:sz w:val="24"/>
          <w:szCs w:val="24"/>
        </w:rPr>
        <w:t xml:space="preserve"> un šis rādītājs tagad ir sasniedzis ES vidējo rādītāju. Smaguma pakāpes izvērtēšanai izmantots kritērijs </w:t>
      </w:r>
      <w:r w:rsidR="00390D47">
        <w:rPr>
          <w:rFonts w:ascii="Times New Roman" w:hAnsi="Times New Roman"/>
          <w:sz w:val="24"/>
          <w:szCs w:val="24"/>
        </w:rPr>
        <w:t>–</w:t>
      </w:r>
      <w:r w:rsidR="00871110" w:rsidRPr="00AA7E01">
        <w:rPr>
          <w:rFonts w:ascii="Times New Roman" w:hAnsi="Times New Roman"/>
          <w:sz w:val="24"/>
          <w:szCs w:val="24"/>
        </w:rPr>
        <w:t xml:space="preserve"> bojāgājušo skaits uz 100 CSNg ar cietušajiem. Tik strauja uzlabojuma dinamika skaidrojama arī ar to, ka minētajā atskaites gadā bojāgājušo un smagi ievainoto skaita ziņā Latvijai bija līdera pozīcijas Eiropā. Jārēķinās, ka turpmākā drošības līmeņa uzlabošana būs saistīta ar lielākām grūtībām. Šobrīd SM izveidota darba grupa izstrādā Ceļu satiksmes drošības plānu 2014.-2016.gadam.</w:t>
      </w:r>
    </w:p>
    <w:p w:rsidR="00871110" w:rsidRPr="003C49ED" w:rsidRDefault="00871110" w:rsidP="00871110">
      <w:pPr>
        <w:pStyle w:val="Heading3"/>
      </w:pPr>
      <w:bookmarkStart w:id="101" w:name="_Toc348089309"/>
      <w:bookmarkStart w:id="102" w:name="_Toc348948372"/>
      <w:r w:rsidRPr="003C49ED">
        <w:t>8.4. Dzelzceļa transporta attīstība</w:t>
      </w:r>
      <w:bookmarkEnd w:id="101"/>
      <w:bookmarkEnd w:id="102"/>
    </w:p>
    <w:p w:rsidR="00871110" w:rsidRPr="006202E5" w:rsidRDefault="00390D47" w:rsidP="00871110">
      <w:pPr>
        <w:tabs>
          <w:tab w:val="left" w:pos="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2012.gada 22.</w:t>
      </w:r>
      <w:r w:rsidR="00871110" w:rsidRPr="006202E5">
        <w:rPr>
          <w:rFonts w:ascii="Times New Roman" w:eastAsia="Calibri" w:hAnsi="Times New Roman"/>
          <w:sz w:val="24"/>
          <w:szCs w:val="24"/>
          <w:lang w:eastAsia="en-US"/>
        </w:rPr>
        <w:t>martā Briselē Baltijas valstu transporta minis</w:t>
      </w:r>
      <w:r>
        <w:rPr>
          <w:rFonts w:ascii="Times New Roman" w:eastAsia="Calibri" w:hAnsi="Times New Roman"/>
          <w:sz w:val="24"/>
          <w:szCs w:val="24"/>
          <w:lang w:eastAsia="en-US"/>
        </w:rPr>
        <w:t>tri parakstīja grozījumus 2011.gada 7.</w:t>
      </w:r>
      <w:r w:rsidR="00871110" w:rsidRPr="006202E5">
        <w:rPr>
          <w:rFonts w:ascii="Times New Roman" w:eastAsia="Calibri" w:hAnsi="Times New Roman"/>
          <w:sz w:val="24"/>
          <w:szCs w:val="24"/>
          <w:lang w:eastAsia="en-US"/>
        </w:rPr>
        <w:t xml:space="preserve">decembrī Tallinā parakstītajā nodomu deklarācijā, paredzot paplašināt darba grupai doto mandātu, lai padarītu efektīvāku koordināciju </w:t>
      </w:r>
      <w:r w:rsidR="00871110" w:rsidRPr="006202E5">
        <w:rPr>
          <w:rFonts w:ascii="Times New Roman" w:eastAsia="Calibri" w:hAnsi="Times New Roman"/>
          <w:i/>
          <w:sz w:val="24"/>
          <w:szCs w:val="24"/>
          <w:lang w:eastAsia="en-US"/>
        </w:rPr>
        <w:t>Rail Baltica</w:t>
      </w:r>
      <w:r>
        <w:rPr>
          <w:rFonts w:ascii="Times New Roman" w:eastAsia="Calibri" w:hAnsi="Times New Roman"/>
          <w:i/>
          <w:sz w:val="24"/>
          <w:szCs w:val="24"/>
          <w:lang w:eastAsia="en-US"/>
        </w:rPr>
        <w:t> </w:t>
      </w:r>
      <w:r w:rsidR="00871110" w:rsidRPr="006202E5">
        <w:rPr>
          <w:rFonts w:ascii="Times New Roman" w:eastAsia="Calibri" w:hAnsi="Times New Roman"/>
          <w:i/>
          <w:sz w:val="24"/>
          <w:szCs w:val="24"/>
          <w:lang w:eastAsia="en-US"/>
        </w:rPr>
        <w:t>2</w:t>
      </w:r>
      <w:r w:rsidR="00871110" w:rsidRPr="006202E5">
        <w:rPr>
          <w:rFonts w:ascii="Times New Roman" w:eastAsia="Calibri" w:hAnsi="Times New Roman"/>
          <w:sz w:val="24"/>
          <w:szCs w:val="24"/>
          <w:lang w:eastAsia="en-US"/>
        </w:rPr>
        <w:t xml:space="preserve"> jautājumos. Vienlaikus tika akceptēta arī Polijas iesaiste šajā koordinācijā. </w:t>
      </w:r>
    </w:p>
    <w:p w:rsidR="00871110" w:rsidRPr="006202E5" w:rsidRDefault="00871110" w:rsidP="00871110">
      <w:pPr>
        <w:pStyle w:val="NoSpacing"/>
        <w:spacing w:line="240" w:lineRule="auto"/>
        <w:ind w:firstLine="720"/>
        <w:jc w:val="both"/>
        <w:rPr>
          <w:sz w:val="24"/>
          <w:szCs w:val="24"/>
        </w:rPr>
      </w:pPr>
      <w:r w:rsidRPr="006202E5">
        <w:rPr>
          <w:rFonts w:ascii="Times New Roman" w:hAnsi="Times New Roman"/>
          <w:sz w:val="24"/>
          <w:szCs w:val="24"/>
        </w:rPr>
        <w:t xml:space="preserve">2013.gada 30.janvārī ir izsludināts iepirkums dzelzceļa projekta </w:t>
      </w:r>
      <w:r w:rsidRPr="006202E5">
        <w:rPr>
          <w:rFonts w:ascii="Times New Roman" w:hAnsi="Times New Roman"/>
          <w:i/>
          <w:iCs/>
          <w:sz w:val="24"/>
          <w:szCs w:val="24"/>
        </w:rPr>
        <w:t>Rail Baltica</w:t>
      </w:r>
      <w:r w:rsidR="00390D47">
        <w:rPr>
          <w:rFonts w:ascii="Times New Roman" w:hAnsi="Times New Roman"/>
          <w:i/>
          <w:iCs/>
          <w:sz w:val="24"/>
          <w:szCs w:val="24"/>
        </w:rPr>
        <w:t> </w:t>
      </w:r>
      <w:r w:rsidRPr="006202E5">
        <w:rPr>
          <w:rFonts w:ascii="Times New Roman" w:hAnsi="Times New Roman"/>
          <w:i/>
          <w:iCs/>
          <w:sz w:val="24"/>
          <w:szCs w:val="24"/>
        </w:rPr>
        <w:t xml:space="preserve">2 </w:t>
      </w:r>
      <w:r w:rsidRPr="006202E5">
        <w:rPr>
          <w:rFonts w:ascii="Times New Roman" w:hAnsi="Times New Roman"/>
          <w:sz w:val="24"/>
          <w:szCs w:val="24"/>
        </w:rPr>
        <w:t xml:space="preserve">izpētes otrajam posmam. </w:t>
      </w:r>
      <w:r w:rsidRPr="006202E5">
        <w:rPr>
          <w:rFonts w:ascii="Times New Roman" w:hAnsi="Times New Roman"/>
          <w:bCs/>
          <w:sz w:val="24"/>
          <w:szCs w:val="24"/>
        </w:rPr>
        <w:t xml:space="preserve">Pēc Baltijas valstu transporta ministru iniciatīvas projekta darba grupā iesaistījusies arī Polija un Somija. Eiropas Komisijai nosūtīta </w:t>
      </w:r>
      <w:smartTag w:uri="schemas-tilde-lv/tildestengine" w:element="veidnes">
        <w:smartTagPr>
          <w:attr w:name="text" w:val="vēstule"/>
          <w:attr w:name="baseform" w:val="vēstule"/>
          <w:attr w:name="id" w:val="-1"/>
        </w:smartTagPr>
        <w:r w:rsidRPr="006202E5">
          <w:rPr>
            <w:rFonts w:ascii="Times New Roman" w:hAnsi="Times New Roman"/>
            <w:bCs/>
            <w:sz w:val="24"/>
            <w:szCs w:val="24"/>
          </w:rPr>
          <w:t>vēstule</w:t>
        </w:r>
      </w:smartTag>
      <w:r w:rsidRPr="006202E5">
        <w:rPr>
          <w:rFonts w:ascii="Times New Roman" w:hAnsi="Times New Roman"/>
          <w:bCs/>
          <w:sz w:val="24"/>
          <w:szCs w:val="24"/>
        </w:rPr>
        <w:t xml:space="preserve">, kurā norādīts </w:t>
      </w:r>
      <w:r w:rsidRPr="006202E5">
        <w:rPr>
          <w:rFonts w:ascii="Times New Roman" w:hAnsi="Times New Roman"/>
          <w:bCs/>
          <w:sz w:val="24"/>
          <w:szCs w:val="24"/>
        </w:rPr>
        <w:lastRenderedPageBreak/>
        <w:t xml:space="preserve">uz nepieciešamību Rīgas nozīmīgākos transporta infrastruktūras objektus – Rīgas lidostu un ostu – ciešāk integrēt projektā </w:t>
      </w:r>
      <w:r w:rsidRPr="006202E5">
        <w:rPr>
          <w:rFonts w:ascii="Times New Roman" w:hAnsi="Times New Roman"/>
          <w:bCs/>
          <w:i/>
          <w:sz w:val="24"/>
          <w:szCs w:val="24"/>
        </w:rPr>
        <w:t>Rail Baltica2</w:t>
      </w:r>
      <w:r w:rsidRPr="006202E5">
        <w:rPr>
          <w:rFonts w:ascii="Times New Roman" w:hAnsi="Times New Roman"/>
          <w:bCs/>
          <w:sz w:val="24"/>
          <w:szCs w:val="24"/>
        </w:rPr>
        <w:t>.</w:t>
      </w:r>
      <w:r w:rsidRPr="006202E5">
        <w:rPr>
          <w:rFonts w:ascii="Times New Roman" w:hAnsi="Times New Roman"/>
          <w:sz w:val="24"/>
          <w:szCs w:val="24"/>
        </w:rPr>
        <w:t xml:space="preserve"> </w:t>
      </w:r>
    </w:p>
    <w:p w:rsidR="00871110" w:rsidRPr="006202E5" w:rsidRDefault="00871110" w:rsidP="00871110">
      <w:pPr>
        <w:tabs>
          <w:tab w:val="left" w:pos="0"/>
        </w:tabs>
        <w:spacing w:after="0" w:line="240" w:lineRule="auto"/>
        <w:jc w:val="both"/>
        <w:rPr>
          <w:rFonts w:ascii="Times New Roman" w:hAnsi="Times New Roman"/>
          <w:sz w:val="24"/>
          <w:szCs w:val="24"/>
        </w:rPr>
      </w:pPr>
      <w:r w:rsidRPr="006202E5">
        <w:rPr>
          <w:rFonts w:ascii="Times New Roman" w:hAnsi="Times New Roman"/>
          <w:sz w:val="24"/>
          <w:szCs w:val="24"/>
          <w:lang w:eastAsia="en-US"/>
        </w:rPr>
        <w:tab/>
        <w:t>Igaunijas puse visu Baltijas valstu vārdā 2012.gada 25. oktobrī parakstīja līgumu par izpēti kopuzņēmuma izveid</w:t>
      </w:r>
      <w:r w:rsidR="00390D47">
        <w:rPr>
          <w:rFonts w:ascii="Times New Roman" w:hAnsi="Times New Roman"/>
          <w:sz w:val="24"/>
          <w:szCs w:val="24"/>
          <w:lang w:eastAsia="en-US"/>
        </w:rPr>
        <w:t>e</w:t>
      </w:r>
      <w:r w:rsidRPr="006202E5">
        <w:rPr>
          <w:rFonts w:ascii="Times New Roman" w:hAnsi="Times New Roman"/>
          <w:sz w:val="24"/>
          <w:szCs w:val="24"/>
          <w:lang w:eastAsia="en-US"/>
        </w:rPr>
        <w:t xml:space="preserve">i </w:t>
      </w:r>
      <w:r w:rsidRPr="006202E5">
        <w:rPr>
          <w:rFonts w:ascii="Times New Roman" w:hAnsi="Times New Roman"/>
          <w:sz w:val="24"/>
          <w:szCs w:val="24"/>
        </w:rPr>
        <w:t xml:space="preserve">dzelzceļa līnijas </w:t>
      </w:r>
      <w:r w:rsidRPr="006202E5">
        <w:rPr>
          <w:rFonts w:ascii="Times New Roman" w:hAnsi="Times New Roman"/>
          <w:i/>
          <w:sz w:val="24"/>
          <w:szCs w:val="24"/>
        </w:rPr>
        <w:t>Rail Baltica</w:t>
      </w:r>
      <w:r w:rsidR="00390D47">
        <w:rPr>
          <w:rFonts w:ascii="Times New Roman" w:hAnsi="Times New Roman"/>
          <w:i/>
          <w:sz w:val="24"/>
          <w:szCs w:val="24"/>
        </w:rPr>
        <w:t> </w:t>
      </w:r>
      <w:r w:rsidRPr="006202E5">
        <w:rPr>
          <w:rFonts w:ascii="Times New Roman" w:hAnsi="Times New Roman"/>
          <w:i/>
          <w:sz w:val="24"/>
          <w:szCs w:val="24"/>
        </w:rPr>
        <w:t>2</w:t>
      </w:r>
      <w:r w:rsidRPr="006202E5">
        <w:rPr>
          <w:rFonts w:ascii="Times New Roman" w:hAnsi="Times New Roman"/>
          <w:sz w:val="24"/>
          <w:szCs w:val="24"/>
        </w:rPr>
        <w:t xml:space="preserve"> attīstīšanai. Pētījuma nolūks ir izvērtēt tiesiskos un ekonomiskos aspektus, kas saistīti ar kopuzņēmuma izveidošanu, iepazīties ar jautājumiem, kas attiecas uz kopuzņēmuma struktūru, un noteikt optimālo menedžmenta struktūru.</w:t>
      </w:r>
    </w:p>
    <w:p w:rsidR="00871110" w:rsidRPr="006202E5" w:rsidRDefault="00871110" w:rsidP="00871110">
      <w:pPr>
        <w:tabs>
          <w:tab w:val="left" w:pos="0"/>
        </w:tabs>
        <w:spacing w:after="0" w:line="240" w:lineRule="auto"/>
        <w:jc w:val="both"/>
        <w:rPr>
          <w:rFonts w:ascii="Times New Roman" w:hAnsi="Times New Roman"/>
          <w:sz w:val="24"/>
          <w:szCs w:val="24"/>
        </w:rPr>
      </w:pPr>
      <w:r w:rsidRPr="006202E5">
        <w:rPr>
          <w:rFonts w:ascii="Times New Roman" w:hAnsi="Times New Roman"/>
          <w:sz w:val="24"/>
          <w:szCs w:val="24"/>
        </w:rPr>
        <w:tab/>
        <w:t xml:space="preserve">2012.gadā turpinājās darbs pie dzelzceļa infrastruktūras sakārtošanas un ar Kohēzijas fonda līdzfinansējumu tiek īstenots projekts </w:t>
      </w:r>
      <w:r w:rsidR="00B167ED">
        <w:rPr>
          <w:rFonts w:ascii="Times New Roman" w:hAnsi="Times New Roman"/>
          <w:sz w:val="24"/>
          <w:szCs w:val="24"/>
        </w:rPr>
        <w:t>"</w:t>
      </w:r>
      <w:r w:rsidRPr="006202E5">
        <w:rPr>
          <w:rFonts w:ascii="Times New Roman" w:hAnsi="Times New Roman"/>
          <w:sz w:val="24"/>
          <w:szCs w:val="24"/>
        </w:rPr>
        <w:t>Ot</w:t>
      </w:r>
      <w:r w:rsidRPr="006202E5">
        <w:rPr>
          <w:rFonts w:ascii="Times New Roman" w:hAnsi="Times New Roman"/>
          <w:bCs/>
          <w:sz w:val="24"/>
          <w:szCs w:val="24"/>
        </w:rPr>
        <w:t xml:space="preserve">rā sliežu ceļa </w:t>
      </w:r>
      <w:r w:rsidR="00390D47" w:rsidRPr="006202E5">
        <w:rPr>
          <w:rFonts w:ascii="Times New Roman" w:hAnsi="Times New Roman"/>
          <w:bCs/>
          <w:sz w:val="24"/>
          <w:szCs w:val="24"/>
        </w:rPr>
        <w:t>būvniecība</w:t>
      </w:r>
      <w:r w:rsidR="00390D47" w:rsidRPr="006202E5">
        <w:rPr>
          <w:rFonts w:ascii="Times New Roman" w:hAnsi="Times New Roman"/>
          <w:sz w:val="24"/>
          <w:szCs w:val="24"/>
        </w:rPr>
        <w:t xml:space="preserve"> </w:t>
      </w:r>
      <w:r w:rsidRPr="006202E5">
        <w:rPr>
          <w:rFonts w:ascii="Times New Roman" w:hAnsi="Times New Roman"/>
          <w:sz w:val="24"/>
          <w:szCs w:val="24"/>
        </w:rPr>
        <w:t>52</w:t>
      </w:r>
      <w:r w:rsidR="00390D47">
        <w:rPr>
          <w:rFonts w:ascii="Times New Roman" w:hAnsi="Times New Roman"/>
          <w:sz w:val="24"/>
          <w:szCs w:val="24"/>
        </w:rPr>
        <w:t> </w:t>
      </w:r>
      <w:r w:rsidRPr="006202E5">
        <w:rPr>
          <w:rFonts w:ascii="Times New Roman" w:hAnsi="Times New Roman"/>
          <w:sz w:val="24"/>
          <w:szCs w:val="24"/>
        </w:rPr>
        <w:t xml:space="preserve">km garumā </w:t>
      </w:r>
      <w:r w:rsidR="00390D47">
        <w:rPr>
          <w:rFonts w:ascii="Times New Roman" w:hAnsi="Times New Roman"/>
          <w:bCs/>
          <w:sz w:val="24"/>
          <w:szCs w:val="24"/>
        </w:rPr>
        <w:t>Skrīveri–Krustpils (Rīga–</w:t>
      </w:r>
      <w:r w:rsidRPr="006202E5">
        <w:rPr>
          <w:rFonts w:ascii="Times New Roman" w:hAnsi="Times New Roman"/>
          <w:bCs/>
          <w:sz w:val="24"/>
          <w:szCs w:val="24"/>
        </w:rPr>
        <w:t xml:space="preserve">Krustpils iecirknis) </w:t>
      </w:r>
      <w:r w:rsidR="00B167ED">
        <w:rPr>
          <w:rFonts w:ascii="Times New Roman" w:hAnsi="Times New Roman"/>
          <w:bCs/>
          <w:sz w:val="24"/>
          <w:szCs w:val="24"/>
        </w:rPr>
        <w:t>"</w:t>
      </w:r>
      <w:r w:rsidRPr="006202E5">
        <w:rPr>
          <w:rFonts w:ascii="Times New Roman" w:hAnsi="Times New Roman"/>
          <w:bCs/>
          <w:sz w:val="24"/>
          <w:szCs w:val="24"/>
        </w:rPr>
        <w:t xml:space="preserve">. </w:t>
      </w:r>
      <w:r w:rsidRPr="006202E5">
        <w:rPr>
          <w:rFonts w:ascii="Times New Roman" w:hAnsi="Times New Roman"/>
          <w:sz w:val="24"/>
          <w:szCs w:val="24"/>
        </w:rPr>
        <w:t>Šajā posmā tiek veikta piecu staciju, trīs pieturu, 15 pārbrauktuvju, peronu, caurteku un mazo tiltu rekonstrukcija, telekomunikāciju un elektroapgādes sistēmu ierīkošana, kā arī divu jaunu tiltu būvniecība pār Pērsi un Aivieksti.</w:t>
      </w:r>
      <w:r w:rsidRPr="006202E5">
        <w:rPr>
          <w:rFonts w:ascii="Times New Roman" w:hAnsi="Times New Roman"/>
          <w:bCs/>
          <w:sz w:val="24"/>
          <w:szCs w:val="24"/>
        </w:rPr>
        <w:t xml:space="preserve"> </w:t>
      </w:r>
      <w:r w:rsidRPr="006202E5">
        <w:rPr>
          <w:rFonts w:ascii="Times New Roman" w:hAnsi="Times New Roman"/>
          <w:sz w:val="24"/>
          <w:szCs w:val="24"/>
        </w:rPr>
        <w:t>Projekta kopējās attiecin</w:t>
      </w:r>
      <w:r>
        <w:rPr>
          <w:rFonts w:ascii="Times New Roman" w:hAnsi="Times New Roman"/>
          <w:sz w:val="24"/>
          <w:szCs w:val="24"/>
        </w:rPr>
        <w:t>āmās izmaksas, ir 65.65 milj. latu</w:t>
      </w:r>
      <w:r w:rsidR="00390D47">
        <w:rPr>
          <w:rFonts w:ascii="Times New Roman" w:hAnsi="Times New Roman"/>
          <w:sz w:val="24"/>
          <w:szCs w:val="24"/>
        </w:rPr>
        <w:t>, t.sk.</w:t>
      </w:r>
      <w:r w:rsidRPr="006202E5">
        <w:rPr>
          <w:rFonts w:ascii="Times New Roman" w:hAnsi="Times New Roman"/>
          <w:sz w:val="24"/>
          <w:szCs w:val="24"/>
        </w:rPr>
        <w:t xml:space="preserve"> Kohēzijas fonda f</w:t>
      </w:r>
      <w:r>
        <w:rPr>
          <w:rFonts w:ascii="Times New Roman" w:hAnsi="Times New Roman"/>
          <w:sz w:val="24"/>
          <w:szCs w:val="24"/>
        </w:rPr>
        <w:t>inansējums 46,08 milj. latu</w:t>
      </w:r>
      <w:r w:rsidRPr="006202E5">
        <w:rPr>
          <w:rFonts w:ascii="Times New Roman" w:hAnsi="Times New Roman"/>
          <w:sz w:val="24"/>
          <w:szCs w:val="24"/>
        </w:rPr>
        <w:t xml:space="preserve"> un VAS </w:t>
      </w:r>
      <w:r w:rsidR="00B167ED">
        <w:rPr>
          <w:rFonts w:ascii="Times New Roman" w:hAnsi="Times New Roman"/>
          <w:sz w:val="24"/>
          <w:szCs w:val="24"/>
        </w:rPr>
        <w:t>"</w:t>
      </w:r>
      <w:r w:rsidRPr="006202E5">
        <w:rPr>
          <w:rFonts w:ascii="Times New Roman" w:hAnsi="Times New Roman"/>
          <w:sz w:val="24"/>
          <w:szCs w:val="24"/>
        </w:rPr>
        <w:t xml:space="preserve"> Latvijas dzelz</w:t>
      </w:r>
      <w:r>
        <w:rPr>
          <w:rFonts w:ascii="Times New Roman" w:hAnsi="Times New Roman"/>
          <w:sz w:val="24"/>
          <w:szCs w:val="24"/>
        </w:rPr>
        <w:t>ceļš</w:t>
      </w:r>
      <w:r w:rsidR="00B167ED">
        <w:rPr>
          <w:rFonts w:ascii="Times New Roman" w:hAnsi="Times New Roman"/>
          <w:sz w:val="24"/>
          <w:szCs w:val="24"/>
        </w:rPr>
        <w:t>"</w:t>
      </w:r>
      <w:r>
        <w:rPr>
          <w:rFonts w:ascii="Times New Roman" w:hAnsi="Times New Roman"/>
          <w:sz w:val="24"/>
          <w:szCs w:val="24"/>
        </w:rPr>
        <w:t xml:space="preserve"> finansējums 19,57 milj. latu</w:t>
      </w:r>
      <w:r w:rsidRPr="006202E5">
        <w:rPr>
          <w:rFonts w:ascii="Times New Roman" w:hAnsi="Times New Roman"/>
          <w:sz w:val="24"/>
          <w:szCs w:val="24"/>
        </w:rPr>
        <w:t>. Īstenojot šo projektu, vēl vairāk palielināsies pārvadājamo kravu apjoms, izmantojot dzelzceļa infrastruktūras sniegtās priekšrocības. 2012.gadā noslēgts būvdarbu līgums Kohēzijas fonda līdzfinansētā Šķirotavas stacijas šķirošanas uzkalna rekonstrukcijas projekta ietvaros.</w:t>
      </w:r>
    </w:p>
    <w:p w:rsidR="00871110" w:rsidRPr="006202E5" w:rsidRDefault="00871110" w:rsidP="00871110">
      <w:pPr>
        <w:pStyle w:val="Heading3"/>
        <w:rPr>
          <w:rFonts w:eastAsia="Calibri"/>
          <w:szCs w:val="24"/>
          <w:lang w:eastAsia="en-US"/>
        </w:rPr>
      </w:pPr>
      <w:bookmarkStart w:id="103" w:name="_Toc348089310"/>
      <w:bookmarkStart w:id="104" w:name="_Toc348948373"/>
      <w:r w:rsidRPr="006202E5">
        <w:rPr>
          <w:rFonts w:eastAsia="Calibri"/>
          <w:szCs w:val="24"/>
          <w:lang w:eastAsia="en-US"/>
        </w:rPr>
        <w:t>8.5. Gaisa transporta attīstība</w:t>
      </w:r>
      <w:bookmarkEnd w:id="103"/>
      <w:bookmarkEnd w:id="104"/>
    </w:p>
    <w:p w:rsidR="00871110" w:rsidRPr="006202E5"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ab/>
        <w:t xml:space="preserve">Veikta AS </w:t>
      </w:r>
      <w:r w:rsidR="00B167ED">
        <w:rPr>
          <w:rFonts w:ascii="Times New Roman" w:hAnsi="Times New Roman"/>
          <w:sz w:val="24"/>
          <w:szCs w:val="24"/>
        </w:rPr>
        <w:t>"</w:t>
      </w:r>
      <w:r w:rsidRPr="006202E5">
        <w:rPr>
          <w:rFonts w:ascii="Times New Roman" w:hAnsi="Times New Roman"/>
          <w:sz w:val="24"/>
          <w:szCs w:val="24"/>
        </w:rPr>
        <w:t>Air Baltic Corporation</w:t>
      </w:r>
      <w:r w:rsidR="00B167ED">
        <w:rPr>
          <w:rFonts w:ascii="Times New Roman" w:hAnsi="Times New Roman"/>
          <w:sz w:val="24"/>
          <w:szCs w:val="24"/>
        </w:rPr>
        <w:t>"</w:t>
      </w:r>
      <w:r w:rsidRPr="006202E5">
        <w:rPr>
          <w:rFonts w:ascii="Times New Roman" w:hAnsi="Times New Roman"/>
          <w:sz w:val="24"/>
          <w:szCs w:val="24"/>
        </w:rPr>
        <w:t xml:space="preserve"> (</w:t>
      </w:r>
      <w:r w:rsidRPr="006202E5">
        <w:rPr>
          <w:rFonts w:ascii="Times New Roman" w:hAnsi="Times New Roman"/>
          <w:i/>
          <w:sz w:val="24"/>
          <w:szCs w:val="24"/>
        </w:rPr>
        <w:t>airBaltic</w:t>
      </w:r>
      <w:r w:rsidRPr="006202E5">
        <w:rPr>
          <w:rFonts w:ascii="Times New Roman" w:hAnsi="Times New Roman"/>
          <w:sz w:val="24"/>
          <w:szCs w:val="24"/>
        </w:rPr>
        <w:t xml:space="preserve">) stabilizēšana un pārņemšana valsts īpašumā, 2012.gada martā prezentēts tās restrukturizācijas plāns, kas nākamo piecu gadu laikā paredz veikt konsolidāciju par 330 milj. </w:t>
      </w:r>
      <w:r w:rsidR="00390D47">
        <w:rPr>
          <w:rFonts w:ascii="Times New Roman" w:hAnsi="Times New Roman"/>
          <w:sz w:val="24"/>
          <w:szCs w:val="24"/>
        </w:rPr>
        <w:t>latu</w:t>
      </w:r>
      <w:r w:rsidRPr="006202E5">
        <w:rPr>
          <w:rFonts w:ascii="Times New Roman" w:hAnsi="Times New Roman"/>
          <w:sz w:val="24"/>
          <w:szCs w:val="24"/>
        </w:rPr>
        <w:t>, lai 2014. gadā kompānija atsāktu pelnīt.</w:t>
      </w:r>
      <w:r w:rsidRPr="006202E5">
        <w:rPr>
          <w:rStyle w:val="Heading1Char"/>
          <w:sz w:val="24"/>
        </w:rPr>
        <w:t xml:space="preserve"> </w:t>
      </w:r>
      <w:r w:rsidRPr="006202E5">
        <w:rPr>
          <w:rFonts w:ascii="Times New Roman" w:hAnsi="Times New Roman"/>
          <w:bCs/>
          <w:sz w:val="24"/>
          <w:szCs w:val="24"/>
        </w:rPr>
        <w:t xml:space="preserve">2012. gada 10. jūlijā </w:t>
      </w:r>
      <w:r w:rsidRPr="006202E5">
        <w:rPr>
          <w:rFonts w:ascii="Times New Roman" w:hAnsi="Times New Roman"/>
          <w:i/>
          <w:sz w:val="24"/>
          <w:szCs w:val="24"/>
        </w:rPr>
        <w:t>Bombardier Aerospace</w:t>
      </w:r>
      <w:r w:rsidRPr="006202E5">
        <w:rPr>
          <w:rFonts w:ascii="Times New Roman" w:hAnsi="Times New Roman"/>
          <w:sz w:val="24"/>
          <w:szCs w:val="24"/>
        </w:rPr>
        <w:t xml:space="preserve"> un Latvijas nacionālā aviokompānija parakstījušas nodomu protokolu par 10 CS300 lidmašīnu iegādi un </w:t>
      </w:r>
      <w:r w:rsidR="00390D47" w:rsidRPr="006202E5">
        <w:rPr>
          <w:rFonts w:ascii="Times New Roman" w:hAnsi="Times New Roman"/>
          <w:sz w:val="24"/>
          <w:szCs w:val="24"/>
        </w:rPr>
        <w:t>vēl desmit CS300 lidmašīn</w:t>
      </w:r>
      <w:r w:rsidR="00390D47">
        <w:rPr>
          <w:rFonts w:ascii="Times New Roman" w:hAnsi="Times New Roman"/>
          <w:sz w:val="24"/>
          <w:szCs w:val="24"/>
        </w:rPr>
        <w:t>u</w:t>
      </w:r>
      <w:r w:rsidR="00390D47" w:rsidRPr="006202E5">
        <w:rPr>
          <w:rFonts w:ascii="Times New Roman" w:hAnsi="Times New Roman"/>
          <w:sz w:val="24"/>
          <w:szCs w:val="24"/>
        </w:rPr>
        <w:t xml:space="preserve"> </w:t>
      </w:r>
      <w:r w:rsidRPr="006202E5">
        <w:rPr>
          <w:rFonts w:ascii="Times New Roman" w:hAnsi="Times New Roman"/>
          <w:sz w:val="24"/>
          <w:szCs w:val="24"/>
        </w:rPr>
        <w:t xml:space="preserve">pirkuma tiesību saņemšanu. </w:t>
      </w:r>
    </w:p>
    <w:p w:rsidR="00871110" w:rsidRPr="006202E5"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ab/>
        <w:t xml:space="preserve">Vienota akcionāra (valsts) pārraudzībā tiek uzlabota starptautiskās lidostas </w:t>
      </w:r>
      <w:r w:rsidR="00B167ED">
        <w:rPr>
          <w:rFonts w:ascii="Times New Roman" w:hAnsi="Times New Roman"/>
          <w:sz w:val="24"/>
          <w:szCs w:val="24"/>
        </w:rPr>
        <w:t>"</w:t>
      </w:r>
      <w:r w:rsidRPr="006202E5">
        <w:rPr>
          <w:rFonts w:ascii="Times New Roman" w:hAnsi="Times New Roman"/>
          <w:sz w:val="24"/>
          <w:szCs w:val="24"/>
        </w:rPr>
        <w:t>Rīga</w:t>
      </w:r>
      <w:r w:rsidR="00B167ED">
        <w:rPr>
          <w:rFonts w:ascii="Times New Roman" w:hAnsi="Times New Roman"/>
          <w:sz w:val="24"/>
          <w:szCs w:val="24"/>
        </w:rPr>
        <w:t>"</w:t>
      </w:r>
      <w:r w:rsidRPr="006202E5">
        <w:rPr>
          <w:rFonts w:ascii="Times New Roman" w:hAnsi="Times New Roman"/>
          <w:sz w:val="24"/>
          <w:szCs w:val="24"/>
        </w:rPr>
        <w:t xml:space="preserve"> un nacionālās aviokompānijas </w:t>
      </w:r>
      <w:r w:rsidRPr="006202E5">
        <w:rPr>
          <w:rFonts w:ascii="Times New Roman" w:hAnsi="Times New Roman"/>
          <w:i/>
          <w:sz w:val="24"/>
          <w:szCs w:val="24"/>
        </w:rPr>
        <w:t>airBaltic</w:t>
      </w:r>
      <w:r w:rsidRPr="006202E5">
        <w:rPr>
          <w:rFonts w:ascii="Times New Roman" w:hAnsi="Times New Roman"/>
          <w:sz w:val="24"/>
          <w:szCs w:val="24"/>
        </w:rPr>
        <w:t xml:space="preserve"> sadarbība, Latvijas un ES likumdošanas ietvaros virzoties uz iespēja</w:t>
      </w:r>
      <w:r w:rsidR="00390D47">
        <w:rPr>
          <w:rFonts w:ascii="Times New Roman" w:hAnsi="Times New Roman"/>
          <w:sz w:val="24"/>
          <w:szCs w:val="24"/>
        </w:rPr>
        <w:t>mi</w:t>
      </w:r>
      <w:r w:rsidRPr="006202E5">
        <w:rPr>
          <w:rFonts w:ascii="Times New Roman" w:hAnsi="Times New Roman"/>
          <w:sz w:val="24"/>
          <w:szCs w:val="24"/>
        </w:rPr>
        <w:t xml:space="preserve"> lielāku savstarpējo darbības sinerģiju starp šiem uzņēmumiem. Ir uzsākts darbs pie lidostas </w:t>
      </w:r>
      <w:r w:rsidR="00B167ED">
        <w:rPr>
          <w:rFonts w:ascii="Times New Roman" w:hAnsi="Times New Roman"/>
          <w:sz w:val="24"/>
          <w:szCs w:val="24"/>
        </w:rPr>
        <w:t>"</w:t>
      </w:r>
      <w:r w:rsidRPr="006202E5">
        <w:rPr>
          <w:rFonts w:ascii="Times New Roman" w:hAnsi="Times New Roman"/>
          <w:sz w:val="24"/>
          <w:szCs w:val="24"/>
        </w:rPr>
        <w:t>Rīga</w:t>
      </w:r>
      <w:r w:rsidR="00B167ED">
        <w:rPr>
          <w:rFonts w:ascii="Times New Roman" w:hAnsi="Times New Roman"/>
          <w:sz w:val="24"/>
          <w:szCs w:val="24"/>
        </w:rPr>
        <w:t>"</w:t>
      </w:r>
      <w:r w:rsidRPr="006202E5">
        <w:rPr>
          <w:rFonts w:ascii="Times New Roman" w:hAnsi="Times New Roman"/>
          <w:sz w:val="24"/>
          <w:szCs w:val="24"/>
        </w:rPr>
        <w:t xml:space="preserve"> 66,95 milj. </w:t>
      </w:r>
      <w:r w:rsidR="00390D47">
        <w:rPr>
          <w:rFonts w:ascii="Times New Roman" w:hAnsi="Times New Roman"/>
          <w:sz w:val="24"/>
          <w:szCs w:val="24"/>
        </w:rPr>
        <w:t>latu</w:t>
      </w:r>
      <w:r w:rsidRPr="006202E5">
        <w:rPr>
          <w:rFonts w:ascii="Times New Roman" w:hAnsi="Times New Roman"/>
          <w:sz w:val="24"/>
          <w:szCs w:val="24"/>
        </w:rPr>
        <w:t xml:space="preserve"> vērtā infrastruktūras attīstības projekta. Tā mērķis ir nodrošināt augošam pārvadājumu apjomam atbilstošu infrastruktūru</w:t>
      </w:r>
      <w:r w:rsidR="00390D47">
        <w:rPr>
          <w:rFonts w:ascii="Times New Roman" w:hAnsi="Times New Roman"/>
          <w:sz w:val="24"/>
          <w:szCs w:val="24"/>
        </w:rPr>
        <w:t>,</w:t>
      </w:r>
      <w:r w:rsidRPr="006202E5">
        <w:rPr>
          <w:rFonts w:ascii="Times New Roman" w:hAnsi="Times New Roman"/>
          <w:sz w:val="24"/>
          <w:szCs w:val="24"/>
        </w:rPr>
        <w:t xml:space="preserve"> un to plānots pabeigt 2015. gadā.</w:t>
      </w:r>
    </w:p>
    <w:p w:rsidR="00871110" w:rsidRPr="006202E5" w:rsidRDefault="00871110" w:rsidP="00871110">
      <w:pPr>
        <w:pStyle w:val="NoSpacing"/>
        <w:spacing w:line="240" w:lineRule="auto"/>
        <w:ind w:firstLine="720"/>
        <w:jc w:val="both"/>
        <w:rPr>
          <w:rFonts w:ascii="Times New Roman" w:hAnsi="Times New Roman"/>
          <w:sz w:val="24"/>
          <w:szCs w:val="24"/>
        </w:rPr>
      </w:pPr>
      <w:r w:rsidRPr="006202E5">
        <w:rPr>
          <w:rFonts w:ascii="Times New Roman" w:hAnsi="Times New Roman"/>
          <w:bCs/>
          <w:sz w:val="24"/>
          <w:szCs w:val="24"/>
        </w:rPr>
        <w:t>Dalībvalstu divu gadu rūpīg</w:t>
      </w:r>
      <w:r w:rsidR="00390D47">
        <w:rPr>
          <w:rFonts w:ascii="Times New Roman" w:hAnsi="Times New Roman"/>
          <w:bCs/>
          <w:sz w:val="24"/>
          <w:szCs w:val="24"/>
        </w:rPr>
        <w:t>ā</w:t>
      </w:r>
      <w:r w:rsidRPr="006202E5">
        <w:rPr>
          <w:rFonts w:ascii="Times New Roman" w:hAnsi="Times New Roman"/>
          <w:bCs/>
          <w:sz w:val="24"/>
          <w:szCs w:val="24"/>
        </w:rPr>
        <w:t xml:space="preserve"> darb</w:t>
      </w:r>
      <w:r w:rsidR="00390D47">
        <w:rPr>
          <w:rFonts w:ascii="Times New Roman" w:hAnsi="Times New Roman"/>
          <w:bCs/>
          <w:sz w:val="24"/>
          <w:szCs w:val="24"/>
        </w:rPr>
        <w:t>ā</w:t>
      </w:r>
      <w:r w:rsidRPr="006202E5">
        <w:rPr>
          <w:rFonts w:ascii="Times New Roman" w:hAnsi="Times New Roman"/>
          <w:bCs/>
          <w:sz w:val="24"/>
          <w:szCs w:val="24"/>
        </w:rPr>
        <w:t xml:space="preserve"> ir sagatavots un noslēgts politikas līmeņa līgums par Ziemeļeiropas funkcionālā gaisa telpas bloka </w:t>
      </w:r>
      <w:r w:rsidRPr="006202E5">
        <w:rPr>
          <w:rFonts w:ascii="Times New Roman" w:hAnsi="Times New Roman"/>
          <w:i/>
          <w:sz w:val="24"/>
          <w:szCs w:val="24"/>
        </w:rPr>
        <w:t>North European Functional Airspace Block</w:t>
      </w:r>
      <w:r w:rsidRPr="006202E5">
        <w:rPr>
          <w:rFonts w:ascii="Times New Roman" w:hAnsi="Times New Roman"/>
          <w:sz w:val="24"/>
          <w:szCs w:val="24"/>
        </w:rPr>
        <w:t xml:space="preserve"> (</w:t>
      </w:r>
      <w:r w:rsidRPr="006202E5">
        <w:rPr>
          <w:rFonts w:ascii="Times New Roman" w:hAnsi="Times New Roman"/>
          <w:bCs/>
          <w:iCs/>
          <w:sz w:val="24"/>
          <w:szCs w:val="24"/>
        </w:rPr>
        <w:t>turpmāk – NEFAB)</w:t>
      </w:r>
      <w:r w:rsidRPr="006202E5">
        <w:rPr>
          <w:rFonts w:ascii="Times New Roman" w:hAnsi="Times New Roman"/>
          <w:bCs/>
          <w:sz w:val="24"/>
          <w:szCs w:val="24"/>
        </w:rPr>
        <w:t xml:space="preserve"> izveidošanu starp Igaunijas Republiku, Somijas Republiku, Latvijas Republiku un Norvēģijas Karalisti, kas nosaka minētā bloka izveides pamatprincipus. Saeima NEFAB līgumu ir ratificējusi 2012.gada 1.novembrī. </w:t>
      </w:r>
      <w:r w:rsidR="00390D47">
        <w:rPr>
          <w:rFonts w:ascii="Times New Roman" w:hAnsi="Times New Roman"/>
          <w:sz w:val="24"/>
          <w:szCs w:val="24"/>
        </w:rPr>
        <w:t>Pēc minētā līguma noslēgšanas</w:t>
      </w:r>
      <w:r w:rsidRPr="006202E5">
        <w:rPr>
          <w:rFonts w:ascii="Times New Roman" w:hAnsi="Times New Roman"/>
          <w:sz w:val="24"/>
          <w:szCs w:val="24"/>
        </w:rPr>
        <w:t xml:space="preserve"> tika par</w:t>
      </w:r>
      <w:r w:rsidR="00390D47">
        <w:rPr>
          <w:rFonts w:ascii="Times New Roman" w:hAnsi="Times New Roman"/>
          <w:sz w:val="24"/>
          <w:szCs w:val="24"/>
        </w:rPr>
        <w:t>akstīti arī divi zemāka līmeņa</w:t>
      </w:r>
      <w:r w:rsidRPr="006202E5">
        <w:rPr>
          <w:rFonts w:ascii="Times New Roman" w:hAnsi="Times New Roman"/>
          <w:sz w:val="24"/>
          <w:szCs w:val="24"/>
        </w:rPr>
        <w:t xml:space="preserve"> nacionālo aeronavigācijas uzraudzības iestāžu un aeronavigācijas pakalpojumu sniedzēju uzņēmumu līgumi. Līdz ar to NEFAB izveides process ir pabeigts</w:t>
      </w:r>
      <w:r w:rsidR="00390D47">
        <w:rPr>
          <w:rFonts w:ascii="Times New Roman" w:hAnsi="Times New Roman"/>
          <w:sz w:val="24"/>
          <w:szCs w:val="24"/>
        </w:rPr>
        <w:t>, un tā ieguvums ir</w:t>
      </w:r>
      <w:r w:rsidRPr="006202E5">
        <w:rPr>
          <w:rFonts w:ascii="Times New Roman" w:hAnsi="Times New Roman"/>
          <w:sz w:val="24"/>
          <w:szCs w:val="24"/>
        </w:rPr>
        <w:t xml:space="preserve"> o</w:t>
      </w:r>
      <w:r w:rsidRPr="006202E5">
        <w:rPr>
          <w:rFonts w:ascii="Times New Roman" w:hAnsi="Times New Roman"/>
          <w:color w:val="000000"/>
          <w:sz w:val="24"/>
          <w:szCs w:val="24"/>
        </w:rPr>
        <w:t xml:space="preserve">ptimizēta gaisa satiksmes vadības sistēma, mazināta Ziemeļeiropas gaisa telpas sadrumstalotība, tiks ieviestas jaunas tehnoloģijas, </w:t>
      </w:r>
      <w:r w:rsidRPr="006202E5">
        <w:rPr>
          <w:rFonts w:ascii="Times New Roman" w:hAnsi="Times New Roman"/>
          <w:sz w:val="24"/>
          <w:szCs w:val="24"/>
        </w:rPr>
        <w:t>palielināts lidojumu drošums.</w:t>
      </w:r>
      <w:r>
        <w:rPr>
          <w:rFonts w:ascii="Times New Roman" w:hAnsi="Times New Roman"/>
          <w:sz w:val="24"/>
          <w:szCs w:val="24"/>
        </w:rPr>
        <w:t xml:space="preserve"> </w:t>
      </w:r>
      <w:r w:rsidRPr="006202E5">
        <w:rPr>
          <w:rFonts w:ascii="Times New Roman" w:hAnsi="Times New Roman"/>
          <w:sz w:val="24"/>
          <w:szCs w:val="24"/>
        </w:rPr>
        <w:t>Jānodrošina pilnīga Latvijas gaisa satiksmes vadības funkcionālā integrācija izveidotajā NEFAB.</w:t>
      </w:r>
    </w:p>
    <w:p w:rsidR="00871110" w:rsidRPr="006202E5" w:rsidRDefault="00871110" w:rsidP="00871110">
      <w:pPr>
        <w:pStyle w:val="Heading3"/>
        <w:rPr>
          <w:rFonts w:eastAsia="Calibri"/>
          <w:szCs w:val="24"/>
        </w:rPr>
      </w:pPr>
      <w:bookmarkStart w:id="105" w:name="_Toc348089311"/>
      <w:bookmarkStart w:id="106" w:name="_Toc348948374"/>
      <w:r w:rsidRPr="006202E5">
        <w:rPr>
          <w:rFonts w:eastAsia="Calibri"/>
          <w:szCs w:val="24"/>
        </w:rPr>
        <w:t>8.6. Jūrniecība</w:t>
      </w:r>
      <w:bookmarkEnd w:id="105"/>
      <w:bookmarkEnd w:id="106"/>
    </w:p>
    <w:p w:rsidR="00871110" w:rsidRPr="006202E5" w:rsidRDefault="00871110" w:rsidP="00871110">
      <w:pPr>
        <w:tabs>
          <w:tab w:val="left" w:pos="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 xml:space="preserve">Lai padarītu efektīvāku starptautisko jūras satiksmi un lai novērstu nevajadzīgu kuģu, personu un īpašuma aizkavēšanos, ir pieņemti noteikumi par ostu formalitātēm, kas </w:t>
      </w:r>
      <w:r w:rsidRPr="006202E5">
        <w:rPr>
          <w:rFonts w:ascii="Times New Roman" w:eastAsia="Calibri" w:hAnsi="Times New Roman"/>
          <w:sz w:val="24"/>
          <w:szCs w:val="24"/>
          <w:lang w:eastAsia="en-US"/>
        </w:rPr>
        <w:lastRenderedPageBreak/>
        <w:t xml:space="preserve">paplašina to formalitāšu loku, kuras iespējams kārtot, izmantojot nacionālo </w:t>
      </w:r>
      <w:r w:rsidRPr="006202E5">
        <w:rPr>
          <w:rFonts w:ascii="Times New Roman" w:eastAsia="Calibri" w:hAnsi="Times New Roman"/>
          <w:i/>
          <w:sz w:val="24"/>
          <w:szCs w:val="24"/>
          <w:lang w:eastAsia="en-US"/>
        </w:rPr>
        <w:t>SafeSeaNet</w:t>
      </w:r>
      <w:r w:rsidRPr="006202E5">
        <w:rPr>
          <w:rFonts w:ascii="Times New Roman" w:eastAsia="Calibri" w:hAnsi="Times New Roman"/>
          <w:sz w:val="24"/>
          <w:szCs w:val="24"/>
          <w:lang w:eastAsia="en-US"/>
        </w:rPr>
        <w:t xml:space="preserve"> sistēmu.  </w:t>
      </w:r>
    </w:p>
    <w:p w:rsidR="00871110" w:rsidRPr="006202E5" w:rsidRDefault="00871110" w:rsidP="00871110">
      <w:pPr>
        <w:tabs>
          <w:tab w:val="left" w:pos="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Lai mazinātu administratīvo slogu kuģu reģistrēšanai Latvijas kuģu reģistrā, kā arī nodrošinātu kuģu pasažieru tiesību aizsardzību saistībā ar ES regulu prasībām</w:t>
      </w:r>
      <w:r w:rsidR="00390D47">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ir izstrādāts likumprojekts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Grozījumi Jūras kodeksā. </w:t>
      </w:r>
    </w:p>
    <w:p w:rsidR="00871110" w:rsidRPr="006202E5" w:rsidRDefault="00871110" w:rsidP="00871110">
      <w:pPr>
        <w:tabs>
          <w:tab w:val="left" w:pos="0"/>
        </w:tabs>
        <w:spacing w:after="0" w:line="240" w:lineRule="auto"/>
        <w:jc w:val="both"/>
        <w:rPr>
          <w:rFonts w:ascii="Times New Roman" w:hAnsi="Times New Roman"/>
          <w:sz w:val="24"/>
          <w:szCs w:val="24"/>
        </w:rPr>
      </w:pPr>
      <w:r w:rsidRPr="006202E5">
        <w:rPr>
          <w:rFonts w:ascii="Times New Roman" w:hAnsi="Times New Roman"/>
          <w:sz w:val="24"/>
          <w:szCs w:val="24"/>
        </w:rPr>
        <w:tab/>
        <w:t xml:space="preserve">2012.gada 1.jūlijā Latvija no Parīzes saprašanās memoranda par ostas valsts kontroli (PMoU) Pelēkā saraksta iekļuva Baltajā sarakstā. Latvijas atrašanās Baltajā sarakstā ir ne tikai valsts, bet arī kuģu īpašnieku interesēs, jo tas ir viens no kritērijiem, lai </w:t>
      </w:r>
      <w:r w:rsidR="00390D47" w:rsidRPr="006202E5">
        <w:rPr>
          <w:rFonts w:ascii="Times New Roman" w:hAnsi="Times New Roman"/>
          <w:sz w:val="24"/>
          <w:szCs w:val="24"/>
        </w:rPr>
        <w:t xml:space="preserve">kuģis </w:t>
      </w:r>
      <w:r w:rsidR="00390D47">
        <w:rPr>
          <w:rFonts w:ascii="Times New Roman" w:hAnsi="Times New Roman"/>
          <w:sz w:val="24"/>
          <w:szCs w:val="24"/>
        </w:rPr>
        <w:t>ar</w:t>
      </w:r>
      <w:r w:rsidRPr="006202E5">
        <w:rPr>
          <w:rFonts w:ascii="Times New Roman" w:hAnsi="Times New Roman"/>
          <w:sz w:val="24"/>
          <w:szCs w:val="24"/>
        </w:rPr>
        <w:t xml:space="preserve"> Latvijas karog</w:t>
      </w:r>
      <w:r w:rsidR="00390D47">
        <w:rPr>
          <w:rFonts w:ascii="Times New Roman" w:hAnsi="Times New Roman"/>
          <w:sz w:val="24"/>
          <w:szCs w:val="24"/>
        </w:rPr>
        <w:t>u</w:t>
      </w:r>
      <w:r w:rsidRPr="006202E5">
        <w:rPr>
          <w:rFonts w:ascii="Times New Roman" w:hAnsi="Times New Roman"/>
          <w:sz w:val="24"/>
          <w:szCs w:val="24"/>
        </w:rPr>
        <w:t xml:space="preserve"> atbilstu zema riska standartam.</w:t>
      </w:r>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 xml:space="preserve">VAS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Latvijas Jūras administrācija</w:t>
      </w:r>
      <w:r w:rsidR="00B167ED">
        <w:rPr>
          <w:rFonts w:ascii="Times New Roman" w:eastAsia="Calibri" w:hAnsi="Times New Roman"/>
          <w:sz w:val="24"/>
          <w:szCs w:val="24"/>
          <w:lang w:eastAsia="en-US"/>
        </w:rPr>
        <w:t>"</w:t>
      </w:r>
      <w:r w:rsidR="00390D47">
        <w:rPr>
          <w:rFonts w:ascii="Times New Roman" w:eastAsia="Calibri" w:hAnsi="Times New Roman"/>
          <w:sz w:val="24"/>
          <w:szCs w:val="24"/>
          <w:lang w:eastAsia="en-US"/>
        </w:rPr>
        <w:t xml:space="preserve"> 2012.</w:t>
      </w:r>
      <w:r w:rsidRPr="006202E5">
        <w:rPr>
          <w:rFonts w:ascii="Times New Roman" w:eastAsia="Calibri" w:hAnsi="Times New Roman"/>
          <w:sz w:val="24"/>
          <w:szCs w:val="24"/>
          <w:lang w:eastAsia="en-US"/>
        </w:rPr>
        <w:t xml:space="preserve">gada nogalē ir ieviesusi jaunu e-pakalpojumu </w:t>
      </w:r>
      <w:r w:rsidR="00B167ED">
        <w:rPr>
          <w:rFonts w:ascii="Times New Roman" w:eastAsia="Calibri" w:hAnsi="Times New Roman"/>
          <w:i/>
          <w:sz w:val="24"/>
          <w:szCs w:val="24"/>
          <w:lang w:eastAsia="en-US"/>
        </w:rPr>
        <w:t>"</w:t>
      </w:r>
      <w:r w:rsidRPr="006202E5">
        <w:rPr>
          <w:rFonts w:ascii="Times New Roman" w:eastAsia="Calibri" w:hAnsi="Times New Roman"/>
          <w:i/>
          <w:sz w:val="24"/>
          <w:szCs w:val="24"/>
          <w:lang w:eastAsia="en-US"/>
        </w:rPr>
        <w:t>Mapshop</w:t>
      </w:r>
      <w:r w:rsidR="00B167ED">
        <w:rPr>
          <w:rFonts w:ascii="Times New Roman" w:eastAsia="Calibri" w:hAnsi="Times New Roman"/>
          <w:i/>
          <w:sz w:val="24"/>
          <w:szCs w:val="24"/>
          <w:lang w:eastAsia="en-US"/>
        </w:rPr>
        <w:t>"</w:t>
      </w:r>
      <w:r w:rsidRPr="006202E5">
        <w:rPr>
          <w:rFonts w:ascii="Times New Roman" w:eastAsia="Calibri" w:hAnsi="Times New Roman"/>
          <w:sz w:val="24"/>
          <w:szCs w:val="24"/>
          <w:lang w:eastAsia="en-US"/>
        </w:rPr>
        <w:t>, kur var iegādāties oficiālās Latvijas jūras navigācijas kartes, kuģa žurnālus un citas publikācijas.</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Lai uzlabotu kuģošanas drošību, jāturpina ieviest nacionālajos tiesību aktos Konvencijas par darbu jūrniecībā (MLC konvencija) un Starptautiskās konvencijas par jūrnieku sagatavošanu un diplomēšanu, kā arī sardzes pildīšanu (</w:t>
      </w:r>
      <w:r w:rsidRPr="00390D47">
        <w:rPr>
          <w:rFonts w:ascii="Times New Roman" w:hAnsi="Times New Roman"/>
          <w:i/>
          <w:sz w:val="24"/>
          <w:szCs w:val="24"/>
        </w:rPr>
        <w:t>STCW</w:t>
      </w:r>
      <w:r w:rsidR="00390D47">
        <w:rPr>
          <w:rFonts w:ascii="Times New Roman" w:hAnsi="Times New Roman"/>
          <w:sz w:val="24"/>
          <w:szCs w:val="24"/>
        </w:rPr>
        <w:t xml:space="preserve"> konvencija) 2010.</w:t>
      </w:r>
      <w:r w:rsidRPr="006202E5">
        <w:rPr>
          <w:rFonts w:ascii="Times New Roman" w:hAnsi="Times New Roman"/>
          <w:sz w:val="24"/>
          <w:szCs w:val="24"/>
        </w:rPr>
        <w:t>gada grozījumu prasības, kopīgi ar darba ņēmēju un darba devēju pārstāvjiem panākot optimālo risinājumu jautājumos, kuros MLC konvencija pieļauj dalībvalsts izvēles brīvību.</w:t>
      </w:r>
    </w:p>
    <w:p w:rsidR="00871110" w:rsidRPr="006202E5" w:rsidRDefault="00871110" w:rsidP="00871110">
      <w:pPr>
        <w:pStyle w:val="Heading3"/>
        <w:rPr>
          <w:rFonts w:eastAsia="Calibri"/>
          <w:szCs w:val="24"/>
          <w:lang w:eastAsia="en-US"/>
        </w:rPr>
      </w:pPr>
      <w:bookmarkStart w:id="107" w:name="_Toc348089312"/>
      <w:bookmarkStart w:id="108" w:name="_Toc348948375"/>
      <w:r w:rsidRPr="006202E5">
        <w:rPr>
          <w:rFonts w:eastAsia="Calibri"/>
          <w:szCs w:val="24"/>
          <w:lang w:eastAsia="en-US"/>
        </w:rPr>
        <w:t>8.7. Sabiedriskais transports</w:t>
      </w:r>
      <w:bookmarkEnd w:id="107"/>
      <w:bookmarkEnd w:id="108"/>
    </w:p>
    <w:p w:rsidR="00871110" w:rsidRDefault="00871110" w:rsidP="00871110">
      <w:pPr>
        <w:spacing w:after="0" w:line="240" w:lineRule="auto"/>
        <w:ind w:firstLine="720"/>
        <w:jc w:val="both"/>
        <w:rPr>
          <w:rFonts w:ascii="Times New Roman" w:hAnsi="Times New Roman"/>
          <w:sz w:val="24"/>
          <w:szCs w:val="24"/>
        </w:rPr>
      </w:pPr>
      <w:r>
        <w:rPr>
          <w:rFonts w:ascii="Times New Roman" w:hAnsi="Times New Roman"/>
          <w:sz w:val="24"/>
          <w:szCs w:val="24"/>
        </w:rPr>
        <w:t>V</w:t>
      </w:r>
      <w:r w:rsidRPr="006202E5">
        <w:rPr>
          <w:rFonts w:ascii="Times New Roman" w:hAnsi="Times New Roman"/>
          <w:sz w:val="24"/>
          <w:szCs w:val="24"/>
        </w:rPr>
        <w:t>eik</w:t>
      </w:r>
      <w:r>
        <w:rPr>
          <w:rFonts w:ascii="Times New Roman" w:hAnsi="Times New Roman"/>
          <w:sz w:val="24"/>
          <w:szCs w:val="24"/>
        </w:rPr>
        <w:t>t</w:t>
      </w:r>
      <w:r w:rsidRPr="006202E5">
        <w:rPr>
          <w:rFonts w:ascii="Times New Roman" w:hAnsi="Times New Roman"/>
          <w:sz w:val="24"/>
          <w:szCs w:val="24"/>
        </w:rPr>
        <w:t>s</w:t>
      </w:r>
      <w:r>
        <w:rPr>
          <w:rFonts w:ascii="Times New Roman" w:hAnsi="Times New Roman"/>
          <w:sz w:val="24"/>
          <w:szCs w:val="24"/>
        </w:rPr>
        <w:t xml:space="preserve"> ievērojams</w:t>
      </w:r>
      <w:r w:rsidRPr="006202E5">
        <w:rPr>
          <w:rFonts w:ascii="Times New Roman" w:hAnsi="Times New Roman"/>
          <w:sz w:val="24"/>
          <w:szCs w:val="24"/>
        </w:rPr>
        <w:t xml:space="preserve"> darb</w:t>
      </w:r>
      <w:r>
        <w:rPr>
          <w:rFonts w:ascii="Times New Roman" w:hAnsi="Times New Roman"/>
          <w:sz w:val="24"/>
          <w:szCs w:val="24"/>
        </w:rPr>
        <w:t>s</w:t>
      </w:r>
      <w:r w:rsidRPr="006202E5">
        <w:rPr>
          <w:rFonts w:ascii="Times New Roman" w:hAnsi="Times New Roman"/>
          <w:sz w:val="24"/>
          <w:szCs w:val="24"/>
        </w:rPr>
        <w:t xml:space="preserve">, lai optimizētu sabiedriskā transporta pakalpojumus – 15.05.2012. </w:t>
      </w:r>
      <w:r w:rsidR="000C5DB0">
        <w:rPr>
          <w:rFonts w:ascii="Times New Roman" w:hAnsi="Times New Roman"/>
          <w:sz w:val="24"/>
          <w:szCs w:val="24"/>
        </w:rPr>
        <w:t>izdoti</w:t>
      </w:r>
      <w:r w:rsidRPr="006202E5">
        <w:rPr>
          <w:rFonts w:ascii="Times New Roman" w:hAnsi="Times New Roman"/>
          <w:sz w:val="24"/>
          <w:szCs w:val="24"/>
        </w:rPr>
        <w:t xml:space="preserve"> Ministru kabineta noteikumi Nr.341 </w:t>
      </w:r>
      <w:r w:rsidR="00B167ED">
        <w:rPr>
          <w:rFonts w:ascii="Times New Roman" w:hAnsi="Times New Roman"/>
          <w:sz w:val="24"/>
          <w:szCs w:val="24"/>
        </w:rPr>
        <w:t>"</w:t>
      </w:r>
      <w:r w:rsidRPr="006202E5">
        <w:rPr>
          <w:rFonts w:ascii="Times New Roman" w:hAnsi="Times New Roman"/>
          <w:sz w:val="24"/>
          <w:szCs w:val="24"/>
        </w:rPr>
        <w:t>Kārtība, kādā nosaka un kompensē ar sabiedrisk</w:t>
      </w:r>
      <w:r w:rsidR="000C5DB0">
        <w:rPr>
          <w:rFonts w:ascii="Times New Roman" w:hAnsi="Times New Roman"/>
          <w:sz w:val="24"/>
          <w:szCs w:val="24"/>
        </w:rPr>
        <w:t>ā</w:t>
      </w:r>
      <w:r w:rsidRPr="006202E5">
        <w:rPr>
          <w:rFonts w:ascii="Times New Roman" w:hAnsi="Times New Roman"/>
          <w:sz w:val="24"/>
          <w:szCs w:val="24"/>
        </w:rPr>
        <w:t xml:space="preserve"> transporta pakalpojumu sniegšanu saistītos zaudējumus un izdevumus un nosaka sabiedriskā transporta pakalpojuma tarifu</w:t>
      </w:r>
      <w:r w:rsidR="00B167ED">
        <w:rPr>
          <w:rFonts w:ascii="Times New Roman" w:hAnsi="Times New Roman"/>
          <w:sz w:val="24"/>
          <w:szCs w:val="24"/>
        </w:rPr>
        <w:t>"</w:t>
      </w:r>
      <w:r w:rsidR="000C5DB0">
        <w:rPr>
          <w:rFonts w:ascii="Times New Roman" w:hAnsi="Times New Roman"/>
          <w:sz w:val="24"/>
          <w:szCs w:val="24"/>
        </w:rPr>
        <w:t xml:space="preserve">. </w:t>
      </w:r>
      <w:r w:rsidRPr="006202E5">
        <w:rPr>
          <w:rFonts w:ascii="Times New Roman" w:hAnsi="Times New Roman"/>
          <w:sz w:val="24"/>
          <w:szCs w:val="24"/>
        </w:rPr>
        <w:t xml:space="preserve">Noteikti izmaksu </w:t>
      </w:r>
      <w:r w:rsidR="00B167ED">
        <w:rPr>
          <w:rFonts w:ascii="Times New Roman" w:hAnsi="Times New Roman"/>
          <w:sz w:val="24"/>
          <w:szCs w:val="24"/>
        </w:rPr>
        <w:t>"</w:t>
      </w:r>
      <w:r w:rsidRPr="006202E5">
        <w:rPr>
          <w:rFonts w:ascii="Times New Roman" w:hAnsi="Times New Roman"/>
          <w:sz w:val="24"/>
          <w:szCs w:val="24"/>
        </w:rPr>
        <w:t>griesti</w:t>
      </w:r>
      <w:r w:rsidR="00B167ED">
        <w:rPr>
          <w:rFonts w:ascii="Times New Roman" w:hAnsi="Times New Roman"/>
          <w:sz w:val="24"/>
          <w:szCs w:val="24"/>
        </w:rPr>
        <w:t>"</w:t>
      </w:r>
      <w:r w:rsidRPr="006202E5">
        <w:rPr>
          <w:rFonts w:ascii="Times New Roman" w:hAnsi="Times New Roman"/>
          <w:sz w:val="24"/>
          <w:szCs w:val="24"/>
        </w:rPr>
        <w:t xml:space="preserve"> pārvadātājiem, lai valstij nebūtu pienākums kompensēt nesamērīgi dārgus pasažieru pārvadājumu pakalpojumus, no 20</w:t>
      </w:r>
      <w:r w:rsidR="00111406">
        <w:rPr>
          <w:rFonts w:ascii="Times New Roman" w:hAnsi="Times New Roman"/>
          <w:sz w:val="24"/>
          <w:szCs w:val="24"/>
        </w:rPr>
        <w:t> %</w:t>
      </w:r>
      <w:r w:rsidRPr="006202E5">
        <w:rPr>
          <w:rFonts w:ascii="Times New Roman" w:hAnsi="Times New Roman"/>
          <w:sz w:val="24"/>
          <w:szCs w:val="24"/>
        </w:rPr>
        <w:t xml:space="preserve"> uz 30</w:t>
      </w:r>
      <w:r w:rsidR="00111406">
        <w:rPr>
          <w:rFonts w:ascii="Times New Roman" w:hAnsi="Times New Roman"/>
          <w:sz w:val="24"/>
          <w:szCs w:val="24"/>
        </w:rPr>
        <w:t> %</w:t>
      </w:r>
      <w:r w:rsidRPr="006202E5">
        <w:rPr>
          <w:rFonts w:ascii="Times New Roman" w:hAnsi="Times New Roman"/>
          <w:sz w:val="24"/>
          <w:szCs w:val="24"/>
        </w:rPr>
        <w:t xml:space="preserve"> paaugstināts slieksnis tiem republikas pilsētas nozīmes maršrutiem, kas iziet ārpus republikas pilsētu administratīvajām robežām, par kuriem zaudējumus sedz no valsts budžeta līdzekļiem, un mainīta dotācijas aprēķināšanas kārtība republikas pilsētu pašvaldībām, tādējādi samazinot nepieciešamo dotāciju kopējo apmēru. </w:t>
      </w:r>
    </w:p>
    <w:p w:rsidR="00871110" w:rsidRDefault="00871110" w:rsidP="00871110">
      <w:pPr>
        <w:spacing w:after="0" w:line="240" w:lineRule="auto"/>
        <w:ind w:firstLine="720"/>
        <w:jc w:val="both"/>
        <w:rPr>
          <w:rFonts w:ascii="Times New Roman" w:hAnsi="Times New Roman"/>
          <w:sz w:val="24"/>
          <w:szCs w:val="24"/>
        </w:rPr>
      </w:pPr>
      <w:r w:rsidRPr="00787FF7">
        <w:rPr>
          <w:rFonts w:ascii="Times New Roman" w:hAnsi="Times New Roman"/>
          <w:sz w:val="24"/>
          <w:szCs w:val="24"/>
        </w:rPr>
        <w:t>2012.gadā turpinājās darbs pie maršrutu tīklu optimizācijas</w:t>
      </w:r>
      <w:r w:rsidR="000C5DB0">
        <w:rPr>
          <w:rFonts w:ascii="Times New Roman" w:hAnsi="Times New Roman"/>
          <w:sz w:val="24"/>
          <w:szCs w:val="24"/>
        </w:rPr>
        <w:t xml:space="preserve">. Ņemot vērā </w:t>
      </w:r>
      <w:r w:rsidR="000C5DB0">
        <w:rPr>
          <w:rFonts w:ascii="Times New Roman" w:hAnsi="Times New Roman"/>
          <w:bCs/>
          <w:sz w:val="24"/>
          <w:szCs w:val="24"/>
        </w:rPr>
        <w:t>2012.</w:t>
      </w:r>
      <w:r w:rsidRPr="00787FF7">
        <w:rPr>
          <w:rFonts w:ascii="Times New Roman" w:hAnsi="Times New Roman"/>
          <w:bCs/>
          <w:sz w:val="24"/>
          <w:szCs w:val="24"/>
        </w:rPr>
        <w:t>gada četru ceturkšņu rezultāt</w:t>
      </w:r>
      <w:r w:rsidR="000C5DB0">
        <w:rPr>
          <w:rFonts w:ascii="Times New Roman" w:hAnsi="Times New Roman"/>
          <w:bCs/>
          <w:sz w:val="24"/>
          <w:szCs w:val="24"/>
        </w:rPr>
        <w:t>us</w:t>
      </w:r>
      <w:r w:rsidRPr="00787FF7">
        <w:rPr>
          <w:rFonts w:ascii="Times New Roman" w:hAnsi="Times New Roman"/>
          <w:bCs/>
          <w:sz w:val="24"/>
          <w:szCs w:val="24"/>
        </w:rPr>
        <w:t>, prognozēts, ka sabiedriskā transporta pakalpojumu sniedzējiem ar autobusiem un pa dzelzceļu reģionālajā starppilsētu n</w:t>
      </w:r>
      <w:r w:rsidR="000C5DB0">
        <w:rPr>
          <w:rFonts w:ascii="Times New Roman" w:hAnsi="Times New Roman"/>
          <w:bCs/>
          <w:sz w:val="24"/>
          <w:szCs w:val="24"/>
        </w:rPr>
        <w:t>ozīmes maršrutu tīklā par 2012.</w:t>
      </w:r>
      <w:r w:rsidRPr="00787FF7">
        <w:rPr>
          <w:rFonts w:ascii="Times New Roman" w:hAnsi="Times New Roman"/>
          <w:bCs/>
          <w:sz w:val="24"/>
          <w:szCs w:val="24"/>
        </w:rPr>
        <w:t>gadu zaudējumi tiks segti pilnā apmērā, bet</w:t>
      </w:r>
      <w:r w:rsidR="000C5DB0">
        <w:rPr>
          <w:rFonts w:ascii="Times New Roman" w:hAnsi="Times New Roman"/>
          <w:bCs/>
          <w:sz w:val="24"/>
          <w:szCs w:val="24"/>
        </w:rPr>
        <w:t xml:space="preserve"> plānošanas reģioniem par 2012.</w:t>
      </w:r>
      <w:r w:rsidRPr="00787FF7">
        <w:rPr>
          <w:rFonts w:ascii="Times New Roman" w:hAnsi="Times New Roman"/>
          <w:bCs/>
          <w:sz w:val="24"/>
          <w:szCs w:val="24"/>
        </w:rPr>
        <w:t xml:space="preserve">gadu prognozēti nesegtie zaudējumi </w:t>
      </w:r>
      <w:r>
        <w:rPr>
          <w:rFonts w:ascii="Times New Roman" w:hAnsi="Times New Roman"/>
          <w:sz w:val="24"/>
          <w:szCs w:val="24"/>
        </w:rPr>
        <w:t xml:space="preserve">985 300 latu apmērā. </w:t>
      </w:r>
      <w:r w:rsidRPr="00787FF7">
        <w:rPr>
          <w:rFonts w:ascii="Times New Roman" w:hAnsi="Times New Roman"/>
          <w:sz w:val="24"/>
          <w:szCs w:val="24"/>
        </w:rPr>
        <w:t>Republikas pilsētu pašvaldībām zaudējumu segšanai maršrutos, kas vairāk nekā 20</w:t>
      </w:r>
      <w:r w:rsidR="00111406">
        <w:rPr>
          <w:rFonts w:ascii="Times New Roman" w:hAnsi="Times New Roman"/>
          <w:sz w:val="24"/>
          <w:szCs w:val="24"/>
        </w:rPr>
        <w:t> %</w:t>
      </w:r>
      <w:r w:rsidRPr="00787FF7">
        <w:rPr>
          <w:rFonts w:ascii="Times New Roman" w:hAnsi="Times New Roman"/>
          <w:sz w:val="24"/>
          <w:szCs w:val="24"/>
        </w:rPr>
        <w:t xml:space="preserve"> no kopējā maršruta garuma iziet ārpus pilsētas administratīvās teritorijas, 2012.gada nogalē no </w:t>
      </w:r>
      <w:r>
        <w:rPr>
          <w:rFonts w:ascii="Times New Roman" w:hAnsi="Times New Roman"/>
          <w:sz w:val="24"/>
          <w:szCs w:val="24"/>
        </w:rPr>
        <w:t>l</w:t>
      </w:r>
      <w:r w:rsidRPr="00787FF7">
        <w:rPr>
          <w:rFonts w:ascii="Times New Roman" w:hAnsi="Times New Roman"/>
          <w:sz w:val="24"/>
          <w:szCs w:val="24"/>
        </w:rPr>
        <w:t xml:space="preserve">īdzekļiem neparedzētiem gadījumiem tika piešķirts papildu valsts budžeta finansējums </w:t>
      </w:r>
      <w:r>
        <w:rPr>
          <w:rFonts w:ascii="Times New Roman" w:hAnsi="Times New Roman"/>
          <w:bCs/>
          <w:sz w:val="24"/>
          <w:szCs w:val="24"/>
        </w:rPr>
        <w:t>505 658 latu apmērā</w:t>
      </w:r>
      <w:r w:rsidRPr="00787FF7">
        <w:rPr>
          <w:rFonts w:ascii="Times New Roman" w:hAnsi="Times New Roman"/>
          <w:bCs/>
          <w:sz w:val="24"/>
          <w:szCs w:val="24"/>
        </w:rPr>
        <w:t>.</w:t>
      </w:r>
      <w:r w:rsidRPr="00F56ACD">
        <w:rPr>
          <w:rFonts w:ascii="Times New Roman" w:hAnsi="Times New Roman"/>
          <w:bCs/>
          <w:sz w:val="24"/>
          <w:szCs w:val="24"/>
        </w:rPr>
        <w:t xml:space="preserve"> </w:t>
      </w:r>
    </w:p>
    <w:p w:rsidR="00871110" w:rsidRPr="00FA2897"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Izstrādāti grozījumi Sabiedriskā transporta pakalpojumu likumā</w:t>
      </w:r>
      <w:r w:rsidR="000C5DB0">
        <w:rPr>
          <w:rFonts w:ascii="Times New Roman" w:hAnsi="Times New Roman"/>
          <w:sz w:val="24"/>
          <w:szCs w:val="24"/>
        </w:rPr>
        <w:t>,</w:t>
      </w:r>
      <w:r w:rsidRPr="006202E5">
        <w:rPr>
          <w:rFonts w:ascii="Times New Roman" w:hAnsi="Times New Roman"/>
          <w:sz w:val="24"/>
          <w:szCs w:val="24"/>
        </w:rPr>
        <w:t xml:space="preserve"> paredz</w:t>
      </w:r>
      <w:r w:rsidR="000C5DB0">
        <w:rPr>
          <w:rFonts w:ascii="Times New Roman" w:hAnsi="Times New Roman"/>
          <w:sz w:val="24"/>
          <w:szCs w:val="24"/>
        </w:rPr>
        <w:t>ot</w:t>
      </w:r>
      <w:r w:rsidRPr="006202E5">
        <w:rPr>
          <w:rFonts w:ascii="Times New Roman" w:hAnsi="Times New Roman"/>
          <w:sz w:val="24"/>
          <w:szCs w:val="24"/>
        </w:rPr>
        <w:t xml:space="preserve"> izveidot vienotu sabiedriskā transporta plānoš</w:t>
      </w:r>
      <w:r w:rsidR="000C5DB0">
        <w:rPr>
          <w:rFonts w:ascii="Times New Roman" w:hAnsi="Times New Roman"/>
          <w:sz w:val="24"/>
          <w:szCs w:val="24"/>
        </w:rPr>
        <w:t>anas institūciju. Valdība 2012.</w:t>
      </w:r>
      <w:r w:rsidRPr="006202E5">
        <w:rPr>
          <w:rFonts w:ascii="Times New Roman" w:hAnsi="Times New Roman"/>
          <w:sz w:val="24"/>
          <w:szCs w:val="24"/>
        </w:rPr>
        <w:t>gadā piešķīrusi finansējumu sabiedriskā transporta pakalp</w:t>
      </w:r>
      <w:r>
        <w:rPr>
          <w:rFonts w:ascii="Times New Roman" w:hAnsi="Times New Roman"/>
          <w:sz w:val="24"/>
          <w:szCs w:val="24"/>
        </w:rPr>
        <w:t>ojumu sniedzējiem 54,22 milj. latu</w:t>
      </w:r>
      <w:r w:rsidRPr="006202E5">
        <w:rPr>
          <w:rFonts w:ascii="Times New Roman" w:hAnsi="Times New Roman"/>
          <w:sz w:val="24"/>
          <w:szCs w:val="24"/>
        </w:rPr>
        <w:t xml:space="preserve"> apmē</w:t>
      </w:r>
      <w:r w:rsidR="000C5DB0">
        <w:rPr>
          <w:rFonts w:ascii="Times New Roman" w:hAnsi="Times New Roman"/>
          <w:sz w:val="24"/>
          <w:szCs w:val="24"/>
        </w:rPr>
        <w:t>rā (t.sk. ar  grozījumiem 2012.</w:t>
      </w:r>
      <w:r w:rsidRPr="006202E5">
        <w:rPr>
          <w:rFonts w:ascii="Times New Roman" w:hAnsi="Times New Roman"/>
          <w:sz w:val="24"/>
          <w:szCs w:val="24"/>
        </w:rPr>
        <w:t xml:space="preserve">gada budžetā </w:t>
      </w:r>
      <w:r>
        <w:rPr>
          <w:rFonts w:ascii="Times New Roman" w:hAnsi="Times New Roman"/>
          <w:sz w:val="24"/>
          <w:szCs w:val="24"/>
        </w:rPr>
        <w:t>papildus piešķirti 6,03 milj. latu</w:t>
      </w:r>
      <w:r w:rsidRPr="006202E5">
        <w:rPr>
          <w:rFonts w:ascii="Times New Roman" w:hAnsi="Times New Roman"/>
          <w:sz w:val="24"/>
          <w:szCs w:val="24"/>
        </w:rPr>
        <w:t>).</w:t>
      </w:r>
    </w:p>
    <w:p w:rsidR="00871110" w:rsidRPr="006202E5" w:rsidRDefault="00871110" w:rsidP="00871110">
      <w:pPr>
        <w:pStyle w:val="naisf"/>
        <w:spacing w:before="0" w:after="0"/>
        <w:ind w:firstLine="720"/>
      </w:pPr>
      <w:r w:rsidRPr="006202E5">
        <w:t xml:space="preserve">Ir izstrādāti grozījumi Sabiedriskā transporta pakalpojumu likumā, papildinot Valsts SIA </w:t>
      </w:r>
      <w:r w:rsidR="00B167ED">
        <w:t>"</w:t>
      </w:r>
      <w:r w:rsidRPr="006202E5">
        <w:t>Autotransporta direkcija</w:t>
      </w:r>
      <w:r w:rsidR="00B167ED">
        <w:t>"</w:t>
      </w:r>
      <w:r w:rsidRPr="006202E5">
        <w:t xml:space="preserve"> kompetenci ar funkciju, kas saistīta ar autoostu reģistrāciju un pārreģistrāciju, autoostu uzraudzību un kontroli. Likumprojektā ir iestrādāts deleģējums Ministru kabinetam noteikt no valsts budžeta autoostu darbības </w:t>
      </w:r>
      <w:r w:rsidRPr="006202E5">
        <w:lastRenderedPageBreak/>
        <w:t>nodrošināšanai iedalīto finanšu līdzekļu administrēšanas, sadales un piešķiršanas kārtību, kā arī kārtību, kādā nosaka, aprēķina un autoostām kompensē ar reģionālo starppilsētu nozīmes un reģionālo vietējās nozīmes maršrutu autobusu iebraukšanu autoostā saistītos izdevumus un piešķir pašvaldībām finansējumu no valsts budžeta attiecīgo autoostu izdevumu segšanai, kā arī kontrolē šo līdzekļu izmantošanas tiesiskumu un pareizību</w:t>
      </w:r>
      <w:r w:rsidR="000C5DB0">
        <w:t>,</w:t>
      </w:r>
      <w:r w:rsidRPr="006202E5">
        <w:t xml:space="preserve"> un autoostu darbības uzraudzības un kontroles kārtību. Ministru kabineta noteikumi noteiks autoostu iedalījumu kategorijās un noteiks obligāti sniedzamo minimālo pakalpojumu grozu.</w:t>
      </w:r>
    </w:p>
    <w:p w:rsidR="00871110" w:rsidRPr="006202E5" w:rsidRDefault="00871110" w:rsidP="00871110">
      <w:pPr>
        <w:spacing w:after="0" w:line="240" w:lineRule="auto"/>
        <w:ind w:firstLine="720"/>
        <w:jc w:val="both"/>
        <w:rPr>
          <w:rFonts w:ascii="Times New Roman" w:hAnsi="Times New Roman"/>
          <w:b/>
          <w:bCs/>
          <w:sz w:val="24"/>
          <w:szCs w:val="24"/>
        </w:rPr>
      </w:pPr>
      <w:r w:rsidRPr="006202E5">
        <w:rPr>
          <w:rFonts w:ascii="Times New Roman" w:hAnsi="Times New Roman"/>
          <w:sz w:val="24"/>
          <w:szCs w:val="24"/>
        </w:rPr>
        <w:t xml:space="preserve">Valsts SIA </w:t>
      </w:r>
      <w:r w:rsidR="00B167ED">
        <w:rPr>
          <w:rFonts w:ascii="Times New Roman" w:hAnsi="Times New Roman"/>
          <w:sz w:val="24"/>
          <w:szCs w:val="24"/>
        </w:rPr>
        <w:t>"</w:t>
      </w:r>
      <w:r w:rsidRPr="006202E5">
        <w:rPr>
          <w:rFonts w:ascii="Times New Roman" w:hAnsi="Times New Roman"/>
          <w:sz w:val="24"/>
          <w:szCs w:val="24"/>
        </w:rPr>
        <w:t>Autotransporta direkcija</w:t>
      </w:r>
      <w:r w:rsidR="00B167ED">
        <w:rPr>
          <w:rFonts w:ascii="Times New Roman" w:hAnsi="Times New Roman"/>
          <w:sz w:val="24"/>
          <w:szCs w:val="24"/>
        </w:rPr>
        <w:t>"</w:t>
      </w:r>
      <w:r w:rsidRPr="006202E5">
        <w:rPr>
          <w:rFonts w:ascii="Times New Roman" w:hAnsi="Times New Roman"/>
          <w:sz w:val="24"/>
          <w:szCs w:val="24"/>
        </w:rPr>
        <w:t xml:space="preserve">, izvērtējot esošo situāciju un iespējamos Vienotās sabiedriskā transporta biļešu tirdzniecības sistēmas (VBTS) attīstības risinājumus, ir izstrādājusi VBTS </w:t>
      </w:r>
      <w:r w:rsidR="000C5DB0">
        <w:rPr>
          <w:rFonts w:ascii="Times New Roman" w:hAnsi="Times New Roman"/>
          <w:sz w:val="24"/>
          <w:szCs w:val="24"/>
        </w:rPr>
        <w:t xml:space="preserve">turpmākās </w:t>
      </w:r>
      <w:r w:rsidRPr="006202E5">
        <w:rPr>
          <w:rFonts w:ascii="Times New Roman" w:hAnsi="Times New Roman"/>
          <w:sz w:val="24"/>
          <w:szCs w:val="24"/>
        </w:rPr>
        <w:t>attīstības modeli, kas paredz jaunas sistēmas izveidi. Jaunās sistēmas iepirkuma tehniskās specifikācijas sagatavošanai ir piesaistīti eksperti. Pamatojoties uz ekspertu atzinumiem</w:t>
      </w:r>
      <w:r w:rsidR="000C5DB0">
        <w:rPr>
          <w:rFonts w:ascii="Times New Roman" w:hAnsi="Times New Roman"/>
          <w:sz w:val="24"/>
          <w:szCs w:val="24"/>
        </w:rPr>
        <w:t>,</w:t>
      </w:r>
      <w:r w:rsidRPr="006202E5">
        <w:rPr>
          <w:rFonts w:ascii="Times New Roman" w:hAnsi="Times New Roman"/>
          <w:sz w:val="24"/>
          <w:szCs w:val="24"/>
        </w:rPr>
        <w:t xml:space="preserve"> būs iespējams izstrādāt grozījumus VBTS darbību regulējošajos normatīvajos aktos, kā arī veikt attiecīgu iepirkumu jaunās sistēmas izveidei un uzturēšanai.</w:t>
      </w:r>
    </w:p>
    <w:p w:rsidR="00871110" w:rsidRPr="006202E5" w:rsidRDefault="00871110" w:rsidP="00871110">
      <w:pPr>
        <w:tabs>
          <w:tab w:val="left" w:pos="0"/>
        </w:tabs>
        <w:spacing w:after="0" w:line="240" w:lineRule="auto"/>
        <w:ind w:right="57"/>
        <w:jc w:val="both"/>
        <w:rPr>
          <w:rFonts w:ascii="Times New Roman" w:hAnsi="Times New Roman"/>
          <w:bCs/>
          <w:sz w:val="24"/>
          <w:szCs w:val="24"/>
        </w:rPr>
      </w:pPr>
      <w:r w:rsidRPr="006202E5">
        <w:rPr>
          <w:rFonts w:ascii="Times New Roman" w:hAnsi="Times New Roman"/>
          <w:sz w:val="24"/>
          <w:szCs w:val="24"/>
        </w:rPr>
        <w:tab/>
        <w:t>2012.gadā noslēgti būvdarbu līgumi ES fondu līdzfinansēto Daugavpils un Liepājas pilsēt</w:t>
      </w:r>
      <w:r w:rsidR="000C5DB0">
        <w:rPr>
          <w:rFonts w:ascii="Times New Roman" w:hAnsi="Times New Roman"/>
          <w:sz w:val="24"/>
          <w:szCs w:val="24"/>
        </w:rPr>
        <w:t>as</w:t>
      </w:r>
      <w:r w:rsidRPr="006202E5">
        <w:rPr>
          <w:rFonts w:ascii="Times New Roman" w:hAnsi="Times New Roman"/>
          <w:sz w:val="24"/>
          <w:szCs w:val="24"/>
        </w:rPr>
        <w:t xml:space="preserve"> tramvaju transporta infrastruktūras rekonstrukcijas projektu ietvaros.</w:t>
      </w:r>
    </w:p>
    <w:p w:rsidR="00871110" w:rsidRPr="006202E5" w:rsidRDefault="00871110" w:rsidP="00871110">
      <w:pPr>
        <w:pStyle w:val="Heading3"/>
        <w:rPr>
          <w:rFonts w:eastAsia="Calibri"/>
          <w:szCs w:val="24"/>
          <w:lang w:eastAsia="en-US"/>
        </w:rPr>
      </w:pPr>
      <w:bookmarkStart w:id="109" w:name="_Toc348089313"/>
      <w:bookmarkStart w:id="110" w:name="_Toc348948376"/>
      <w:r w:rsidRPr="006202E5">
        <w:rPr>
          <w:rFonts w:eastAsia="Calibri"/>
          <w:szCs w:val="24"/>
          <w:lang w:eastAsia="en-US"/>
        </w:rPr>
        <w:t>8.8. Sakaru tehnoloģiju attīstība un IT drošība</w:t>
      </w:r>
      <w:bookmarkEnd w:id="109"/>
      <w:bookmarkEnd w:id="110"/>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ab/>
        <w:t>2012. gada 5.</w:t>
      </w:r>
      <w:r w:rsidRPr="006202E5">
        <w:rPr>
          <w:rFonts w:ascii="Times New Roman" w:eastAsia="Calibri" w:hAnsi="Times New Roman"/>
          <w:sz w:val="24"/>
          <w:szCs w:val="24"/>
          <w:lang w:eastAsia="en-US"/>
        </w:rPr>
        <w:t xml:space="preserve">aprīlī SM apstiprināja VAS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Latvijas Valsts radio un televīzijas centrs</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iesniegto projektu 3.2.2.3.aktivitātes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Elektronisko sakaru pakalpojumu vienlīdzīgas pieejamības nodrošināšana visā valsts teritorijā (platjoslas tīkla attīstība)</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ierobežotas projektu iesniegumu atlases ietvaros. Pasākuma publiska</w:t>
      </w:r>
      <w:r>
        <w:rPr>
          <w:rFonts w:ascii="Times New Roman" w:eastAsia="Calibri" w:hAnsi="Times New Roman"/>
          <w:sz w:val="24"/>
          <w:szCs w:val="24"/>
          <w:lang w:eastAsia="en-US"/>
        </w:rPr>
        <w:t>is finansējums ir 18,6 milj. latu</w:t>
      </w:r>
      <w:r w:rsidR="000C5DB0">
        <w:rPr>
          <w:rFonts w:ascii="Times New Roman" w:eastAsia="Calibri" w:hAnsi="Times New Roman"/>
          <w:sz w:val="24"/>
          <w:szCs w:val="24"/>
          <w:lang w:eastAsia="en-US"/>
        </w:rPr>
        <w:t>, t.sk.</w:t>
      </w:r>
      <w:r w:rsidRPr="006202E5">
        <w:rPr>
          <w:rFonts w:ascii="Times New Roman" w:eastAsia="Calibri" w:hAnsi="Times New Roman"/>
          <w:sz w:val="24"/>
          <w:szCs w:val="24"/>
          <w:lang w:eastAsia="en-US"/>
        </w:rPr>
        <w:t xml:space="preserve"> ES fo</w:t>
      </w:r>
      <w:r>
        <w:rPr>
          <w:rFonts w:ascii="Times New Roman" w:eastAsia="Calibri" w:hAnsi="Times New Roman"/>
          <w:sz w:val="24"/>
          <w:szCs w:val="24"/>
          <w:lang w:eastAsia="en-US"/>
        </w:rPr>
        <w:t>ndu finansējums – 16,2 milj. latu</w:t>
      </w:r>
      <w:r w:rsidRPr="006202E5">
        <w:rPr>
          <w:rFonts w:ascii="Times New Roman" w:eastAsia="Calibri" w:hAnsi="Times New Roman"/>
          <w:sz w:val="24"/>
          <w:szCs w:val="24"/>
          <w:lang w:eastAsia="en-US"/>
        </w:rPr>
        <w:t>. Projektu realizējot, izveidos optiskā tīkla piekļuves punktus turpmākai interneta piekļuves tīklu attīstībai Latvijas teritorijās, kurās neviens elektronisko sakaru komersants nesniedz un tuvāko triju gadu laikā neplāno sniegt interneta piekļuves pakalpojumus iedzīvotājiem ar uzlabotiem datu pārraides parame</w:t>
      </w:r>
      <w:r w:rsidR="000C5DB0">
        <w:rPr>
          <w:rFonts w:ascii="Times New Roman" w:eastAsia="Calibri" w:hAnsi="Times New Roman"/>
          <w:sz w:val="24"/>
          <w:szCs w:val="24"/>
          <w:lang w:eastAsia="en-US"/>
        </w:rPr>
        <w:t>triem (vismaz 30 Mbit/s). 2012.</w:t>
      </w:r>
      <w:r w:rsidRPr="006202E5">
        <w:rPr>
          <w:rFonts w:ascii="Times New Roman" w:eastAsia="Calibri" w:hAnsi="Times New Roman"/>
          <w:sz w:val="24"/>
          <w:szCs w:val="24"/>
          <w:lang w:eastAsia="en-US"/>
        </w:rPr>
        <w:t xml:space="preserve">gada 18.jūlijā SM izveidotā Optiskā tīkla uzraudzības komiteja ir apstiprinājusi 169 optiskās piekļuves punktus, kuri tiks izveidoti projekta 1.kārtā. Šobrīd ir noslēgusies iepirkuma procedūra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Optiskā tīkla infrastruktūras projektēšanas un būvniecības darbi Latgales plānošanas reģionā</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Plānots, ka 2013.gada 1.ceturksnī  tiks uzsākti projektēšanas darbi, būvniecība sāksies 2.ceturksnī.</w:t>
      </w:r>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Lai nodrošinātu iespēju vēlēšanās balsot elektroniski, ir izstrādāta koncepcija par interneta vēlēšanu sistēmas izveidi. Koncepcijas projekts pēc izskatīšanas Ministru kabineta sēdē ir papildināts ar informāciju par to valstu praksi, kurās jau ir ieviesta interneta vēlēšanu sistēma (Igaunijā, Šveicē), kā arī iekļauts detalizēts vēlēšanu sistēmas pilotprojekta apraksts. Pilotprojekta uzdevums ir rast risinājumus, lai nodrošinātu interneta vēlēšanu sistēmas pieejamību, balsojuma datu integritāti, aizklātumu, kā arī veikt risku analīzi ar mērķi minimizēt iespējamos riskus interneta vēlēšanu sistēmas īstenošanā. Pilotprojektu paredzēts īstenot 2013.gadā un tā laikā tiks izstrādāta interneta vēlēšanu sistēmai nepieciešamā programmatūras prasību specifikācija ar riska analīzi un programmatūras projektējuma apraksts ar padziļinātu riska analīzi.</w:t>
      </w:r>
    </w:p>
    <w:p w:rsidR="00871110" w:rsidRPr="006202E5" w:rsidRDefault="00871110" w:rsidP="00871110">
      <w:pPr>
        <w:tabs>
          <w:tab w:val="left" w:pos="0"/>
          <w:tab w:val="left" w:pos="900"/>
        </w:tabs>
        <w:spacing w:after="0" w:line="240" w:lineRule="auto"/>
        <w:jc w:val="both"/>
        <w:rPr>
          <w:rFonts w:ascii="Times New Roman" w:hAnsi="Times New Roman"/>
          <w:bCs/>
          <w:sz w:val="24"/>
          <w:szCs w:val="24"/>
        </w:rPr>
      </w:pPr>
      <w:r w:rsidRPr="006202E5">
        <w:rPr>
          <w:rFonts w:ascii="Times New Roman" w:eastAsia="Calibri" w:hAnsi="Times New Roman"/>
          <w:sz w:val="24"/>
          <w:szCs w:val="24"/>
          <w:lang w:eastAsia="en-US"/>
        </w:rPr>
        <w:tab/>
        <w:t>Līdz ar fina</w:t>
      </w:r>
      <w:r w:rsidR="000C5DB0">
        <w:rPr>
          <w:rFonts w:ascii="Times New Roman" w:eastAsia="Calibri" w:hAnsi="Times New Roman"/>
          <w:sz w:val="24"/>
          <w:szCs w:val="24"/>
          <w:lang w:eastAsia="en-US"/>
        </w:rPr>
        <w:t>nsējuma palielināšanu no 2012.gada 1.</w:t>
      </w:r>
      <w:r w:rsidRPr="006202E5">
        <w:rPr>
          <w:rFonts w:ascii="Times New Roman" w:eastAsia="Calibri" w:hAnsi="Times New Roman"/>
          <w:sz w:val="24"/>
          <w:szCs w:val="24"/>
          <w:lang w:eastAsia="en-US"/>
        </w:rPr>
        <w:t xml:space="preserve">marta ir palielināta Informācijas tehnoloģiju drošības incidentu novēršanas institūcijas (CERT.LV) veiktspēja, pieņemot darbā jaunus nodarbinātos, kā arī palielinot slodzi līdzšinējiem darbiniekiem. Tāpat ir veikta tehniskā nodrošinājuma uzlabošana. Attiecīgi ir būtiski palielinātas spējas reaģēt uz informācijas tehnoloģiju drošības incidentiem, kā arī veikta </w:t>
      </w:r>
      <w:r w:rsidRPr="006202E5">
        <w:rPr>
          <w:rFonts w:ascii="Times New Roman" w:eastAsia="Calibri" w:hAnsi="Times New Roman"/>
          <w:sz w:val="24"/>
          <w:szCs w:val="24"/>
          <w:lang w:eastAsia="en-US"/>
        </w:rPr>
        <w:lastRenderedPageBreak/>
        <w:t>dažādu būtisku incidentu novēršana. Jāatzīmē, ka i</w:t>
      </w:r>
      <w:r w:rsidRPr="006202E5">
        <w:rPr>
          <w:rFonts w:ascii="Times New Roman" w:hAnsi="Times New Roman"/>
          <w:bCs/>
          <w:sz w:val="24"/>
          <w:szCs w:val="24"/>
        </w:rPr>
        <w:t xml:space="preserve">k dienu tiek reģistrēts ievērojams skaits IT drošības incidentu – sākot no vairākiem augstas nozīmības incidentiem un vairākiem simtiem zemas nozīmības incidentiem, un tie vienlīdz skar ne tikai valsts un pašvaldību institūcijas, bet arī komersantus un fiziskas personas. </w:t>
      </w:r>
      <w:r w:rsidR="000C5DB0">
        <w:rPr>
          <w:rFonts w:ascii="Times New Roman" w:hAnsi="Times New Roman"/>
          <w:bCs/>
          <w:sz w:val="24"/>
          <w:szCs w:val="24"/>
        </w:rPr>
        <w:t>N</w:t>
      </w:r>
      <w:r w:rsidRPr="006202E5">
        <w:rPr>
          <w:rFonts w:ascii="Times New Roman" w:eastAsia="Calibri" w:hAnsi="Times New Roman"/>
          <w:sz w:val="24"/>
          <w:szCs w:val="24"/>
          <w:lang w:eastAsia="en-US"/>
        </w:rPr>
        <w:t>o 2013.gada 1.janvāra CERT.LV ir nodota AM pakļautībā.</w:t>
      </w:r>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 xml:space="preserve">SM 2012.gadā izstrādāja pamatnostādņu projektu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Latvijas Informācijas tehnoloģiju drošības stratēģija 2013.</w:t>
      </w:r>
      <w:r w:rsidR="000C5DB0">
        <w:rPr>
          <w:rFonts w:ascii="Times New Roman" w:eastAsia="Calibri" w:hAnsi="Times New Roman"/>
          <w:sz w:val="24"/>
          <w:szCs w:val="24"/>
          <w:lang w:eastAsia="en-US"/>
        </w:rPr>
        <w:t>–</w:t>
      </w:r>
      <w:r w:rsidRPr="006202E5">
        <w:rPr>
          <w:rFonts w:ascii="Times New Roman" w:eastAsia="Calibri" w:hAnsi="Times New Roman"/>
          <w:sz w:val="24"/>
          <w:szCs w:val="24"/>
          <w:lang w:eastAsia="en-US"/>
        </w:rPr>
        <w:t>2018.gadam</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organizēja 4.Baltijas valstu IT drošības politiku koordinācijas sanāksmi Rīgā 2012.gada maijā, nodrošināja saprašanās memoranda </w:t>
      </w:r>
      <w:r w:rsidR="000C5DB0" w:rsidRPr="006202E5">
        <w:rPr>
          <w:rFonts w:ascii="Times New Roman" w:eastAsia="Calibri" w:hAnsi="Times New Roman"/>
          <w:sz w:val="24"/>
          <w:szCs w:val="24"/>
          <w:lang w:eastAsia="en-US"/>
        </w:rPr>
        <w:t xml:space="preserve">noslēgšanu </w:t>
      </w:r>
      <w:r w:rsidRPr="006202E5">
        <w:rPr>
          <w:rFonts w:ascii="Times New Roman" w:eastAsia="Calibri" w:hAnsi="Times New Roman"/>
          <w:sz w:val="24"/>
          <w:szCs w:val="24"/>
          <w:lang w:eastAsia="en-US"/>
        </w:rPr>
        <w:t xml:space="preserve">par sadarbību </w:t>
      </w:r>
      <w:r w:rsidR="000C5DB0" w:rsidRPr="006202E5">
        <w:rPr>
          <w:rFonts w:ascii="Times New Roman" w:eastAsia="Calibri" w:hAnsi="Times New Roman"/>
          <w:sz w:val="24"/>
          <w:szCs w:val="24"/>
          <w:lang w:eastAsia="en-US"/>
        </w:rPr>
        <w:t xml:space="preserve">ar NATO </w:t>
      </w:r>
      <w:r w:rsidRPr="006202E5">
        <w:rPr>
          <w:rFonts w:ascii="Times New Roman" w:eastAsia="Calibri" w:hAnsi="Times New Roman"/>
          <w:sz w:val="24"/>
          <w:szCs w:val="24"/>
          <w:lang w:eastAsia="en-US"/>
        </w:rPr>
        <w:t>IT aizsardzībā, pastāvīgi nodrošināja Nacionālās IT drošības padomes vadību.</w:t>
      </w:r>
    </w:p>
    <w:p w:rsidR="00871110" w:rsidRPr="006202E5" w:rsidRDefault="00871110" w:rsidP="00871110">
      <w:pPr>
        <w:tabs>
          <w:tab w:val="left" w:pos="0"/>
          <w:tab w:val="left" w:pos="900"/>
        </w:tabs>
        <w:spacing w:after="0" w:line="240" w:lineRule="auto"/>
        <w:jc w:val="both"/>
        <w:rPr>
          <w:rFonts w:ascii="Times New Roman" w:eastAsia="Calibri" w:hAnsi="Times New Roman"/>
          <w:sz w:val="24"/>
          <w:szCs w:val="24"/>
          <w:lang w:eastAsia="en-US"/>
        </w:rPr>
      </w:pPr>
      <w:r w:rsidRPr="006202E5">
        <w:rPr>
          <w:rFonts w:ascii="Times New Roman" w:eastAsia="Calibri" w:hAnsi="Times New Roman"/>
          <w:sz w:val="24"/>
          <w:szCs w:val="24"/>
          <w:lang w:eastAsia="en-US"/>
        </w:rPr>
        <w:tab/>
        <w:t>2013.gadā SM plāno rīkot 7.Baltijas valstu IT drošības politiku koordinācijas sanāksmi, turpināt darbu</w:t>
      </w:r>
      <w:r w:rsidR="000C5DB0">
        <w:rPr>
          <w:rFonts w:ascii="Times New Roman" w:eastAsia="Calibri" w:hAnsi="Times New Roman"/>
          <w:sz w:val="24"/>
          <w:szCs w:val="24"/>
          <w:lang w:eastAsia="en-US"/>
        </w:rPr>
        <w:t>, izstrādājot</w:t>
      </w:r>
      <w:r w:rsidRPr="006202E5">
        <w:rPr>
          <w:rFonts w:ascii="Times New Roman" w:eastAsia="Calibri" w:hAnsi="Times New Roman"/>
          <w:sz w:val="24"/>
          <w:szCs w:val="24"/>
          <w:lang w:eastAsia="en-US"/>
        </w:rPr>
        <w:t xml:space="preserve"> saprašanās memorand</w:t>
      </w:r>
      <w:r w:rsidR="00C33CBB">
        <w:rPr>
          <w:rFonts w:ascii="Times New Roman" w:eastAsia="Calibri" w:hAnsi="Times New Roman"/>
          <w:sz w:val="24"/>
          <w:szCs w:val="24"/>
          <w:lang w:eastAsia="en-US"/>
        </w:rPr>
        <w:t>u</w:t>
      </w:r>
      <w:r w:rsidRPr="006202E5">
        <w:rPr>
          <w:rFonts w:ascii="Times New Roman" w:eastAsia="Calibri" w:hAnsi="Times New Roman"/>
          <w:sz w:val="24"/>
          <w:szCs w:val="24"/>
          <w:lang w:eastAsia="en-US"/>
        </w:rPr>
        <w:t xml:space="preserve"> ar Lietuvu un Igauniju IT drošībā, Nacionālās IT drošības padomes darbībā plašāk iesaistīt nevalstiskās organizācijas, kā arī uzsākt pamatnostādņu </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Latvijas Informācijas tehnoloģiju drošības stratēģija 2013.</w:t>
      </w:r>
      <w:r w:rsidR="00C33CBB">
        <w:rPr>
          <w:rFonts w:ascii="Times New Roman" w:eastAsia="Calibri" w:hAnsi="Times New Roman"/>
          <w:sz w:val="24"/>
          <w:szCs w:val="24"/>
          <w:lang w:eastAsia="en-US"/>
        </w:rPr>
        <w:t>–</w:t>
      </w:r>
      <w:r w:rsidRPr="006202E5">
        <w:rPr>
          <w:rFonts w:ascii="Times New Roman" w:eastAsia="Calibri" w:hAnsi="Times New Roman"/>
          <w:sz w:val="24"/>
          <w:szCs w:val="24"/>
          <w:lang w:eastAsia="en-US"/>
        </w:rPr>
        <w:t>2018.gadam</w:t>
      </w:r>
      <w:r w:rsidR="00B167ED">
        <w:rPr>
          <w:rFonts w:ascii="Times New Roman" w:eastAsia="Calibri" w:hAnsi="Times New Roman"/>
          <w:sz w:val="24"/>
          <w:szCs w:val="24"/>
          <w:lang w:eastAsia="en-US"/>
        </w:rPr>
        <w:t>"</w:t>
      </w:r>
      <w:r w:rsidRPr="006202E5">
        <w:rPr>
          <w:rFonts w:ascii="Times New Roman" w:eastAsia="Calibri" w:hAnsi="Times New Roman"/>
          <w:sz w:val="24"/>
          <w:szCs w:val="24"/>
          <w:lang w:eastAsia="en-US"/>
        </w:rPr>
        <w:t xml:space="preserve"> izpild</w:t>
      </w:r>
      <w:r w:rsidR="00C33CBB">
        <w:rPr>
          <w:rFonts w:ascii="Times New Roman" w:eastAsia="Calibri" w:hAnsi="Times New Roman"/>
          <w:sz w:val="24"/>
          <w:szCs w:val="24"/>
          <w:lang w:eastAsia="en-US"/>
        </w:rPr>
        <w:t>es koordinēšanu</w:t>
      </w:r>
      <w:r w:rsidRPr="006202E5">
        <w:rPr>
          <w:rFonts w:ascii="Times New Roman" w:eastAsia="Calibri" w:hAnsi="Times New Roman"/>
          <w:sz w:val="24"/>
          <w:szCs w:val="24"/>
          <w:lang w:eastAsia="en-US"/>
        </w:rPr>
        <w:t>.</w:t>
      </w:r>
    </w:p>
    <w:p w:rsidR="00871110" w:rsidRPr="006202E5" w:rsidRDefault="00871110" w:rsidP="00871110">
      <w:pPr>
        <w:spacing w:after="0" w:line="240" w:lineRule="auto"/>
        <w:ind w:right="57" w:firstLine="720"/>
        <w:jc w:val="both"/>
        <w:rPr>
          <w:rFonts w:ascii="Times New Roman" w:hAnsi="Times New Roman"/>
          <w:sz w:val="24"/>
          <w:szCs w:val="24"/>
        </w:rPr>
      </w:pPr>
      <w:r w:rsidRPr="006202E5">
        <w:rPr>
          <w:rFonts w:ascii="Times New Roman" w:hAnsi="Times New Roman"/>
          <w:sz w:val="24"/>
          <w:szCs w:val="24"/>
        </w:rPr>
        <w:t xml:space="preserve">Lai nodrošinātu valsts institūciju elektronisko dokumentu apmaiņu un samazinātu katras iestādes izdevumus droša elektroniskā paraksta un laika zīmogu iegādei, SM sadarbībā ar VAS </w:t>
      </w:r>
      <w:r w:rsidR="00B167ED">
        <w:rPr>
          <w:rFonts w:ascii="Times New Roman" w:hAnsi="Times New Roman"/>
          <w:sz w:val="24"/>
          <w:szCs w:val="24"/>
        </w:rPr>
        <w:t>"</w:t>
      </w:r>
      <w:r w:rsidRPr="006202E5">
        <w:rPr>
          <w:rFonts w:ascii="Times New Roman" w:hAnsi="Times New Roman"/>
          <w:sz w:val="24"/>
          <w:szCs w:val="24"/>
        </w:rPr>
        <w:t xml:space="preserve">Latvijas </w:t>
      </w:r>
      <w:r w:rsidR="006D7AB4">
        <w:rPr>
          <w:rFonts w:ascii="Times New Roman" w:hAnsi="Times New Roman"/>
          <w:sz w:val="24"/>
          <w:szCs w:val="24"/>
        </w:rPr>
        <w:t>V</w:t>
      </w:r>
      <w:r w:rsidRPr="006202E5">
        <w:rPr>
          <w:rFonts w:ascii="Times New Roman" w:hAnsi="Times New Roman"/>
          <w:sz w:val="24"/>
          <w:szCs w:val="24"/>
        </w:rPr>
        <w:t>alsts radio un televīzijas centrs</w:t>
      </w:r>
      <w:r w:rsidR="00B167ED">
        <w:rPr>
          <w:rFonts w:ascii="Times New Roman" w:hAnsi="Times New Roman"/>
          <w:sz w:val="24"/>
          <w:szCs w:val="24"/>
        </w:rPr>
        <w:t>"</w:t>
      </w:r>
      <w:r w:rsidRPr="006202E5">
        <w:rPr>
          <w:rFonts w:ascii="Times New Roman" w:hAnsi="Times New Roman"/>
          <w:sz w:val="24"/>
          <w:szCs w:val="24"/>
        </w:rPr>
        <w:t xml:space="preserve"> un VARAM gatavo risinājumu centralizētam laika zīmogošanas pakalpojuma iepirkumam iestāžu vajadzībām.</w:t>
      </w:r>
    </w:p>
    <w:p w:rsidR="00871110" w:rsidRPr="006202E5" w:rsidRDefault="00871110" w:rsidP="00871110">
      <w:pPr>
        <w:spacing w:after="0" w:line="240" w:lineRule="auto"/>
        <w:ind w:right="57" w:firstLine="720"/>
        <w:jc w:val="both"/>
        <w:rPr>
          <w:rFonts w:ascii="Times New Roman" w:hAnsi="Times New Roman"/>
          <w:sz w:val="24"/>
          <w:szCs w:val="24"/>
        </w:rPr>
      </w:pPr>
      <w:r w:rsidRPr="006202E5">
        <w:rPr>
          <w:rFonts w:ascii="Times New Roman" w:hAnsi="Times New Roman"/>
          <w:sz w:val="24"/>
          <w:szCs w:val="24"/>
        </w:rPr>
        <w:t>Saskaņā ar Latvijas valsts radio un televīzijas ce</w:t>
      </w:r>
      <w:r>
        <w:rPr>
          <w:rFonts w:ascii="Times New Roman" w:hAnsi="Times New Roman"/>
          <w:sz w:val="24"/>
          <w:szCs w:val="24"/>
        </w:rPr>
        <w:t xml:space="preserve">ntra </w:t>
      </w:r>
      <w:r w:rsidRPr="006202E5">
        <w:rPr>
          <w:rFonts w:ascii="Times New Roman" w:hAnsi="Times New Roman"/>
          <w:sz w:val="24"/>
          <w:szCs w:val="24"/>
        </w:rPr>
        <w:t xml:space="preserve">apkopotajiem statistikas datiem droša elektroniskā paraksta un virtuālā elektroniskā paraksta </w:t>
      </w:r>
      <w:r w:rsidR="00C33CBB">
        <w:rPr>
          <w:rFonts w:ascii="Times New Roman" w:hAnsi="Times New Roman"/>
          <w:sz w:val="24"/>
          <w:szCs w:val="24"/>
        </w:rPr>
        <w:t>kopējais lietotāju skaits 2011.</w:t>
      </w:r>
      <w:r w:rsidRPr="006202E5">
        <w:rPr>
          <w:rFonts w:ascii="Times New Roman" w:hAnsi="Times New Roman"/>
          <w:sz w:val="24"/>
          <w:szCs w:val="24"/>
        </w:rPr>
        <w:t>gadā bija 12 000, turpretim 2012.gadā e-paraksta lietotāju skaits ir būtiski palielinājies līdz 45 417, no kuriem 6434 ir virtuālā e-paraksta lietotāji, 4795 lieto e-paraksta viedkartes, bet 34 188</w:t>
      </w:r>
      <w:r>
        <w:rPr>
          <w:rFonts w:ascii="Times New Roman" w:hAnsi="Times New Roman"/>
          <w:sz w:val="24"/>
          <w:szCs w:val="24"/>
        </w:rPr>
        <w:t xml:space="preserve"> ir aktivizējuši e-parakstu Pilsonības un migrācijas lietu pārvaldes </w:t>
      </w:r>
      <w:r w:rsidRPr="006202E5">
        <w:rPr>
          <w:rFonts w:ascii="Times New Roman" w:hAnsi="Times New Roman"/>
          <w:sz w:val="24"/>
          <w:szCs w:val="24"/>
        </w:rPr>
        <w:t xml:space="preserve">izsniegtajās  elektroniskajās identifikācijas  kartēs. </w:t>
      </w:r>
    </w:p>
    <w:p w:rsidR="00871110" w:rsidRPr="006202E5" w:rsidRDefault="00871110" w:rsidP="00871110">
      <w:pPr>
        <w:spacing w:after="0" w:line="240" w:lineRule="auto"/>
        <w:ind w:right="57" w:firstLine="720"/>
        <w:jc w:val="both"/>
        <w:rPr>
          <w:rFonts w:ascii="Times New Roman" w:hAnsi="Times New Roman"/>
          <w:sz w:val="24"/>
          <w:szCs w:val="24"/>
        </w:rPr>
      </w:pPr>
      <w:r w:rsidRPr="006202E5">
        <w:rPr>
          <w:rFonts w:ascii="Times New Roman" w:hAnsi="Times New Roman"/>
          <w:sz w:val="24"/>
          <w:szCs w:val="24"/>
        </w:rPr>
        <w:t>2012.gada laikā drošs elektroniskais</w:t>
      </w:r>
      <w:r w:rsidR="00C33CBB">
        <w:rPr>
          <w:rFonts w:ascii="Times New Roman" w:hAnsi="Times New Roman"/>
          <w:sz w:val="24"/>
          <w:szCs w:val="24"/>
        </w:rPr>
        <w:t xml:space="preserve"> paraksts ar laika zīmogu ir </w:t>
      </w:r>
      <w:r w:rsidRPr="006202E5">
        <w:rPr>
          <w:rFonts w:ascii="Times New Roman" w:hAnsi="Times New Roman"/>
          <w:sz w:val="24"/>
          <w:szCs w:val="24"/>
        </w:rPr>
        <w:t>lietots 1 413 486 reižu (2011.gadā – aptuveni 0,8 miljon</w:t>
      </w:r>
      <w:r w:rsidR="00C33CBB">
        <w:rPr>
          <w:rFonts w:ascii="Times New Roman" w:hAnsi="Times New Roman"/>
          <w:sz w:val="24"/>
          <w:szCs w:val="24"/>
        </w:rPr>
        <w:t>i</w:t>
      </w:r>
      <w:r w:rsidRPr="006202E5">
        <w:rPr>
          <w:rFonts w:ascii="Times New Roman" w:hAnsi="Times New Roman"/>
          <w:sz w:val="24"/>
          <w:szCs w:val="24"/>
        </w:rPr>
        <w:t xml:space="preserve"> reižu). Statistikas dati liecina, ka e-paraksta lietotāju skaitam un elektroniski parakstīto dokumentu skaitam uz katru e-paraksta lietotāju ir pozitīva, augšupejoša tendence. Vienlaikus ir vērojams e-paraksta viedkaršu pieprasījuma kritums, jo privātpersonas izvēlas eID kartes, kas faktiski izkonkurē e-paraksta viedkartes.</w:t>
      </w:r>
    </w:p>
    <w:p w:rsidR="00871110" w:rsidRPr="006202E5" w:rsidRDefault="00871110" w:rsidP="00871110">
      <w:pPr>
        <w:spacing w:after="0" w:line="240" w:lineRule="auto"/>
        <w:ind w:right="57"/>
        <w:jc w:val="both"/>
        <w:rPr>
          <w:rFonts w:ascii="Times New Roman" w:hAnsi="Times New Roman"/>
          <w:i/>
          <w:sz w:val="24"/>
          <w:szCs w:val="24"/>
          <w:lang w:eastAsia="en-US"/>
        </w:rPr>
      </w:pPr>
    </w:p>
    <w:p w:rsidR="00871110" w:rsidRPr="006202E5" w:rsidRDefault="00871110" w:rsidP="00871110">
      <w:pPr>
        <w:spacing w:after="0" w:line="240" w:lineRule="auto"/>
        <w:ind w:right="57" w:firstLine="720"/>
        <w:jc w:val="both"/>
        <w:rPr>
          <w:rFonts w:ascii="Times New Roman" w:hAnsi="Times New Roman"/>
          <w:sz w:val="24"/>
          <w:szCs w:val="24"/>
        </w:rPr>
      </w:pPr>
      <w:r w:rsidRPr="006202E5">
        <w:rPr>
          <w:rFonts w:ascii="Times New Roman" w:hAnsi="Times New Roman"/>
          <w:i/>
          <w:sz w:val="24"/>
          <w:szCs w:val="24"/>
          <w:lang w:eastAsia="en-US"/>
        </w:rPr>
        <w:t>15. attēls.</w:t>
      </w:r>
    </w:p>
    <w:p w:rsidR="00871110" w:rsidRPr="006202E5" w:rsidRDefault="00871110" w:rsidP="00871110">
      <w:pPr>
        <w:spacing w:after="0" w:line="240" w:lineRule="auto"/>
        <w:ind w:right="57"/>
        <w:jc w:val="both"/>
        <w:rPr>
          <w:rFonts w:ascii="Times New Roman" w:hAnsi="Times New Roman"/>
          <w:sz w:val="24"/>
          <w:szCs w:val="24"/>
        </w:rPr>
      </w:pPr>
      <w:r>
        <w:rPr>
          <w:rFonts w:ascii="Times New Roman" w:hAnsi="Times New Roman"/>
          <w:noProof/>
          <w:sz w:val="24"/>
          <w:szCs w:val="24"/>
        </w:rPr>
        <w:lastRenderedPageBreak/>
        <w:drawing>
          <wp:inline distT="0" distB="0" distL="0" distR="0" wp14:anchorId="0E034007" wp14:editId="2DBBF89A">
            <wp:extent cx="5485005" cy="3396630"/>
            <wp:effectExtent l="6095" t="6089" r="6095" b="7231"/>
            <wp:docPr id="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71110" w:rsidRPr="004544AA" w:rsidRDefault="00871110" w:rsidP="00871110">
      <w:pPr>
        <w:spacing w:after="0" w:line="240" w:lineRule="auto"/>
        <w:jc w:val="both"/>
        <w:rPr>
          <w:rFonts w:ascii="Times New Roman" w:hAnsi="Times New Roman"/>
          <w:i/>
          <w:sz w:val="20"/>
          <w:szCs w:val="20"/>
        </w:rPr>
      </w:pPr>
      <w:r w:rsidRPr="004544AA">
        <w:rPr>
          <w:rFonts w:ascii="Times New Roman" w:hAnsi="Times New Roman"/>
          <w:i/>
          <w:sz w:val="20"/>
          <w:szCs w:val="20"/>
        </w:rPr>
        <w:t xml:space="preserve">Avots: VAS </w:t>
      </w:r>
      <w:r w:rsidR="00B167ED">
        <w:rPr>
          <w:rFonts w:ascii="Times New Roman" w:hAnsi="Times New Roman"/>
          <w:i/>
          <w:sz w:val="20"/>
          <w:szCs w:val="20"/>
        </w:rPr>
        <w:t>"</w:t>
      </w:r>
      <w:r w:rsidRPr="004544AA">
        <w:rPr>
          <w:rFonts w:ascii="Times New Roman" w:hAnsi="Times New Roman"/>
          <w:i/>
          <w:sz w:val="20"/>
          <w:szCs w:val="20"/>
        </w:rPr>
        <w:t>Latvijas valsts radio un televīzijas centrs</w:t>
      </w:r>
      <w:r w:rsidR="00B167ED">
        <w:rPr>
          <w:rFonts w:ascii="Times New Roman" w:hAnsi="Times New Roman"/>
          <w:i/>
          <w:sz w:val="20"/>
          <w:szCs w:val="20"/>
        </w:rPr>
        <w:t>"</w:t>
      </w:r>
    </w:p>
    <w:p w:rsidR="00871110" w:rsidRPr="006202E5" w:rsidRDefault="00871110" w:rsidP="00871110">
      <w:pPr>
        <w:spacing w:after="0" w:line="240" w:lineRule="auto"/>
        <w:jc w:val="both"/>
        <w:rPr>
          <w:rFonts w:ascii="Times New Roman" w:hAnsi="Times New Roman"/>
          <w:sz w:val="24"/>
          <w:szCs w:val="24"/>
        </w:rPr>
      </w:pPr>
    </w:p>
    <w:p w:rsidR="00871110" w:rsidRPr="006202E5"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ab/>
        <w:t xml:space="preserve">Kā 2012.gada būtiski notikumi sakaru jomā minami arī 25.aprīlī parakstītais Latvijas Republikas un Krievijas Federācijas sadarbības protokols par starptautisko viesabonēšanas tarifu samazināšanu, kā arī 6.decembrī parakstītais Latvijas Republikas un Baltkrievijas Republikas sadarbības protokols par starptautisko viesabonēšanas tarifu samazināšanu, kuri stājās spēkā tā parakstīšanas brīdī. Sadarbības protokola noslēgšana un sekojošās mobilo sakaru operatoru savstarpējās vienošanās jau tuvākajā laikā pozitīvi ietekmēs Latvijas Republikas, Baltkrievijas Republikas un Krievijas Federācijas iedzīvotājus, kuri ceļo mūsu valstu teritorijās tūrisma vai darījumu kārtošanas nolūkos. Protokola noslēgšana sekmēs arī mobilo sakaru operatoru darbību, jo, samazinoties viesabonēšanas tarifiem, prognozējams viesabonēšanas pakalpojumu izmantošanas pieaugums. </w:t>
      </w:r>
    </w:p>
    <w:p w:rsidR="00871110" w:rsidRPr="006202E5" w:rsidRDefault="00EF3EFB" w:rsidP="00871110">
      <w:pPr>
        <w:tabs>
          <w:tab w:val="left" w:pos="0"/>
        </w:tabs>
        <w:spacing w:after="0" w:line="240" w:lineRule="auto"/>
        <w:ind w:right="71"/>
        <w:jc w:val="both"/>
        <w:rPr>
          <w:rFonts w:ascii="Times New Roman" w:hAnsi="Times New Roman"/>
          <w:sz w:val="24"/>
          <w:szCs w:val="24"/>
        </w:rPr>
      </w:pPr>
      <w:r>
        <w:rPr>
          <w:rFonts w:ascii="Times New Roman" w:hAnsi="Times New Roman"/>
          <w:sz w:val="24"/>
          <w:szCs w:val="24"/>
        </w:rPr>
        <w:tab/>
        <w:t>V</w:t>
      </w:r>
      <w:r w:rsidR="00871110" w:rsidRPr="006202E5">
        <w:rPr>
          <w:rFonts w:ascii="Times New Roman" w:hAnsi="Times New Roman"/>
          <w:sz w:val="24"/>
          <w:szCs w:val="24"/>
        </w:rPr>
        <w:t xml:space="preserve">iens no lielākajiem izaicinājumiem sakaru nozarē 2013.gadā ir nodrošināt televīzijas programmu apraides nepārtrauktību, nodalot skatītājiem </w:t>
      </w:r>
      <w:r w:rsidRPr="006202E5">
        <w:rPr>
          <w:rFonts w:ascii="Times New Roman" w:hAnsi="Times New Roman"/>
          <w:sz w:val="24"/>
          <w:szCs w:val="24"/>
        </w:rPr>
        <w:t xml:space="preserve">pieejamo </w:t>
      </w:r>
      <w:r w:rsidR="00871110" w:rsidRPr="006202E5">
        <w:rPr>
          <w:rFonts w:ascii="Times New Roman" w:hAnsi="Times New Roman"/>
          <w:sz w:val="24"/>
          <w:szCs w:val="24"/>
        </w:rPr>
        <w:t xml:space="preserve">bezmaksas programmu izplatīšanu no maksas televīzijas programmu izplatīšanas. </w:t>
      </w:r>
    </w:p>
    <w:p w:rsidR="00871110" w:rsidRPr="003C49ED" w:rsidRDefault="00871110" w:rsidP="00871110">
      <w:pPr>
        <w:tabs>
          <w:tab w:val="left" w:pos="0"/>
        </w:tabs>
        <w:spacing w:after="0" w:line="240" w:lineRule="auto"/>
        <w:ind w:right="71"/>
        <w:jc w:val="both"/>
        <w:rPr>
          <w:rFonts w:ascii="Times New Roman" w:hAnsi="Times New Roman"/>
          <w:sz w:val="24"/>
          <w:szCs w:val="24"/>
        </w:rPr>
      </w:pPr>
      <w:r w:rsidRPr="006202E5">
        <w:rPr>
          <w:rFonts w:ascii="Times New Roman" w:hAnsi="Times New Roman"/>
          <w:sz w:val="24"/>
          <w:szCs w:val="24"/>
        </w:rPr>
        <w:tab/>
        <w:t>Vienlaikus tiks paredzēta iespēja vietējiem elektroniskajiem plašsaziņas līdzekļiem saņemt frekvences piešķīruma lietošanas atļauju televīzijas programmu zemes apraidei ciparformātā un Elektronisko sakaru likumā noteiktajā kārtībā ierīkot savus izplatīšanas līdzekļus vai izmantot sakaru komersantu sniegtos programmu izplatīšanas pakalpojumus.</w:t>
      </w:r>
    </w:p>
    <w:p w:rsidR="00871110" w:rsidRDefault="00871110" w:rsidP="00871110">
      <w:pPr>
        <w:pStyle w:val="Heading2"/>
        <w:spacing w:before="0" w:line="240" w:lineRule="auto"/>
        <w:jc w:val="both"/>
      </w:pPr>
    </w:p>
    <w:p w:rsidR="00871110" w:rsidRPr="003C49ED" w:rsidRDefault="00EF3EFB" w:rsidP="00871110">
      <w:pPr>
        <w:pStyle w:val="Heading2"/>
        <w:spacing w:before="0" w:line="240" w:lineRule="auto"/>
        <w:jc w:val="both"/>
      </w:pPr>
      <w:bookmarkStart w:id="111" w:name="_Toc348948377"/>
      <w:r>
        <w:t>9. Enerģētikas politika, tai skaitā</w:t>
      </w:r>
      <w:r w:rsidR="00871110" w:rsidRPr="003C49ED">
        <w:t xml:space="preserve"> energoapgādes un enerģētikas drošības jautājumi</w:t>
      </w:r>
      <w:bookmarkEnd w:id="95"/>
      <w:bookmarkEnd w:id="111"/>
      <w:r w:rsidR="00871110" w:rsidRPr="003C49ED">
        <w:t xml:space="preserve"> </w:t>
      </w:r>
    </w:p>
    <w:p w:rsidR="00871110" w:rsidRPr="006202E5" w:rsidRDefault="00871110" w:rsidP="00871110">
      <w:pPr>
        <w:spacing w:after="0" w:line="240" w:lineRule="auto"/>
        <w:jc w:val="both"/>
        <w:rPr>
          <w:rFonts w:ascii="Times New Roman" w:hAnsi="Times New Roman"/>
          <w:sz w:val="24"/>
          <w:szCs w:val="24"/>
        </w:rPr>
      </w:pPr>
    </w:p>
    <w:p w:rsidR="00871110" w:rsidRPr="009C727A" w:rsidRDefault="00871110" w:rsidP="00871110">
      <w:pPr>
        <w:spacing w:after="0" w:line="240" w:lineRule="auto"/>
        <w:ind w:firstLine="720"/>
        <w:jc w:val="both"/>
        <w:rPr>
          <w:rFonts w:ascii="Times New Roman" w:hAnsi="Times New Roman"/>
          <w:sz w:val="24"/>
          <w:szCs w:val="24"/>
        </w:rPr>
      </w:pPr>
      <w:r w:rsidRPr="009C727A">
        <w:rPr>
          <w:rFonts w:ascii="Times New Roman" w:hAnsi="Times New Roman"/>
          <w:sz w:val="24"/>
          <w:szCs w:val="24"/>
        </w:rPr>
        <w:t>2012.gadā uzsākta visaptveroša enerģētikas politikas reforma. Izanalizējot līdzšinējo</w:t>
      </w:r>
      <w:r w:rsidR="00EF3EFB">
        <w:rPr>
          <w:rFonts w:ascii="Times New Roman" w:hAnsi="Times New Roman"/>
          <w:sz w:val="24"/>
          <w:szCs w:val="24"/>
        </w:rPr>
        <w:t xml:space="preserve"> enerģētikas politik</w:t>
      </w:r>
      <w:r w:rsidRPr="009C727A">
        <w:rPr>
          <w:rFonts w:ascii="Times New Roman" w:hAnsi="Times New Roman"/>
          <w:sz w:val="24"/>
          <w:szCs w:val="24"/>
        </w:rPr>
        <w:t xml:space="preserve">u, valsts īstenotos politikas instrumentus, atbalsta apmērus </w:t>
      </w:r>
      <w:r w:rsidRPr="009C727A">
        <w:rPr>
          <w:rFonts w:ascii="Times New Roman" w:hAnsi="Times New Roman"/>
          <w:sz w:val="24"/>
          <w:szCs w:val="24"/>
        </w:rPr>
        <w:lastRenderedPageBreak/>
        <w:t xml:space="preserve">un efektivitāti, kā arī </w:t>
      </w:r>
      <w:r w:rsidR="00EF3EFB">
        <w:rPr>
          <w:rFonts w:ascii="Times New Roman" w:hAnsi="Times New Roman"/>
          <w:sz w:val="24"/>
          <w:szCs w:val="24"/>
        </w:rPr>
        <w:t>enerģijas izmaksu</w:t>
      </w:r>
      <w:r w:rsidR="00EF3EFB" w:rsidRPr="009C727A">
        <w:rPr>
          <w:rFonts w:ascii="Times New Roman" w:hAnsi="Times New Roman"/>
          <w:sz w:val="24"/>
          <w:szCs w:val="24"/>
        </w:rPr>
        <w:t xml:space="preserve"> </w:t>
      </w:r>
      <w:r w:rsidR="00EF3EFB">
        <w:rPr>
          <w:rFonts w:ascii="Times New Roman" w:hAnsi="Times New Roman"/>
          <w:sz w:val="24"/>
          <w:szCs w:val="24"/>
        </w:rPr>
        <w:t>prognozes</w:t>
      </w:r>
      <w:r w:rsidRPr="009C727A">
        <w:rPr>
          <w:rFonts w:ascii="Times New Roman" w:hAnsi="Times New Roman"/>
          <w:sz w:val="24"/>
          <w:szCs w:val="24"/>
        </w:rPr>
        <w:t>, EM ir izstrādājusi jaunu piedāvājumu turpmākajai enerģēt</w:t>
      </w:r>
      <w:r w:rsidR="00EF3EFB">
        <w:rPr>
          <w:rFonts w:ascii="Times New Roman" w:hAnsi="Times New Roman"/>
          <w:sz w:val="24"/>
          <w:szCs w:val="24"/>
        </w:rPr>
        <w:t>ikas politikai līdz 2030.gadam –</w:t>
      </w:r>
      <w:r w:rsidRPr="009C727A">
        <w:rPr>
          <w:rFonts w:ascii="Times New Roman" w:hAnsi="Times New Roman"/>
          <w:sz w:val="24"/>
          <w:szCs w:val="24"/>
        </w:rPr>
        <w:t xml:space="preserve"> </w:t>
      </w:r>
      <w:r w:rsidR="00B167ED">
        <w:rPr>
          <w:rFonts w:ascii="Times New Roman" w:hAnsi="Times New Roman"/>
          <w:sz w:val="24"/>
          <w:szCs w:val="24"/>
        </w:rPr>
        <w:t>"</w:t>
      </w:r>
      <w:r w:rsidRPr="009C727A">
        <w:rPr>
          <w:rFonts w:ascii="Times New Roman" w:hAnsi="Times New Roman"/>
          <w:sz w:val="24"/>
          <w:szCs w:val="24"/>
        </w:rPr>
        <w:t>Enerģētikas ilgtermiņa stratēģija 2030 – konkurētspējīga ekonomika sabiedrībai</w:t>
      </w:r>
      <w:r w:rsidR="00B167ED">
        <w:rPr>
          <w:rFonts w:ascii="Times New Roman" w:hAnsi="Times New Roman"/>
          <w:sz w:val="24"/>
          <w:szCs w:val="24"/>
        </w:rPr>
        <w:t>"</w:t>
      </w:r>
      <w:r w:rsidRPr="009C727A">
        <w:rPr>
          <w:rFonts w:ascii="Times New Roman" w:hAnsi="Times New Roman"/>
          <w:sz w:val="24"/>
          <w:szCs w:val="24"/>
        </w:rPr>
        <w:t xml:space="preserve">, kas prezentēts svarīgākajiem partneriem un 27.09.2012. izsludināts Valsts sekretāru sanāksmē. Stratēģijas 2030 galvenais mērķis ir veicināt </w:t>
      </w:r>
      <w:r w:rsidRPr="009C727A">
        <w:rPr>
          <w:rFonts w:ascii="Times New Roman" w:hAnsi="Times New Roman"/>
          <w:bCs/>
          <w:sz w:val="24"/>
          <w:szCs w:val="24"/>
        </w:rPr>
        <w:t>konkurētspējīgu ekonomiku,</w:t>
      </w:r>
      <w:r w:rsidRPr="009C727A">
        <w:rPr>
          <w:rFonts w:ascii="Times New Roman" w:hAnsi="Times New Roman"/>
          <w:sz w:val="24"/>
          <w:szCs w:val="24"/>
        </w:rPr>
        <w:t xml:space="preserve"> veidojot sabalansētu, efektīvu, ekonomiski, sociāli un ekoloģiski pamatotu, uz tirgus principiem balstītu enerģētikas politiku, kas nodrošina Latvijas ekonomikas tālāko attīstību, tās konkurētspēju reģionā un pasaulē un sabiedrības labklājību. Reģionāla energoresursu tirgus attīstība sekmēs uzņēmumiem un patērētājiem pieejamas atbilstošas enerģijas cenas un nākotnes cenu signālu</w:t>
      </w:r>
      <w:r w:rsidR="00EF3EFB">
        <w:rPr>
          <w:rFonts w:ascii="Times New Roman" w:hAnsi="Times New Roman"/>
          <w:sz w:val="24"/>
          <w:szCs w:val="24"/>
        </w:rPr>
        <w:t>s, kas kalpos par pamatu enerģētik</w:t>
      </w:r>
      <w:r w:rsidRPr="009C727A">
        <w:rPr>
          <w:rFonts w:ascii="Times New Roman" w:hAnsi="Times New Roman"/>
          <w:sz w:val="24"/>
          <w:szCs w:val="24"/>
        </w:rPr>
        <w:t>as ilgtspējai un sekmēs drošu un nepārtrauktu energoapgādi.</w:t>
      </w:r>
    </w:p>
    <w:p w:rsidR="00871110" w:rsidRPr="009C727A"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color w:val="000000"/>
          <w:sz w:val="24"/>
          <w:szCs w:val="24"/>
        </w:rPr>
        <w:t xml:space="preserve">Ņemot vērā </w:t>
      </w:r>
      <w:r>
        <w:rPr>
          <w:rFonts w:ascii="Times New Roman" w:hAnsi="Times New Roman"/>
          <w:color w:val="000000"/>
          <w:sz w:val="24"/>
          <w:szCs w:val="24"/>
        </w:rPr>
        <w:t>EM</w:t>
      </w:r>
      <w:r w:rsidRPr="009C727A">
        <w:rPr>
          <w:rFonts w:ascii="Times New Roman" w:hAnsi="Times New Roman"/>
          <w:color w:val="000000"/>
          <w:sz w:val="24"/>
          <w:szCs w:val="24"/>
        </w:rPr>
        <w:t xml:space="preserve"> veikto analīzi par vēsturiski īstenotās politikas ietekmi </w:t>
      </w:r>
      <w:r w:rsidR="00EF3EFB" w:rsidRPr="009C727A">
        <w:rPr>
          <w:rFonts w:ascii="Times New Roman" w:hAnsi="Times New Roman"/>
          <w:color w:val="000000"/>
          <w:sz w:val="24"/>
          <w:szCs w:val="24"/>
        </w:rPr>
        <w:t xml:space="preserve">uz Latvijas ekonomikas konkurētspēju un iedzīvotāju maksātspēju </w:t>
      </w:r>
      <w:r w:rsidRPr="009C727A">
        <w:rPr>
          <w:rFonts w:ascii="Times New Roman" w:hAnsi="Times New Roman"/>
          <w:color w:val="000000"/>
          <w:sz w:val="24"/>
          <w:szCs w:val="24"/>
        </w:rPr>
        <w:t xml:space="preserve">un </w:t>
      </w:r>
      <w:r w:rsidR="00EF3EFB">
        <w:rPr>
          <w:rFonts w:ascii="Times New Roman" w:hAnsi="Times New Roman"/>
          <w:color w:val="000000"/>
          <w:sz w:val="24"/>
          <w:szCs w:val="24"/>
        </w:rPr>
        <w:t xml:space="preserve">tās </w:t>
      </w:r>
      <w:r w:rsidRPr="009C727A">
        <w:rPr>
          <w:rFonts w:ascii="Times New Roman" w:hAnsi="Times New Roman"/>
          <w:color w:val="000000"/>
          <w:sz w:val="24"/>
          <w:szCs w:val="24"/>
        </w:rPr>
        <w:t>sekām, 2012.gadā tika apstiprināti grozījumi normatīvajos aktos, kas skar elektroenerģijas ražošanu no atjaunojamiem energoresursiem</w:t>
      </w:r>
      <w:r>
        <w:rPr>
          <w:rFonts w:ascii="Times New Roman" w:hAnsi="Times New Roman"/>
          <w:color w:val="000000"/>
          <w:sz w:val="24"/>
          <w:szCs w:val="24"/>
        </w:rPr>
        <w:t xml:space="preserve"> (AER)</w:t>
      </w:r>
      <w:r w:rsidRPr="009C727A">
        <w:rPr>
          <w:rFonts w:ascii="Times New Roman" w:hAnsi="Times New Roman"/>
          <w:color w:val="000000"/>
          <w:sz w:val="24"/>
          <w:szCs w:val="24"/>
        </w:rPr>
        <w:t xml:space="preserve"> un koģenerācijā. Galvenās izmaiņas, kas skar komersantus, kas ražo elektroenerģiju koģenerācijā, ir atbalsta termiņa ierobežojums. Ja līdz </w:t>
      </w:r>
      <w:r>
        <w:rPr>
          <w:rFonts w:ascii="Times New Roman" w:hAnsi="Times New Roman"/>
          <w:color w:val="000000"/>
          <w:sz w:val="24"/>
          <w:szCs w:val="24"/>
        </w:rPr>
        <w:t xml:space="preserve">šim </w:t>
      </w:r>
      <w:r w:rsidRPr="009C727A">
        <w:rPr>
          <w:rFonts w:ascii="Times New Roman" w:hAnsi="Times New Roman"/>
          <w:color w:val="000000"/>
          <w:sz w:val="24"/>
          <w:szCs w:val="24"/>
        </w:rPr>
        <w:t>atbalsts bija bezt</w:t>
      </w:r>
      <w:r w:rsidR="00EF3EFB">
        <w:rPr>
          <w:rFonts w:ascii="Times New Roman" w:hAnsi="Times New Roman"/>
          <w:color w:val="000000"/>
          <w:sz w:val="24"/>
          <w:szCs w:val="24"/>
        </w:rPr>
        <w:t>ermiņa, tad līdz ar grozījumiem</w:t>
      </w:r>
      <w:r>
        <w:rPr>
          <w:rFonts w:ascii="Times New Roman" w:hAnsi="Times New Roman"/>
          <w:color w:val="000000"/>
          <w:sz w:val="24"/>
          <w:szCs w:val="24"/>
        </w:rPr>
        <w:t xml:space="preserve"> noteikts </w:t>
      </w:r>
      <w:r w:rsidRPr="009C727A">
        <w:rPr>
          <w:rFonts w:ascii="Times New Roman" w:hAnsi="Times New Roman"/>
          <w:color w:val="000000"/>
          <w:sz w:val="24"/>
          <w:szCs w:val="24"/>
        </w:rPr>
        <w:t>10</w:t>
      </w:r>
      <w:r w:rsidRPr="009C727A">
        <w:rPr>
          <w:rFonts w:ascii="Times New Roman" w:hAnsi="Times New Roman"/>
          <w:b/>
          <w:color w:val="000000"/>
          <w:sz w:val="24"/>
          <w:szCs w:val="24"/>
        </w:rPr>
        <w:t xml:space="preserve"> </w:t>
      </w:r>
      <w:r w:rsidRPr="009C727A">
        <w:rPr>
          <w:rFonts w:ascii="Times New Roman" w:hAnsi="Times New Roman"/>
          <w:color w:val="000000"/>
          <w:sz w:val="24"/>
          <w:szCs w:val="24"/>
        </w:rPr>
        <w:t>gadu ierobežojums koģenerācijas elektrostacijām, kuru uzstādītā el</w:t>
      </w:r>
      <w:r w:rsidR="00EF3EFB">
        <w:rPr>
          <w:rFonts w:ascii="Times New Roman" w:hAnsi="Times New Roman"/>
          <w:color w:val="000000"/>
          <w:sz w:val="24"/>
          <w:szCs w:val="24"/>
        </w:rPr>
        <w:t>ektriskā jauda nepārsniedz 4 MW, un 15 </w:t>
      </w:r>
      <w:r w:rsidRPr="009C727A">
        <w:rPr>
          <w:rFonts w:ascii="Times New Roman" w:hAnsi="Times New Roman"/>
          <w:color w:val="000000"/>
          <w:sz w:val="24"/>
          <w:szCs w:val="24"/>
        </w:rPr>
        <w:t>gadu ierobežojums</w:t>
      </w:r>
      <w:r w:rsidRPr="009C727A">
        <w:rPr>
          <w:rFonts w:ascii="Times New Roman" w:hAnsi="Times New Roman"/>
          <w:b/>
          <w:color w:val="000000"/>
          <w:sz w:val="24"/>
          <w:szCs w:val="24"/>
        </w:rPr>
        <w:t xml:space="preserve"> </w:t>
      </w:r>
      <w:r w:rsidRPr="009C727A">
        <w:rPr>
          <w:rFonts w:ascii="Times New Roman" w:hAnsi="Times New Roman"/>
          <w:color w:val="000000"/>
          <w:sz w:val="24"/>
          <w:szCs w:val="24"/>
        </w:rPr>
        <w:t>koģenerācijas elektrostacijām, kuru uzstādītā elektriskā jauda ir lielāka par 4 MW</w:t>
      </w:r>
      <w:r w:rsidR="00EF3EFB">
        <w:rPr>
          <w:rFonts w:ascii="Times New Roman" w:hAnsi="Times New Roman"/>
          <w:color w:val="000000"/>
          <w:sz w:val="24"/>
          <w:szCs w:val="24"/>
        </w:rPr>
        <w:t>. un garantētai maksai</w:t>
      </w:r>
      <w:r w:rsidRPr="009C727A">
        <w:rPr>
          <w:rFonts w:ascii="Times New Roman" w:hAnsi="Times New Roman"/>
          <w:color w:val="000000"/>
          <w:sz w:val="24"/>
          <w:szCs w:val="24"/>
        </w:rPr>
        <w:t>. Iekārtām, kas tika nodotas ekspluatācijā pirms vairāk nekā 10 gadiem</w:t>
      </w:r>
      <w:r w:rsidR="00EF3EFB">
        <w:rPr>
          <w:rFonts w:ascii="Times New Roman" w:hAnsi="Times New Roman"/>
          <w:color w:val="000000"/>
          <w:sz w:val="24"/>
          <w:szCs w:val="24"/>
        </w:rPr>
        <w:t>,</w:t>
      </w:r>
      <w:r w:rsidRPr="009C727A">
        <w:rPr>
          <w:rFonts w:ascii="Times New Roman" w:hAnsi="Times New Roman"/>
          <w:color w:val="000000"/>
          <w:sz w:val="24"/>
          <w:szCs w:val="24"/>
        </w:rPr>
        <w:t xml:space="preserve"> paredzēts pārejas periods līdz 2017.</w:t>
      </w:r>
      <w:r w:rsidR="00EF3EFB">
        <w:rPr>
          <w:rFonts w:ascii="Times New Roman" w:hAnsi="Times New Roman"/>
          <w:bCs/>
          <w:color w:val="000000"/>
          <w:sz w:val="24"/>
          <w:szCs w:val="24"/>
        </w:rPr>
        <w:t>gada 1.</w:t>
      </w:r>
      <w:r w:rsidRPr="009C727A">
        <w:rPr>
          <w:rFonts w:ascii="Times New Roman" w:hAnsi="Times New Roman"/>
          <w:bCs/>
          <w:color w:val="000000"/>
          <w:sz w:val="24"/>
          <w:szCs w:val="24"/>
        </w:rPr>
        <w:t xml:space="preserve">jūlijam. </w:t>
      </w:r>
      <w:r w:rsidR="00EF3EFB">
        <w:rPr>
          <w:rFonts w:ascii="Times New Roman" w:hAnsi="Times New Roman"/>
          <w:bCs/>
          <w:color w:val="000000"/>
          <w:sz w:val="24"/>
          <w:szCs w:val="24"/>
        </w:rPr>
        <w:t>Turklāt</w:t>
      </w:r>
      <w:r w:rsidRPr="009C727A">
        <w:rPr>
          <w:rFonts w:ascii="Times New Roman" w:hAnsi="Times New Roman"/>
          <w:bCs/>
          <w:color w:val="000000"/>
          <w:sz w:val="24"/>
          <w:szCs w:val="24"/>
        </w:rPr>
        <w:t xml:space="preserve"> grozījumi paredz </w:t>
      </w:r>
      <w:r w:rsidR="00EF3EFB" w:rsidRPr="009C727A">
        <w:rPr>
          <w:rFonts w:ascii="Times New Roman" w:hAnsi="Times New Roman"/>
          <w:bCs/>
          <w:color w:val="000000"/>
          <w:sz w:val="24"/>
          <w:szCs w:val="24"/>
        </w:rPr>
        <w:t xml:space="preserve">arī </w:t>
      </w:r>
      <w:r w:rsidRPr="009C727A">
        <w:rPr>
          <w:rFonts w:ascii="Times New Roman" w:hAnsi="Times New Roman"/>
          <w:bCs/>
          <w:color w:val="000000"/>
          <w:sz w:val="24"/>
          <w:szCs w:val="24"/>
        </w:rPr>
        <w:t>konkrētu laik</w:t>
      </w:r>
      <w:r w:rsidR="00EF3EFB">
        <w:rPr>
          <w:rFonts w:ascii="Times New Roman" w:hAnsi="Times New Roman"/>
          <w:bCs/>
          <w:color w:val="000000"/>
          <w:sz w:val="24"/>
          <w:szCs w:val="24"/>
        </w:rPr>
        <w:t>posm</w:t>
      </w:r>
      <w:r w:rsidRPr="009C727A">
        <w:rPr>
          <w:rFonts w:ascii="Times New Roman" w:hAnsi="Times New Roman"/>
          <w:bCs/>
          <w:color w:val="000000"/>
          <w:sz w:val="24"/>
          <w:szCs w:val="24"/>
        </w:rPr>
        <w:t xml:space="preserve">u, kurā jāuzsāk ražošana koģenerācijā atkarībā no uzstādāmās jaudas. </w:t>
      </w:r>
      <w:r w:rsidRPr="009C727A">
        <w:rPr>
          <w:rFonts w:ascii="Times New Roman" w:hAnsi="Times New Roman"/>
          <w:color w:val="000000"/>
          <w:sz w:val="24"/>
          <w:szCs w:val="24"/>
        </w:rPr>
        <w:t>Ir paredzēti arī stingrāki kontroles kritēriji.</w:t>
      </w:r>
      <w:r w:rsidRPr="009C727A">
        <w:rPr>
          <w:rFonts w:ascii="Times New Roman" w:hAnsi="Times New Roman"/>
          <w:b/>
          <w:color w:val="000000"/>
          <w:sz w:val="24"/>
          <w:szCs w:val="24"/>
        </w:rPr>
        <w:t xml:space="preserve"> </w:t>
      </w:r>
      <w:r w:rsidRPr="009C727A">
        <w:rPr>
          <w:rFonts w:ascii="Times New Roman" w:hAnsi="Times New Roman"/>
          <w:color w:val="000000"/>
          <w:sz w:val="24"/>
          <w:szCs w:val="24"/>
        </w:rPr>
        <w:t xml:space="preserve">Līdz 2016.gada 1.janvārim atbalstu saņem tikai tie ražotāji, kas ir kvalificējušies </w:t>
      </w:r>
      <w:r w:rsidRPr="009C727A">
        <w:rPr>
          <w:rFonts w:ascii="Times New Roman" w:hAnsi="Times New Roman"/>
          <w:sz w:val="24"/>
          <w:szCs w:val="24"/>
        </w:rPr>
        <w:t>tiesību iegūšanai pārdot saražoto elektroenerģiju obligātā iepirkuma ietvaros un tiesību iegūšanai saņemt garantētu maksu par koģenerācijas elektrostacijā uzstādīto elektrisko jaudu, kā arī netiek organizēti jauni konkursi tiesību iegūšanai pārdot biomasas, biogāzes, saules vai vēja elektrostacijās saražoto elektroenerģiju obligātā iepirkuma ietvaros.</w:t>
      </w:r>
    </w:p>
    <w:p w:rsidR="00871110" w:rsidRPr="009C727A" w:rsidRDefault="00EF3EFB" w:rsidP="00871110">
      <w:pPr>
        <w:spacing w:after="0" w:line="240" w:lineRule="auto"/>
        <w:ind w:firstLine="709"/>
        <w:jc w:val="both"/>
        <w:rPr>
          <w:rFonts w:ascii="Times New Roman" w:hAnsi="Times New Roman"/>
          <w:sz w:val="24"/>
          <w:szCs w:val="24"/>
        </w:rPr>
      </w:pPr>
      <w:r>
        <w:rPr>
          <w:rFonts w:ascii="Times New Roman" w:hAnsi="Times New Roman"/>
          <w:sz w:val="24"/>
          <w:szCs w:val="24"/>
        </w:rPr>
        <w:t>Vienlaikus</w:t>
      </w:r>
      <w:r w:rsidR="00871110" w:rsidRPr="009C727A">
        <w:rPr>
          <w:rFonts w:ascii="Times New Roman" w:hAnsi="Times New Roman"/>
          <w:sz w:val="24"/>
          <w:szCs w:val="24"/>
        </w:rPr>
        <w:t xml:space="preserve"> uzsāktas aktīvas sarunas ar enerģētikas nozares nevalstiskajām organizācijām, lai izstrādātu efektīvākus, caurspīdīgākus, skaidrākus un tirgus principiem atbilstošus atbalsta mehānismus. Tāpat 2012.gadā sākts darbs pie saprašanās memoranda izstrādes, lai veicinātu </w:t>
      </w:r>
      <w:r w:rsidR="00871110">
        <w:rPr>
          <w:rFonts w:ascii="Times New Roman" w:hAnsi="Times New Roman"/>
          <w:sz w:val="24"/>
          <w:szCs w:val="24"/>
        </w:rPr>
        <w:t>EM</w:t>
      </w:r>
      <w:r w:rsidR="00871110" w:rsidRPr="009C727A">
        <w:rPr>
          <w:rFonts w:ascii="Times New Roman" w:hAnsi="Times New Roman"/>
          <w:sz w:val="24"/>
          <w:szCs w:val="24"/>
        </w:rPr>
        <w:t xml:space="preserve"> un atjaunojamo energoresursu nozares organizāciju konstruktīvāku sadarbību un dialogu nozares jautājumu sakārtošanā. </w:t>
      </w:r>
      <w:r>
        <w:rPr>
          <w:rFonts w:ascii="Times New Roman" w:hAnsi="Times New Roman"/>
          <w:sz w:val="24"/>
          <w:szCs w:val="24"/>
        </w:rPr>
        <w:t>Lai</w:t>
      </w:r>
      <w:r w:rsidR="00871110" w:rsidRPr="009C727A">
        <w:rPr>
          <w:rFonts w:ascii="Times New Roman" w:hAnsi="Times New Roman"/>
          <w:sz w:val="24"/>
          <w:szCs w:val="24"/>
        </w:rPr>
        <w:t xml:space="preserve"> ieviest</w:t>
      </w:r>
      <w:r>
        <w:rPr>
          <w:rFonts w:ascii="Times New Roman" w:hAnsi="Times New Roman"/>
          <w:sz w:val="24"/>
          <w:szCs w:val="24"/>
        </w:rPr>
        <w:t>u</w:t>
      </w:r>
      <w:r w:rsidR="00871110" w:rsidRPr="009C727A">
        <w:rPr>
          <w:rFonts w:ascii="Times New Roman" w:hAnsi="Times New Roman"/>
          <w:sz w:val="24"/>
          <w:szCs w:val="24"/>
        </w:rPr>
        <w:t xml:space="preserve"> caurskatāmāku sistēmu elektroenerģijas ražošanai no AER un</w:t>
      </w:r>
      <w:r>
        <w:rPr>
          <w:rFonts w:ascii="Times New Roman" w:hAnsi="Times New Roman"/>
          <w:sz w:val="24"/>
          <w:szCs w:val="24"/>
        </w:rPr>
        <w:t xml:space="preserve"> koģenerācijā, kā arī nodrošinātu</w:t>
      </w:r>
      <w:r w:rsidR="00871110" w:rsidRPr="009C727A">
        <w:rPr>
          <w:rFonts w:ascii="Times New Roman" w:hAnsi="Times New Roman"/>
          <w:sz w:val="24"/>
          <w:szCs w:val="24"/>
        </w:rPr>
        <w:t xml:space="preserve"> informācijas atklātību un pieejamību iedzīvotājiem, EM mājaslapā ir ievietota informācija par komersantiem, kas saņēmuši tiesības pārdot elektroenerģiju obligātā iepirkuma ietvaros</w:t>
      </w:r>
      <w:r>
        <w:rPr>
          <w:rFonts w:ascii="Times New Roman" w:hAnsi="Times New Roman"/>
          <w:sz w:val="24"/>
          <w:szCs w:val="24"/>
        </w:rPr>
        <w:t>,</w:t>
      </w:r>
      <w:r w:rsidR="00871110" w:rsidRPr="009C727A">
        <w:rPr>
          <w:rFonts w:ascii="Times New Roman" w:hAnsi="Times New Roman"/>
          <w:sz w:val="24"/>
          <w:szCs w:val="24"/>
        </w:rPr>
        <w:t xml:space="preserve"> un tiem sniegtā atbalsta apmēriem 2011.gadā un 2012.gadā. Turpmāk šāda informācija tiks publicēta katru gadu.</w:t>
      </w:r>
    </w:p>
    <w:p w:rsidR="00871110" w:rsidRPr="009C727A"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t xml:space="preserve">Reformas ietvaros 2012.gadā uzsākta arī </w:t>
      </w:r>
      <w:r w:rsidRPr="009C727A">
        <w:rPr>
          <w:rFonts w:ascii="Times New Roman" w:hAnsi="Times New Roman"/>
          <w:color w:val="000000"/>
          <w:sz w:val="24"/>
          <w:szCs w:val="24"/>
        </w:rPr>
        <w:t>elektroenerģijas neto norēķinu sistēmas ieviešana Latvijā</w:t>
      </w:r>
      <w:r w:rsidRPr="009C727A">
        <w:rPr>
          <w:rFonts w:ascii="Times New Roman" w:hAnsi="Times New Roman"/>
          <w:sz w:val="24"/>
          <w:szCs w:val="24"/>
        </w:rPr>
        <w:t>. Elektroenerģijas tirgus likuma grozījumi paredz Latvijā ieviest elektroenerģijas neto norēķinu sistēmu, t.i., izstrādāt nosacījumus, kā nodrošināt mājsaimniecību no AER sar</w:t>
      </w:r>
      <w:r w:rsidR="00EF3EFB">
        <w:rPr>
          <w:rFonts w:ascii="Times New Roman" w:hAnsi="Times New Roman"/>
          <w:sz w:val="24"/>
          <w:szCs w:val="24"/>
        </w:rPr>
        <w:t xml:space="preserve">ažotās </w:t>
      </w:r>
      <w:r w:rsidR="00BE31C3">
        <w:rPr>
          <w:rFonts w:ascii="Times New Roman" w:hAnsi="Times New Roman"/>
          <w:sz w:val="24"/>
          <w:szCs w:val="24"/>
        </w:rPr>
        <w:t>(galvenokārt savam patēriņam)</w:t>
      </w:r>
      <w:r w:rsidR="00BE31C3" w:rsidRPr="009C727A">
        <w:rPr>
          <w:rFonts w:ascii="Times New Roman" w:hAnsi="Times New Roman"/>
          <w:sz w:val="24"/>
          <w:szCs w:val="24"/>
        </w:rPr>
        <w:t xml:space="preserve"> </w:t>
      </w:r>
      <w:r w:rsidR="00EF3EFB">
        <w:rPr>
          <w:rFonts w:ascii="Times New Roman" w:hAnsi="Times New Roman"/>
          <w:sz w:val="24"/>
          <w:szCs w:val="24"/>
        </w:rPr>
        <w:t xml:space="preserve">elektroenerģijas </w:t>
      </w:r>
      <w:r w:rsidRPr="009C727A">
        <w:rPr>
          <w:rFonts w:ascii="Times New Roman" w:hAnsi="Times New Roman"/>
          <w:sz w:val="24"/>
          <w:szCs w:val="24"/>
        </w:rPr>
        <w:t>nodošanu elektroenerģijas tīklā un</w:t>
      </w:r>
      <w:r w:rsidR="00BE31C3">
        <w:rPr>
          <w:rFonts w:ascii="Times New Roman" w:hAnsi="Times New Roman"/>
          <w:sz w:val="24"/>
          <w:szCs w:val="24"/>
        </w:rPr>
        <w:t>, ja nepieciešams,</w:t>
      </w:r>
      <w:r w:rsidRPr="009C727A">
        <w:rPr>
          <w:rFonts w:ascii="Times New Roman" w:hAnsi="Times New Roman"/>
          <w:sz w:val="24"/>
          <w:szCs w:val="24"/>
        </w:rPr>
        <w:t xml:space="preserve"> tāda paša daudzuma saņemšanu atpakaļ.</w:t>
      </w:r>
    </w:p>
    <w:p w:rsidR="00871110" w:rsidRPr="009C727A"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t>2012.gada īstenoti pasākumi elektroenerģijas apgādes kvalitātes, pieslēgumu jaudas palielināšanai un jaunu pieslēgumu nodrošināšanai industriālajiem objektiem.</w:t>
      </w:r>
    </w:p>
    <w:p w:rsidR="00871110"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lastRenderedPageBreak/>
        <w:t xml:space="preserve">Vienlaikus 2012.gadā apstiprināti grozījumi normatīvajos aktos, turpinot elektroenerģijas tirgus atvēršanu un nosakot, ka no 2012.gada 1.novembra regulēti tarifi tiek piemēroti tikai mājsaimniecību sektorā. </w:t>
      </w:r>
    </w:p>
    <w:p w:rsidR="00871110"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tab/>
        <w:t xml:space="preserve">2012.gadā tika turpinātas iepriekšējos gados uzsāktās sadales tīklu kabelizācijas un automatizācijas programmas, kas vērstas uz elektroapgādes drošuma palielināšanu. </w:t>
      </w:r>
    </w:p>
    <w:p w:rsidR="00871110" w:rsidRPr="009C727A"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iCs/>
          <w:sz w:val="24"/>
          <w:szCs w:val="24"/>
        </w:rPr>
        <w:t>Enerģētikas jomā 2013.gadā plānots pabeigt darbu pie i</w:t>
      </w:r>
      <w:r w:rsidRPr="009C727A">
        <w:rPr>
          <w:rFonts w:ascii="Times New Roman" w:hAnsi="Times New Roman"/>
          <w:sz w:val="24"/>
          <w:szCs w:val="24"/>
        </w:rPr>
        <w:t xml:space="preserve">lgtermiņa politikas plānošanas vadlīniju </w:t>
      </w:r>
      <w:r w:rsidR="00B167ED">
        <w:rPr>
          <w:rFonts w:ascii="Times New Roman" w:hAnsi="Times New Roman"/>
          <w:sz w:val="24"/>
          <w:szCs w:val="24"/>
        </w:rPr>
        <w:t>"</w:t>
      </w:r>
      <w:r w:rsidRPr="009C727A">
        <w:rPr>
          <w:rFonts w:ascii="Times New Roman" w:hAnsi="Times New Roman"/>
          <w:sz w:val="24"/>
          <w:szCs w:val="24"/>
        </w:rPr>
        <w:t>Latvijas Enerģēti</w:t>
      </w:r>
      <w:r w:rsidR="00BE31C3">
        <w:rPr>
          <w:rFonts w:ascii="Times New Roman" w:hAnsi="Times New Roman"/>
          <w:sz w:val="24"/>
          <w:szCs w:val="24"/>
        </w:rPr>
        <w:t>kas ilgtermiņa stratēģija 2030 –</w:t>
      </w:r>
      <w:r w:rsidRPr="009C727A">
        <w:rPr>
          <w:rFonts w:ascii="Times New Roman" w:hAnsi="Times New Roman"/>
          <w:sz w:val="24"/>
          <w:szCs w:val="24"/>
        </w:rPr>
        <w:t xml:space="preserve"> konkurētspējīga enerģētika sabiedrībai</w:t>
      </w:r>
      <w:r w:rsidR="00B167ED">
        <w:rPr>
          <w:rFonts w:ascii="Times New Roman" w:hAnsi="Times New Roman"/>
          <w:sz w:val="24"/>
          <w:szCs w:val="24"/>
        </w:rPr>
        <w:t>"</w:t>
      </w:r>
      <w:r w:rsidRPr="009C727A">
        <w:rPr>
          <w:rFonts w:ascii="Times New Roman" w:hAnsi="Times New Roman"/>
          <w:sz w:val="24"/>
          <w:szCs w:val="24"/>
        </w:rPr>
        <w:t xml:space="preserve"> izstrādes, apstiprinot tās Ministru kabinetā, prezentējot Saeimā, kā arī </w:t>
      </w:r>
      <w:r w:rsidR="00BE31C3">
        <w:rPr>
          <w:rFonts w:ascii="Times New Roman" w:hAnsi="Times New Roman"/>
          <w:sz w:val="24"/>
          <w:szCs w:val="24"/>
        </w:rPr>
        <w:t>uz</w:t>
      </w:r>
      <w:r w:rsidRPr="009C727A">
        <w:rPr>
          <w:rFonts w:ascii="Times New Roman" w:hAnsi="Times New Roman"/>
          <w:sz w:val="24"/>
          <w:szCs w:val="24"/>
        </w:rPr>
        <w:t>sākot pakārtoto tiesību aktu sagatavošanu un paredzētos pasākumus energoefektivitātes direktīvas ieviešanai.</w:t>
      </w:r>
    </w:p>
    <w:p w:rsidR="00871110" w:rsidRPr="009C727A" w:rsidRDefault="00871110" w:rsidP="00871110">
      <w:pPr>
        <w:spacing w:after="0" w:line="240" w:lineRule="auto"/>
        <w:ind w:firstLine="720"/>
        <w:jc w:val="both"/>
        <w:rPr>
          <w:rFonts w:ascii="Times New Roman" w:hAnsi="Times New Roman"/>
          <w:sz w:val="24"/>
          <w:szCs w:val="24"/>
        </w:rPr>
      </w:pPr>
      <w:r w:rsidRPr="009C727A">
        <w:rPr>
          <w:rFonts w:ascii="Times New Roman" w:hAnsi="Times New Roman"/>
          <w:sz w:val="24"/>
          <w:szCs w:val="24"/>
        </w:rPr>
        <w:t xml:space="preserve">2013.gadā tiks turpināts aktīvs darbs pie jauna atbalsta mehānisma izstrādes elektroenerģijas ražošanai no atjaunojamiem energoresursiem, balstoties uz </w:t>
      </w:r>
      <w:r>
        <w:rPr>
          <w:rFonts w:ascii="Times New Roman" w:hAnsi="Times New Roman"/>
          <w:sz w:val="24"/>
          <w:szCs w:val="24"/>
        </w:rPr>
        <w:t>EM</w:t>
      </w:r>
      <w:r w:rsidRPr="009C727A">
        <w:rPr>
          <w:rFonts w:ascii="Times New Roman" w:hAnsi="Times New Roman"/>
          <w:sz w:val="24"/>
          <w:szCs w:val="24"/>
        </w:rPr>
        <w:t xml:space="preserve"> jau iepriekš izstrādātajiem principiem.</w:t>
      </w:r>
      <w:r w:rsidRPr="009C727A">
        <w:rPr>
          <w:rFonts w:ascii="Times New Roman" w:hAnsi="Times New Roman"/>
          <w:color w:val="000000"/>
          <w:sz w:val="24"/>
          <w:szCs w:val="24"/>
        </w:rPr>
        <w:t xml:space="preserve"> 2013.gadā EM paredz turpināt tālāka atbalsta mehānisma obligātā elektroenerģijas iepirkuma veidā un tā izmaksu ietekmes izvērtēšanu, </w:t>
      </w:r>
      <w:r w:rsidR="00BE31C3">
        <w:rPr>
          <w:rFonts w:ascii="Times New Roman" w:hAnsi="Times New Roman"/>
          <w:color w:val="000000"/>
          <w:sz w:val="24"/>
          <w:szCs w:val="24"/>
        </w:rPr>
        <w:t>lai</w:t>
      </w:r>
      <w:r w:rsidRPr="009C727A">
        <w:rPr>
          <w:rFonts w:ascii="Times New Roman" w:hAnsi="Times New Roman"/>
          <w:color w:val="000000"/>
          <w:sz w:val="24"/>
          <w:szCs w:val="24"/>
        </w:rPr>
        <w:t xml:space="preserve"> ierobežot</w:t>
      </w:r>
      <w:r w:rsidR="00BE31C3">
        <w:rPr>
          <w:rFonts w:ascii="Times New Roman" w:hAnsi="Times New Roman"/>
          <w:color w:val="000000"/>
          <w:sz w:val="24"/>
          <w:szCs w:val="24"/>
        </w:rPr>
        <w:t>u</w:t>
      </w:r>
      <w:r w:rsidRPr="009C727A">
        <w:rPr>
          <w:rFonts w:ascii="Times New Roman" w:hAnsi="Times New Roman"/>
          <w:color w:val="000000"/>
          <w:sz w:val="24"/>
          <w:szCs w:val="24"/>
        </w:rPr>
        <w:t xml:space="preserve"> elektroenerģijas kopējā cenas līmeņa pieaugumu un nekavēt</w:t>
      </w:r>
      <w:r w:rsidR="00BE31C3">
        <w:rPr>
          <w:rFonts w:ascii="Times New Roman" w:hAnsi="Times New Roman"/>
          <w:color w:val="000000"/>
          <w:sz w:val="24"/>
          <w:szCs w:val="24"/>
        </w:rPr>
        <w:t>u</w:t>
      </w:r>
      <w:r w:rsidRPr="009C727A">
        <w:rPr>
          <w:rFonts w:ascii="Times New Roman" w:hAnsi="Times New Roman"/>
          <w:color w:val="000000"/>
          <w:sz w:val="24"/>
          <w:szCs w:val="24"/>
        </w:rPr>
        <w:t xml:space="preserve"> L</w:t>
      </w:r>
      <w:r w:rsidR="00BE31C3">
        <w:rPr>
          <w:rFonts w:ascii="Times New Roman" w:hAnsi="Times New Roman"/>
          <w:color w:val="000000"/>
          <w:sz w:val="24"/>
          <w:szCs w:val="24"/>
        </w:rPr>
        <w:t>atvijas uzņēmēju konkurētspējas</w:t>
      </w:r>
      <w:r w:rsidRPr="009C727A">
        <w:rPr>
          <w:rFonts w:ascii="Times New Roman" w:hAnsi="Times New Roman"/>
          <w:color w:val="000000"/>
          <w:sz w:val="24"/>
          <w:szCs w:val="24"/>
        </w:rPr>
        <w:t xml:space="preserve"> izaugsmi.</w:t>
      </w:r>
      <w:r w:rsidRPr="009C727A">
        <w:rPr>
          <w:rFonts w:ascii="Times New Roman" w:hAnsi="Times New Roman"/>
          <w:sz w:val="24"/>
          <w:szCs w:val="24"/>
        </w:rPr>
        <w:t xml:space="preserve"> </w:t>
      </w:r>
      <w:r w:rsidRPr="009C727A">
        <w:rPr>
          <w:rFonts w:ascii="Times New Roman" w:hAnsi="Times New Roman"/>
          <w:color w:val="000000"/>
          <w:sz w:val="24"/>
          <w:szCs w:val="24"/>
        </w:rPr>
        <w:t xml:space="preserve">Vēl 2013.gadā paredzams darbs pie Energoefektivitātes direktīvas ieviešanas, izstrādājot pakārtotos tiesību aktus.  </w:t>
      </w:r>
    </w:p>
    <w:p w:rsidR="00871110" w:rsidRPr="009C727A"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t xml:space="preserve">Elektroenerģijas tirgus pilnīgu atvēršanu plānots nodrošināt līdz 2013.gada septembrim, elektroenerģijas tirgū iesaistot arī mājsaimniecības. Tiek plānota elektroenerģijas biržas </w:t>
      </w:r>
      <w:r w:rsidRPr="009C727A">
        <w:rPr>
          <w:rFonts w:ascii="Times New Roman" w:hAnsi="Times New Roman"/>
          <w:i/>
          <w:sz w:val="24"/>
          <w:szCs w:val="24"/>
        </w:rPr>
        <w:t>Nord Pool Spot</w:t>
      </w:r>
      <w:r w:rsidRPr="009C727A">
        <w:rPr>
          <w:rFonts w:ascii="Times New Roman" w:hAnsi="Times New Roman"/>
          <w:sz w:val="24"/>
          <w:szCs w:val="24"/>
        </w:rPr>
        <w:t xml:space="preserve"> darbības uzsākšana Latvijā, paredzot līdz 03.06.2013. atvērt Latvijas cenu zonu biržas ietvaros. </w:t>
      </w:r>
    </w:p>
    <w:p w:rsidR="00871110" w:rsidRPr="009C727A"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 xml:space="preserve">EM </w:t>
      </w:r>
      <w:r w:rsidRPr="009C727A">
        <w:rPr>
          <w:rFonts w:ascii="Times New Roman" w:hAnsi="Times New Roman"/>
          <w:sz w:val="24"/>
          <w:szCs w:val="24"/>
        </w:rPr>
        <w:t>ir uzsākusi nepieciešamās darbības, lai nodrošinātu arī Latvijas dabasgāzes tirgus liberalizāciju un pilnībā ieviestu Eiropas Parlamenta un Padomes 2009.gada 13.jūlija Direktīvas 2009/73/EK par kopīgiem noteikumiem attiecī</w:t>
      </w:r>
      <w:r>
        <w:rPr>
          <w:rFonts w:ascii="Times New Roman" w:hAnsi="Times New Roman"/>
          <w:sz w:val="24"/>
          <w:szCs w:val="24"/>
        </w:rPr>
        <w:t xml:space="preserve">bā uz dabasgāzes iekšējo tirgu </w:t>
      </w:r>
      <w:r w:rsidRPr="009C727A">
        <w:rPr>
          <w:rFonts w:ascii="Times New Roman" w:hAnsi="Times New Roman"/>
          <w:sz w:val="24"/>
          <w:szCs w:val="24"/>
        </w:rPr>
        <w:t>un par Direktīvas 2003/55/EK atcelšanu prasības Latvijā.  Ir veikta direktīvas pārņemšanas opciju juridiskā un ekonomiskā  analīze, vērtējot dažādas  direktīvas pārņemšanas iespējas un izvēlētā modeļa ieviešanas  sekas. 2013.gada februāra beigās Ekonomikas ministrija iesniegs Ministru kabinetā priekšlikumus par optimālo direktīvas pārņemšan</w:t>
      </w:r>
      <w:r>
        <w:rPr>
          <w:rFonts w:ascii="Times New Roman" w:hAnsi="Times New Roman"/>
          <w:sz w:val="24"/>
          <w:szCs w:val="24"/>
        </w:rPr>
        <w:t xml:space="preserve">as modeli. Ekonomikas ministrs </w:t>
      </w:r>
      <w:r w:rsidRPr="009C727A">
        <w:rPr>
          <w:rFonts w:ascii="Times New Roman" w:hAnsi="Times New Roman"/>
          <w:sz w:val="24"/>
          <w:szCs w:val="24"/>
        </w:rPr>
        <w:t xml:space="preserve">ir saņēmis arī valdības mandātu sarunu sākšanai ar LG akcionāriem. </w:t>
      </w:r>
    </w:p>
    <w:p w:rsidR="00871110" w:rsidRPr="00BC4E45" w:rsidRDefault="00871110" w:rsidP="00871110">
      <w:pPr>
        <w:spacing w:after="0" w:line="240" w:lineRule="auto"/>
        <w:ind w:firstLine="709"/>
        <w:jc w:val="both"/>
        <w:rPr>
          <w:rFonts w:ascii="Times New Roman" w:hAnsi="Times New Roman"/>
          <w:sz w:val="24"/>
          <w:szCs w:val="24"/>
        </w:rPr>
      </w:pPr>
      <w:r w:rsidRPr="009C727A">
        <w:rPr>
          <w:rFonts w:ascii="Times New Roman" w:hAnsi="Times New Roman"/>
          <w:sz w:val="24"/>
          <w:szCs w:val="24"/>
        </w:rPr>
        <w:t>Paredzēts</w:t>
      </w:r>
      <w:r w:rsidR="00BE31C3">
        <w:rPr>
          <w:rFonts w:ascii="Times New Roman" w:hAnsi="Times New Roman"/>
          <w:sz w:val="24"/>
          <w:szCs w:val="24"/>
        </w:rPr>
        <w:t xml:space="preserve"> turpināt darbu arī pie Latvijā</w:t>
      </w:r>
      <w:r w:rsidRPr="009C727A">
        <w:rPr>
          <w:rFonts w:ascii="Times New Roman" w:hAnsi="Times New Roman"/>
          <w:sz w:val="24"/>
          <w:szCs w:val="24"/>
        </w:rPr>
        <w:t xml:space="preserve"> iesāktajiem un potenciālajiem enerģētikas infrastruktūras projektiem.</w:t>
      </w:r>
      <w:r>
        <w:rPr>
          <w:rFonts w:ascii="Times New Roman" w:hAnsi="Times New Roman"/>
          <w:sz w:val="24"/>
          <w:szCs w:val="24"/>
        </w:rPr>
        <w:t xml:space="preserve"> </w:t>
      </w:r>
    </w:p>
    <w:p w:rsidR="00871110" w:rsidRPr="009C727A" w:rsidRDefault="00871110" w:rsidP="00871110">
      <w:pPr>
        <w:spacing w:after="0" w:line="240" w:lineRule="auto"/>
        <w:ind w:firstLine="709"/>
        <w:jc w:val="both"/>
        <w:rPr>
          <w:rFonts w:ascii="Times New Roman" w:hAnsi="Times New Roman"/>
          <w:sz w:val="24"/>
          <w:szCs w:val="24"/>
        </w:rPr>
      </w:pPr>
    </w:p>
    <w:p w:rsidR="00871110" w:rsidRPr="003C49ED" w:rsidRDefault="00871110" w:rsidP="00871110">
      <w:pPr>
        <w:pStyle w:val="Heading2"/>
        <w:spacing w:before="0" w:line="240" w:lineRule="auto"/>
      </w:pPr>
      <w:bookmarkStart w:id="112" w:name="_Toc348089315"/>
      <w:bookmarkStart w:id="113" w:name="_Toc348948378"/>
      <w:r w:rsidRPr="003C49ED">
        <w:t>10. Pasākumi Latvijas pilsoņu reemigrācijas veicināšanai</w:t>
      </w:r>
      <w:bookmarkEnd w:id="112"/>
      <w:bookmarkEnd w:id="113"/>
    </w:p>
    <w:p w:rsidR="00871110" w:rsidRDefault="00871110" w:rsidP="00871110">
      <w:pPr>
        <w:spacing w:after="0" w:line="240" w:lineRule="auto"/>
        <w:ind w:firstLine="709"/>
        <w:jc w:val="both"/>
        <w:rPr>
          <w:rFonts w:ascii="Times New Roman" w:hAnsi="Times New Roman"/>
          <w:sz w:val="24"/>
          <w:szCs w:val="24"/>
        </w:rPr>
      </w:pPr>
    </w:p>
    <w:p w:rsidR="00871110"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MK izskatīts ziņojums par priekšlikumiem </w:t>
      </w:r>
      <w:r w:rsidRPr="006202E5">
        <w:rPr>
          <w:rFonts w:ascii="Times New Roman" w:hAnsi="Times New Roman"/>
          <w:iCs/>
          <w:sz w:val="24"/>
          <w:szCs w:val="24"/>
        </w:rPr>
        <w:t>reemigrācijas atbalsta pasākumiem</w:t>
      </w:r>
      <w:r w:rsidRPr="006202E5">
        <w:rPr>
          <w:rFonts w:ascii="Times New Roman" w:hAnsi="Times New Roman"/>
          <w:sz w:val="24"/>
          <w:szCs w:val="24"/>
        </w:rPr>
        <w:t>, piedāvājot konkrētus atbalsta pasākumu virzienus tiem iedzīvotājiem, kas iepriekšējos gados dažādu iemeslu dēļ i</w:t>
      </w:r>
      <w:r w:rsidR="00BE31C3">
        <w:rPr>
          <w:rFonts w:ascii="Times New Roman" w:hAnsi="Times New Roman"/>
          <w:sz w:val="24"/>
          <w:szCs w:val="24"/>
        </w:rPr>
        <w:t>r emigrējuši no valsts, bet</w:t>
      </w:r>
      <w:r w:rsidRPr="006202E5">
        <w:rPr>
          <w:rFonts w:ascii="Times New Roman" w:hAnsi="Times New Roman"/>
          <w:sz w:val="24"/>
          <w:szCs w:val="24"/>
        </w:rPr>
        <w:t xml:space="preserve"> būtu gatavi atgriezties, lai dzīvotu un strādātu Latvijā, un viņu ģimenes locekļiem. </w:t>
      </w:r>
    </w:p>
    <w:p w:rsidR="00871110"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Reemigrācijas atbalsta pasākumu</w:t>
      </w:r>
      <w:r w:rsidRPr="0012642F">
        <w:rPr>
          <w:rFonts w:ascii="Times New Roman" w:hAnsi="Times New Roman"/>
          <w:sz w:val="24"/>
          <w:szCs w:val="24"/>
        </w:rPr>
        <w:t xml:space="preserve"> </w:t>
      </w:r>
      <w:r>
        <w:rPr>
          <w:rFonts w:ascii="Times New Roman" w:hAnsi="Times New Roman"/>
          <w:sz w:val="24"/>
          <w:szCs w:val="24"/>
        </w:rPr>
        <w:t>priekšlikumu sagatavošanā</w:t>
      </w:r>
      <w:r w:rsidRPr="0012642F">
        <w:rPr>
          <w:rFonts w:ascii="Times New Roman" w:hAnsi="Times New Roman"/>
          <w:sz w:val="24"/>
          <w:szCs w:val="24"/>
        </w:rPr>
        <w:t xml:space="preserve"> </w:t>
      </w:r>
      <w:r>
        <w:rPr>
          <w:rFonts w:ascii="Times New Roman" w:hAnsi="Times New Roman"/>
          <w:sz w:val="24"/>
          <w:szCs w:val="24"/>
        </w:rPr>
        <w:t>tika</w:t>
      </w:r>
      <w:r w:rsidRPr="00D87756">
        <w:rPr>
          <w:rFonts w:ascii="Times New Roman" w:hAnsi="Times New Roman"/>
          <w:sz w:val="24"/>
          <w:szCs w:val="24"/>
        </w:rPr>
        <w:t xml:space="preserve"> iesaistīta Ie</w:t>
      </w:r>
      <w:r>
        <w:rPr>
          <w:rFonts w:ascii="Times New Roman" w:hAnsi="Times New Roman"/>
          <w:sz w:val="24"/>
          <w:szCs w:val="24"/>
        </w:rPr>
        <w:t>M</w:t>
      </w:r>
      <w:r w:rsidRPr="00D87756">
        <w:rPr>
          <w:rFonts w:ascii="Times New Roman" w:hAnsi="Times New Roman"/>
          <w:sz w:val="24"/>
          <w:szCs w:val="24"/>
        </w:rPr>
        <w:t>, L</w:t>
      </w:r>
      <w:r>
        <w:rPr>
          <w:rFonts w:ascii="Times New Roman" w:hAnsi="Times New Roman"/>
          <w:sz w:val="24"/>
          <w:szCs w:val="24"/>
        </w:rPr>
        <w:t>M</w:t>
      </w:r>
      <w:r w:rsidRPr="00D87756">
        <w:rPr>
          <w:rFonts w:ascii="Times New Roman" w:hAnsi="Times New Roman"/>
          <w:sz w:val="24"/>
          <w:szCs w:val="24"/>
        </w:rPr>
        <w:t>, I</w:t>
      </w:r>
      <w:r>
        <w:rPr>
          <w:rFonts w:ascii="Times New Roman" w:hAnsi="Times New Roman"/>
          <w:sz w:val="24"/>
          <w:szCs w:val="24"/>
        </w:rPr>
        <w:t>ZM</w:t>
      </w:r>
      <w:r w:rsidRPr="00D87756">
        <w:rPr>
          <w:rFonts w:ascii="Times New Roman" w:hAnsi="Times New Roman"/>
          <w:sz w:val="24"/>
          <w:szCs w:val="24"/>
        </w:rPr>
        <w:t>, K</w:t>
      </w:r>
      <w:r>
        <w:rPr>
          <w:rFonts w:ascii="Times New Roman" w:hAnsi="Times New Roman"/>
          <w:sz w:val="24"/>
          <w:szCs w:val="24"/>
        </w:rPr>
        <w:t>M</w:t>
      </w:r>
      <w:r w:rsidRPr="00D87756">
        <w:rPr>
          <w:rFonts w:ascii="Times New Roman" w:hAnsi="Times New Roman"/>
          <w:sz w:val="24"/>
          <w:szCs w:val="24"/>
        </w:rPr>
        <w:t>, V</w:t>
      </w:r>
      <w:r>
        <w:rPr>
          <w:rFonts w:ascii="Times New Roman" w:hAnsi="Times New Roman"/>
          <w:sz w:val="24"/>
          <w:szCs w:val="24"/>
        </w:rPr>
        <w:t>ARAM</w:t>
      </w:r>
      <w:r w:rsidRPr="00D87756">
        <w:rPr>
          <w:rFonts w:ascii="Times New Roman" w:hAnsi="Times New Roman"/>
          <w:sz w:val="24"/>
          <w:szCs w:val="24"/>
        </w:rPr>
        <w:t>, F</w:t>
      </w:r>
      <w:r>
        <w:rPr>
          <w:rFonts w:ascii="Times New Roman" w:hAnsi="Times New Roman"/>
          <w:sz w:val="24"/>
          <w:szCs w:val="24"/>
        </w:rPr>
        <w:t>M</w:t>
      </w:r>
      <w:r w:rsidRPr="00D87756">
        <w:rPr>
          <w:rFonts w:ascii="Times New Roman" w:hAnsi="Times New Roman"/>
          <w:sz w:val="24"/>
          <w:szCs w:val="24"/>
        </w:rPr>
        <w:t>, V</w:t>
      </w:r>
      <w:r>
        <w:rPr>
          <w:rFonts w:ascii="Times New Roman" w:hAnsi="Times New Roman"/>
          <w:sz w:val="24"/>
          <w:szCs w:val="24"/>
        </w:rPr>
        <w:t>M</w:t>
      </w:r>
      <w:r w:rsidRPr="00D87756">
        <w:rPr>
          <w:rFonts w:ascii="Times New Roman" w:hAnsi="Times New Roman"/>
          <w:sz w:val="24"/>
          <w:szCs w:val="24"/>
        </w:rPr>
        <w:t>, Z</w:t>
      </w:r>
      <w:r>
        <w:rPr>
          <w:rFonts w:ascii="Times New Roman" w:hAnsi="Times New Roman"/>
          <w:sz w:val="24"/>
          <w:szCs w:val="24"/>
        </w:rPr>
        <w:t>M</w:t>
      </w:r>
      <w:r w:rsidRPr="00D87756">
        <w:rPr>
          <w:rFonts w:ascii="Times New Roman" w:hAnsi="Times New Roman"/>
          <w:sz w:val="24"/>
          <w:szCs w:val="24"/>
        </w:rPr>
        <w:t>, Pasaules brīvo latviešu pārstāvniecība Rīgā, Eiropas Latviešu apvienība, L</w:t>
      </w:r>
      <w:r>
        <w:rPr>
          <w:rFonts w:ascii="Times New Roman" w:hAnsi="Times New Roman"/>
          <w:sz w:val="24"/>
          <w:szCs w:val="24"/>
        </w:rPr>
        <w:t>DDK</w:t>
      </w:r>
      <w:r w:rsidRPr="00D87756">
        <w:rPr>
          <w:rFonts w:ascii="Times New Roman" w:hAnsi="Times New Roman"/>
          <w:sz w:val="24"/>
          <w:szCs w:val="24"/>
        </w:rPr>
        <w:t>, L</w:t>
      </w:r>
      <w:r>
        <w:rPr>
          <w:rFonts w:ascii="Times New Roman" w:hAnsi="Times New Roman"/>
          <w:sz w:val="24"/>
          <w:szCs w:val="24"/>
        </w:rPr>
        <w:t>TRK</w:t>
      </w:r>
      <w:r w:rsidRPr="00D87756">
        <w:rPr>
          <w:rFonts w:ascii="Times New Roman" w:hAnsi="Times New Roman"/>
          <w:sz w:val="24"/>
          <w:szCs w:val="24"/>
        </w:rPr>
        <w:t>, L</w:t>
      </w:r>
      <w:r>
        <w:rPr>
          <w:rFonts w:ascii="Times New Roman" w:hAnsi="Times New Roman"/>
          <w:sz w:val="24"/>
          <w:szCs w:val="24"/>
        </w:rPr>
        <w:t>PS</w:t>
      </w:r>
      <w:r w:rsidRPr="00D87756">
        <w:rPr>
          <w:rFonts w:ascii="Times New Roman" w:hAnsi="Times New Roman"/>
          <w:sz w:val="24"/>
          <w:szCs w:val="24"/>
        </w:rPr>
        <w:t>.</w:t>
      </w:r>
      <w:r w:rsidR="00BE31C3">
        <w:rPr>
          <w:rFonts w:ascii="Times New Roman" w:hAnsi="Times New Roman"/>
          <w:sz w:val="24"/>
          <w:szCs w:val="24"/>
        </w:rPr>
        <w:t xml:space="preserve"> Tādējādi</w:t>
      </w:r>
      <w:r>
        <w:rPr>
          <w:rFonts w:ascii="Times New Roman" w:hAnsi="Times New Roman"/>
          <w:sz w:val="24"/>
          <w:szCs w:val="24"/>
        </w:rPr>
        <w:t xml:space="preserve"> no ĀM un EM puses tika uzsākts aktīvāks dialogs un ciešāka sadarbība ar ārzemēs dzīvojošo tautiešu </w:t>
      </w:r>
      <w:r w:rsidRPr="00D87756">
        <w:rPr>
          <w:rFonts w:ascii="Times New Roman" w:hAnsi="Times New Roman"/>
          <w:sz w:val="24"/>
          <w:szCs w:val="24"/>
        </w:rPr>
        <w:t>organizācijām</w:t>
      </w:r>
      <w:r>
        <w:rPr>
          <w:rFonts w:ascii="Times New Roman" w:hAnsi="Times New Roman"/>
          <w:sz w:val="24"/>
          <w:szCs w:val="24"/>
        </w:rPr>
        <w:t>.</w:t>
      </w:r>
      <w:r w:rsidRPr="00D87756">
        <w:rPr>
          <w:rFonts w:ascii="Times New Roman" w:hAnsi="Times New Roman"/>
          <w:sz w:val="24"/>
          <w:szCs w:val="24"/>
        </w:rPr>
        <w:t xml:space="preserve"> </w:t>
      </w:r>
      <w:r>
        <w:rPr>
          <w:rFonts w:ascii="Times New Roman" w:hAnsi="Times New Roman"/>
          <w:sz w:val="24"/>
          <w:szCs w:val="24"/>
        </w:rPr>
        <w:t>Tika noorganizēta arī ekonomikas minis</w:t>
      </w:r>
      <w:r w:rsidR="00BE31C3">
        <w:rPr>
          <w:rFonts w:ascii="Times New Roman" w:hAnsi="Times New Roman"/>
          <w:sz w:val="24"/>
          <w:szCs w:val="24"/>
        </w:rPr>
        <w:t>tra vizīte Īrijā un Lielbritānijā</w:t>
      </w:r>
      <w:r>
        <w:rPr>
          <w:rFonts w:ascii="Times New Roman" w:hAnsi="Times New Roman"/>
          <w:sz w:val="24"/>
          <w:szCs w:val="24"/>
        </w:rPr>
        <w:t xml:space="preserve">, kuras mērķis bija tikties ar Latvijas diasporas pārstāvjiem, diskutēt par viņiem </w:t>
      </w:r>
      <w:r>
        <w:rPr>
          <w:rFonts w:ascii="Times New Roman" w:hAnsi="Times New Roman"/>
          <w:sz w:val="24"/>
          <w:szCs w:val="24"/>
        </w:rPr>
        <w:lastRenderedPageBreak/>
        <w:t>aktuālajiem jautājumiem un iesaistīt reemigrācijas atbalsta pasākumu plāna izstrādē. Tāpat tika nodrošināta reemigrācijas atbalsta pasākumu plāna sabiedriskā apspriešana.</w:t>
      </w:r>
    </w:p>
    <w:p w:rsidR="00871110" w:rsidRPr="00871110" w:rsidRDefault="00871110" w:rsidP="008711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202E5">
        <w:rPr>
          <w:rFonts w:ascii="Times New Roman" w:hAnsi="Times New Roman"/>
          <w:sz w:val="24"/>
          <w:szCs w:val="24"/>
        </w:rPr>
        <w:t>Līdz 2013.gada 2.aprīlim plānots sagatavot Reemigrācijas atbals</w:t>
      </w:r>
      <w:r w:rsidR="00BE31C3">
        <w:rPr>
          <w:rFonts w:ascii="Times New Roman" w:hAnsi="Times New Roman"/>
          <w:sz w:val="24"/>
          <w:szCs w:val="24"/>
        </w:rPr>
        <w:t>ta pasākumu rīcības plānu 2013.–</w:t>
      </w:r>
      <w:r w:rsidRPr="006202E5">
        <w:rPr>
          <w:rFonts w:ascii="Times New Roman" w:hAnsi="Times New Roman"/>
          <w:sz w:val="24"/>
          <w:szCs w:val="24"/>
        </w:rPr>
        <w:t>2016.gadam.</w:t>
      </w:r>
      <w:r w:rsidRPr="000D2E91">
        <w:rPr>
          <w:rFonts w:ascii="Times New Roman" w:hAnsi="Times New Roman"/>
          <w:sz w:val="24"/>
          <w:szCs w:val="24"/>
        </w:rPr>
        <w:t xml:space="preserve">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Noteikumi </w:t>
      </w:r>
      <w:r w:rsidR="00BE31C3">
        <w:rPr>
          <w:rFonts w:ascii="Times New Roman" w:hAnsi="Times New Roman"/>
          <w:bCs/>
          <w:sz w:val="24"/>
          <w:szCs w:val="24"/>
        </w:rPr>
        <w:t>par kārtību</w:t>
      </w:r>
      <w:r w:rsidRPr="006202E5">
        <w:rPr>
          <w:rFonts w:ascii="Times New Roman" w:hAnsi="Times New Roman"/>
          <w:bCs/>
          <w:sz w:val="24"/>
          <w:szCs w:val="24"/>
        </w:rPr>
        <w:t>, kādā izglītojamie tiek uzņemti vispārējās izglītības iestādēs un atskaitīti no tām, un obligātās prasības pārcelšanai uz nākamo klasi</w:t>
      </w:r>
      <w:r w:rsidRPr="006202E5">
        <w:rPr>
          <w:rFonts w:ascii="Times New Roman" w:hAnsi="Times New Roman"/>
          <w:sz w:val="24"/>
          <w:szCs w:val="24"/>
        </w:rPr>
        <w:t xml:space="preserve"> paredz, ka šādos gadījumos izglītības iestādes direktors ar rīkojumu nosaka bērnam nepieciešamos atbalsta pasākumus vismaz viena semestra ilgumā mācību priekšmetos, kas atšķiras Latvijas un bērna iepriekš apgūtajā izglītības programmā.</w:t>
      </w:r>
    </w:p>
    <w:p w:rsidR="00871110" w:rsidRPr="006202E5" w:rsidRDefault="00871110" w:rsidP="00871110">
      <w:pPr>
        <w:pStyle w:val="NormalWeb"/>
        <w:spacing w:before="0" w:beforeAutospacing="0" w:after="0" w:afterAutospacing="0"/>
        <w:ind w:firstLine="720"/>
        <w:jc w:val="both"/>
        <w:rPr>
          <w:bCs/>
        </w:rPr>
      </w:pPr>
      <w:r w:rsidRPr="006202E5">
        <w:rPr>
          <w:bCs/>
        </w:rPr>
        <w:t xml:space="preserve">Izglītības nodrošināšanai diasporā apvienība </w:t>
      </w:r>
      <w:r w:rsidR="00B167ED">
        <w:rPr>
          <w:bCs/>
        </w:rPr>
        <w:t>"</w:t>
      </w:r>
      <w:r w:rsidRPr="006202E5">
        <w:rPr>
          <w:bCs/>
        </w:rPr>
        <w:t>Eiropas skola</w:t>
      </w:r>
      <w:r w:rsidR="00B167ED">
        <w:rPr>
          <w:bCs/>
        </w:rPr>
        <w:t>"</w:t>
      </w:r>
      <w:r w:rsidRPr="006202E5">
        <w:rPr>
          <w:bCs/>
        </w:rPr>
        <w:t xml:space="preserve"> nodrošina visu dalībvalstu skolēniem dzimtās valodas apguvi. Latvijas Republika ir sagatavojusi un Eiropas Skolas senāts ir apstiprinājis latviešu valodas programmu viduss</w:t>
      </w:r>
      <w:r w:rsidR="00BE31C3">
        <w:rPr>
          <w:bCs/>
        </w:rPr>
        <w:t>kolai,</w:t>
      </w:r>
      <w:r w:rsidRPr="006202E5">
        <w:rPr>
          <w:bCs/>
        </w:rPr>
        <w:t xml:space="preserve"> katru gadu tiek sagatavots </w:t>
      </w:r>
      <w:r w:rsidR="00BE31C3" w:rsidRPr="006202E5">
        <w:rPr>
          <w:bCs/>
        </w:rPr>
        <w:t xml:space="preserve">arī </w:t>
      </w:r>
      <w:r w:rsidRPr="006202E5">
        <w:rPr>
          <w:bCs/>
        </w:rPr>
        <w:t>latviešu valodas eksāmens Eiropas skolām.</w:t>
      </w:r>
    </w:p>
    <w:p w:rsidR="00871110" w:rsidRPr="006202E5" w:rsidRDefault="00871110" w:rsidP="00871110">
      <w:pPr>
        <w:pStyle w:val="NormalWeb"/>
        <w:spacing w:before="0" w:beforeAutospacing="0" w:after="0" w:afterAutospacing="0"/>
        <w:ind w:firstLine="720"/>
        <w:jc w:val="both"/>
        <w:rPr>
          <w:bCs/>
        </w:rPr>
      </w:pPr>
      <w:r w:rsidRPr="006202E5">
        <w:rPr>
          <w:bCs/>
        </w:rPr>
        <w:t xml:space="preserve">LVA ir atbalstījusi Pasaules </w:t>
      </w:r>
      <w:r w:rsidR="006D7AB4" w:rsidRPr="006202E5">
        <w:rPr>
          <w:bCs/>
        </w:rPr>
        <w:t xml:space="preserve">Brīvo </w:t>
      </w:r>
      <w:r w:rsidRPr="006202E5">
        <w:rPr>
          <w:bCs/>
        </w:rPr>
        <w:t xml:space="preserve">latviešu apvienības sadarbībā ar KM rīkotos latviešu diasporas skolotāju profesionālās pilnveides kursus </w:t>
      </w:r>
      <w:r w:rsidR="00B167ED">
        <w:rPr>
          <w:bCs/>
        </w:rPr>
        <w:t>"</w:t>
      </w:r>
      <w:r w:rsidRPr="006202E5">
        <w:rPr>
          <w:bCs/>
        </w:rPr>
        <w:t>Latviešu valodai un latviskai dvēselei</w:t>
      </w:r>
      <w:r w:rsidR="00B167ED">
        <w:rPr>
          <w:bCs/>
        </w:rPr>
        <w:t>"</w:t>
      </w:r>
      <w:r w:rsidRPr="006202E5">
        <w:rPr>
          <w:bCs/>
        </w:rPr>
        <w:t>, kuros piedalījās ap 50 dalībnieku no 18 dažādām pasaules valstīm.</w:t>
      </w:r>
    </w:p>
    <w:p w:rsidR="00871110" w:rsidRPr="006202E5" w:rsidRDefault="00871110" w:rsidP="00871110">
      <w:pPr>
        <w:pStyle w:val="NoSpacing"/>
        <w:ind w:firstLine="720"/>
        <w:jc w:val="both"/>
        <w:rPr>
          <w:rStyle w:val="c3"/>
          <w:rFonts w:ascii="Times New Roman" w:hAnsi="Times New Roman"/>
          <w:sz w:val="24"/>
          <w:szCs w:val="24"/>
        </w:rPr>
      </w:pPr>
      <w:r w:rsidRPr="006202E5">
        <w:rPr>
          <w:rFonts w:ascii="Times New Roman" w:hAnsi="Times New Roman"/>
          <w:sz w:val="24"/>
          <w:szCs w:val="24"/>
        </w:rPr>
        <w:t xml:space="preserve">IZM sadarbībā ar LVA īstenos pasākumus valsts valodas atbalsta sistēmas nodrošināšanai diasporā sadarbībā ar pasaules latviešu organizācijām, lai veicinātu reemigrāciju un nodarbinātību. Tā kā diasporas skolu darbība ir būtisks priekšnosacījums latviskās identitātes un piederības Latvijai saglabāšanai un uzturēšanai, bet to pedagogi – potenciālie reemigrācijas veicinātāji un aktualizētāji, 2013.gadā atbalstāmo skolotāju un skolu skaitu ir plānots palielināt. Plānots </w:t>
      </w:r>
      <w:r w:rsidRPr="006202E5">
        <w:rPr>
          <w:rStyle w:val="c3"/>
          <w:rFonts w:ascii="Times New Roman" w:hAnsi="Times New Roman"/>
          <w:sz w:val="24"/>
          <w:szCs w:val="24"/>
        </w:rPr>
        <w:t xml:space="preserve">izstrādāt mācību un metodiskos līdzekļus diasporas skolām, sagatavot metodisko rakstu krājumu diasporas skolotājiem un vecākiem, pilnveidot esošās diasporas latviešu valodas mācību programmas, izstrādāt programmu un organizēt tālākizglītības kursus reemigrējušo bērnu skolotājiem Latvijā, organizēt valodas nometni </w:t>
      </w:r>
      <w:r w:rsidR="00B167ED">
        <w:rPr>
          <w:rStyle w:val="c3"/>
          <w:rFonts w:ascii="Times New Roman" w:hAnsi="Times New Roman"/>
          <w:sz w:val="24"/>
          <w:szCs w:val="24"/>
        </w:rPr>
        <w:t>"</w:t>
      </w:r>
      <w:r w:rsidRPr="006202E5">
        <w:rPr>
          <w:rStyle w:val="c3"/>
          <w:rFonts w:ascii="Times New Roman" w:hAnsi="Times New Roman"/>
          <w:sz w:val="24"/>
          <w:szCs w:val="24"/>
        </w:rPr>
        <w:t>Mācāmies kopā!</w:t>
      </w:r>
      <w:r w:rsidR="00B167ED">
        <w:rPr>
          <w:rStyle w:val="c3"/>
          <w:rFonts w:ascii="Times New Roman" w:hAnsi="Times New Roman"/>
          <w:sz w:val="24"/>
          <w:szCs w:val="24"/>
        </w:rPr>
        <w:t>"</w:t>
      </w:r>
      <w:r w:rsidRPr="006202E5">
        <w:rPr>
          <w:rStyle w:val="c3"/>
          <w:rFonts w:ascii="Times New Roman" w:hAnsi="Times New Roman"/>
          <w:sz w:val="24"/>
          <w:szCs w:val="24"/>
        </w:rPr>
        <w:t xml:space="preserve"> diaspo</w:t>
      </w:r>
      <w:r w:rsidR="00BE31C3">
        <w:rPr>
          <w:rStyle w:val="c3"/>
          <w:rFonts w:ascii="Times New Roman" w:hAnsi="Times New Roman"/>
          <w:sz w:val="24"/>
          <w:szCs w:val="24"/>
        </w:rPr>
        <w:t>ras un reemigrējušajiem bērniem un viņu vecākiem</w:t>
      </w:r>
      <w:r w:rsidRPr="006202E5">
        <w:rPr>
          <w:rStyle w:val="c3"/>
          <w:rFonts w:ascii="Times New Roman" w:hAnsi="Times New Roman"/>
          <w:sz w:val="24"/>
          <w:szCs w:val="24"/>
        </w:rPr>
        <w:t xml:space="preserve"> u.c.</w:t>
      </w:r>
    </w:p>
    <w:p w:rsidR="00871110" w:rsidRPr="003C49ED"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IZM plāno specializētu latviešu valodas kursu nodrošināšanu specifiskām darba vajadzībām, skolēniem, kas atgriežas no ārzemēm, kā arī plāno informatīvo materiālu izstrādi skolēnu vecākiem, kas palīdzētu viņiem orientēties Latvijas izglītības sistēmā.</w:t>
      </w:r>
    </w:p>
    <w:p w:rsidR="00871110" w:rsidRDefault="00871110" w:rsidP="00871110">
      <w:pPr>
        <w:pStyle w:val="Heading2"/>
        <w:spacing w:before="0" w:line="240" w:lineRule="auto"/>
      </w:pPr>
    </w:p>
    <w:p w:rsidR="00871110" w:rsidRPr="003C49ED" w:rsidRDefault="00871110" w:rsidP="00871110">
      <w:pPr>
        <w:pStyle w:val="Heading2"/>
        <w:spacing w:before="0" w:line="240" w:lineRule="auto"/>
      </w:pPr>
      <w:bookmarkStart w:id="114" w:name="_Toc348089316"/>
      <w:bookmarkStart w:id="115" w:name="_Toc348948379"/>
      <w:r w:rsidRPr="003C49ED">
        <w:t>11. Būvniecības politika</w:t>
      </w:r>
      <w:bookmarkEnd w:id="114"/>
      <w:bookmarkEnd w:id="115"/>
      <w:r w:rsidRPr="003C49ED">
        <w:t xml:space="preserve"> </w:t>
      </w:r>
    </w:p>
    <w:p w:rsidR="00871110" w:rsidRPr="006202E5" w:rsidRDefault="00871110" w:rsidP="00871110">
      <w:pPr>
        <w:spacing w:after="0" w:line="240" w:lineRule="auto"/>
        <w:jc w:val="both"/>
        <w:rPr>
          <w:rFonts w:ascii="Times New Roman" w:hAnsi="Times New Roman"/>
          <w:sz w:val="24"/>
          <w:szCs w:val="24"/>
        </w:rPr>
      </w:pP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Būvniecības nozares politikas pilnveidošanai 2012.gadā veikti grozījumi Ministru kabineta 2011.gada noteikumos Nr.799 </w:t>
      </w:r>
      <w:r w:rsidR="00B167ED">
        <w:rPr>
          <w:rFonts w:ascii="Times New Roman" w:hAnsi="Times New Roman"/>
          <w:sz w:val="24"/>
          <w:szCs w:val="24"/>
        </w:rPr>
        <w:t>"</w:t>
      </w:r>
      <w:r w:rsidRPr="006202E5">
        <w:rPr>
          <w:rFonts w:ascii="Times New Roman" w:hAnsi="Times New Roman"/>
          <w:sz w:val="24"/>
          <w:szCs w:val="24"/>
        </w:rPr>
        <w:t>Būvkomersantu reģistrācijas noteikumi</w:t>
      </w:r>
      <w:r w:rsidR="00B167ED">
        <w:rPr>
          <w:rFonts w:ascii="Times New Roman" w:hAnsi="Times New Roman"/>
          <w:sz w:val="24"/>
          <w:szCs w:val="24"/>
        </w:rPr>
        <w:t>"</w:t>
      </w:r>
      <w:r w:rsidRPr="006202E5">
        <w:rPr>
          <w:rFonts w:ascii="Times New Roman" w:hAnsi="Times New Roman"/>
          <w:sz w:val="24"/>
          <w:szCs w:val="24"/>
        </w:rPr>
        <w:t xml:space="preserve">, Ministru kabineta 2008.gada 21.jūlija noteikumos Nr.567 </w:t>
      </w:r>
      <w:r w:rsidR="00B167ED">
        <w:rPr>
          <w:rFonts w:ascii="Times New Roman" w:hAnsi="Times New Roman"/>
          <w:sz w:val="24"/>
          <w:szCs w:val="24"/>
        </w:rPr>
        <w:t>"</w:t>
      </w:r>
      <w:r w:rsidRPr="006202E5">
        <w:rPr>
          <w:rFonts w:ascii="Times New Roman" w:hAnsi="Times New Roman"/>
          <w:sz w:val="24"/>
          <w:szCs w:val="24"/>
        </w:rPr>
        <w:t xml:space="preserve">Noteikumi par Latvijas būvnormatīvu LBN 208-08 </w:t>
      </w:r>
      <w:r w:rsidR="00B167ED">
        <w:rPr>
          <w:rFonts w:ascii="Times New Roman" w:hAnsi="Times New Roman"/>
          <w:sz w:val="24"/>
          <w:szCs w:val="24"/>
        </w:rPr>
        <w:t>"</w:t>
      </w:r>
      <w:r w:rsidRPr="006202E5">
        <w:rPr>
          <w:rFonts w:ascii="Times New Roman" w:hAnsi="Times New Roman"/>
          <w:sz w:val="24"/>
          <w:szCs w:val="24"/>
        </w:rPr>
        <w:t>Publiskas ēkas un būves</w:t>
      </w:r>
      <w:r w:rsidR="00B167ED">
        <w:rPr>
          <w:rFonts w:ascii="Times New Roman" w:hAnsi="Times New Roman"/>
          <w:sz w:val="24"/>
          <w:szCs w:val="24"/>
        </w:rPr>
        <w:t>""</w:t>
      </w:r>
      <w:r w:rsidRPr="006202E5">
        <w:rPr>
          <w:rFonts w:ascii="Times New Roman" w:hAnsi="Times New Roman"/>
          <w:sz w:val="24"/>
          <w:szCs w:val="24"/>
        </w:rPr>
        <w:t xml:space="preserve">, Ministru kabineta 2009.gada 3.ferbruāra noteikumos Nr.102 </w:t>
      </w:r>
      <w:r w:rsidR="00B167ED">
        <w:rPr>
          <w:rFonts w:ascii="Times New Roman" w:hAnsi="Times New Roman"/>
          <w:sz w:val="24"/>
          <w:szCs w:val="24"/>
        </w:rPr>
        <w:t>"</w:t>
      </w:r>
      <w:r w:rsidRPr="006202E5">
        <w:rPr>
          <w:rFonts w:ascii="Times New Roman" w:hAnsi="Times New Roman"/>
          <w:sz w:val="24"/>
          <w:szCs w:val="24"/>
        </w:rPr>
        <w:t xml:space="preserve">Noteikumi par Latvijas būvnormatīvu LBN 211-08 </w:t>
      </w:r>
      <w:r w:rsidR="00B167ED">
        <w:rPr>
          <w:rFonts w:ascii="Times New Roman" w:hAnsi="Times New Roman"/>
          <w:sz w:val="24"/>
          <w:szCs w:val="24"/>
        </w:rPr>
        <w:t>"</w:t>
      </w:r>
      <w:r w:rsidRPr="006202E5">
        <w:rPr>
          <w:rFonts w:ascii="Times New Roman" w:hAnsi="Times New Roman"/>
          <w:sz w:val="24"/>
          <w:szCs w:val="24"/>
        </w:rPr>
        <w:t>Daudzstāvu daudzdzīvokļu dzīvojamie nami</w:t>
      </w:r>
      <w:r w:rsidR="00B167ED">
        <w:rPr>
          <w:rFonts w:ascii="Times New Roman" w:hAnsi="Times New Roman"/>
          <w:sz w:val="24"/>
          <w:szCs w:val="24"/>
        </w:rPr>
        <w:t>"</w:t>
      </w:r>
      <w:r w:rsidRPr="006202E5">
        <w:rPr>
          <w:rFonts w:ascii="Times New Roman" w:hAnsi="Times New Roman"/>
          <w:sz w:val="24"/>
          <w:szCs w:val="24"/>
        </w:rPr>
        <w:t>’, kā arī izstrādāts Eirokodeksa standartu nac</w:t>
      </w:r>
      <w:r w:rsidR="00BE31C3">
        <w:rPr>
          <w:rFonts w:ascii="Times New Roman" w:hAnsi="Times New Roman"/>
          <w:sz w:val="24"/>
          <w:szCs w:val="24"/>
        </w:rPr>
        <w:t>ionālais ieviešanas plāns 2013.–</w:t>
      </w:r>
      <w:r w:rsidRPr="006202E5">
        <w:rPr>
          <w:rFonts w:ascii="Times New Roman" w:hAnsi="Times New Roman"/>
          <w:sz w:val="24"/>
          <w:szCs w:val="24"/>
        </w:rPr>
        <w:t>2014.gadam.</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t xml:space="preserve">Lai novērstu nepamatoti lētu piedāvājumu iesniegšanu būvdarbu iepirkumos, veicinātu godīgu konkurenci, celtu būvju kvalitāti un energoefektivitāti, kā arī optimizētu valsts un pašvaldību publisko iepirkumu komisiju darbu, 2012.gadā tika izstrādāti </w:t>
      </w:r>
      <w:r w:rsidR="00B167ED">
        <w:rPr>
          <w:rFonts w:ascii="Times New Roman" w:hAnsi="Times New Roman"/>
          <w:sz w:val="24"/>
          <w:szCs w:val="24"/>
        </w:rPr>
        <w:t>"</w:t>
      </w:r>
      <w:r w:rsidRPr="006202E5">
        <w:rPr>
          <w:rFonts w:ascii="Times New Roman" w:hAnsi="Times New Roman"/>
          <w:bCs/>
          <w:color w:val="000000"/>
          <w:sz w:val="24"/>
          <w:szCs w:val="24"/>
        </w:rPr>
        <w:t>Ieteikumi pretendentu atlases prasību un piedāvājuma izvēles kritēriju izvirzīšanai, veicot iepirkuma procedūru būvdarbu jomā</w:t>
      </w:r>
      <w:r w:rsidR="00B167ED">
        <w:rPr>
          <w:rFonts w:ascii="Times New Roman" w:hAnsi="Times New Roman"/>
          <w:bCs/>
          <w:color w:val="000000"/>
          <w:sz w:val="24"/>
          <w:szCs w:val="24"/>
        </w:rPr>
        <w:t>"</w:t>
      </w:r>
      <w:r w:rsidRPr="006202E5">
        <w:rPr>
          <w:rFonts w:ascii="Times New Roman" w:hAnsi="Times New Roman"/>
          <w:bCs/>
          <w:color w:val="000000"/>
          <w:sz w:val="24"/>
          <w:szCs w:val="24"/>
        </w:rPr>
        <w:t>, kas pieejami EM mājaslapā.</w:t>
      </w:r>
    </w:p>
    <w:p w:rsidR="00871110" w:rsidRPr="006202E5" w:rsidRDefault="00871110" w:rsidP="00871110">
      <w:pPr>
        <w:spacing w:after="0" w:line="240" w:lineRule="auto"/>
        <w:ind w:firstLine="709"/>
        <w:jc w:val="both"/>
        <w:rPr>
          <w:rFonts w:ascii="Times New Roman" w:hAnsi="Times New Roman"/>
          <w:sz w:val="24"/>
          <w:szCs w:val="24"/>
        </w:rPr>
      </w:pPr>
      <w:r w:rsidRPr="006202E5">
        <w:rPr>
          <w:rFonts w:ascii="Times New Roman" w:hAnsi="Times New Roman"/>
          <w:sz w:val="24"/>
          <w:szCs w:val="24"/>
        </w:rPr>
        <w:lastRenderedPageBreak/>
        <w:t xml:space="preserve">2012.gadā turpinājās darbs Saeimā pie jauna būvniecību regulējoša likuma izstrādes, kurā ietvertas vairākas nozīmīgas izmaiņas, kas turpmāk ļaus ātrāk, efektīvāk un atbildīgāk organizēt un nodrošināt būvniecības procesu. Vienlaikus aizsākta diskusija par to, cik ilgi objektu var būvēt un vai sabiedrības interesēs būtu nepieciešams kopējo būvniecības termiņu ierobežot. Ir izstrādāti kritēriji un nosacījumi, kas paredz laika ierobežojumu būvobjekta būvniecībai, sevišķi gadījumos, </w:t>
      </w:r>
      <w:r w:rsidR="00BE31C3">
        <w:rPr>
          <w:rFonts w:ascii="Times New Roman" w:hAnsi="Times New Roman"/>
          <w:sz w:val="24"/>
          <w:szCs w:val="24"/>
        </w:rPr>
        <w:t>ja</w:t>
      </w:r>
      <w:r w:rsidRPr="006202E5">
        <w:rPr>
          <w:rFonts w:ascii="Times New Roman" w:hAnsi="Times New Roman"/>
          <w:sz w:val="24"/>
          <w:szCs w:val="24"/>
        </w:rPr>
        <w:t xml:space="preserve"> </w:t>
      </w:r>
      <w:r w:rsidR="00BE31C3" w:rsidRPr="006202E5">
        <w:rPr>
          <w:rFonts w:ascii="Times New Roman" w:hAnsi="Times New Roman"/>
          <w:sz w:val="24"/>
          <w:szCs w:val="24"/>
        </w:rPr>
        <w:t xml:space="preserve">tiek </w:t>
      </w:r>
      <w:r w:rsidRPr="006202E5">
        <w:rPr>
          <w:rFonts w:ascii="Times New Roman" w:hAnsi="Times New Roman"/>
          <w:sz w:val="24"/>
          <w:szCs w:val="24"/>
        </w:rPr>
        <w:t>būvēts objekts, kura izmantošana ietekmē apkārtējo vidi. Tāpat 2012.gada nogalē aktualizējās jautājums par nacionālo interešu objektu būvniecību un sabiedrības iespējām šo būvniecību apturēt.</w:t>
      </w:r>
    </w:p>
    <w:p w:rsidR="00871110" w:rsidRPr="006202E5" w:rsidRDefault="00BE31C3" w:rsidP="00871110">
      <w:pPr>
        <w:spacing w:after="0" w:line="240" w:lineRule="auto"/>
        <w:ind w:firstLine="709"/>
        <w:jc w:val="both"/>
        <w:rPr>
          <w:rFonts w:ascii="Times New Roman" w:hAnsi="Times New Roman"/>
          <w:sz w:val="24"/>
          <w:szCs w:val="24"/>
        </w:rPr>
      </w:pPr>
      <w:r>
        <w:rPr>
          <w:rFonts w:ascii="Times New Roman" w:hAnsi="Times New Roman"/>
          <w:sz w:val="24"/>
          <w:szCs w:val="24"/>
        </w:rPr>
        <w:t>Lai uzlabotu būvniecības kvalitāti</w:t>
      </w:r>
      <w:r w:rsidR="00871110" w:rsidRPr="006202E5">
        <w:rPr>
          <w:rFonts w:ascii="Times New Roman" w:hAnsi="Times New Roman"/>
          <w:sz w:val="24"/>
          <w:szCs w:val="24"/>
        </w:rPr>
        <w:t>, saskaņā ar Eirokodeksa standartu n</w:t>
      </w:r>
      <w:r>
        <w:rPr>
          <w:rFonts w:ascii="Times New Roman" w:hAnsi="Times New Roman"/>
          <w:sz w:val="24"/>
          <w:szCs w:val="24"/>
        </w:rPr>
        <w:t>acionālo ieviešanas plānu 2013.–2014.gadam</w:t>
      </w:r>
      <w:r w:rsidR="00871110" w:rsidRPr="006202E5">
        <w:rPr>
          <w:rFonts w:ascii="Times New Roman" w:hAnsi="Times New Roman"/>
          <w:sz w:val="24"/>
          <w:szCs w:val="24"/>
        </w:rPr>
        <w:t xml:space="preserve"> </w:t>
      </w:r>
      <w:r w:rsidRPr="006202E5">
        <w:rPr>
          <w:rFonts w:ascii="Times New Roman" w:hAnsi="Times New Roman"/>
          <w:sz w:val="24"/>
          <w:szCs w:val="24"/>
        </w:rPr>
        <w:t xml:space="preserve">paredzēts </w:t>
      </w:r>
      <w:r w:rsidR="00871110" w:rsidRPr="006202E5">
        <w:rPr>
          <w:rFonts w:ascii="Times New Roman" w:hAnsi="Times New Roman"/>
          <w:sz w:val="24"/>
          <w:szCs w:val="24"/>
        </w:rPr>
        <w:t xml:space="preserve">līdz 2013.gada beigām izstrādāt grozījumus būvniecības normatīvajā regulējumā, nosakot Eirokodeksa projektēšanas standartus par obligātiem šobrīd reglamentējamās būvkonstrukciju – tērauda, koka, betona, mūra, kā arī tērauda un betona kompozīto konstrukciju </w:t>
      </w:r>
      <w:r>
        <w:rPr>
          <w:rFonts w:ascii="Times New Roman" w:hAnsi="Times New Roman"/>
          <w:sz w:val="24"/>
          <w:szCs w:val="24"/>
        </w:rPr>
        <w:t xml:space="preserve">– </w:t>
      </w:r>
      <w:r w:rsidR="006D7283">
        <w:rPr>
          <w:rFonts w:ascii="Times New Roman" w:hAnsi="Times New Roman"/>
          <w:sz w:val="24"/>
          <w:szCs w:val="24"/>
        </w:rPr>
        <w:t xml:space="preserve">projektēšanas jomās </w:t>
      </w:r>
      <w:r w:rsidR="00871110" w:rsidRPr="006202E5">
        <w:rPr>
          <w:rFonts w:ascii="Times New Roman" w:hAnsi="Times New Roman"/>
          <w:sz w:val="24"/>
          <w:szCs w:val="24"/>
        </w:rPr>
        <w:t>un ģ</w:t>
      </w:r>
      <w:r>
        <w:rPr>
          <w:rFonts w:ascii="Times New Roman" w:hAnsi="Times New Roman"/>
          <w:sz w:val="24"/>
          <w:szCs w:val="24"/>
        </w:rPr>
        <w:t>eotehniskajā projektēšanas jomā</w:t>
      </w:r>
      <w:r w:rsidR="006D7283">
        <w:rPr>
          <w:rFonts w:ascii="Times New Roman" w:hAnsi="Times New Roman"/>
          <w:sz w:val="24"/>
          <w:szCs w:val="24"/>
        </w:rPr>
        <w:t>. 2013.gadā paredzēts veikt</w:t>
      </w:r>
      <w:r w:rsidR="00871110" w:rsidRPr="006202E5">
        <w:rPr>
          <w:rFonts w:ascii="Times New Roman" w:hAnsi="Times New Roman"/>
          <w:sz w:val="24"/>
          <w:szCs w:val="24"/>
        </w:rPr>
        <w:t xml:space="preserve"> Eirokodeksa projektēšanas standartu tulkošanu, nacionālo pielikumu izstrādi, kā arī </w:t>
      </w:r>
      <w:r w:rsidR="006D7283" w:rsidRPr="006202E5">
        <w:rPr>
          <w:rFonts w:ascii="Times New Roman" w:hAnsi="Times New Roman"/>
          <w:sz w:val="24"/>
          <w:szCs w:val="24"/>
        </w:rPr>
        <w:t>ar semi</w:t>
      </w:r>
      <w:r w:rsidR="006D7283">
        <w:rPr>
          <w:rFonts w:ascii="Times New Roman" w:hAnsi="Times New Roman"/>
          <w:sz w:val="24"/>
          <w:szCs w:val="24"/>
        </w:rPr>
        <w:t>nāru un izdales materiālu starpniec</w:t>
      </w:r>
      <w:r w:rsidR="006D7283" w:rsidRPr="006202E5">
        <w:rPr>
          <w:rFonts w:ascii="Times New Roman" w:hAnsi="Times New Roman"/>
          <w:sz w:val="24"/>
          <w:szCs w:val="24"/>
        </w:rPr>
        <w:t xml:space="preserve">ību </w:t>
      </w:r>
      <w:r w:rsidR="00871110" w:rsidRPr="006202E5">
        <w:rPr>
          <w:rFonts w:ascii="Times New Roman" w:hAnsi="Times New Roman"/>
          <w:sz w:val="24"/>
          <w:szCs w:val="24"/>
        </w:rPr>
        <w:t>informēt būvprojektēšanas speciālistus.</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Plānots, ka jauno Būvniecības likumu Saeimā varētu pieņemt 2013.gada pirmajā pusgadā. </w:t>
      </w:r>
      <w:r w:rsidR="006D7283">
        <w:rPr>
          <w:rFonts w:ascii="Times New Roman" w:hAnsi="Times New Roman"/>
          <w:sz w:val="24"/>
          <w:szCs w:val="24"/>
        </w:rPr>
        <w:t>T</w:t>
      </w:r>
      <w:r w:rsidRPr="006202E5">
        <w:rPr>
          <w:rFonts w:ascii="Times New Roman" w:hAnsi="Times New Roman"/>
          <w:sz w:val="24"/>
          <w:szCs w:val="24"/>
        </w:rPr>
        <w:t>ā mērķis ir kvalitatīvas dzīves vides radīšana, nosakot efektīvu būvniecības procesa regulējumu, lai nodrošinātu valsts ilgtspējīgu ekonomisko un sociālo attīstību, kā arī kultūrvēsturis</w:t>
      </w:r>
      <w:r w:rsidR="006D7283">
        <w:rPr>
          <w:rFonts w:ascii="Times New Roman" w:hAnsi="Times New Roman"/>
          <w:sz w:val="24"/>
          <w:szCs w:val="24"/>
        </w:rPr>
        <w:t>ko un vides vērtību saglabāšanu</w:t>
      </w:r>
      <w:r w:rsidRPr="006202E5">
        <w:rPr>
          <w:rFonts w:ascii="Times New Roman" w:hAnsi="Times New Roman"/>
          <w:sz w:val="24"/>
          <w:szCs w:val="24"/>
        </w:rPr>
        <w:t xml:space="preserve"> un energoresursu racionālu izmantošanu. Likumā ir noteikta valsts institūciju, pašvaldības un būvniecības speciālistu atbildība un pienākumi būvniecības procesā. Vienlaikus 2013.gadā Būvniecības likuma ieviešanai tiks izstrādāti Ministru kabineta noteikumi, kuros plānots noteikt vispārīgos būvniecības principus, kas būs obligāti visām būvēm. Tāpat pēc likuma pieņemšanas tiks izstrādāti speciālie būvnoteikumi ēkām un dažādiem inženierbūvju veidiem, būvnormatīvi, kuros tiks noteikta</w:t>
      </w:r>
      <w:r w:rsidR="006D7283">
        <w:rPr>
          <w:rFonts w:ascii="Times New Roman" w:hAnsi="Times New Roman"/>
          <w:sz w:val="24"/>
          <w:szCs w:val="24"/>
        </w:rPr>
        <w:t>s</w:t>
      </w:r>
      <w:r w:rsidRPr="006202E5">
        <w:rPr>
          <w:rFonts w:ascii="Times New Roman" w:hAnsi="Times New Roman"/>
          <w:sz w:val="24"/>
          <w:szCs w:val="24"/>
        </w:rPr>
        <w:t xml:space="preserve"> tehniskās prasības būvēm un to elementiem un v</w:t>
      </w:r>
      <w:r w:rsidR="006D7283">
        <w:rPr>
          <w:rFonts w:ascii="Times New Roman" w:hAnsi="Times New Roman"/>
          <w:sz w:val="24"/>
          <w:szCs w:val="24"/>
        </w:rPr>
        <w:t>ides pieejamības prasības būvēm,</w:t>
      </w:r>
      <w:r w:rsidRPr="006202E5">
        <w:rPr>
          <w:rFonts w:ascii="Times New Roman" w:hAnsi="Times New Roman"/>
          <w:sz w:val="24"/>
          <w:szCs w:val="24"/>
        </w:rPr>
        <w:t xml:space="preserve"> būvniecības informācijas sistēmas izveides un uzturēšanas </w:t>
      </w:r>
      <w:r w:rsidR="006D7283">
        <w:rPr>
          <w:rFonts w:ascii="Times New Roman" w:hAnsi="Times New Roman"/>
          <w:sz w:val="24"/>
          <w:szCs w:val="24"/>
        </w:rPr>
        <w:t>kārtība, kā arī noteikumi par būvspeciālistu profesionālajām darbībām</w:t>
      </w:r>
      <w:r w:rsidRPr="006202E5">
        <w:rPr>
          <w:rFonts w:ascii="Times New Roman" w:hAnsi="Times New Roman"/>
          <w:sz w:val="24"/>
          <w:szCs w:val="24"/>
        </w:rPr>
        <w:t xml:space="preserve"> un būv</w:t>
      </w:r>
      <w:r w:rsidR="006D7283">
        <w:rPr>
          <w:rFonts w:ascii="Times New Roman" w:hAnsi="Times New Roman"/>
          <w:sz w:val="24"/>
          <w:szCs w:val="24"/>
        </w:rPr>
        <w:t>uzņēmēju atbildību un pienākumiem</w:t>
      </w:r>
      <w:r w:rsidRPr="006202E5">
        <w:rPr>
          <w:rFonts w:ascii="Times New Roman" w:hAnsi="Times New Roman"/>
          <w:sz w:val="24"/>
          <w:szCs w:val="24"/>
        </w:rPr>
        <w:t>.</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2013.gada sākumā Saeimā </w:t>
      </w:r>
      <w:r w:rsidR="006D7283">
        <w:rPr>
          <w:rFonts w:ascii="Times New Roman" w:hAnsi="Times New Roman"/>
          <w:sz w:val="24"/>
          <w:szCs w:val="24"/>
        </w:rPr>
        <w:t>p</w:t>
      </w:r>
      <w:r w:rsidR="006D7283" w:rsidRPr="006202E5">
        <w:rPr>
          <w:rFonts w:ascii="Times New Roman" w:hAnsi="Times New Roman"/>
          <w:sz w:val="24"/>
          <w:szCs w:val="24"/>
        </w:rPr>
        <w:t xml:space="preserve">aralēli </w:t>
      </w:r>
      <w:r w:rsidRPr="006202E5">
        <w:rPr>
          <w:rFonts w:ascii="Times New Roman" w:hAnsi="Times New Roman"/>
          <w:sz w:val="24"/>
          <w:szCs w:val="24"/>
        </w:rPr>
        <w:t>tika iesniegti grozījumi spēkā esošajā Būvniecības likumā, kas atvieglotu un veicinātu gan pašmāju, gan ārvalstu</w:t>
      </w:r>
      <w:r w:rsidR="006D7283">
        <w:rPr>
          <w:rFonts w:ascii="Times New Roman" w:hAnsi="Times New Roman"/>
          <w:sz w:val="24"/>
          <w:szCs w:val="24"/>
        </w:rPr>
        <w:t xml:space="preserve"> komersantu investīcijas Latvijā, nodrošin</w:t>
      </w:r>
      <w:r w:rsidRPr="006202E5">
        <w:rPr>
          <w:rFonts w:ascii="Times New Roman" w:hAnsi="Times New Roman"/>
          <w:sz w:val="24"/>
          <w:szCs w:val="24"/>
        </w:rPr>
        <w:t xml:space="preserve">ot vienkāršāku un paredzamāku būvniecības procesu, neradot risku apturēt uzsākto investīciju projektu un zaudēt jau veiktos ieguldījumus. </w:t>
      </w:r>
    </w:p>
    <w:p w:rsidR="00871110" w:rsidRDefault="00871110" w:rsidP="00871110">
      <w:pPr>
        <w:pStyle w:val="Heading2"/>
        <w:spacing w:before="0" w:line="240" w:lineRule="auto"/>
      </w:pPr>
    </w:p>
    <w:p w:rsidR="00871110" w:rsidRPr="00B246BE" w:rsidRDefault="00871110" w:rsidP="00871110">
      <w:pPr>
        <w:pStyle w:val="Heading2"/>
        <w:spacing w:before="0" w:line="240" w:lineRule="auto"/>
      </w:pPr>
      <w:bookmarkStart w:id="116" w:name="_Toc348089317"/>
      <w:bookmarkStart w:id="117" w:name="_Toc348948380"/>
      <w:r w:rsidRPr="00B246BE">
        <w:t>12. Mājokļu politika</w:t>
      </w:r>
      <w:bookmarkEnd w:id="116"/>
      <w:bookmarkEnd w:id="117"/>
      <w:r w:rsidRPr="00B246BE">
        <w:t xml:space="preserve"> </w:t>
      </w:r>
    </w:p>
    <w:p w:rsidR="00871110" w:rsidRPr="006202E5" w:rsidRDefault="00871110" w:rsidP="00871110">
      <w:pPr>
        <w:spacing w:after="0" w:line="240" w:lineRule="auto"/>
        <w:ind w:firstLine="709"/>
        <w:jc w:val="both"/>
        <w:rPr>
          <w:rFonts w:ascii="Times New Roman" w:hAnsi="Times New Roman"/>
          <w:sz w:val="24"/>
          <w:szCs w:val="24"/>
        </w:rPr>
      </w:pPr>
    </w:p>
    <w:p w:rsidR="00871110" w:rsidRPr="006202E5" w:rsidRDefault="00871110" w:rsidP="00871110">
      <w:pPr>
        <w:spacing w:after="0" w:line="240" w:lineRule="auto"/>
        <w:ind w:firstLine="709"/>
        <w:jc w:val="both"/>
        <w:rPr>
          <w:rFonts w:ascii="Times New Roman" w:hAnsi="Times New Roman"/>
          <w:b/>
          <w:sz w:val="24"/>
          <w:szCs w:val="24"/>
        </w:rPr>
      </w:pPr>
      <w:r w:rsidRPr="006202E5">
        <w:rPr>
          <w:rFonts w:ascii="Times New Roman" w:hAnsi="Times New Roman"/>
          <w:sz w:val="24"/>
          <w:szCs w:val="24"/>
        </w:rPr>
        <w:t>Mājokļu tirgus darbības pilnveidošanai izstrādāts un Saeimā pieņemts Ēku energoefektivitātes likums, kas stājās spēkā 2013.gada 9.janvārī. Likuma mērķis ir veicināt energoresursu racionālu izmantošanu, informējot sabiedrību par ēku enerģijas patēriņu, kā arī uzlabojot ēku energoefektivitāti.</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Kopš 2012.gada 1.janvāra EM ir izveidots un darbojas Dzīvojamo māju pārvaldnieku reģistrs, kura mērķis ir veicināt konkurētspējīgu un kvalitatīvu dzīvojamo māju pārvaldīšanu. Minētā reģistra galvenais uzdevums ir nodrošināt aktuālu informāciju par personām, kas nodarbojas vai vēlas nodarboties ar dzīvojamo māju pārvaldīšanu un atbilst pārvaldniekam likumā izvirzītajiem kritērijiem pārvaldīšanas darbību veikšanai. Dzīvojamo māju pārvaldnieku reģistrā līdz 2012.gada beigām ir r</w:t>
      </w:r>
      <w:r w:rsidR="006D7283">
        <w:rPr>
          <w:rFonts w:ascii="Times New Roman" w:hAnsi="Times New Roman"/>
          <w:sz w:val="24"/>
          <w:szCs w:val="24"/>
        </w:rPr>
        <w:t xml:space="preserve">eģistrēti 362 </w:t>
      </w:r>
      <w:r w:rsidR="006D7283">
        <w:rPr>
          <w:rFonts w:ascii="Times New Roman" w:hAnsi="Times New Roman"/>
          <w:sz w:val="24"/>
          <w:szCs w:val="24"/>
        </w:rPr>
        <w:lastRenderedPageBreak/>
        <w:t>pārvaldnieki, tai skaitā</w:t>
      </w:r>
      <w:r w:rsidRPr="006202E5">
        <w:rPr>
          <w:rFonts w:ascii="Times New Roman" w:hAnsi="Times New Roman"/>
          <w:sz w:val="24"/>
          <w:szCs w:val="24"/>
        </w:rPr>
        <w:t xml:space="preserve"> 90 personas, kuras piedāvā pārvaldnieka pakalpojumus, un 272 personas, kuras jau veic dzīvojamo māju pārvaldīšanu.</w:t>
      </w:r>
    </w:p>
    <w:p w:rsidR="00871110" w:rsidRDefault="00871110" w:rsidP="00871110">
      <w:pPr>
        <w:tabs>
          <w:tab w:val="left" w:pos="851"/>
        </w:tabs>
        <w:spacing w:after="0" w:line="240" w:lineRule="auto"/>
        <w:jc w:val="both"/>
        <w:rPr>
          <w:rFonts w:ascii="Times New Roman" w:hAnsi="Times New Roman"/>
          <w:sz w:val="24"/>
          <w:szCs w:val="24"/>
        </w:rPr>
      </w:pPr>
      <w:r w:rsidRPr="006202E5">
        <w:rPr>
          <w:rFonts w:ascii="Times New Roman" w:hAnsi="Times New Roman"/>
          <w:sz w:val="24"/>
          <w:szCs w:val="24"/>
        </w:rPr>
        <w:tab/>
        <w:t>2012.gadā izstrādāti grozījumi vairākos mājokļu politiku regulējošos normatīvajos aktos</w:t>
      </w:r>
      <w:r>
        <w:rPr>
          <w:rFonts w:ascii="Times New Roman" w:hAnsi="Times New Roman"/>
          <w:sz w:val="24"/>
          <w:szCs w:val="24"/>
        </w:rPr>
        <w:t xml:space="preserve">. </w:t>
      </w:r>
    </w:p>
    <w:p w:rsidR="00871110" w:rsidRDefault="00871110" w:rsidP="00871110">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G</w:t>
      </w:r>
      <w:r w:rsidRPr="00D52490">
        <w:rPr>
          <w:rFonts w:ascii="Times New Roman" w:hAnsi="Times New Roman"/>
          <w:sz w:val="24"/>
          <w:szCs w:val="24"/>
        </w:rPr>
        <w:t xml:space="preserve">rozījumi likumā </w:t>
      </w:r>
      <w:r w:rsidR="00B167ED">
        <w:rPr>
          <w:rFonts w:ascii="Times New Roman" w:hAnsi="Times New Roman"/>
          <w:sz w:val="24"/>
          <w:szCs w:val="24"/>
        </w:rPr>
        <w:t>"</w:t>
      </w:r>
      <w:r w:rsidRPr="00D52490">
        <w:rPr>
          <w:rFonts w:ascii="Times New Roman" w:hAnsi="Times New Roman"/>
          <w:sz w:val="24"/>
          <w:szCs w:val="24"/>
        </w:rPr>
        <w:t>Par valsts un pašvaldību dzīvojamo māju privatizāciju</w:t>
      </w:r>
      <w:r w:rsidR="00B167ED">
        <w:rPr>
          <w:rFonts w:ascii="Times New Roman" w:hAnsi="Times New Roman"/>
          <w:sz w:val="24"/>
          <w:szCs w:val="24"/>
        </w:rPr>
        <w:t>"</w:t>
      </w:r>
      <w:r w:rsidRPr="00D52490">
        <w:rPr>
          <w:rFonts w:ascii="Times New Roman" w:hAnsi="Times New Roman"/>
          <w:sz w:val="24"/>
          <w:szCs w:val="24"/>
        </w:rPr>
        <w:t xml:space="preserve"> paredz pagarināt termiņu lēmumu pieņemšanai par dzīvojamo māju privatizācijas uzsākšanu, veicināt dzīvojamo māju pārvaldīšanas tiesību nodošanu dzīvokļu īpašniekiem mājās, kurās nav neprivatizētu privati</w:t>
      </w:r>
      <w:r>
        <w:rPr>
          <w:rFonts w:ascii="Times New Roman" w:hAnsi="Times New Roman"/>
          <w:sz w:val="24"/>
          <w:szCs w:val="24"/>
        </w:rPr>
        <w:t>zācijas objektu,</w:t>
      </w:r>
      <w:r w:rsidRPr="00D52490">
        <w:rPr>
          <w:rFonts w:ascii="Times New Roman" w:hAnsi="Times New Roman"/>
          <w:sz w:val="24"/>
          <w:szCs w:val="24"/>
        </w:rPr>
        <w:t xml:space="preserve"> precizēt termiņu </w:t>
      </w:r>
      <w:r>
        <w:rPr>
          <w:rFonts w:ascii="Times New Roman" w:hAnsi="Times New Roman"/>
          <w:sz w:val="24"/>
          <w:szCs w:val="24"/>
        </w:rPr>
        <w:t xml:space="preserve">pārvaldīšanas tiesību nodošanai, kā arī </w:t>
      </w:r>
      <w:r w:rsidRPr="00D52490">
        <w:rPr>
          <w:rFonts w:ascii="Times New Roman" w:hAnsi="Times New Roman"/>
          <w:sz w:val="24"/>
          <w:szCs w:val="24"/>
        </w:rPr>
        <w:t>novērst normatīvā regulējuma nepilnības, pielāgojot to Dzīvojamo m</w:t>
      </w:r>
      <w:r>
        <w:rPr>
          <w:rFonts w:ascii="Times New Roman" w:hAnsi="Times New Roman"/>
          <w:sz w:val="24"/>
          <w:szCs w:val="24"/>
        </w:rPr>
        <w:t>āju pārvaldīšanas likuma normām.</w:t>
      </w:r>
    </w:p>
    <w:p w:rsidR="00871110" w:rsidRDefault="00871110" w:rsidP="00871110">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G</w:t>
      </w:r>
      <w:r w:rsidRPr="00D52490">
        <w:rPr>
          <w:rFonts w:ascii="Times New Roman" w:hAnsi="Times New Roman"/>
          <w:sz w:val="24"/>
          <w:szCs w:val="24"/>
        </w:rPr>
        <w:t xml:space="preserve">rozījumi Dzīvojamo māju pārvaldīšanas likumā paredz noteikt lēmumu pieņemšanas kārtību ar pārvaldīšanu saistītos jautājumos dzīvojamās mājās, kas </w:t>
      </w:r>
      <w:r>
        <w:rPr>
          <w:rFonts w:ascii="Times New Roman" w:hAnsi="Times New Roman"/>
          <w:sz w:val="24"/>
          <w:szCs w:val="24"/>
        </w:rPr>
        <w:t>nav sadalītas dzīvokļu īpašumos,</w:t>
      </w:r>
      <w:r w:rsidRPr="00D52490">
        <w:rPr>
          <w:rFonts w:ascii="Times New Roman" w:hAnsi="Times New Roman"/>
          <w:sz w:val="24"/>
          <w:szCs w:val="24"/>
        </w:rPr>
        <w:t xml:space="preserve"> precizēt regulējumu attiecībā uz pārvaldnieka maiņu</w:t>
      </w:r>
      <w:r>
        <w:rPr>
          <w:rFonts w:ascii="Times New Roman" w:hAnsi="Times New Roman"/>
          <w:sz w:val="24"/>
          <w:szCs w:val="24"/>
        </w:rPr>
        <w:t xml:space="preserve"> un pārvaldnieka pienākumu</w:t>
      </w:r>
      <w:r w:rsidRPr="00D52490">
        <w:rPr>
          <w:rFonts w:ascii="Times New Roman" w:hAnsi="Times New Roman"/>
          <w:sz w:val="24"/>
          <w:szCs w:val="24"/>
        </w:rPr>
        <w:t>s attiecīb</w:t>
      </w:r>
      <w:r>
        <w:rPr>
          <w:rFonts w:ascii="Times New Roman" w:hAnsi="Times New Roman"/>
          <w:sz w:val="24"/>
          <w:szCs w:val="24"/>
        </w:rPr>
        <w:t>ā uz saistību izpildes kontroli.</w:t>
      </w:r>
    </w:p>
    <w:p w:rsidR="00871110" w:rsidRPr="00A54728" w:rsidRDefault="00871110" w:rsidP="00871110">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G</w:t>
      </w:r>
      <w:r w:rsidRPr="00D52490">
        <w:rPr>
          <w:rFonts w:ascii="Times New Roman" w:hAnsi="Times New Roman"/>
          <w:sz w:val="24"/>
          <w:szCs w:val="24"/>
        </w:rPr>
        <w:t>rozījumi Dzīvokļa īpašuma likumā precizē</w:t>
      </w:r>
      <w:r w:rsidR="006D7283">
        <w:rPr>
          <w:rFonts w:ascii="Times New Roman" w:hAnsi="Times New Roman"/>
          <w:sz w:val="24"/>
          <w:szCs w:val="24"/>
        </w:rPr>
        <w:t>,</w:t>
      </w:r>
      <w:r w:rsidRPr="00D52490">
        <w:rPr>
          <w:rFonts w:ascii="Times New Roman" w:hAnsi="Times New Roman"/>
          <w:sz w:val="24"/>
          <w:szCs w:val="24"/>
        </w:rPr>
        <w:t xml:space="preserve"> ar kuru brīdi </w:t>
      </w:r>
      <w:r w:rsidR="006D7283">
        <w:rPr>
          <w:rFonts w:ascii="Times New Roman" w:hAnsi="Times New Roman"/>
          <w:sz w:val="24"/>
          <w:szCs w:val="24"/>
        </w:rPr>
        <w:t xml:space="preserve">tāda </w:t>
      </w:r>
      <w:r w:rsidRPr="00D52490">
        <w:rPr>
          <w:rFonts w:ascii="Times New Roman" w:hAnsi="Times New Roman"/>
          <w:sz w:val="24"/>
          <w:szCs w:val="24"/>
        </w:rPr>
        <w:t>dzīvokļa īpašuma ieguvējam, kas nonācis tā īpašumā izsoles ceļā, ir pienākums norēķināties par pārvaldīšanas izdevumiem un pakalpojumiem, kas saistīti ar dzīvokļa īpašuma lietošanu</w:t>
      </w:r>
      <w:r>
        <w:rPr>
          <w:rFonts w:ascii="Times New Roman" w:hAnsi="Times New Roman"/>
          <w:sz w:val="24"/>
          <w:szCs w:val="24"/>
        </w:rPr>
        <w:t>, kā arī</w:t>
      </w:r>
      <w:r w:rsidRPr="00D52490">
        <w:rPr>
          <w:rFonts w:ascii="Times New Roman" w:hAnsi="Times New Roman"/>
          <w:sz w:val="24"/>
          <w:szCs w:val="24"/>
        </w:rPr>
        <w:t xml:space="preserve"> tiek noteikti dzīvokļa īpašuma atsavināšanas nosacījumi, lai izvairītos no tā, ka dzīvokļa īpašuma atsavināšanas rezultātā palielinātos dzīvojamās mājas parāds par pakalpojumiem u.c.  </w:t>
      </w:r>
    </w:p>
    <w:p w:rsidR="00871110" w:rsidRPr="00A54728" w:rsidRDefault="00871110" w:rsidP="00871110">
      <w:pPr>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A54728">
        <w:rPr>
          <w:rFonts w:ascii="Times New Roman" w:hAnsi="Times New Roman"/>
          <w:sz w:val="24"/>
          <w:szCs w:val="24"/>
        </w:rPr>
        <w:t xml:space="preserve">Sniedzot atbalstu energoefektivitātes paaugstināšanai, 2012.gadā nodrošināta aktivitātes </w:t>
      </w:r>
      <w:r w:rsidR="00B167ED">
        <w:rPr>
          <w:rFonts w:ascii="Times New Roman" w:hAnsi="Times New Roman"/>
          <w:sz w:val="24"/>
          <w:szCs w:val="24"/>
        </w:rPr>
        <w:t>"</w:t>
      </w:r>
      <w:r w:rsidRPr="00A54728">
        <w:rPr>
          <w:rFonts w:ascii="Times New Roman" w:hAnsi="Times New Roman"/>
          <w:sz w:val="24"/>
          <w:szCs w:val="24"/>
        </w:rPr>
        <w:t>Pasākumi centralizētās siltumapgādes sistēmu efektivitātes paaugstināšanai</w:t>
      </w:r>
      <w:r w:rsidR="00B167ED">
        <w:rPr>
          <w:rFonts w:ascii="Times New Roman" w:hAnsi="Times New Roman"/>
          <w:sz w:val="24"/>
          <w:szCs w:val="24"/>
        </w:rPr>
        <w:t>"</w:t>
      </w:r>
      <w:r w:rsidRPr="00A54728">
        <w:rPr>
          <w:rFonts w:ascii="Times New Roman" w:hAnsi="Times New Roman"/>
          <w:sz w:val="24"/>
          <w:szCs w:val="24"/>
        </w:rPr>
        <w:t xml:space="preserve"> projektu iesniegumu atlases 4.kārtas izsludināšana</w:t>
      </w:r>
      <w:r w:rsidR="006D7283">
        <w:rPr>
          <w:rFonts w:ascii="Times New Roman" w:hAnsi="Times New Roman"/>
          <w:sz w:val="24"/>
          <w:szCs w:val="24"/>
        </w:rPr>
        <w:t xml:space="preserve"> un noslēgšana. Apstiprināti 45 </w:t>
      </w:r>
      <w:r w:rsidRPr="00A54728">
        <w:rPr>
          <w:rFonts w:ascii="Times New Roman" w:hAnsi="Times New Roman"/>
          <w:sz w:val="24"/>
          <w:szCs w:val="24"/>
        </w:rPr>
        <w:t>projektu iesniegumi par Kohēzijas fonda finansējumu 16 milj. latu</w:t>
      </w:r>
      <w:r w:rsidR="006D7283">
        <w:rPr>
          <w:rFonts w:ascii="Times New Roman" w:hAnsi="Times New Roman"/>
          <w:sz w:val="24"/>
          <w:szCs w:val="24"/>
        </w:rPr>
        <w:t>,</w:t>
      </w:r>
      <w:r w:rsidRPr="00A54728">
        <w:rPr>
          <w:rFonts w:ascii="Times New Roman" w:hAnsi="Times New Roman"/>
          <w:sz w:val="24"/>
          <w:szCs w:val="24"/>
        </w:rPr>
        <w:t xml:space="preserve"> un ieguldījumi tiks veikti 34 centralizētājās siltumapgādes sistēmās.</w:t>
      </w:r>
    </w:p>
    <w:p w:rsidR="00871110" w:rsidRPr="006202E5" w:rsidRDefault="00871110" w:rsidP="00871110">
      <w:pPr>
        <w:pStyle w:val="ListParagraph"/>
        <w:spacing w:after="0" w:line="240" w:lineRule="auto"/>
        <w:ind w:left="0" w:firstLine="720"/>
        <w:jc w:val="both"/>
        <w:rPr>
          <w:rFonts w:ascii="Times New Roman" w:hAnsi="Times New Roman"/>
          <w:sz w:val="24"/>
          <w:szCs w:val="24"/>
        </w:rPr>
      </w:pPr>
      <w:r w:rsidRPr="006202E5">
        <w:rPr>
          <w:rFonts w:ascii="Times New Roman" w:hAnsi="Times New Roman"/>
          <w:sz w:val="24"/>
          <w:szCs w:val="24"/>
        </w:rPr>
        <w:t xml:space="preserve">Aktivitātes </w:t>
      </w:r>
      <w:r w:rsidR="00B167ED">
        <w:rPr>
          <w:rFonts w:ascii="Times New Roman" w:hAnsi="Times New Roman"/>
          <w:sz w:val="24"/>
          <w:szCs w:val="24"/>
        </w:rPr>
        <w:t>"</w:t>
      </w:r>
      <w:r w:rsidRPr="006202E5">
        <w:rPr>
          <w:rFonts w:ascii="Times New Roman" w:hAnsi="Times New Roman"/>
          <w:sz w:val="24"/>
          <w:szCs w:val="24"/>
        </w:rPr>
        <w:t>Daudzdzīvokļu māju siltumnoturības uzlabošanas pasākumi</w:t>
      </w:r>
      <w:r w:rsidR="00B167ED">
        <w:rPr>
          <w:rFonts w:ascii="Times New Roman" w:hAnsi="Times New Roman"/>
          <w:sz w:val="24"/>
          <w:szCs w:val="24"/>
        </w:rPr>
        <w:t>"</w:t>
      </w:r>
      <w:r w:rsidRPr="006202E5">
        <w:rPr>
          <w:rFonts w:ascii="Times New Roman" w:hAnsi="Times New Roman"/>
          <w:sz w:val="24"/>
          <w:szCs w:val="24"/>
        </w:rPr>
        <w:t xml:space="preserve"> ieviešana</w:t>
      </w:r>
      <w:r w:rsidR="006D7283">
        <w:rPr>
          <w:rFonts w:ascii="Times New Roman" w:hAnsi="Times New Roman"/>
          <w:sz w:val="24"/>
          <w:szCs w:val="24"/>
        </w:rPr>
        <w:t>i 2012.gadā nodrošināts papildu</w:t>
      </w:r>
      <w:r w:rsidRPr="006202E5">
        <w:rPr>
          <w:rFonts w:ascii="Times New Roman" w:hAnsi="Times New Roman"/>
          <w:sz w:val="24"/>
          <w:szCs w:val="24"/>
        </w:rPr>
        <w:t xml:space="preserve"> finansējums 15 milj. latu apmērā un </w:t>
      </w:r>
      <w:r w:rsidR="006D7283">
        <w:rPr>
          <w:rFonts w:ascii="Times New Roman" w:hAnsi="Times New Roman"/>
          <w:sz w:val="24"/>
          <w:szCs w:val="24"/>
        </w:rPr>
        <w:t>pilnveidoti</w:t>
      </w:r>
      <w:r w:rsidR="006D7283" w:rsidRPr="006202E5">
        <w:rPr>
          <w:rFonts w:ascii="Times New Roman" w:hAnsi="Times New Roman"/>
          <w:sz w:val="24"/>
          <w:szCs w:val="24"/>
        </w:rPr>
        <w:t xml:space="preserve"> </w:t>
      </w:r>
      <w:r w:rsidR="006D7283">
        <w:rPr>
          <w:rFonts w:ascii="Times New Roman" w:hAnsi="Times New Roman"/>
          <w:sz w:val="24"/>
          <w:szCs w:val="24"/>
        </w:rPr>
        <w:t>ieviešanas nosacījumi</w:t>
      </w:r>
      <w:r w:rsidRPr="006202E5">
        <w:rPr>
          <w:rFonts w:ascii="Times New Roman" w:hAnsi="Times New Roman"/>
          <w:sz w:val="24"/>
          <w:szCs w:val="24"/>
        </w:rPr>
        <w:t>, kā arī nodrošināta ES fond</w:t>
      </w:r>
      <w:r w:rsidR="006D7283">
        <w:rPr>
          <w:rFonts w:ascii="Times New Roman" w:hAnsi="Times New Roman"/>
          <w:sz w:val="24"/>
          <w:szCs w:val="24"/>
        </w:rPr>
        <w:t>u finansējuma</w:t>
      </w:r>
      <w:r w:rsidRPr="006202E5">
        <w:rPr>
          <w:rFonts w:ascii="Times New Roman" w:hAnsi="Times New Roman"/>
          <w:sz w:val="24"/>
          <w:szCs w:val="24"/>
        </w:rPr>
        <w:t xml:space="preserve"> piešķiršana </w:t>
      </w:r>
      <w:r w:rsidR="006D7283" w:rsidRPr="006202E5">
        <w:rPr>
          <w:rFonts w:ascii="Times New Roman" w:hAnsi="Times New Roman"/>
          <w:sz w:val="24"/>
          <w:szCs w:val="24"/>
        </w:rPr>
        <w:t xml:space="preserve">18 milj. latu apmērā </w:t>
      </w:r>
      <w:r w:rsidRPr="006202E5">
        <w:rPr>
          <w:rFonts w:ascii="Times New Roman" w:hAnsi="Times New Roman"/>
          <w:sz w:val="24"/>
          <w:szCs w:val="24"/>
        </w:rPr>
        <w:t xml:space="preserve">289 daudzdzīvokļu māju siltināšanas projektiem. </w:t>
      </w:r>
    </w:p>
    <w:p w:rsidR="00871110" w:rsidRPr="006202E5" w:rsidRDefault="00871110" w:rsidP="00871110">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Mājokļu politikas pilnveidošanai 2013.gadā paredzēts izstrādāt </w:t>
      </w:r>
      <w:r w:rsidR="006D7283">
        <w:rPr>
          <w:rFonts w:ascii="Times New Roman" w:hAnsi="Times New Roman"/>
          <w:sz w:val="24"/>
          <w:szCs w:val="24"/>
        </w:rPr>
        <w:t>d</w:t>
      </w:r>
      <w:r w:rsidR="006D7283" w:rsidRPr="006202E5">
        <w:rPr>
          <w:rFonts w:ascii="Times New Roman" w:hAnsi="Times New Roman"/>
          <w:sz w:val="24"/>
          <w:szCs w:val="24"/>
        </w:rPr>
        <w:t xml:space="preserve">zīvojamo telpu īres </w:t>
      </w:r>
      <w:r w:rsidR="006D7283">
        <w:rPr>
          <w:rFonts w:ascii="Times New Roman" w:hAnsi="Times New Roman"/>
          <w:sz w:val="24"/>
          <w:szCs w:val="24"/>
        </w:rPr>
        <w:t>likumprojektu</w:t>
      </w:r>
      <w:r w:rsidRPr="006202E5">
        <w:rPr>
          <w:rFonts w:ascii="Times New Roman" w:hAnsi="Times New Roman"/>
          <w:sz w:val="24"/>
          <w:szCs w:val="24"/>
        </w:rPr>
        <w:t>, lai nodrošinātu taisnīgu līdzsvaru starp izīrētāja un īrnieka interesēm, vienlaikus attīstot īres tirgu.</w:t>
      </w:r>
    </w:p>
    <w:p w:rsidR="00B246BE" w:rsidRPr="00871110" w:rsidRDefault="00871110" w:rsidP="00871110">
      <w:pPr>
        <w:spacing w:after="0" w:line="240" w:lineRule="auto"/>
        <w:jc w:val="both"/>
        <w:rPr>
          <w:rFonts w:ascii="Times New Roman" w:hAnsi="Times New Roman"/>
          <w:iCs/>
          <w:sz w:val="24"/>
          <w:szCs w:val="24"/>
        </w:rPr>
      </w:pPr>
      <w:r w:rsidRPr="006202E5">
        <w:rPr>
          <w:rFonts w:ascii="Times New Roman" w:hAnsi="Times New Roman"/>
          <w:sz w:val="24"/>
          <w:szCs w:val="24"/>
        </w:rPr>
        <w:tab/>
      </w:r>
    </w:p>
    <w:p w:rsidR="00B246BE" w:rsidRPr="00B246BE" w:rsidRDefault="003C30B7" w:rsidP="00B246BE">
      <w:pPr>
        <w:pStyle w:val="Heading2"/>
        <w:spacing w:before="0" w:line="240" w:lineRule="auto"/>
      </w:pPr>
      <w:bookmarkStart w:id="118" w:name="_Toc348948381"/>
      <w:r w:rsidRPr="00204569">
        <w:t>1</w:t>
      </w:r>
      <w:r w:rsidR="002F79C3" w:rsidRPr="00204569">
        <w:t>3</w:t>
      </w:r>
      <w:r w:rsidRPr="00204569">
        <w:t>. Lauksaimniecība, mežsaimniecība un zivsaimniecība</w:t>
      </w:r>
      <w:bookmarkEnd w:id="118"/>
    </w:p>
    <w:p w:rsidR="003C30B7" w:rsidRPr="00B246BE" w:rsidRDefault="003C30B7" w:rsidP="00B246BE">
      <w:pPr>
        <w:pStyle w:val="Heading3"/>
      </w:pPr>
      <w:bookmarkStart w:id="119" w:name="_Toc348948382"/>
      <w:r w:rsidRPr="00B246BE">
        <w:t>1</w:t>
      </w:r>
      <w:r w:rsidR="002F79C3">
        <w:t>3</w:t>
      </w:r>
      <w:r w:rsidRPr="00B246BE">
        <w:t>.1.</w:t>
      </w:r>
      <w:r w:rsidR="006D7283">
        <w:t xml:space="preserve"> </w:t>
      </w:r>
      <w:r w:rsidRPr="00B246BE">
        <w:t>ES atbalsta programmas un pasākumi</w:t>
      </w:r>
      <w:bookmarkEnd w:id="119"/>
    </w:p>
    <w:p w:rsidR="00BE00A7" w:rsidRDefault="00BE00A7" w:rsidP="00BE00A7">
      <w:pPr>
        <w:spacing w:after="0" w:line="240" w:lineRule="auto"/>
        <w:ind w:firstLine="720"/>
        <w:jc w:val="both"/>
        <w:rPr>
          <w:rFonts w:ascii="Times New Roman" w:hAnsi="Times New Roman"/>
          <w:sz w:val="24"/>
          <w:szCs w:val="24"/>
          <w:highlight w:val="yellow"/>
        </w:rPr>
      </w:pPr>
    </w:p>
    <w:p w:rsidR="00204569" w:rsidRPr="00BE00A7" w:rsidRDefault="00204569" w:rsidP="00204569">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 xml:space="preserve">2012.gadā ZM turpināja aizstāvēt Latvijas intereses ES tiešo maksājumu izlīdzināšanas jautājumā. Lai saglabātu lauksaimniecības sektora dzīvotspēju un konkurētspēju nākotnē, </w:t>
      </w:r>
      <w:r>
        <w:rPr>
          <w:rFonts w:ascii="Times New Roman" w:hAnsi="Times New Roman" w:cs="Times New Roman"/>
          <w:sz w:val="24"/>
          <w:szCs w:val="24"/>
        </w:rPr>
        <w:t xml:space="preserve">Latvija </w:t>
      </w:r>
      <w:r w:rsidRPr="00BE00A7">
        <w:rPr>
          <w:rFonts w:ascii="Times New Roman" w:hAnsi="Times New Roman" w:cs="Times New Roman"/>
          <w:sz w:val="24"/>
          <w:szCs w:val="24"/>
        </w:rPr>
        <w:t>aktīvi piedal</w:t>
      </w:r>
      <w:r>
        <w:rPr>
          <w:rFonts w:ascii="Times New Roman" w:hAnsi="Times New Roman" w:cs="Times New Roman"/>
          <w:sz w:val="24"/>
          <w:szCs w:val="24"/>
        </w:rPr>
        <w:t>ījās</w:t>
      </w:r>
      <w:r w:rsidRPr="00BE00A7">
        <w:rPr>
          <w:rFonts w:ascii="Times New Roman" w:hAnsi="Times New Roman" w:cs="Times New Roman"/>
          <w:sz w:val="24"/>
          <w:szCs w:val="24"/>
        </w:rPr>
        <w:t xml:space="preserve"> diskusijā par tiešo maksājumu sistēmu pēc 2013.gada, īpaši izvērtējot un sagatavojot priekšlikumus par </w:t>
      </w:r>
      <w:r w:rsidR="006D7283" w:rsidRPr="00BE00A7">
        <w:rPr>
          <w:rFonts w:ascii="Times New Roman" w:hAnsi="Times New Roman" w:cs="Times New Roman"/>
          <w:sz w:val="24"/>
          <w:szCs w:val="24"/>
        </w:rPr>
        <w:t xml:space="preserve">nosacījumu </w:t>
      </w:r>
      <w:r w:rsidRPr="00BE00A7">
        <w:rPr>
          <w:rFonts w:ascii="Times New Roman" w:hAnsi="Times New Roman" w:cs="Times New Roman"/>
          <w:sz w:val="24"/>
          <w:szCs w:val="24"/>
        </w:rPr>
        <w:t>aktīva lauksaimnieka</w:t>
      </w:r>
      <w:r w:rsidR="006D7283">
        <w:rPr>
          <w:rFonts w:ascii="Times New Roman" w:hAnsi="Times New Roman" w:cs="Times New Roman"/>
          <w:sz w:val="24"/>
          <w:szCs w:val="24"/>
        </w:rPr>
        <w:t xml:space="preserve"> statusa piešķiršanai</w:t>
      </w:r>
      <w:r w:rsidRPr="00BE00A7">
        <w:rPr>
          <w:rFonts w:ascii="Times New Roman" w:hAnsi="Times New Roman" w:cs="Times New Roman"/>
          <w:sz w:val="24"/>
          <w:szCs w:val="24"/>
        </w:rPr>
        <w:t xml:space="preserve">, par pamata maksājumu shēmas ieviešanu un īpaši par maksājumu tiesību diferencēšanas iespējām, par jauno lauksaimnieku un mazo lauksaimnieku atbalsta shēmu piemērošanas nosacījumiem. </w:t>
      </w:r>
    </w:p>
    <w:p w:rsidR="00BE00A7" w:rsidRPr="00BE00A7" w:rsidRDefault="00BE00A7" w:rsidP="00BE00A7">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 xml:space="preserve">2013.gadā turpināsies darbs pie kopējās lauksaimniecības politikas (KLP) nākotnes dokumentu izvērtēšanas, kā arī darbs pie Latvijas tiesību aktu projektu izstrādes </w:t>
      </w:r>
      <w:r w:rsidRPr="00BE00A7">
        <w:rPr>
          <w:rFonts w:ascii="Times New Roman" w:hAnsi="Times New Roman" w:cs="Times New Roman"/>
          <w:sz w:val="24"/>
          <w:szCs w:val="24"/>
        </w:rPr>
        <w:lastRenderedPageBreak/>
        <w:t xml:space="preserve">KLP </w:t>
      </w:r>
      <w:r w:rsidR="006D7283">
        <w:rPr>
          <w:rFonts w:ascii="Times New Roman" w:hAnsi="Times New Roman" w:cs="Times New Roman"/>
          <w:sz w:val="24"/>
          <w:szCs w:val="24"/>
        </w:rPr>
        <w:t>I pīlāra pasākumu ieviešanai, tai skaitā</w:t>
      </w:r>
      <w:r w:rsidRPr="00BE00A7">
        <w:rPr>
          <w:rFonts w:ascii="Times New Roman" w:hAnsi="Times New Roman" w:cs="Times New Roman"/>
          <w:sz w:val="24"/>
          <w:szCs w:val="24"/>
        </w:rPr>
        <w:t xml:space="preserve"> ražotāju un starpnozaru organizāciju izveide Latvijā, kā arī ES institūciju un dažādu organizāciju dokumentu izvērtēšana un Latvijas nostājas sagatavošana, ievērojot Latvijas lau</w:t>
      </w:r>
      <w:r w:rsidR="003514F4">
        <w:rPr>
          <w:rFonts w:ascii="Times New Roman" w:hAnsi="Times New Roman" w:cs="Times New Roman"/>
          <w:sz w:val="24"/>
          <w:szCs w:val="24"/>
        </w:rPr>
        <w:t>ksaimniecības un pārtikas nozares</w:t>
      </w:r>
      <w:r w:rsidRPr="00BE00A7">
        <w:rPr>
          <w:rFonts w:ascii="Times New Roman" w:hAnsi="Times New Roman" w:cs="Times New Roman"/>
          <w:sz w:val="24"/>
          <w:szCs w:val="24"/>
        </w:rPr>
        <w:t xml:space="preserve"> intereses.</w:t>
      </w:r>
    </w:p>
    <w:p w:rsidR="00BE00A7" w:rsidRPr="00BE00A7" w:rsidRDefault="00BE00A7" w:rsidP="00BE00A7">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Jāatzīmē, ka 2013.gadā turpināsies darbs pie priekšlikumu sagatavošanas ES tiešo maksājumu sistēmas izveidei pēc 2013.gada – par ES līmeņa normatīvajiem aktiem. Pēc Eiropas Padomes un Parlamenta regulu apstiprinā</w:t>
      </w:r>
      <w:r w:rsidR="003514F4">
        <w:rPr>
          <w:rFonts w:ascii="Times New Roman" w:hAnsi="Times New Roman" w:cs="Times New Roman"/>
          <w:sz w:val="24"/>
          <w:szCs w:val="24"/>
        </w:rPr>
        <w:t>šanas par tiešajiem maksājumiem</w:t>
      </w:r>
      <w:r w:rsidRPr="00BE00A7">
        <w:rPr>
          <w:rFonts w:ascii="Times New Roman" w:hAnsi="Times New Roman" w:cs="Times New Roman"/>
          <w:sz w:val="24"/>
          <w:szCs w:val="24"/>
        </w:rPr>
        <w:t xml:space="preserve"> tiks uzsākts darbs priekšlik</w:t>
      </w:r>
      <w:r w:rsidR="003040CC">
        <w:rPr>
          <w:rFonts w:ascii="Times New Roman" w:hAnsi="Times New Roman" w:cs="Times New Roman"/>
          <w:sz w:val="24"/>
          <w:szCs w:val="24"/>
        </w:rPr>
        <w:t>umu sagatavošanai ES normatīvo</w:t>
      </w:r>
      <w:r w:rsidRPr="00BE00A7">
        <w:rPr>
          <w:rFonts w:ascii="Times New Roman" w:hAnsi="Times New Roman" w:cs="Times New Roman"/>
          <w:sz w:val="24"/>
          <w:szCs w:val="24"/>
        </w:rPr>
        <w:t xml:space="preserve"> aktu izstrādes procesā. Turpināsies diskusija ar lauksaimnieku sabiedriskajām organizācijām, un tiks pieņemti lēmumi par aktīva lauksaimnieka </w:t>
      </w:r>
      <w:r w:rsidR="003514F4">
        <w:rPr>
          <w:rFonts w:ascii="Times New Roman" w:hAnsi="Times New Roman" w:cs="Times New Roman"/>
          <w:sz w:val="24"/>
          <w:szCs w:val="24"/>
        </w:rPr>
        <w:t xml:space="preserve">statusa </w:t>
      </w:r>
      <w:r w:rsidRPr="00BE00A7">
        <w:rPr>
          <w:rFonts w:ascii="Times New Roman" w:hAnsi="Times New Roman" w:cs="Times New Roman"/>
          <w:sz w:val="24"/>
          <w:szCs w:val="24"/>
        </w:rPr>
        <w:t>ieviešanas kritērijiem Latvijā. 2013.gadā tiks ieviests pārejas posma valsts atbalsts, lai nodrošinātu lauksaimnieku ieņēmumu stabilitāti pēc papildu valsts tiešo maksājumu atcelšanas. Par 2012.gada iesniegumiem lauksaimniekiem bija pieejams tiešo m</w:t>
      </w:r>
      <w:r w:rsidR="003514F4">
        <w:rPr>
          <w:rFonts w:ascii="Times New Roman" w:hAnsi="Times New Roman" w:cs="Times New Roman"/>
          <w:sz w:val="24"/>
          <w:szCs w:val="24"/>
        </w:rPr>
        <w:t>aksājumu atbalsts 136,9 milj. latu</w:t>
      </w:r>
      <w:r w:rsidRPr="00BE00A7">
        <w:rPr>
          <w:rFonts w:ascii="Times New Roman" w:hAnsi="Times New Roman" w:cs="Times New Roman"/>
          <w:sz w:val="24"/>
          <w:szCs w:val="24"/>
        </w:rPr>
        <w:t xml:space="preserve"> apmērā, attiecīgi 94,2 milj.latu ES tiešo maksājumu veidā un 42,8 milj.latu papildu valsts tiešo maksājumu veidā.</w:t>
      </w:r>
    </w:p>
    <w:p w:rsidR="00BE00A7" w:rsidRPr="00BE00A7" w:rsidRDefault="00BE00A7" w:rsidP="00204569">
      <w:pPr>
        <w:spacing w:after="0" w:line="240" w:lineRule="auto"/>
        <w:ind w:firstLine="720"/>
        <w:jc w:val="both"/>
        <w:rPr>
          <w:rFonts w:ascii="Times New Roman" w:hAnsi="Times New Roman"/>
          <w:sz w:val="24"/>
          <w:szCs w:val="24"/>
        </w:rPr>
      </w:pPr>
      <w:r w:rsidRPr="00BE00A7">
        <w:rPr>
          <w:rFonts w:ascii="Times New Roman" w:hAnsi="Times New Roman"/>
          <w:sz w:val="24"/>
          <w:szCs w:val="24"/>
        </w:rPr>
        <w:t>Par 2013.gada iesniegumiem lauksaimniekiem būs pieejams tiešo m</w:t>
      </w:r>
      <w:r w:rsidR="003514F4">
        <w:rPr>
          <w:rFonts w:ascii="Times New Roman" w:hAnsi="Times New Roman"/>
          <w:sz w:val="24"/>
          <w:szCs w:val="24"/>
        </w:rPr>
        <w:t>aksājumu atbalsts 144,9 milj. latu</w:t>
      </w:r>
      <w:r w:rsidRPr="00BE00A7">
        <w:rPr>
          <w:rFonts w:ascii="Times New Roman" w:hAnsi="Times New Roman"/>
          <w:sz w:val="24"/>
          <w:szCs w:val="24"/>
        </w:rPr>
        <w:t xml:space="preserve"> apmērā, attiecīgi 102,9 milj.</w:t>
      </w:r>
      <w:r w:rsidR="000F4890">
        <w:rPr>
          <w:rFonts w:ascii="Times New Roman" w:hAnsi="Times New Roman"/>
          <w:sz w:val="24"/>
          <w:szCs w:val="24"/>
        </w:rPr>
        <w:t>latu</w:t>
      </w:r>
      <w:r w:rsidR="003514F4">
        <w:rPr>
          <w:rFonts w:ascii="Times New Roman" w:hAnsi="Times New Roman"/>
          <w:sz w:val="24"/>
          <w:szCs w:val="24"/>
        </w:rPr>
        <w:t xml:space="preserve"> ES tiešo maksājumu veidā un 42 </w:t>
      </w:r>
      <w:r w:rsidRPr="00BE00A7">
        <w:rPr>
          <w:rFonts w:ascii="Times New Roman" w:hAnsi="Times New Roman"/>
          <w:sz w:val="24"/>
          <w:szCs w:val="24"/>
        </w:rPr>
        <w:t>milj. Ls pārejas posma valsts atbalsts.</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2012.gadā Latvijā tika atzītas vēl divas augļu ražotāju grupas (kooperatīvi), tādējādi kopumā ir atzītas jau četras augļ</w:t>
      </w:r>
      <w:r w:rsidR="003514F4">
        <w:rPr>
          <w:rFonts w:ascii="Times New Roman" w:hAnsi="Times New Roman"/>
          <w:sz w:val="24"/>
          <w:szCs w:val="24"/>
        </w:rPr>
        <w:t>u un dārzeņu ražotāju grupas. Šā</w:t>
      </w:r>
      <w:r w:rsidRPr="00BE00A7">
        <w:rPr>
          <w:rFonts w:ascii="Times New Roman" w:hAnsi="Times New Roman"/>
          <w:sz w:val="24"/>
          <w:szCs w:val="24"/>
        </w:rPr>
        <w:t xml:space="preserve"> atbalsta in</w:t>
      </w:r>
      <w:r w:rsidR="003514F4">
        <w:rPr>
          <w:rFonts w:ascii="Times New Roman" w:hAnsi="Times New Roman"/>
          <w:sz w:val="24"/>
          <w:szCs w:val="24"/>
        </w:rPr>
        <w:t>strumenta ietvaros laik</w:t>
      </w:r>
      <w:r w:rsidRPr="00BE00A7">
        <w:rPr>
          <w:rFonts w:ascii="Times New Roman" w:hAnsi="Times New Roman"/>
          <w:sz w:val="24"/>
          <w:szCs w:val="24"/>
        </w:rPr>
        <w:t xml:space="preserve">posmā no 2007.gada produktu glabāšanas, šķirošanas, fasēšanas un transportēšanas uzlabošanai augļu un dārzeņu ražotāju grupas kopumā ir saņēmušas atbalstu 7,9 milj. </w:t>
      </w:r>
      <w:r w:rsidR="000F4890">
        <w:rPr>
          <w:rFonts w:ascii="Times New Roman" w:hAnsi="Times New Roman"/>
          <w:sz w:val="24"/>
          <w:szCs w:val="24"/>
        </w:rPr>
        <w:t>latu</w:t>
      </w:r>
      <w:r w:rsidRPr="00BE00A7">
        <w:rPr>
          <w:rFonts w:ascii="Times New Roman" w:hAnsi="Times New Roman"/>
          <w:sz w:val="24"/>
          <w:szCs w:val="24"/>
        </w:rPr>
        <w:t xml:space="preserve"> apmērā. Jāatzīmē, ka Latvija </w:t>
      </w:r>
      <w:r w:rsidR="003514F4" w:rsidRPr="00BE00A7">
        <w:rPr>
          <w:rFonts w:ascii="Times New Roman" w:hAnsi="Times New Roman"/>
          <w:sz w:val="24"/>
          <w:szCs w:val="24"/>
        </w:rPr>
        <w:t xml:space="preserve">Baltijas mērogā ir līdere </w:t>
      </w:r>
      <w:r w:rsidR="003514F4">
        <w:rPr>
          <w:rFonts w:ascii="Times New Roman" w:hAnsi="Times New Roman"/>
          <w:sz w:val="24"/>
          <w:szCs w:val="24"/>
        </w:rPr>
        <w:t>šā</w:t>
      </w:r>
      <w:r w:rsidR="003514F4" w:rsidRPr="00BE00A7">
        <w:rPr>
          <w:rFonts w:ascii="Times New Roman" w:hAnsi="Times New Roman"/>
          <w:sz w:val="24"/>
          <w:szCs w:val="24"/>
        </w:rPr>
        <w:t xml:space="preserve"> Eiropas Savienības atbalsta apguves ziņā</w:t>
      </w:r>
      <w:r w:rsidRPr="00BE00A7">
        <w:rPr>
          <w:rFonts w:ascii="Times New Roman" w:hAnsi="Times New Roman"/>
          <w:sz w:val="24"/>
          <w:szCs w:val="24"/>
        </w:rPr>
        <w:t>, jo Lietuvā ir atzīta tikai viena dārzeņu ražotāju grupa, bet Igaunijā šādas grupas nav vispār.</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Izstrādāta lauksaimniecības zemes iegādes kreditēšanas programma, un līdz 2012.gada beigām ir izskatīti dokumenti un pieņemti lēmumi par </w:t>
      </w:r>
      <w:r w:rsidR="003514F4" w:rsidRPr="00BE00A7">
        <w:rPr>
          <w:rFonts w:ascii="Times New Roman" w:hAnsi="Times New Roman"/>
          <w:sz w:val="24"/>
          <w:szCs w:val="24"/>
        </w:rPr>
        <w:t>59</w:t>
      </w:r>
      <w:r w:rsidR="003514F4">
        <w:rPr>
          <w:rFonts w:ascii="Times New Roman" w:hAnsi="Times New Roman"/>
          <w:sz w:val="24"/>
          <w:szCs w:val="24"/>
        </w:rPr>
        <w:t xml:space="preserve"> </w:t>
      </w:r>
      <w:r w:rsidRPr="00BE00A7">
        <w:rPr>
          <w:rFonts w:ascii="Times New Roman" w:hAnsi="Times New Roman"/>
          <w:sz w:val="24"/>
          <w:szCs w:val="24"/>
        </w:rPr>
        <w:t xml:space="preserve">aizdevumu piešķiršanu </w:t>
      </w:r>
      <w:r w:rsidR="003514F4">
        <w:rPr>
          <w:rFonts w:ascii="Times New Roman" w:hAnsi="Times New Roman"/>
          <w:sz w:val="24"/>
          <w:szCs w:val="24"/>
        </w:rPr>
        <w:t>par kopējo summu 2 260 393 latu apmērā</w:t>
      </w:r>
      <w:r w:rsidRPr="00BE00A7">
        <w:rPr>
          <w:rFonts w:ascii="Times New Roman" w:hAnsi="Times New Roman"/>
          <w:sz w:val="24"/>
          <w:szCs w:val="24"/>
        </w:rPr>
        <w:t>. Par apstiprināto aizdevumu summu plānots iegādāties kopumā 1778 hektārus lauksaimniecības zemes.</w:t>
      </w:r>
    </w:p>
    <w:p w:rsidR="00BE00A7" w:rsidRPr="00BE00A7" w:rsidRDefault="00BE00A7" w:rsidP="00BE00A7">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 xml:space="preserve">Saskaņā ar Lauksaimniecības un lauku attīstības likumu katru gadu valsts budžetā subsīdiju veidā tiek paredzēts valsts atbalsts lauksaimniecības attīstībai no gada pamatbudžeta kopējiem izdevumiem, kas tiek segti no dotācijām no vispārējiem ieņēmumiem, atskaitot iemaksas Eiropas Savienības budžetā. 2012.gadam Zemkopības ministrijas budžeta apakšprogrammā 21.01.00 </w:t>
      </w:r>
      <w:r w:rsidR="00B167ED">
        <w:rPr>
          <w:rFonts w:ascii="Times New Roman" w:hAnsi="Times New Roman" w:cs="Times New Roman"/>
          <w:sz w:val="24"/>
          <w:szCs w:val="24"/>
        </w:rPr>
        <w:t>"</w:t>
      </w:r>
      <w:r w:rsidRPr="00BE00A7">
        <w:rPr>
          <w:rFonts w:ascii="Times New Roman" w:hAnsi="Times New Roman" w:cs="Times New Roman"/>
          <w:sz w:val="24"/>
          <w:szCs w:val="24"/>
        </w:rPr>
        <w:t>Valsts atbalsts lauksaimniecībai un lauku attīstībai (subsīdijas)</w:t>
      </w:r>
      <w:r w:rsidR="00B167ED">
        <w:rPr>
          <w:rFonts w:ascii="Times New Roman" w:hAnsi="Times New Roman" w:cs="Times New Roman"/>
          <w:sz w:val="24"/>
          <w:szCs w:val="24"/>
        </w:rPr>
        <w:t>"</w:t>
      </w:r>
      <w:r w:rsidRPr="00BE00A7">
        <w:rPr>
          <w:rFonts w:ascii="Times New Roman" w:hAnsi="Times New Roman" w:cs="Times New Roman"/>
          <w:sz w:val="24"/>
          <w:szCs w:val="24"/>
        </w:rPr>
        <w:t xml:space="preserve"> valsts atbalstam subsīdiju veidā izmaksāts finansējums 6 184 729 latu apmērā. </w:t>
      </w:r>
    </w:p>
    <w:p w:rsidR="00BE00A7" w:rsidRPr="00BE00A7" w:rsidRDefault="00BE00A7" w:rsidP="00BE00A7">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No Latvijas la</w:t>
      </w:r>
      <w:r w:rsidR="003514F4">
        <w:rPr>
          <w:rFonts w:ascii="Times New Roman" w:hAnsi="Times New Roman" w:cs="Times New Roman"/>
          <w:sz w:val="24"/>
          <w:szCs w:val="24"/>
        </w:rPr>
        <w:t>uku attīstības programmas 2007.–</w:t>
      </w:r>
      <w:r w:rsidRPr="00BE00A7">
        <w:rPr>
          <w:rFonts w:ascii="Times New Roman" w:hAnsi="Times New Roman" w:cs="Times New Roman"/>
          <w:sz w:val="24"/>
          <w:szCs w:val="24"/>
        </w:rPr>
        <w:t xml:space="preserve">2013.gadam (LAP) pirmajai asij </w:t>
      </w:r>
      <w:r w:rsidR="00B167ED">
        <w:rPr>
          <w:rFonts w:ascii="Times New Roman" w:hAnsi="Times New Roman" w:cs="Times New Roman"/>
          <w:sz w:val="24"/>
          <w:szCs w:val="24"/>
        </w:rPr>
        <w:t>"</w:t>
      </w:r>
      <w:r w:rsidRPr="00BE00A7">
        <w:rPr>
          <w:rFonts w:ascii="Times New Roman" w:hAnsi="Times New Roman" w:cs="Times New Roman"/>
          <w:sz w:val="24"/>
          <w:szCs w:val="24"/>
        </w:rPr>
        <w:t>Lauksaimniecības un mežsaimniecības nozares konkurētspējas uzlabošana</w:t>
      </w:r>
      <w:r w:rsidR="00B167ED">
        <w:rPr>
          <w:rFonts w:ascii="Times New Roman" w:hAnsi="Times New Roman" w:cs="Times New Roman"/>
          <w:sz w:val="24"/>
          <w:szCs w:val="24"/>
        </w:rPr>
        <w:t>"</w:t>
      </w:r>
      <w:r w:rsidR="003514F4">
        <w:rPr>
          <w:rFonts w:ascii="Times New Roman" w:hAnsi="Times New Roman" w:cs="Times New Roman"/>
          <w:sz w:val="24"/>
          <w:szCs w:val="24"/>
        </w:rPr>
        <w:t xml:space="preserve"> paredzētā finansējuma ir apgūts</w:t>
      </w:r>
      <w:r w:rsidRPr="00BE00A7">
        <w:rPr>
          <w:rFonts w:ascii="Times New Roman" w:hAnsi="Times New Roman" w:cs="Times New Roman"/>
          <w:sz w:val="24"/>
          <w:szCs w:val="24"/>
        </w:rPr>
        <w:t xml:space="preserve"> 91</w:t>
      </w:r>
      <w:r w:rsidR="00111406">
        <w:rPr>
          <w:rFonts w:ascii="Times New Roman" w:hAnsi="Times New Roman" w:cs="Times New Roman"/>
          <w:sz w:val="24"/>
          <w:szCs w:val="24"/>
        </w:rPr>
        <w:t> %</w:t>
      </w:r>
      <w:r w:rsidR="003514F4">
        <w:rPr>
          <w:rFonts w:ascii="Times New Roman" w:hAnsi="Times New Roman" w:cs="Times New Roman"/>
          <w:sz w:val="24"/>
          <w:szCs w:val="24"/>
        </w:rPr>
        <w:t>, s</w:t>
      </w:r>
      <w:r w:rsidRPr="00BE00A7">
        <w:rPr>
          <w:rFonts w:ascii="Times New Roman" w:hAnsi="Times New Roman" w:cs="Times New Roman"/>
          <w:sz w:val="24"/>
          <w:szCs w:val="24"/>
        </w:rPr>
        <w:t xml:space="preserve">avukārt no otrajai asij </w:t>
      </w:r>
      <w:r w:rsidR="00B167ED">
        <w:rPr>
          <w:rFonts w:ascii="Times New Roman" w:hAnsi="Times New Roman" w:cs="Times New Roman"/>
          <w:sz w:val="24"/>
          <w:szCs w:val="24"/>
        </w:rPr>
        <w:t>"</w:t>
      </w:r>
      <w:r w:rsidRPr="00BE00A7">
        <w:rPr>
          <w:rFonts w:ascii="Times New Roman" w:hAnsi="Times New Roman" w:cs="Times New Roman"/>
          <w:sz w:val="24"/>
          <w:szCs w:val="24"/>
        </w:rPr>
        <w:t>Vides un lauku ainavas uzlabošana</w:t>
      </w:r>
      <w:r w:rsidR="00B167ED">
        <w:rPr>
          <w:rFonts w:ascii="Times New Roman" w:hAnsi="Times New Roman" w:cs="Times New Roman"/>
          <w:sz w:val="24"/>
          <w:szCs w:val="24"/>
        </w:rPr>
        <w:t>"</w:t>
      </w:r>
      <w:r w:rsidRPr="00BE00A7">
        <w:rPr>
          <w:rFonts w:ascii="Times New Roman" w:hAnsi="Times New Roman" w:cs="Times New Roman"/>
          <w:sz w:val="24"/>
          <w:szCs w:val="24"/>
        </w:rPr>
        <w:t xml:space="preserve"> paredzētā finansējuma ir apgūti 99</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Trešajai LAP asij </w:t>
      </w:r>
      <w:r w:rsidR="00B167ED">
        <w:rPr>
          <w:rFonts w:ascii="Times New Roman" w:hAnsi="Times New Roman" w:cs="Times New Roman"/>
          <w:sz w:val="24"/>
          <w:szCs w:val="24"/>
        </w:rPr>
        <w:t>"</w:t>
      </w:r>
      <w:r w:rsidRPr="00BE00A7">
        <w:rPr>
          <w:rFonts w:ascii="Times New Roman" w:hAnsi="Times New Roman" w:cs="Times New Roman"/>
          <w:sz w:val="24"/>
          <w:szCs w:val="24"/>
        </w:rPr>
        <w:t>Dzīves kvalitāte lauku apvidos un lauku ekonomikas dažādošana</w:t>
      </w:r>
      <w:r w:rsidR="00B167ED">
        <w:rPr>
          <w:rFonts w:ascii="Times New Roman" w:hAnsi="Times New Roman" w:cs="Times New Roman"/>
          <w:sz w:val="24"/>
          <w:szCs w:val="24"/>
        </w:rPr>
        <w:t>"</w:t>
      </w:r>
      <w:r w:rsidRPr="00BE00A7">
        <w:rPr>
          <w:rFonts w:ascii="Times New Roman" w:hAnsi="Times New Roman" w:cs="Times New Roman"/>
          <w:sz w:val="24"/>
          <w:szCs w:val="24"/>
        </w:rPr>
        <w:t xml:space="preserve"> paredzētais atbalsts ir apgūts 100</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apmērā. LAP ceturtās ass </w:t>
      </w:r>
      <w:r w:rsidR="00B167ED">
        <w:rPr>
          <w:rFonts w:ascii="Times New Roman" w:hAnsi="Times New Roman" w:cs="Times New Roman"/>
          <w:sz w:val="24"/>
          <w:szCs w:val="24"/>
        </w:rPr>
        <w:t>"</w:t>
      </w:r>
      <w:r w:rsidRPr="00BE00A7">
        <w:rPr>
          <w:rFonts w:ascii="Times New Roman" w:hAnsi="Times New Roman" w:cs="Times New Roman"/>
          <w:sz w:val="24"/>
          <w:szCs w:val="24"/>
        </w:rPr>
        <w:t>LEADER</w:t>
      </w:r>
      <w:r w:rsidR="00B167ED">
        <w:rPr>
          <w:rFonts w:ascii="Times New Roman" w:hAnsi="Times New Roman" w:cs="Times New Roman"/>
          <w:sz w:val="24"/>
          <w:szCs w:val="24"/>
        </w:rPr>
        <w:t>"</w:t>
      </w:r>
      <w:r w:rsidRPr="00BE00A7">
        <w:rPr>
          <w:rFonts w:ascii="Times New Roman" w:hAnsi="Times New Roman" w:cs="Times New Roman"/>
          <w:sz w:val="24"/>
          <w:szCs w:val="24"/>
        </w:rPr>
        <w:t xml:space="preserve"> finansējums ir apgūts 72</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apmērā. Kopumā LAP publiskais finansējums ir apgūts 95</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apmērā.</w:t>
      </w:r>
      <w:r w:rsidRPr="00BE00A7">
        <w:rPr>
          <w:rFonts w:ascii="Times New Roman" w:hAnsi="Times New Roman" w:cs="Times New Roman"/>
          <w:bCs/>
          <w:sz w:val="24"/>
          <w:szCs w:val="24"/>
        </w:rPr>
        <w:t xml:space="preserve"> </w:t>
      </w:r>
    </w:p>
    <w:p w:rsidR="00BE00A7" w:rsidRPr="00BE00A7" w:rsidRDefault="00BE00A7" w:rsidP="00BE00A7">
      <w:pPr>
        <w:pStyle w:val="Heading3"/>
      </w:pPr>
      <w:bookmarkStart w:id="120" w:name="_Toc348948383"/>
      <w:r w:rsidRPr="00BE00A7">
        <w:t>13.2. Lauku attīstības plānošana</w:t>
      </w:r>
      <w:bookmarkEnd w:id="120"/>
    </w:p>
    <w:p w:rsidR="00204569" w:rsidRDefault="003514F4" w:rsidP="00204569">
      <w:pPr>
        <w:spacing w:after="0" w:line="240" w:lineRule="auto"/>
        <w:ind w:firstLine="720"/>
        <w:jc w:val="both"/>
        <w:rPr>
          <w:rFonts w:ascii="Times New Roman" w:hAnsi="Times New Roman"/>
          <w:sz w:val="24"/>
          <w:szCs w:val="24"/>
        </w:rPr>
      </w:pPr>
      <w:r>
        <w:rPr>
          <w:rFonts w:ascii="Times New Roman" w:hAnsi="Times New Roman"/>
          <w:sz w:val="24"/>
          <w:szCs w:val="24"/>
        </w:rPr>
        <w:t>Izdarī</w:t>
      </w:r>
      <w:r w:rsidR="00204569" w:rsidRPr="00BE00A7">
        <w:rPr>
          <w:rFonts w:ascii="Times New Roman" w:hAnsi="Times New Roman"/>
          <w:sz w:val="24"/>
          <w:szCs w:val="24"/>
        </w:rPr>
        <w:t xml:space="preserve">ti grozījumi Kooperatīvo sabiedrību likumā, kas rada priekšnosacījumus meža īpašnieku kooperācijai, nosakot vienādus nosacījumus gan lauksaimniecības, gan mežsaimniecības pakalpojumu </w:t>
      </w:r>
      <w:r>
        <w:rPr>
          <w:rFonts w:ascii="Times New Roman" w:hAnsi="Times New Roman"/>
          <w:sz w:val="24"/>
          <w:szCs w:val="24"/>
        </w:rPr>
        <w:t>kooperatīvajām sabiedrībām. Izdarī</w:t>
      </w:r>
      <w:r w:rsidR="00204569" w:rsidRPr="00BE00A7">
        <w:rPr>
          <w:rFonts w:ascii="Times New Roman" w:hAnsi="Times New Roman"/>
          <w:sz w:val="24"/>
          <w:szCs w:val="24"/>
        </w:rPr>
        <w:t xml:space="preserve">ti grozījumi Latvijas </w:t>
      </w:r>
      <w:r w:rsidR="00204569" w:rsidRPr="00BE00A7">
        <w:rPr>
          <w:rFonts w:ascii="Times New Roman" w:hAnsi="Times New Roman"/>
          <w:sz w:val="24"/>
          <w:szCs w:val="24"/>
        </w:rPr>
        <w:lastRenderedPageBreak/>
        <w:t>L</w:t>
      </w:r>
      <w:r>
        <w:rPr>
          <w:rFonts w:ascii="Times New Roman" w:hAnsi="Times New Roman"/>
          <w:sz w:val="24"/>
          <w:szCs w:val="24"/>
        </w:rPr>
        <w:t>auku attīstības programmā 2007.–</w:t>
      </w:r>
      <w:r w:rsidR="00204569" w:rsidRPr="00BE00A7">
        <w:rPr>
          <w:rFonts w:ascii="Times New Roman" w:hAnsi="Times New Roman"/>
          <w:sz w:val="24"/>
          <w:szCs w:val="24"/>
        </w:rPr>
        <w:t>2013.gadam</w:t>
      </w:r>
      <w:r>
        <w:rPr>
          <w:rFonts w:ascii="Times New Roman" w:hAnsi="Times New Roman"/>
          <w:sz w:val="24"/>
          <w:szCs w:val="24"/>
        </w:rPr>
        <w:t>, kā arī</w:t>
      </w:r>
      <w:r w:rsidR="00204569">
        <w:rPr>
          <w:rFonts w:ascii="Times New Roman" w:hAnsi="Times New Roman"/>
          <w:sz w:val="24"/>
          <w:szCs w:val="24"/>
        </w:rPr>
        <w:t xml:space="preserve"> atbalsta ieviešanu regulējošos normatīvajos aktos,</w:t>
      </w:r>
      <w:r w:rsidR="00204569" w:rsidRPr="00BE00A7">
        <w:rPr>
          <w:rFonts w:ascii="Times New Roman" w:hAnsi="Times New Roman"/>
          <w:sz w:val="24"/>
          <w:szCs w:val="24"/>
        </w:rPr>
        <w:t xml:space="preserve"> paredz</w:t>
      </w:r>
      <w:r w:rsidR="00204569">
        <w:rPr>
          <w:rFonts w:ascii="Times New Roman" w:hAnsi="Times New Roman"/>
          <w:sz w:val="24"/>
          <w:szCs w:val="24"/>
        </w:rPr>
        <w:t>ot</w:t>
      </w:r>
      <w:r w:rsidR="00204569" w:rsidRPr="00BE00A7">
        <w:rPr>
          <w:rFonts w:ascii="Times New Roman" w:hAnsi="Times New Roman"/>
          <w:sz w:val="24"/>
          <w:szCs w:val="24"/>
        </w:rPr>
        <w:t xml:space="preserve"> iespēju saņemt ES atbalstu par paša meža īpašnieka veikto darbu </w:t>
      </w:r>
      <w:r w:rsidR="00204569">
        <w:rPr>
          <w:rFonts w:ascii="Times New Roman" w:hAnsi="Times New Roman"/>
          <w:sz w:val="24"/>
          <w:szCs w:val="24"/>
        </w:rPr>
        <w:t xml:space="preserve"> jaunaudžu kopšanā.</w:t>
      </w:r>
    </w:p>
    <w:p w:rsidR="00204569" w:rsidRPr="00BE00A7" w:rsidRDefault="003514F4" w:rsidP="00204569">
      <w:pPr>
        <w:spacing w:after="0" w:line="240" w:lineRule="auto"/>
        <w:ind w:firstLine="720"/>
        <w:jc w:val="both"/>
        <w:rPr>
          <w:rFonts w:ascii="Times New Roman" w:hAnsi="Times New Roman"/>
          <w:sz w:val="24"/>
          <w:szCs w:val="24"/>
        </w:rPr>
      </w:pPr>
      <w:r>
        <w:rPr>
          <w:rFonts w:ascii="Times New Roman" w:hAnsi="Times New Roman"/>
          <w:sz w:val="24"/>
          <w:szCs w:val="24"/>
        </w:rPr>
        <w:t>Ir uzsākts darbs pie 2014.–</w:t>
      </w:r>
      <w:r w:rsidR="00204569" w:rsidRPr="00BE00A7">
        <w:rPr>
          <w:rFonts w:ascii="Times New Roman" w:hAnsi="Times New Roman"/>
          <w:sz w:val="24"/>
          <w:szCs w:val="24"/>
        </w:rPr>
        <w:t>2020.gada plānošanas perioda Lauku attī</w:t>
      </w:r>
      <w:r>
        <w:rPr>
          <w:rFonts w:ascii="Times New Roman" w:hAnsi="Times New Roman"/>
          <w:sz w:val="24"/>
          <w:szCs w:val="24"/>
        </w:rPr>
        <w:t>stības programmas izstrādes. S</w:t>
      </w:r>
      <w:r w:rsidR="00204569" w:rsidRPr="00BE00A7">
        <w:rPr>
          <w:rFonts w:ascii="Times New Roman" w:hAnsi="Times New Roman"/>
          <w:sz w:val="24"/>
          <w:szCs w:val="24"/>
        </w:rPr>
        <w:t>agatavots  situācijas apraksts un kopsavilkums (SVID analīze)</w:t>
      </w:r>
      <w:r>
        <w:rPr>
          <w:rFonts w:ascii="Times New Roman" w:hAnsi="Times New Roman"/>
          <w:sz w:val="24"/>
          <w:szCs w:val="24"/>
        </w:rPr>
        <w:t xml:space="preserve"> par stāvokli lauksaimniecībā, </w:t>
      </w:r>
      <w:r w:rsidR="00204569" w:rsidRPr="00BE00A7">
        <w:rPr>
          <w:rFonts w:ascii="Times New Roman" w:hAnsi="Times New Roman"/>
          <w:sz w:val="24"/>
          <w:szCs w:val="24"/>
        </w:rPr>
        <w:t>pārtikas pārstrādē, mežsaimniecībā un lauku teritorijās. Pamatojoties uz šo analīzi,  ir veikta vajadzību izvērtēšana un mērķu definēšana, kā arī sagatavota LAP stratēģija un uzsākta pasākumu aprakstu saga</w:t>
      </w:r>
      <w:r>
        <w:rPr>
          <w:rFonts w:ascii="Times New Roman" w:hAnsi="Times New Roman"/>
          <w:sz w:val="24"/>
          <w:szCs w:val="24"/>
        </w:rPr>
        <w:t>tavošana. Ir veikts   LAP 2014.–</w:t>
      </w:r>
      <w:r w:rsidR="00204569" w:rsidRPr="00BE00A7">
        <w:rPr>
          <w:rFonts w:ascii="Times New Roman" w:hAnsi="Times New Roman"/>
          <w:sz w:val="24"/>
          <w:szCs w:val="24"/>
        </w:rPr>
        <w:t xml:space="preserve">2020. projekta pirmās versijas </w:t>
      </w:r>
      <w:r w:rsidR="00204569" w:rsidRPr="003514F4">
        <w:rPr>
          <w:rFonts w:ascii="Times New Roman" w:hAnsi="Times New Roman"/>
          <w:i/>
          <w:sz w:val="24"/>
          <w:szCs w:val="24"/>
        </w:rPr>
        <w:t>Ex-ante</w:t>
      </w:r>
      <w:r w:rsidR="00204569" w:rsidRPr="00BE00A7">
        <w:rPr>
          <w:rFonts w:ascii="Times New Roman" w:hAnsi="Times New Roman"/>
          <w:sz w:val="24"/>
          <w:szCs w:val="24"/>
        </w:rPr>
        <w:t xml:space="preserve"> novērtēšanas pirmais posms. LAP situācijas apraksts, SVID analīzes un stratēģijas projekts iesniegts izvērtēšanai lauksaimnieku nevalstiskajām organizācijām, kā arī organizēti sabiedriskās apspriešanas pasākumi (konferences, tikšanās ar sociālajiem un ekonomiskajiem partneriem) par lauku attīstības iespējam un vajadzībām nākamajā plānošanas periodā.</w:t>
      </w:r>
      <w:r>
        <w:rPr>
          <w:rFonts w:ascii="Times New Roman" w:hAnsi="Times New Roman"/>
          <w:sz w:val="24"/>
          <w:szCs w:val="24"/>
        </w:rPr>
        <w:t xml:space="preserve"> Lai aktualizētu m</w:t>
      </w:r>
      <w:r w:rsidR="00204569" w:rsidRPr="00BE00A7">
        <w:rPr>
          <w:rFonts w:ascii="Times New Roman" w:hAnsi="Times New Roman"/>
          <w:sz w:val="24"/>
          <w:szCs w:val="24"/>
        </w:rPr>
        <w:t xml:space="preserve">eža un saistīto nozaru attīstības pamatnostādnes, iesaistot meža nozares pārstāvjus, </w:t>
      </w:r>
      <w:r>
        <w:rPr>
          <w:rFonts w:ascii="Times New Roman" w:hAnsi="Times New Roman"/>
          <w:sz w:val="24"/>
          <w:szCs w:val="24"/>
        </w:rPr>
        <w:t>s</w:t>
      </w:r>
      <w:r w:rsidRPr="00BE00A7">
        <w:rPr>
          <w:rFonts w:ascii="Times New Roman" w:hAnsi="Times New Roman"/>
          <w:sz w:val="24"/>
          <w:szCs w:val="24"/>
        </w:rPr>
        <w:t xml:space="preserve">avukārt </w:t>
      </w:r>
      <w:r w:rsidR="00204569" w:rsidRPr="00BE00A7">
        <w:rPr>
          <w:rFonts w:ascii="Times New Roman" w:hAnsi="Times New Roman"/>
          <w:sz w:val="24"/>
          <w:szCs w:val="24"/>
        </w:rPr>
        <w:t xml:space="preserve">ir izstrādāts meža nozares attīstības plāns, definēti sasniedzamie rādītāji un nepieciešamais finansējums. </w:t>
      </w:r>
    </w:p>
    <w:p w:rsidR="00BE00A7" w:rsidRPr="00BE00A7" w:rsidRDefault="00BE00A7" w:rsidP="00BE00A7">
      <w:pPr>
        <w:pStyle w:val="Heading3"/>
      </w:pPr>
      <w:bookmarkStart w:id="121" w:name="_Toc348948384"/>
      <w:r w:rsidRPr="00BE00A7">
        <w:t>13.3. Veselīga pārtika skolās</w:t>
      </w:r>
      <w:bookmarkEnd w:id="121"/>
    </w:p>
    <w:p w:rsidR="00BE00A7" w:rsidRPr="00BE00A7" w:rsidRDefault="00BE00A7" w:rsidP="00BE00A7">
      <w:pPr>
        <w:spacing w:after="0" w:line="240" w:lineRule="auto"/>
        <w:ind w:firstLine="720"/>
        <w:jc w:val="both"/>
        <w:rPr>
          <w:rFonts w:ascii="Times New Roman" w:hAnsi="Times New Roman" w:cs="Times New Roman"/>
          <w:sz w:val="24"/>
          <w:szCs w:val="24"/>
        </w:rPr>
      </w:pPr>
      <w:r w:rsidRPr="00BE00A7">
        <w:rPr>
          <w:rFonts w:ascii="Times New Roman" w:hAnsi="Times New Roman" w:cs="Times New Roman"/>
          <w:sz w:val="24"/>
          <w:szCs w:val="24"/>
        </w:rPr>
        <w:t xml:space="preserve">Ņemot vērā pieaugošo programmas </w:t>
      </w:r>
      <w:r w:rsidR="00B167ED">
        <w:rPr>
          <w:rFonts w:ascii="Times New Roman" w:hAnsi="Times New Roman" w:cs="Times New Roman"/>
          <w:sz w:val="24"/>
          <w:szCs w:val="24"/>
        </w:rPr>
        <w:t>"</w:t>
      </w:r>
      <w:r w:rsidRPr="00BE00A7">
        <w:rPr>
          <w:rFonts w:ascii="Times New Roman" w:hAnsi="Times New Roman" w:cs="Times New Roman"/>
          <w:sz w:val="24"/>
          <w:szCs w:val="24"/>
        </w:rPr>
        <w:t>Skolas auglis</w:t>
      </w:r>
      <w:r w:rsidR="00B167ED">
        <w:rPr>
          <w:rFonts w:ascii="Times New Roman" w:hAnsi="Times New Roman" w:cs="Times New Roman"/>
          <w:sz w:val="24"/>
          <w:szCs w:val="24"/>
        </w:rPr>
        <w:t>"</w:t>
      </w:r>
      <w:r w:rsidRPr="00BE00A7">
        <w:rPr>
          <w:rFonts w:ascii="Times New Roman" w:hAnsi="Times New Roman" w:cs="Times New Roman"/>
          <w:sz w:val="24"/>
          <w:szCs w:val="24"/>
        </w:rPr>
        <w:t xml:space="preserve"> popu</w:t>
      </w:r>
      <w:r w:rsidR="003514F4">
        <w:rPr>
          <w:rFonts w:ascii="Times New Roman" w:hAnsi="Times New Roman" w:cs="Times New Roman"/>
          <w:sz w:val="24"/>
          <w:szCs w:val="24"/>
        </w:rPr>
        <w:t>laritāti</w:t>
      </w:r>
      <w:r w:rsidRPr="00BE00A7">
        <w:rPr>
          <w:rFonts w:ascii="Times New Roman" w:hAnsi="Times New Roman" w:cs="Times New Roman"/>
          <w:sz w:val="24"/>
          <w:szCs w:val="24"/>
        </w:rPr>
        <w:t xml:space="preserve"> skolēnu, vecāku un izglītības iestāžu vidū, pēc ZM lūguma EK 2011./2012. un 2012./2013</w:t>
      </w:r>
      <w:r w:rsidR="003514F4">
        <w:rPr>
          <w:rFonts w:ascii="Times New Roman" w:hAnsi="Times New Roman" w:cs="Times New Roman"/>
          <w:sz w:val="24"/>
          <w:szCs w:val="24"/>
        </w:rPr>
        <w:t>. mācību gada</w:t>
      </w:r>
      <w:r w:rsidRPr="00BE00A7">
        <w:rPr>
          <w:rFonts w:ascii="Times New Roman" w:hAnsi="Times New Roman" w:cs="Times New Roman"/>
          <w:sz w:val="24"/>
          <w:szCs w:val="24"/>
        </w:rPr>
        <w:t>m piešķīra papildus ES līdzfinansējumu programmas ieviešanai Latvijas skolās</w:t>
      </w:r>
      <w:r w:rsidR="003514F4">
        <w:rPr>
          <w:rFonts w:ascii="Times New Roman" w:hAnsi="Times New Roman" w:cs="Times New Roman"/>
          <w:sz w:val="24"/>
          <w:szCs w:val="24"/>
        </w:rPr>
        <w:t>, t.i., 2011./2012.mācību gadā</w:t>
      </w:r>
      <w:r w:rsidRPr="00BE00A7">
        <w:rPr>
          <w:rFonts w:ascii="Times New Roman" w:hAnsi="Times New Roman" w:cs="Times New Roman"/>
          <w:sz w:val="24"/>
          <w:szCs w:val="24"/>
        </w:rPr>
        <w:t xml:space="preserve"> palielināja Latvijai garantēto ES līdzfinansējumu programmas ieviešanai par 70</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(no </w:t>
      </w:r>
      <w:r w:rsidR="003514F4">
        <w:rPr>
          <w:rFonts w:ascii="Times New Roman" w:hAnsi="Times New Roman" w:cs="Times New Roman"/>
          <w:sz w:val="24"/>
          <w:szCs w:val="24"/>
        </w:rPr>
        <w:t>EUR 450,1 tūkst.</w:t>
      </w:r>
      <w:r w:rsidRPr="00BE00A7">
        <w:rPr>
          <w:rFonts w:ascii="Times New Roman" w:hAnsi="Times New Roman" w:cs="Times New Roman"/>
          <w:sz w:val="24"/>
          <w:szCs w:val="24"/>
        </w:rPr>
        <w:t xml:space="preserve"> līdz </w:t>
      </w:r>
      <w:r w:rsidR="003514F4">
        <w:rPr>
          <w:rFonts w:ascii="Times New Roman" w:hAnsi="Times New Roman" w:cs="Times New Roman"/>
          <w:sz w:val="24"/>
          <w:szCs w:val="24"/>
        </w:rPr>
        <w:t>EUR</w:t>
      </w:r>
      <w:r w:rsidR="003514F4" w:rsidRPr="00BE00A7">
        <w:rPr>
          <w:rFonts w:ascii="Times New Roman" w:hAnsi="Times New Roman" w:cs="Times New Roman"/>
          <w:sz w:val="24"/>
          <w:szCs w:val="24"/>
        </w:rPr>
        <w:t xml:space="preserve"> </w:t>
      </w:r>
      <w:r w:rsidRPr="00BE00A7">
        <w:rPr>
          <w:rFonts w:ascii="Times New Roman" w:hAnsi="Times New Roman" w:cs="Times New Roman"/>
          <w:sz w:val="24"/>
          <w:szCs w:val="24"/>
        </w:rPr>
        <w:t>764,2 tūk</w:t>
      </w:r>
      <w:r w:rsidR="003514F4">
        <w:rPr>
          <w:rFonts w:ascii="Times New Roman" w:hAnsi="Times New Roman" w:cs="Times New Roman"/>
          <w:sz w:val="24"/>
          <w:szCs w:val="24"/>
        </w:rPr>
        <w:t>st.), savukārt 2012./2013.mācību gadā</w:t>
      </w:r>
      <w:r w:rsidRPr="00BE00A7">
        <w:rPr>
          <w:rFonts w:ascii="Times New Roman" w:hAnsi="Times New Roman" w:cs="Times New Roman"/>
          <w:sz w:val="24"/>
          <w:szCs w:val="24"/>
        </w:rPr>
        <w:t xml:space="preserve"> – jau par 95</w:t>
      </w:r>
      <w:r w:rsidR="00111406">
        <w:rPr>
          <w:rFonts w:ascii="Times New Roman" w:hAnsi="Times New Roman" w:cs="Times New Roman"/>
          <w:sz w:val="24"/>
          <w:szCs w:val="24"/>
        </w:rPr>
        <w:t> %</w:t>
      </w:r>
      <w:r w:rsidRPr="00BE00A7">
        <w:rPr>
          <w:rFonts w:ascii="Times New Roman" w:hAnsi="Times New Roman" w:cs="Times New Roman"/>
          <w:sz w:val="24"/>
          <w:szCs w:val="24"/>
        </w:rPr>
        <w:t xml:space="preserve"> (no </w:t>
      </w:r>
      <w:r w:rsidR="003514F4">
        <w:rPr>
          <w:rFonts w:ascii="Times New Roman" w:hAnsi="Times New Roman" w:cs="Times New Roman"/>
          <w:sz w:val="24"/>
          <w:szCs w:val="24"/>
        </w:rPr>
        <w:t>EUR</w:t>
      </w:r>
      <w:r w:rsidR="003514F4" w:rsidRPr="00BE00A7">
        <w:rPr>
          <w:rFonts w:ascii="Times New Roman" w:hAnsi="Times New Roman" w:cs="Times New Roman"/>
          <w:sz w:val="24"/>
          <w:szCs w:val="24"/>
        </w:rPr>
        <w:t xml:space="preserve"> </w:t>
      </w:r>
      <w:r w:rsidR="00B07F36">
        <w:rPr>
          <w:rFonts w:ascii="Times New Roman" w:hAnsi="Times New Roman" w:cs="Times New Roman"/>
          <w:sz w:val="24"/>
          <w:szCs w:val="24"/>
        </w:rPr>
        <w:t>450,1 tūkst.</w:t>
      </w:r>
      <w:r w:rsidRPr="00BE00A7">
        <w:rPr>
          <w:rFonts w:ascii="Times New Roman" w:hAnsi="Times New Roman" w:cs="Times New Roman"/>
          <w:sz w:val="24"/>
          <w:szCs w:val="24"/>
        </w:rPr>
        <w:t xml:space="preserve"> līdz </w:t>
      </w:r>
      <w:r w:rsidR="00B07F36">
        <w:rPr>
          <w:rFonts w:ascii="Times New Roman" w:hAnsi="Times New Roman" w:cs="Times New Roman"/>
          <w:sz w:val="24"/>
          <w:szCs w:val="24"/>
        </w:rPr>
        <w:t>EUR</w:t>
      </w:r>
      <w:r w:rsidR="00B07F36" w:rsidRPr="00BE00A7">
        <w:rPr>
          <w:rFonts w:ascii="Times New Roman" w:hAnsi="Times New Roman" w:cs="Times New Roman"/>
          <w:sz w:val="24"/>
          <w:szCs w:val="24"/>
        </w:rPr>
        <w:t xml:space="preserve"> </w:t>
      </w:r>
      <w:r w:rsidR="00B07F36">
        <w:rPr>
          <w:rFonts w:ascii="Times New Roman" w:hAnsi="Times New Roman" w:cs="Times New Roman"/>
          <w:sz w:val="24"/>
          <w:szCs w:val="24"/>
        </w:rPr>
        <w:t>881,9 tūkst.</w:t>
      </w:r>
      <w:r w:rsidRPr="00BE00A7">
        <w:rPr>
          <w:rFonts w:ascii="Times New Roman" w:hAnsi="Times New Roman" w:cs="Times New Roman"/>
          <w:sz w:val="24"/>
          <w:szCs w:val="24"/>
        </w:rPr>
        <w:t>). Šis līdzfinansējuma palielinājums ļāva sākt bezmaksas augļu un dārzeņu piegādi skolām jau rudens periodā un nodrošināt, ka produktus saņem visu</w:t>
      </w:r>
      <w:r w:rsidR="00B07F36">
        <w:rPr>
          <w:rFonts w:ascii="Times New Roman" w:hAnsi="Times New Roman" w:cs="Times New Roman"/>
          <w:sz w:val="24"/>
          <w:szCs w:val="24"/>
        </w:rPr>
        <w:t xml:space="preserve"> programmā pieteikušos skolu 1.–9.</w:t>
      </w:r>
      <w:r w:rsidRPr="00BE00A7">
        <w:rPr>
          <w:rFonts w:ascii="Times New Roman" w:hAnsi="Times New Roman" w:cs="Times New Roman"/>
          <w:sz w:val="24"/>
          <w:szCs w:val="24"/>
        </w:rPr>
        <w:t>klašu skolēni. 2012.gadā ZM turpināja p</w:t>
      </w:r>
      <w:r w:rsidR="00B07F36">
        <w:rPr>
          <w:rFonts w:ascii="Times New Roman" w:hAnsi="Times New Roman" w:cs="Times New Roman"/>
          <w:sz w:val="24"/>
          <w:szCs w:val="24"/>
        </w:rPr>
        <w:t>iešķirt valsts līdzfinansējumu Skolas piena</w:t>
      </w:r>
      <w:r w:rsidRPr="00BE00A7">
        <w:rPr>
          <w:rFonts w:ascii="Times New Roman" w:hAnsi="Times New Roman" w:cs="Times New Roman"/>
          <w:sz w:val="24"/>
          <w:szCs w:val="24"/>
        </w:rPr>
        <w:t xml:space="preserve"> programmai, no janvāra līdz augustam nodrošinot iespēju pirmsskolas izgl</w:t>
      </w:r>
      <w:r w:rsidR="00B07F36">
        <w:rPr>
          <w:rFonts w:ascii="Times New Roman" w:hAnsi="Times New Roman" w:cs="Times New Roman"/>
          <w:sz w:val="24"/>
          <w:szCs w:val="24"/>
        </w:rPr>
        <w:t>ītības iestāžu audzēkņiem un 1.–</w:t>
      </w:r>
      <w:r w:rsidRPr="00BE00A7">
        <w:rPr>
          <w:rFonts w:ascii="Times New Roman" w:hAnsi="Times New Roman" w:cs="Times New Roman"/>
          <w:sz w:val="24"/>
          <w:szCs w:val="24"/>
        </w:rPr>
        <w:t>4.klases izglītojamiem ik dienu saņemt bezmaksas glāzi piena, bet, sākot ar 2012.</w:t>
      </w:r>
      <w:r w:rsidR="00B07F36">
        <w:rPr>
          <w:rFonts w:ascii="Times New Roman" w:hAnsi="Times New Roman" w:cs="Times New Roman"/>
          <w:sz w:val="24"/>
          <w:szCs w:val="24"/>
        </w:rPr>
        <w:t>gada augustu, piešķirot papildu</w:t>
      </w:r>
      <w:r w:rsidRPr="00BE00A7">
        <w:rPr>
          <w:rFonts w:ascii="Times New Roman" w:hAnsi="Times New Roman" w:cs="Times New Roman"/>
          <w:sz w:val="24"/>
          <w:szCs w:val="24"/>
        </w:rPr>
        <w:t xml:space="preserve"> līdzekļus valsts līdzfinansējumam, bezmaksas glāzi piena ik</w:t>
      </w:r>
      <w:r w:rsidR="00B07F36">
        <w:rPr>
          <w:rFonts w:ascii="Times New Roman" w:hAnsi="Times New Roman" w:cs="Times New Roman"/>
          <w:sz w:val="24"/>
          <w:szCs w:val="24"/>
        </w:rPr>
        <w:t xml:space="preserve"> dienu ir iespēja saņemt arī 5.–</w:t>
      </w:r>
      <w:r w:rsidRPr="00BE00A7">
        <w:rPr>
          <w:rFonts w:ascii="Times New Roman" w:hAnsi="Times New Roman" w:cs="Times New Roman"/>
          <w:sz w:val="24"/>
          <w:szCs w:val="24"/>
        </w:rPr>
        <w:t>9.klases izglītojamiem. Kopējais valsts līdzfinansējuma ap</w:t>
      </w:r>
      <w:r w:rsidR="00B07F36">
        <w:rPr>
          <w:rFonts w:ascii="Times New Roman" w:hAnsi="Times New Roman" w:cs="Times New Roman"/>
          <w:sz w:val="24"/>
          <w:szCs w:val="24"/>
        </w:rPr>
        <w:t>mērs 2012.gadam ir 1,03 milj. latu</w:t>
      </w:r>
      <w:r w:rsidRPr="00BE00A7">
        <w:rPr>
          <w:rFonts w:ascii="Times New Roman" w:hAnsi="Times New Roman" w:cs="Times New Roman"/>
          <w:sz w:val="24"/>
          <w:szCs w:val="24"/>
        </w:rPr>
        <w:t>. 2011.</w:t>
      </w:r>
      <w:r w:rsidR="00B07F36">
        <w:rPr>
          <w:rFonts w:ascii="Times New Roman" w:hAnsi="Times New Roman" w:cs="Times New Roman"/>
          <w:sz w:val="24"/>
          <w:szCs w:val="24"/>
        </w:rPr>
        <w:t>/2012.mācību gadā Skolas piena</w:t>
      </w:r>
      <w:r w:rsidRPr="00BE00A7">
        <w:rPr>
          <w:rFonts w:ascii="Times New Roman" w:hAnsi="Times New Roman" w:cs="Times New Roman"/>
          <w:sz w:val="24"/>
          <w:szCs w:val="24"/>
        </w:rPr>
        <w:t xml:space="preserve"> programmā iesaistījās apmēram 50 000 izglītojamo 572 izglītības iestādēs, tādējādi trīskārt pārsniedzot 2010./2011.mācību gadā izmaksātos atbalsta apjomus. </w:t>
      </w:r>
    </w:p>
    <w:p w:rsidR="00BE00A7" w:rsidRPr="00BE00A7" w:rsidRDefault="00BE00A7" w:rsidP="00BE00A7">
      <w:pPr>
        <w:pStyle w:val="Heading3"/>
        <w:rPr>
          <w:szCs w:val="24"/>
        </w:rPr>
      </w:pPr>
      <w:bookmarkStart w:id="122" w:name="_Toc348948385"/>
      <w:r w:rsidRPr="00BE00A7">
        <w:rPr>
          <w:szCs w:val="24"/>
        </w:rPr>
        <w:t>13.4. Zivsaimniecības politika</w:t>
      </w:r>
      <w:bookmarkEnd w:id="122"/>
    </w:p>
    <w:p w:rsidR="00204569" w:rsidRPr="00BE00A7" w:rsidRDefault="00B07F36" w:rsidP="00204569">
      <w:pPr>
        <w:spacing w:after="0" w:line="240" w:lineRule="auto"/>
        <w:ind w:firstLine="720"/>
        <w:jc w:val="both"/>
        <w:rPr>
          <w:rFonts w:ascii="Times New Roman" w:hAnsi="Times New Roman"/>
          <w:sz w:val="24"/>
          <w:szCs w:val="24"/>
        </w:rPr>
      </w:pPr>
      <w:r>
        <w:rPr>
          <w:rFonts w:ascii="Times New Roman" w:hAnsi="Times New Roman"/>
          <w:bCs/>
          <w:sz w:val="24"/>
          <w:szCs w:val="24"/>
        </w:rPr>
        <w:t>2012.</w:t>
      </w:r>
      <w:r w:rsidR="00204569" w:rsidRPr="00BE00A7">
        <w:rPr>
          <w:rFonts w:ascii="Times New Roman" w:hAnsi="Times New Roman"/>
          <w:bCs/>
          <w:sz w:val="24"/>
          <w:szCs w:val="24"/>
        </w:rPr>
        <w:t>gada pirmajā pusgadā un jūnija ES Lauksaimniecības un zivsaimniecības ministru padomes sanāksmē tika pa</w:t>
      </w:r>
      <w:r>
        <w:rPr>
          <w:rFonts w:ascii="Times New Roman" w:hAnsi="Times New Roman"/>
          <w:bCs/>
          <w:sz w:val="24"/>
          <w:szCs w:val="24"/>
        </w:rPr>
        <w:t>nākta politiska vienošanās par p</w:t>
      </w:r>
      <w:r w:rsidR="00204569" w:rsidRPr="00BE00A7">
        <w:rPr>
          <w:rFonts w:ascii="Times New Roman" w:hAnsi="Times New Roman"/>
          <w:bCs/>
          <w:sz w:val="24"/>
          <w:szCs w:val="24"/>
        </w:rPr>
        <w:t>adomes vispārējo pieeju Kopējās zivsaimniecības politikas (KZP) reformai</w:t>
      </w:r>
      <w:r>
        <w:rPr>
          <w:rFonts w:ascii="Times New Roman" w:hAnsi="Times New Roman"/>
          <w:sz w:val="24"/>
          <w:szCs w:val="24"/>
        </w:rPr>
        <w:t>. Pēc Eiropas Parlamenta</w:t>
      </w:r>
      <w:r w:rsidR="00204569" w:rsidRPr="00BE00A7">
        <w:rPr>
          <w:rFonts w:ascii="Times New Roman" w:hAnsi="Times New Roman"/>
          <w:sz w:val="24"/>
          <w:szCs w:val="24"/>
        </w:rPr>
        <w:t xml:space="preserve"> balsojuma par regulas projektu 06.02.2013. paredzēts uzsākt trialogu sta</w:t>
      </w:r>
      <w:r>
        <w:rPr>
          <w:rFonts w:ascii="Times New Roman" w:hAnsi="Times New Roman"/>
          <w:sz w:val="24"/>
          <w:szCs w:val="24"/>
        </w:rPr>
        <w:t>rp institūcijām, lai līdz 2013.</w:t>
      </w:r>
      <w:r w:rsidR="00204569" w:rsidRPr="00BE00A7">
        <w:rPr>
          <w:rFonts w:ascii="Times New Roman" w:hAnsi="Times New Roman"/>
          <w:sz w:val="24"/>
          <w:szCs w:val="24"/>
        </w:rPr>
        <w:t xml:space="preserve">gada vidum panāktu  vienošanos par jauno kopējo zivsaimniecības politiku. </w:t>
      </w:r>
    </w:p>
    <w:p w:rsidR="00204569" w:rsidRPr="00BE00A7" w:rsidRDefault="00B07F36" w:rsidP="00204569">
      <w:pPr>
        <w:spacing w:after="0" w:line="240" w:lineRule="auto"/>
        <w:ind w:firstLine="720"/>
        <w:jc w:val="both"/>
        <w:rPr>
          <w:rFonts w:ascii="Times New Roman" w:hAnsi="Times New Roman"/>
          <w:sz w:val="24"/>
          <w:szCs w:val="24"/>
        </w:rPr>
      </w:pPr>
      <w:r>
        <w:rPr>
          <w:rFonts w:ascii="Times New Roman" w:hAnsi="Times New Roman"/>
          <w:sz w:val="24"/>
          <w:szCs w:val="24"/>
        </w:rPr>
        <w:t>2012.</w:t>
      </w:r>
      <w:r w:rsidR="00204569" w:rsidRPr="00BE00A7">
        <w:rPr>
          <w:rFonts w:ascii="Times New Roman" w:hAnsi="Times New Roman"/>
          <w:sz w:val="24"/>
          <w:szCs w:val="24"/>
        </w:rPr>
        <w:t xml:space="preserve">gada jūnijā tika panākta arī </w:t>
      </w:r>
      <w:r w:rsidR="00204569" w:rsidRPr="00BE00A7">
        <w:rPr>
          <w:rFonts w:ascii="Times New Roman" w:hAnsi="Times New Roman"/>
          <w:bCs/>
          <w:sz w:val="24"/>
          <w:szCs w:val="24"/>
        </w:rPr>
        <w:t>politis</w:t>
      </w:r>
      <w:r>
        <w:rPr>
          <w:rFonts w:ascii="Times New Roman" w:hAnsi="Times New Roman"/>
          <w:bCs/>
          <w:sz w:val="24"/>
          <w:szCs w:val="24"/>
        </w:rPr>
        <w:t>ka vienošanās par p</w:t>
      </w:r>
      <w:r w:rsidR="00204569" w:rsidRPr="00BE00A7">
        <w:rPr>
          <w:rFonts w:ascii="Times New Roman" w:hAnsi="Times New Roman"/>
          <w:bCs/>
          <w:sz w:val="24"/>
          <w:szCs w:val="24"/>
        </w:rPr>
        <w:t>adomes vispārējo pieeju Kopējā tirgus organizācijas (KTO) reformai. Eiropas Parlamenta pirmais balsojums par š</w:t>
      </w:r>
      <w:r>
        <w:rPr>
          <w:rFonts w:ascii="Times New Roman" w:hAnsi="Times New Roman"/>
          <w:bCs/>
          <w:sz w:val="24"/>
          <w:szCs w:val="24"/>
        </w:rPr>
        <w:t>o regulas projektu notika 2012.</w:t>
      </w:r>
      <w:r w:rsidR="00204569" w:rsidRPr="00BE00A7">
        <w:rPr>
          <w:rFonts w:ascii="Times New Roman" w:hAnsi="Times New Roman"/>
          <w:bCs/>
          <w:sz w:val="24"/>
          <w:szCs w:val="24"/>
        </w:rPr>
        <w:t xml:space="preserve">gada septembrī, un </w:t>
      </w:r>
      <w:r>
        <w:rPr>
          <w:rFonts w:ascii="Times New Roman" w:hAnsi="Times New Roman"/>
          <w:sz w:val="24"/>
          <w:szCs w:val="24"/>
        </w:rPr>
        <w:t>līdz 2013.</w:t>
      </w:r>
      <w:r w:rsidR="00204569" w:rsidRPr="00BE00A7">
        <w:rPr>
          <w:rFonts w:ascii="Times New Roman" w:hAnsi="Times New Roman"/>
          <w:sz w:val="24"/>
          <w:szCs w:val="24"/>
        </w:rPr>
        <w:t>gada vidum plānots panākt vienošanos arī par šo regulas projektu.</w:t>
      </w:r>
    </w:p>
    <w:p w:rsidR="00204569" w:rsidRPr="00BE00A7" w:rsidRDefault="00B07F36" w:rsidP="00204569">
      <w:pPr>
        <w:spacing w:after="0" w:line="240" w:lineRule="auto"/>
        <w:ind w:firstLine="720"/>
        <w:jc w:val="both"/>
        <w:rPr>
          <w:rFonts w:ascii="Times New Roman" w:hAnsi="Times New Roman"/>
          <w:sz w:val="24"/>
          <w:szCs w:val="24"/>
        </w:rPr>
      </w:pPr>
      <w:r>
        <w:rPr>
          <w:rFonts w:ascii="Times New Roman" w:hAnsi="Times New Roman"/>
          <w:sz w:val="24"/>
          <w:szCs w:val="24"/>
        </w:rPr>
        <w:t>Tāpat</w:t>
      </w:r>
      <w:r w:rsidR="00204569" w:rsidRPr="00BE00A7">
        <w:rPr>
          <w:rFonts w:ascii="Times New Roman" w:hAnsi="Times New Roman"/>
          <w:sz w:val="24"/>
          <w:szCs w:val="24"/>
        </w:rPr>
        <w:t xml:space="preserve"> 2012. gada nogalē tika lemts par kop</w:t>
      </w:r>
      <w:r>
        <w:rPr>
          <w:rFonts w:ascii="Times New Roman" w:hAnsi="Times New Roman"/>
          <w:sz w:val="24"/>
          <w:szCs w:val="24"/>
        </w:rPr>
        <w:t>ējo pieļaujamo nozveju (kvotām)</w:t>
      </w:r>
      <w:r w:rsidR="00204569" w:rsidRPr="00BE00A7">
        <w:rPr>
          <w:rFonts w:ascii="Times New Roman" w:hAnsi="Times New Roman"/>
          <w:sz w:val="24"/>
          <w:szCs w:val="24"/>
        </w:rPr>
        <w:t xml:space="preserve"> gan Baltijas jūrā, gan starptautiskajos ūdeņos. </w:t>
      </w:r>
      <w:r>
        <w:rPr>
          <w:rFonts w:ascii="Times New Roman" w:hAnsi="Times New Roman"/>
          <w:sz w:val="24"/>
          <w:szCs w:val="24"/>
        </w:rPr>
        <w:t>Salīdzinot ar Komisijas sākotnējo piedāvājumu,</w:t>
      </w:r>
      <w:r w:rsidRPr="00BE00A7">
        <w:rPr>
          <w:rFonts w:ascii="Times New Roman" w:hAnsi="Times New Roman"/>
          <w:sz w:val="24"/>
          <w:szCs w:val="24"/>
        </w:rPr>
        <w:t xml:space="preserve"> </w:t>
      </w:r>
      <w:r>
        <w:rPr>
          <w:rFonts w:ascii="Times New Roman" w:hAnsi="Times New Roman"/>
          <w:sz w:val="24"/>
          <w:szCs w:val="24"/>
        </w:rPr>
        <w:lastRenderedPageBreak/>
        <w:t>Latvija 2013.</w:t>
      </w:r>
      <w:r w:rsidR="00204569" w:rsidRPr="00BE00A7">
        <w:rPr>
          <w:rFonts w:ascii="Times New Roman" w:hAnsi="Times New Roman"/>
          <w:sz w:val="24"/>
          <w:szCs w:val="24"/>
        </w:rPr>
        <w:t>gadam panāca labākus nosacījumus zvejas iespējām Baltijas jūrā (kopā iegūstot 59</w:t>
      </w:r>
      <w:r w:rsidR="00204569">
        <w:rPr>
          <w:rFonts w:ascii="Times New Roman" w:hAnsi="Times New Roman"/>
          <w:sz w:val="24"/>
          <w:szCs w:val="24"/>
        </w:rPr>
        <w:t> </w:t>
      </w:r>
      <w:r w:rsidR="00204569" w:rsidRPr="00BE00A7">
        <w:rPr>
          <w:rFonts w:ascii="Times New Roman" w:hAnsi="Times New Roman"/>
          <w:sz w:val="24"/>
          <w:szCs w:val="24"/>
        </w:rPr>
        <w:t>522 t reņģu, mencu un brētliņu un 14</w:t>
      </w:r>
      <w:r w:rsidR="00204569">
        <w:rPr>
          <w:rFonts w:ascii="Times New Roman" w:hAnsi="Times New Roman"/>
          <w:sz w:val="24"/>
          <w:szCs w:val="24"/>
        </w:rPr>
        <w:t> </w:t>
      </w:r>
      <w:r w:rsidR="00204569" w:rsidRPr="00BE00A7">
        <w:rPr>
          <w:rFonts w:ascii="Times New Roman" w:hAnsi="Times New Roman"/>
          <w:sz w:val="24"/>
          <w:szCs w:val="24"/>
        </w:rPr>
        <w:t>335 gab. lašu zvejas iespēju). Šāds rezultāts tika sasniegts, pateicoties veiksmīgajai Baltijas jūras reģiona valstu sadarb</w:t>
      </w:r>
      <w:r>
        <w:rPr>
          <w:rFonts w:ascii="Times New Roman" w:hAnsi="Times New Roman"/>
          <w:sz w:val="24"/>
          <w:szCs w:val="24"/>
        </w:rPr>
        <w:t>ības struktūrai BALTFISH. 2013.</w:t>
      </w:r>
      <w:r w:rsidR="00204569" w:rsidRPr="00BE00A7">
        <w:rPr>
          <w:rFonts w:ascii="Times New Roman" w:hAnsi="Times New Roman"/>
          <w:sz w:val="24"/>
          <w:szCs w:val="24"/>
        </w:rPr>
        <w:t>gada otrajā pusgadā, kad Latvija būs BALTFISH prezidēj</w:t>
      </w:r>
      <w:r>
        <w:rPr>
          <w:rFonts w:ascii="Times New Roman" w:hAnsi="Times New Roman"/>
          <w:sz w:val="24"/>
          <w:szCs w:val="24"/>
        </w:rPr>
        <w:t>ošā valsts,</w:t>
      </w:r>
      <w:r w:rsidR="00204569" w:rsidRPr="00BE00A7">
        <w:rPr>
          <w:rFonts w:ascii="Times New Roman" w:hAnsi="Times New Roman"/>
          <w:sz w:val="24"/>
          <w:szCs w:val="24"/>
        </w:rPr>
        <w:t xml:space="preserve"> uzsāktā sadarbība </w:t>
      </w:r>
      <w:r w:rsidRPr="00BE00A7">
        <w:rPr>
          <w:rFonts w:ascii="Times New Roman" w:hAnsi="Times New Roman"/>
          <w:sz w:val="24"/>
          <w:szCs w:val="24"/>
        </w:rPr>
        <w:t xml:space="preserve">būtu jāturpina </w:t>
      </w:r>
      <w:r w:rsidR="00204569" w:rsidRPr="00BE00A7">
        <w:rPr>
          <w:rFonts w:ascii="Times New Roman" w:hAnsi="Times New Roman"/>
          <w:sz w:val="24"/>
          <w:szCs w:val="24"/>
        </w:rPr>
        <w:t xml:space="preserve">pēc iespējas efektīvi. </w:t>
      </w:r>
    </w:p>
    <w:p w:rsidR="00204569" w:rsidRPr="00BE00A7" w:rsidRDefault="00204569" w:rsidP="00204569">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Zivju resursu mākslīgās atražošanas </w:t>
      </w:r>
      <w:r w:rsidRPr="00BE00A7">
        <w:rPr>
          <w:rFonts w:ascii="Times New Roman" w:hAnsi="Times New Roman"/>
          <w:bCs/>
          <w:sz w:val="24"/>
          <w:szCs w:val="24"/>
        </w:rPr>
        <w:t xml:space="preserve">valsts </w:t>
      </w:r>
      <w:r w:rsidRPr="00BE00A7">
        <w:rPr>
          <w:rFonts w:ascii="Times New Roman" w:hAnsi="Times New Roman"/>
          <w:sz w:val="24"/>
          <w:szCs w:val="24"/>
        </w:rPr>
        <w:t xml:space="preserve">programmas </w:t>
      </w:r>
      <w:r w:rsidR="00B07F36">
        <w:rPr>
          <w:rFonts w:ascii="Times New Roman" w:hAnsi="Times New Roman"/>
          <w:bCs/>
          <w:sz w:val="24"/>
          <w:szCs w:val="24"/>
        </w:rPr>
        <w:t>pamatnostādņu 2011.–</w:t>
      </w:r>
      <w:r w:rsidRPr="00BE00A7">
        <w:rPr>
          <w:rFonts w:ascii="Times New Roman" w:hAnsi="Times New Roman"/>
          <w:bCs/>
          <w:sz w:val="24"/>
          <w:szCs w:val="24"/>
        </w:rPr>
        <w:t xml:space="preserve">2016.gadam </w:t>
      </w:r>
      <w:r w:rsidRPr="00BE00A7">
        <w:rPr>
          <w:rFonts w:ascii="Times New Roman" w:hAnsi="Times New Roman"/>
          <w:sz w:val="24"/>
          <w:szCs w:val="24"/>
        </w:rPr>
        <w:t xml:space="preserve">ietvaros </w:t>
      </w:r>
      <w:r w:rsidRPr="00BE00A7">
        <w:rPr>
          <w:rFonts w:ascii="Times New Roman" w:hAnsi="Times New Roman"/>
          <w:bCs/>
          <w:sz w:val="24"/>
          <w:szCs w:val="24"/>
        </w:rPr>
        <w:t xml:space="preserve">2012.gadā </w:t>
      </w:r>
      <w:r w:rsidRPr="00BE00A7">
        <w:rPr>
          <w:rFonts w:ascii="Times New Roman" w:hAnsi="Times New Roman"/>
          <w:sz w:val="24"/>
          <w:szCs w:val="24"/>
        </w:rPr>
        <w:t xml:space="preserve">Latvijas publiskajās ūdenstilpēs par valsts budžeta finansējumu tika izlaisti 7,2 milj. zivju kāpuru, mazuļu un smoltu, bet </w:t>
      </w:r>
      <w:r w:rsidR="00B07F36">
        <w:rPr>
          <w:rFonts w:ascii="Times New Roman" w:hAnsi="Times New Roman"/>
          <w:sz w:val="24"/>
          <w:szCs w:val="24"/>
        </w:rPr>
        <w:t>par zivju resursiem nodarīto</w:t>
      </w:r>
      <w:r w:rsidRPr="00BE00A7">
        <w:rPr>
          <w:rFonts w:ascii="Times New Roman" w:hAnsi="Times New Roman"/>
          <w:sz w:val="24"/>
          <w:szCs w:val="24"/>
        </w:rPr>
        <w:t xml:space="preserve"> zaudē</w:t>
      </w:r>
      <w:r w:rsidR="00B07F36">
        <w:rPr>
          <w:rFonts w:ascii="Times New Roman" w:hAnsi="Times New Roman"/>
          <w:sz w:val="24"/>
          <w:szCs w:val="24"/>
        </w:rPr>
        <w:t>jumu kompensāciju maksājumiem (a/s</w:t>
      </w:r>
      <w:r w:rsidRPr="00BE00A7">
        <w:rPr>
          <w:rFonts w:ascii="Times New Roman" w:hAnsi="Times New Roman"/>
          <w:sz w:val="24"/>
          <w:szCs w:val="24"/>
        </w:rPr>
        <w:t xml:space="preserve"> </w:t>
      </w:r>
      <w:r w:rsidR="00B167ED">
        <w:rPr>
          <w:rFonts w:ascii="Times New Roman" w:hAnsi="Times New Roman"/>
          <w:sz w:val="24"/>
          <w:szCs w:val="24"/>
        </w:rPr>
        <w:t>"</w:t>
      </w:r>
      <w:r w:rsidRPr="00BE00A7">
        <w:rPr>
          <w:rFonts w:ascii="Times New Roman" w:hAnsi="Times New Roman"/>
          <w:sz w:val="24"/>
          <w:szCs w:val="24"/>
        </w:rPr>
        <w:t>Latvenergo</w:t>
      </w:r>
      <w:r w:rsidR="00B167ED">
        <w:rPr>
          <w:rFonts w:ascii="Times New Roman" w:hAnsi="Times New Roman"/>
          <w:sz w:val="24"/>
          <w:szCs w:val="24"/>
        </w:rPr>
        <w:t>"</w:t>
      </w:r>
      <w:r w:rsidRPr="00BE00A7">
        <w:rPr>
          <w:rFonts w:ascii="Times New Roman" w:hAnsi="Times New Roman"/>
          <w:sz w:val="24"/>
          <w:szCs w:val="24"/>
        </w:rPr>
        <w:t xml:space="preserve">) – 9,9 milj. zivju kāpuru, mazuļu un smoltu. Par Zivju fonda līdzekļiem ūdenstilpēs papildus izlaisti </w:t>
      </w:r>
      <w:r w:rsidR="00B07F36" w:rsidRPr="00BE00A7">
        <w:rPr>
          <w:rFonts w:ascii="Times New Roman" w:hAnsi="Times New Roman"/>
          <w:sz w:val="24"/>
          <w:szCs w:val="24"/>
        </w:rPr>
        <w:t xml:space="preserve">vēl </w:t>
      </w:r>
      <w:r w:rsidR="00B07F36">
        <w:rPr>
          <w:rFonts w:ascii="Times New Roman" w:hAnsi="Times New Roman"/>
          <w:sz w:val="24"/>
          <w:szCs w:val="24"/>
        </w:rPr>
        <w:t>1,5 </w:t>
      </w:r>
      <w:r w:rsidRPr="00BE00A7">
        <w:rPr>
          <w:rFonts w:ascii="Times New Roman" w:hAnsi="Times New Roman"/>
          <w:sz w:val="24"/>
          <w:szCs w:val="24"/>
        </w:rPr>
        <w:t>milj. zivju mazuļu un kāpuru.</w:t>
      </w:r>
    </w:p>
    <w:p w:rsidR="00BE00A7" w:rsidRPr="00BE00A7" w:rsidRDefault="00BE00A7" w:rsidP="00204569">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Lai turpinātu </w:t>
      </w:r>
      <w:r w:rsidR="00B07F36">
        <w:rPr>
          <w:rFonts w:ascii="Times New Roman" w:hAnsi="Times New Roman"/>
          <w:sz w:val="24"/>
          <w:szCs w:val="24"/>
        </w:rPr>
        <w:t xml:space="preserve">tādu </w:t>
      </w:r>
      <w:r w:rsidRPr="00BE00A7">
        <w:rPr>
          <w:rFonts w:ascii="Times New Roman" w:hAnsi="Times New Roman"/>
          <w:sz w:val="24"/>
          <w:szCs w:val="24"/>
        </w:rPr>
        <w:t xml:space="preserve">Eiropas Zivsaimniecības fonda pasākumu īstenošanu, </w:t>
      </w:r>
      <w:r w:rsidR="00B07F36">
        <w:rPr>
          <w:rFonts w:ascii="Times New Roman" w:hAnsi="Times New Roman"/>
          <w:sz w:val="24"/>
          <w:szCs w:val="24"/>
        </w:rPr>
        <w:t>par kuriem</w:t>
      </w:r>
      <w:r w:rsidRPr="00BE00A7">
        <w:rPr>
          <w:rFonts w:ascii="Times New Roman" w:hAnsi="Times New Roman"/>
          <w:sz w:val="24"/>
          <w:szCs w:val="24"/>
        </w:rPr>
        <w:t xml:space="preserve"> ir liela atbalsta pretendentu interese, bet pieejamais</w:t>
      </w:r>
      <w:r w:rsidR="00B07F36">
        <w:rPr>
          <w:rFonts w:ascii="Times New Roman" w:hAnsi="Times New Roman"/>
          <w:sz w:val="24"/>
          <w:szCs w:val="24"/>
        </w:rPr>
        <w:t xml:space="preserve"> finansējums pasākumam jau </w:t>
      </w:r>
      <w:r w:rsidRPr="00BE00A7">
        <w:rPr>
          <w:rFonts w:ascii="Times New Roman" w:hAnsi="Times New Roman"/>
          <w:sz w:val="24"/>
          <w:szCs w:val="24"/>
        </w:rPr>
        <w:t>rezervēts esošo saistību segšanai</w:t>
      </w:r>
      <w:r w:rsidR="00B07F36">
        <w:rPr>
          <w:rFonts w:ascii="Times New Roman" w:hAnsi="Times New Roman"/>
          <w:sz w:val="24"/>
          <w:szCs w:val="24"/>
        </w:rPr>
        <w:t>,</w:t>
      </w:r>
      <w:r w:rsidRPr="00BE00A7">
        <w:rPr>
          <w:rFonts w:ascii="Times New Roman" w:hAnsi="Times New Roman"/>
          <w:sz w:val="24"/>
          <w:szCs w:val="24"/>
        </w:rPr>
        <w:t xml:space="preserve"> 2012.gadā tika sagatavoti un Eiropas Komisijā apstiprināti grozījumi Rīcības programmas Eiropas Zivsaimniecības fonda atbalsta ieviešanai Latvijā 2007.–2013.gadam (turpmāk – Rīcības programma) fin</w:t>
      </w:r>
      <w:r w:rsidR="003040CC">
        <w:rPr>
          <w:rFonts w:ascii="Times New Roman" w:hAnsi="Times New Roman"/>
          <w:sz w:val="24"/>
          <w:szCs w:val="24"/>
        </w:rPr>
        <w:t>anšu plānā. 2012.gadā tika paredzē</w:t>
      </w:r>
      <w:r w:rsidRPr="00BE00A7">
        <w:rPr>
          <w:rFonts w:ascii="Times New Roman" w:hAnsi="Times New Roman"/>
          <w:sz w:val="24"/>
          <w:szCs w:val="24"/>
        </w:rPr>
        <w:t xml:space="preserve">tas virssaistības Rīcības programmas pasākumā </w:t>
      </w:r>
      <w:r w:rsidR="00B167ED">
        <w:rPr>
          <w:rFonts w:ascii="Times New Roman" w:hAnsi="Times New Roman"/>
          <w:sz w:val="24"/>
          <w:szCs w:val="24"/>
        </w:rPr>
        <w:t>"</w:t>
      </w:r>
      <w:r w:rsidRPr="00BE00A7">
        <w:rPr>
          <w:rFonts w:ascii="Times New Roman" w:hAnsi="Times New Roman"/>
          <w:sz w:val="24"/>
          <w:szCs w:val="24"/>
        </w:rPr>
        <w:t>Investīcijas akvakultūras uzņēmumos</w:t>
      </w:r>
      <w:r w:rsidR="00B167ED">
        <w:rPr>
          <w:rFonts w:ascii="Times New Roman" w:hAnsi="Times New Roman"/>
          <w:sz w:val="24"/>
          <w:szCs w:val="24"/>
        </w:rPr>
        <w:t>"</w:t>
      </w:r>
      <w:r w:rsidRPr="00BE00A7">
        <w:rPr>
          <w:rFonts w:ascii="Times New Roman" w:hAnsi="Times New Roman"/>
          <w:sz w:val="24"/>
          <w:szCs w:val="24"/>
        </w:rPr>
        <w:t xml:space="preserve"> 3,0 milj. latu apmērā un pasākumā </w:t>
      </w:r>
      <w:r w:rsidR="00B167ED">
        <w:rPr>
          <w:rFonts w:ascii="Times New Roman" w:hAnsi="Times New Roman"/>
          <w:sz w:val="24"/>
          <w:szCs w:val="24"/>
        </w:rPr>
        <w:t>"</w:t>
      </w:r>
      <w:r w:rsidRPr="00BE00A7">
        <w:rPr>
          <w:rFonts w:ascii="Times New Roman" w:hAnsi="Times New Roman"/>
          <w:sz w:val="24"/>
          <w:szCs w:val="24"/>
        </w:rPr>
        <w:t>Zvejas un akvakultūras produktu apstrāde un mārketings</w:t>
      </w:r>
      <w:r w:rsidR="00B167ED">
        <w:rPr>
          <w:rFonts w:ascii="Times New Roman" w:hAnsi="Times New Roman"/>
          <w:sz w:val="24"/>
          <w:szCs w:val="24"/>
        </w:rPr>
        <w:t>"</w:t>
      </w:r>
      <w:r w:rsidRPr="00BE00A7">
        <w:rPr>
          <w:rFonts w:ascii="Times New Roman" w:hAnsi="Times New Roman"/>
          <w:sz w:val="24"/>
          <w:szCs w:val="24"/>
        </w:rPr>
        <w:t xml:space="preserve"> 2,8 milj. latu apmērā, lai nodrošinātu Rīcības programmas pilnīgu un efektīvu publiskā finansējuma apgūšanu plānošanas perioda beigās.</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2012.gadā visos līmeņos aktīvi tika aizstāvētas Latvijas zivsaimniecības nozares intereses saistībā ar priekšlikumu Eiropas Parlamenta un Padomes regulai par Eiropas Jūrlietu un zivsaimniecības fondu (EJZF). 2012.gadā tika sagatavots Rīcības programmas Eiropas Jūrlietu un zivsaimn</w:t>
      </w:r>
      <w:r w:rsidR="00B07F36">
        <w:rPr>
          <w:rFonts w:ascii="Times New Roman" w:hAnsi="Times New Roman"/>
          <w:sz w:val="24"/>
          <w:szCs w:val="24"/>
        </w:rPr>
        <w:t>iecības fonda ieviešanai 2014.–</w:t>
      </w:r>
      <w:r w:rsidRPr="00BE00A7">
        <w:rPr>
          <w:rFonts w:ascii="Times New Roman" w:hAnsi="Times New Roman"/>
          <w:sz w:val="24"/>
          <w:szCs w:val="24"/>
        </w:rPr>
        <w:t>2020.gadam sākotnējās redakcijas projekts ar situācijas aprakstu un SVID.</w:t>
      </w:r>
    </w:p>
    <w:p w:rsidR="00BE00A7" w:rsidRPr="00BE00A7" w:rsidRDefault="00BE00A7" w:rsidP="00BE00A7">
      <w:pPr>
        <w:pStyle w:val="Heading3"/>
        <w:rPr>
          <w:szCs w:val="24"/>
        </w:rPr>
      </w:pPr>
      <w:bookmarkStart w:id="123" w:name="_Toc348948386"/>
      <w:r w:rsidRPr="00BE00A7">
        <w:rPr>
          <w:szCs w:val="24"/>
        </w:rPr>
        <w:t>13.5. Pārtikas aprite</w:t>
      </w:r>
      <w:bookmarkEnd w:id="123"/>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Pārtikas aprites jomā 2012.gadā attīstīta un veicināta valsts institūciju un nevalstisko organizāciju sadarbība saistībā ar mājas apstākļos ražotās pārtikas ražošanu un realizāciju. </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EP savā atzinumā par jaunās TKO regulas projektu (Priekšlikums Eiropas Parlamenta un Padomes regulai, ar ko izveido tirgu kopīgo organizāciju lauksamniecības produktiem) piena produktu sarakstā ir iekļāvis Latvijā ieteiktos piena produktus (biezpiens, skābais krējums, rjaženka un rūgušpiens). Šis bija viens no tiem Latvijas priekšlikumiem, kas ar EP deputātes S.Kalnietes biroja palīdzību tika ierosināts izskatīšanai EP. EK nosūtīts pieteikums produktu </w:t>
      </w:r>
      <w:r w:rsidR="00B167ED">
        <w:rPr>
          <w:rFonts w:ascii="Times New Roman" w:hAnsi="Times New Roman"/>
          <w:sz w:val="24"/>
          <w:szCs w:val="24"/>
        </w:rPr>
        <w:t>"</w:t>
      </w:r>
      <w:r w:rsidRPr="00BE00A7">
        <w:rPr>
          <w:rFonts w:ascii="Times New Roman" w:hAnsi="Times New Roman"/>
          <w:sz w:val="24"/>
          <w:szCs w:val="24"/>
        </w:rPr>
        <w:t>Sklandrausis</w:t>
      </w:r>
      <w:r w:rsidR="00B167ED">
        <w:rPr>
          <w:rFonts w:ascii="Times New Roman" w:hAnsi="Times New Roman"/>
          <w:sz w:val="24"/>
          <w:szCs w:val="24"/>
        </w:rPr>
        <w:t>"</w:t>
      </w:r>
      <w:r w:rsidRPr="00BE00A7">
        <w:rPr>
          <w:rFonts w:ascii="Times New Roman" w:hAnsi="Times New Roman"/>
          <w:sz w:val="24"/>
          <w:szCs w:val="24"/>
        </w:rPr>
        <w:t xml:space="preserve"> un </w:t>
      </w:r>
      <w:r w:rsidR="00B167ED">
        <w:rPr>
          <w:rFonts w:ascii="Times New Roman" w:hAnsi="Times New Roman"/>
          <w:sz w:val="24"/>
          <w:szCs w:val="24"/>
        </w:rPr>
        <w:t>"</w:t>
      </w:r>
      <w:r w:rsidRPr="00BE00A7">
        <w:rPr>
          <w:rFonts w:ascii="Times New Roman" w:hAnsi="Times New Roman"/>
          <w:sz w:val="24"/>
          <w:szCs w:val="24"/>
        </w:rPr>
        <w:t>Salināta rudzu rupjmaize</w:t>
      </w:r>
      <w:r w:rsidR="00B167ED">
        <w:rPr>
          <w:rFonts w:ascii="Times New Roman" w:hAnsi="Times New Roman"/>
          <w:sz w:val="24"/>
          <w:szCs w:val="24"/>
        </w:rPr>
        <w:t>"</w:t>
      </w:r>
      <w:r w:rsidRPr="00BE00A7">
        <w:rPr>
          <w:rFonts w:ascii="Times New Roman" w:hAnsi="Times New Roman"/>
          <w:sz w:val="24"/>
          <w:szCs w:val="24"/>
        </w:rPr>
        <w:t xml:space="preserve"> iekļaušanai Garantēto tradicionālo īpatnību reģistrā. Uzsākta bioloģiskās lauksaimniecības dzīvnieku uzskaite Lauksaimniecības datu centrā, kā arī Latvijas mežos salasīto savvaļas ogu sertifikācija atbilstoši bioloģiskās lauksaimniecības prasībām.</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2012.gadā pabeigts darbs pie pētījuma, kura ietvaros tika analizēta samazinātās 12</w:t>
      </w:r>
      <w:r w:rsidR="00111406">
        <w:rPr>
          <w:rFonts w:ascii="Times New Roman" w:hAnsi="Times New Roman"/>
          <w:sz w:val="24"/>
          <w:szCs w:val="24"/>
        </w:rPr>
        <w:t> %</w:t>
      </w:r>
      <w:r w:rsidRPr="00BE00A7">
        <w:rPr>
          <w:rFonts w:ascii="Times New Roman" w:hAnsi="Times New Roman"/>
          <w:sz w:val="24"/>
          <w:szCs w:val="24"/>
        </w:rPr>
        <w:t xml:space="preserve"> PVN likmes piemērošanas pārtikas produktu grupām ietekme Latvijas tautsaimniecībā, kā arī uzsākts </w:t>
      </w:r>
      <w:r w:rsidR="00B07F36">
        <w:rPr>
          <w:rFonts w:ascii="Times New Roman" w:hAnsi="Times New Roman"/>
          <w:sz w:val="24"/>
          <w:szCs w:val="24"/>
        </w:rPr>
        <w:t>pētījums</w:t>
      </w:r>
      <w:r w:rsidRPr="00BE00A7">
        <w:rPr>
          <w:rFonts w:ascii="Times New Roman" w:hAnsi="Times New Roman"/>
          <w:sz w:val="24"/>
          <w:szCs w:val="24"/>
        </w:rPr>
        <w:t xml:space="preserve"> par Latvijas pārtikas nozares konkurētspējas rādītāju salīdzinošo analīzi, kura ietvaros tiks veikta nozares k</w:t>
      </w:r>
      <w:r w:rsidR="00B07F36">
        <w:rPr>
          <w:rFonts w:ascii="Times New Roman" w:hAnsi="Times New Roman"/>
          <w:sz w:val="24"/>
          <w:szCs w:val="24"/>
        </w:rPr>
        <w:t>onkurētspēju noteicošo faktoru –</w:t>
      </w:r>
      <w:r w:rsidRPr="00BE00A7">
        <w:rPr>
          <w:rFonts w:ascii="Times New Roman" w:hAnsi="Times New Roman"/>
          <w:sz w:val="24"/>
          <w:szCs w:val="24"/>
        </w:rPr>
        <w:t xml:space="preserve"> pārtikas ražošanas un piegādes līdz gala patērētājam izmaksas un to veidošanās iemesli, kā arī pircēju pieprasījums un subjektīvā uztv</w:t>
      </w:r>
      <w:r w:rsidR="00B07F36">
        <w:rPr>
          <w:rFonts w:ascii="Times New Roman" w:hAnsi="Times New Roman"/>
          <w:sz w:val="24"/>
          <w:szCs w:val="24"/>
        </w:rPr>
        <w:t>ere par produktu kvalitāti –</w:t>
      </w:r>
      <w:r w:rsidRPr="00BE00A7">
        <w:rPr>
          <w:rFonts w:ascii="Times New Roman" w:hAnsi="Times New Roman"/>
          <w:sz w:val="24"/>
          <w:szCs w:val="24"/>
        </w:rPr>
        <w:t xml:space="preserve"> analīze.</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lastRenderedPageBreak/>
        <w:t xml:space="preserve">Pilnveidota pārtikas aprites valsts uzraudzības sistēma un paaugstināta tās efektivitāte, sagatavojot un pilnveidojot reglamentējošos dokumentus, īstenojot pārtikas inspektoru apmācības, realizējot starptautiskos projektus. </w:t>
      </w:r>
    </w:p>
    <w:p w:rsidR="00BE00A7" w:rsidRPr="00BE00A7" w:rsidRDefault="00BE00A7" w:rsidP="00BE00A7">
      <w:pPr>
        <w:pStyle w:val="Heading3"/>
        <w:rPr>
          <w:szCs w:val="24"/>
        </w:rPr>
      </w:pPr>
      <w:bookmarkStart w:id="124" w:name="_Toc348948387"/>
      <w:r w:rsidRPr="00BE00A7">
        <w:rPr>
          <w:szCs w:val="24"/>
        </w:rPr>
        <w:t>13.6. Dzīvnieku veselība, veterinārija</w:t>
      </w:r>
      <w:bookmarkEnd w:id="124"/>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 xml:space="preserve">Dzīvnieku veselības jomā 2012.gadā EK ir piešķīrusi Latvijai no liellopu brucelozes un no govju enzootiskās leikozes brīvas valsts statusu. Līdz ar EK lēmumu ir apstiprināts fakts, ka Latvijā veiksmīgi tiek realizēta liellopu brucelozes un govju enzootiskās leikozes uzraudzības un kontroles programma, kas ir viens no galvenajiem nosacījumiem dzīvnieku brīvai pārvietošanai un tirdzniecībai gan Latvijā, gan pārējās ES dalībvalstīs, kā arī eksportā uz trešajām valstīm. </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Latvijā rutīnas monitoringa programmas ietvaros 2012.gada novembrī Krievijas un Baltkrievijas pierobežā konstatēts klasiskais cūku mēris meža cūkām un vēlāk arī mājas cūkām trīs piemājas saimniecībās. Operatīvi veikti visi nepieciešamie pasākumi, lai ierobežotu KCM tālāku izplatību Latvijas teritorijā. KCM uzraudzības un apkarošanas pasākumi turpināsies arī 2013.gadā. Pilnveidota veterinārās uzraudzības sistēma valstī un paa</w:t>
      </w:r>
      <w:r w:rsidR="00B07F36">
        <w:rPr>
          <w:rFonts w:ascii="Times New Roman" w:hAnsi="Times New Roman"/>
          <w:sz w:val="24"/>
          <w:szCs w:val="24"/>
        </w:rPr>
        <w:t>ugstināta tās efektivitāte, nodrošin</w:t>
      </w:r>
      <w:r w:rsidRPr="00BE00A7">
        <w:rPr>
          <w:rFonts w:ascii="Times New Roman" w:hAnsi="Times New Roman"/>
          <w:sz w:val="24"/>
          <w:szCs w:val="24"/>
        </w:rPr>
        <w:t>ot veterināro inspektoru specializāciju veterināro zāļu un dzīvnieku barības jomās.</w:t>
      </w:r>
    </w:p>
    <w:p w:rsidR="00BE00A7" w:rsidRPr="00BE00A7"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2013.gadā plānots sagatavot normatīvos aktus tādu dzīvnieku infekcijas slimību profilakses un apkarošanas jomā, kurām lī</w:t>
      </w:r>
      <w:r w:rsidR="00B07F36">
        <w:rPr>
          <w:rFonts w:ascii="Times New Roman" w:hAnsi="Times New Roman"/>
          <w:sz w:val="24"/>
          <w:szCs w:val="24"/>
        </w:rPr>
        <w:t>dz šim nav noteiktas prasības (</w:t>
      </w:r>
      <w:r w:rsidRPr="00BE00A7">
        <w:rPr>
          <w:rFonts w:ascii="Times New Roman" w:hAnsi="Times New Roman"/>
          <w:sz w:val="24"/>
          <w:szCs w:val="24"/>
        </w:rPr>
        <w:t>cūku bruceloze, Maedi–Visna, Amerikas peru puve, kazu artrīts–encefalīts, listerioze, govju tuberkuloze</w:t>
      </w:r>
      <w:r w:rsidR="00B07F36">
        <w:rPr>
          <w:rFonts w:ascii="Times New Roman" w:hAnsi="Times New Roman"/>
          <w:sz w:val="24"/>
          <w:szCs w:val="24"/>
        </w:rPr>
        <w:t>)</w:t>
      </w:r>
      <w:r w:rsidRPr="00BE00A7">
        <w:rPr>
          <w:rFonts w:ascii="Times New Roman" w:hAnsi="Times New Roman"/>
          <w:sz w:val="24"/>
          <w:szCs w:val="24"/>
        </w:rPr>
        <w:t xml:space="preserve">. Paredzēts piedalīties ES Dzīvnieku veselības likuma sagatavošanā, kā arī turpināt darbu pie EK priekšlikuma regulai, ar ko izveido lauksaimniecības produktu tirgu kopīgu organizāciju. </w:t>
      </w:r>
    </w:p>
    <w:p w:rsidR="00BE00A7" w:rsidRPr="006202E5" w:rsidRDefault="00BE00A7" w:rsidP="00BE00A7">
      <w:pPr>
        <w:spacing w:after="0" w:line="240" w:lineRule="auto"/>
        <w:ind w:firstLine="720"/>
        <w:jc w:val="both"/>
        <w:rPr>
          <w:rFonts w:ascii="Times New Roman" w:hAnsi="Times New Roman"/>
          <w:sz w:val="24"/>
          <w:szCs w:val="24"/>
        </w:rPr>
      </w:pPr>
      <w:r w:rsidRPr="00BE00A7">
        <w:rPr>
          <w:rFonts w:ascii="Times New Roman" w:hAnsi="Times New Roman"/>
          <w:sz w:val="24"/>
          <w:szCs w:val="24"/>
        </w:rPr>
        <w:t>Turpināsim samazināt administratīvo slogu, īpaši svaigpiena apritē iesaistītajiem uzņēmējiem (n</w:t>
      </w:r>
      <w:r w:rsidR="00B07F36">
        <w:rPr>
          <w:rFonts w:ascii="Times New Roman" w:hAnsi="Times New Roman"/>
          <w:sz w:val="24"/>
          <w:szCs w:val="24"/>
        </w:rPr>
        <w:t>ormatīvā regulējuma un LDC datu</w:t>
      </w:r>
      <w:r w:rsidRPr="00BE00A7">
        <w:rPr>
          <w:rFonts w:ascii="Times New Roman" w:hAnsi="Times New Roman"/>
          <w:sz w:val="24"/>
          <w:szCs w:val="24"/>
        </w:rPr>
        <w:t>bāzes pilnveidošana). Plānots veicināt ražotāju iesaistīšanos ES pārtik</w:t>
      </w:r>
      <w:r w:rsidR="003040CC">
        <w:rPr>
          <w:rFonts w:ascii="Times New Roman" w:hAnsi="Times New Roman"/>
          <w:sz w:val="24"/>
          <w:szCs w:val="24"/>
        </w:rPr>
        <w:t>as kvalitātes shēmās – garantētu</w:t>
      </w:r>
      <w:r w:rsidRPr="00BE00A7">
        <w:rPr>
          <w:rFonts w:ascii="Times New Roman" w:hAnsi="Times New Roman"/>
          <w:sz w:val="24"/>
          <w:szCs w:val="24"/>
        </w:rPr>
        <w:t xml:space="preserve"> tradicionālo īpatnību, aizsargātu ģeogrāfiskās izcelsmes norāžu, un cilmes vietas nosaukumu</w:t>
      </w:r>
      <w:r w:rsidR="003040CC">
        <w:rPr>
          <w:rFonts w:ascii="Times New Roman" w:hAnsi="Times New Roman"/>
          <w:sz w:val="24"/>
          <w:szCs w:val="24"/>
        </w:rPr>
        <w:t>, kā arī</w:t>
      </w:r>
      <w:r w:rsidRPr="00BE00A7">
        <w:rPr>
          <w:rFonts w:ascii="Times New Roman" w:hAnsi="Times New Roman"/>
          <w:sz w:val="24"/>
          <w:szCs w:val="24"/>
        </w:rPr>
        <w:t xml:space="preserve"> nacion</w:t>
      </w:r>
      <w:r w:rsidR="003040CC">
        <w:rPr>
          <w:rFonts w:ascii="Times New Roman" w:hAnsi="Times New Roman"/>
          <w:sz w:val="24"/>
          <w:szCs w:val="24"/>
        </w:rPr>
        <w:t>ālajā pārtikas kvalitātes shēmā</w:t>
      </w:r>
      <w:r w:rsidRPr="00BE00A7">
        <w:rPr>
          <w:rFonts w:ascii="Times New Roman" w:hAnsi="Times New Roman"/>
          <w:sz w:val="24"/>
          <w:szCs w:val="24"/>
        </w:rPr>
        <w:t>. Tiks turpināti klasiskā cūku mēra uzraudzības un apkarošanas pasākumi, ieviešot meža cūku vakcinācijas programmu, kā arī turpināts dar</w:t>
      </w:r>
      <w:r w:rsidR="003040CC">
        <w:rPr>
          <w:rFonts w:ascii="Times New Roman" w:hAnsi="Times New Roman"/>
          <w:sz w:val="24"/>
          <w:szCs w:val="24"/>
        </w:rPr>
        <w:t>bs pie dzīvnieku veselības datu</w:t>
      </w:r>
      <w:r w:rsidRPr="00BE00A7">
        <w:rPr>
          <w:rFonts w:ascii="Times New Roman" w:hAnsi="Times New Roman"/>
          <w:sz w:val="24"/>
          <w:szCs w:val="24"/>
        </w:rPr>
        <w:t>bāzes izstrādes un ieviešanas.</w:t>
      </w:r>
    </w:p>
    <w:p w:rsidR="00BE00A7" w:rsidRPr="006202E5" w:rsidRDefault="00BE00A7" w:rsidP="00BE00A7">
      <w:pPr>
        <w:spacing w:after="0" w:line="240" w:lineRule="auto"/>
        <w:rPr>
          <w:rFonts w:ascii="Times New Roman" w:hAnsi="Times New Roman"/>
          <w:b/>
          <w:sz w:val="24"/>
          <w:szCs w:val="24"/>
        </w:rPr>
      </w:pPr>
    </w:p>
    <w:p w:rsidR="003C30B7" w:rsidRPr="006202E5" w:rsidRDefault="003C30B7" w:rsidP="003C30B7">
      <w:pPr>
        <w:spacing w:after="0" w:line="240" w:lineRule="auto"/>
        <w:rPr>
          <w:rFonts w:ascii="Times New Roman" w:hAnsi="Times New Roman" w:cs="Times New Roman"/>
          <w:b/>
          <w:sz w:val="24"/>
          <w:szCs w:val="24"/>
        </w:rPr>
      </w:pPr>
    </w:p>
    <w:p w:rsidR="003C30B7" w:rsidRPr="006202E5" w:rsidRDefault="003C30B7" w:rsidP="003C30B7">
      <w:pPr>
        <w:spacing w:after="0" w:line="240" w:lineRule="auto"/>
        <w:rPr>
          <w:rFonts w:ascii="Times New Roman" w:hAnsi="Times New Roman" w:cs="Times New Roman"/>
          <w:b/>
          <w:sz w:val="24"/>
          <w:szCs w:val="24"/>
        </w:rPr>
      </w:pPr>
    </w:p>
    <w:p w:rsidR="003C30B7" w:rsidRPr="006202E5" w:rsidRDefault="003C30B7" w:rsidP="003C30B7">
      <w:pPr>
        <w:spacing w:after="0" w:line="240" w:lineRule="auto"/>
        <w:rPr>
          <w:rFonts w:ascii="Times New Roman" w:hAnsi="Times New Roman" w:cs="Times New Roman"/>
          <w:b/>
          <w:sz w:val="24"/>
          <w:szCs w:val="24"/>
        </w:rPr>
      </w:pPr>
    </w:p>
    <w:p w:rsidR="00CA63EF" w:rsidRPr="00B246BE" w:rsidRDefault="003C30B7" w:rsidP="00871110">
      <w:pPr>
        <w:pStyle w:val="Heading1"/>
        <w:rPr>
          <w:sz w:val="24"/>
        </w:rPr>
      </w:pPr>
      <w:r w:rsidRPr="006202E5">
        <w:rPr>
          <w:sz w:val="24"/>
        </w:rPr>
        <w:br w:type="page"/>
      </w:r>
      <w:bookmarkStart w:id="125" w:name="_Toc348948388"/>
      <w:r w:rsidR="00CA63EF" w:rsidRPr="006202E5">
        <w:lastRenderedPageBreak/>
        <w:t>III. Efektīva teritoriju pārvaldība, vide un dabas kapitāla saglabāšana</w:t>
      </w:r>
      <w:bookmarkEnd w:id="125"/>
    </w:p>
    <w:p w:rsidR="00CA63EF" w:rsidRPr="00B246BE" w:rsidRDefault="00CA63EF" w:rsidP="00B246BE">
      <w:pPr>
        <w:pStyle w:val="Heading2"/>
        <w:numPr>
          <w:ilvl w:val="0"/>
          <w:numId w:val="39"/>
        </w:numPr>
        <w:spacing w:before="0" w:line="240" w:lineRule="auto"/>
        <w:ind w:left="284" w:hanging="284"/>
      </w:pPr>
      <w:bookmarkStart w:id="126" w:name="_Toc348948389"/>
      <w:r w:rsidRPr="00B246BE">
        <w:t>Reģionālās attīstības plānošana un īstenošana</w:t>
      </w:r>
      <w:bookmarkEnd w:id="126"/>
    </w:p>
    <w:p w:rsidR="00B246BE" w:rsidRDefault="00B246BE" w:rsidP="00B246BE">
      <w:pPr>
        <w:spacing w:after="0" w:line="240" w:lineRule="auto"/>
        <w:ind w:firstLine="720"/>
        <w:jc w:val="both"/>
        <w:rPr>
          <w:rFonts w:ascii="Times New Roman" w:eastAsia="Times New Roman" w:hAnsi="Times New Roman" w:cs="Times New Roman"/>
          <w:sz w:val="24"/>
          <w:szCs w:val="24"/>
        </w:rPr>
      </w:pPr>
    </w:p>
    <w:p w:rsidR="00547E94" w:rsidRPr="008E72D3" w:rsidRDefault="00547E94" w:rsidP="00547E94">
      <w:pPr>
        <w:pStyle w:val="Heading3"/>
        <w:rPr>
          <w:rFonts w:eastAsia="Times New Roman"/>
        </w:rPr>
      </w:pPr>
      <w:bookmarkStart w:id="127" w:name="_Toc348948390"/>
      <w:r w:rsidRPr="008E72D3">
        <w:rPr>
          <w:rFonts w:eastAsia="Times New Roman"/>
        </w:rPr>
        <w:t>1.1. Reģionālās politikas pamatnostādnes</w:t>
      </w:r>
      <w:bookmarkEnd w:id="127"/>
    </w:p>
    <w:p w:rsidR="00010AD6" w:rsidRPr="00010AD6" w:rsidRDefault="00010AD6" w:rsidP="00010AD6">
      <w:pPr>
        <w:spacing w:after="0" w:line="240" w:lineRule="auto"/>
        <w:ind w:firstLine="720"/>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Lai stiprinātu pašvaldību un reģionu rīcībspēju, dodot pašvaldībām un reģioniem plašākas iespējas veicināt savas teritorijas attīstību, VARAM turpināja darbu pie Reģionālās politikas pamatnostādņu līdz 2020.gadam projekta izstrādes un pilnveidošanas, ņemot vērā </w:t>
      </w:r>
      <w:r w:rsidR="009D4262">
        <w:rPr>
          <w:rFonts w:ascii="Times New Roman" w:eastAsia="Times New Roman" w:hAnsi="Times New Roman" w:cs="Times New Roman"/>
          <w:sz w:val="24"/>
          <w:szCs w:val="24"/>
        </w:rPr>
        <w:t xml:space="preserve">priekšlikumus, kas tika sniegti </w:t>
      </w:r>
      <w:r w:rsidRPr="00010AD6">
        <w:rPr>
          <w:rFonts w:ascii="Times New Roman" w:eastAsia="Times New Roman" w:hAnsi="Times New Roman" w:cs="Times New Roman"/>
          <w:sz w:val="24"/>
          <w:szCs w:val="24"/>
        </w:rPr>
        <w:t>2011.gada nogalē notikušajos reģionu izaugsmes forumos un starptautisk</w:t>
      </w:r>
      <w:r w:rsidR="009D4262">
        <w:rPr>
          <w:rFonts w:ascii="Times New Roman" w:eastAsia="Times New Roman" w:hAnsi="Times New Roman" w:cs="Times New Roman"/>
          <w:sz w:val="24"/>
          <w:szCs w:val="24"/>
        </w:rPr>
        <w:t>ajā</w:t>
      </w:r>
      <w:r w:rsidRPr="00010AD6">
        <w:rPr>
          <w:rFonts w:ascii="Times New Roman" w:eastAsia="Times New Roman" w:hAnsi="Times New Roman" w:cs="Times New Roman"/>
          <w:sz w:val="24"/>
          <w:szCs w:val="24"/>
        </w:rPr>
        <w:t xml:space="preserve"> konferenc</w:t>
      </w:r>
      <w:r w:rsidR="009D4262">
        <w:rPr>
          <w:rFonts w:ascii="Times New Roman" w:eastAsia="Times New Roman" w:hAnsi="Times New Roman" w:cs="Times New Roman"/>
          <w:sz w:val="24"/>
          <w:szCs w:val="24"/>
        </w:rPr>
        <w:t>ē</w:t>
      </w:r>
      <w:r w:rsidRPr="00010AD6">
        <w:rPr>
          <w:rFonts w:ascii="Times New Roman" w:eastAsia="Times New Roman" w:hAnsi="Times New Roman" w:cs="Times New Roman"/>
          <w:sz w:val="24"/>
          <w:szCs w:val="24"/>
        </w:rPr>
        <w:t xml:space="preserve">, kā arī rakstiski saņemtos komentārus un priekšlikumus. Pamatnostādņu projekts tika pilnveidots un aktualizēts, ņemot vērā </w:t>
      </w:r>
      <w:r w:rsidR="0062485B">
        <w:rPr>
          <w:rFonts w:ascii="Times New Roman" w:eastAsia="Times New Roman" w:hAnsi="Times New Roman" w:cs="Times New Roman"/>
          <w:sz w:val="24"/>
          <w:szCs w:val="24"/>
        </w:rPr>
        <w:t>NAP</w:t>
      </w:r>
      <w:r w:rsidRPr="00010AD6">
        <w:rPr>
          <w:rFonts w:ascii="Times New Roman" w:eastAsia="Times New Roman" w:hAnsi="Times New Roman" w:cs="Times New Roman"/>
          <w:sz w:val="24"/>
          <w:szCs w:val="24"/>
        </w:rPr>
        <w:t xml:space="preserve"> izstrādes procesu, aktuālos uzstādījumus reģionālās politikas un pārvaldes jomā, kā arī administratīvi teritoriālās reformas izvērtējuma rezultātus. Šis politikas plānošanas dokuments piedāvā jaunu pieeju teritoriju attīstībā, </w:t>
      </w:r>
      <w:r w:rsidR="00FA1778">
        <w:rPr>
          <w:rFonts w:ascii="Times New Roman" w:eastAsia="Times New Roman" w:hAnsi="Times New Roman" w:cs="Times New Roman"/>
          <w:sz w:val="24"/>
          <w:szCs w:val="24"/>
        </w:rPr>
        <w:t>paredzot</w:t>
      </w:r>
      <w:r w:rsidRPr="00010AD6">
        <w:rPr>
          <w:rFonts w:ascii="Times New Roman" w:eastAsia="Times New Roman" w:hAnsi="Times New Roman" w:cs="Times New Roman"/>
          <w:sz w:val="24"/>
          <w:szCs w:val="24"/>
        </w:rPr>
        <w:t xml:space="preserve"> visu reģionu un pašvaldību iesaisti </w:t>
      </w:r>
      <w:r w:rsidR="00FA1778">
        <w:rPr>
          <w:rFonts w:ascii="Times New Roman" w:eastAsia="Times New Roman" w:hAnsi="Times New Roman" w:cs="Times New Roman"/>
          <w:sz w:val="24"/>
          <w:szCs w:val="24"/>
        </w:rPr>
        <w:t>attīstībā un aktīvu rīcību un</w:t>
      </w:r>
      <w:r w:rsidRPr="00010AD6">
        <w:rPr>
          <w:rFonts w:ascii="Times New Roman" w:eastAsia="Times New Roman" w:hAnsi="Times New Roman" w:cs="Times New Roman"/>
          <w:sz w:val="24"/>
          <w:szCs w:val="24"/>
        </w:rPr>
        <w:t xml:space="preserve"> tādējādi aizstājot līdz šim pastāvošo pieeju – reaģēt tikai uz problēmām. Pamatnostādnes ietver atbalsta virzienus uzņēmējdarbības attīstības un nodarbinātības sekmēšanai, darb</w:t>
      </w:r>
      <w:r w:rsidR="009D4262">
        <w:rPr>
          <w:rFonts w:ascii="Times New Roman" w:eastAsia="Times New Roman" w:hAnsi="Times New Roman" w:cs="Times New Roman"/>
          <w:sz w:val="24"/>
          <w:szCs w:val="24"/>
        </w:rPr>
        <w:t>a</w:t>
      </w:r>
      <w:r w:rsidRPr="00010AD6">
        <w:rPr>
          <w:rFonts w:ascii="Times New Roman" w:eastAsia="Times New Roman" w:hAnsi="Times New Roman" w:cs="Times New Roman"/>
          <w:sz w:val="24"/>
          <w:szCs w:val="24"/>
        </w:rPr>
        <w:t xml:space="preserve">vietu un pakalpojumu sasniedzamības, kā arī pakalpojumu kvalitātes un pieejamības uzlabošanai </w:t>
      </w:r>
      <w:r w:rsidR="00FA1778">
        <w:rPr>
          <w:rFonts w:ascii="Times New Roman" w:eastAsia="Times New Roman" w:hAnsi="Times New Roman" w:cs="Times New Roman"/>
          <w:sz w:val="24"/>
          <w:szCs w:val="24"/>
        </w:rPr>
        <w:t>reģionos</w:t>
      </w:r>
      <w:r w:rsidRPr="00010AD6">
        <w:rPr>
          <w:rFonts w:ascii="Times New Roman" w:eastAsia="Times New Roman" w:hAnsi="Times New Roman" w:cs="Times New Roman"/>
          <w:sz w:val="24"/>
          <w:szCs w:val="24"/>
        </w:rPr>
        <w:t>.</w:t>
      </w:r>
    </w:p>
    <w:p w:rsidR="00010AD6" w:rsidRPr="00010AD6" w:rsidRDefault="00010AD6" w:rsidP="00010AD6">
      <w:pPr>
        <w:tabs>
          <w:tab w:val="left" w:pos="1985"/>
        </w:tabs>
        <w:spacing w:after="0" w:line="240" w:lineRule="auto"/>
        <w:ind w:firstLine="720"/>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Lai nodrošinātu </w:t>
      </w:r>
      <w:r w:rsidR="00FA1778">
        <w:rPr>
          <w:rFonts w:ascii="Times New Roman" w:eastAsia="Times New Roman" w:hAnsi="Times New Roman" w:cs="Times New Roman"/>
          <w:sz w:val="24"/>
          <w:szCs w:val="24"/>
        </w:rPr>
        <w:t>p</w:t>
      </w:r>
      <w:r w:rsidRPr="00010AD6">
        <w:rPr>
          <w:rFonts w:ascii="Times New Roman" w:eastAsia="Times New Roman" w:hAnsi="Times New Roman" w:cs="Times New Roman"/>
          <w:sz w:val="24"/>
          <w:szCs w:val="24"/>
        </w:rPr>
        <w:t>amatnostādņu ieviešanu, tiks izstrādāts jauns Reģionālās attīstības likums, iekļaujot tajā jaunās investīciju plānošanas sistēmas pamatprincipus un darbības nosacījumus, kā arī pārskatot normas, kas attiecas uz reģionālās politikas koordināciju, tās īstenošanā iesaistīto pušu pienākumiem un reģionālās politikas ieviešanas un finansēšanas kārtību.</w:t>
      </w:r>
    </w:p>
    <w:p w:rsidR="00010AD6" w:rsidRPr="00010AD6" w:rsidRDefault="00010AD6" w:rsidP="00010AD6">
      <w:pPr>
        <w:tabs>
          <w:tab w:val="left" w:pos="1985"/>
        </w:tabs>
        <w:spacing w:after="0" w:line="240" w:lineRule="auto"/>
        <w:ind w:firstLine="720"/>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2012.gadā tika uzsākts darbs pie ziņojuma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Administratīvi teritoriālās reformas izvērtējums</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izstrādes. Izvērtējumā tiks apkopota un analizēta informācija par pašvaldību darbību funkciju izpildes nodrošināšanā, pašvaldību sadarbību, pašvaldību spēju apgūt </w:t>
      </w:r>
      <w:r w:rsidR="0062485B">
        <w:rPr>
          <w:rFonts w:ascii="Times New Roman" w:eastAsia="Times New Roman" w:hAnsi="Times New Roman" w:cs="Times New Roman"/>
          <w:sz w:val="24"/>
          <w:szCs w:val="24"/>
        </w:rPr>
        <w:t>ES</w:t>
      </w:r>
      <w:r w:rsidRPr="00010AD6">
        <w:rPr>
          <w:rFonts w:ascii="Times New Roman" w:eastAsia="Times New Roman" w:hAnsi="Times New Roman" w:cs="Times New Roman"/>
          <w:sz w:val="24"/>
          <w:szCs w:val="24"/>
        </w:rPr>
        <w:t xml:space="preserve"> fondus, piesaistīt privātās investīcijas, </w:t>
      </w:r>
      <w:r w:rsidR="00FA1778">
        <w:rPr>
          <w:rFonts w:ascii="Times New Roman" w:eastAsia="Times New Roman" w:hAnsi="Times New Roman" w:cs="Times New Roman"/>
          <w:sz w:val="24"/>
          <w:szCs w:val="24"/>
        </w:rPr>
        <w:t xml:space="preserve">kā arī </w:t>
      </w:r>
      <w:r w:rsidRPr="00010AD6">
        <w:rPr>
          <w:rFonts w:ascii="Times New Roman" w:eastAsia="Times New Roman" w:hAnsi="Times New Roman" w:cs="Times New Roman"/>
          <w:sz w:val="24"/>
          <w:szCs w:val="24"/>
        </w:rPr>
        <w:t xml:space="preserve">analizēta pašvaldību pamatbudžetu izpilde. Ziņojumā tiks sniegti priekšlikumi administratīvi teritoriālā iedalījuma pilnveidošanai un valsts pārvaldes funkciju decentralizācijas iespējām </w:t>
      </w:r>
      <w:r w:rsidR="009D4262">
        <w:rPr>
          <w:rFonts w:ascii="Times New Roman" w:eastAsia="Times New Roman" w:hAnsi="Times New Roman" w:cs="Times New Roman"/>
          <w:sz w:val="24"/>
          <w:szCs w:val="24"/>
        </w:rPr>
        <w:t xml:space="preserve">attiecībā </w:t>
      </w:r>
      <w:r w:rsidRPr="00010AD6">
        <w:rPr>
          <w:rFonts w:ascii="Times New Roman" w:eastAsia="Times New Roman" w:hAnsi="Times New Roman" w:cs="Times New Roman"/>
          <w:sz w:val="24"/>
          <w:szCs w:val="24"/>
        </w:rPr>
        <w:t>uz pašvaldībām. L</w:t>
      </w:r>
      <w:r w:rsidRPr="00010AD6">
        <w:rPr>
          <w:rFonts w:ascii="Times New Roman" w:eastAsia="Times New Roman" w:hAnsi="Times New Roman" w:cs="Times New Roman"/>
          <w:bCs/>
          <w:sz w:val="24"/>
          <w:szCs w:val="24"/>
        </w:rPr>
        <w:t xml:space="preserve">īdz 2013.gada beigām plānots sagatavot </w:t>
      </w:r>
      <w:r w:rsidRPr="00010AD6">
        <w:rPr>
          <w:rFonts w:ascii="Times New Roman" w:eastAsia="Times New Roman" w:hAnsi="Times New Roman" w:cs="Times New Roman"/>
          <w:sz w:val="24"/>
          <w:szCs w:val="24"/>
        </w:rPr>
        <w:t>likumprojektus, kuri nodrošinās administratīvi teritoriālās struktūras sakārtošanu un pilnveidošanu, izveidojot efektīvu sistēmu pašvaldību nostiprināšanai, kompetences</w:t>
      </w:r>
      <w:r w:rsidR="00FA1778">
        <w:rPr>
          <w:rFonts w:ascii="Times New Roman" w:eastAsia="Times New Roman" w:hAnsi="Times New Roman" w:cs="Times New Roman"/>
          <w:sz w:val="24"/>
          <w:szCs w:val="24"/>
        </w:rPr>
        <w:t xml:space="preserve"> un kapacitātes paaugstināšanai un</w:t>
      </w:r>
      <w:r w:rsidRPr="00010AD6">
        <w:rPr>
          <w:rFonts w:ascii="Times New Roman" w:eastAsia="Times New Roman" w:hAnsi="Times New Roman" w:cs="Times New Roman"/>
          <w:sz w:val="24"/>
          <w:szCs w:val="24"/>
        </w:rPr>
        <w:t xml:space="preserve"> atbalstot spēcīgu reģionu centru attīstību.</w:t>
      </w:r>
    </w:p>
    <w:p w:rsidR="00547E94" w:rsidRPr="008E72D3" w:rsidRDefault="00547E94" w:rsidP="00547E94">
      <w:pPr>
        <w:pStyle w:val="Heading3"/>
        <w:rPr>
          <w:rFonts w:eastAsia="Times New Roman"/>
        </w:rPr>
      </w:pPr>
      <w:bookmarkStart w:id="128" w:name="_Toc348948391"/>
      <w:r w:rsidRPr="008E72D3">
        <w:rPr>
          <w:rFonts w:eastAsia="Times New Roman"/>
        </w:rPr>
        <w:t>1.2. Rīcības plāns Latgales reģiona izaugsmei 2012.</w:t>
      </w:r>
      <w:r w:rsidR="00AE7C1C">
        <w:rPr>
          <w:rFonts w:eastAsia="Times New Roman"/>
        </w:rPr>
        <w:t>–</w:t>
      </w:r>
      <w:r w:rsidRPr="008E72D3">
        <w:rPr>
          <w:rFonts w:eastAsia="Times New Roman"/>
        </w:rPr>
        <w:t>2013.gadam</w:t>
      </w:r>
      <w:bookmarkEnd w:id="128"/>
    </w:p>
    <w:p w:rsidR="00010AD6" w:rsidRPr="00010AD6" w:rsidRDefault="0062485B" w:rsidP="0062485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2012.gada jūnijā MK tika apstiprināts</w:t>
      </w:r>
      <w:r w:rsidR="00010AD6" w:rsidRPr="00010AD6">
        <w:rPr>
          <w:rFonts w:ascii="Times New Roman" w:hAnsi="Times New Roman" w:cs="Times New Roman"/>
          <w:sz w:val="24"/>
          <w:szCs w:val="24"/>
        </w:rPr>
        <w:t xml:space="preserve"> rīcības plāns Latgales reģi</w:t>
      </w:r>
      <w:r>
        <w:rPr>
          <w:rFonts w:ascii="Times New Roman" w:hAnsi="Times New Roman" w:cs="Times New Roman"/>
          <w:sz w:val="24"/>
          <w:szCs w:val="24"/>
        </w:rPr>
        <w:t xml:space="preserve">ona izaugsmei </w:t>
      </w:r>
      <w:r w:rsidR="00B167ED">
        <w:rPr>
          <w:rFonts w:ascii="Times New Roman" w:hAnsi="Times New Roman" w:cs="Times New Roman"/>
          <w:sz w:val="24"/>
          <w:szCs w:val="24"/>
        </w:rPr>
        <w:t>"</w:t>
      </w:r>
      <w:r>
        <w:rPr>
          <w:rFonts w:ascii="Times New Roman" w:hAnsi="Times New Roman" w:cs="Times New Roman"/>
          <w:sz w:val="24"/>
          <w:szCs w:val="24"/>
        </w:rPr>
        <w:t>Iespēju Latgale</w:t>
      </w:r>
      <w:r w:rsidR="00B167ED">
        <w:rPr>
          <w:rFonts w:ascii="Times New Roman" w:hAnsi="Times New Roman" w:cs="Times New Roman"/>
          <w:sz w:val="24"/>
          <w:szCs w:val="24"/>
        </w:rPr>
        <w:t>"</w:t>
      </w:r>
      <w:r w:rsidR="00010AD6" w:rsidRPr="00010AD6">
        <w:rPr>
          <w:rFonts w:ascii="Times New Roman" w:hAnsi="Times New Roman" w:cs="Times New Roman"/>
          <w:sz w:val="24"/>
          <w:szCs w:val="24"/>
        </w:rPr>
        <w:t xml:space="preserve">. </w:t>
      </w:r>
      <w:r>
        <w:rPr>
          <w:rFonts w:ascii="Times New Roman" w:eastAsia="Times New Roman" w:hAnsi="Times New Roman" w:cs="Times New Roman"/>
          <w:sz w:val="24"/>
          <w:szCs w:val="24"/>
        </w:rPr>
        <w:t>R</w:t>
      </w:r>
      <w:r w:rsidR="00010AD6" w:rsidRPr="00010AD6">
        <w:rPr>
          <w:rFonts w:ascii="Times New Roman" w:eastAsia="Times New Roman" w:hAnsi="Times New Roman" w:cs="Times New Roman"/>
          <w:sz w:val="24"/>
          <w:szCs w:val="24"/>
        </w:rPr>
        <w:t>īcības plāns sagatavots, lai reaģētu uz ilglaicīgi pastāvošajām sociāli ekonomiskajām problēmām</w:t>
      </w:r>
      <w:r w:rsidR="00851BD3">
        <w:rPr>
          <w:rFonts w:ascii="Times New Roman" w:eastAsia="Times New Roman" w:hAnsi="Times New Roman" w:cs="Times New Roman"/>
          <w:sz w:val="24"/>
          <w:szCs w:val="24"/>
        </w:rPr>
        <w:t xml:space="preserve"> šajā reģionā</w:t>
      </w:r>
      <w:r w:rsidR="00010AD6" w:rsidRPr="00010AD6">
        <w:rPr>
          <w:rFonts w:ascii="Times New Roman" w:hAnsi="Times New Roman" w:cs="Times New Roman"/>
          <w:sz w:val="24"/>
          <w:szCs w:val="24"/>
        </w:rPr>
        <w:t>.</w:t>
      </w:r>
    </w:p>
    <w:p w:rsidR="00010AD6" w:rsidRPr="00010AD6" w:rsidRDefault="00FA1778" w:rsidP="00010AD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010AD6" w:rsidRPr="00010AD6">
        <w:rPr>
          <w:rFonts w:ascii="Times New Roman" w:eastAsia="Times New Roman" w:hAnsi="Times New Roman" w:cs="Times New Roman"/>
          <w:sz w:val="24"/>
          <w:szCs w:val="24"/>
        </w:rPr>
        <w:t xml:space="preserve">īcības plāns fokusēts uz cilvēkkapitāla attīstību, </w:t>
      </w:r>
      <w:r w:rsidR="00010AD6" w:rsidRPr="00010AD6">
        <w:rPr>
          <w:rFonts w:ascii="Times New Roman" w:hAnsi="Times New Roman" w:cs="Times New Roman"/>
          <w:sz w:val="24"/>
          <w:szCs w:val="24"/>
        </w:rPr>
        <w:t>darbavietu</w:t>
      </w:r>
      <w:r w:rsidR="00010AD6" w:rsidRPr="00010AD6">
        <w:rPr>
          <w:rFonts w:ascii="Times New Roman" w:eastAsia="Times New Roman" w:hAnsi="Times New Roman" w:cs="Times New Roman"/>
          <w:sz w:val="24"/>
          <w:szCs w:val="24"/>
        </w:rPr>
        <w:t xml:space="preserve"> radīšanu un uzņēmējdarbības attīstību Latgalē. Veiksmes gadījumā Latgales pieredze būtu </w:t>
      </w:r>
      <w:r>
        <w:rPr>
          <w:rFonts w:ascii="Times New Roman" w:eastAsia="Times New Roman" w:hAnsi="Times New Roman" w:cs="Times New Roman"/>
          <w:sz w:val="24"/>
          <w:szCs w:val="24"/>
        </w:rPr>
        <w:t>izmantojama</w:t>
      </w:r>
      <w:r w:rsidR="00010AD6" w:rsidRPr="00010AD6">
        <w:rPr>
          <w:rFonts w:ascii="Times New Roman" w:eastAsia="Times New Roman" w:hAnsi="Times New Roman" w:cs="Times New Roman"/>
          <w:sz w:val="24"/>
          <w:szCs w:val="24"/>
        </w:rPr>
        <w:t xml:space="preserve"> arī citos reģionos ar līdzīgām attīstības tendencēm. 2012.gad</w:t>
      </w:r>
      <w:r>
        <w:rPr>
          <w:rFonts w:ascii="Times New Roman" w:eastAsia="Times New Roman" w:hAnsi="Times New Roman" w:cs="Times New Roman"/>
          <w:sz w:val="24"/>
          <w:szCs w:val="24"/>
        </w:rPr>
        <w:t>ā</w:t>
      </w:r>
      <w:r w:rsidR="00010AD6" w:rsidRPr="00010AD6">
        <w:rPr>
          <w:rFonts w:ascii="Times New Roman" w:eastAsia="Times New Roman" w:hAnsi="Times New Roman" w:cs="Times New Roman"/>
          <w:sz w:val="24"/>
          <w:szCs w:val="24"/>
        </w:rPr>
        <w:t xml:space="preserve"> </w:t>
      </w:r>
      <w:r w:rsidR="00AE7C1C">
        <w:rPr>
          <w:rFonts w:ascii="Times New Roman" w:eastAsia="Times New Roman" w:hAnsi="Times New Roman" w:cs="Times New Roman"/>
          <w:sz w:val="24"/>
          <w:szCs w:val="24"/>
        </w:rPr>
        <w:t>minētā r</w:t>
      </w:r>
      <w:r w:rsidR="00010AD6" w:rsidRPr="00010AD6">
        <w:rPr>
          <w:rFonts w:ascii="Times New Roman" w:eastAsia="Times New Roman" w:hAnsi="Times New Roman" w:cs="Times New Roman"/>
          <w:sz w:val="24"/>
          <w:szCs w:val="24"/>
        </w:rPr>
        <w:t xml:space="preserve">īcības plāna ietvaros </w:t>
      </w:r>
      <w:r w:rsidR="00AE7C1C">
        <w:rPr>
          <w:rFonts w:ascii="Times New Roman" w:eastAsia="Times New Roman" w:hAnsi="Times New Roman" w:cs="Times New Roman"/>
          <w:sz w:val="24"/>
          <w:szCs w:val="24"/>
        </w:rPr>
        <w:t>tika</w:t>
      </w:r>
      <w:r w:rsidR="00010AD6" w:rsidRPr="00010AD6">
        <w:rPr>
          <w:rFonts w:ascii="Times New Roman" w:eastAsia="Times New Roman" w:hAnsi="Times New Roman" w:cs="Times New Roman"/>
          <w:sz w:val="24"/>
          <w:szCs w:val="24"/>
        </w:rPr>
        <w:t xml:space="preserve"> piesaistīts papildu atbalsts Latgales pašvaldībām 33,36 miljonu latu apmērā uzņēmējdarbības infrastruktūras sakārtošanai un ceļu infrastruktūras </w:t>
      </w:r>
      <w:r w:rsidR="00481904">
        <w:rPr>
          <w:rFonts w:ascii="Times New Roman" w:eastAsia="Times New Roman" w:hAnsi="Times New Roman" w:cs="Times New Roman"/>
          <w:sz w:val="24"/>
          <w:szCs w:val="24"/>
        </w:rPr>
        <w:t xml:space="preserve">atjaunošanai </w:t>
      </w:r>
      <w:r w:rsidR="00481904">
        <w:rPr>
          <w:rFonts w:ascii="Times New Roman" w:eastAsia="Times New Roman" w:hAnsi="Times New Roman" w:cs="Times New Roman"/>
          <w:sz w:val="24"/>
          <w:szCs w:val="24"/>
        </w:rPr>
        <w:lastRenderedPageBreak/>
        <w:t xml:space="preserve">reģionā, kā arī </w:t>
      </w:r>
      <w:r w:rsidR="00AE7C1C">
        <w:rPr>
          <w:rFonts w:ascii="Times New Roman" w:eastAsia="Times New Roman" w:hAnsi="Times New Roman" w:cs="Times New Roman"/>
          <w:sz w:val="24"/>
          <w:szCs w:val="24"/>
        </w:rPr>
        <w:t xml:space="preserve">tika </w:t>
      </w:r>
      <w:r w:rsidR="00010AD6" w:rsidRPr="00010AD6">
        <w:rPr>
          <w:rFonts w:ascii="Times New Roman" w:eastAsia="Times New Roman" w:hAnsi="Times New Roman" w:cs="Times New Roman"/>
          <w:sz w:val="24"/>
          <w:szCs w:val="24"/>
        </w:rPr>
        <w:t>uzņemta fi</w:t>
      </w:r>
      <w:r w:rsidR="00481904">
        <w:rPr>
          <w:rFonts w:ascii="Times New Roman" w:eastAsia="Times New Roman" w:hAnsi="Times New Roman" w:cs="Times New Roman"/>
          <w:sz w:val="24"/>
          <w:szCs w:val="24"/>
        </w:rPr>
        <w:t>lma par Latgali un tās iespējām</w:t>
      </w:r>
      <w:r w:rsidR="00010AD6" w:rsidRPr="00010AD6">
        <w:rPr>
          <w:rFonts w:ascii="Times New Roman" w:eastAsia="Times New Roman" w:hAnsi="Times New Roman" w:cs="Times New Roman"/>
          <w:sz w:val="24"/>
          <w:szCs w:val="24"/>
        </w:rPr>
        <w:t xml:space="preserve">. </w:t>
      </w:r>
      <w:r w:rsidR="00AE7C1C">
        <w:rPr>
          <w:rFonts w:ascii="Times New Roman" w:eastAsia="Times New Roman" w:hAnsi="Times New Roman" w:cs="Times New Roman"/>
          <w:sz w:val="24"/>
          <w:szCs w:val="24"/>
        </w:rPr>
        <w:t>Lai</w:t>
      </w:r>
      <w:r w:rsidR="00010AD6" w:rsidRPr="00010AD6">
        <w:rPr>
          <w:rFonts w:ascii="Times New Roman" w:eastAsia="Times New Roman" w:hAnsi="Times New Roman" w:cs="Times New Roman"/>
          <w:sz w:val="24"/>
          <w:szCs w:val="24"/>
        </w:rPr>
        <w:t xml:space="preserve"> veidot</w:t>
      </w:r>
      <w:r w:rsidR="00AE7C1C">
        <w:rPr>
          <w:rFonts w:ascii="Times New Roman" w:eastAsia="Times New Roman" w:hAnsi="Times New Roman" w:cs="Times New Roman"/>
          <w:sz w:val="24"/>
          <w:szCs w:val="24"/>
        </w:rPr>
        <w:t>u</w:t>
      </w:r>
      <w:r w:rsidR="00010AD6" w:rsidRPr="00010AD6">
        <w:rPr>
          <w:rFonts w:ascii="Times New Roman" w:eastAsia="Times New Roman" w:hAnsi="Times New Roman" w:cs="Times New Roman"/>
          <w:sz w:val="24"/>
          <w:szCs w:val="24"/>
        </w:rPr>
        <w:t xml:space="preserve"> vienotu konsultāciju tīklu un nodrošināt</w:t>
      </w:r>
      <w:r w:rsidR="00AE7C1C">
        <w:rPr>
          <w:rFonts w:ascii="Times New Roman" w:eastAsia="Times New Roman" w:hAnsi="Times New Roman" w:cs="Times New Roman"/>
          <w:sz w:val="24"/>
          <w:szCs w:val="24"/>
        </w:rPr>
        <w:t>u</w:t>
      </w:r>
      <w:r w:rsidR="00010AD6" w:rsidRPr="00010AD6">
        <w:rPr>
          <w:rFonts w:ascii="Times New Roman" w:eastAsia="Times New Roman" w:hAnsi="Times New Roman" w:cs="Times New Roman"/>
          <w:sz w:val="24"/>
          <w:szCs w:val="24"/>
        </w:rPr>
        <w:t xml:space="preserve"> koordinētu atbalstu uzņēmējdarbības attīstībai, tiek veidots Latgales uzņēmējdarbības centrs, t.sk. </w:t>
      </w:r>
      <w:r w:rsidR="00AE7C1C">
        <w:rPr>
          <w:rFonts w:ascii="Times New Roman" w:eastAsia="Times New Roman" w:hAnsi="Times New Roman" w:cs="Times New Roman"/>
          <w:sz w:val="24"/>
          <w:szCs w:val="24"/>
        </w:rPr>
        <w:t xml:space="preserve">MK </w:t>
      </w:r>
      <w:r w:rsidR="00010AD6" w:rsidRPr="00010AD6">
        <w:rPr>
          <w:rFonts w:ascii="Times New Roman" w:eastAsia="Times New Roman" w:hAnsi="Times New Roman" w:cs="Times New Roman"/>
          <w:sz w:val="24"/>
          <w:szCs w:val="24"/>
        </w:rPr>
        <w:t xml:space="preserve">2012.gada 11.decembra sēdē </w:t>
      </w:r>
      <w:r w:rsidR="00AE7C1C">
        <w:rPr>
          <w:rFonts w:ascii="Times New Roman" w:eastAsia="Times New Roman" w:hAnsi="Times New Roman" w:cs="Times New Roman"/>
          <w:sz w:val="24"/>
          <w:szCs w:val="24"/>
        </w:rPr>
        <w:t xml:space="preserve">tika </w:t>
      </w:r>
      <w:r w:rsidR="00010AD6" w:rsidRPr="00010AD6">
        <w:rPr>
          <w:rFonts w:ascii="Times New Roman" w:eastAsia="Times New Roman" w:hAnsi="Times New Roman" w:cs="Times New Roman"/>
          <w:sz w:val="24"/>
          <w:szCs w:val="24"/>
        </w:rPr>
        <w:t>apstiprināts informatīvais ziņojums par Latgales uzņēmējdarbības centra izveidi un panākta vienošanās ar LIAA, LHZB, VRAA un LLKC par praktisku sadarbību.</w:t>
      </w: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2013.gadā ir plānoti vairāki pasākumi ar Norvēģijas finanšu instrumenta atbalstu, piemēram, uzņēmējdarbības un inovāciju veicināšanas pasākumi, investīciju piesaistes piedāvājumu sagatavošana, kopienu atbalsta pasākumu īstenošana, Latgales pārstāvniecības </w:t>
      </w:r>
      <w:r w:rsidR="00AE7C1C">
        <w:rPr>
          <w:rFonts w:ascii="Times New Roman" w:eastAsia="Times New Roman" w:hAnsi="Times New Roman" w:cs="Times New Roman"/>
          <w:sz w:val="24"/>
          <w:szCs w:val="24"/>
        </w:rPr>
        <w:t>izveide Rīgā.</w:t>
      </w:r>
    </w:p>
    <w:p w:rsidR="00547E94" w:rsidRPr="008E72D3" w:rsidRDefault="00547E94" w:rsidP="00547E94">
      <w:pPr>
        <w:pStyle w:val="Heading3"/>
        <w:jc w:val="both"/>
      </w:pPr>
      <w:bookmarkStart w:id="129" w:name="_Toc348948392"/>
      <w:r w:rsidRPr="008E72D3">
        <w:t>1.3. 2007.</w:t>
      </w:r>
      <w:r w:rsidR="00AE7C1C">
        <w:t>–</w:t>
      </w:r>
      <w:r w:rsidRPr="008E72D3">
        <w:t>2013.gada ES fondu plānošanas perioda ERAF finansējuma apguve reģionu stiprināšanai</w:t>
      </w:r>
      <w:bookmarkEnd w:id="129"/>
    </w:p>
    <w:p w:rsidR="00010AD6" w:rsidRPr="00010AD6" w:rsidRDefault="00010AD6" w:rsidP="00010AD6">
      <w:pPr>
        <w:spacing w:after="0" w:line="240" w:lineRule="auto"/>
        <w:ind w:firstLine="709"/>
        <w:jc w:val="both"/>
        <w:rPr>
          <w:rFonts w:ascii="Times New Roman" w:hAnsi="Times New Roman" w:cs="Times New Roman"/>
          <w:sz w:val="24"/>
          <w:szCs w:val="24"/>
        </w:rPr>
      </w:pPr>
      <w:r w:rsidRPr="00010AD6">
        <w:rPr>
          <w:rFonts w:ascii="Times New Roman" w:hAnsi="Times New Roman" w:cs="Times New Roman"/>
          <w:sz w:val="24"/>
          <w:szCs w:val="24"/>
        </w:rPr>
        <w:t xml:space="preserve">Ar ERAF atbalstu 16 pašvaldībās turpināts īstenot nozīmīgus infrastruktūras projektus, uzlabojot pašvaldību ēku energoefektivitāti, pilsētu ielu kvalitāti, uzņēmējdarbības, tūrisma un kultūras objektu pieejamību, paaugstinot konkurētspēju, kā arī plānota jaunu projektu apstiprināšana par kopējo ERAF finansējumu 31,1 milj. latu apmērā. 2012.gadā </w:t>
      </w:r>
      <w:r w:rsidR="00AE7C1C" w:rsidRPr="00010AD6">
        <w:rPr>
          <w:rFonts w:ascii="Times New Roman" w:hAnsi="Times New Roman" w:cs="Times New Roman"/>
          <w:sz w:val="24"/>
          <w:szCs w:val="24"/>
        </w:rPr>
        <w:t xml:space="preserve">papildus </w:t>
      </w:r>
      <w:r w:rsidRPr="00010AD6">
        <w:rPr>
          <w:rFonts w:ascii="Times New Roman" w:hAnsi="Times New Roman" w:cs="Times New Roman"/>
          <w:sz w:val="24"/>
          <w:szCs w:val="24"/>
        </w:rPr>
        <w:t>tika piešķirts valsts budžeta finansējums 25,68 milj.</w:t>
      </w:r>
      <w:r w:rsidR="00AE7C1C">
        <w:rPr>
          <w:rFonts w:ascii="Times New Roman" w:hAnsi="Times New Roman" w:cs="Times New Roman"/>
          <w:sz w:val="24"/>
          <w:szCs w:val="24"/>
        </w:rPr>
        <w:t> </w:t>
      </w:r>
      <w:r w:rsidRPr="00010AD6">
        <w:rPr>
          <w:rFonts w:ascii="Times New Roman" w:hAnsi="Times New Roman" w:cs="Times New Roman"/>
          <w:sz w:val="24"/>
          <w:szCs w:val="24"/>
        </w:rPr>
        <w:t>latu apmērā un veikta virssaistību projektu ideju priekšatlase, nodrošinot piešķirtā finansējuma efektīvu vadību un atbildīgu pieeju investīciju plānošanā. 15,49 milj. latu no kopējā virssaistību finansējuma tika novirzīti Latgales plānoša</w:t>
      </w:r>
      <w:r w:rsidR="00AE7C1C">
        <w:rPr>
          <w:rFonts w:ascii="Times New Roman" w:hAnsi="Times New Roman" w:cs="Times New Roman"/>
          <w:sz w:val="24"/>
          <w:szCs w:val="24"/>
        </w:rPr>
        <w:t>nas reģiona pašvaldībām papildu</w:t>
      </w:r>
      <w:r w:rsidRPr="00010AD6">
        <w:rPr>
          <w:rFonts w:ascii="Times New Roman" w:hAnsi="Times New Roman" w:cs="Times New Roman"/>
          <w:sz w:val="24"/>
          <w:szCs w:val="24"/>
        </w:rPr>
        <w:t xml:space="preserve"> projektu īstenošanai</w:t>
      </w:r>
      <w:r w:rsidR="00AE7C1C">
        <w:rPr>
          <w:rFonts w:ascii="Times New Roman" w:hAnsi="Times New Roman" w:cs="Times New Roman"/>
          <w:sz w:val="24"/>
          <w:szCs w:val="24"/>
        </w:rPr>
        <w:t>,</w:t>
      </w:r>
      <w:r w:rsidRPr="00010AD6">
        <w:rPr>
          <w:rFonts w:ascii="Times New Roman" w:hAnsi="Times New Roman" w:cs="Times New Roman"/>
          <w:sz w:val="24"/>
          <w:szCs w:val="24"/>
        </w:rPr>
        <w:t xml:space="preserve"> </w:t>
      </w:r>
      <w:r w:rsidR="00AE7C1C">
        <w:rPr>
          <w:rFonts w:ascii="Times New Roman" w:hAnsi="Times New Roman" w:cs="Times New Roman"/>
          <w:sz w:val="24"/>
          <w:szCs w:val="24"/>
        </w:rPr>
        <w:t>lai</w:t>
      </w:r>
      <w:r w:rsidRPr="00010AD6">
        <w:rPr>
          <w:rFonts w:ascii="Times New Roman" w:hAnsi="Times New Roman" w:cs="Times New Roman"/>
          <w:sz w:val="24"/>
          <w:szCs w:val="24"/>
        </w:rPr>
        <w:t xml:space="preserve"> veicināt</w:t>
      </w:r>
      <w:r w:rsidR="00AE7C1C">
        <w:rPr>
          <w:rFonts w:ascii="Times New Roman" w:hAnsi="Times New Roman" w:cs="Times New Roman"/>
          <w:sz w:val="24"/>
          <w:szCs w:val="24"/>
        </w:rPr>
        <w:t>u</w:t>
      </w:r>
      <w:r w:rsidRPr="00010AD6">
        <w:rPr>
          <w:rFonts w:ascii="Times New Roman" w:hAnsi="Times New Roman" w:cs="Times New Roman"/>
          <w:sz w:val="24"/>
          <w:szCs w:val="24"/>
        </w:rPr>
        <w:t xml:space="preserve"> uzņēmējdarbības attīstību un samazināt</w:t>
      </w:r>
      <w:r w:rsidR="00AE7C1C">
        <w:rPr>
          <w:rFonts w:ascii="Times New Roman" w:hAnsi="Times New Roman" w:cs="Times New Roman"/>
          <w:sz w:val="24"/>
          <w:szCs w:val="24"/>
        </w:rPr>
        <w:t>u</w:t>
      </w:r>
      <w:r w:rsidRPr="00010AD6">
        <w:rPr>
          <w:rFonts w:ascii="Times New Roman" w:hAnsi="Times New Roman" w:cs="Times New Roman"/>
          <w:sz w:val="24"/>
          <w:szCs w:val="24"/>
        </w:rPr>
        <w:t xml:space="preserve"> pašvaldību ēku energoefektivitāti. No šiem līdzekļiem plānota, piemēram, Ziemeļu rūpniecības zonas infrastruktūras attīstība Daugavpilī un minētās industriālā</w:t>
      </w:r>
      <w:r w:rsidR="00481904">
        <w:rPr>
          <w:rFonts w:ascii="Times New Roman" w:hAnsi="Times New Roman" w:cs="Times New Roman"/>
          <w:sz w:val="24"/>
          <w:szCs w:val="24"/>
        </w:rPr>
        <w:t>s zonas pieejamības uzlabošana, kā arī atbilstoša</w:t>
      </w:r>
      <w:r w:rsidR="00AE7C1C">
        <w:rPr>
          <w:rFonts w:ascii="Times New Roman" w:hAnsi="Times New Roman" w:cs="Times New Roman"/>
          <w:sz w:val="24"/>
          <w:szCs w:val="24"/>
        </w:rPr>
        <w:t>s</w:t>
      </w:r>
      <w:r w:rsidR="00481904">
        <w:rPr>
          <w:rFonts w:ascii="Times New Roman" w:hAnsi="Times New Roman" w:cs="Times New Roman"/>
          <w:sz w:val="24"/>
          <w:szCs w:val="24"/>
        </w:rPr>
        <w:t xml:space="preserve"> transporta infrastruktūra</w:t>
      </w:r>
      <w:r w:rsidR="00AE7C1C">
        <w:rPr>
          <w:rFonts w:ascii="Times New Roman" w:hAnsi="Times New Roman" w:cs="Times New Roman"/>
          <w:sz w:val="24"/>
          <w:szCs w:val="24"/>
        </w:rPr>
        <w:t>s</w:t>
      </w:r>
      <w:r w:rsidRPr="00010AD6">
        <w:rPr>
          <w:rFonts w:ascii="Times New Roman" w:hAnsi="Times New Roman" w:cs="Times New Roman"/>
          <w:sz w:val="24"/>
          <w:szCs w:val="24"/>
        </w:rPr>
        <w:t xml:space="preserve"> veido</w:t>
      </w:r>
      <w:r w:rsidR="00AE7C1C">
        <w:rPr>
          <w:rFonts w:ascii="Times New Roman" w:hAnsi="Times New Roman" w:cs="Times New Roman"/>
          <w:sz w:val="24"/>
          <w:szCs w:val="24"/>
        </w:rPr>
        <w:t xml:space="preserve">šana </w:t>
      </w:r>
      <w:r w:rsidRPr="00010AD6">
        <w:rPr>
          <w:rFonts w:ascii="Times New Roman" w:hAnsi="Times New Roman" w:cs="Times New Roman"/>
          <w:sz w:val="24"/>
          <w:szCs w:val="24"/>
        </w:rPr>
        <w:t>arī Rēzeknē un Līvānos.</w:t>
      </w:r>
    </w:p>
    <w:p w:rsidR="00010AD6" w:rsidRPr="00010AD6" w:rsidRDefault="00010AD6" w:rsidP="00010AD6">
      <w:pPr>
        <w:spacing w:after="0" w:line="240" w:lineRule="auto"/>
        <w:ind w:firstLine="709"/>
        <w:jc w:val="both"/>
        <w:rPr>
          <w:rFonts w:ascii="Times New Roman" w:hAnsi="Times New Roman" w:cs="Times New Roman"/>
          <w:sz w:val="24"/>
          <w:szCs w:val="24"/>
        </w:rPr>
      </w:pPr>
      <w:r w:rsidRPr="00010AD6">
        <w:rPr>
          <w:rFonts w:ascii="Times New Roman" w:hAnsi="Times New Roman" w:cs="Times New Roman"/>
          <w:sz w:val="24"/>
          <w:szCs w:val="24"/>
        </w:rPr>
        <w:t>ERAF atbalsts paredzēts arī 18 novadu pašvaldībām</w:t>
      </w:r>
      <w:r w:rsidR="00AE7C1C">
        <w:rPr>
          <w:rFonts w:ascii="Times New Roman" w:hAnsi="Times New Roman" w:cs="Times New Roman"/>
          <w:sz w:val="24"/>
          <w:szCs w:val="24"/>
        </w:rPr>
        <w:t>, lai stiprinātu a</w:t>
      </w:r>
      <w:r w:rsidRPr="00010AD6">
        <w:rPr>
          <w:rFonts w:ascii="Times New Roman" w:hAnsi="Times New Roman" w:cs="Times New Roman"/>
          <w:sz w:val="24"/>
          <w:szCs w:val="24"/>
        </w:rPr>
        <w:t>ttīstības centru konkurētspēju un funkcionālo saišu veidošanos starp attīstības centriem un tiem piegulošajām teritorijām. Projektu ietvaros novadu pašvaldībām ir iespēja uzlabot transporta infrastruktūru, sakārtot teritorijas un paaugstināt pašvaldību ēku energoefektivitāti. Pasākumu īstenošanai pieejamais struktūrfondu finansējums ir 9,4</w:t>
      </w:r>
      <w:r w:rsidR="00AE7C1C">
        <w:rPr>
          <w:rFonts w:ascii="Times New Roman" w:hAnsi="Times New Roman" w:cs="Times New Roman"/>
          <w:sz w:val="24"/>
          <w:szCs w:val="24"/>
        </w:rPr>
        <w:t> </w:t>
      </w:r>
      <w:r w:rsidRPr="00010AD6">
        <w:rPr>
          <w:rFonts w:ascii="Times New Roman" w:hAnsi="Times New Roman" w:cs="Times New Roman"/>
          <w:sz w:val="24"/>
          <w:szCs w:val="24"/>
        </w:rPr>
        <w:t>milj. latu. 2012.gadā apstiprināti projekti par kopējo attiecināmo izmaksu summu 7,6</w:t>
      </w:r>
      <w:r w:rsidR="00AE7C1C">
        <w:rPr>
          <w:rFonts w:ascii="Times New Roman" w:hAnsi="Times New Roman" w:cs="Times New Roman"/>
          <w:sz w:val="24"/>
          <w:szCs w:val="24"/>
        </w:rPr>
        <w:t> </w:t>
      </w:r>
      <w:r w:rsidRPr="00010AD6">
        <w:rPr>
          <w:rFonts w:ascii="Times New Roman" w:hAnsi="Times New Roman" w:cs="Times New Roman"/>
          <w:sz w:val="24"/>
          <w:szCs w:val="24"/>
        </w:rPr>
        <w:t xml:space="preserve">milj. latu, t.sk. no ERAF 4,8 milj. latu. 2012.gadā </w:t>
      </w:r>
      <w:r w:rsidR="00AE7C1C" w:rsidRPr="00010AD6">
        <w:rPr>
          <w:rFonts w:ascii="Times New Roman" w:hAnsi="Times New Roman" w:cs="Times New Roman"/>
          <w:sz w:val="24"/>
          <w:szCs w:val="24"/>
        </w:rPr>
        <w:t xml:space="preserve">papildus </w:t>
      </w:r>
      <w:r w:rsidR="00AE7C1C">
        <w:rPr>
          <w:rFonts w:ascii="Times New Roman" w:hAnsi="Times New Roman" w:cs="Times New Roman"/>
          <w:sz w:val="24"/>
          <w:szCs w:val="24"/>
        </w:rPr>
        <w:t>piešķirt</w:t>
      </w:r>
      <w:r w:rsidRPr="00010AD6">
        <w:rPr>
          <w:rFonts w:ascii="Times New Roman" w:hAnsi="Times New Roman" w:cs="Times New Roman"/>
          <w:sz w:val="24"/>
          <w:szCs w:val="24"/>
        </w:rPr>
        <w:t>s valsts budžeta finansējums 17,87 milj. lat</w:t>
      </w:r>
      <w:r w:rsidR="00AE7C1C">
        <w:rPr>
          <w:rFonts w:ascii="Times New Roman" w:hAnsi="Times New Roman" w:cs="Times New Roman"/>
          <w:sz w:val="24"/>
          <w:szCs w:val="24"/>
        </w:rPr>
        <w:t>u apmērā, kas paredzēts papildu</w:t>
      </w:r>
      <w:r w:rsidRPr="00010AD6">
        <w:rPr>
          <w:rFonts w:ascii="Times New Roman" w:hAnsi="Times New Roman" w:cs="Times New Roman"/>
          <w:sz w:val="24"/>
          <w:szCs w:val="24"/>
        </w:rPr>
        <w:t xml:space="preserve"> projektu īstenošanai Latgales plānošanas reģiona pašvaldībās</w:t>
      </w:r>
      <w:r w:rsidR="002C6A08">
        <w:rPr>
          <w:rFonts w:ascii="Times New Roman" w:hAnsi="Times New Roman" w:cs="Times New Roman"/>
          <w:sz w:val="24"/>
          <w:szCs w:val="24"/>
        </w:rPr>
        <w:t>, lai</w:t>
      </w:r>
      <w:r w:rsidRPr="00010AD6">
        <w:rPr>
          <w:rFonts w:ascii="Times New Roman" w:hAnsi="Times New Roman" w:cs="Times New Roman"/>
          <w:sz w:val="24"/>
          <w:szCs w:val="24"/>
        </w:rPr>
        <w:t xml:space="preserve"> veicināt</w:t>
      </w:r>
      <w:r w:rsidR="002C6A08">
        <w:rPr>
          <w:rFonts w:ascii="Times New Roman" w:hAnsi="Times New Roman" w:cs="Times New Roman"/>
          <w:sz w:val="24"/>
          <w:szCs w:val="24"/>
        </w:rPr>
        <w:t>u</w:t>
      </w:r>
      <w:r w:rsidRPr="00010AD6">
        <w:rPr>
          <w:rFonts w:ascii="Times New Roman" w:hAnsi="Times New Roman" w:cs="Times New Roman"/>
          <w:sz w:val="24"/>
          <w:szCs w:val="24"/>
        </w:rPr>
        <w:t xml:space="preserve"> uzņēmējdarbību un paaugstināt</w:t>
      </w:r>
      <w:r w:rsidR="002C6A08">
        <w:rPr>
          <w:rFonts w:ascii="Times New Roman" w:hAnsi="Times New Roman" w:cs="Times New Roman"/>
          <w:sz w:val="24"/>
          <w:szCs w:val="24"/>
        </w:rPr>
        <w:t>u</w:t>
      </w:r>
      <w:r w:rsidRPr="00010AD6">
        <w:rPr>
          <w:rFonts w:ascii="Times New Roman" w:hAnsi="Times New Roman" w:cs="Times New Roman"/>
          <w:sz w:val="24"/>
          <w:szCs w:val="24"/>
        </w:rPr>
        <w:t xml:space="preserve"> pašvaldību ēku energoefektivitāti.</w:t>
      </w:r>
      <w:r w:rsidR="00AE7C1C">
        <w:rPr>
          <w:rFonts w:ascii="Times New Roman" w:hAnsi="Times New Roman" w:cs="Times New Roman"/>
          <w:sz w:val="24"/>
          <w:szCs w:val="24"/>
        </w:rPr>
        <w:t xml:space="preserve"> </w:t>
      </w:r>
    </w:p>
    <w:p w:rsidR="00010AD6" w:rsidRPr="00010AD6" w:rsidRDefault="00010AD6" w:rsidP="00010AD6">
      <w:pPr>
        <w:spacing w:after="0" w:line="240" w:lineRule="auto"/>
        <w:ind w:firstLine="709"/>
        <w:jc w:val="both"/>
        <w:rPr>
          <w:rFonts w:ascii="Times New Roman" w:hAnsi="Times New Roman" w:cs="Times New Roman"/>
          <w:sz w:val="24"/>
          <w:szCs w:val="24"/>
        </w:rPr>
      </w:pPr>
      <w:r w:rsidRPr="00010AD6">
        <w:rPr>
          <w:rFonts w:ascii="Times New Roman" w:hAnsi="Times New Roman" w:cs="Times New Roman"/>
          <w:sz w:val="24"/>
          <w:szCs w:val="24"/>
        </w:rPr>
        <w:t>Tiks turpināta ERAF projektu iesviešana degradēto teritoriju revitalizācijai Rīgā par kopējo attiecinām</w:t>
      </w:r>
      <w:r w:rsidR="00481904">
        <w:rPr>
          <w:rFonts w:ascii="Times New Roman" w:hAnsi="Times New Roman" w:cs="Times New Roman"/>
          <w:sz w:val="24"/>
          <w:szCs w:val="24"/>
        </w:rPr>
        <w:t xml:space="preserve">o izmaksu summu 8,3 milj. latu, </w:t>
      </w:r>
      <w:r w:rsidRPr="00010AD6">
        <w:rPr>
          <w:rFonts w:ascii="Times New Roman" w:hAnsi="Times New Roman" w:cs="Times New Roman"/>
          <w:sz w:val="24"/>
          <w:szCs w:val="24"/>
        </w:rPr>
        <w:t>no tiem ERAF finansējums ir 7 milj. latu.</w:t>
      </w:r>
    </w:p>
    <w:p w:rsidR="00547E94" w:rsidRPr="008E72D3" w:rsidRDefault="00547E94" w:rsidP="00547E94">
      <w:pPr>
        <w:pStyle w:val="Heading3"/>
      </w:pPr>
      <w:bookmarkStart w:id="130" w:name="_Toc348948393"/>
      <w:r w:rsidRPr="008E72D3">
        <w:t>1.4.</w:t>
      </w:r>
      <w:r w:rsidR="002C6A08">
        <w:t> </w:t>
      </w:r>
      <w:r w:rsidRPr="008E72D3">
        <w:t>Norvēģijas finanšu instrumenta līdzekļu apgūšana reģionu atbalstam</w:t>
      </w:r>
      <w:bookmarkEnd w:id="130"/>
    </w:p>
    <w:p w:rsidR="00481904" w:rsidRDefault="00547E94" w:rsidP="00547E94">
      <w:pPr>
        <w:tabs>
          <w:tab w:val="left" w:pos="851"/>
        </w:tabs>
        <w:spacing w:after="0" w:line="240" w:lineRule="auto"/>
        <w:ind w:firstLine="709"/>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 xml:space="preserve">2012.gada 11.septembrī Norvēģijas Ārlietu ministrija apstiprināja programmu LV07 </w:t>
      </w:r>
      <w:r w:rsidR="00B167ED">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Kapacitātes stiprināšana un institucionālā sadarbība starp Latvijas un Norvēģijas valsts institūcijām, vietējām un reģionālām varas iestādēm</w:t>
      </w:r>
      <w:r w:rsidR="00B167ED">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 xml:space="preserve">. Programmas ietvaros no 2013.gada līdz 2015.gadam VARAM īstenos divus projektus. Vienā no tiem plānota Latvijas vietējo pašvaldību un plānošanas reģionu teritorijas attīstības plānošanas kapacitātes stiprināšana pieredzes apmaiņas un apmācību ietvaros, </w:t>
      </w:r>
      <w:r w:rsidR="002C6A08">
        <w:rPr>
          <w:rFonts w:ascii="Times New Roman" w:eastAsia="Times New Roman" w:hAnsi="Times New Roman" w:cs="Times New Roman"/>
          <w:sz w:val="24"/>
          <w:szCs w:val="24"/>
        </w:rPr>
        <w:t>tādējādi</w:t>
      </w:r>
      <w:r w:rsidRPr="00547E94">
        <w:rPr>
          <w:rFonts w:ascii="Times New Roman" w:eastAsia="Times New Roman" w:hAnsi="Times New Roman" w:cs="Times New Roman"/>
          <w:sz w:val="24"/>
          <w:szCs w:val="24"/>
        </w:rPr>
        <w:t xml:space="preserve"> tiks izstrādāti vairāki attīstības plānošanas dokumenti </w:t>
      </w:r>
      <w:r w:rsidR="002C6A08">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 xml:space="preserve"> plānošanas reģionu attīstības programmas un </w:t>
      </w:r>
      <w:r w:rsidRPr="00547E94">
        <w:rPr>
          <w:rFonts w:ascii="Times New Roman" w:eastAsia="Times New Roman" w:hAnsi="Times New Roman" w:cs="Times New Roman"/>
          <w:sz w:val="24"/>
          <w:szCs w:val="24"/>
        </w:rPr>
        <w:lastRenderedPageBreak/>
        <w:t xml:space="preserve">ilgtermiņa stratēģijas, kā arī tiks nodrošināta nacionāla līmeņa ilgtermiņa tematiskā plānojuma </w:t>
      </w:r>
      <w:r w:rsidR="002C6A08">
        <w:rPr>
          <w:rFonts w:ascii="Times New Roman" w:eastAsia="Times New Roman" w:hAnsi="Times New Roman" w:cs="Times New Roman"/>
          <w:sz w:val="24"/>
          <w:szCs w:val="24"/>
        </w:rPr>
        <w:t xml:space="preserve">izstrāde </w:t>
      </w:r>
      <w:r w:rsidRPr="00547E94">
        <w:rPr>
          <w:rFonts w:ascii="Times New Roman" w:eastAsia="Times New Roman" w:hAnsi="Times New Roman" w:cs="Times New Roman"/>
          <w:sz w:val="24"/>
          <w:szCs w:val="24"/>
        </w:rPr>
        <w:t>par pi</w:t>
      </w:r>
      <w:r w:rsidR="002C6A08">
        <w:rPr>
          <w:rFonts w:ascii="Times New Roman" w:eastAsia="Times New Roman" w:hAnsi="Times New Roman" w:cs="Times New Roman"/>
          <w:sz w:val="24"/>
          <w:szCs w:val="24"/>
        </w:rPr>
        <w:t>ekrastes infrastruktūru</w:t>
      </w:r>
      <w:r w:rsidRPr="00547E94">
        <w:rPr>
          <w:rFonts w:ascii="Times New Roman" w:eastAsia="Times New Roman" w:hAnsi="Times New Roman" w:cs="Times New Roman"/>
          <w:sz w:val="24"/>
          <w:szCs w:val="24"/>
        </w:rPr>
        <w:t xml:space="preserve">. </w:t>
      </w:r>
    </w:p>
    <w:p w:rsidR="00547E94" w:rsidRPr="00547E94" w:rsidRDefault="00547E94" w:rsidP="00547E94">
      <w:pPr>
        <w:tabs>
          <w:tab w:val="left" w:pos="851"/>
        </w:tabs>
        <w:spacing w:after="0" w:line="240" w:lineRule="auto"/>
        <w:ind w:firstLine="709"/>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 xml:space="preserve">Otrs projekts </w:t>
      </w:r>
      <w:r w:rsidR="00481904">
        <w:rPr>
          <w:rFonts w:ascii="Times New Roman" w:eastAsia="Times New Roman" w:hAnsi="Times New Roman" w:cs="Times New Roman"/>
          <w:sz w:val="24"/>
          <w:szCs w:val="24"/>
        </w:rPr>
        <w:t xml:space="preserve">ir vērsts uz </w:t>
      </w:r>
      <w:r w:rsidRPr="00547E94">
        <w:rPr>
          <w:rFonts w:ascii="Times New Roman" w:eastAsia="Times New Roman" w:hAnsi="Times New Roman" w:cs="Times New Roman"/>
          <w:sz w:val="24"/>
          <w:szCs w:val="24"/>
        </w:rPr>
        <w:t>Latvijas pašvaldību un reģionu kapacitātes stiprināšanu un atbalstu uzņēmējdarbības veicināšana</w:t>
      </w:r>
      <w:r w:rsidRPr="00547E94">
        <w:rPr>
          <w:rFonts w:ascii="Times New Roman" w:hAnsi="Times New Roman" w:cs="Times New Roman"/>
          <w:sz w:val="24"/>
          <w:szCs w:val="24"/>
        </w:rPr>
        <w:t>i</w:t>
      </w:r>
      <w:r w:rsidRPr="00547E94">
        <w:rPr>
          <w:rFonts w:ascii="Times New Roman" w:eastAsia="Times New Roman" w:hAnsi="Times New Roman" w:cs="Times New Roman"/>
          <w:sz w:val="24"/>
          <w:szCs w:val="24"/>
        </w:rPr>
        <w:t>. Tiks izstrādāts reģionālās inovācijas sistēmas modelis vienā Latvijas pilotreģionā (Latgalē), sniegts atbalsts pašvaldību ārējā mārketinga pasākumiem un nacionālas un reģionālas nozīmes attīstības centriem</w:t>
      </w:r>
      <w:r w:rsidR="002C6A08">
        <w:rPr>
          <w:rFonts w:ascii="Times New Roman" w:eastAsia="Times New Roman" w:hAnsi="Times New Roman" w:cs="Times New Roman"/>
          <w:sz w:val="24"/>
          <w:szCs w:val="24"/>
        </w:rPr>
        <w:t>, lai izstrādātu</w:t>
      </w:r>
      <w:r w:rsidRPr="00547E94">
        <w:rPr>
          <w:rFonts w:ascii="Times New Roman" w:eastAsia="Times New Roman" w:hAnsi="Times New Roman" w:cs="Times New Roman"/>
          <w:sz w:val="24"/>
          <w:szCs w:val="24"/>
        </w:rPr>
        <w:t xml:space="preserve"> pašvaldību investīciju piedāvājumu investoriem, kā arī sagatavoti priekšlikumi reģionālās politikas pasākumu teritoriālai diferenciācijai, lai attīstītu uzņēmējdarbību attālākās un mazāk apdzīvotās teritorijās.</w:t>
      </w:r>
    </w:p>
    <w:p w:rsidR="00547E94" w:rsidRPr="00547E94" w:rsidRDefault="00547E94" w:rsidP="00547E94">
      <w:pPr>
        <w:pStyle w:val="Heading2"/>
        <w:numPr>
          <w:ilvl w:val="0"/>
          <w:numId w:val="39"/>
        </w:numPr>
        <w:ind w:left="284" w:hanging="284"/>
      </w:pPr>
      <w:bookmarkStart w:id="131" w:name="_Toc348948394"/>
      <w:r w:rsidRPr="00547E94">
        <w:t>Telpiskā plānošana</w:t>
      </w:r>
      <w:bookmarkEnd w:id="131"/>
    </w:p>
    <w:p w:rsidR="00547E94" w:rsidRPr="008E72D3" w:rsidRDefault="00547E94" w:rsidP="00547E94">
      <w:pPr>
        <w:pStyle w:val="Heading3"/>
        <w:rPr>
          <w:rFonts w:eastAsia="Times New Roman"/>
        </w:rPr>
      </w:pPr>
      <w:bookmarkStart w:id="132" w:name="_Toc348948395"/>
      <w:r w:rsidRPr="008E72D3">
        <w:rPr>
          <w:rFonts w:eastAsia="Times New Roman"/>
        </w:rPr>
        <w:t>2.1. Teritorijas attīstības plānošanas sistēmas iedzīvināšana</w:t>
      </w:r>
      <w:bookmarkEnd w:id="132"/>
    </w:p>
    <w:p w:rsidR="00547E94" w:rsidRPr="00547E94" w:rsidDel="00A9087E" w:rsidRDefault="00547E94" w:rsidP="00547E94">
      <w:pPr>
        <w:spacing w:after="0" w:line="240" w:lineRule="auto"/>
        <w:ind w:firstLine="720"/>
        <w:jc w:val="both"/>
        <w:rPr>
          <w:rFonts w:ascii="Times New Roman" w:hAnsi="Times New Roman" w:cs="Times New Roman"/>
          <w:sz w:val="24"/>
          <w:szCs w:val="24"/>
        </w:rPr>
      </w:pPr>
      <w:r w:rsidRPr="00547E94" w:rsidDel="00A9087E">
        <w:rPr>
          <w:rFonts w:ascii="Times New Roman" w:eastAsia="Times New Roman" w:hAnsi="Times New Roman" w:cs="Times New Roman"/>
          <w:sz w:val="24"/>
          <w:szCs w:val="24"/>
        </w:rPr>
        <w:t xml:space="preserve">Pieņemts jauns regulējums, kas ievieš elastīgāku teritorijas plānojumu izstrādes procesu un kārtību, </w:t>
      </w:r>
      <w:r w:rsidRPr="00547E94">
        <w:rPr>
          <w:rFonts w:ascii="Times New Roman" w:eastAsia="Times New Roman" w:hAnsi="Times New Roman" w:cs="Times New Roman"/>
          <w:sz w:val="24"/>
          <w:szCs w:val="24"/>
        </w:rPr>
        <w:t xml:space="preserve">līdzās citām nostādnēm </w:t>
      </w:r>
      <w:r w:rsidRPr="00547E94" w:rsidDel="00A9087E">
        <w:rPr>
          <w:rFonts w:ascii="Times New Roman" w:eastAsia="Times New Roman" w:hAnsi="Times New Roman" w:cs="Times New Roman"/>
          <w:sz w:val="24"/>
          <w:szCs w:val="24"/>
        </w:rPr>
        <w:t>ieviešot jaunu dokumenta veidu – lokālplānojumu.</w:t>
      </w:r>
      <w:r w:rsidRPr="00547E94">
        <w:rPr>
          <w:rFonts w:ascii="Times New Roman" w:eastAsia="Times New Roman" w:hAnsi="Times New Roman" w:cs="Times New Roman"/>
          <w:sz w:val="24"/>
          <w:szCs w:val="24"/>
        </w:rPr>
        <w:t xml:space="preserve"> Noteiktas pamatprasības ilgtermiņa attīstības plānošanas dokumentu saturam.</w:t>
      </w:r>
    </w:p>
    <w:p w:rsidR="00547E94" w:rsidRPr="00547E94" w:rsidRDefault="00547E94" w:rsidP="00547E94">
      <w:pPr>
        <w:spacing w:after="0" w:line="240" w:lineRule="auto"/>
        <w:ind w:firstLine="720"/>
        <w:jc w:val="both"/>
        <w:rPr>
          <w:rFonts w:ascii="Times New Roman" w:eastAsia="Times New Roman" w:hAnsi="Times New Roman" w:cs="Times New Roman"/>
          <w:sz w:val="24"/>
          <w:szCs w:val="24"/>
        </w:rPr>
      </w:pPr>
      <w:r w:rsidRPr="00547E94" w:rsidDel="00A9087E">
        <w:rPr>
          <w:rFonts w:ascii="Times New Roman" w:eastAsia="Times New Roman" w:hAnsi="Times New Roman" w:cs="Times New Roman"/>
          <w:sz w:val="24"/>
          <w:szCs w:val="24"/>
        </w:rPr>
        <w:t>Pieņemts regulējums jūras plānojuma izstrādes, ieviešanas un uzraudzības kārtībai, kas nosaka jūras plānojuma izstrādes, ieviešanas un uzraudzības kārtību, kā arī jūras plānojuma saturu, par pamatu izmantojot Baltijas jūras reģiona programmas 2007.</w:t>
      </w:r>
      <w:r w:rsidR="002C6A08">
        <w:rPr>
          <w:rFonts w:ascii="Times New Roman" w:eastAsia="Times New Roman" w:hAnsi="Times New Roman" w:cs="Times New Roman"/>
          <w:sz w:val="24"/>
          <w:szCs w:val="24"/>
        </w:rPr>
        <w:t>–</w:t>
      </w:r>
      <w:r w:rsidRPr="00547E94" w:rsidDel="00A9087E">
        <w:rPr>
          <w:rFonts w:ascii="Times New Roman" w:eastAsia="Times New Roman" w:hAnsi="Times New Roman" w:cs="Times New Roman"/>
          <w:sz w:val="24"/>
          <w:szCs w:val="24"/>
        </w:rPr>
        <w:t xml:space="preserve">2013.gadam projekta </w:t>
      </w:r>
      <w:r w:rsidR="00B167ED">
        <w:rPr>
          <w:rFonts w:ascii="Times New Roman" w:eastAsia="Times New Roman" w:hAnsi="Times New Roman" w:cs="Times New Roman"/>
          <w:sz w:val="24"/>
          <w:szCs w:val="24"/>
        </w:rPr>
        <w:t>"</w:t>
      </w:r>
      <w:r w:rsidRPr="00547E94" w:rsidDel="00A9087E">
        <w:rPr>
          <w:rFonts w:ascii="Times New Roman" w:eastAsia="Times New Roman" w:hAnsi="Times New Roman" w:cs="Times New Roman"/>
          <w:sz w:val="24"/>
          <w:szCs w:val="24"/>
        </w:rPr>
        <w:t>Jūras telpiskās plānošanas ieviešana Baltijas jūrā (BaltSeaPlan)</w:t>
      </w:r>
      <w:r w:rsidR="00B167ED">
        <w:rPr>
          <w:rFonts w:ascii="Times New Roman" w:eastAsia="Times New Roman" w:hAnsi="Times New Roman" w:cs="Times New Roman"/>
          <w:sz w:val="24"/>
          <w:szCs w:val="24"/>
        </w:rPr>
        <w:t>"</w:t>
      </w:r>
      <w:r w:rsidRPr="00547E94" w:rsidDel="00A9087E">
        <w:rPr>
          <w:rFonts w:ascii="Times New Roman" w:eastAsia="Times New Roman" w:hAnsi="Times New Roman" w:cs="Times New Roman"/>
          <w:sz w:val="24"/>
          <w:szCs w:val="24"/>
        </w:rPr>
        <w:t xml:space="preserve"> rezultātus un </w:t>
      </w:r>
      <w:r w:rsidR="002C6A08">
        <w:rPr>
          <w:rFonts w:ascii="Times New Roman" w:eastAsia="Times New Roman" w:hAnsi="Times New Roman" w:cs="Times New Roman"/>
          <w:sz w:val="24"/>
          <w:szCs w:val="24"/>
        </w:rPr>
        <w:t>i</w:t>
      </w:r>
      <w:r w:rsidRPr="00547E94" w:rsidDel="00A9087E">
        <w:rPr>
          <w:rFonts w:ascii="Times New Roman" w:eastAsia="Times New Roman" w:hAnsi="Times New Roman" w:cs="Times New Roman"/>
          <w:sz w:val="24"/>
          <w:szCs w:val="24"/>
        </w:rPr>
        <w:t>nformatīv</w:t>
      </w:r>
      <w:r w:rsidR="002C6A08">
        <w:rPr>
          <w:rFonts w:ascii="Times New Roman" w:eastAsia="Times New Roman" w:hAnsi="Times New Roman" w:cs="Times New Roman"/>
          <w:sz w:val="24"/>
          <w:szCs w:val="24"/>
        </w:rPr>
        <w:t>o</w:t>
      </w:r>
      <w:r w:rsidRPr="00547E94" w:rsidDel="00A9087E">
        <w:rPr>
          <w:rFonts w:ascii="Times New Roman" w:eastAsia="Times New Roman" w:hAnsi="Times New Roman" w:cs="Times New Roman"/>
          <w:sz w:val="24"/>
          <w:szCs w:val="24"/>
        </w:rPr>
        <w:t xml:space="preserve"> ziņojum</w:t>
      </w:r>
      <w:r w:rsidR="002C6A08">
        <w:rPr>
          <w:rFonts w:ascii="Times New Roman" w:eastAsia="Times New Roman" w:hAnsi="Times New Roman" w:cs="Times New Roman"/>
          <w:sz w:val="24"/>
          <w:szCs w:val="24"/>
        </w:rPr>
        <w:t>u</w:t>
      </w:r>
      <w:r w:rsidRPr="00547E94" w:rsidDel="00A9087E">
        <w:rPr>
          <w:rFonts w:ascii="Times New Roman" w:eastAsia="Times New Roman" w:hAnsi="Times New Roman" w:cs="Times New Roman"/>
          <w:sz w:val="24"/>
          <w:szCs w:val="24"/>
        </w:rPr>
        <w:t xml:space="preserve"> </w:t>
      </w:r>
      <w:r w:rsidR="00B167ED">
        <w:rPr>
          <w:rFonts w:ascii="Times New Roman" w:hAnsi="Times New Roman" w:cs="Times New Roman"/>
          <w:sz w:val="24"/>
          <w:szCs w:val="24"/>
        </w:rPr>
        <w:t>"</w:t>
      </w:r>
      <w:r w:rsidRPr="00547E94" w:rsidDel="00A9087E">
        <w:rPr>
          <w:rFonts w:ascii="Times New Roman" w:hAnsi="Times New Roman" w:cs="Times New Roman"/>
          <w:sz w:val="24"/>
          <w:szCs w:val="24"/>
        </w:rPr>
        <w:t>Par kompetenču sadalījumu starp institūcijām jūras telpiskajā plānošanā</w:t>
      </w:r>
      <w:r w:rsidR="00B167ED">
        <w:rPr>
          <w:rFonts w:ascii="Times New Roman" w:hAnsi="Times New Roman" w:cs="Times New Roman"/>
          <w:sz w:val="24"/>
          <w:szCs w:val="24"/>
        </w:rPr>
        <w:t>"</w:t>
      </w:r>
      <w:r w:rsidRPr="00547E94" w:rsidDel="00A9087E">
        <w:rPr>
          <w:rFonts w:ascii="Times New Roman" w:eastAsia="Times New Roman" w:hAnsi="Times New Roman" w:cs="Times New Roman"/>
          <w:sz w:val="24"/>
          <w:szCs w:val="24"/>
        </w:rPr>
        <w:t xml:space="preserve">. </w:t>
      </w:r>
    </w:p>
    <w:p w:rsidR="00010AD6" w:rsidRPr="00010AD6" w:rsidRDefault="00010AD6" w:rsidP="00010AD6">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rsidRPr="00010AD6">
        <w:rPr>
          <w:rFonts w:ascii="Times New Roman" w:eastAsia="Times New Roman" w:hAnsi="Times New Roman" w:cs="Times New Roman"/>
          <w:sz w:val="24"/>
          <w:szCs w:val="24"/>
        </w:rPr>
        <w:t>gadā</w:t>
      </w:r>
      <w:r w:rsidR="002C6A08">
        <w:rPr>
          <w:rFonts w:ascii="Times New Roman" w:eastAsia="Times New Roman" w:hAnsi="Times New Roman" w:cs="Times New Roman"/>
          <w:sz w:val="24"/>
          <w:szCs w:val="24"/>
        </w:rPr>
        <w:t xml:space="preserve">, </w:t>
      </w:r>
      <w:r w:rsidR="002C6A08" w:rsidRPr="00010AD6">
        <w:rPr>
          <w:rFonts w:ascii="Times New Roman" w:eastAsia="Times New Roman" w:hAnsi="Times New Roman" w:cs="Times New Roman"/>
          <w:sz w:val="24"/>
          <w:szCs w:val="24"/>
        </w:rPr>
        <w:t>izm</w:t>
      </w:r>
      <w:r w:rsidR="002C6A08">
        <w:rPr>
          <w:rFonts w:ascii="Times New Roman" w:eastAsia="Times New Roman" w:hAnsi="Times New Roman" w:cs="Times New Roman"/>
          <w:sz w:val="24"/>
          <w:szCs w:val="24"/>
        </w:rPr>
        <w:t>antojot EEZ finanšu instrumentu,</w:t>
      </w:r>
      <w:r w:rsidRPr="00010AD6">
        <w:rPr>
          <w:rFonts w:ascii="Times New Roman" w:eastAsia="Times New Roman" w:hAnsi="Times New Roman" w:cs="Times New Roman"/>
          <w:sz w:val="24"/>
          <w:szCs w:val="24"/>
        </w:rPr>
        <w:t xml:space="preserve"> tiks veikti sagatavošanās darbi </w:t>
      </w:r>
      <w:r w:rsidR="009D4262">
        <w:rPr>
          <w:rFonts w:ascii="Times New Roman" w:eastAsia="Times New Roman" w:hAnsi="Times New Roman" w:cs="Times New Roman"/>
          <w:sz w:val="24"/>
          <w:szCs w:val="24"/>
        </w:rPr>
        <w:t>j</w:t>
      </w:r>
      <w:r w:rsidRPr="00010AD6">
        <w:rPr>
          <w:rFonts w:ascii="Times New Roman" w:eastAsia="Times New Roman" w:hAnsi="Times New Roman" w:cs="Times New Roman"/>
          <w:sz w:val="24"/>
          <w:szCs w:val="24"/>
        </w:rPr>
        <w:t>ūras plānojuma izstrādei, sagatavojot darba uzdevumu un uzsākot priekšizpētes projektus. Jūras plānojums ir nacionālā līmeņa ilgtermiņa teritorijas attīstības plānošanas dokuments, kas nosaka jūras izmantošanu, ņemot vērā funkcionāli ar jūru saistīto sauszemes daļu</w:t>
      </w:r>
      <w:r w:rsidR="002C6A08">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un tas ir izstrādājams visai Latvijas Republikas jurisdikcijā esošajai jūras telpai. Izstrādi paredzēts </w:t>
      </w:r>
      <w:r w:rsidR="002C6A08">
        <w:rPr>
          <w:rFonts w:ascii="Times New Roman" w:eastAsia="Times New Roman" w:hAnsi="Times New Roman" w:cs="Times New Roman"/>
          <w:sz w:val="24"/>
          <w:szCs w:val="24"/>
        </w:rPr>
        <w:t xml:space="preserve">sākt </w:t>
      </w:r>
      <w:r w:rsidRPr="00010AD6">
        <w:rPr>
          <w:rFonts w:ascii="Times New Roman" w:eastAsia="Times New Roman" w:hAnsi="Times New Roman" w:cs="Times New Roman"/>
          <w:sz w:val="24"/>
          <w:szCs w:val="24"/>
        </w:rPr>
        <w:t>ne vēlāk kā 2014.gada sākumā.</w:t>
      </w:r>
    </w:p>
    <w:p w:rsidR="00547E94" w:rsidRPr="00547E94" w:rsidRDefault="00547E94" w:rsidP="00547E94">
      <w:pPr>
        <w:spacing w:after="0" w:line="240" w:lineRule="auto"/>
        <w:ind w:firstLine="709"/>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Piekrastes telpiskās attīstības pamatnostādņu 2011.</w:t>
      </w:r>
      <w:r w:rsidR="007E5177">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 xml:space="preserve">2017.gadam rīcības plāna izpildes ietvaros apzināta un apkopota informācija par nepieciešamajām investīcijām piekrastes publiskās infrastruktūras attīstībai 17 </w:t>
      </w:r>
      <w:r w:rsidR="007E5177">
        <w:rPr>
          <w:rFonts w:ascii="Times New Roman" w:eastAsia="Times New Roman" w:hAnsi="Times New Roman" w:cs="Times New Roman"/>
          <w:sz w:val="24"/>
          <w:szCs w:val="24"/>
        </w:rPr>
        <w:t>piekrastes vietējās pašvaldībās,</w:t>
      </w:r>
      <w:r w:rsidRPr="00547E94">
        <w:rPr>
          <w:rFonts w:ascii="Times New Roman" w:eastAsia="Times New Roman" w:hAnsi="Times New Roman" w:cs="Times New Roman"/>
          <w:sz w:val="24"/>
          <w:szCs w:val="24"/>
        </w:rPr>
        <w:t xml:space="preserve"> sagatavota nepieciešamā dokumentācija finansējuma piesaistei no EEZ un Norvēģijas valdības divpusējā finanšu instrumenta programmas, lai nodrošinātu nacionāla līmeņa ilgtermiņa tematiskā plānojuma par piekrastes infrastruktūru izstrādi. Izstrādāta jūras un sauszemes integrētas plānošanas metodika, sagatavoti divi dabas aizsardzības plāni īpaši aizsargājamām dabas teritorijām piekrastē, veiktas pilotaktivitātes trīs piekrastes pašvaldībā</w:t>
      </w:r>
      <w:r w:rsidR="009D4262">
        <w:rPr>
          <w:rFonts w:ascii="Times New Roman" w:eastAsia="Times New Roman" w:hAnsi="Times New Roman" w:cs="Times New Roman"/>
          <w:sz w:val="24"/>
          <w:szCs w:val="24"/>
        </w:rPr>
        <w:t>s</w:t>
      </w:r>
      <w:r w:rsidRPr="00547E94">
        <w:rPr>
          <w:rFonts w:ascii="Times New Roman" w:eastAsia="Times New Roman" w:hAnsi="Times New Roman" w:cs="Times New Roman"/>
          <w:sz w:val="24"/>
          <w:szCs w:val="24"/>
        </w:rPr>
        <w:t>, kā arī citi pasākumi.</w:t>
      </w:r>
    </w:p>
    <w:p w:rsidR="00547E94" w:rsidRPr="00547E94" w:rsidRDefault="00547E94" w:rsidP="00547E94">
      <w:pPr>
        <w:spacing w:after="0" w:line="240" w:lineRule="auto"/>
        <w:ind w:firstLine="709"/>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Lai nodrošinātu pamatu koordinētai un efektīvai investīciju piesaistei publiskās infrastruktūras izveidošanai piekrastē, 2013.gadā tiks uzsākta nacionāla līmeņa ilgtermiņa piekrastes infrastruktūras tematiskā plānojuma izstrāde, ievērojot dabas un vides aizsardzības interešu un sabiedrības attīstības vajadzību līdzsvaru.</w:t>
      </w:r>
    </w:p>
    <w:p w:rsidR="00547E94" w:rsidRPr="00547E94" w:rsidRDefault="00547E94" w:rsidP="00547E94">
      <w:pPr>
        <w:spacing w:after="0" w:line="240" w:lineRule="auto"/>
        <w:ind w:firstLine="709"/>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 xml:space="preserve">Lai sniegtu informatīvu atbalstu piekrastes pašvaldībām un nekustamā īpašuma īpašniekiem, </w:t>
      </w:r>
      <w:r w:rsidR="009D4262" w:rsidRPr="00547E94">
        <w:rPr>
          <w:rFonts w:ascii="Times New Roman" w:eastAsia="Times New Roman" w:hAnsi="Times New Roman" w:cs="Times New Roman"/>
          <w:sz w:val="24"/>
          <w:szCs w:val="24"/>
        </w:rPr>
        <w:t xml:space="preserve">projekta </w:t>
      </w:r>
      <w:r w:rsidR="009D4262">
        <w:rPr>
          <w:rFonts w:ascii="Times New Roman" w:eastAsia="Times New Roman" w:hAnsi="Times New Roman" w:cs="Times New Roman"/>
          <w:sz w:val="24"/>
          <w:szCs w:val="24"/>
        </w:rPr>
        <w:t>"</w:t>
      </w:r>
      <w:r w:rsidR="009D4262" w:rsidRPr="00547E94">
        <w:rPr>
          <w:rFonts w:ascii="Times New Roman" w:eastAsia="Times New Roman" w:hAnsi="Times New Roman" w:cs="Times New Roman"/>
          <w:sz w:val="24"/>
          <w:szCs w:val="24"/>
        </w:rPr>
        <w:t>Piekrastes un jūras telpiskā plānošana Pērnavas līča teritorijā Igaunijā un Latvijas piekrastes pašvaldībās</w:t>
      </w:r>
      <w:r w:rsidR="009D4262">
        <w:rPr>
          <w:rFonts w:ascii="Times New Roman" w:eastAsia="Times New Roman" w:hAnsi="Times New Roman" w:cs="Times New Roman"/>
          <w:sz w:val="24"/>
          <w:szCs w:val="24"/>
        </w:rPr>
        <w:t>"</w:t>
      </w:r>
      <w:r w:rsidR="009D4262" w:rsidRPr="00547E94">
        <w:rPr>
          <w:rFonts w:ascii="Times New Roman" w:eastAsia="Times New Roman" w:hAnsi="Times New Roman" w:cs="Times New Roman"/>
          <w:sz w:val="24"/>
          <w:szCs w:val="24"/>
        </w:rPr>
        <w:t xml:space="preserve"> ietvaros </w:t>
      </w:r>
      <w:r w:rsidRPr="00547E94">
        <w:rPr>
          <w:rFonts w:ascii="Times New Roman" w:eastAsia="Times New Roman" w:hAnsi="Times New Roman" w:cs="Times New Roman"/>
          <w:sz w:val="24"/>
          <w:szCs w:val="24"/>
        </w:rPr>
        <w:t xml:space="preserve">tiks uzsākta vadlīniju </w:t>
      </w:r>
      <w:r w:rsidR="009D4262">
        <w:rPr>
          <w:rFonts w:ascii="Times New Roman" w:eastAsia="Times New Roman" w:hAnsi="Times New Roman" w:cs="Times New Roman"/>
          <w:sz w:val="24"/>
          <w:szCs w:val="24"/>
        </w:rPr>
        <w:t xml:space="preserve">izstrāde </w:t>
      </w:r>
      <w:r w:rsidRPr="00547E94">
        <w:rPr>
          <w:rFonts w:ascii="Times New Roman" w:eastAsia="Times New Roman" w:hAnsi="Times New Roman" w:cs="Times New Roman"/>
          <w:sz w:val="24"/>
          <w:szCs w:val="24"/>
        </w:rPr>
        <w:t xml:space="preserve">par </w:t>
      </w:r>
      <w:r w:rsidR="007E5177">
        <w:rPr>
          <w:rFonts w:ascii="Times New Roman" w:eastAsia="Times New Roman" w:hAnsi="Times New Roman" w:cs="Times New Roman"/>
          <w:sz w:val="24"/>
          <w:szCs w:val="24"/>
        </w:rPr>
        <w:t>krasta erozijas seku mazināšanu</w:t>
      </w:r>
      <w:r w:rsidRPr="00547E94">
        <w:rPr>
          <w:rFonts w:ascii="Times New Roman" w:eastAsia="Times New Roman" w:hAnsi="Times New Roman" w:cs="Times New Roman"/>
          <w:sz w:val="24"/>
          <w:szCs w:val="24"/>
        </w:rPr>
        <w:t xml:space="preserve"> un metodikas </w:t>
      </w:r>
      <w:r w:rsidR="009D4262">
        <w:rPr>
          <w:rFonts w:ascii="Times New Roman" w:eastAsia="Times New Roman" w:hAnsi="Times New Roman" w:cs="Times New Roman"/>
          <w:sz w:val="24"/>
          <w:szCs w:val="24"/>
        </w:rPr>
        <w:t xml:space="preserve">izstrāde </w:t>
      </w:r>
      <w:r w:rsidRPr="00547E94">
        <w:rPr>
          <w:rFonts w:ascii="Times New Roman" w:eastAsia="Times New Roman" w:hAnsi="Times New Roman" w:cs="Times New Roman"/>
          <w:sz w:val="24"/>
          <w:szCs w:val="24"/>
        </w:rPr>
        <w:t>par jūras un sauszemes integrētu plāno</w:t>
      </w:r>
      <w:r w:rsidR="009D4262">
        <w:rPr>
          <w:rFonts w:ascii="Times New Roman" w:eastAsia="Times New Roman" w:hAnsi="Times New Roman" w:cs="Times New Roman"/>
          <w:sz w:val="24"/>
          <w:szCs w:val="24"/>
        </w:rPr>
        <w:t>šanu</w:t>
      </w:r>
      <w:r w:rsidRPr="00547E94">
        <w:rPr>
          <w:rFonts w:ascii="Times New Roman" w:eastAsia="Times New Roman" w:hAnsi="Times New Roman" w:cs="Times New Roman"/>
          <w:sz w:val="24"/>
          <w:szCs w:val="24"/>
        </w:rPr>
        <w:t>.</w:t>
      </w:r>
    </w:p>
    <w:p w:rsidR="00547E94" w:rsidRPr="008E72D3" w:rsidDel="00A9087E" w:rsidRDefault="00547E94" w:rsidP="00547E94">
      <w:pPr>
        <w:pStyle w:val="Heading3"/>
        <w:rPr>
          <w:rFonts w:eastAsia="Times New Roman"/>
        </w:rPr>
      </w:pPr>
      <w:bookmarkStart w:id="133" w:name="_Toc348948396"/>
      <w:r w:rsidRPr="008E72D3">
        <w:rPr>
          <w:rFonts w:eastAsia="Times New Roman"/>
        </w:rPr>
        <w:lastRenderedPageBreak/>
        <w:t>2.2. Zemes pārvaldības regulējuma noteikšana un pilnveidošana</w:t>
      </w:r>
      <w:bookmarkEnd w:id="133"/>
    </w:p>
    <w:p w:rsidR="00547E94" w:rsidRPr="00547E94" w:rsidRDefault="00547E94" w:rsidP="00547E94">
      <w:pPr>
        <w:spacing w:after="0" w:line="240" w:lineRule="auto"/>
        <w:ind w:firstLine="709"/>
        <w:jc w:val="both"/>
        <w:rPr>
          <w:rFonts w:ascii="Times New Roman" w:eastAsia="Times New Roman" w:hAnsi="Times New Roman" w:cs="Times New Roman"/>
          <w:bCs/>
          <w:sz w:val="24"/>
          <w:szCs w:val="24"/>
        </w:rPr>
      </w:pPr>
      <w:r w:rsidRPr="00547E94">
        <w:rPr>
          <w:rFonts w:ascii="Times New Roman" w:eastAsia="Times New Roman" w:hAnsi="Times New Roman" w:cs="Times New Roman"/>
          <w:bCs/>
          <w:sz w:val="24"/>
          <w:szCs w:val="24"/>
        </w:rPr>
        <w:t>Lai nodrošinātu virzību uz zemes resursu ilgtspējīgu izmantošanu</w:t>
      </w:r>
      <w:r w:rsidR="007E5177">
        <w:rPr>
          <w:rFonts w:ascii="Times New Roman" w:eastAsia="Times New Roman" w:hAnsi="Times New Roman" w:cs="Times New Roman"/>
          <w:bCs/>
          <w:sz w:val="24"/>
          <w:szCs w:val="24"/>
        </w:rPr>
        <w:t>,</w:t>
      </w:r>
      <w:r w:rsidRPr="00547E94">
        <w:rPr>
          <w:rFonts w:ascii="Times New Roman" w:eastAsia="Times New Roman" w:hAnsi="Times New Roman" w:cs="Times New Roman"/>
          <w:bCs/>
          <w:sz w:val="24"/>
          <w:szCs w:val="24"/>
        </w:rPr>
        <w:t xml:space="preserve"> izstrādāts Zemes pārvaldības likumprojekts, kas nodrošinās normatīvā regulējuma pēctecību zemes izmantošanā pēc zemes reformas pabeigšanas, kā arī nodrošinās tiesiskus risinājumus zemes reformas laikā radušos problēmu novēršanai. Lai ietaupītu valsts un pašvaldību budžeta līdzekļus, likumā noteikta atvieglota kārtība publisko zemju, tai skaitā jūras piekrastes un publisko ūdeņu zemju, īpašuma tiesību sakārtošanai, kas dos iespēju piesaistīt ES līdzekļus infrastruktūras attīstībai, kā arī paredz</w:t>
      </w:r>
      <w:r w:rsidR="007E5177">
        <w:rPr>
          <w:rFonts w:ascii="Times New Roman" w:eastAsia="Times New Roman" w:hAnsi="Times New Roman" w:cs="Times New Roman"/>
          <w:bCs/>
          <w:sz w:val="24"/>
          <w:szCs w:val="24"/>
        </w:rPr>
        <w:t>ēts</w:t>
      </w:r>
      <w:r w:rsidRPr="00547E94">
        <w:rPr>
          <w:rFonts w:ascii="Times New Roman" w:eastAsia="Times New Roman" w:hAnsi="Times New Roman" w:cs="Times New Roman"/>
          <w:bCs/>
          <w:sz w:val="24"/>
          <w:szCs w:val="24"/>
        </w:rPr>
        <w:t xml:space="preserve"> regulējum</w:t>
      </w:r>
      <w:r w:rsidR="007E5177">
        <w:rPr>
          <w:rFonts w:ascii="Times New Roman" w:eastAsia="Times New Roman" w:hAnsi="Times New Roman" w:cs="Times New Roman"/>
          <w:bCs/>
          <w:sz w:val="24"/>
          <w:szCs w:val="24"/>
        </w:rPr>
        <w:t>s</w:t>
      </w:r>
      <w:r w:rsidRPr="00547E94">
        <w:rPr>
          <w:rFonts w:ascii="Times New Roman" w:eastAsia="Times New Roman" w:hAnsi="Times New Roman" w:cs="Times New Roman"/>
          <w:bCs/>
          <w:sz w:val="24"/>
          <w:szCs w:val="24"/>
        </w:rPr>
        <w:t xml:space="preserve"> zemes fonda izveidei. </w:t>
      </w:r>
    </w:p>
    <w:p w:rsidR="00547E94" w:rsidRPr="008E72D3" w:rsidRDefault="00547E94" w:rsidP="00547E94">
      <w:pPr>
        <w:pStyle w:val="Heading3"/>
        <w:rPr>
          <w:rFonts w:eastAsia="Times New Roman"/>
        </w:rPr>
      </w:pPr>
      <w:bookmarkStart w:id="134" w:name="_Toc348948397"/>
      <w:r w:rsidRPr="008E72D3">
        <w:rPr>
          <w:rFonts w:eastAsia="Times New Roman"/>
        </w:rPr>
        <w:t>2.3. Atbalsts zemes politikas pārvaldībai un teritoriju plānošanai pašvaldībās</w:t>
      </w:r>
      <w:bookmarkEnd w:id="134"/>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Uzsākts darbs pie Teritorijas attīstības plānošanas informācijas sistēmas (TAPIS) izstrādes, </w:t>
      </w:r>
      <w:r w:rsidR="001A6ABB">
        <w:rPr>
          <w:rFonts w:ascii="Times New Roman" w:eastAsia="Times New Roman" w:hAnsi="Times New Roman" w:cs="Times New Roman"/>
          <w:sz w:val="24"/>
          <w:szCs w:val="24"/>
        </w:rPr>
        <w:t>lai</w:t>
      </w:r>
      <w:r w:rsidRPr="00010AD6">
        <w:rPr>
          <w:rFonts w:ascii="Times New Roman" w:eastAsia="Times New Roman" w:hAnsi="Times New Roman" w:cs="Times New Roman"/>
          <w:sz w:val="24"/>
          <w:szCs w:val="24"/>
        </w:rPr>
        <w:t xml:space="preserve"> izveidot</w:t>
      </w:r>
      <w:r w:rsidR="001A6ABB">
        <w:rPr>
          <w:rFonts w:ascii="Times New Roman" w:eastAsia="Times New Roman" w:hAnsi="Times New Roman" w:cs="Times New Roman"/>
          <w:sz w:val="24"/>
          <w:szCs w:val="24"/>
        </w:rPr>
        <w:t>u tādu</w:t>
      </w:r>
      <w:r w:rsidRPr="00010AD6">
        <w:rPr>
          <w:rFonts w:ascii="Times New Roman" w:eastAsia="Times New Roman" w:hAnsi="Times New Roman" w:cs="Times New Roman"/>
          <w:sz w:val="24"/>
          <w:szCs w:val="24"/>
        </w:rPr>
        <w:t xml:space="preserve"> valsts informācijas sistēmu, kas nodrošinās atbalstu zemes politikas pārvaldībai un teritoriju plānošanai pašvaldībās, reģionos un nacionālā līmenī.</w:t>
      </w:r>
      <w:r w:rsidR="001A6ABB">
        <w:rPr>
          <w:rFonts w:ascii="Times New Roman" w:eastAsia="Times New Roman" w:hAnsi="Times New Roman" w:cs="Times New Roman"/>
          <w:sz w:val="24"/>
          <w:szCs w:val="24"/>
        </w:rPr>
        <w:t xml:space="preserve"> Atšķirībā no esošās situācijas</w:t>
      </w:r>
      <w:r w:rsidRPr="00010AD6">
        <w:rPr>
          <w:rFonts w:ascii="Times New Roman" w:eastAsia="Times New Roman" w:hAnsi="Times New Roman" w:cs="Times New Roman"/>
          <w:sz w:val="24"/>
          <w:szCs w:val="24"/>
        </w:rPr>
        <w:t xml:space="preserve"> līdz ar TAPIS darba vides radīšanu tiks ieviesta vienota datu standartizācija, kas</w:t>
      </w:r>
      <w:r w:rsidRPr="00010AD6">
        <w:rPr>
          <w:rFonts w:ascii="Times New Roman" w:hAnsi="Times New Roman" w:cs="Times New Roman"/>
          <w:sz w:val="24"/>
          <w:szCs w:val="24"/>
        </w:rPr>
        <w:t xml:space="preserve"> savukārt</w:t>
      </w:r>
      <w:r w:rsidRPr="00010AD6">
        <w:rPr>
          <w:rFonts w:ascii="Times New Roman" w:eastAsia="Times New Roman" w:hAnsi="Times New Roman" w:cs="Times New Roman"/>
          <w:sz w:val="24"/>
          <w:szCs w:val="24"/>
        </w:rPr>
        <w:t xml:space="preserve"> nodrošinās iespēju iegūt informāciju, dažādos griezumos analizējot teritorijas attīstību. Pašvaldības teritorijas plānojumiem paredzēts nodrošināt teksta un grafisko daļu datu uzturēšanu, datu apkopošanu no valsts informācijas sistēmām, teritorijas attīstības plānošanas procesu atbalstu, dokumentu uzturēšanu un publicēšanu, publisko apspriešanu, elektroniskos pakalpojumus, kā arī nodrošinās tās pašvaldību, reģionu un valsts pārvaldes funkcijas, kuru izpildei nepieciešama ģeotelpiskā informācija.</w:t>
      </w:r>
    </w:p>
    <w:p w:rsidR="00010AD6" w:rsidRPr="00010AD6" w:rsidRDefault="001A6ABB" w:rsidP="00010AD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Ieviešot </w:t>
      </w:r>
      <w:r w:rsidR="00010AD6" w:rsidRPr="00010AD6">
        <w:rPr>
          <w:rFonts w:ascii="Times New Roman" w:eastAsia="Times New Roman" w:hAnsi="Times New Roman" w:cs="Times New Roman"/>
          <w:sz w:val="24"/>
          <w:szCs w:val="24"/>
        </w:rPr>
        <w:t>TAPIS</w:t>
      </w:r>
      <w:r>
        <w:rPr>
          <w:rFonts w:ascii="Times New Roman" w:eastAsia="Times New Roman" w:hAnsi="Times New Roman" w:cs="Times New Roman"/>
          <w:sz w:val="24"/>
          <w:szCs w:val="24"/>
        </w:rPr>
        <w:t>,</w:t>
      </w:r>
      <w:r w:rsidR="00010AD6" w:rsidRPr="00010AD6">
        <w:rPr>
          <w:rFonts w:ascii="Times New Roman" w:eastAsia="Times New Roman" w:hAnsi="Times New Roman" w:cs="Times New Roman"/>
          <w:sz w:val="24"/>
          <w:szCs w:val="24"/>
        </w:rPr>
        <w:t xml:space="preserve"> būs iespēja ērti meklēt un saņemt nepieciešamo ģeotelpisko informāciju, iesniegt priekšlikumus un piedalīties publiskajās apspriešanās elektroniski. Saskaņā ar TAPIS izstrādes projekta laika grafiku, izmēģināj</w:t>
      </w:r>
      <w:r>
        <w:rPr>
          <w:rFonts w:ascii="Times New Roman" w:eastAsia="Times New Roman" w:hAnsi="Times New Roman" w:cs="Times New Roman"/>
          <w:sz w:val="24"/>
          <w:szCs w:val="24"/>
        </w:rPr>
        <w:t>uma ekspluatācija jāuzsāk 2013.</w:t>
      </w:r>
      <w:r w:rsidR="00010AD6" w:rsidRPr="00010AD6">
        <w:rPr>
          <w:rFonts w:ascii="Times New Roman" w:eastAsia="Times New Roman" w:hAnsi="Times New Roman" w:cs="Times New Roman"/>
          <w:sz w:val="24"/>
          <w:szCs w:val="24"/>
        </w:rPr>
        <w:t>gada marta beigās, bet gada vidū sistēmai jābūt gatavai lietošanai.</w:t>
      </w:r>
    </w:p>
    <w:p w:rsidR="00481904" w:rsidRDefault="00481904" w:rsidP="00481904">
      <w:pPr>
        <w:pStyle w:val="Heading2"/>
        <w:spacing w:before="0"/>
      </w:pPr>
    </w:p>
    <w:p w:rsidR="00547E94" w:rsidRPr="008E72D3" w:rsidRDefault="00547E94" w:rsidP="00481904">
      <w:pPr>
        <w:pStyle w:val="Heading2"/>
        <w:spacing w:before="0"/>
      </w:pPr>
      <w:bookmarkStart w:id="135" w:name="_Toc348948398"/>
      <w:r>
        <w:t>3.</w:t>
      </w:r>
      <w:r w:rsidR="001A6ABB">
        <w:t xml:space="preserve"> </w:t>
      </w:r>
      <w:r w:rsidRPr="008E72D3">
        <w:t xml:space="preserve">Pašvaldību darbības </w:t>
      </w:r>
      <w:r w:rsidRPr="00547E94">
        <w:t>pilnveidošana</w:t>
      </w:r>
      <w:bookmarkEnd w:id="135"/>
    </w:p>
    <w:p w:rsidR="00547E94" w:rsidRPr="008E72D3" w:rsidRDefault="00547E94" w:rsidP="00481904">
      <w:pPr>
        <w:spacing w:after="0" w:line="240" w:lineRule="auto"/>
        <w:ind w:firstLine="720"/>
        <w:jc w:val="both"/>
        <w:rPr>
          <w:rFonts w:ascii="Times New Roman" w:eastAsia="Times New Roman" w:hAnsi="Times New Roman" w:cs="Times New Roman"/>
          <w:color w:val="0000CC"/>
          <w:sz w:val="24"/>
          <w:szCs w:val="24"/>
        </w:rPr>
      </w:pPr>
    </w:p>
    <w:p w:rsidR="00010AD6" w:rsidRPr="00010AD6" w:rsidRDefault="00010AD6" w:rsidP="00010AD6">
      <w:pPr>
        <w:autoSpaceDE w:val="0"/>
        <w:autoSpaceDN w:val="0"/>
        <w:adjustRightInd w:val="0"/>
        <w:spacing w:after="0" w:line="240" w:lineRule="auto"/>
        <w:ind w:firstLine="720"/>
        <w:jc w:val="both"/>
        <w:rPr>
          <w:rFonts w:ascii="TimesNewRomanPSMT" w:hAnsi="TimesNewRomanPSMT" w:cs="TimesNewRomanPSMT"/>
          <w:sz w:val="24"/>
          <w:szCs w:val="24"/>
        </w:rPr>
      </w:pPr>
      <w:r w:rsidRPr="00010AD6">
        <w:rPr>
          <w:rFonts w:ascii="TimesNewRomanPSMT" w:hAnsi="TimesNewRomanPSMT" w:cs="TimesNewRomanPSMT"/>
          <w:sz w:val="24"/>
          <w:szCs w:val="24"/>
        </w:rPr>
        <w:t xml:space="preserve">Viens no būtiskākajiem VARAM uzdevumiem pagājušajā gadā bija sagatavot normatīvos aktus, </w:t>
      </w:r>
      <w:r w:rsidR="00B17161">
        <w:rPr>
          <w:rFonts w:ascii="TimesNewRomanPSMT" w:hAnsi="TimesNewRomanPSMT" w:cs="TimesNewRomanPSMT"/>
          <w:sz w:val="24"/>
          <w:szCs w:val="24"/>
        </w:rPr>
        <w:t>lai nodrošinātu</w:t>
      </w:r>
      <w:r w:rsidR="009D4262">
        <w:rPr>
          <w:rFonts w:ascii="TimesNewRomanPSMT" w:hAnsi="TimesNewRomanPSMT" w:cs="TimesNewRomanPSMT"/>
          <w:sz w:val="24"/>
          <w:szCs w:val="24"/>
        </w:rPr>
        <w:t xml:space="preserve"> pašvaldību</w:t>
      </w:r>
      <w:r w:rsidR="00B17161">
        <w:rPr>
          <w:rFonts w:ascii="TimesNewRomanPSMT" w:hAnsi="TimesNewRomanPSMT" w:cs="TimesNewRomanPSMT"/>
          <w:sz w:val="24"/>
          <w:szCs w:val="24"/>
        </w:rPr>
        <w:t xml:space="preserve"> godīgāk</w:t>
      </w:r>
      <w:r w:rsidR="009D4262">
        <w:rPr>
          <w:rFonts w:ascii="TimesNewRomanPSMT" w:hAnsi="TimesNewRomanPSMT" w:cs="TimesNewRomanPSMT"/>
          <w:sz w:val="24"/>
          <w:szCs w:val="24"/>
        </w:rPr>
        <w:t>u</w:t>
      </w:r>
      <w:r w:rsidRPr="00010AD6">
        <w:rPr>
          <w:rFonts w:ascii="TimesNewRomanPSMT" w:hAnsi="TimesNewRomanPSMT" w:cs="TimesNewRomanPSMT"/>
          <w:sz w:val="24"/>
          <w:szCs w:val="24"/>
        </w:rPr>
        <w:t xml:space="preserve"> un atbildīgāk</w:t>
      </w:r>
      <w:r w:rsidR="009D4262">
        <w:rPr>
          <w:rFonts w:ascii="TimesNewRomanPSMT" w:hAnsi="TimesNewRomanPSMT" w:cs="TimesNewRomanPSMT"/>
          <w:sz w:val="24"/>
          <w:szCs w:val="24"/>
        </w:rPr>
        <w:t>u</w:t>
      </w:r>
      <w:r w:rsidRPr="00010AD6">
        <w:rPr>
          <w:rFonts w:ascii="TimesNewRomanPSMT" w:hAnsi="TimesNewRomanPSMT" w:cs="TimesNewRomanPSMT"/>
          <w:sz w:val="24"/>
          <w:szCs w:val="24"/>
        </w:rPr>
        <w:t xml:space="preserve"> pārvald</w:t>
      </w:r>
      <w:r w:rsidR="009D4262">
        <w:rPr>
          <w:rFonts w:ascii="TimesNewRomanPSMT" w:hAnsi="TimesNewRomanPSMT" w:cs="TimesNewRomanPSMT"/>
          <w:sz w:val="24"/>
          <w:szCs w:val="24"/>
        </w:rPr>
        <w:t>ību</w:t>
      </w:r>
      <w:r w:rsidRPr="00010AD6">
        <w:rPr>
          <w:rFonts w:ascii="TimesNewRomanPSMT" w:hAnsi="TimesNewRomanPSMT" w:cs="TimesNewRomanPSMT"/>
          <w:sz w:val="24"/>
          <w:szCs w:val="24"/>
        </w:rPr>
        <w:t xml:space="preserve"> – lēmējvaras nodalīšana no izpildvaras</w:t>
      </w:r>
      <w:r w:rsidR="001A6ABB">
        <w:rPr>
          <w:rFonts w:ascii="TimesNewRomanPSMT" w:hAnsi="TimesNewRomanPSMT" w:cs="TimesNewRomanPSMT"/>
          <w:sz w:val="24"/>
          <w:szCs w:val="24"/>
        </w:rPr>
        <w:t>,</w:t>
      </w:r>
      <w:r w:rsidRPr="00010AD6">
        <w:rPr>
          <w:rFonts w:ascii="TimesNewRomanPSMT" w:hAnsi="TimesNewRomanPSMT" w:cs="TimesNewRomanPSMT"/>
          <w:sz w:val="24"/>
          <w:szCs w:val="24"/>
        </w:rPr>
        <w:t xml:space="preserve"> interešu konflikta mazināšana un deputātu skaita samazināšana.</w:t>
      </w:r>
    </w:p>
    <w:p w:rsidR="00010AD6" w:rsidRPr="00010AD6" w:rsidRDefault="00010AD6" w:rsidP="00010AD6">
      <w:pPr>
        <w:autoSpaceDE w:val="0"/>
        <w:autoSpaceDN w:val="0"/>
        <w:adjustRightInd w:val="0"/>
        <w:spacing w:after="0" w:line="240" w:lineRule="auto"/>
        <w:ind w:firstLine="720"/>
        <w:jc w:val="both"/>
        <w:rPr>
          <w:rFonts w:ascii="TimesNewRomanPSMT" w:hAnsi="TimesNewRomanPSMT" w:cs="TimesNewRomanPSMT"/>
          <w:sz w:val="24"/>
          <w:szCs w:val="24"/>
        </w:rPr>
      </w:pPr>
      <w:r w:rsidRPr="00010AD6">
        <w:rPr>
          <w:rFonts w:ascii="Times New Roman" w:eastAsia="Times New Roman" w:hAnsi="Times New Roman" w:cs="Times New Roman"/>
          <w:sz w:val="24"/>
          <w:szCs w:val="24"/>
        </w:rPr>
        <w:t>Lai nodrošinātu vietējās pašvaldības iedzīvotājiem iespēju piedalīties vietēj</w:t>
      </w:r>
      <w:r w:rsidR="001A6ABB">
        <w:rPr>
          <w:rFonts w:ascii="Times New Roman" w:eastAsia="Times New Roman" w:hAnsi="Times New Roman" w:cs="Times New Roman"/>
          <w:sz w:val="24"/>
          <w:szCs w:val="24"/>
        </w:rPr>
        <w:t>ā</w:t>
      </w:r>
      <w:r w:rsidRPr="00010AD6">
        <w:rPr>
          <w:rFonts w:ascii="Times New Roman" w:eastAsia="Times New Roman" w:hAnsi="Times New Roman" w:cs="Times New Roman"/>
          <w:sz w:val="24"/>
          <w:szCs w:val="24"/>
        </w:rPr>
        <w:t xml:space="preserve">s nozīmes jautājumu lemšanā, veicinātu pašvaldības iedzīvotāju iespējas ietekmēt pašvaldības domes darbību vietējo iedzīvotāju interesēs, kā arī piešķirtu pašvaldības iedzīvotājiem tiesības atlaist pašvaldības domi, izstrādāts </w:t>
      </w:r>
      <w:r w:rsidRPr="00010AD6">
        <w:rPr>
          <w:rFonts w:ascii="TimesNewRomanPSMT" w:hAnsi="TimesNewRomanPSMT" w:cs="TimesNewRomanPSMT"/>
          <w:sz w:val="24"/>
          <w:szCs w:val="24"/>
        </w:rPr>
        <w:t xml:space="preserve">un </w:t>
      </w:r>
      <w:r w:rsidR="00481904">
        <w:rPr>
          <w:rFonts w:ascii="TimesNewRomanPSMT" w:hAnsi="TimesNewRomanPSMT" w:cs="TimesNewRomanPSMT"/>
          <w:sz w:val="24"/>
          <w:szCs w:val="24"/>
        </w:rPr>
        <w:t>MK</w:t>
      </w:r>
      <w:r w:rsidRPr="00010AD6">
        <w:rPr>
          <w:rFonts w:ascii="TimesNewRomanPSMT" w:hAnsi="TimesNewRomanPSMT" w:cs="TimesNewRomanPSMT"/>
          <w:sz w:val="24"/>
          <w:szCs w:val="24"/>
        </w:rPr>
        <w:t xml:space="preserve"> 2013.gada 15.janvāra sēdē atbalstīts likumprojekts </w:t>
      </w:r>
      <w:r w:rsidR="00B167ED">
        <w:rPr>
          <w:rFonts w:ascii="TimesNewRomanPSMT" w:hAnsi="TimesNewRomanPSMT" w:cs="TimesNewRomanPSMT"/>
          <w:sz w:val="24"/>
          <w:szCs w:val="24"/>
        </w:rPr>
        <w:t>"</w:t>
      </w:r>
      <w:r w:rsidRPr="00010AD6">
        <w:rPr>
          <w:rFonts w:ascii="TimesNewRomanPSMT" w:hAnsi="TimesNewRomanPSMT" w:cs="TimesNewRomanPSMT"/>
          <w:bCs/>
          <w:sz w:val="24"/>
          <w:szCs w:val="24"/>
        </w:rPr>
        <w:t>Vietējo pašvaldību referendumu likums</w:t>
      </w:r>
      <w:r w:rsidR="00B167ED">
        <w:rPr>
          <w:rFonts w:ascii="TimesNewRomanPSMT" w:hAnsi="TimesNewRomanPSMT" w:cs="TimesNewRomanPSMT"/>
          <w:sz w:val="24"/>
          <w:szCs w:val="24"/>
        </w:rPr>
        <w:t>"</w:t>
      </w:r>
      <w:r w:rsidRPr="00010AD6">
        <w:rPr>
          <w:rFonts w:ascii="TimesNewRomanPSMT" w:hAnsi="TimesNewRomanPSMT" w:cs="TimesNewRomanPSMT"/>
          <w:sz w:val="24"/>
          <w:szCs w:val="24"/>
        </w:rPr>
        <w:t>.</w:t>
      </w:r>
    </w:p>
    <w:p w:rsidR="00010AD6" w:rsidRPr="00010AD6" w:rsidRDefault="00010AD6" w:rsidP="00010AD6">
      <w:pPr>
        <w:autoSpaceDE w:val="0"/>
        <w:autoSpaceDN w:val="0"/>
        <w:adjustRightInd w:val="0"/>
        <w:spacing w:after="0" w:line="240" w:lineRule="auto"/>
        <w:ind w:firstLine="720"/>
        <w:jc w:val="both"/>
        <w:rPr>
          <w:rFonts w:ascii="TimesNewRomanPSMT" w:hAnsi="TimesNewRomanPSMT" w:cs="TimesNewRomanPSMT"/>
          <w:sz w:val="24"/>
          <w:szCs w:val="24"/>
        </w:rPr>
      </w:pPr>
      <w:r w:rsidRPr="00010AD6">
        <w:rPr>
          <w:rFonts w:ascii="TimesNewRomanPSMT" w:hAnsi="TimesNewRomanPSMT" w:cs="TimesNewRomanPSMT"/>
          <w:sz w:val="24"/>
          <w:szCs w:val="24"/>
        </w:rPr>
        <w:t>Lai nodrošinātu demokrātijas</w:t>
      </w:r>
      <w:r w:rsidR="001A6ABB">
        <w:rPr>
          <w:rFonts w:ascii="TimesNewRomanPSMT" w:hAnsi="TimesNewRomanPSMT" w:cs="TimesNewRomanPSMT"/>
          <w:sz w:val="24"/>
          <w:szCs w:val="24"/>
        </w:rPr>
        <w:t xml:space="preserve"> pamatprincipa – varas dalīšana</w:t>
      </w:r>
      <w:r w:rsidRPr="00010AD6">
        <w:rPr>
          <w:rFonts w:ascii="TimesNewRomanPSMT" w:hAnsi="TimesNewRomanPSMT" w:cs="TimesNewRomanPSMT"/>
          <w:sz w:val="24"/>
          <w:szCs w:val="24"/>
        </w:rPr>
        <w:t xml:space="preserve"> – nostiprināšanu vietējo pašvaldību pārvaldē, tādējādi radot iespēju pašvaldības lēmējvarai un izpildvarai darboties neatkarīgi, mazinot korupcijas un pašvaldības mantas nelietderīgas izmantošanas un izšķērdēšanas riskus, </w:t>
      </w:r>
      <w:r w:rsidR="001A6ABB">
        <w:rPr>
          <w:rFonts w:ascii="TimesNewRomanPSMT" w:hAnsi="TimesNewRomanPSMT" w:cs="TimesNewRomanPSMT"/>
          <w:sz w:val="24"/>
          <w:szCs w:val="24"/>
        </w:rPr>
        <w:t>v</w:t>
      </w:r>
      <w:r w:rsidRPr="00010AD6">
        <w:rPr>
          <w:rFonts w:ascii="TimesNewRomanPSMT" w:hAnsi="TimesNewRomanPSMT" w:cs="TimesNewRomanPSMT"/>
          <w:sz w:val="24"/>
          <w:szCs w:val="24"/>
        </w:rPr>
        <w:t xml:space="preserve">ides aizsardzības un reģionālās attīstības ministrs iesniedza Saeimā priekšlikumus </w:t>
      </w:r>
      <w:r w:rsidRPr="00010AD6">
        <w:rPr>
          <w:rFonts w:ascii="TimesNewRomanPSMT" w:hAnsi="TimesNewRomanPSMT" w:cs="TimesNewRomanPSMT"/>
          <w:bCs/>
          <w:sz w:val="24"/>
          <w:szCs w:val="24"/>
        </w:rPr>
        <w:t xml:space="preserve">grozījumiem likumā </w:t>
      </w:r>
      <w:r w:rsidR="00B167ED">
        <w:rPr>
          <w:rFonts w:ascii="TimesNewRomanPSMT" w:hAnsi="TimesNewRomanPSMT" w:cs="TimesNewRomanPSMT"/>
          <w:bCs/>
          <w:sz w:val="24"/>
          <w:szCs w:val="24"/>
        </w:rPr>
        <w:t>"</w:t>
      </w:r>
      <w:r w:rsidRPr="00010AD6">
        <w:rPr>
          <w:rFonts w:ascii="TimesNewRomanPSMT" w:hAnsi="TimesNewRomanPSMT" w:cs="TimesNewRomanPSMT"/>
          <w:bCs/>
          <w:sz w:val="24"/>
          <w:szCs w:val="24"/>
        </w:rPr>
        <w:t>Par pašvaldībām</w:t>
      </w:r>
      <w:r w:rsidR="00B167ED">
        <w:rPr>
          <w:rFonts w:ascii="TimesNewRomanPSMT" w:hAnsi="TimesNewRomanPSMT" w:cs="TimesNewRomanPSMT"/>
          <w:bCs/>
          <w:sz w:val="24"/>
          <w:szCs w:val="24"/>
        </w:rPr>
        <w:t>"</w:t>
      </w:r>
      <w:r w:rsidRPr="00010AD6">
        <w:rPr>
          <w:rFonts w:ascii="TimesNewRomanPSMT" w:hAnsi="TimesNewRomanPSMT" w:cs="TimesNewRomanPSMT"/>
          <w:sz w:val="24"/>
          <w:szCs w:val="24"/>
        </w:rPr>
        <w:t>, kas paredz liegumu pašvaldības domes deputātam savienot deputāta pienākumu pildīšanu ar noteiktiem pienākumiem pašvaldības izpildvaras struktūrās.</w:t>
      </w:r>
    </w:p>
    <w:p w:rsidR="00010AD6" w:rsidRPr="00010AD6" w:rsidRDefault="00010AD6" w:rsidP="00010AD6">
      <w:pPr>
        <w:autoSpaceDE w:val="0"/>
        <w:autoSpaceDN w:val="0"/>
        <w:adjustRightInd w:val="0"/>
        <w:spacing w:after="0" w:line="240" w:lineRule="auto"/>
        <w:ind w:firstLine="720"/>
        <w:jc w:val="both"/>
        <w:rPr>
          <w:rFonts w:ascii="TimesNewRomanPSMT" w:hAnsi="TimesNewRomanPSMT" w:cs="TimesNewRomanPSMT"/>
          <w:sz w:val="24"/>
          <w:szCs w:val="24"/>
        </w:rPr>
      </w:pPr>
      <w:r w:rsidRPr="00010AD6">
        <w:rPr>
          <w:rFonts w:ascii="Times New Roman" w:hAnsi="Times New Roman" w:cs="Times New Roman"/>
          <w:sz w:val="24"/>
          <w:szCs w:val="24"/>
        </w:rPr>
        <w:lastRenderedPageBreak/>
        <w:t>Pieņemšanai Saeimā tiek virzīti grozījumi Republikas pilsētas domes un novada domes vēlēšanu likumā, kas paredz samazināt novadu pašvaldību domēs</w:t>
      </w:r>
      <w:r>
        <w:rPr>
          <w:rFonts w:ascii="Times New Roman" w:hAnsi="Times New Roman" w:cs="Times New Roman"/>
          <w:sz w:val="24"/>
          <w:szCs w:val="24"/>
        </w:rPr>
        <w:t xml:space="preserve"> ievēlam</w:t>
      </w:r>
      <w:r w:rsidRPr="00010AD6">
        <w:rPr>
          <w:rFonts w:ascii="Times New Roman" w:hAnsi="Times New Roman" w:cs="Times New Roman"/>
          <w:sz w:val="24"/>
          <w:szCs w:val="24"/>
        </w:rPr>
        <w:t xml:space="preserve">o deputātu skaitu. Novada domē </w:t>
      </w:r>
      <w:r>
        <w:rPr>
          <w:rFonts w:ascii="Times New Roman" w:hAnsi="Times New Roman" w:cs="Times New Roman"/>
          <w:sz w:val="24"/>
          <w:szCs w:val="24"/>
        </w:rPr>
        <w:t>ievēlamo</w:t>
      </w:r>
      <w:r w:rsidRPr="00010AD6">
        <w:rPr>
          <w:rFonts w:ascii="Times New Roman" w:hAnsi="Times New Roman" w:cs="Times New Roman"/>
          <w:sz w:val="24"/>
          <w:szCs w:val="24"/>
        </w:rPr>
        <w:t xml:space="preserve"> deputātu skaits tiks noteikts atbilstoši iedzīvotāju skaitam, kāds attiecīgās pašvaldības administratīvajā teritorijā vēlēšanu izsludināšanas dienā ir reģistrēts Iedzīvotāju reģistrā. </w:t>
      </w:r>
      <w:r w:rsidR="00B17161">
        <w:rPr>
          <w:rFonts w:ascii="Times New Roman" w:hAnsi="Times New Roman" w:cs="Times New Roman"/>
          <w:sz w:val="24"/>
          <w:szCs w:val="24"/>
        </w:rPr>
        <w:t>D</w:t>
      </w:r>
      <w:r w:rsidRPr="00010AD6">
        <w:rPr>
          <w:rFonts w:ascii="Times New Roman" w:hAnsi="Times New Roman" w:cs="Times New Roman"/>
          <w:sz w:val="24"/>
          <w:szCs w:val="24"/>
        </w:rPr>
        <w:t>eputātu skaita samazināšan</w:t>
      </w:r>
      <w:r w:rsidR="009411BE">
        <w:rPr>
          <w:rFonts w:ascii="Times New Roman" w:hAnsi="Times New Roman" w:cs="Times New Roman"/>
          <w:sz w:val="24"/>
          <w:szCs w:val="24"/>
        </w:rPr>
        <w:t>as</w:t>
      </w:r>
      <w:r w:rsidRPr="00010AD6">
        <w:rPr>
          <w:rFonts w:ascii="Times New Roman" w:hAnsi="Times New Roman" w:cs="Times New Roman"/>
          <w:sz w:val="24"/>
          <w:szCs w:val="24"/>
        </w:rPr>
        <w:t xml:space="preserve"> mērķis ir nodrošināt līdzvērtīgu ikviena iedzīvotāja pārstāvību novados un vienlaikus ierobežot teritoriālās pārstāvniecības principu, kad katrs pagasts cīnās tikai par savām šaurām interesēm.</w:t>
      </w:r>
    </w:p>
    <w:p w:rsidR="00010AD6" w:rsidRPr="00010AD6" w:rsidRDefault="00010AD6" w:rsidP="00010AD6">
      <w:pPr>
        <w:autoSpaceDE w:val="0"/>
        <w:autoSpaceDN w:val="0"/>
        <w:adjustRightInd w:val="0"/>
        <w:spacing w:after="0" w:line="240" w:lineRule="auto"/>
        <w:ind w:firstLine="720"/>
        <w:jc w:val="both"/>
        <w:rPr>
          <w:rFonts w:ascii="TimesNewRomanPSMT" w:hAnsi="TimesNewRomanPSMT" w:cs="TimesNewRomanPSMT"/>
          <w:sz w:val="24"/>
          <w:szCs w:val="24"/>
        </w:rPr>
      </w:pPr>
      <w:r w:rsidRPr="00010AD6">
        <w:rPr>
          <w:rFonts w:ascii="Times New Roman" w:hAnsi="Times New Roman" w:cs="Times New Roman"/>
          <w:sz w:val="24"/>
          <w:szCs w:val="24"/>
        </w:rPr>
        <w:t>Lai sekmētu pašvaldību atbildīgumu un labāku pārvaldību, tika nodrošināta pašvaldību darbības tiesiskuma uzraudzīb</w:t>
      </w:r>
      <w:r w:rsidR="00B17161">
        <w:rPr>
          <w:rFonts w:ascii="Times New Roman" w:hAnsi="Times New Roman" w:cs="Times New Roman"/>
          <w:sz w:val="24"/>
          <w:szCs w:val="24"/>
        </w:rPr>
        <w:t>a</w:t>
      </w:r>
      <w:r w:rsidRPr="00010AD6">
        <w:rPr>
          <w:rFonts w:ascii="Times New Roman" w:hAnsi="Times New Roman" w:cs="Times New Roman"/>
          <w:sz w:val="24"/>
          <w:szCs w:val="24"/>
        </w:rPr>
        <w:t xml:space="preserve">, t.sk. apturot gan novadu domju izdotos saistošos noteikumus, gan arī atstādinot no amata pienākumu pildīšanas pašvaldības vadītājus, ja viņu darbībā </w:t>
      </w:r>
      <w:r w:rsidR="00B17161">
        <w:rPr>
          <w:rFonts w:ascii="Times New Roman" w:hAnsi="Times New Roman" w:cs="Times New Roman"/>
          <w:sz w:val="24"/>
          <w:szCs w:val="24"/>
        </w:rPr>
        <w:t>tika</w:t>
      </w:r>
      <w:r w:rsidRPr="00010AD6">
        <w:rPr>
          <w:rFonts w:ascii="Times New Roman" w:hAnsi="Times New Roman" w:cs="Times New Roman"/>
          <w:sz w:val="24"/>
          <w:szCs w:val="24"/>
        </w:rPr>
        <w:t xml:space="preserve"> konstatētas pretrunas normatīvajos aktos noteikt</w:t>
      </w:r>
      <w:r w:rsidR="00B17161">
        <w:rPr>
          <w:rFonts w:ascii="Times New Roman" w:hAnsi="Times New Roman" w:cs="Times New Roman"/>
          <w:sz w:val="24"/>
          <w:szCs w:val="24"/>
        </w:rPr>
        <w:t>aj</w:t>
      </w:r>
      <w:r w:rsidRPr="00010AD6">
        <w:rPr>
          <w:rFonts w:ascii="Times New Roman" w:hAnsi="Times New Roman" w:cs="Times New Roman"/>
          <w:sz w:val="24"/>
          <w:szCs w:val="24"/>
        </w:rPr>
        <w:t xml:space="preserve">ām normām. 2012.gadā VARAM uzsāka proaktīvu sadarbību ar pašvaldībām, sagatavojot. </w:t>
      </w:r>
      <w:r w:rsidRPr="00010AD6">
        <w:rPr>
          <w:rFonts w:ascii="Times New Roman" w:hAnsi="Times New Roman"/>
          <w:sz w:val="24"/>
          <w:szCs w:val="24"/>
        </w:rPr>
        <w:t>pašvaldībām skaidrojošu materiālu par Priekšvēlēšanu aģitācijas likumā noteiktajām pašvaldību tiesībām un pienākumiem. Tika sagatavotas vadlīnijas pašvaldību saistošo noteikumu pielāgošanai eiro ieviešanai, kā arī meklēti risinājumi  citiem aktuāliem jautājumiem, piemēram, iesaistoties likumprojekta izstrādē, kas turpmāk nodrošinās pašv</w:t>
      </w:r>
      <w:r w:rsidR="00B17161">
        <w:rPr>
          <w:rFonts w:ascii="Times New Roman" w:hAnsi="Times New Roman"/>
          <w:sz w:val="24"/>
          <w:szCs w:val="24"/>
        </w:rPr>
        <w:t>aldībām iespēju noteikt papildu</w:t>
      </w:r>
      <w:r w:rsidRPr="00010AD6">
        <w:rPr>
          <w:rFonts w:ascii="Times New Roman" w:hAnsi="Times New Roman"/>
          <w:sz w:val="24"/>
          <w:szCs w:val="24"/>
        </w:rPr>
        <w:t xml:space="preserve"> aizliegumus vai ierobežojumus smēķēšanai.</w:t>
      </w:r>
    </w:p>
    <w:p w:rsidR="00547E94" w:rsidRPr="008E72D3" w:rsidRDefault="00547E94" w:rsidP="00547E94">
      <w:pPr>
        <w:pStyle w:val="Heading2"/>
        <w:numPr>
          <w:ilvl w:val="0"/>
          <w:numId w:val="41"/>
        </w:numPr>
        <w:ind w:left="284" w:hanging="284"/>
      </w:pPr>
      <w:bookmarkStart w:id="136" w:name="_Toc348948399"/>
      <w:r w:rsidRPr="00547E94">
        <w:t>Teritoriālā</w:t>
      </w:r>
      <w:r w:rsidRPr="008E72D3">
        <w:t xml:space="preserve"> sadarbība</w:t>
      </w:r>
      <w:bookmarkEnd w:id="136"/>
    </w:p>
    <w:p w:rsidR="00547E94" w:rsidRPr="008E72D3" w:rsidRDefault="00547E94" w:rsidP="00547E94">
      <w:pPr>
        <w:spacing w:after="0" w:line="240" w:lineRule="auto"/>
        <w:ind w:firstLine="709"/>
        <w:jc w:val="both"/>
        <w:rPr>
          <w:rFonts w:ascii="Times New Roman" w:eastAsia="Times New Roman" w:hAnsi="Times New Roman" w:cs="Times New Roman"/>
          <w:color w:val="0000CC"/>
          <w:sz w:val="24"/>
          <w:szCs w:val="24"/>
        </w:rPr>
      </w:pP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Eiropas teritoriālās sadarbības ietvaros VARAM sadarbībā ar nozaru ministrijām, PKC, plānošanas reģioniem un nevalstiskajām organizācijām nodrošināja mērķa darbības programmu izstrādi. </w:t>
      </w: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Apstiprināts ziņojums par Latvijas un Krievijas pārrobežu sadarbības programmas ieviešanu Eiropas Kaimiņattiecību instrumenta ietvaros 2014.</w:t>
      </w:r>
      <w:r w:rsidR="00B17161">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2020.gadā, kā arī sadarbībā ar Krievijas Federācijas Reģionālās attīstības ministriju sagatavota un nosūtīta </w:t>
      </w:r>
      <w:r w:rsidR="00481904">
        <w:rPr>
          <w:rFonts w:ascii="Times New Roman" w:eastAsia="Times New Roman" w:hAnsi="Times New Roman" w:cs="Times New Roman"/>
          <w:sz w:val="24"/>
          <w:szCs w:val="24"/>
        </w:rPr>
        <w:t>EK</w:t>
      </w:r>
      <w:r w:rsidRPr="00010AD6">
        <w:rPr>
          <w:rFonts w:ascii="Times New Roman" w:eastAsia="Times New Roman" w:hAnsi="Times New Roman" w:cs="Times New Roman"/>
          <w:sz w:val="24"/>
          <w:szCs w:val="24"/>
        </w:rPr>
        <w:t xml:space="preserve"> Latvijas un Krievijas kopīgā </w:t>
      </w:r>
      <w:r w:rsidR="009411BE">
        <w:rPr>
          <w:rFonts w:ascii="Times New Roman" w:eastAsia="Times New Roman" w:hAnsi="Times New Roman" w:cs="Times New Roman"/>
          <w:sz w:val="24"/>
          <w:szCs w:val="24"/>
        </w:rPr>
        <w:t>pozīcija par divpusējo Latvijas–</w:t>
      </w:r>
      <w:r w:rsidRPr="00010AD6">
        <w:rPr>
          <w:rFonts w:ascii="Times New Roman" w:eastAsia="Times New Roman" w:hAnsi="Times New Roman" w:cs="Times New Roman"/>
          <w:sz w:val="24"/>
          <w:szCs w:val="24"/>
        </w:rPr>
        <w:t>Krievijas pārrobežu sadarbības programmu 2014.</w:t>
      </w:r>
      <w:r w:rsidR="00B17161">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2020.gadam.</w:t>
      </w: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2012.gadā izstrādātas un no donorvalstu puses apstiprinātas EEZ un Norvēģijas valdības divpusējā finanšu instrumentu 2009.</w:t>
      </w:r>
      <w:r w:rsidR="00B17161">
        <w:rPr>
          <w:rFonts w:ascii="Times New Roman" w:eastAsia="Times New Roman" w:hAnsi="Times New Roman" w:cs="Times New Roman"/>
          <w:sz w:val="24"/>
          <w:szCs w:val="24"/>
        </w:rPr>
        <w:t>–2014.</w:t>
      </w:r>
      <w:r w:rsidRPr="00010AD6">
        <w:rPr>
          <w:rFonts w:ascii="Times New Roman" w:eastAsia="Times New Roman" w:hAnsi="Times New Roman" w:cs="Times New Roman"/>
          <w:sz w:val="24"/>
          <w:szCs w:val="24"/>
        </w:rPr>
        <w:t xml:space="preserve">gadam līdzfinansētās programmas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Nacionālā klimata politika</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un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Kapacitātes stiprināšana un institucionālā sadarbība ar Norvēģijas publiskajām institūcijām, vietējām un reģionālām varas iestādēm</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w:t>
      </w: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2013.gadā ir būtiski izstrādāt un iesniegt EK apstiprināšanai ES struktūrfondu 2014.</w:t>
      </w:r>
      <w:r w:rsidR="00B17161">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2020.gada plānošanas perioda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Eiropas teritoriālās sadarbība</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mērķa darbības programmas, lai finansējums programmu projektu īstenošanai būtu pieejams projektu partneriem no Latvijas jau no nākošā ES fondu plānošanas perioda sākuma. Būtiski nodrošināt Latvijas</w:t>
      </w:r>
      <w:r w:rsidR="00B17161">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Lietuvas pārrobežu sadarbības programmas 2014.</w:t>
      </w:r>
      <w:r w:rsidR="00B17161">
        <w:rPr>
          <w:rFonts w:ascii="Times New Roman" w:eastAsia="Times New Roman" w:hAnsi="Times New Roman" w:cs="Times New Roman"/>
          <w:sz w:val="24"/>
          <w:szCs w:val="24"/>
        </w:rPr>
        <w:t>–2020.</w:t>
      </w:r>
      <w:r w:rsidRPr="00010AD6">
        <w:rPr>
          <w:rFonts w:ascii="Times New Roman" w:eastAsia="Times New Roman" w:hAnsi="Times New Roman" w:cs="Times New Roman"/>
          <w:sz w:val="24"/>
          <w:szCs w:val="24"/>
        </w:rPr>
        <w:t>gadam projekta izstrādi un iesniegšanu EK, pārstāvēt Latviju sarunās ar Krievijas Federāciju par Latvijas</w:t>
      </w:r>
      <w:r w:rsidR="00B17161">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Krievijas pārrobežu sadarbības programmas 2014.</w:t>
      </w:r>
      <w:r w:rsidR="00B17161">
        <w:rPr>
          <w:rFonts w:ascii="Times New Roman" w:eastAsia="Times New Roman" w:hAnsi="Times New Roman" w:cs="Times New Roman"/>
          <w:sz w:val="24"/>
          <w:szCs w:val="24"/>
        </w:rPr>
        <w:t>–2020.</w:t>
      </w:r>
      <w:r w:rsidRPr="00010AD6">
        <w:rPr>
          <w:rFonts w:ascii="Times New Roman" w:eastAsia="Times New Roman" w:hAnsi="Times New Roman" w:cs="Times New Roman"/>
          <w:sz w:val="24"/>
          <w:szCs w:val="24"/>
        </w:rPr>
        <w:t>gadam saturu, sagatavojot tās projektu iesniegšanai EK, kā arī piedalīties citu 2014.</w:t>
      </w:r>
      <w:r w:rsidR="00B17161">
        <w:rPr>
          <w:rFonts w:ascii="Times New Roman" w:eastAsia="Times New Roman" w:hAnsi="Times New Roman" w:cs="Times New Roman"/>
          <w:sz w:val="24"/>
          <w:szCs w:val="24"/>
        </w:rPr>
        <w:t>–2020.</w:t>
      </w:r>
      <w:r w:rsidRPr="00010AD6">
        <w:rPr>
          <w:rFonts w:ascii="Times New Roman" w:eastAsia="Times New Roman" w:hAnsi="Times New Roman" w:cs="Times New Roman"/>
          <w:sz w:val="24"/>
          <w:szCs w:val="24"/>
        </w:rPr>
        <w:t xml:space="preserve">gada plānošanas perioda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Eiropas teritoriālās sadarbība</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mērķa darbības programmu izstrādē, pārstāvot Latvijas viedokli un intereses.</w:t>
      </w:r>
    </w:p>
    <w:p w:rsidR="00010AD6" w:rsidRPr="00010AD6" w:rsidRDefault="00010AD6" w:rsidP="00010AD6">
      <w:pPr>
        <w:spacing w:after="0" w:line="240" w:lineRule="auto"/>
        <w:ind w:firstLine="709"/>
        <w:jc w:val="both"/>
        <w:rPr>
          <w:rFonts w:ascii="Times New Roman" w:eastAsia="Times New Roman" w:hAnsi="Times New Roman" w:cs="Times New Roman"/>
          <w:sz w:val="24"/>
          <w:szCs w:val="24"/>
        </w:rPr>
      </w:pPr>
      <w:r w:rsidRPr="00010AD6">
        <w:rPr>
          <w:rFonts w:ascii="Times New Roman" w:eastAsia="Times New Roman" w:hAnsi="Times New Roman" w:cs="Times New Roman"/>
          <w:sz w:val="24"/>
          <w:szCs w:val="24"/>
        </w:rPr>
        <w:t xml:space="preserve">2013.gadā tiks uzsākta EEZ finanšu instrumenta programmas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Nacionālā klimata politika</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īstenošana, atbalstot pasākumus klimata pārmaiņu samazināšanai un pielāgošanās klimata pārmaiņām ieviešanai, un Norvēģijas finanšu instrumenta </w:t>
      </w:r>
      <w:r w:rsidRPr="00010AD6">
        <w:rPr>
          <w:rFonts w:ascii="Times New Roman" w:eastAsia="Times New Roman" w:hAnsi="Times New Roman" w:cs="Times New Roman"/>
          <w:sz w:val="24"/>
          <w:szCs w:val="24"/>
        </w:rPr>
        <w:lastRenderedPageBreak/>
        <w:t xml:space="preserve">programmas </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Kapacitātes stiprināšana un institucionālā sadarbība ar Norvēģijas publiskajām institūcijām, vietējām un reģionālām varas iestādēm</w:t>
      </w:r>
      <w:r w:rsidR="00B167ED">
        <w:rPr>
          <w:rFonts w:ascii="Times New Roman" w:eastAsia="Times New Roman" w:hAnsi="Times New Roman" w:cs="Times New Roman"/>
          <w:sz w:val="24"/>
          <w:szCs w:val="24"/>
        </w:rPr>
        <w:t>"</w:t>
      </w:r>
      <w:r w:rsidRPr="00010AD6">
        <w:rPr>
          <w:rFonts w:ascii="Times New Roman" w:eastAsia="Times New Roman" w:hAnsi="Times New Roman" w:cs="Times New Roman"/>
          <w:sz w:val="24"/>
          <w:szCs w:val="24"/>
        </w:rPr>
        <w:t xml:space="preserve"> īstenošana, sniedzot ieguldījumu pašvaldību pakalpojumu kvalitātes uzlabošanā un integrētas plānošanas sistēmas izveidē visos pārvaldes līmeņos reģionālās attīstības jomā.</w:t>
      </w:r>
    </w:p>
    <w:p w:rsidR="00547E94" w:rsidRPr="00547E94" w:rsidRDefault="00547E94" w:rsidP="00547E94">
      <w:pPr>
        <w:pStyle w:val="Heading2"/>
      </w:pPr>
      <w:bookmarkStart w:id="137" w:name="_Toc348948400"/>
      <w:r w:rsidRPr="008E72D3">
        <w:rPr>
          <w:rFonts w:eastAsia="Times New Roman"/>
        </w:rPr>
        <w:t>5.</w:t>
      </w:r>
      <w:r w:rsidRPr="008E72D3">
        <w:t xml:space="preserve"> Vides </w:t>
      </w:r>
      <w:r w:rsidRPr="00547E94">
        <w:t>un</w:t>
      </w:r>
      <w:r w:rsidRPr="008E72D3">
        <w:t xml:space="preserve"> dabas aizsardzība un klimata pārmaiņas</w:t>
      </w:r>
      <w:bookmarkEnd w:id="137"/>
    </w:p>
    <w:p w:rsidR="00547E94" w:rsidRPr="008E72D3" w:rsidRDefault="00547E94" w:rsidP="00547E94">
      <w:pPr>
        <w:pStyle w:val="Heading3"/>
      </w:pPr>
      <w:bookmarkStart w:id="138" w:name="_Toc348948401"/>
      <w:r>
        <w:t>5.1. Vides aizsardzība</w:t>
      </w:r>
      <w:bookmarkEnd w:id="138"/>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Laba vides s</w:t>
      </w:r>
      <w:r w:rsidR="00B17161">
        <w:rPr>
          <w:rFonts w:ascii="Times New Roman" w:hAnsi="Times New Roman" w:cs="Times New Roman"/>
          <w:sz w:val="24"/>
          <w:szCs w:val="24"/>
        </w:rPr>
        <w:t>tāvokļa sasniegšanai jūras vidē</w:t>
      </w:r>
      <w:r w:rsidRPr="00547E94">
        <w:rPr>
          <w:rFonts w:ascii="Times New Roman" w:hAnsi="Times New Roman" w:cs="Times New Roman"/>
          <w:sz w:val="24"/>
          <w:szCs w:val="24"/>
        </w:rPr>
        <w:t xml:space="preserve"> izstrādāts un apstiprināts Latvijas jūras vides stāvokļa sākotnējais novērtējums, t.sk. jūras izmantošanas ekonomiskā un sociālā analīze, definēti laba vides stāvokļa kritēriji, noteikti jūras vides mērķi un ar tiem saistītie rādītāji. Vides monitoringa īstenošanai 2013.gadā no valsts budžeta ir piešķirts ievērojams papi</w:t>
      </w:r>
      <w:r w:rsidR="00B17161">
        <w:rPr>
          <w:rFonts w:ascii="Times New Roman" w:hAnsi="Times New Roman" w:cs="Times New Roman"/>
          <w:sz w:val="24"/>
          <w:szCs w:val="24"/>
        </w:rPr>
        <w:t>ldu</w:t>
      </w:r>
      <w:r w:rsidRPr="00547E94">
        <w:rPr>
          <w:rFonts w:ascii="Times New Roman" w:hAnsi="Times New Roman" w:cs="Times New Roman"/>
          <w:sz w:val="24"/>
          <w:szCs w:val="24"/>
        </w:rPr>
        <w:t xml:space="preserve"> finansējums.</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 xml:space="preserve">Lai nodrošinātu rūpniecības un lauksaimniecības darbību radītā piesārņojuma samazināšanu, kā arī veicinātu resursu efektīvu izmantošanu un jaunu tehnisku paņēmienu ieviešanu ražošanā, sagatavoti </w:t>
      </w:r>
      <w:r w:rsidRPr="00547E94">
        <w:rPr>
          <w:rFonts w:ascii="Times New Roman" w:hAnsi="Times New Roman"/>
          <w:sz w:val="24"/>
          <w:szCs w:val="24"/>
        </w:rPr>
        <w:t xml:space="preserve">un 2013.gada 31.janvārī </w:t>
      </w:r>
      <w:r w:rsidR="00B17161" w:rsidRPr="00547E94">
        <w:rPr>
          <w:rFonts w:ascii="Times New Roman" w:hAnsi="Times New Roman"/>
          <w:sz w:val="24"/>
          <w:szCs w:val="24"/>
        </w:rPr>
        <w:t xml:space="preserve">Saeimā </w:t>
      </w:r>
      <w:r w:rsidRPr="00547E94">
        <w:rPr>
          <w:rFonts w:ascii="Times New Roman" w:hAnsi="Times New Roman"/>
          <w:sz w:val="24"/>
          <w:szCs w:val="24"/>
        </w:rPr>
        <w:t xml:space="preserve">pieņemti </w:t>
      </w:r>
      <w:r w:rsidRPr="00547E94">
        <w:rPr>
          <w:rFonts w:ascii="Times New Roman" w:hAnsi="Times New Roman" w:cs="Times New Roman"/>
          <w:sz w:val="24"/>
          <w:szCs w:val="24"/>
        </w:rPr>
        <w:t xml:space="preserve">grozījumi likumā </w:t>
      </w:r>
      <w:r w:rsidR="00B167ED">
        <w:rPr>
          <w:rFonts w:ascii="Times New Roman" w:hAnsi="Times New Roman" w:cs="Times New Roman"/>
          <w:sz w:val="24"/>
          <w:szCs w:val="24"/>
        </w:rPr>
        <w:t>"</w:t>
      </w:r>
      <w:r w:rsidRPr="00547E94">
        <w:rPr>
          <w:rFonts w:ascii="Times New Roman" w:hAnsi="Times New Roman" w:cs="Times New Roman"/>
          <w:sz w:val="24"/>
          <w:szCs w:val="24"/>
        </w:rPr>
        <w:t>Par piesārņojumu</w:t>
      </w:r>
      <w:r w:rsidR="00B167ED">
        <w:rPr>
          <w:rFonts w:ascii="Times New Roman" w:hAnsi="Times New Roman" w:cs="Times New Roman"/>
          <w:sz w:val="24"/>
          <w:szCs w:val="24"/>
        </w:rPr>
        <w:t>"</w:t>
      </w:r>
      <w:r w:rsidRPr="00547E94">
        <w:rPr>
          <w:rFonts w:ascii="Times New Roman" w:hAnsi="Times New Roman" w:cs="Times New Roman"/>
          <w:sz w:val="24"/>
          <w:szCs w:val="24"/>
        </w:rPr>
        <w:t>.</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sz w:val="24"/>
          <w:szCs w:val="24"/>
        </w:rPr>
        <w:t>Lai risinātu piesārņoto vietu sanācijas jautājumus un sekmētu piesārņoto vietu atgriešanu saimnieciskajā apritē, tiek turpināti</w:t>
      </w:r>
      <w:r w:rsidR="00B17161">
        <w:rPr>
          <w:rFonts w:ascii="Times New Roman" w:hAnsi="Times New Roman"/>
          <w:sz w:val="24"/>
          <w:szCs w:val="24"/>
        </w:rPr>
        <w:t xml:space="preserve"> uzsāktie projekti un uzsākti </w:t>
      </w:r>
      <w:r w:rsidRPr="00547E94">
        <w:rPr>
          <w:rFonts w:ascii="Times New Roman" w:hAnsi="Times New Roman"/>
          <w:sz w:val="24"/>
          <w:szCs w:val="24"/>
        </w:rPr>
        <w:t xml:space="preserve">vairāki nozīmīgi piesārņoto vietu sanācijas projekti – Jelgavas šķidro bīstamo atkritumu izgāztuvei </w:t>
      </w:r>
      <w:r w:rsidR="00B167ED">
        <w:rPr>
          <w:rFonts w:ascii="Times New Roman" w:hAnsi="Times New Roman"/>
          <w:sz w:val="24"/>
          <w:szCs w:val="24"/>
        </w:rPr>
        <w:t>"</w:t>
      </w:r>
      <w:r w:rsidRPr="00547E94">
        <w:rPr>
          <w:rFonts w:ascii="Times New Roman" w:hAnsi="Times New Roman"/>
          <w:sz w:val="24"/>
          <w:szCs w:val="24"/>
        </w:rPr>
        <w:t>Kosmoss</w:t>
      </w:r>
      <w:r w:rsidR="00B167ED">
        <w:rPr>
          <w:rFonts w:ascii="Times New Roman" w:hAnsi="Times New Roman"/>
          <w:sz w:val="24"/>
          <w:szCs w:val="24"/>
        </w:rPr>
        <w:t>"</w:t>
      </w:r>
      <w:r w:rsidRPr="00547E94">
        <w:rPr>
          <w:rFonts w:ascii="Times New Roman" w:hAnsi="Times New Roman"/>
          <w:sz w:val="24"/>
          <w:szCs w:val="24"/>
        </w:rPr>
        <w:t>, Inčukalna gudrona dīķiem, Liepājas Karostas kanālam, Sarkandaugavas piesārņotajai teritorijai un Olaines šķidro bīstamo atkritumu novietnei.</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Sagatavots Atkritumu apsaimniekošanas valsts plāna 2013.</w:t>
      </w:r>
      <w:r w:rsidR="001901F1">
        <w:rPr>
          <w:rFonts w:ascii="Times New Roman" w:hAnsi="Times New Roman" w:cs="Times New Roman"/>
          <w:sz w:val="24"/>
          <w:szCs w:val="24"/>
        </w:rPr>
        <w:t>–</w:t>
      </w:r>
      <w:r w:rsidRPr="00547E94">
        <w:rPr>
          <w:rFonts w:ascii="Times New Roman" w:hAnsi="Times New Roman" w:cs="Times New Roman"/>
          <w:sz w:val="24"/>
          <w:szCs w:val="24"/>
        </w:rPr>
        <w:t>20</w:t>
      </w:r>
      <w:r w:rsidR="009411BE">
        <w:rPr>
          <w:rFonts w:ascii="Times New Roman" w:hAnsi="Times New Roman" w:cs="Times New Roman"/>
          <w:sz w:val="24"/>
          <w:szCs w:val="24"/>
        </w:rPr>
        <w:t>20.gadam projekts un</w:t>
      </w:r>
      <w:r w:rsidRPr="00547E94">
        <w:rPr>
          <w:rFonts w:ascii="Times New Roman" w:hAnsi="Times New Roman" w:cs="Times New Roman"/>
          <w:sz w:val="24"/>
          <w:szCs w:val="24"/>
        </w:rPr>
        <w:t xml:space="preserve"> tā </w:t>
      </w:r>
      <w:r w:rsidRPr="00547E94">
        <w:rPr>
          <w:rFonts w:ascii="Times New Roman" w:hAnsi="Times New Roman" w:cs="Times New Roman"/>
          <w:bCs/>
          <w:sz w:val="24"/>
          <w:szCs w:val="24"/>
        </w:rPr>
        <w:t xml:space="preserve">ietekmes uz vidi stratēģiskā novērtējuma vides pārskats. </w:t>
      </w:r>
      <w:r w:rsidRPr="00547E94">
        <w:rPr>
          <w:rFonts w:ascii="Times New Roman" w:hAnsi="Times New Roman" w:cs="Times New Roman"/>
          <w:sz w:val="24"/>
          <w:szCs w:val="24"/>
        </w:rPr>
        <w:t>VARAM turpina intensīvu darbu gatavojot normatīvo</w:t>
      </w:r>
      <w:r w:rsidR="001901F1">
        <w:rPr>
          <w:rFonts w:ascii="Times New Roman" w:hAnsi="Times New Roman" w:cs="Times New Roman"/>
          <w:sz w:val="24"/>
          <w:szCs w:val="24"/>
        </w:rPr>
        <w:t xml:space="preserve"> bāzi, lai panāktu, ka no 2015.</w:t>
      </w:r>
      <w:r w:rsidRPr="00547E94">
        <w:rPr>
          <w:rFonts w:ascii="Times New Roman" w:hAnsi="Times New Roman" w:cs="Times New Roman"/>
          <w:sz w:val="24"/>
          <w:szCs w:val="24"/>
        </w:rPr>
        <w:t>gada varētu ieviest obligāto depozīta sistēmu vienreiz un atkārtoti lietojamam stikla, plastmasas un metāla dzērienu iepakojumam. De</w:t>
      </w:r>
      <w:r w:rsidR="001901F1">
        <w:rPr>
          <w:rFonts w:ascii="Times New Roman" w:hAnsi="Times New Roman" w:cs="Times New Roman"/>
          <w:sz w:val="24"/>
          <w:szCs w:val="24"/>
        </w:rPr>
        <w:t>pozīta sistēmas lielākais pluss</w:t>
      </w:r>
      <w:r w:rsidRPr="00547E94">
        <w:rPr>
          <w:rFonts w:ascii="Times New Roman" w:hAnsi="Times New Roman" w:cs="Times New Roman"/>
          <w:sz w:val="24"/>
          <w:szCs w:val="24"/>
        </w:rPr>
        <w:t xml:space="preserve"> vienlaiku</w:t>
      </w:r>
      <w:r w:rsidR="001901F1">
        <w:rPr>
          <w:rFonts w:ascii="Times New Roman" w:hAnsi="Times New Roman" w:cs="Times New Roman"/>
          <w:sz w:val="24"/>
          <w:szCs w:val="24"/>
        </w:rPr>
        <w:t>s ar apkārtējās vides sakopšanu</w:t>
      </w:r>
      <w:r w:rsidRPr="00547E94">
        <w:rPr>
          <w:rFonts w:ascii="Times New Roman" w:hAnsi="Times New Roman" w:cs="Times New Roman"/>
          <w:sz w:val="24"/>
          <w:szCs w:val="24"/>
        </w:rPr>
        <w:t xml:space="preserve"> ir iespēja savākt daudz tīrākas izejvielas kā atkritumu dalītās savākšanas sistēmā, un tas ir izdevīgāk gan ražotājiem, gan iepakojuma pārstrādātājiem un viegli atsver sākotnējos ieguldījumus sistēmas ieviešanā.</w:t>
      </w:r>
    </w:p>
    <w:p w:rsidR="00547E94" w:rsidRPr="00547E94" w:rsidRDefault="00547E94" w:rsidP="00547E94">
      <w:pPr>
        <w:autoSpaceDE w:val="0"/>
        <w:autoSpaceDN w:val="0"/>
        <w:adjustRightInd w:val="0"/>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Lai motivētu iedzīvotāj</w:t>
      </w:r>
      <w:r w:rsidR="00481904">
        <w:rPr>
          <w:rFonts w:ascii="Times New Roman" w:hAnsi="Times New Roman" w:cs="Times New Roman"/>
          <w:sz w:val="24"/>
          <w:szCs w:val="24"/>
        </w:rPr>
        <w:t xml:space="preserve">us rūpēties par apkārtējo vidi, tika </w:t>
      </w:r>
      <w:r w:rsidRPr="00547E94">
        <w:rPr>
          <w:rFonts w:ascii="Times New Roman" w:hAnsi="Times New Roman" w:cs="Times New Roman"/>
          <w:sz w:val="24"/>
          <w:szCs w:val="24"/>
        </w:rPr>
        <w:t>rīkota ikgadējā Lielā talka. Tā ieguvusi lielu popularitāti sabiedrībā, talkā piedalījās ap 210 000 brīvprātīgo.</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Lai mazinātu administratīvo slogu</w:t>
      </w:r>
      <w:r w:rsidR="001901F1">
        <w:rPr>
          <w:rFonts w:ascii="Times New Roman" w:hAnsi="Times New Roman" w:cs="Times New Roman"/>
          <w:sz w:val="24"/>
          <w:szCs w:val="24"/>
        </w:rPr>
        <w:t>,</w:t>
      </w:r>
      <w:r w:rsidRPr="00547E94">
        <w:rPr>
          <w:rFonts w:ascii="Times New Roman" w:hAnsi="Times New Roman" w:cs="Times New Roman"/>
          <w:sz w:val="24"/>
          <w:szCs w:val="24"/>
        </w:rPr>
        <w:t xml:space="preserve"> ietekmes uz vidi novērtējuma jomā izdarīti grozījumi k</w:t>
      </w:r>
      <w:r w:rsidRPr="00547E94">
        <w:rPr>
          <w:rFonts w:ascii="Times New Roman" w:hAnsi="Times New Roman" w:cs="Times New Roman"/>
          <w:bCs/>
          <w:sz w:val="24"/>
          <w:szCs w:val="24"/>
        </w:rPr>
        <w:t xml:space="preserve">ārtībā, kādā reģionālā vides pārvalde izdod tehniskos noteikumus paredzētajai darbībai, kurai nav nepieciešams ietekmes uz vidi novērtējums, saīsinot </w:t>
      </w:r>
      <w:r w:rsidRPr="00547E94">
        <w:rPr>
          <w:rFonts w:ascii="Times New Roman" w:eastAsia="Times New Roman" w:hAnsi="Times New Roman" w:cs="Times New Roman"/>
          <w:sz w:val="24"/>
          <w:szCs w:val="24"/>
        </w:rPr>
        <w:t>tehnisko noteikumu sagatavošana</w:t>
      </w:r>
      <w:r w:rsidRPr="00547E94">
        <w:rPr>
          <w:rFonts w:ascii="Times New Roman" w:hAnsi="Times New Roman" w:cs="Times New Roman"/>
          <w:sz w:val="24"/>
          <w:szCs w:val="24"/>
        </w:rPr>
        <w:t>s</w:t>
      </w:r>
      <w:r w:rsidRPr="00547E94">
        <w:rPr>
          <w:rFonts w:ascii="Times New Roman" w:eastAsia="Times New Roman" w:hAnsi="Times New Roman" w:cs="Times New Roman"/>
          <w:sz w:val="24"/>
          <w:szCs w:val="24"/>
        </w:rPr>
        <w:t xml:space="preserve"> un izdošana</w:t>
      </w:r>
      <w:r w:rsidRPr="00547E94">
        <w:rPr>
          <w:rFonts w:ascii="Times New Roman" w:hAnsi="Times New Roman" w:cs="Times New Roman"/>
          <w:sz w:val="24"/>
          <w:szCs w:val="24"/>
        </w:rPr>
        <w:t>s</w:t>
      </w:r>
      <w:r w:rsidRPr="00547E94">
        <w:rPr>
          <w:rFonts w:ascii="Times New Roman" w:eastAsia="Times New Roman" w:hAnsi="Times New Roman" w:cs="Times New Roman"/>
          <w:sz w:val="24"/>
          <w:szCs w:val="24"/>
        </w:rPr>
        <w:t xml:space="preserve"> termiņ</w:t>
      </w:r>
      <w:r w:rsidR="001901F1">
        <w:rPr>
          <w:rFonts w:ascii="Times New Roman" w:hAnsi="Times New Roman" w:cs="Times New Roman"/>
          <w:sz w:val="24"/>
          <w:szCs w:val="24"/>
        </w:rPr>
        <w:t>u līdz 15 dienām un</w:t>
      </w:r>
      <w:r w:rsidRPr="00547E94">
        <w:rPr>
          <w:rFonts w:ascii="Times New Roman" w:hAnsi="Times New Roman" w:cs="Times New Roman"/>
          <w:sz w:val="24"/>
          <w:szCs w:val="24"/>
        </w:rPr>
        <w:t xml:space="preserve"> </w:t>
      </w:r>
      <w:r w:rsidRPr="00547E94">
        <w:rPr>
          <w:rFonts w:ascii="Times New Roman" w:eastAsia="Times New Roman" w:hAnsi="Times New Roman" w:cs="Times New Roman"/>
          <w:sz w:val="24"/>
          <w:szCs w:val="24"/>
        </w:rPr>
        <w:t>novēr</w:t>
      </w:r>
      <w:r w:rsidRPr="00547E94">
        <w:rPr>
          <w:rFonts w:ascii="Times New Roman" w:hAnsi="Times New Roman" w:cs="Times New Roman"/>
          <w:sz w:val="24"/>
          <w:szCs w:val="24"/>
        </w:rPr>
        <w:t>šot</w:t>
      </w:r>
      <w:r w:rsidRPr="00547E94">
        <w:rPr>
          <w:rFonts w:ascii="Times New Roman" w:eastAsia="Times New Roman" w:hAnsi="Times New Roman" w:cs="Times New Roman"/>
          <w:sz w:val="24"/>
          <w:szCs w:val="24"/>
        </w:rPr>
        <w:t xml:space="preserve"> n</w:t>
      </w:r>
      <w:r w:rsidR="001901F1">
        <w:rPr>
          <w:rFonts w:ascii="Times New Roman" w:eastAsia="Times New Roman" w:hAnsi="Times New Roman" w:cs="Times New Roman"/>
          <w:sz w:val="24"/>
          <w:szCs w:val="24"/>
        </w:rPr>
        <w:t>epieciešamību pieprasīt papildu</w:t>
      </w:r>
      <w:r w:rsidRPr="00547E94">
        <w:rPr>
          <w:rFonts w:ascii="Times New Roman" w:eastAsia="Times New Roman" w:hAnsi="Times New Roman" w:cs="Times New Roman"/>
          <w:sz w:val="24"/>
          <w:szCs w:val="24"/>
        </w:rPr>
        <w:t xml:space="preserve"> informāciju</w:t>
      </w:r>
      <w:r w:rsidRPr="00547E94">
        <w:rPr>
          <w:rFonts w:ascii="Times New Roman" w:hAnsi="Times New Roman" w:cs="Times New Roman"/>
          <w:bCs/>
          <w:sz w:val="24"/>
          <w:szCs w:val="24"/>
        </w:rPr>
        <w:t xml:space="preserve">. 2013.gadā plānots veikt plašākus grozījumus arī likumā </w:t>
      </w:r>
      <w:r w:rsidR="00B167ED">
        <w:rPr>
          <w:rFonts w:ascii="Times New Roman" w:hAnsi="Times New Roman" w:cs="Times New Roman"/>
          <w:bCs/>
          <w:sz w:val="24"/>
          <w:szCs w:val="24"/>
        </w:rPr>
        <w:t>"</w:t>
      </w:r>
      <w:r w:rsidRPr="00547E94">
        <w:rPr>
          <w:rFonts w:ascii="Times New Roman" w:hAnsi="Times New Roman" w:cs="Times New Roman"/>
          <w:bCs/>
          <w:sz w:val="24"/>
          <w:szCs w:val="24"/>
        </w:rPr>
        <w:t>Par ietekmes uz vidi novērtējumu</w:t>
      </w:r>
      <w:r w:rsidR="00B167ED">
        <w:rPr>
          <w:rFonts w:ascii="Times New Roman" w:hAnsi="Times New Roman" w:cs="Times New Roman"/>
          <w:bCs/>
          <w:sz w:val="24"/>
          <w:szCs w:val="24"/>
        </w:rPr>
        <w:t>"</w:t>
      </w:r>
      <w:r w:rsidRPr="00547E94">
        <w:rPr>
          <w:rFonts w:ascii="Times New Roman" w:hAnsi="Times New Roman" w:cs="Times New Roman"/>
          <w:bCs/>
          <w:sz w:val="24"/>
          <w:szCs w:val="24"/>
        </w:rPr>
        <w:t>.</w:t>
      </w:r>
    </w:p>
    <w:p w:rsidR="00547E94" w:rsidRPr="00547E94" w:rsidRDefault="00547E94" w:rsidP="00547E94">
      <w:pPr>
        <w:spacing w:after="0" w:line="240" w:lineRule="auto"/>
        <w:ind w:firstLine="720"/>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2013.gadā plānota Vides politikas pamatnostādņu izstrāde 2014.</w:t>
      </w:r>
      <w:r w:rsidR="001901F1">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2020.gad</w:t>
      </w:r>
      <w:r w:rsidRPr="00547E94">
        <w:rPr>
          <w:rFonts w:ascii="Times New Roman" w:hAnsi="Times New Roman" w:cs="Times New Roman"/>
          <w:sz w:val="24"/>
          <w:szCs w:val="24"/>
        </w:rPr>
        <w:t>am, izvirzot mērķus un uzdevumus nākamajam plānošanas p</w:t>
      </w:r>
      <w:r w:rsidR="001901F1">
        <w:rPr>
          <w:rFonts w:ascii="Times New Roman" w:hAnsi="Times New Roman" w:cs="Times New Roman"/>
          <w:sz w:val="24"/>
          <w:szCs w:val="24"/>
        </w:rPr>
        <w:t>eriodam un sasaistot tos ar NAP un</w:t>
      </w:r>
      <w:r w:rsidRPr="00547E94">
        <w:rPr>
          <w:rFonts w:ascii="Times New Roman" w:hAnsi="Times New Roman" w:cs="Times New Roman"/>
          <w:sz w:val="24"/>
          <w:szCs w:val="24"/>
        </w:rPr>
        <w:t xml:space="preserve"> ES budžeta plānošanas periodu, kā arī plānots izstrādāt </w:t>
      </w:r>
      <w:r w:rsidRPr="00547E94">
        <w:rPr>
          <w:rFonts w:ascii="Times New Roman" w:eastAsia="Times New Roman" w:hAnsi="Times New Roman" w:cs="Times New Roman"/>
          <w:sz w:val="24"/>
          <w:szCs w:val="24"/>
        </w:rPr>
        <w:t>Vides monitoringa programmas pamatnostādnes 2013.</w:t>
      </w:r>
      <w:r w:rsidR="001901F1">
        <w:rPr>
          <w:rFonts w:ascii="Times New Roman" w:eastAsia="Times New Roman" w:hAnsi="Times New Roman" w:cs="Times New Roman"/>
          <w:sz w:val="24"/>
          <w:szCs w:val="24"/>
        </w:rPr>
        <w:t>–</w:t>
      </w:r>
      <w:r w:rsidRPr="00547E94">
        <w:rPr>
          <w:rFonts w:ascii="Times New Roman" w:eastAsia="Times New Roman" w:hAnsi="Times New Roman" w:cs="Times New Roman"/>
          <w:sz w:val="24"/>
          <w:szCs w:val="24"/>
        </w:rPr>
        <w:t>2018.gadam.</w:t>
      </w:r>
    </w:p>
    <w:p w:rsidR="00547E94" w:rsidRPr="008E72D3" w:rsidRDefault="00547E94" w:rsidP="00547E94">
      <w:pPr>
        <w:pStyle w:val="Heading3"/>
      </w:pPr>
      <w:bookmarkStart w:id="139" w:name="_Toc348948402"/>
      <w:r w:rsidRPr="008E72D3">
        <w:t>5.2. Dabas aizsardzība</w:t>
      </w:r>
      <w:bookmarkEnd w:id="139"/>
    </w:p>
    <w:p w:rsidR="00547E94" w:rsidRPr="00547E94" w:rsidRDefault="00547E94" w:rsidP="00547E94">
      <w:pPr>
        <w:autoSpaceDE w:val="0"/>
        <w:autoSpaceDN w:val="0"/>
        <w:adjustRightInd w:val="0"/>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 xml:space="preserve">2012.gadā publiskai izmantošanai nodota vienotā īpaši aizsargājamo dabas teritoriju un mikroliegumu aizsardzības un apsaimniekošanas pasākumu plānošanas un ieviešanas dabas datu informācijas sistēma </w:t>
      </w:r>
      <w:r w:rsidR="00B167ED">
        <w:rPr>
          <w:rFonts w:ascii="Times New Roman" w:hAnsi="Times New Roman" w:cs="Times New Roman"/>
          <w:sz w:val="24"/>
          <w:szCs w:val="24"/>
        </w:rPr>
        <w:t>"</w:t>
      </w:r>
      <w:r w:rsidRPr="00547E94">
        <w:rPr>
          <w:rFonts w:ascii="Times New Roman" w:hAnsi="Times New Roman" w:cs="Times New Roman"/>
          <w:sz w:val="24"/>
          <w:szCs w:val="24"/>
        </w:rPr>
        <w:t>Ozols</w:t>
      </w:r>
      <w:r w:rsidR="00B167ED">
        <w:rPr>
          <w:rFonts w:ascii="Times New Roman" w:hAnsi="Times New Roman" w:cs="Times New Roman"/>
          <w:sz w:val="24"/>
          <w:szCs w:val="24"/>
        </w:rPr>
        <w:t>"</w:t>
      </w:r>
      <w:r w:rsidRPr="00547E94">
        <w:rPr>
          <w:rFonts w:ascii="Times New Roman" w:hAnsi="Times New Roman" w:cs="Times New Roman"/>
          <w:sz w:val="24"/>
          <w:szCs w:val="24"/>
        </w:rPr>
        <w:t xml:space="preserve">. Sistēmas izveide nodrošina brīvu </w:t>
      </w:r>
      <w:r w:rsidRPr="00547E94">
        <w:rPr>
          <w:rFonts w:ascii="Times New Roman" w:hAnsi="Times New Roman" w:cs="Times New Roman"/>
          <w:sz w:val="24"/>
          <w:szCs w:val="24"/>
        </w:rPr>
        <w:lastRenderedPageBreak/>
        <w:t>pieeju pilnīgai informācijai par īpaši aizsargājamām dabas teritorijām, mikroliegumiem un aizsargājamiem biotopiem Latvijā un atvieglo lēmumu pieņemšanu visās darbības jomās, kas var skart šīs teritorijas</w:t>
      </w:r>
      <w:r w:rsidRPr="00547E94">
        <w:rPr>
          <w:rFonts w:ascii="Times New Roman" w:hAnsi="Times New Roman"/>
          <w:sz w:val="24"/>
          <w:szCs w:val="24"/>
        </w:rPr>
        <w:t xml:space="preserve"> (</w:t>
      </w:r>
      <w:hyperlink r:id="rId26" w:history="1">
        <w:r w:rsidRPr="00547E94">
          <w:rPr>
            <w:rStyle w:val="Hyperlink"/>
            <w:rFonts w:ascii="Times New Roman" w:hAnsi="Times New Roman"/>
            <w:color w:val="auto"/>
            <w:sz w:val="24"/>
            <w:szCs w:val="24"/>
          </w:rPr>
          <w:t>http://ozols.daba.gov.lv</w:t>
        </w:r>
      </w:hyperlink>
      <w:r w:rsidRPr="00547E94">
        <w:rPr>
          <w:rFonts w:ascii="Times New Roman" w:hAnsi="Times New Roman"/>
          <w:sz w:val="24"/>
          <w:szCs w:val="24"/>
        </w:rPr>
        <w:t>)</w:t>
      </w:r>
      <w:r w:rsidRPr="00547E94">
        <w:rPr>
          <w:rFonts w:ascii="Times New Roman" w:hAnsi="Times New Roman" w:cs="Times New Roman"/>
          <w:sz w:val="24"/>
          <w:szCs w:val="24"/>
        </w:rPr>
        <w:t>.</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Lai veidotu Latvijas kā starptautiski atpazīstamas ekoloģiski tīras valsts tēlu un paplašinātu cilvēku izpratni par vidi, 2012.gada vasarā ar Latvijas vides aizsardzības fonda atbalstu tika organizēta kārtējā ikgadējā Dabas koncertzāle. Bezmaksas koncertu Demenes pagastā</w:t>
      </w:r>
      <w:r w:rsidR="001901F1">
        <w:rPr>
          <w:rFonts w:ascii="Times New Roman" w:hAnsi="Times New Roman" w:cs="Times New Roman"/>
          <w:sz w:val="24"/>
          <w:szCs w:val="24"/>
        </w:rPr>
        <w:t>,</w:t>
      </w:r>
      <w:r w:rsidRPr="00547E94">
        <w:rPr>
          <w:rFonts w:ascii="Times New Roman" w:hAnsi="Times New Roman" w:cs="Times New Roman"/>
          <w:sz w:val="24"/>
          <w:szCs w:val="24"/>
        </w:rPr>
        <w:t xml:space="preserve"> Daugavpils novadā</w:t>
      </w:r>
      <w:r w:rsidR="001901F1">
        <w:rPr>
          <w:rFonts w:ascii="Times New Roman" w:hAnsi="Times New Roman" w:cs="Times New Roman"/>
          <w:sz w:val="24"/>
          <w:szCs w:val="24"/>
        </w:rPr>
        <w:t>,</w:t>
      </w:r>
      <w:r w:rsidRPr="00547E94">
        <w:rPr>
          <w:rFonts w:ascii="Times New Roman" w:hAnsi="Times New Roman" w:cs="Times New Roman"/>
          <w:sz w:val="24"/>
          <w:szCs w:val="24"/>
        </w:rPr>
        <w:t xml:space="preserve"> apmeklēja apmēram 4500 cilvēk</w:t>
      </w:r>
      <w:r w:rsidR="001901F1">
        <w:rPr>
          <w:rFonts w:ascii="Times New Roman" w:hAnsi="Times New Roman" w:cs="Times New Roman"/>
          <w:sz w:val="24"/>
          <w:szCs w:val="24"/>
        </w:rPr>
        <w:t>u</w:t>
      </w:r>
      <w:r w:rsidRPr="00547E94">
        <w:rPr>
          <w:rFonts w:ascii="Times New Roman" w:hAnsi="Times New Roman" w:cs="Times New Roman"/>
          <w:sz w:val="24"/>
          <w:szCs w:val="24"/>
        </w:rPr>
        <w:t xml:space="preserve"> no visas Latvijas.</w:t>
      </w:r>
    </w:p>
    <w:p w:rsidR="00547E94" w:rsidRPr="00547E94" w:rsidRDefault="00547E94" w:rsidP="00547E94">
      <w:pPr>
        <w:spacing w:after="0" w:line="240" w:lineRule="auto"/>
        <w:ind w:firstLine="720"/>
        <w:jc w:val="both"/>
        <w:rPr>
          <w:rFonts w:ascii="Times New Roman" w:eastAsia="Times New Roman" w:hAnsi="Times New Roman" w:cs="Times New Roman"/>
          <w:sz w:val="24"/>
          <w:szCs w:val="24"/>
        </w:rPr>
      </w:pPr>
      <w:r w:rsidRPr="00547E94">
        <w:rPr>
          <w:rFonts w:ascii="Times New Roman" w:eastAsia="Times New Roman" w:hAnsi="Times New Roman" w:cs="Times New Roman"/>
          <w:sz w:val="24"/>
          <w:szCs w:val="24"/>
        </w:rPr>
        <w:t>Vien</w:t>
      </w:r>
      <w:r w:rsidRPr="00547E94">
        <w:rPr>
          <w:rFonts w:ascii="Times New Roman" w:hAnsi="Times New Roman" w:cs="Times New Roman"/>
          <w:sz w:val="24"/>
          <w:szCs w:val="24"/>
        </w:rPr>
        <w:t>s</w:t>
      </w:r>
      <w:r w:rsidRPr="00547E94">
        <w:rPr>
          <w:rFonts w:ascii="Times New Roman" w:eastAsia="Times New Roman" w:hAnsi="Times New Roman" w:cs="Times New Roman"/>
          <w:sz w:val="24"/>
          <w:szCs w:val="24"/>
        </w:rPr>
        <w:t xml:space="preserve"> no 2013.gada </w:t>
      </w:r>
      <w:r w:rsidRPr="00547E94">
        <w:rPr>
          <w:rFonts w:ascii="Times New Roman" w:hAnsi="Times New Roman" w:cs="Times New Roman"/>
          <w:sz w:val="24"/>
          <w:szCs w:val="24"/>
        </w:rPr>
        <w:t>būtiskākajiem</w:t>
      </w:r>
      <w:r w:rsidRPr="00547E94">
        <w:rPr>
          <w:rFonts w:ascii="Times New Roman" w:eastAsia="Times New Roman" w:hAnsi="Times New Roman" w:cs="Times New Roman"/>
          <w:sz w:val="24"/>
          <w:szCs w:val="24"/>
        </w:rPr>
        <w:t xml:space="preserve"> uzdevumiem dabas aizsardzības jomā </w:t>
      </w:r>
      <w:r w:rsidR="001901F1">
        <w:rPr>
          <w:rFonts w:ascii="Times New Roman" w:hAnsi="Times New Roman" w:cs="Times New Roman"/>
          <w:sz w:val="24"/>
          <w:szCs w:val="24"/>
        </w:rPr>
        <w:t xml:space="preserve">ir </w:t>
      </w:r>
      <w:r w:rsidRPr="00547E94">
        <w:rPr>
          <w:rFonts w:ascii="Times New Roman" w:eastAsia="Times New Roman" w:hAnsi="Times New Roman" w:cs="Times New Roman"/>
          <w:sz w:val="24"/>
          <w:szCs w:val="24"/>
        </w:rPr>
        <w:t>kompensāciju maksājumu atjaunošana par saimnieciskās darbības ierobežojumiem īpaši aizsargājamās dabas teritorijās.</w:t>
      </w:r>
    </w:p>
    <w:p w:rsidR="00547E94" w:rsidRPr="008E72D3" w:rsidRDefault="00547E94" w:rsidP="00547E94">
      <w:pPr>
        <w:pStyle w:val="Heading3"/>
      </w:pPr>
      <w:bookmarkStart w:id="140" w:name="_Toc348948403"/>
      <w:r w:rsidRPr="008E72D3">
        <w:rPr>
          <w:rFonts w:eastAsia="Times New Roman"/>
        </w:rPr>
        <w:t>5.3. Klimata pārmaiņas</w:t>
      </w:r>
      <w:bookmarkEnd w:id="140"/>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 xml:space="preserve">2012.gadā notika aktīva gatavošanās </w:t>
      </w:r>
      <w:r w:rsidR="00481904">
        <w:rPr>
          <w:rFonts w:ascii="Times New Roman" w:hAnsi="Times New Roman" w:cs="Times New Roman"/>
          <w:sz w:val="24"/>
          <w:szCs w:val="24"/>
        </w:rPr>
        <w:t>EK</w:t>
      </w:r>
      <w:r w:rsidRPr="00547E94">
        <w:rPr>
          <w:rFonts w:ascii="Times New Roman" w:hAnsi="Times New Roman" w:cs="Times New Roman"/>
          <w:sz w:val="24"/>
          <w:szCs w:val="24"/>
        </w:rPr>
        <w:t xml:space="preserve"> Emisijas kvotu tirdzniecības sistēmas (ES ETS) 3.periodam (2013.</w:t>
      </w:r>
      <w:r w:rsidR="001901F1">
        <w:rPr>
          <w:rFonts w:ascii="Times New Roman" w:hAnsi="Times New Roman" w:cs="Times New Roman"/>
          <w:sz w:val="24"/>
          <w:szCs w:val="24"/>
        </w:rPr>
        <w:t>–</w:t>
      </w:r>
      <w:r w:rsidRPr="00547E94">
        <w:rPr>
          <w:rFonts w:ascii="Times New Roman" w:hAnsi="Times New Roman" w:cs="Times New Roman"/>
          <w:sz w:val="24"/>
          <w:szCs w:val="24"/>
        </w:rPr>
        <w:t>2020.gad</w:t>
      </w:r>
      <w:r w:rsidR="001901F1">
        <w:rPr>
          <w:rFonts w:ascii="Times New Roman" w:hAnsi="Times New Roman" w:cs="Times New Roman"/>
          <w:sz w:val="24"/>
          <w:szCs w:val="24"/>
        </w:rPr>
        <w:t>s</w:t>
      </w:r>
      <w:r w:rsidRPr="00547E94">
        <w:rPr>
          <w:rFonts w:ascii="Times New Roman" w:hAnsi="Times New Roman" w:cs="Times New Roman"/>
          <w:sz w:val="24"/>
          <w:szCs w:val="24"/>
        </w:rPr>
        <w:t>), līdz ar to Latvijai kopējais ES ETS 2.periodam (2008.</w:t>
      </w:r>
      <w:r w:rsidR="003A552F">
        <w:rPr>
          <w:rFonts w:ascii="Times New Roman" w:hAnsi="Times New Roman" w:cs="Times New Roman"/>
          <w:sz w:val="24"/>
          <w:szCs w:val="24"/>
        </w:rPr>
        <w:t>–</w:t>
      </w:r>
      <w:r w:rsidRPr="00547E94">
        <w:rPr>
          <w:rFonts w:ascii="Times New Roman" w:hAnsi="Times New Roman" w:cs="Times New Roman"/>
          <w:sz w:val="24"/>
          <w:szCs w:val="24"/>
        </w:rPr>
        <w:t>2012.gads) noteiktais emisijas kvotu apjoms palielināts no 16 992 415 uz 31 265 730 emisijas kvotām, bet jauno iekārtu rezervē esošais emisijas kvotu apjoms palielināts no 4 003 695 uz 16 025 095 emisijas kvotām.</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 xml:space="preserve">Pilnveidota normatīvo aktu bāze siltumnīcefekta gāzu emisiju nacionālās sistēmas darbībai, lai nodrošinātu pēc iespējas labākas kvalitātes ikgadējās emisiju inventarizācijas </w:t>
      </w:r>
      <w:r w:rsidR="003A552F" w:rsidRPr="00547E94">
        <w:rPr>
          <w:rFonts w:ascii="Times New Roman" w:hAnsi="Times New Roman" w:cs="Times New Roman"/>
          <w:sz w:val="24"/>
          <w:szCs w:val="24"/>
        </w:rPr>
        <w:t xml:space="preserve">sagatavošanu </w:t>
      </w:r>
      <w:r w:rsidRPr="00547E94">
        <w:rPr>
          <w:rFonts w:ascii="Times New Roman" w:hAnsi="Times New Roman" w:cs="Times New Roman"/>
          <w:sz w:val="24"/>
          <w:szCs w:val="24"/>
        </w:rPr>
        <w:t>nozaru griezumā, nodrošināta Latvijas gatavība Kioto protokola 2.periodam (2013.</w:t>
      </w:r>
      <w:r w:rsidR="003A552F">
        <w:rPr>
          <w:rFonts w:ascii="Times New Roman" w:hAnsi="Times New Roman" w:cs="Times New Roman"/>
          <w:sz w:val="24"/>
          <w:szCs w:val="24"/>
        </w:rPr>
        <w:t>–</w:t>
      </w:r>
      <w:r w:rsidRPr="00547E94">
        <w:rPr>
          <w:rFonts w:ascii="Times New Roman" w:hAnsi="Times New Roman" w:cs="Times New Roman"/>
          <w:sz w:val="24"/>
          <w:szCs w:val="24"/>
        </w:rPr>
        <w:t>2020.gads)</w:t>
      </w:r>
      <w:r w:rsidR="003A552F">
        <w:rPr>
          <w:rFonts w:ascii="Times New Roman" w:hAnsi="Times New Roman" w:cs="Times New Roman"/>
          <w:sz w:val="24"/>
          <w:szCs w:val="24"/>
        </w:rPr>
        <w:t>, kā arī</w:t>
      </w:r>
      <w:r w:rsidRPr="00547E94">
        <w:rPr>
          <w:rFonts w:ascii="Times New Roman" w:hAnsi="Times New Roman" w:cs="Times New Roman"/>
          <w:sz w:val="24"/>
          <w:szCs w:val="24"/>
        </w:rPr>
        <w:t xml:space="preserve"> Latvijai noteikts ikgadējais emisiju sadales apjoms turpmākajiem astoņiem gadiem.</w:t>
      </w:r>
    </w:p>
    <w:p w:rsidR="00547E94" w:rsidRPr="00547E94" w:rsidRDefault="00547E94" w:rsidP="00547E94">
      <w:pPr>
        <w:spacing w:after="0" w:line="240" w:lineRule="auto"/>
        <w:ind w:firstLine="720"/>
        <w:jc w:val="both"/>
        <w:rPr>
          <w:rFonts w:ascii="Times New Roman" w:hAnsi="Times New Roman" w:cs="Times New Roman"/>
          <w:sz w:val="24"/>
          <w:szCs w:val="24"/>
        </w:rPr>
      </w:pPr>
      <w:r w:rsidRPr="00547E94">
        <w:rPr>
          <w:rFonts w:ascii="Times New Roman" w:hAnsi="Times New Roman" w:cs="Times New Roman"/>
          <w:sz w:val="24"/>
          <w:szCs w:val="24"/>
        </w:rPr>
        <w:t>Pirmo reizi Latvijā projektam tika piešķirts kopīgi īstenojamā projekta statuss, kas ir viens no nozīmīgākajiem Kioto protokola finanšu mehānismiem.</w:t>
      </w:r>
    </w:p>
    <w:p w:rsidR="00547E94" w:rsidRPr="008E72D3" w:rsidRDefault="00547E94" w:rsidP="00547E94">
      <w:pPr>
        <w:pStyle w:val="Heading3"/>
        <w:rPr>
          <w:rFonts w:eastAsia="Times New Roman"/>
        </w:rPr>
      </w:pPr>
      <w:bookmarkStart w:id="141" w:name="_Toc348948404"/>
      <w:r w:rsidRPr="008E72D3">
        <w:rPr>
          <w:rFonts w:eastAsia="Times New Roman"/>
        </w:rPr>
        <w:t>5.4. Ieguldījumi infrastruktūras attīstībā</w:t>
      </w:r>
      <w:bookmarkEnd w:id="141"/>
    </w:p>
    <w:p w:rsidR="00547E94" w:rsidRPr="008E72D3" w:rsidRDefault="00547E94" w:rsidP="00547E94">
      <w:pPr>
        <w:pStyle w:val="Heading4"/>
        <w:rPr>
          <w:rFonts w:eastAsia="Times New Roman"/>
        </w:rPr>
      </w:pPr>
      <w:r w:rsidRPr="008E72D3">
        <w:rPr>
          <w:rFonts w:eastAsia="Times New Roman"/>
        </w:rPr>
        <w:t>5.4.1. Ūdenssaimniecība un atkritumu apsaimniekošana</w:t>
      </w:r>
    </w:p>
    <w:p w:rsidR="00547E94" w:rsidRPr="005F513B" w:rsidRDefault="00547E94" w:rsidP="005F513B">
      <w:pPr>
        <w:spacing w:after="0" w:line="240" w:lineRule="auto"/>
        <w:ind w:firstLine="720"/>
        <w:jc w:val="both"/>
        <w:rPr>
          <w:rFonts w:ascii="Times New Roman" w:hAnsi="Times New Roman" w:cs="Times New Roman"/>
          <w:sz w:val="24"/>
          <w:szCs w:val="24"/>
          <w:highlight w:val="yellow"/>
        </w:rPr>
      </w:pPr>
      <w:r w:rsidRPr="005F513B">
        <w:rPr>
          <w:rFonts w:ascii="Times New Roman" w:eastAsia="Times New Roman" w:hAnsi="Times New Roman" w:cs="Times New Roman"/>
          <w:sz w:val="24"/>
          <w:szCs w:val="24"/>
        </w:rPr>
        <w:t>Uzņēmējdarbības vides izveidei un ekonomikas izaugsmei ir nodrošināti ieguldījumi infrastruktūras attīstībā</w:t>
      </w:r>
      <w:r w:rsidR="00481904">
        <w:rPr>
          <w:rFonts w:ascii="Times New Roman" w:hAnsi="Times New Roman" w:cs="Times New Roman"/>
          <w:sz w:val="24"/>
          <w:szCs w:val="24"/>
        </w:rPr>
        <w:t xml:space="preserve">. </w:t>
      </w:r>
      <w:r w:rsidR="003A552F">
        <w:rPr>
          <w:rFonts w:ascii="Times New Roman" w:eastAsia="Times New Roman" w:hAnsi="Times New Roman" w:cs="Times New Roman"/>
          <w:sz w:val="24"/>
          <w:szCs w:val="24"/>
        </w:rPr>
        <w:t>2012.</w:t>
      </w:r>
      <w:r w:rsidRPr="005F513B">
        <w:rPr>
          <w:rFonts w:ascii="Times New Roman" w:eastAsia="Times New Roman" w:hAnsi="Times New Roman" w:cs="Times New Roman"/>
          <w:sz w:val="24"/>
          <w:szCs w:val="24"/>
        </w:rPr>
        <w:t>gadā nodrošināti kvalitatīvi ūdenssaimniecības pakalpojumi 8 pilsētās un 100 apdzīvotās vietās, t.i., 108 ūdenssaimniecības uzņēmumi uzlabojuši pakalpojumu kvalitāti. Kopumā palielinājies to iedzīvotāju īpatsvars, kuriem nodrošināti kvalitatīvi ūdensapgādes un notekūdeņu savākš</w:t>
      </w:r>
      <w:r w:rsidR="00481904">
        <w:rPr>
          <w:rFonts w:ascii="Times New Roman" w:eastAsia="Times New Roman" w:hAnsi="Times New Roman" w:cs="Times New Roman"/>
          <w:sz w:val="24"/>
          <w:szCs w:val="24"/>
        </w:rPr>
        <w:t>anas un attīrīšanas pakalpojumi. R</w:t>
      </w:r>
      <w:r w:rsidRPr="005F513B">
        <w:rPr>
          <w:rFonts w:ascii="Times New Roman" w:eastAsia="Times New Roman" w:hAnsi="Times New Roman" w:cs="Times New Roman"/>
          <w:sz w:val="24"/>
          <w:szCs w:val="24"/>
        </w:rPr>
        <w:t>ekultivētas 11</w:t>
      </w:r>
      <w:r w:rsidRPr="005F513B">
        <w:rPr>
          <w:rFonts w:ascii="Times New Roman" w:hAnsi="Times New Roman" w:cs="Times New Roman"/>
          <w:sz w:val="24"/>
          <w:szCs w:val="24"/>
        </w:rPr>
        <w:t> </w:t>
      </w:r>
      <w:r w:rsidRPr="005F513B">
        <w:rPr>
          <w:rFonts w:ascii="Times New Roman" w:eastAsia="Times New Roman" w:hAnsi="Times New Roman" w:cs="Times New Roman"/>
          <w:sz w:val="24"/>
          <w:szCs w:val="24"/>
        </w:rPr>
        <w:t xml:space="preserve">atkritumu izgāztuves 11 ha platībā, </w:t>
      </w:r>
      <w:r w:rsidRPr="005F513B">
        <w:rPr>
          <w:rFonts w:ascii="Times New Roman" w:hAnsi="Times New Roman" w:cs="Times New Roman"/>
          <w:sz w:val="24"/>
          <w:szCs w:val="24"/>
        </w:rPr>
        <w:t>s</w:t>
      </w:r>
      <w:r w:rsidRPr="005F513B">
        <w:rPr>
          <w:rFonts w:ascii="Times New Roman" w:eastAsia="Times New Roman" w:hAnsi="Times New Roman" w:cs="Times New Roman"/>
          <w:sz w:val="24"/>
          <w:szCs w:val="24"/>
        </w:rPr>
        <w:t xml:space="preserve">adzīves atkritumu poligona </w:t>
      </w:r>
      <w:r w:rsidR="00B167ED">
        <w:rPr>
          <w:rFonts w:ascii="Times New Roman" w:eastAsia="Times New Roman" w:hAnsi="Times New Roman" w:cs="Times New Roman"/>
          <w:sz w:val="24"/>
          <w:szCs w:val="24"/>
        </w:rPr>
        <w:t>"</w:t>
      </w:r>
      <w:r w:rsidRPr="005F513B">
        <w:rPr>
          <w:rFonts w:ascii="Times New Roman" w:eastAsia="Times New Roman" w:hAnsi="Times New Roman" w:cs="Times New Roman"/>
          <w:sz w:val="24"/>
          <w:szCs w:val="24"/>
        </w:rPr>
        <w:t>Getliņi</w:t>
      </w:r>
      <w:r w:rsidR="00B167ED">
        <w:rPr>
          <w:rFonts w:ascii="Times New Roman" w:eastAsia="Times New Roman" w:hAnsi="Times New Roman" w:cs="Times New Roman"/>
          <w:sz w:val="24"/>
          <w:szCs w:val="24"/>
        </w:rPr>
        <w:t>"</w:t>
      </w:r>
      <w:r w:rsidRPr="005F513B">
        <w:rPr>
          <w:rFonts w:ascii="Times New Roman" w:eastAsia="Times New Roman" w:hAnsi="Times New Roman" w:cs="Times New Roman"/>
          <w:sz w:val="24"/>
          <w:szCs w:val="24"/>
        </w:rPr>
        <w:t xml:space="preserve"> </w:t>
      </w:r>
      <w:r w:rsidRPr="005F513B">
        <w:rPr>
          <w:rFonts w:ascii="Times New Roman" w:hAnsi="Times New Roman" w:cs="Times New Roman"/>
          <w:sz w:val="24"/>
          <w:szCs w:val="24"/>
        </w:rPr>
        <w:t>atkritumu</w:t>
      </w:r>
      <w:r w:rsidRPr="005F513B">
        <w:rPr>
          <w:rFonts w:ascii="Times New Roman" w:eastAsia="Times New Roman" w:hAnsi="Times New Roman" w:cs="Times New Roman"/>
          <w:sz w:val="24"/>
          <w:szCs w:val="24"/>
        </w:rPr>
        <w:t xml:space="preserve"> pieņemšanas un apstrādes zonā uzstādīti ārējie optiskie tīkli, kā arī, atbalstot komersantus, Brocēnu</w:t>
      </w:r>
      <w:r w:rsidR="003A552F">
        <w:rPr>
          <w:rFonts w:ascii="Times New Roman" w:eastAsia="Times New Roman" w:hAnsi="Times New Roman" w:cs="Times New Roman"/>
          <w:sz w:val="24"/>
          <w:szCs w:val="24"/>
        </w:rPr>
        <w:t xml:space="preserve"> novadā</w:t>
      </w:r>
      <w:r w:rsidRPr="005F513B">
        <w:rPr>
          <w:rFonts w:ascii="Times New Roman" w:eastAsia="Times New Roman" w:hAnsi="Times New Roman" w:cs="Times New Roman"/>
          <w:sz w:val="24"/>
          <w:szCs w:val="24"/>
        </w:rPr>
        <w:t xml:space="preserve"> un Ogres novad</w:t>
      </w:r>
      <w:r w:rsidR="003A552F">
        <w:rPr>
          <w:rFonts w:ascii="Times New Roman" w:eastAsia="Times New Roman" w:hAnsi="Times New Roman" w:cs="Times New Roman"/>
          <w:sz w:val="24"/>
          <w:szCs w:val="24"/>
        </w:rPr>
        <w:t>ā</w:t>
      </w:r>
      <w:r w:rsidRPr="005F513B">
        <w:rPr>
          <w:rFonts w:ascii="Times New Roman" w:eastAsia="Times New Roman" w:hAnsi="Times New Roman" w:cs="Times New Roman"/>
          <w:sz w:val="24"/>
          <w:szCs w:val="24"/>
        </w:rPr>
        <w:t xml:space="preserve"> ir izbūvēt</w:t>
      </w:r>
      <w:r w:rsidRPr="005F513B">
        <w:rPr>
          <w:rFonts w:ascii="Times New Roman" w:hAnsi="Times New Roman" w:cs="Times New Roman"/>
          <w:sz w:val="24"/>
          <w:szCs w:val="24"/>
        </w:rPr>
        <w:t>as</w:t>
      </w:r>
      <w:r w:rsidRPr="005F513B">
        <w:rPr>
          <w:rFonts w:ascii="Times New Roman" w:eastAsia="Times New Roman" w:hAnsi="Times New Roman" w:cs="Times New Roman"/>
          <w:sz w:val="24"/>
          <w:szCs w:val="24"/>
        </w:rPr>
        <w:t xml:space="preserve"> sadzīves atkritumu šķirošanas un </w:t>
      </w:r>
      <w:r w:rsidRPr="005F513B">
        <w:rPr>
          <w:rFonts w:ascii="Times New Roman" w:hAnsi="Times New Roman" w:cs="Times New Roman"/>
          <w:sz w:val="24"/>
          <w:szCs w:val="24"/>
        </w:rPr>
        <w:t>pārkraušanas</w:t>
      </w:r>
      <w:r w:rsidRPr="005F513B">
        <w:rPr>
          <w:rFonts w:ascii="Times New Roman" w:eastAsia="Times New Roman" w:hAnsi="Times New Roman" w:cs="Times New Roman"/>
          <w:sz w:val="24"/>
          <w:szCs w:val="24"/>
        </w:rPr>
        <w:t xml:space="preserve"> stacijas</w:t>
      </w:r>
      <w:r w:rsidRPr="005F513B">
        <w:rPr>
          <w:rFonts w:ascii="Times New Roman" w:hAnsi="Times New Roman" w:cs="Times New Roman"/>
          <w:sz w:val="24"/>
          <w:szCs w:val="24"/>
        </w:rPr>
        <w:t>.</w:t>
      </w:r>
      <w:r w:rsidRPr="005F513B">
        <w:rPr>
          <w:rFonts w:ascii="Times New Roman" w:eastAsia="Times New Roman" w:hAnsi="Times New Roman" w:cs="Times New Roman"/>
          <w:sz w:val="24"/>
          <w:szCs w:val="24"/>
        </w:rPr>
        <w:t xml:space="preserve"> Ogres</w:t>
      </w:r>
      <w:r w:rsidR="003A552F">
        <w:rPr>
          <w:rFonts w:ascii="Times New Roman" w:eastAsia="Times New Roman" w:hAnsi="Times New Roman" w:cs="Times New Roman"/>
          <w:sz w:val="24"/>
          <w:szCs w:val="24"/>
        </w:rPr>
        <w:t xml:space="preserve"> novadā</w:t>
      </w:r>
      <w:r w:rsidRPr="005F513B">
        <w:rPr>
          <w:rFonts w:ascii="Times New Roman" w:eastAsia="Times New Roman" w:hAnsi="Times New Roman" w:cs="Times New Roman"/>
          <w:sz w:val="24"/>
          <w:szCs w:val="24"/>
        </w:rPr>
        <w:t>, Baldon</w:t>
      </w:r>
      <w:r w:rsidRPr="005F513B">
        <w:rPr>
          <w:rFonts w:ascii="Times New Roman" w:hAnsi="Times New Roman" w:cs="Times New Roman"/>
          <w:sz w:val="24"/>
          <w:szCs w:val="24"/>
        </w:rPr>
        <w:t>e</w:t>
      </w:r>
      <w:r w:rsidRPr="005F513B">
        <w:rPr>
          <w:rFonts w:ascii="Times New Roman" w:eastAsia="Times New Roman" w:hAnsi="Times New Roman" w:cs="Times New Roman"/>
          <w:sz w:val="24"/>
          <w:szCs w:val="24"/>
        </w:rPr>
        <w:t>s</w:t>
      </w:r>
      <w:r w:rsidR="003A552F">
        <w:rPr>
          <w:rFonts w:ascii="Times New Roman" w:eastAsia="Times New Roman" w:hAnsi="Times New Roman" w:cs="Times New Roman"/>
          <w:sz w:val="24"/>
          <w:szCs w:val="24"/>
        </w:rPr>
        <w:t xml:space="preserve"> novadā</w:t>
      </w:r>
      <w:r w:rsidRPr="005F513B">
        <w:rPr>
          <w:rFonts w:ascii="Times New Roman" w:eastAsia="Times New Roman" w:hAnsi="Times New Roman" w:cs="Times New Roman"/>
          <w:sz w:val="24"/>
          <w:szCs w:val="24"/>
        </w:rPr>
        <w:t xml:space="preserve">, Ikšķiles </w:t>
      </w:r>
      <w:r w:rsidR="003A552F">
        <w:rPr>
          <w:rFonts w:ascii="Times New Roman" w:eastAsia="Times New Roman" w:hAnsi="Times New Roman" w:cs="Times New Roman"/>
          <w:sz w:val="24"/>
          <w:szCs w:val="24"/>
        </w:rPr>
        <w:t xml:space="preserve">novadā </w:t>
      </w:r>
      <w:r w:rsidRPr="005F513B">
        <w:rPr>
          <w:rFonts w:ascii="Times New Roman" w:eastAsia="Times New Roman" w:hAnsi="Times New Roman" w:cs="Times New Roman"/>
          <w:sz w:val="24"/>
          <w:szCs w:val="24"/>
        </w:rPr>
        <w:t>un Lielvārdes novad</w:t>
      </w:r>
      <w:r w:rsidR="003A552F">
        <w:rPr>
          <w:rFonts w:ascii="Times New Roman" w:eastAsia="Times New Roman" w:hAnsi="Times New Roman" w:cs="Times New Roman"/>
          <w:sz w:val="24"/>
          <w:szCs w:val="24"/>
        </w:rPr>
        <w:t>ā</w:t>
      </w:r>
      <w:r w:rsidRPr="005F513B">
        <w:rPr>
          <w:rFonts w:ascii="Times New Roman" w:eastAsia="Times New Roman" w:hAnsi="Times New Roman" w:cs="Times New Roman"/>
          <w:sz w:val="24"/>
          <w:szCs w:val="24"/>
        </w:rPr>
        <w:t xml:space="preserve"> ir izbūvēti šķiroto atkritumu savākšanas la</w:t>
      </w:r>
      <w:r w:rsidRPr="005F513B">
        <w:rPr>
          <w:rFonts w:ascii="Times New Roman" w:hAnsi="Times New Roman" w:cs="Times New Roman"/>
          <w:sz w:val="24"/>
          <w:szCs w:val="24"/>
        </w:rPr>
        <w:t>u</w:t>
      </w:r>
      <w:r w:rsidRPr="005F513B">
        <w:rPr>
          <w:rFonts w:ascii="Times New Roman" w:eastAsia="Times New Roman" w:hAnsi="Times New Roman" w:cs="Times New Roman"/>
          <w:sz w:val="24"/>
          <w:szCs w:val="24"/>
        </w:rPr>
        <w:t>kumi.</w:t>
      </w:r>
    </w:p>
    <w:p w:rsidR="00547E94" w:rsidRPr="005F513B" w:rsidRDefault="00547E94" w:rsidP="005F513B">
      <w:pPr>
        <w:spacing w:after="0" w:line="240" w:lineRule="auto"/>
        <w:ind w:firstLine="720"/>
        <w:jc w:val="both"/>
        <w:rPr>
          <w:rFonts w:ascii="Times New Roman" w:eastAsia="Times New Roman" w:hAnsi="Times New Roman" w:cs="Times New Roman"/>
          <w:sz w:val="24"/>
          <w:szCs w:val="24"/>
        </w:rPr>
      </w:pPr>
      <w:r w:rsidRPr="005F513B">
        <w:rPr>
          <w:rFonts w:ascii="Times New Roman" w:eastAsia="Times New Roman" w:hAnsi="Times New Roman" w:cs="Times New Roman"/>
          <w:sz w:val="24"/>
          <w:szCs w:val="24"/>
        </w:rPr>
        <w:t xml:space="preserve">Viens no būtiskākajiem uzdevumiem 2013.gadā </w:t>
      </w:r>
      <w:r w:rsidR="003A552F">
        <w:rPr>
          <w:rFonts w:ascii="Times New Roman" w:hAnsi="Times New Roman" w:cs="Times New Roman"/>
          <w:sz w:val="24"/>
          <w:szCs w:val="24"/>
        </w:rPr>
        <w:t>ir</w:t>
      </w:r>
      <w:r w:rsidRPr="005F513B">
        <w:rPr>
          <w:rFonts w:ascii="Times New Roman" w:hAnsi="Times New Roman" w:cs="Times New Roman"/>
          <w:sz w:val="24"/>
          <w:szCs w:val="24"/>
        </w:rPr>
        <w:t xml:space="preserve"> </w:t>
      </w:r>
      <w:r w:rsidRPr="005F513B">
        <w:rPr>
          <w:rFonts w:ascii="Times New Roman" w:eastAsia="Times New Roman" w:hAnsi="Times New Roman" w:cs="Times New Roman"/>
          <w:sz w:val="24"/>
          <w:szCs w:val="24"/>
        </w:rPr>
        <w:t>vienot</w:t>
      </w:r>
      <w:r w:rsidRPr="005F513B">
        <w:rPr>
          <w:rFonts w:ascii="Times New Roman" w:hAnsi="Times New Roman" w:cs="Times New Roman"/>
          <w:sz w:val="24"/>
          <w:szCs w:val="24"/>
        </w:rPr>
        <w:t>u</w:t>
      </w:r>
      <w:r w:rsidRPr="005F513B">
        <w:rPr>
          <w:rFonts w:ascii="Times New Roman" w:eastAsia="Times New Roman" w:hAnsi="Times New Roman" w:cs="Times New Roman"/>
          <w:sz w:val="24"/>
          <w:szCs w:val="24"/>
        </w:rPr>
        <w:t xml:space="preserve"> prasīb</w:t>
      </w:r>
      <w:r w:rsidRPr="005F513B">
        <w:rPr>
          <w:rFonts w:ascii="Times New Roman" w:hAnsi="Times New Roman" w:cs="Times New Roman"/>
          <w:sz w:val="24"/>
          <w:szCs w:val="24"/>
        </w:rPr>
        <w:t xml:space="preserve">u </w:t>
      </w:r>
      <w:r w:rsidRPr="005F513B">
        <w:rPr>
          <w:rFonts w:ascii="Times New Roman" w:eastAsia="Times New Roman" w:hAnsi="Times New Roman" w:cs="Times New Roman"/>
          <w:sz w:val="24"/>
          <w:szCs w:val="24"/>
        </w:rPr>
        <w:t>noteik</w:t>
      </w:r>
      <w:r w:rsidRPr="005F513B">
        <w:rPr>
          <w:rFonts w:ascii="Times New Roman" w:hAnsi="Times New Roman" w:cs="Times New Roman"/>
          <w:sz w:val="24"/>
          <w:szCs w:val="24"/>
        </w:rPr>
        <w:t>šana</w:t>
      </w:r>
      <w:r w:rsidRPr="005F513B">
        <w:rPr>
          <w:rFonts w:ascii="Times New Roman" w:eastAsia="Times New Roman" w:hAnsi="Times New Roman" w:cs="Times New Roman"/>
          <w:sz w:val="24"/>
          <w:szCs w:val="24"/>
        </w:rPr>
        <w:t xml:space="preserve"> ūdenssaimniecības pakalpojumu sniegšanai un lietošanai un valsts un pašvaldību kompetences sadalījum</w:t>
      </w:r>
      <w:r w:rsidRPr="005F513B">
        <w:rPr>
          <w:rFonts w:ascii="Times New Roman" w:hAnsi="Times New Roman" w:cs="Times New Roman"/>
          <w:sz w:val="24"/>
          <w:szCs w:val="24"/>
        </w:rPr>
        <w:t>am</w:t>
      </w:r>
      <w:r w:rsidRPr="005F513B">
        <w:rPr>
          <w:rFonts w:ascii="Times New Roman" w:eastAsia="Times New Roman" w:hAnsi="Times New Roman" w:cs="Times New Roman"/>
          <w:sz w:val="24"/>
          <w:szCs w:val="24"/>
        </w:rPr>
        <w:t xml:space="preserve"> šajā jomā.</w:t>
      </w:r>
    </w:p>
    <w:p w:rsidR="00547E94" w:rsidRPr="005F513B" w:rsidRDefault="00547E94" w:rsidP="005F513B">
      <w:pPr>
        <w:spacing w:after="0" w:line="240" w:lineRule="auto"/>
        <w:ind w:firstLine="720"/>
        <w:jc w:val="both"/>
        <w:rPr>
          <w:rFonts w:ascii="Times New Roman" w:eastAsia="Times New Roman" w:hAnsi="Times New Roman" w:cs="Times New Roman"/>
          <w:sz w:val="24"/>
          <w:szCs w:val="24"/>
        </w:rPr>
      </w:pPr>
      <w:r w:rsidRPr="005F513B">
        <w:rPr>
          <w:rFonts w:ascii="Times New Roman" w:hAnsi="Times New Roman" w:cs="Times New Roman"/>
          <w:sz w:val="24"/>
          <w:szCs w:val="24"/>
        </w:rPr>
        <w:t>KF aktivitāšu ietvaros 2012.gadā projektu īstenošanai tika piešķirtas virssaistības 11,8 milj</w:t>
      </w:r>
      <w:r w:rsidR="003A552F">
        <w:rPr>
          <w:rFonts w:ascii="Times New Roman" w:hAnsi="Times New Roman" w:cs="Times New Roman"/>
          <w:sz w:val="24"/>
          <w:szCs w:val="24"/>
        </w:rPr>
        <w:t>. latu apmērā, tai skaitā</w:t>
      </w:r>
      <w:r w:rsidR="00481904">
        <w:rPr>
          <w:rFonts w:ascii="Times New Roman" w:hAnsi="Times New Roman" w:cs="Times New Roman"/>
          <w:sz w:val="24"/>
          <w:szCs w:val="24"/>
        </w:rPr>
        <w:t xml:space="preserve"> 11 </w:t>
      </w:r>
      <w:r w:rsidRPr="005F513B">
        <w:rPr>
          <w:rFonts w:ascii="Times New Roman" w:hAnsi="Times New Roman" w:cs="Times New Roman"/>
          <w:sz w:val="24"/>
          <w:szCs w:val="24"/>
        </w:rPr>
        <w:t>milj</w:t>
      </w:r>
      <w:r w:rsidR="003A552F">
        <w:rPr>
          <w:rFonts w:ascii="Times New Roman" w:hAnsi="Times New Roman" w:cs="Times New Roman"/>
          <w:sz w:val="24"/>
          <w:szCs w:val="24"/>
        </w:rPr>
        <w:t>.</w:t>
      </w:r>
      <w:r w:rsidRPr="005F513B">
        <w:rPr>
          <w:rFonts w:ascii="Times New Roman" w:hAnsi="Times New Roman" w:cs="Times New Roman"/>
          <w:sz w:val="24"/>
          <w:szCs w:val="24"/>
        </w:rPr>
        <w:t xml:space="preserve"> latu ūdenssaimniecības infrastruktūras attīstībai aglomerācijās ar cilvēku ekvivalentu lielāku par 2000 un 0,8 milj. latu normatīvo aktu prasībām neatbilstošo izgāztuvju rekultivācijai.</w:t>
      </w:r>
    </w:p>
    <w:p w:rsidR="00547E94" w:rsidRPr="008E72D3" w:rsidRDefault="00547E94" w:rsidP="00547E94">
      <w:pPr>
        <w:spacing w:after="0" w:line="240" w:lineRule="auto"/>
        <w:ind w:firstLine="720"/>
        <w:jc w:val="both"/>
        <w:rPr>
          <w:rFonts w:ascii="Times New Roman" w:eastAsia="Times New Roman" w:hAnsi="Times New Roman" w:cs="Times New Roman"/>
          <w:color w:val="0000CC"/>
          <w:sz w:val="24"/>
          <w:szCs w:val="24"/>
        </w:rPr>
      </w:pPr>
    </w:p>
    <w:p w:rsidR="00547E94" w:rsidRDefault="00547E94" w:rsidP="005F513B">
      <w:pPr>
        <w:pStyle w:val="Heading4"/>
      </w:pPr>
      <w:r w:rsidRPr="008E72D3">
        <w:rPr>
          <w:rFonts w:eastAsia="Times New Roman"/>
        </w:rPr>
        <w:lastRenderedPageBreak/>
        <w:t>5.4.2. </w:t>
      </w:r>
      <w:r w:rsidRPr="008E72D3">
        <w:t>Klimata pārmaiņu finanšu instruments</w:t>
      </w:r>
    </w:p>
    <w:p w:rsidR="00547E94" w:rsidRPr="005F513B" w:rsidRDefault="00547E94" w:rsidP="005F513B">
      <w:pPr>
        <w:spacing w:after="0" w:line="240" w:lineRule="auto"/>
        <w:ind w:firstLine="720"/>
        <w:jc w:val="both"/>
        <w:rPr>
          <w:rFonts w:ascii="Times New Roman" w:hAnsi="Times New Roman" w:cs="Times New Roman"/>
          <w:sz w:val="24"/>
          <w:szCs w:val="24"/>
        </w:rPr>
      </w:pPr>
      <w:r w:rsidRPr="005F513B">
        <w:rPr>
          <w:rFonts w:ascii="Times New Roman" w:hAnsi="Times New Roman" w:cs="Times New Roman"/>
          <w:sz w:val="24"/>
          <w:szCs w:val="24"/>
        </w:rPr>
        <w:t xml:space="preserve">Klimata pārmaiņu finanšu instrumenta (KPFI) ietvaros 2012.gadā tika uzstādītas tehnoloģiskās iekārtas siltumenerģijas un elektroenerģijas ražošanai no atjaunojamajiem energoresursiem </w:t>
      </w:r>
      <w:r w:rsidRPr="005F513B">
        <w:rPr>
          <w:rFonts w:ascii="Times New Roman" w:hAnsi="Times New Roman" w:cs="Times New Roman"/>
          <w:bCs/>
          <w:sz w:val="24"/>
          <w:szCs w:val="24"/>
        </w:rPr>
        <w:t>1300</w:t>
      </w:r>
      <w:r w:rsidRPr="005F513B">
        <w:rPr>
          <w:rFonts w:ascii="Times New Roman" w:hAnsi="Times New Roman" w:cs="Times New Roman"/>
          <w:sz w:val="24"/>
          <w:szCs w:val="24"/>
        </w:rPr>
        <w:t xml:space="preserve"> (kopš KPFI darbības sākuma </w:t>
      </w:r>
      <w:r w:rsidR="003A552F">
        <w:rPr>
          <w:rFonts w:ascii="Times New Roman" w:hAnsi="Times New Roman" w:cs="Times New Roman"/>
          <w:sz w:val="24"/>
          <w:szCs w:val="24"/>
        </w:rPr>
        <w:t>–</w:t>
      </w:r>
      <w:r w:rsidRPr="005F513B">
        <w:rPr>
          <w:rFonts w:ascii="Times New Roman" w:hAnsi="Times New Roman" w:cs="Times New Roman"/>
          <w:sz w:val="24"/>
          <w:szCs w:val="24"/>
        </w:rPr>
        <w:t xml:space="preserve"> 1509) mājsaimniecībās, nosiltinātas un veikti kompleksi pasākumi siltumnīcefekta gāzu emisiju samazināšanai </w:t>
      </w:r>
      <w:r w:rsidRPr="005F513B">
        <w:rPr>
          <w:rFonts w:ascii="Times New Roman" w:hAnsi="Times New Roman" w:cs="Times New Roman"/>
          <w:bCs/>
          <w:sz w:val="24"/>
          <w:szCs w:val="24"/>
        </w:rPr>
        <w:t xml:space="preserve">39 </w:t>
      </w:r>
      <w:r w:rsidRPr="005F513B">
        <w:rPr>
          <w:rFonts w:ascii="Times New Roman" w:hAnsi="Times New Roman" w:cs="Times New Roman"/>
          <w:sz w:val="24"/>
          <w:szCs w:val="24"/>
        </w:rPr>
        <w:t xml:space="preserve">(kopš KPFI darbības sākuma </w:t>
      </w:r>
      <w:r w:rsidR="003A552F">
        <w:rPr>
          <w:rFonts w:ascii="Times New Roman" w:hAnsi="Times New Roman" w:cs="Times New Roman"/>
          <w:sz w:val="24"/>
          <w:szCs w:val="24"/>
        </w:rPr>
        <w:t>–</w:t>
      </w:r>
      <w:r w:rsidRPr="005F513B">
        <w:rPr>
          <w:rFonts w:ascii="Times New Roman" w:hAnsi="Times New Roman" w:cs="Times New Roman"/>
          <w:sz w:val="24"/>
          <w:szCs w:val="24"/>
        </w:rPr>
        <w:t xml:space="preserve"> 262)</w:t>
      </w:r>
      <w:r w:rsidRPr="005F513B">
        <w:rPr>
          <w:rFonts w:ascii="Times New Roman" w:hAnsi="Times New Roman" w:cs="Times New Roman"/>
          <w:bCs/>
          <w:sz w:val="24"/>
          <w:szCs w:val="24"/>
        </w:rPr>
        <w:t xml:space="preserve"> </w:t>
      </w:r>
      <w:r w:rsidRPr="005F513B">
        <w:rPr>
          <w:rFonts w:ascii="Times New Roman" w:hAnsi="Times New Roman" w:cs="Times New Roman"/>
          <w:sz w:val="24"/>
          <w:szCs w:val="24"/>
        </w:rPr>
        <w:t>pašvaldību ēkās,</w:t>
      </w:r>
      <w:r w:rsidRPr="005F513B">
        <w:rPr>
          <w:rFonts w:ascii="Times New Roman" w:hAnsi="Times New Roman" w:cs="Times New Roman"/>
          <w:bCs/>
          <w:sz w:val="24"/>
          <w:szCs w:val="24"/>
        </w:rPr>
        <w:t xml:space="preserve"> 6</w:t>
      </w:r>
      <w:r w:rsidRPr="005F513B">
        <w:rPr>
          <w:rFonts w:ascii="Times New Roman" w:hAnsi="Times New Roman" w:cs="Times New Roman"/>
          <w:sz w:val="24"/>
          <w:szCs w:val="24"/>
        </w:rPr>
        <w:t xml:space="preserve"> profesionālās izglītības iestāžu un </w:t>
      </w:r>
      <w:r w:rsidRPr="005F513B">
        <w:rPr>
          <w:rFonts w:ascii="Times New Roman" w:hAnsi="Times New Roman" w:cs="Times New Roman"/>
          <w:bCs/>
          <w:sz w:val="24"/>
          <w:szCs w:val="24"/>
        </w:rPr>
        <w:t>42</w:t>
      </w:r>
      <w:r w:rsidR="003A552F">
        <w:rPr>
          <w:rFonts w:ascii="Times New Roman" w:hAnsi="Times New Roman" w:cs="Times New Roman"/>
          <w:sz w:val="24"/>
          <w:szCs w:val="24"/>
        </w:rPr>
        <w:t> </w:t>
      </w:r>
      <w:r w:rsidRPr="005F513B">
        <w:rPr>
          <w:rFonts w:ascii="Times New Roman" w:hAnsi="Times New Roman" w:cs="Times New Roman"/>
          <w:sz w:val="24"/>
          <w:szCs w:val="24"/>
        </w:rPr>
        <w:t xml:space="preserve">ražošanas ēkas. </w:t>
      </w:r>
      <w:r w:rsidRPr="005F513B">
        <w:rPr>
          <w:rFonts w:ascii="Times New Roman" w:hAnsi="Times New Roman" w:cs="Times New Roman"/>
          <w:bCs/>
          <w:sz w:val="24"/>
          <w:szCs w:val="24"/>
        </w:rPr>
        <w:t xml:space="preserve">44 </w:t>
      </w:r>
      <w:r w:rsidRPr="005F513B">
        <w:rPr>
          <w:rFonts w:ascii="Times New Roman" w:hAnsi="Times New Roman" w:cs="Times New Roman"/>
          <w:sz w:val="24"/>
          <w:szCs w:val="24"/>
        </w:rPr>
        <w:t xml:space="preserve">(kopš KPFI darbības sākuma </w:t>
      </w:r>
      <w:r w:rsidR="003A552F">
        <w:rPr>
          <w:rFonts w:ascii="Times New Roman" w:hAnsi="Times New Roman" w:cs="Times New Roman"/>
          <w:sz w:val="24"/>
          <w:szCs w:val="24"/>
        </w:rPr>
        <w:t>–</w:t>
      </w:r>
      <w:r w:rsidRPr="005F513B">
        <w:rPr>
          <w:rFonts w:ascii="Times New Roman" w:hAnsi="Times New Roman" w:cs="Times New Roman"/>
          <w:sz w:val="24"/>
          <w:szCs w:val="24"/>
        </w:rPr>
        <w:t xml:space="preserve"> 62)</w:t>
      </w:r>
      <w:r w:rsidRPr="005F513B">
        <w:rPr>
          <w:rFonts w:ascii="Times New Roman" w:hAnsi="Times New Roman" w:cs="Times New Roman"/>
          <w:bCs/>
          <w:sz w:val="24"/>
          <w:szCs w:val="24"/>
        </w:rPr>
        <w:t xml:space="preserve"> </w:t>
      </w:r>
      <w:r w:rsidRPr="005F513B">
        <w:rPr>
          <w:rFonts w:ascii="Times New Roman" w:hAnsi="Times New Roman" w:cs="Times New Roman"/>
          <w:sz w:val="24"/>
          <w:szCs w:val="24"/>
        </w:rPr>
        <w:t xml:space="preserve">projektu ietvaros uzstādītas atjaunojamo energoresursu tehnoloģijas siltumenerģijas un elektroenerģijas ražošanai komercsektorā, pašvaldībās, pārvaldes iestādēs. </w:t>
      </w:r>
    </w:p>
    <w:p w:rsidR="00547E94" w:rsidRPr="005F513B" w:rsidRDefault="00547E94" w:rsidP="005F513B">
      <w:pPr>
        <w:spacing w:after="0" w:line="240" w:lineRule="auto"/>
        <w:ind w:firstLine="720"/>
        <w:jc w:val="both"/>
        <w:rPr>
          <w:rFonts w:ascii="Times New Roman" w:hAnsi="Times New Roman" w:cs="Times New Roman"/>
          <w:sz w:val="24"/>
          <w:szCs w:val="24"/>
        </w:rPr>
      </w:pPr>
      <w:r w:rsidRPr="005F513B">
        <w:rPr>
          <w:rFonts w:ascii="Times New Roman" w:hAnsi="Times New Roman" w:cs="Times New Roman"/>
          <w:sz w:val="24"/>
          <w:szCs w:val="24"/>
        </w:rPr>
        <w:t>KPFI ietvaros plānots palielināt atjaunojamo energoresursu izmantošanu siltumenerģijas un elektroenerģijas ražošanā komersantiem, īstenot investīciju projektus kompleksajiem risinājumiem siltumnīcefekta gāzu emisiju samazināšanai un energoefektivitātes uzlabošanai pašvaldību izglītības iestāžu ēkās, palielināt atjaunojamo energoresursu izmantošanu siltumenerģijas nodrošināšanai izglītības iestādēs, kā arī īstenot 2 investīciju projektus kompleksajiem risinājumiem siltumnīcefekta gāzu emisiju samazināšanai privātajās izglītības iestādēs.</w:t>
      </w:r>
    </w:p>
    <w:p w:rsidR="00CA63EF" w:rsidRPr="00FD601E" w:rsidRDefault="00CA63EF" w:rsidP="008632B8">
      <w:pPr>
        <w:pStyle w:val="Normal1"/>
        <w:spacing w:after="120" w:line="240" w:lineRule="auto"/>
        <w:jc w:val="both"/>
        <w:rPr>
          <w:rFonts w:ascii="Times New Roman" w:hAnsi="Times New Roman"/>
          <w:sz w:val="24"/>
          <w:szCs w:val="24"/>
          <w:lang w:val="lv-LV"/>
        </w:rPr>
      </w:pPr>
    </w:p>
    <w:p w:rsidR="00CA63EF" w:rsidRPr="00FD601E" w:rsidRDefault="00CA63EF" w:rsidP="00CA63EF">
      <w:pPr>
        <w:rPr>
          <w:rFonts w:ascii="Times New Roman" w:eastAsia="Calibri" w:hAnsi="Times New Roman" w:cs="Times New Roman"/>
          <w:b/>
          <w:bCs/>
          <w:kern w:val="36"/>
          <w:sz w:val="24"/>
          <w:szCs w:val="24"/>
        </w:rPr>
      </w:pPr>
    </w:p>
    <w:p w:rsidR="00CA63EF" w:rsidRPr="006202E5" w:rsidRDefault="00CA63EF" w:rsidP="00CA63EF">
      <w:pPr>
        <w:rPr>
          <w:rFonts w:ascii="Times New Roman" w:eastAsia="Calibri" w:hAnsi="Times New Roman" w:cs="Times New Roman"/>
          <w:b/>
          <w:bCs/>
          <w:kern w:val="36"/>
          <w:sz w:val="24"/>
          <w:szCs w:val="24"/>
        </w:rPr>
      </w:pPr>
      <w:r w:rsidRPr="006202E5">
        <w:rPr>
          <w:sz w:val="24"/>
          <w:szCs w:val="24"/>
        </w:rPr>
        <w:br w:type="page"/>
      </w:r>
    </w:p>
    <w:p w:rsidR="00CA63EF" w:rsidRPr="006202E5" w:rsidRDefault="00CA63EF" w:rsidP="00871110">
      <w:pPr>
        <w:pStyle w:val="Heading1"/>
      </w:pPr>
      <w:bookmarkStart w:id="142" w:name="_Toc348948405"/>
      <w:r w:rsidRPr="006202E5">
        <w:lastRenderedPageBreak/>
        <w:t>IV. Pārvaldība</w:t>
      </w:r>
      <w:bookmarkEnd w:id="142"/>
    </w:p>
    <w:p w:rsidR="00CA63EF" w:rsidRPr="00B246BE" w:rsidRDefault="00CA63EF" w:rsidP="00B246BE">
      <w:pPr>
        <w:pStyle w:val="Heading2"/>
        <w:numPr>
          <w:ilvl w:val="0"/>
          <w:numId w:val="3"/>
        </w:numPr>
        <w:ind w:left="284" w:hanging="284"/>
      </w:pPr>
      <w:bookmarkStart w:id="143" w:name="_Toc348948406"/>
      <w:r w:rsidRPr="00B246BE">
        <w:t>Tiesiskuma stiprināšana</w:t>
      </w:r>
      <w:bookmarkEnd w:id="143"/>
    </w:p>
    <w:p w:rsidR="00CA63EF" w:rsidRPr="006202E5" w:rsidRDefault="00CA63EF" w:rsidP="00CA63EF">
      <w:pPr>
        <w:pStyle w:val="Heading3"/>
        <w:numPr>
          <w:ilvl w:val="1"/>
          <w:numId w:val="3"/>
        </w:numPr>
        <w:ind w:left="426" w:hanging="426"/>
        <w:rPr>
          <w:szCs w:val="24"/>
        </w:rPr>
      </w:pPr>
      <w:r w:rsidRPr="006202E5">
        <w:rPr>
          <w:szCs w:val="24"/>
        </w:rPr>
        <w:t xml:space="preserve"> </w:t>
      </w:r>
      <w:bookmarkStart w:id="144" w:name="_Toc348948407"/>
      <w:r w:rsidRPr="006202E5">
        <w:rPr>
          <w:szCs w:val="24"/>
        </w:rPr>
        <w:t>Likumdošanas pilnveide</w:t>
      </w:r>
      <w:bookmarkEnd w:id="144"/>
      <w:r w:rsidRPr="006202E5">
        <w:rPr>
          <w:szCs w:val="24"/>
        </w:rPr>
        <w:t xml:space="preserve"> </w:t>
      </w:r>
    </w:p>
    <w:p w:rsidR="00CA63EF" w:rsidRPr="006202E5" w:rsidRDefault="00CA63EF" w:rsidP="00CA63EF">
      <w:pPr>
        <w:pStyle w:val="ListParagraph"/>
        <w:spacing w:after="0" w:line="240" w:lineRule="auto"/>
        <w:ind w:left="0" w:firstLine="720"/>
        <w:jc w:val="both"/>
        <w:rPr>
          <w:rFonts w:ascii="Times New Roman" w:hAnsi="Times New Roman" w:cs="Times New Roman"/>
          <w:bCs/>
          <w:sz w:val="24"/>
          <w:szCs w:val="24"/>
        </w:rPr>
      </w:pPr>
      <w:r w:rsidRPr="006202E5">
        <w:rPr>
          <w:rFonts w:ascii="Times New Roman" w:hAnsi="Times New Roman" w:cs="Times New Roman"/>
          <w:sz w:val="24"/>
          <w:szCs w:val="24"/>
        </w:rPr>
        <w:t>Ar mērķi uzlabot informācijas pieejamību un efektivitāti, pieņemot Oficiālās publikācijas un tiesiskās informācijas likumu, Latvijā ar 2012. gada 1. jūliju ir ieviesta oficiālā elektroniskā publikācija.</w:t>
      </w:r>
      <w:r w:rsidRPr="006202E5">
        <w:rPr>
          <w:rFonts w:ascii="Times New Roman" w:hAnsi="Times New Roman" w:cs="Times New Roman"/>
          <w:b/>
          <w:bCs/>
          <w:sz w:val="24"/>
          <w:szCs w:val="24"/>
        </w:rPr>
        <w:t xml:space="preserve"> </w:t>
      </w:r>
      <w:r w:rsidRPr="006202E5">
        <w:rPr>
          <w:rFonts w:ascii="Times New Roman" w:hAnsi="Times New Roman" w:cs="Times New Roman"/>
          <w:bCs/>
          <w:sz w:val="24"/>
          <w:szCs w:val="24"/>
        </w:rPr>
        <w:t xml:space="preserve">Kopš 2013. gada 1. janvāra atbilstoši </w:t>
      </w:r>
      <w:r w:rsidRPr="006202E5">
        <w:rPr>
          <w:rFonts w:ascii="Times New Roman" w:hAnsi="Times New Roman" w:cs="Times New Roman"/>
          <w:sz w:val="24"/>
          <w:szCs w:val="24"/>
        </w:rPr>
        <w:t>Oficiālās publikācijas un tiesiskās informācijas likumā paredzētajam elektroniskā publikācija ir kļuvusi par vienīgo oficiālo publikāciju, proti, o</w:t>
      </w:r>
      <w:r w:rsidRPr="006202E5">
        <w:rPr>
          <w:rFonts w:ascii="Times New Roman" w:hAnsi="Times New Roman" w:cs="Times New Roman"/>
          <w:bCs/>
          <w:sz w:val="24"/>
          <w:szCs w:val="24"/>
        </w:rPr>
        <w:t xml:space="preserve">ficiālais laikraksts </w:t>
      </w:r>
      <w:r w:rsidR="00B167ED">
        <w:rPr>
          <w:rFonts w:ascii="Times New Roman" w:hAnsi="Times New Roman" w:cs="Times New Roman"/>
          <w:bCs/>
          <w:sz w:val="24"/>
          <w:szCs w:val="24"/>
        </w:rPr>
        <w:t>"</w:t>
      </w:r>
      <w:r w:rsidRPr="006202E5">
        <w:rPr>
          <w:rFonts w:ascii="Times New Roman" w:hAnsi="Times New Roman" w:cs="Times New Roman"/>
          <w:bCs/>
          <w:sz w:val="24"/>
          <w:szCs w:val="24"/>
        </w:rPr>
        <w:t>Latvijas Vēstnesis</w:t>
      </w:r>
      <w:r w:rsidR="00B167ED">
        <w:rPr>
          <w:rFonts w:ascii="Times New Roman" w:hAnsi="Times New Roman" w:cs="Times New Roman"/>
          <w:bCs/>
          <w:sz w:val="24"/>
          <w:szCs w:val="24"/>
        </w:rPr>
        <w:t>"</w:t>
      </w:r>
      <w:r w:rsidRPr="006202E5">
        <w:rPr>
          <w:rFonts w:ascii="Times New Roman" w:hAnsi="Times New Roman" w:cs="Times New Roman"/>
          <w:bCs/>
          <w:sz w:val="24"/>
          <w:szCs w:val="24"/>
        </w:rPr>
        <w:t xml:space="preserve"> papīra formātā vairs netiek izdots</w:t>
      </w:r>
      <w:r w:rsidRPr="006202E5">
        <w:rPr>
          <w:rFonts w:ascii="Times New Roman" w:hAnsi="Times New Roman" w:cs="Times New Roman"/>
          <w:sz w:val="24"/>
          <w:szCs w:val="24"/>
        </w:rPr>
        <w:t xml:space="preserve">. Oficiālā elektroniskā publikācija ir bez maksas pieejama </w:t>
      </w:r>
      <w:r w:rsidRPr="006202E5">
        <w:rPr>
          <w:rFonts w:ascii="Times New Roman" w:hAnsi="Times New Roman" w:cs="Times New Roman"/>
          <w:bCs/>
          <w:sz w:val="24"/>
          <w:szCs w:val="24"/>
        </w:rPr>
        <w:t xml:space="preserve">tīmekļa vietnē </w:t>
      </w:r>
      <w:hyperlink r:id="rId27" w:history="1">
        <w:r w:rsidRPr="006202E5">
          <w:rPr>
            <w:rStyle w:val="Hyperlink"/>
            <w:rFonts w:ascii="Times New Roman" w:hAnsi="Times New Roman" w:cs="Times New Roman"/>
            <w:sz w:val="24"/>
            <w:szCs w:val="24"/>
          </w:rPr>
          <w:t>www.vestnesis.lv</w:t>
        </w:r>
      </w:hyperlink>
      <w:r w:rsidRPr="006202E5">
        <w:rPr>
          <w:rFonts w:ascii="Times New Roman" w:hAnsi="Times New Roman" w:cs="Times New Roman"/>
          <w:bCs/>
          <w:sz w:val="24"/>
          <w:szCs w:val="24"/>
        </w:rPr>
        <w:t>, un tai ir juridiski saistošs oficiālās publikācijas statuss.</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Būtiski atzīmēt, ka </w:t>
      </w:r>
      <w:r w:rsidR="00331E03">
        <w:rPr>
          <w:rFonts w:ascii="Times New Roman" w:hAnsi="Times New Roman" w:cs="Times New Roman"/>
          <w:sz w:val="24"/>
          <w:szCs w:val="24"/>
        </w:rPr>
        <w:t>TM</w:t>
      </w:r>
      <w:r w:rsidRPr="006202E5">
        <w:rPr>
          <w:rFonts w:ascii="Times New Roman" w:hAnsi="Times New Roman" w:cs="Times New Roman"/>
          <w:sz w:val="24"/>
          <w:szCs w:val="24"/>
        </w:rPr>
        <w:t>, sadarbojoties ar Valsts prezidenta kanceleju un citām iesaistītajām institūcijām</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līdz gada beigām plāno sagatavot priekšlikumus tiesiskā regulējuma pārmērīgas jaunrades mazināšanai, likumu jaunrades procesa kvalitātes uzlabošanai, kā arī radīt priekšnoteikumus pārāk detalizēta un sīkumaina tiesiskā regulējuma novēršanai.</w:t>
      </w:r>
    </w:p>
    <w:p w:rsidR="00CA63EF"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Plānots pilnveidot politisko partiju reģistrēšanas kārtību, turpināt darbu civilprocesa efektivizācijai, lai mazinātu iespējas tiesu procesa ļaunprātīgai novilcināšanai,</w:t>
      </w:r>
      <w:r w:rsidRPr="006202E5">
        <w:rPr>
          <w:rFonts w:ascii="Times New Roman" w:hAnsi="Times New Roman" w:cs="Times New Roman"/>
          <w:b/>
          <w:sz w:val="24"/>
          <w:szCs w:val="24"/>
        </w:rPr>
        <w:t xml:space="preserve"> </w:t>
      </w:r>
      <w:r w:rsidRPr="006202E5">
        <w:rPr>
          <w:rFonts w:ascii="Times New Roman" w:hAnsi="Times New Roman" w:cs="Times New Roman"/>
          <w:sz w:val="24"/>
          <w:szCs w:val="24"/>
        </w:rPr>
        <w:t>tajā skaitā plānots izvērtēt jautājumu par grozījumiem saistībā ar obligāto advokātu procesu kasācijā, parādu piedziņas regulējumu, elektronisko dokumentu iesniegšanu tiesā.</w:t>
      </w:r>
    </w:p>
    <w:p w:rsidR="009E07C5" w:rsidRPr="006202E5" w:rsidRDefault="009E07C5" w:rsidP="009E07C5">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Plānots izstrādāt </w:t>
      </w:r>
      <w:r>
        <w:rPr>
          <w:rFonts w:ascii="Times New Roman" w:hAnsi="Times New Roman"/>
          <w:sz w:val="24"/>
          <w:szCs w:val="24"/>
        </w:rPr>
        <w:t xml:space="preserve">jaunu </w:t>
      </w:r>
      <w:r w:rsidRPr="00876F35">
        <w:rPr>
          <w:rFonts w:ascii="Times New Roman" w:hAnsi="Times New Roman"/>
          <w:sz w:val="24"/>
          <w:szCs w:val="24"/>
        </w:rPr>
        <w:t>Administratīvo sodu procesa likumu</w:t>
      </w:r>
      <w:r w:rsidRPr="00876F35">
        <w:rPr>
          <w:rFonts w:ascii="Times New Roman" w:hAnsi="Times New Roman"/>
          <w:b/>
          <w:sz w:val="24"/>
          <w:szCs w:val="24"/>
        </w:rPr>
        <w:t xml:space="preserve"> </w:t>
      </w:r>
      <w:r w:rsidRPr="00876F35">
        <w:rPr>
          <w:rFonts w:ascii="Times New Roman" w:hAnsi="Times New Roman"/>
          <w:sz w:val="24"/>
          <w:szCs w:val="24"/>
        </w:rPr>
        <w:t>ar mērķi atteikties no PSRS mantotā Latvijas Administratīvo pārkāpumu kodeksa.</w:t>
      </w:r>
    </w:p>
    <w:p w:rsidR="006202E5" w:rsidRPr="006202E5" w:rsidRDefault="006202E5" w:rsidP="006202E5">
      <w:pPr>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 xml:space="preserve">MK pieņemti grozījumi Administratīvo pārkāpumu kodeksā, Publisko iepirkumu likumā un Publiskās un privātās partnerības likumā, lai ar 2013.gada 1.aprīli ieviestu pasūtītāju administratīvo atbildību par pārkāpumiem publisko iepirkumu jomā, ko piemēros Iepirkumu uzraudzības birojs. </w:t>
      </w:r>
      <w:r w:rsidRPr="006202E5">
        <w:rPr>
          <w:rFonts w:ascii="Times New Roman" w:eastAsia="Times New Roman" w:hAnsi="Times New Roman" w:cs="Times New Roman"/>
          <w:color w:val="000000"/>
          <w:sz w:val="24"/>
          <w:szCs w:val="24"/>
        </w:rPr>
        <w:t>Mērķis šiem grozījumiem ir pasūtītāja, sabiedrisko pakalpojumu sniedzēja, publiskā partnera vai tā pārstāvja atbildīgo un vainīgo personu sodīšana par pārkāpumiem publisko iepirkumu un publiskās un privātās partnerības jomā, kā arī sodīto vai citu personu preventīva atturēšana no turpmākas tiesībpārkāpumu izdarīšanas.</w:t>
      </w:r>
    </w:p>
    <w:p w:rsidR="009E07C5" w:rsidRPr="00B246BE" w:rsidRDefault="009E07C5" w:rsidP="00B246BE">
      <w:pPr>
        <w:spacing w:after="0" w:line="240" w:lineRule="auto"/>
        <w:ind w:firstLine="720"/>
        <w:jc w:val="both"/>
        <w:rPr>
          <w:rFonts w:ascii="Times New Roman" w:hAnsi="Times New Roman" w:cs="Times New Roman"/>
          <w:sz w:val="24"/>
          <w:szCs w:val="24"/>
        </w:rPr>
      </w:pPr>
      <w:r w:rsidRPr="00034A96">
        <w:rPr>
          <w:rFonts w:ascii="Times New Roman" w:hAnsi="Times New Roman"/>
          <w:sz w:val="24"/>
          <w:szCs w:val="24"/>
        </w:rPr>
        <w:t xml:space="preserve">Iekšējā tirgus darbības pilnveidošanai izstrādāts Pasākumu plāns </w:t>
      </w:r>
      <w:r w:rsidR="00B167ED">
        <w:rPr>
          <w:rFonts w:ascii="Times New Roman" w:hAnsi="Times New Roman"/>
          <w:sz w:val="24"/>
          <w:szCs w:val="24"/>
        </w:rPr>
        <w:t>"</w:t>
      </w:r>
      <w:r w:rsidRPr="00034A96">
        <w:rPr>
          <w:rFonts w:ascii="Times New Roman" w:hAnsi="Times New Roman"/>
          <w:sz w:val="24"/>
          <w:szCs w:val="24"/>
        </w:rPr>
        <w:t xml:space="preserve">Par </w:t>
      </w:r>
      <w:r w:rsidR="00500649">
        <w:rPr>
          <w:rFonts w:ascii="Times New Roman" w:hAnsi="Times New Roman"/>
          <w:sz w:val="24"/>
          <w:szCs w:val="24"/>
        </w:rPr>
        <w:br/>
      </w:r>
      <w:r w:rsidR="00B167ED">
        <w:rPr>
          <w:rFonts w:ascii="Times New Roman" w:hAnsi="Times New Roman"/>
          <w:sz w:val="24"/>
          <w:szCs w:val="24"/>
        </w:rPr>
        <w:t>"</w:t>
      </w:r>
      <w:r w:rsidRPr="00034A96">
        <w:rPr>
          <w:rFonts w:ascii="Times New Roman" w:hAnsi="Times New Roman"/>
          <w:sz w:val="24"/>
          <w:szCs w:val="24"/>
        </w:rPr>
        <w:t>klusēšanas – piekrišanas</w:t>
      </w:r>
      <w:r w:rsidR="00B167ED">
        <w:rPr>
          <w:rFonts w:ascii="Times New Roman" w:hAnsi="Times New Roman"/>
          <w:sz w:val="24"/>
          <w:szCs w:val="24"/>
        </w:rPr>
        <w:t>"</w:t>
      </w:r>
      <w:r w:rsidRPr="00034A96">
        <w:rPr>
          <w:rFonts w:ascii="Times New Roman" w:hAnsi="Times New Roman"/>
          <w:sz w:val="24"/>
          <w:szCs w:val="24"/>
        </w:rPr>
        <w:t xml:space="preserve"> principa ieviešanu un piemērošanu atbildīgo institūciju administratīvajā praksē</w:t>
      </w:r>
      <w:r w:rsidR="00B167ED">
        <w:rPr>
          <w:rFonts w:ascii="Times New Roman" w:hAnsi="Times New Roman"/>
          <w:sz w:val="24"/>
          <w:szCs w:val="24"/>
        </w:rPr>
        <w:t>"</w:t>
      </w:r>
      <w:r w:rsidRPr="00034A96">
        <w:rPr>
          <w:rFonts w:ascii="Times New Roman" w:hAnsi="Times New Roman"/>
          <w:sz w:val="24"/>
          <w:szCs w:val="24"/>
        </w:rPr>
        <w:t xml:space="preserve">, nosakot nepieciešamos grozījumus tiesību aktos, lai ieviestu </w:t>
      </w:r>
      <w:r w:rsidR="00B167ED">
        <w:rPr>
          <w:rFonts w:ascii="Times New Roman" w:hAnsi="Times New Roman"/>
          <w:sz w:val="24"/>
          <w:szCs w:val="24"/>
        </w:rPr>
        <w:t>"</w:t>
      </w:r>
      <w:r w:rsidRPr="00034A96">
        <w:rPr>
          <w:rFonts w:ascii="Times New Roman" w:hAnsi="Times New Roman"/>
          <w:sz w:val="24"/>
          <w:szCs w:val="24"/>
        </w:rPr>
        <w:t xml:space="preserve">klusēšanas </w:t>
      </w:r>
      <w:r w:rsidR="00500649" w:rsidRPr="00034A96">
        <w:rPr>
          <w:rFonts w:ascii="Times New Roman" w:hAnsi="Times New Roman"/>
          <w:sz w:val="24"/>
          <w:szCs w:val="24"/>
        </w:rPr>
        <w:t>–</w:t>
      </w:r>
      <w:r w:rsidRPr="00034A96">
        <w:rPr>
          <w:rFonts w:ascii="Times New Roman" w:hAnsi="Times New Roman"/>
          <w:sz w:val="24"/>
          <w:szCs w:val="24"/>
        </w:rPr>
        <w:t xml:space="preserve"> piekrišanas</w:t>
      </w:r>
      <w:r w:rsidR="00B167ED">
        <w:rPr>
          <w:rFonts w:ascii="Times New Roman" w:hAnsi="Times New Roman"/>
          <w:sz w:val="24"/>
          <w:szCs w:val="24"/>
        </w:rPr>
        <w:t>"</w:t>
      </w:r>
      <w:r w:rsidRPr="00034A96">
        <w:rPr>
          <w:rFonts w:ascii="Times New Roman" w:hAnsi="Times New Roman"/>
          <w:sz w:val="24"/>
          <w:szCs w:val="24"/>
        </w:rPr>
        <w:t xml:space="preserve"> principu un piemērotu to atbildīgo iestāžu administratīvajā praksē.</w:t>
      </w:r>
      <w:r>
        <w:rPr>
          <w:rFonts w:ascii="Times New Roman" w:hAnsi="Times New Roman"/>
          <w:sz w:val="24"/>
          <w:szCs w:val="24"/>
        </w:rPr>
        <w:t xml:space="preserve"> </w:t>
      </w:r>
    </w:p>
    <w:p w:rsidR="00CA63EF" w:rsidRPr="006202E5" w:rsidRDefault="00CA63EF" w:rsidP="00CA63EF">
      <w:pPr>
        <w:pStyle w:val="Heading3"/>
        <w:rPr>
          <w:szCs w:val="24"/>
        </w:rPr>
      </w:pPr>
      <w:bookmarkStart w:id="145" w:name="_Toc348948408"/>
      <w:r w:rsidRPr="006202E5">
        <w:rPr>
          <w:szCs w:val="24"/>
        </w:rPr>
        <w:t>1.2. Tiesu darba efektivizācija</w:t>
      </w:r>
      <w:bookmarkEnd w:id="145"/>
      <w:r w:rsidRPr="006202E5">
        <w:rPr>
          <w:szCs w:val="24"/>
        </w:rPr>
        <w:t xml:space="preserve">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Pirmo reizi pēdējo trīs gadu laikā tiesās ir izskatītas vairāk civillietu un administratīvo lietu</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nekā saņemts, </w:t>
      </w:r>
      <w:r w:rsidR="00500649">
        <w:rPr>
          <w:rFonts w:ascii="Times New Roman" w:hAnsi="Times New Roman" w:cs="Times New Roman"/>
          <w:sz w:val="24"/>
          <w:szCs w:val="24"/>
        </w:rPr>
        <w:t>kā arī</w:t>
      </w:r>
      <w:r w:rsidRPr="006202E5">
        <w:rPr>
          <w:rFonts w:ascii="Times New Roman" w:hAnsi="Times New Roman" w:cs="Times New Roman"/>
          <w:sz w:val="24"/>
          <w:szCs w:val="24"/>
        </w:rPr>
        <w:t xml:space="preserve"> ir sācis arī samazināties neizskatīto lietu apjoms – 2012. gadā ir izskatītas par 17,4</w:t>
      </w:r>
      <w:r w:rsidR="00111406">
        <w:rPr>
          <w:rFonts w:ascii="Times New Roman" w:hAnsi="Times New Roman" w:cs="Times New Roman"/>
          <w:sz w:val="24"/>
          <w:szCs w:val="24"/>
        </w:rPr>
        <w:t> %</w:t>
      </w:r>
      <w:r w:rsidRPr="006202E5">
        <w:rPr>
          <w:rFonts w:ascii="Times New Roman" w:hAnsi="Times New Roman" w:cs="Times New Roman"/>
          <w:sz w:val="24"/>
          <w:szCs w:val="24"/>
        </w:rPr>
        <w:t xml:space="preserve"> vairāk civillietu, nekā saņemtas tiesā, un lietu atlikums (neizskatītās lietas) ir samazinājies par 18,6</w:t>
      </w:r>
      <w:r w:rsidR="00111406">
        <w:rPr>
          <w:rFonts w:ascii="Times New Roman" w:hAnsi="Times New Roman" w:cs="Times New Roman"/>
          <w:sz w:val="24"/>
          <w:szCs w:val="24"/>
        </w:rPr>
        <w:t> %</w:t>
      </w:r>
      <w:r w:rsidRPr="006202E5">
        <w:rPr>
          <w:rFonts w:ascii="Times New Roman" w:hAnsi="Times New Roman" w:cs="Times New Roman"/>
          <w:sz w:val="24"/>
          <w:szCs w:val="24"/>
        </w:rPr>
        <w:t>. Savukārt administratīvās lietas ir izskatītas pat par 31,4</w:t>
      </w:r>
      <w:r w:rsidR="00111406">
        <w:rPr>
          <w:rFonts w:ascii="Times New Roman" w:hAnsi="Times New Roman" w:cs="Times New Roman"/>
          <w:sz w:val="24"/>
          <w:szCs w:val="24"/>
        </w:rPr>
        <w:t> %</w:t>
      </w:r>
      <w:r w:rsidRPr="006202E5">
        <w:rPr>
          <w:rFonts w:ascii="Times New Roman" w:hAnsi="Times New Roman" w:cs="Times New Roman"/>
          <w:sz w:val="24"/>
          <w:szCs w:val="24"/>
        </w:rPr>
        <w:t xml:space="preserve"> vairāk</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nekā saņemtas tiesā, un lietu atlikums (neizskatītās </w:t>
      </w:r>
      <w:r w:rsidRPr="006202E5">
        <w:rPr>
          <w:rFonts w:ascii="Times New Roman" w:hAnsi="Times New Roman" w:cs="Times New Roman"/>
          <w:sz w:val="24"/>
          <w:szCs w:val="24"/>
        </w:rPr>
        <w:lastRenderedPageBreak/>
        <w:t>lietas) ir samazinājies par 21,4</w:t>
      </w:r>
      <w:r w:rsidR="00111406">
        <w:rPr>
          <w:rFonts w:ascii="Times New Roman" w:hAnsi="Times New Roman" w:cs="Times New Roman"/>
          <w:sz w:val="24"/>
          <w:szCs w:val="24"/>
        </w:rPr>
        <w:t> %</w:t>
      </w:r>
      <w:r w:rsidRPr="006202E5">
        <w:rPr>
          <w:rFonts w:ascii="Times New Roman" w:hAnsi="Times New Roman" w:cs="Times New Roman"/>
          <w:sz w:val="24"/>
          <w:szCs w:val="24"/>
        </w:rPr>
        <w:t>. Lai uzlabotu tiesu darbu ar 2013. gada janvāri uzsākta tiesnešu profesionālās darbības novērtēšana</w:t>
      </w:r>
      <w:r w:rsidRPr="006202E5">
        <w:rPr>
          <w:rFonts w:ascii="Times New Roman" w:eastAsia="Times New Roman" w:hAnsi="Times New Roman" w:cs="Times New Roman"/>
          <w:sz w:val="24"/>
          <w:szCs w:val="24"/>
        </w:rPr>
        <w:t>.</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Būtiski pilnveidots administratīvo pārkāpumu procesa regulējums, kā arī noteikta administratīvo pārkāpumu lietu pāreja uz vispārējās jurisdikcijas tiesām</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un ar 2013. gada 1. janvāri rakstveida </w:t>
      </w:r>
      <w:r w:rsidR="00500649">
        <w:rPr>
          <w:rFonts w:ascii="Times New Roman" w:hAnsi="Times New Roman" w:cs="Times New Roman"/>
          <w:sz w:val="24"/>
          <w:szCs w:val="24"/>
        </w:rPr>
        <w:t>process ieviests kā pamatprocess</w:t>
      </w:r>
      <w:r w:rsidRPr="006202E5">
        <w:rPr>
          <w:rFonts w:ascii="Times New Roman" w:hAnsi="Times New Roman" w:cs="Times New Roman"/>
          <w:sz w:val="24"/>
          <w:szCs w:val="24"/>
        </w:rPr>
        <w:t xml:space="preserve"> tiesvedības stadijā, nodrošinot ātrāku lietu izskatīšanu. </w:t>
      </w:r>
    </w:p>
    <w:p w:rsidR="00CA63EF" w:rsidRPr="006202E5" w:rsidRDefault="00CA63EF" w:rsidP="00CA63EF">
      <w:pPr>
        <w:pStyle w:val="ListParagraph"/>
        <w:spacing w:after="0" w:line="240" w:lineRule="auto"/>
        <w:ind w:left="0" w:firstLine="720"/>
        <w:jc w:val="both"/>
        <w:rPr>
          <w:rFonts w:ascii="Times New Roman" w:hAnsi="Times New Roman" w:cs="Times New Roman"/>
          <w:bCs/>
          <w:sz w:val="24"/>
          <w:szCs w:val="24"/>
        </w:rPr>
      </w:pPr>
      <w:r w:rsidRPr="006202E5">
        <w:rPr>
          <w:rFonts w:ascii="Times New Roman" w:hAnsi="Times New Roman" w:cs="Times New Roman"/>
          <w:sz w:val="24"/>
          <w:szCs w:val="24"/>
        </w:rPr>
        <w:t>2012. gada 30. jūnijā pabeigtā tiesu un ieslodzījuma vietu aprīkošana ar videokonferenču iekārtām samazinās atlikto tiesas sēžu skaitu un nepieciešamību vienmēr konvojēt apcietināto personu no ieslodzījuma vietas uz tiesu. Savukārt tiesas sēžu zāļu aprīkošana ar skaņas ieraksta aparatūru samazinās tiesu darba apjomu attiecībā uz dokumentu sagatavošanu. Ar audioierakstiem kopumā ir aprīkotas 312 tiesas sēžu zāles, tajā skaitā 58 tiesas sēžu zāles aprīkotas ar videokonferenču iekārtām. Papildus 16 zāles ieslodzījuma vietās ir aprīkotas ar videokonferenču iekārtām, kā arī ir iegādātas 7 pārvietojamās videokonferenču iekārtas.</w:t>
      </w:r>
      <w:r w:rsidRPr="006202E5">
        <w:rPr>
          <w:rFonts w:ascii="Times New Roman" w:hAnsi="Times New Roman" w:cs="Times New Roman"/>
          <w:bCs/>
          <w:sz w:val="24"/>
          <w:szCs w:val="24"/>
        </w:rPr>
        <w:t xml:space="preserve">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bCs/>
          <w:sz w:val="24"/>
          <w:szCs w:val="24"/>
        </w:rPr>
        <w:t xml:space="preserve">Būtiski pilnveidoti tiesas </w:t>
      </w:r>
      <w:r w:rsidRPr="006202E5">
        <w:rPr>
          <w:rFonts w:ascii="Times New Roman" w:hAnsi="Times New Roman" w:cs="Times New Roman"/>
          <w:sz w:val="24"/>
          <w:szCs w:val="24"/>
        </w:rPr>
        <w:t>procesi krimināllietās,</w:t>
      </w:r>
      <w:r w:rsidRPr="006202E5">
        <w:rPr>
          <w:rFonts w:ascii="Times New Roman" w:hAnsi="Times New Roman" w:cs="Times New Roman"/>
          <w:bCs/>
          <w:sz w:val="24"/>
          <w:szCs w:val="24"/>
        </w:rPr>
        <w:t xml:space="preserve"> ieviešot </w:t>
      </w:r>
      <w:r w:rsidR="00B167ED">
        <w:rPr>
          <w:rFonts w:ascii="Times New Roman" w:hAnsi="Times New Roman" w:cs="Times New Roman"/>
          <w:bCs/>
          <w:sz w:val="24"/>
          <w:szCs w:val="24"/>
        </w:rPr>
        <w:t>"</w:t>
      </w:r>
      <w:r w:rsidRPr="00500649">
        <w:rPr>
          <w:rFonts w:ascii="Times New Roman" w:hAnsi="Times New Roman" w:cs="Times New Roman"/>
          <w:bCs/>
          <w:iCs/>
          <w:sz w:val="24"/>
          <w:szCs w:val="24"/>
        </w:rPr>
        <w:t>Tīrās tiesu instances</w:t>
      </w:r>
      <w:r w:rsidR="00B167ED">
        <w:rPr>
          <w:rFonts w:ascii="Times New Roman" w:hAnsi="Times New Roman" w:cs="Times New Roman"/>
          <w:bCs/>
          <w:sz w:val="24"/>
          <w:szCs w:val="24"/>
        </w:rPr>
        <w:t>"</w:t>
      </w:r>
      <w:r w:rsidRPr="006202E5">
        <w:rPr>
          <w:rFonts w:ascii="Times New Roman" w:hAnsi="Times New Roman" w:cs="Times New Roman"/>
          <w:bCs/>
          <w:sz w:val="24"/>
          <w:szCs w:val="24"/>
        </w:rPr>
        <w:t xml:space="preserve">, kas </w:t>
      </w:r>
      <w:r w:rsidRPr="006202E5">
        <w:rPr>
          <w:rFonts w:ascii="Times New Roman" w:hAnsi="Times New Roman" w:cs="Times New Roman"/>
          <w:sz w:val="24"/>
          <w:szCs w:val="24"/>
        </w:rPr>
        <w:t>paredz vienkāršot krimināllietu izskatīšanas kartību. Savukārt civilprocesā ieviests deklarētās dzīvesvietas princips dokume</w:t>
      </w:r>
      <w:r w:rsidR="00500649">
        <w:rPr>
          <w:rFonts w:ascii="Times New Roman" w:hAnsi="Times New Roman" w:cs="Times New Roman"/>
          <w:sz w:val="24"/>
          <w:szCs w:val="24"/>
        </w:rPr>
        <w:t>ntu izsniegšanā un jurisdikcijā</w:t>
      </w:r>
      <w:r w:rsidRPr="006202E5">
        <w:rPr>
          <w:rFonts w:ascii="Times New Roman" w:hAnsi="Times New Roman" w:cs="Times New Roman"/>
          <w:sz w:val="24"/>
          <w:szCs w:val="24"/>
        </w:rPr>
        <w:t xml:space="preserve"> un paredzēts </w:t>
      </w:r>
      <w:r w:rsidR="00B167ED">
        <w:rPr>
          <w:rFonts w:ascii="Times New Roman" w:hAnsi="Times New Roman" w:cs="Times New Roman"/>
          <w:sz w:val="24"/>
          <w:szCs w:val="24"/>
        </w:rPr>
        <w:t>"</w:t>
      </w:r>
      <w:r w:rsidRPr="006202E5">
        <w:rPr>
          <w:rFonts w:ascii="Times New Roman" w:hAnsi="Times New Roman" w:cs="Times New Roman"/>
          <w:sz w:val="24"/>
          <w:szCs w:val="24"/>
        </w:rPr>
        <w:t>iedzīvināt</w:t>
      </w:r>
      <w:r w:rsidR="00B167ED">
        <w:rPr>
          <w:rFonts w:ascii="Times New Roman" w:hAnsi="Times New Roman" w:cs="Times New Roman"/>
          <w:sz w:val="24"/>
          <w:szCs w:val="24"/>
        </w:rPr>
        <w:t>"</w:t>
      </w:r>
      <w:r w:rsidRPr="006202E5">
        <w:rPr>
          <w:rFonts w:ascii="Times New Roman" w:hAnsi="Times New Roman" w:cs="Times New Roman"/>
          <w:sz w:val="24"/>
          <w:szCs w:val="24"/>
        </w:rPr>
        <w:t xml:space="preserve"> aizmugurisku sprieduma institūtu civilprocesā. </w:t>
      </w:r>
    </w:p>
    <w:p w:rsidR="00CA63EF" w:rsidRPr="006202E5" w:rsidRDefault="00CA63EF" w:rsidP="00CA63EF">
      <w:pPr>
        <w:pStyle w:val="ListParagraph"/>
        <w:spacing w:after="0" w:line="240" w:lineRule="auto"/>
        <w:ind w:left="0" w:firstLine="720"/>
        <w:jc w:val="both"/>
        <w:rPr>
          <w:rFonts w:ascii="Times New Roman" w:eastAsia="Times New Roman" w:hAnsi="Times New Roman" w:cs="Times New Roman"/>
          <w:sz w:val="24"/>
          <w:szCs w:val="24"/>
        </w:rPr>
      </w:pPr>
      <w:r w:rsidRPr="006202E5">
        <w:rPr>
          <w:rFonts w:ascii="Times New Roman" w:hAnsi="Times New Roman" w:cs="Times New Roman"/>
          <w:sz w:val="24"/>
          <w:szCs w:val="24"/>
        </w:rPr>
        <w:t>Tiesu noslodzes samazināšanai paredzēts ieviest mediāciju</w:t>
      </w:r>
      <w:r w:rsidRPr="006202E5">
        <w:rPr>
          <w:rFonts w:ascii="Times New Roman" w:eastAsia="Times New Roman" w:hAnsi="Times New Roman" w:cs="Times New Roman"/>
          <w:sz w:val="24"/>
          <w:szCs w:val="24"/>
        </w:rPr>
        <w:t>, risinot domstarpības civiltiesiskajās attiecībās ar neitrālas trešās personas palīdzību. Mediācijas procesa priekšrocības ir abpusēji izdevīgs risinājums, saglabātas attiecības, tajā skaitā darījumu partneru, un arī ietaupīti līdzekļi un laiks, kas būtu jāvelta konflikta risināšanai tiesu instancēs.</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Lai padarītu administratīvās atbildības regulējumu pēc iespējas vieglāk piemērojamu, vienkāršāku, vienlaikus nodrošinot ātrāku, efektīvāku administratīvo sodu procesu un soda neizbēgamības principa īstenošanu, </w:t>
      </w:r>
      <w:r w:rsidR="00A000E3" w:rsidRPr="006202E5">
        <w:rPr>
          <w:rFonts w:ascii="Times New Roman" w:hAnsi="Times New Roman" w:cs="Times New Roman"/>
          <w:sz w:val="24"/>
          <w:szCs w:val="24"/>
        </w:rPr>
        <w:t>MK</w:t>
      </w:r>
      <w:r w:rsidRPr="006202E5">
        <w:rPr>
          <w:rFonts w:ascii="Times New Roman" w:hAnsi="Times New Roman" w:cs="Times New Roman"/>
          <w:sz w:val="24"/>
          <w:szCs w:val="24"/>
        </w:rPr>
        <w:t xml:space="preserve"> 2013. gada 22. janvārī apstiprināta Administratīvo sodu sistēmas attīstības koncepcija.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Lai tiesas daļēji varētu tikt atbrīvotas no tādu lietu skatīšanas, kurās nav strīda, Saeimā pirmajā lasījumā atbalstīti likumprojekti, kas paredz noteikt, ka atsevišķa veida notariālajiem aktiem, kuri tiks taisīti Notariāta likumā noteiktajā kārtībā, tiek noteikts izpildu dokumenta spēks. Tas nozīmē, ka pēc attiecīgā regulējuma spēkā stāšanās šāda veida notariālie akti būs nododami piespiedu izpildei zvērinātiem tiesu izpildītājiem, neiesaistot tiesas.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Šobrīd ir uzsākts darbs pie normatīvā akta izstrādes, ar kuru plānots noteikt detalizētas un stingrākas pastāvīgās šķīrējtiesas dibināšanas p</w:t>
      </w:r>
      <w:r w:rsidR="00500649">
        <w:rPr>
          <w:rFonts w:ascii="Times New Roman" w:hAnsi="Times New Roman" w:cs="Times New Roman"/>
          <w:sz w:val="24"/>
          <w:szCs w:val="24"/>
        </w:rPr>
        <w:t>rasības, kā arī ieviest papildu</w:t>
      </w:r>
      <w:r w:rsidRPr="006202E5">
        <w:rPr>
          <w:rFonts w:ascii="Times New Roman" w:hAnsi="Times New Roman" w:cs="Times New Roman"/>
          <w:sz w:val="24"/>
          <w:szCs w:val="24"/>
        </w:rPr>
        <w:t xml:space="preserve"> šķīrējtiesu </w:t>
      </w:r>
      <w:r w:rsidR="00500649">
        <w:rPr>
          <w:rFonts w:ascii="Times New Roman" w:hAnsi="Times New Roman" w:cs="Times New Roman"/>
          <w:sz w:val="24"/>
          <w:szCs w:val="24"/>
        </w:rPr>
        <w:t>darbības uzraudzības mehānismus</w:t>
      </w:r>
      <w:r w:rsidRPr="006202E5">
        <w:rPr>
          <w:rFonts w:ascii="Times New Roman" w:hAnsi="Times New Roman" w:cs="Times New Roman"/>
          <w:sz w:val="24"/>
          <w:szCs w:val="24"/>
        </w:rPr>
        <w:t xml:space="preserve"> līdztekus jau esošajiem.</w:t>
      </w:r>
    </w:p>
    <w:p w:rsidR="00CA63EF" w:rsidRPr="006202E5" w:rsidRDefault="00565723" w:rsidP="00CA63E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TM</w:t>
      </w:r>
      <w:r w:rsidR="00CA63EF" w:rsidRPr="006202E5">
        <w:rPr>
          <w:rFonts w:ascii="Times New Roman" w:hAnsi="Times New Roman" w:cs="Times New Roman"/>
          <w:sz w:val="24"/>
          <w:szCs w:val="24"/>
        </w:rPr>
        <w:t xml:space="preserve"> uzsākusi darbu pie </w:t>
      </w:r>
      <w:r w:rsidR="00A000E3" w:rsidRPr="006202E5">
        <w:rPr>
          <w:rFonts w:ascii="Times New Roman" w:hAnsi="Times New Roman" w:cs="Times New Roman"/>
          <w:sz w:val="24"/>
          <w:szCs w:val="24"/>
        </w:rPr>
        <w:t>EK</w:t>
      </w:r>
      <w:r w:rsidR="00CA63EF" w:rsidRPr="006202E5">
        <w:rPr>
          <w:rFonts w:ascii="Times New Roman" w:hAnsi="Times New Roman" w:cs="Times New Roman"/>
          <w:sz w:val="24"/>
          <w:szCs w:val="24"/>
        </w:rPr>
        <w:t xml:space="preserve"> priekšlikuma grozīt Eiropas Padomes 2000.gada 29.maija regulu (EK) Nr.1346/2000 par maksātnespējas procedūrām.</w:t>
      </w:r>
    </w:p>
    <w:p w:rsidR="00CA63EF" w:rsidRPr="006202E5" w:rsidRDefault="00CA63EF" w:rsidP="00CA63EF">
      <w:pPr>
        <w:pStyle w:val="ListParagraph"/>
        <w:spacing w:after="0" w:line="240" w:lineRule="auto"/>
        <w:ind w:left="0" w:firstLine="720"/>
        <w:jc w:val="both"/>
        <w:rPr>
          <w:rFonts w:ascii="Times New Roman" w:hAnsi="Times New Roman" w:cs="Times New Roman"/>
          <w:b/>
          <w:sz w:val="24"/>
          <w:szCs w:val="24"/>
        </w:rPr>
      </w:pPr>
      <w:r w:rsidRPr="006202E5">
        <w:rPr>
          <w:rFonts w:ascii="Times New Roman" w:hAnsi="Times New Roman" w:cs="Times New Roman"/>
          <w:sz w:val="24"/>
          <w:szCs w:val="24"/>
        </w:rPr>
        <w:t xml:space="preserve">Turpinās darbs pie tiesu e-pakalpojumu ieviešanas, </w:t>
      </w:r>
      <w:r w:rsidRPr="006202E5">
        <w:rPr>
          <w:rFonts w:ascii="Times New Roman" w:hAnsi="Times New Roman" w:cs="Times New Roman"/>
          <w:snapToGrid w:val="0"/>
          <w:sz w:val="24"/>
          <w:szCs w:val="24"/>
        </w:rPr>
        <w:t xml:space="preserve">nodrošinot sistēmu lietotājiem portālā </w:t>
      </w:r>
      <w:hyperlink r:id="rId28" w:history="1">
        <w:r w:rsidRPr="006202E5">
          <w:rPr>
            <w:rStyle w:val="Hyperlink"/>
            <w:rFonts w:ascii="Times New Roman" w:hAnsi="Times New Roman" w:cs="Times New Roman"/>
            <w:snapToGrid w:val="0"/>
            <w:sz w:val="24"/>
            <w:szCs w:val="24"/>
          </w:rPr>
          <w:t>www.tiesas.lv</w:t>
        </w:r>
      </w:hyperlink>
      <w:r w:rsidRPr="006202E5">
        <w:rPr>
          <w:rFonts w:ascii="Times New Roman" w:hAnsi="Times New Roman" w:cs="Times New Roman"/>
          <w:snapToGrid w:val="0"/>
          <w:sz w:val="24"/>
          <w:szCs w:val="24"/>
        </w:rPr>
        <w:t xml:space="preserve"> </w:t>
      </w:r>
      <w:r w:rsidR="00500649">
        <w:rPr>
          <w:rFonts w:ascii="Times New Roman" w:hAnsi="Times New Roman" w:cs="Times New Roman"/>
          <w:sz w:val="24"/>
          <w:szCs w:val="24"/>
        </w:rPr>
        <w:t>atbilstoši piekļuves līmenim</w:t>
      </w:r>
      <w:r w:rsidRPr="006202E5">
        <w:rPr>
          <w:rFonts w:ascii="Times New Roman" w:hAnsi="Times New Roman" w:cs="Times New Roman"/>
          <w:sz w:val="24"/>
          <w:szCs w:val="24"/>
        </w:rPr>
        <w:t xml:space="preserve"> </w:t>
      </w:r>
      <w:r w:rsidRPr="006202E5">
        <w:rPr>
          <w:rFonts w:ascii="Times New Roman" w:hAnsi="Times New Roman" w:cs="Times New Roman"/>
          <w:snapToGrid w:val="0"/>
          <w:sz w:val="24"/>
          <w:szCs w:val="24"/>
        </w:rPr>
        <w:t>iespējas iepazīties ar tiesu nolēmumiem, iegūt informāciju par tiesvedības gaitu</w:t>
      </w:r>
      <w:r w:rsidRPr="006202E5">
        <w:rPr>
          <w:rFonts w:ascii="Times New Roman" w:hAnsi="Times New Roman" w:cs="Times New Roman"/>
          <w:sz w:val="24"/>
          <w:szCs w:val="24"/>
        </w:rPr>
        <w:t xml:space="preserve">, kā arī elektroniski iesniegt dokumentus tiesā. </w:t>
      </w:r>
      <w:r w:rsidR="00500649">
        <w:rPr>
          <w:rFonts w:ascii="Times New Roman" w:hAnsi="Times New Roman" w:cs="Times New Roman"/>
          <w:sz w:val="24"/>
          <w:szCs w:val="24"/>
        </w:rPr>
        <w:t xml:space="preserve">No </w:t>
      </w:r>
      <w:r w:rsidRPr="006202E5">
        <w:rPr>
          <w:rFonts w:ascii="Times New Roman" w:hAnsi="Times New Roman" w:cs="Times New Roman"/>
          <w:sz w:val="24"/>
          <w:szCs w:val="24"/>
        </w:rPr>
        <w:t>2013. gada 1. jūlija plānots uzsākt spēkā stājušos galīgo tiesas spriedumu publicēšanu internetā. Tāpat pēc attiecīgu grozījumu Zemesgrāmatu likumā pieņemšanas tiks nodrošināta iespēja zemesgrāmatā  iesniegt elektroniskus nostiprinājuma lūgumus, kā arī pieprasīt un saņemt elektroniski iesniegtus vai elektroniskā formā pārvērstus nekustamā īpašuma lietā esošos dokumentus</w:t>
      </w:r>
      <w:r w:rsidRPr="00500649">
        <w:rPr>
          <w:rFonts w:ascii="Times New Roman" w:hAnsi="Times New Roman" w:cs="Times New Roman"/>
          <w:sz w:val="24"/>
          <w:szCs w:val="24"/>
        </w:rPr>
        <w:t xml:space="preserve">. </w:t>
      </w:r>
    </w:p>
    <w:p w:rsidR="009E07C5" w:rsidRDefault="009E07C5" w:rsidP="00CA63EF">
      <w:pPr>
        <w:pStyle w:val="ListParagraph"/>
        <w:spacing w:after="0" w:line="240" w:lineRule="auto"/>
        <w:ind w:left="0" w:firstLine="720"/>
        <w:jc w:val="both"/>
        <w:rPr>
          <w:rFonts w:ascii="Times New Roman" w:hAnsi="Times New Roman"/>
          <w:sz w:val="24"/>
          <w:szCs w:val="24"/>
        </w:rPr>
      </w:pPr>
      <w:r>
        <w:rPr>
          <w:rFonts w:ascii="Times New Roman" w:hAnsi="Times New Roman"/>
          <w:bCs/>
          <w:sz w:val="24"/>
          <w:szCs w:val="24"/>
        </w:rPr>
        <w:lastRenderedPageBreak/>
        <w:t>Plānota p</w:t>
      </w:r>
      <w:r w:rsidRPr="00876F35">
        <w:rPr>
          <w:rFonts w:ascii="Times New Roman" w:hAnsi="Times New Roman"/>
          <w:sz w:val="24"/>
          <w:szCs w:val="24"/>
        </w:rPr>
        <w:t xml:space="preserve">ašreizējā tiesu izvietojuma modeļa pārskatīšana un vadlīniju izstrāde tiesu ēku izvietojuma, struktūras un iekšējā darba organizācijai atbilstoši valsts reģionālās attīstības virzieniem </w:t>
      </w:r>
      <w:r>
        <w:rPr>
          <w:rFonts w:ascii="Times New Roman" w:hAnsi="Times New Roman"/>
          <w:sz w:val="24"/>
          <w:szCs w:val="24"/>
        </w:rPr>
        <w:t>un politikai</w:t>
      </w:r>
      <w:r w:rsidR="006D7AB4">
        <w:rPr>
          <w:rFonts w:ascii="Times New Roman" w:hAnsi="Times New Roman"/>
          <w:sz w:val="24"/>
          <w:szCs w:val="24"/>
        </w:rPr>
        <w:t>, lai</w:t>
      </w:r>
      <w:r>
        <w:rPr>
          <w:rFonts w:ascii="Times New Roman" w:hAnsi="Times New Roman"/>
          <w:sz w:val="24"/>
          <w:szCs w:val="24"/>
        </w:rPr>
        <w:t xml:space="preserve"> izlīdzināt</w:t>
      </w:r>
      <w:r w:rsidR="006D7AB4">
        <w:rPr>
          <w:rFonts w:ascii="Times New Roman" w:hAnsi="Times New Roman"/>
          <w:sz w:val="24"/>
          <w:szCs w:val="24"/>
        </w:rPr>
        <w:t>u</w:t>
      </w:r>
      <w:r w:rsidRPr="00876F35">
        <w:rPr>
          <w:rFonts w:ascii="Times New Roman" w:hAnsi="Times New Roman"/>
          <w:sz w:val="24"/>
          <w:szCs w:val="24"/>
        </w:rPr>
        <w:t xml:space="preserve"> tiesu noslodzes rajonu (pilsētu) tiesu un apgabaltiesu līmenī, </w:t>
      </w:r>
      <w:r>
        <w:rPr>
          <w:rFonts w:ascii="Times New Roman" w:hAnsi="Times New Roman"/>
          <w:sz w:val="24"/>
          <w:szCs w:val="24"/>
        </w:rPr>
        <w:t>stiprināt</w:t>
      </w:r>
      <w:r w:rsidR="006D7AB4">
        <w:rPr>
          <w:rFonts w:ascii="Times New Roman" w:hAnsi="Times New Roman"/>
          <w:sz w:val="24"/>
          <w:szCs w:val="24"/>
        </w:rPr>
        <w:t>u</w:t>
      </w:r>
      <w:r w:rsidRPr="00876F35">
        <w:rPr>
          <w:rFonts w:ascii="Times New Roman" w:hAnsi="Times New Roman"/>
          <w:sz w:val="24"/>
          <w:szCs w:val="24"/>
        </w:rPr>
        <w:t xml:space="preserve"> tiesnešu specializācij</w:t>
      </w:r>
      <w:r>
        <w:rPr>
          <w:rFonts w:ascii="Times New Roman" w:hAnsi="Times New Roman"/>
          <w:sz w:val="24"/>
          <w:szCs w:val="24"/>
        </w:rPr>
        <w:t>u</w:t>
      </w:r>
      <w:r w:rsidRPr="00876F35">
        <w:rPr>
          <w:rFonts w:ascii="Times New Roman" w:hAnsi="Times New Roman"/>
          <w:sz w:val="24"/>
          <w:szCs w:val="24"/>
        </w:rPr>
        <w:t xml:space="preserve"> un lietu sadales nejaušības princip</w:t>
      </w:r>
      <w:r>
        <w:rPr>
          <w:rFonts w:ascii="Times New Roman" w:hAnsi="Times New Roman"/>
          <w:sz w:val="24"/>
          <w:szCs w:val="24"/>
        </w:rPr>
        <w:t>u</w:t>
      </w:r>
      <w:r w:rsidRPr="00876F35">
        <w:rPr>
          <w:rFonts w:ascii="Times New Roman" w:hAnsi="Times New Roman"/>
          <w:sz w:val="24"/>
          <w:szCs w:val="24"/>
        </w:rPr>
        <w:t xml:space="preserve"> ar iespēj</w:t>
      </w:r>
      <w:r>
        <w:rPr>
          <w:rFonts w:ascii="Times New Roman" w:hAnsi="Times New Roman"/>
          <w:sz w:val="24"/>
          <w:szCs w:val="24"/>
        </w:rPr>
        <w:t>u</w:t>
      </w:r>
      <w:r w:rsidRPr="00876F35">
        <w:rPr>
          <w:rFonts w:ascii="Times New Roman" w:hAnsi="Times New Roman"/>
          <w:sz w:val="24"/>
          <w:szCs w:val="24"/>
        </w:rPr>
        <w:t xml:space="preserve"> pārdalīt lietas starp noslogotākajām un mazāk noslogotākajām tiesām.</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2012.gadā ārpustiesas parādu piedziņas procesa sakārtošanai izstrādāts un Saeimā pieņemts Parāda ārpustiesas atgūšanas likums, lai nodrošinātu taisnīgu, samērīgu un saprātīgu parāda atgūšanu no parādnieka – fiziskās personas.</w:t>
      </w:r>
    </w:p>
    <w:p w:rsidR="00CA63EF" w:rsidRPr="006202E5" w:rsidRDefault="00CA63EF" w:rsidP="00CA63EF">
      <w:pPr>
        <w:pStyle w:val="Heading3"/>
        <w:rPr>
          <w:szCs w:val="24"/>
        </w:rPr>
      </w:pPr>
      <w:bookmarkStart w:id="146" w:name="_Toc348948409"/>
      <w:r w:rsidRPr="006202E5">
        <w:rPr>
          <w:szCs w:val="24"/>
        </w:rPr>
        <w:t>1.3. Komerctiesiskās vides sakārtošana</w:t>
      </w:r>
      <w:bookmarkEnd w:id="146"/>
    </w:p>
    <w:p w:rsidR="00CA63EF" w:rsidRPr="006202E5" w:rsidRDefault="00CA63EF" w:rsidP="00CA63EF">
      <w:pPr>
        <w:spacing w:after="0" w:line="240" w:lineRule="auto"/>
        <w:ind w:firstLine="709"/>
        <w:jc w:val="both"/>
        <w:rPr>
          <w:rFonts w:ascii="Times New Roman" w:hAnsi="Times New Roman" w:cs="Times New Roman"/>
          <w:sz w:val="24"/>
          <w:szCs w:val="24"/>
        </w:rPr>
      </w:pPr>
      <w:r w:rsidRPr="006202E5">
        <w:rPr>
          <w:rFonts w:ascii="Times New Roman" w:hAnsi="Times New Roman" w:cs="Times New Roman"/>
          <w:sz w:val="24"/>
          <w:szCs w:val="24"/>
        </w:rPr>
        <w:t>2012.gadā ārpustiesas parādu piedziņas procesa sakārtošanai izstrādāts un Saeimā pieņemts Parāda ārpustiesas atgūšanas likums, lai nodrošinātu taisnīgu, samērīgu un saprātīgu parāda atgūšanu no parādnieka – fiziskās personas.</w:t>
      </w:r>
    </w:p>
    <w:p w:rsidR="00CA63EF" w:rsidRPr="006202E5" w:rsidRDefault="00CA63EF" w:rsidP="00CA63EF">
      <w:pPr>
        <w:spacing w:after="0" w:line="240" w:lineRule="auto"/>
        <w:ind w:firstLine="720"/>
        <w:jc w:val="both"/>
        <w:rPr>
          <w:rFonts w:ascii="Times New Roman" w:hAnsi="Times New Roman" w:cs="Times New Roman"/>
          <w:b/>
          <w:bCs/>
          <w:sz w:val="24"/>
          <w:szCs w:val="24"/>
        </w:rPr>
      </w:pPr>
      <w:r w:rsidRPr="006202E5">
        <w:rPr>
          <w:rFonts w:ascii="Times New Roman" w:hAnsi="Times New Roman" w:cs="Times New Roman"/>
          <w:sz w:val="24"/>
          <w:szCs w:val="24"/>
        </w:rPr>
        <w:t>2013.gadā plānots</w:t>
      </w:r>
      <w:r w:rsidRPr="006202E5">
        <w:rPr>
          <w:rFonts w:ascii="Times New Roman" w:hAnsi="Times New Roman" w:cs="Times New Roman"/>
          <w:b/>
          <w:sz w:val="24"/>
          <w:szCs w:val="24"/>
        </w:rPr>
        <w:t xml:space="preserve"> </w:t>
      </w:r>
      <w:r w:rsidRPr="006202E5">
        <w:rPr>
          <w:rFonts w:ascii="Times New Roman" w:hAnsi="Times New Roman" w:cs="Times New Roman"/>
          <w:sz w:val="24"/>
          <w:szCs w:val="24"/>
        </w:rPr>
        <w:t>izstrādāt Kredītbiroju likumu</w:t>
      </w:r>
      <w:r w:rsidRPr="00500649">
        <w:rPr>
          <w:rFonts w:ascii="Times New Roman" w:hAnsi="Times New Roman" w:cs="Times New Roman"/>
          <w:sz w:val="24"/>
          <w:szCs w:val="24"/>
        </w:rPr>
        <w:t>,</w:t>
      </w:r>
      <w:r w:rsidRPr="006202E5">
        <w:rPr>
          <w:rFonts w:ascii="Times New Roman" w:hAnsi="Times New Roman" w:cs="Times New Roman"/>
          <w:sz w:val="24"/>
          <w:szCs w:val="24"/>
        </w:rPr>
        <w:t xml:space="preserve"> pilnveidojot tiesisko regulējumu attiecībā uz kredītinformācijas apmaiņu, kā arī turpināt darbu pie tiesiskā regulējuma izstrādes pārtikas tirdzniecībai </w:t>
      </w:r>
      <w:r w:rsidR="00500649" w:rsidRPr="00034A96">
        <w:rPr>
          <w:rFonts w:ascii="Times New Roman" w:hAnsi="Times New Roman"/>
          <w:sz w:val="24"/>
          <w:szCs w:val="24"/>
        </w:rPr>
        <w:t>–</w:t>
      </w:r>
      <w:r w:rsidRPr="006202E5">
        <w:rPr>
          <w:rFonts w:ascii="Times New Roman" w:hAnsi="Times New Roman" w:cs="Times New Roman"/>
          <w:sz w:val="24"/>
          <w:szCs w:val="24"/>
        </w:rPr>
        <w:t xml:space="preserve"> </w:t>
      </w:r>
      <w:r w:rsidRPr="006202E5">
        <w:rPr>
          <w:rFonts w:ascii="Times New Roman" w:hAnsi="Times New Roman" w:cs="Times New Roman"/>
          <w:bCs/>
          <w:sz w:val="24"/>
          <w:szCs w:val="24"/>
        </w:rPr>
        <w:t>Negodīgas mazumtirdzniecības prakses aizlieguma likumprojekta</w:t>
      </w:r>
      <w:r w:rsidRPr="006202E5">
        <w:rPr>
          <w:rFonts w:ascii="Times New Roman" w:hAnsi="Times New Roman" w:cs="Times New Roman"/>
          <w:sz w:val="24"/>
          <w:szCs w:val="24"/>
        </w:rPr>
        <w:t>, lai ierobežotu negodīgas tirdzniecības prakses īstenošanu starp tirdzniecībā iesaistītajām pusēm un mazumtirgotāju iepirkuma varas izmantošanu attiecībā pret piegādātāju.</w:t>
      </w:r>
      <w:r w:rsidRPr="006202E5">
        <w:rPr>
          <w:rFonts w:ascii="Times New Roman" w:hAnsi="Times New Roman" w:cs="Times New Roman"/>
          <w:b/>
          <w:bCs/>
          <w:sz w:val="24"/>
          <w:szCs w:val="24"/>
        </w:rPr>
        <w:t xml:space="preserve"> </w:t>
      </w:r>
    </w:p>
    <w:p w:rsidR="009E07C5" w:rsidRPr="009F77DC" w:rsidRDefault="00CA63EF" w:rsidP="009F77DC">
      <w:pPr>
        <w:spacing w:after="0" w:line="240" w:lineRule="auto"/>
        <w:jc w:val="both"/>
        <w:rPr>
          <w:rFonts w:ascii="Times New Roman" w:hAnsi="Times New Roman" w:cs="Times New Roman"/>
          <w:sz w:val="24"/>
          <w:szCs w:val="24"/>
        </w:rPr>
      </w:pPr>
      <w:r w:rsidRPr="006202E5">
        <w:rPr>
          <w:rFonts w:ascii="Times New Roman" w:hAnsi="Times New Roman" w:cs="Times New Roman"/>
          <w:sz w:val="24"/>
          <w:szCs w:val="24"/>
        </w:rPr>
        <w:tab/>
      </w:r>
      <w:r w:rsidR="009E07C5" w:rsidRPr="00034A96">
        <w:rPr>
          <w:rFonts w:ascii="Times New Roman" w:hAnsi="Times New Roman"/>
          <w:sz w:val="24"/>
          <w:szCs w:val="24"/>
        </w:rPr>
        <w:t>Negodīgas komercprakses un reklāmas uzraudzības iestāžu pilnvaru un administratīvo sankciju stiprināšanai</w:t>
      </w:r>
      <w:r w:rsidR="006D7AB4">
        <w:rPr>
          <w:rFonts w:ascii="Times New Roman" w:hAnsi="Times New Roman"/>
          <w:sz w:val="24"/>
          <w:szCs w:val="24"/>
        </w:rPr>
        <w:t>, lai</w:t>
      </w:r>
      <w:r w:rsidR="009E07C5" w:rsidRPr="00034A96">
        <w:rPr>
          <w:rFonts w:ascii="Times New Roman" w:hAnsi="Times New Roman"/>
          <w:sz w:val="24"/>
          <w:szCs w:val="24"/>
        </w:rPr>
        <w:t xml:space="preserve"> </w:t>
      </w:r>
      <w:r w:rsidR="006D7AB4">
        <w:rPr>
          <w:rFonts w:ascii="Times New Roman" w:hAnsi="Times New Roman"/>
          <w:sz w:val="24"/>
          <w:szCs w:val="24"/>
        </w:rPr>
        <w:t xml:space="preserve">ātrāk un efektīvāk novērstu </w:t>
      </w:r>
      <w:r w:rsidR="009E07C5" w:rsidRPr="00034A96">
        <w:rPr>
          <w:rFonts w:ascii="Times New Roman" w:hAnsi="Times New Roman"/>
          <w:sz w:val="24"/>
          <w:szCs w:val="24"/>
        </w:rPr>
        <w:t>pārkāpumu</w:t>
      </w:r>
      <w:r w:rsidR="006D7AB4">
        <w:rPr>
          <w:rFonts w:ascii="Times New Roman" w:hAnsi="Times New Roman"/>
          <w:sz w:val="24"/>
          <w:szCs w:val="24"/>
        </w:rPr>
        <w:t>s,</w:t>
      </w:r>
      <w:r w:rsidR="009E07C5" w:rsidRPr="00034A96">
        <w:rPr>
          <w:rFonts w:ascii="Times New Roman" w:hAnsi="Times New Roman"/>
          <w:sz w:val="24"/>
          <w:szCs w:val="24"/>
        </w:rPr>
        <w:t xml:space="preserve"> izstrādāti un iesniegti Saeimā grozījumi Negodīgas komercprakses aizlieguma likumā un Reklāmas likumā. </w:t>
      </w:r>
      <w:r w:rsidR="009E07C5" w:rsidRPr="006202E5">
        <w:rPr>
          <w:rFonts w:ascii="Times New Roman" w:hAnsi="Times New Roman" w:cs="Times New Roman"/>
          <w:sz w:val="24"/>
          <w:szCs w:val="24"/>
        </w:rPr>
        <w:tab/>
        <w:t>Patērētāju tiesību efektīvākai aizsardzībai plānots izstrādāt politikas dokumentus patērētāju tiesību un tirgus uzraudzības jomā,</w:t>
      </w:r>
      <w:r w:rsidR="009E07C5" w:rsidRPr="006202E5">
        <w:rPr>
          <w:rFonts w:ascii="Times New Roman" w:hAnsi="Times New Roman" w:cs="Times New Roman"/>
          <w:b/>
          <w:sz w:val="24"/>
          <w:szCs w:val="24"/>
        </w:rPr>
        <w:t xml:space="preserve"> </w:t>
      </w:r>
      <w:r w:rsidR="009E07C5" w:rsidRPr="006202E5">
        <w:rPr>
          <w:rFonts w:ascii="Times New Roman" w:hAnsi="Times New Roman" w:cs="Times New Roman"/>
          <w:sz w:val="24"/>
          <w:szCs w:val="24"/>
        </w:rPr>
        <w:t xml:space="preserve">nosakot tālejošus mērķus situācijas uzlabošanai, kā arī ieviest efektīvus pārkāpumu novēršanas instrumentus un stiprinot tirgus uzraudzības iestādes. </w:t>
      </w:r>
      <w:r w:rsidR="009E07C5" w:rsidRPr="009E07C5">
        <w:rPr>
          <w:rFonts w:ascii="Times New Roman" w:hAnsi="Times New Roman" w:cs="Times New Roman"/>
          <w:sz w:val="24"/>
          <w:szCs w:val="24"/>
        </w:rPr>
        <w:t>Plānots izstrādāt</w:t>
      </w:r>
      <w:r w:rsidR="009E07C5" w:rsidRPr="009E07C5">
        <w:rPr>
          <w:rFonts w:ascii="Times New Roman" w:hAnsi="Times New Roman" w:cs="Times New Roman"/>
          <w:b/>
          <w:sz w:val="24"/>
          <w:szCs w:val="24"/>
        </w:rPr>
        <w:t xml:space="preserve"> </w:t>
      </w:r>
      <w:r w:rsidR="009E07C5" w:rsidRPr="009E07C5">
        <w:rPr>
          <w:rFonts w:ascii="Times New Roman" w:hAnsi="Times New Roman" w:cs="Times New Roman"/>
          <w:sz w:val="24"/>
          <w:szCs w:val="24"/>
        </w:rPr>
        <w:t>efektīvāku patērētāju individuālo strīdu izskatīšanas kārtību, kas nodrošinātu ātru, lētu un efektīvu patērētāju strīdu ārpustiesas izskatīšanas mehānismu. 2013.gadā plānots turpināt darbu pie patērētāju kreditēšanas tirgus regulējuma uzlabošanas, piedāvājot risinājumus atbildīgas aizdošanas un aizņemšanās veicināšanai.</w:t>
      </w:r>
    </w:p>
    <w:p w:rsidR="00CA63EF" w:rsidRPr="009E07C5" w:rsidRDefault="00B246BE" w:rsidP="009F77DC">
      <w:pPr>
        <w:pStyle w:val="Heading3"/>
      </w:pPr>
      <w:bookmarkStart w:id="147" w:name="_Toc348948410"/>
      <w:r w:rsidRPr="009E07C5">
        <w:t xml:space="preserve">1.4. </w:t>
      </w:r>
      <w:r w:rsidR="00CA63EF" w:rsidRPr="009E07C5">
        <w:t>Kadastrālās vērtēšanas sistēmas pilnveide</w:t>
      </w:r>
      <w:bookmarkEnd w:id="147"/>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Lai ar racionāli un sabalansēti ieguldītiem resursiem iegūtu kvalitatīvus kadastrālās vērtēšanas datus un panāktu kvalitatīvākas, nekustamā īpašuma tirgus vērtībām atbilstošākas un sabiedrībai izprotamākas kadastrālās vērtības, </w:t>
      </w:r>
      <w:r w:rsidR="00A000E3" w:rsidRPr="006202E5">
        <w:rPr>
          <w:rFonts w:ascii="Times New Roman" w:hAnsi="Times New Roman" w:cs="Times New Roman"/>
          <w:sz w:val="24"/>
          <w:szCs w:val="24"/>
        </w:rPr>
        <w:t>MK</w:t>
      </w:r>
      <w:r w:rsidRPr="006202E5">
        <w:rPr>
          <w:rFonts w:ascii="Times New Roman" w:hAnsi="Times New Roman" w:cs="Times New Roman"/>
          <w:sz w:val="24"/>
          <w:szCs w:val="24"/>
        </w:rPr>
        <w:t xml:space="preserve"> 2012. gada 3. oktobrī apstiprināta</w:t>
      </w:r>
      <w:r w:rsidRPr="006202E5">
        <w:rPr>
          <w:rFonts w:ascii="Times New Roman" w:hAnsi="Times New Roman" w:cs="Times New Roman"/>
          <w:bCs/>
          <w:sz w:val="24"/>
          <w:szCs w:val="24"/>
        </w:rPr>
        <w:t xml:space="preserve"> Kadastrālās vērtēšanas sistēmas pilnveidošanas un kadastra datu aktualitātes nodrošināšanas koncepcija, kurā </w:t>
      </w:r>
      <w:r w:rsidRPr="006202E5">
        <w:rPr>
          <w:rFonts w:ascii="Times New Roman" w:hAnsi="Times New Roman" w:cs="Times New Roman"/>
          <w:sz w:val="24"/>
          <w:szCs w:val="24"/>
        </w:rPr>
        <w:t>iezīmēti īsterm</w:t>
      </w:r>
      <w:r w:rsidR="00500649">
        <w:rPr>
          <w:rFonts w:ascii="Times New Roman" w:hAnsi="Times New Roman" w:cs="Times New Roman"/>
          <w:sz w:val="24"/>
          <w:szCs w:val="24"/>
        </w:rPr>
        <w:t>iņa un vidējā termiņa iespējamie risinājumi</w:t>
      </w:r>
      <w:r w:rsidRPr="006202E5">
        <w:rPr>
          <w:rFonts w:ascii="Times New Roman" w:hAnsi="Times New Roman" w:cs="Times New Roman"/>
          <w:sz w:val="24"/>
          <w:szCs w:val="24"/>
        </w:rPr>
        <w:t xml:space="preserve"> kadastrālās vērtēšanas sistēmas pilnveidošanai.</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Vienkāršojot un efektivizējot procedūras nekustamā īpašuma reģistr</w:t>
      </w:r>
      <w:r w:rsidR="00500649">
        <w:rPr>
          <w:rFonts w:ascii="Times New Roman" w:hAnsi="Times New Roman" w:cs="Times New Roman"/>
          <w:sz w:val="24"/>
          <w:szCs w:val="24"/>
        </w:rPr>
        <w:t>ācijai, plānotas izmaiņas virknē</w:t>
      </w:r>
      <w:r w:rsidRPr="006202E5">
        <w:rPr>
          <w:rFonts w:ascii="Times New Roman" w:hAnsi="Times New Roman" w:cs="Times New Roman"/>
          <w:sz w:val="24"/>
          <w:szCs w:val="24"/>
        </w:rPr>
        <w:t xml:space="preserve"> likumos. Atsevišķos likumā noteiktos gadījumos Nekustamā īpašuma valsts kadastra informācijas sistēmā un valsts vienotajā datorizētajā zemesgrāmatā datu aktualizācija notiek, savstarpēji iegūstot datus, neiesaistot nekustamā īpašuma īpašnieku. Tādējādi tiks paplašināts tās informācijas apjoms, kuru valsts vienotā datorizētā zemesgrāmata saņem no citām valsts informācijas sistēmām tiešsaistes datu pārraides režīmā, samazinot administratīvo slogu personām.</w:t>
      </w:r>
    </w:p>
    <w:p w:rsidR="00CA63EF" w:rsidRPr="006202E5" w:rsidRDefault="00B246BE" w:rsidP="00CA63EF">
      <w:pPr>
        <w:pStyle w:val="Heading3"/>
        <w:rPr>
          <w:szCs w:val="24"/>
        </w:rPr>
      </w:pPr>
      <w:bookmarkStart w:id="148" w:name="_Toc348948411"/>
      <w:r>
        <w:rPr>
          <w:szCs w:val="24"/>
        </w:rPr>
        <w:lastRenderedPageBreak/>
        <w:t xml:space="preserve">1.5. </w:t>
      </w:r>
      <w:r w:rsidR="00CA63EF" w:rsidRPr="006202E5">
        <w:rPr>
          <w:szCs w:val="24"/>
        </w:rPr>
        <w:t>Probācijas funkcijas atjaunošana</w:t>
      </w:r>
      <w:bookmarkEnd w:id="148"/>
    </w:p>
    <w:p w:rsidR="00CA63EF" w:rsidRPr="006202E5" w:rsidRDefault="00CA63EF" w:rsidP="00CA63EF">
      <w:pPr>
        <w:pStyle w:val="ListParagraph"/>
        <w:spacing w:after="0" w:line="240" w:lineRule="auto"/>
        <w:ind w:left="0" w:firstLine="720"/>
        <w:jc w:val="both"/>
        <w:rPr>
          <w:rFonts w:ascii="Times New Roman" w:hAnsi="Times New Roman" w:cs="Times New Roman"/>
          <w:color w:val="000000"/>
          <w:sz w:val="24"/>
          <w:szCs w:val="24"/>
        </w:rPr>
      </w:pPr>
      <w:r w:rsidRPr="006202E5">
        <w:rPr>
          <w:rFonts w:ascii="Times New Roman" w:hAnsi="Times New Roman" w:cs="Times New Roman"/>
          <w:sz w:val="24"/>
          <w:szCs w:val="24"/>
        </w:rPr>
        <w:t>Ar</w:t>
      </w:r>
      <w:r w:rsidRPr="006202E5">
        <w:rPr>
          <w:rFonts w:ascii="Times New Roman" w:hAnsi="Times New Roman" w:cs="Times New Roman"/>
          <w:bCs/>
          <w:sz w:val="24"/>
          <w:szCs w:val="24"/>
        </w:rPr>
        <w:t xml:space="preserve"> 2013.gada 1.janvāri</w:t>
      </w:r>
      <w:r w:rsidRPr="006202E5">
        <w:rPr>
          <w:rFonts w:ascii="Times New Roman" w:hAnsi="Times New Roman" w:cs="Times New Roman"/>
          <w:sz w:val="24"/>
          <w:szCs w:val="24"/>
        </w:rPr>
        <w:t xml:space="preserve"> pakāpeniski tiek atjaunotas Valsts probācijas dienesta funkcijas, kas tika ierobežotas 2009. gadā. No 2</w:t>
      </w:r>
      <w:r w:rsidRPr="006202E5">
        <w:rPr>
          <w:rFonts w:ascii="Times New Roman" w:hAnsi="Times New Roman" w:cs="Times New Roman"/>
          <w:color w:val="000000"/>
          <w:sz w:val="24"/>
          <w:szCs w:val="24"/>
        </w:rPr>
        <w:t>013. gada 1.janvāra pilnā apmērā atjaunotas Valsts probācijas dienesta funkcijas – nosacīti no kriminālatbildības atbrīvoto personu uzraudzība pārbaudes laikā un izlīguma organizēšana un vadīšana visās kriminālprocesa stadijās, savukārt no 2013. gada 1. marta izvērtēšanas ziņojuma sniegšanas funkcija tiks atjaunota pilnā apjomā arī pirmstiesas stadijā pēc tiesu un prok</w:t>
      </w:r>
      <w:r w:rsidR="00500649">
        <w:rPr>
          <w:rFonts w:ascii="Times New Roman" w:hAnsi="Times New Roman" w:cs="Times New Roman"/>
          <w:color w:val="000000"/>
          <w:sz w:val="24"/>
          <w:szCs w:val="24"/>
        </w:rPr>
        <w:t>uroru pieprasījumiem. 2015. gadā</w:t>
      </w:r>
      <w:r w:rsidRPr="006202E5">
        <w:rPr>
          <w:rFonts w:ascii="Times New Roman" w:hAnsi="Times New Roman" w:cs="Times New Roman"/>
          <w:color w:val="000000"/>
          <w:sz w:val="24"/>
          <w:szCs w:val="24"/>
        </w:rPr>
        <w:t xml:space="preserve"> paredzēts atjaunot probācijas programmu īstenošanu ieslodzījuma vietās.</w:t>
      </w:r>
    </w:p>
    <w:p w:rsidR="00CA63EF" w:rsidRPr="006202E5" w:rsidRDefault="00CA63EF" w:rsidP="00CA63EF">
      <w:pPr>
        <w:pStyle w:val="Heading3"/>
        <w:rPr>
          <w:color w:val="000000"/>
          <w:szCs w:val="24"/>
        </w:rPr>
      </w:pPr>
      <w:bookmarkStart w:id="149" w:name="_Toc348948412"/>
      <w:r w:rsidRPr="006202E5">
        <w:rPr>
          <w:color w:val="000000"/>
          <w:szCs w:val="24"/>
        </w:rPr>
        <w:t>1.</w:t>
      </w:r>
      <w:r w:rsidR="00B246BE">
        <w:rPr>
          <w:color w:val="000000"/>
          <w:szCs w:val="24"/>
        </w:rPr>
        <w:t xml:space="preserve">6. </w:t>
      </w:r>
      <w:r w:rsidRPr="006202E5">
        <w:rPr>
          <w:szCs w:val="24"/>
        </w:rPr>
        <w:t>Valsts kompensācijas cietušajiem</w:t>
      </w:r>
      <w:bookmarkEnd w:id="149"/>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Atjaunots maksimālais valsts kompensācijas cietušajiem apmērs piecu minimālo mēneša darba algu apmērā, kāds bija pirms tā samazinājuma 2009.gadā, kas pēc pārejas perioda beigām stāsies spēkā 2014. gada 1. janvārī.  Valsts kompensācija tiek izmaksāta arī cietušajam, kas cietis no cilvēku tirdzniecības, kā arī ir precizēts izmaksājamās valsts kompensācijas apmērs atkarībā no iestājušos seku smaguma pakāpes. </w:t>
      </w:r>
    </w:p>
    <w:p w:rsidR="00CA63EF" w:rsidRPr="006202E5" w:rsidRDefault="00B246BE" w:rsidP="00CA63EF">
      <w:pPr>
        <w:pStyle w:val="Heading3"/>
        <w:rPr>
          <w:szCs w:val="24"/>
        </w:rPr>
      </w:pPr>
      <w:bookmarkStart w:id="150" w:name="_Toc348948413"/>
      <w:r>
        <w:rPr>
          <w:szCs w:val="24"/>
        </w:rPr>
        <w:t xml:space="preserve">1.7. </w:t>
      </w:r>
      <w:r w:rsidR="00CA63EF" w:rsidRPr="006202E5">
        <w:rPr>
          <w:szCs w:val="24"/>
        </w:rPr>
        <w:t>Cilvēktiesību aizsardzība</w:t>
      </w:r>
      <w:bookmarkEnd w:id="150"/>
      <w:r w:rsidR="00CA63EF" w:rsidRPr="006202E5">
        <w:rPr>
          <w:szCs w:val="24"/>
        </w:rPr>
        <w:t>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Nodrošinot bērnu tiesību un interešu aizsardzību</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sākot no 2013. gada 1.janvāra līdz 2016.gada 31.decembrim izmaksājamo uzturlīdzekļu apmērs ik gadu tiek palielināts par 5 latiem, kā arī pilnveidotas Uzturlīdzekļu garantiju fonta administrācijas tiesības, īstenojot piedziņu, sadalīt samaksu termiņos. </w:t>
      </w:r>
    </w:p>
    <w:p w:rsidR="00CA63EF" w:rsidRPr="006202E5" w:rsidRDefault="00CA63EF" w:rsidP="00CA63EF">
      <w:pPr>
        <w:pStyle w:val="ListParagraph"/>
        <w:spacing w:after="0" w:line="240" w:lineRule="auto"/>
        <w:ind w:left="0" w:firstLine="720"/>
        <w:jc w:val="both"/>
        <w:rPr>
          <w:rFonts w:ascii="Times New Roman" w:eastAsia="Times New Roman" w:hAnsi="Times New Roman" w:cs="Times New Roman"/>
          <w:sz w:val="24"/>
          <w:szCs w:val="24"/>
        </w:rPr>
      </w:pPr>
      <w:r w:rsidRPr="006202E5">
        <w:rPr>
          <w:rFonts w:ascii="Times New Roman" w:hAnsi="Times New Roman" w:cs="Times New Roman"/>
          <w:sz w:val="24"/>
          <w:szCs w:val="24"/>
        </w:rPr>
        <w:t>Lai nodrošinātu no vardarbības mājsaimniecībā cietušo personu pagaidu aizsardzību, izstrādāta l</w:t>
      </w:r>
      <w:r w:rsidRPr="006202E5">
        <w:rPr>
          <w:rFonts w:ascii="Times New Roman" w:eastAsia="Times New Roman" w:hAnsi="Times New Roman" w:cs="Times New Roman"/>
          <w:bCs/>
          <w:sz w:val="24"/>
          <w:szCs w:val="24"/>
        </w:rPr>
        <w:t xml:space="preserve">ikumprojektu pakete. Tās mērķis ir </w:t>
      </w:r>
      <w:r w:rsidRPr="006202E5">
        <w:rPr>
          <w:rFonts w:ascii="Times New Roman" w:hAnsi="Times New Roman" w:cs="Times New Roman"/>
          <w:sz w:val="24"/>
          <w:szCs w:val="24"/>
        </w:rPr>
        <w:t xml:space="preserve">radīt mehānismu, lai personas </w:t>
      </w:r>
      <w:r w:rsidRPr="006202E5">
        <w:rPr>
          <w:rFonts w:ascii="Times New Roman" w:hAnsi="Times New Roman" w:cs="Times New Roman"/>
          <w:iCs/>
          <w:sz w:val="24"/>
          <w:szCs w:val="24"/>
        </w:rPr>
        <w:t xml:space="preserve">personiskās tiesības </w:t>
      </w:r>
      <w:r w:rsidRPr="006202E5">
        <w:rPr>
          <w:rFonts w:ascii="Times New Roman" w:hAnsi="Times New Roman" w:cs="Times New Roman"/>
          <w:sz w:val="24"/>
          <w:szCs w:val="24"/>
        </w:rPr>
        <w:t>(tiesības uz dzīvību, brīvību, personas neaizskaramību, veselību, dzimumneaizskaramību, privātās dzīves, mājokļa un korespondences neaizskaramību) būtu iespējams aizsargāt arī ar pagaidu civilprocesuāliem līdzekļiem – personisko tiesību aizsardzības līdzekļiem – kā tas ir paredzēts daudzās Eiropas un arī citās pasaules valstīs. No vardarbības un vajāšanas cietu</w:t>
      </w:r>
      <w:r w:rsidR="00500649">
        <w:rPr>
          <w:rFonts w:ascii="Times New Roman" w:hAnsi="Times New Roman" w:cs="Times New Roman"/>
          <w:sz w:val="24"/>
          <w:szCs w:val="24"/>
        </w:rPr>
        <w:t>šajām personām paredzēta iespēja</w:t>
      </w:r>
      <w:r w:rsidRPr="006202E5">
        <w:rPr>
          <w:rFonts w:ascii="Times New Roman" w:hAnsi="Times New Roman" w:cs="Times New Roman"/>
          <w:sz w:val="24"/>
          <w:szCs w:val="24"/>
        </w:rPr>
        <w:t xml:space="preserve"> pēc savas iniciatīvas civilprocesa ietvaros vērsties tiesā, tai skaitā ar policijas starpniecību, un lūgt tiesu noteikt ierobežojumus vardarbīgajai personai. </w:t>
      </w:r>
      <w:r w:rsidRPr="006202E5">
        <w:rPr>
          <w:rFonts w:ascii="Times New Roman" w:eastAsia="Times New Roman" w:hAnsi="Times New Roman" w:cs="Times New Roman"/>
          <w:sz w:val="24"/>
          <w:szCs w:val="24"/>
        </w:rPr>
        <w:t>Likumprojektu pakete rada arī jaunas tiesības Valsts policijai un Pašvaldību policijai izsaukuma uz mājsaimniecību laikā.</w:t>
      </w:r>
    </w:p>
    <w:p w:rsidR="009E07C5" w:rsidRDefault="009E07C5" w:rsidP="009E07C5">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Modernizēts rīcībspējas un ģimenes tiesību regulējums, kā arī pieņemts pagaidu rīcībspējas regulējums.</w:t>
      </w:r>
    </w:p>
    <w:p w:rsidR="009E07C5" w:rsidRDefault="009E07C5" w:rsidP="009E07C5">
      <w:pPr>
        <w:pStyle w:val="ListParagraph"/>
        <w:spacing w:after="0"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Izstrādājot likumprojektu paketi, plānots noteikt tiesas nolēmumu izpildes kārtību lietās, kas izriet no saskarsmes un aizgādības tiesībām.</w:t>
      </w:r>
    </w:p>
    <w:p w:rsidR="009E07C5" w:rsidRDefault="009E07C5" w:rsidP="009E07C5">
      <w:pPr>
        <w:pStyle w:val="ListParagraph"/>
        <w:spacing w:after="0" w:line="240" w:lineRule="auto"/>
        <w:ind w:left="0" w:firstLine="720"/>
        <w:jc w:val="both"/>
        <w:rPr>
          <w:rFonts w:ascii="Times New Roman" w:hAnsi="Times New Roman" w:cs="Times New Roman"/>
          <w:sz w:val="24"/>
          <w:szCs w:val="24"/>
        </w:rPr>
      </w:pPr>
      <w:r w:rsidRPr="0078420C">
        <w:rPr>
          <w:rFonts w:ascii="Times New Roman" w:eastAsia="Times New Roman" w:hAnsi="Times New Roman" w:cs="Times New Roman"/>
          <w:sz w:val="24"/>
          <w:szCs w:val="24"/>
        </w:rPr>
        <w:t>Plānots</w:t>
      </w:r>
      <w:r>
        <w:rPr>
          <w:rFonts w:ascii="Times New Roman" w:eastAsia="Times New Roman" w:hAnsi="Times New Roman" w:cs="Times New Roman"/>
          <w:sz w:val="24"/>
          <w:szCs w:val="24"/>
        </w:rPr>
        <w:t xml:space="preserve"> </w:t>
      </w:r>
      <w:r>
        <w:rPr>
          <w:rFonts w:ascii="Times New Roman" w:eastAsia="Times New Roman" w:hAnsi="Times New Roman"/>
          <w:sz w:val="24"/>
          <w:szCs w:val="24"/>
        </w:rPr>
        <w:t>u</w:t>
      </w:r>
      <w:r w:rsidRPr="00876F35">
        <w:rPr>
          <w:rFonts w:ascii="Times New Roman" w:eastAsia="Times New Roman" w:hAnsi="Times New Roman"/>
          <w:sz w:val="24"/>
          <w:szCs w:val="24"/>
        </w:rPr>
        <w:t>zsākt nacionālā tiesiskā regulējuma pārrobežu civillietās (starptautiskajās privāttiesībās) pārskatīšanu un modernizēšanu atbilstoši Latvijas uzņemtajām starptautiskajām saistībām</w:t>
      </w:r>
      <w:r>
        <w:rPr>
          <w:rFonts w:ascii="Times New Roman" w:eastAsia="Times New Roman" w:hAnsi="Times New Roman"/>
          <w:sz w:val="24"/>
          <w:szCs w:val="24"/>
        </w:rPr>
        <w:t>, u</w:t>
      </w:r>
      <w:r w:rsidRPr="00876F35">
        <w:rPr>
          <w:rFonts w:ascii="Times New Roman" w:eastAsia="Times New Roman" w:hAnsi="Times New Roman"/>
          <w:sz w:val="24"/>
          <w:szCs w:val="24"/>
        </w:rPr>
        <w:t>zsākt Latvijas un Baltkrievijas (u.c. tiesiskās palīdzības līgumu līgumslēdzēju valstu) tiesiskās palīdzības līgumu pārskatīšanu, lai nodrošinātu saistības, kas izriet no Latvijas dalības Eiropas Savienībā</w:t>
      </w:r>
      <w:r>
        <w:rPr>
          <w:rFonts w:ascii="Times New Roman" w:eastAsia="Times New Roman" w:hAnsi="Times New Roman"/>
          <w:sz w:val="24"/>
          <w:szCs w:val="24"/>
        </w:rPr>
        <w:t>, kā arī</w:t>
      </w:r>
      <w:r w:rsidRPr="0078420C">
        <w:rPr>
          <w:rFonts w:ascii="Times New Roman" w:eastAsia="Times New Roman" w:hAnsi="Times New Roman" w:cs="Times New Roman"/>
          <w:sz w:val="24"/>
          <w:szCs w:val="24"/>
        </w:rPr>
        <w:t xml:space="preserve"> i</w:t>
      </w:r>
      <w:r w:rsidRPr="0078420C">
        <w:rPr>
          <w:rFonts w:ascii="Times New Roman" w:hAnsi="Times New Roman" w:cs="Times New Roman"/>
          <w:sz w:val="24"/>
          <w:szCs w:val="24"/>
        </w:rPr>
        <w:t>zstrādāt normatīvo regulējumu par pievienošanos Hāgas 2000.gada 13.janvāra konvencijai par pieaugušo starptautisku aizsardzību (</w:t>
      </w:r>
      <w:r w:rsidRPr="0078420C">
        <w:rPr>
          <w:rFonts w:ascii="Times New Roman" w:hAnsi="Times New Roman" w:cs="Times New Roman"/>
          <w:i/>
          <w:iCs/>
          <w:sz w:val="24"/>
          <w:szCs w:val="24"/>
        </w:rPr>
        <w:t>Convention on the international protection of adults</w:t>
      </w:r>
      <w:r w:rsidRPr="0078420C">
        <w:rPr>
          <w:rFonts w:ascii="Times New Roman" w:hAnsi="Times New Roman" w:cs="Times New Roman"/>
          <w:sz w:val="24"/>
          <w:szCs w:val="24"/>
        </w:rPr>
        <w:t>).</w:t>
      </w:r>
    </w:p>
    <w:p w:rsidR="009E07C5" w:rsidRPr="006A1FCD" w:rsidRDefault="009E07C5" w:rsidP="009E07C5">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Tāpat plānots u</w:t>
      </w:r>
      <w:r w:rsidRPr="00876F35">
        <w:rPr>
          <w:rFonts w:ascii="Times New Roman" w:hAnsi="Times New Roman"/>
          <w:sz w:val="24"/>
          <w:szCs w:val="24"/>
        </w:rPr>
        <w:t xml:space="preserve">zsākt </w:t>
      </w:r>
      <w:r>
        <w:rPr>
          <w:rFonts w:ascii="Times New Roman" w:hAnsi="Times New Roman"/>
          <w:sz w:val="24"/>
          <w:szCs w:val="24"/>
        </w:rPr>
        <w:t>jauna</w:t>
      </w:r>
      <w:r w:rsidRPr="00876F35">
        <w:rPr>
          <w:rFonts w:ascii="Times New Roman" w:hAnsi="Times New Roman"/>
          <w:sz w:val="24"/>
          <w:szCs w:val="24"/>
        </w:rPr>
        <w:t xml:space="preserve"> piespiedu līdzekļu institūt</w:t>
      </w:r>
      <w:r>
        <w:rPr>
          <w:rFonts w:ascii="Times New Roman" w:hAnsi="Times New Roman"/>
          <w:sz w:val="24"/>
          <w:szCs w:val="24"/>
        </w:rPr>
        <w:t>a</w:t>
      </w:r>
      <w:r w:rsidRPr="00876F35">
        <w:rPr>
          <w:rFonts w:ascii="Times New Roman" w:hAnsi="Times New Roman"/>
          <w:sz w:val="24"/>
          <w:szCs w:val="24"/>
        </w:rPr>
        <w:t xml:space="preserve"> ievie</w:t>
      </w:r>
      <w:r>
        <w:rPr>
          <w:rFonts w:ascii="Times New Roman" w:hAnsi="Times New Roman"/>
          <w:sz w:val="24"/>
          <w:szCs w:val="24"/>
        </w:rPr>
        <w:t>šanu</w:t>
      </w:r>
      <w:r w:rsidRPr="00876F35">
        <w:rPr>
          <w:rFonts w:ascii="Times New Roman" w:hAnsi="Times New Roman"/>
          <w:sz w:val="24"/>
          <w:szCs w:val="24"/>
        </w:rPr>
        <w:t xml:space="preserve"> Latvijas t</w:t>
      </w:r>
      <w:r>
        <w:rPr>
          <w:rFonts w:ascii="Times New Roman" w:hAnsi="Times New Roman"/>
          <w:sz w:val="24"/>
          <w:szCs w:val="24"/>
        </w:rPr>
        <w:t>iesību sistēmā</w:t>
      </w:r>
      <w:r w:rsidRPr="00876F35">
        <w:rPr>
          <w:rFonts w:ascii="Times New Roman" w:hAnsi="Times New Roman"/>
          <w:sz w:val="24"/>
          <w:szCs w:val="24"/>
        </w:rPr>
        <w:t xml:space="preserve"> efektīvu vardarbības prevencijas pasākumu īstenošanai, lai panāktu lielāku sabiedrības drošību.</w:t>
      </w:r>
    </w:p>
    <w:p w:rsidR="009E07C5" w:rsidRPr="006202E5" w:rsidRDefault="009E07C5" w:rsidP="00CA63EF">
      <w:pPr>
        <w:pStyle w:val="ListParagraph"/>
        <w:spacing w:after="0" w:line="240" w:lineRule="auto"/>
        <w:ind w:left="0" w:firstLine="720"/>
        <w:jc w:val="both"/>
        <w:rPr>
          <w:rFonts w:ascii="Times New Roman" w:eastAsia="Times New Roman" w:hAnsi="Times New Roman" w:cs="Times New Roman"/>
          <w:sz w:val="24"/>
          <w:szCs w:val="24"/>
        </w:rPr>
      </w:pPr>
    </w:p>
    <w:p w:rsidR="00CA63EF" w:rsidRPr="006202E5" w:rsidRDefault="00B246BE" w:rsidP="00CA63EF">
      <w:pPr>
        <w:pStyle w:val="Heading3"/>
        <w:rPr>
          <w:szCs w:val="24"/>
        </w:rPr>
      </w:pPr>
      <w:bookmarkStart w:id="151" w:name="_Toc348948414"/>
      <w:r>
        <w:rPr>
          <w:szCs w:val="24"/>
        </w:rPr>
        <w:lastRenderedPageBreak/>
        <w:t xml:space="preserve">1.8. </w:t>
      </w:r>
      <w:r w:rsidR="00CA63EF" w:rsidRPr="006202E5">
        <w:rPr>
          <w:szCs w:val="24"/>
        </w:rPr>
        <w:t>Laulību reģistrēšanas pilnveide</w:t>
      </w:r>
      <w:bookmarkEnd w:id="151"/>
      <w:r w:rsidR="00CA63EF" w:rsidRPr="006202E5">
        <w:rPr>
          <w:szCs w:val="24"/>
        </w:rPr>
        <w:t xml:space="preserve"> </w:t>
      </w:r>
    </w:p>
    <w:p w:rsidR="00CA63EF" w:rsidRPr="006202E5" w:rsidRDefault="00CA63EF" w:rsidP="00CA63EF">
      <w:pPr>
        <w:pStyle w:val="ListParagraph"/>
        <w:spacing w:after="0" w:line="240" w:lineRule="auto"/>
        <w:ind w:left="0"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Ar mērķi uzlabot oficiāli noslēgto laulību skaitu un stiprinot ģimenes institūtu ar 2013.gada 1.janvāri laulību var reģistrēt citā, ārpus dzimtsarakstu iestādes, piemērotā vietā, ja personas, kuras vēlas noslēgt laulību, nodrošina laulības reģistrācijai piemērotus vai atbilstošus apstākļus. Personas, kuras vēlas noslēgt laulību, iesniegumu par laulības noslēgšanu var iesniegt jebkurā dzimtsarakstu iestādē Latvijā </w:t>
      </w:r>
      <w:r w:rsidR="00500649">
        <w:rPr>
          <w:rFonts w:ascii="Times New Roman" w:hAnsi="Times New Roman" w:cs="Times New Roman"/>
          <w:sz w:val="24"/>
          <w:szCs w:val="24"/>
        </w:rPr>
        <w:t>vai ārvalstīs</w:t>
      </w:r>
      <w:r w:rsidRPr="006202E5">
        <w:rPr>
          <w:rFonts w:ascii="Times New Roman" w:hAnsi="Times New Roman" w:cs="Times New Roman"/>
          <w:sz w:val="24"/>
          <w:szCs w:val="24"/>
        </w:rPr>
        <w:t xml:space="preserve"> neatkarīgi no tā</w:t>
      </w:r>
      <w:r w:rsidR="00500649">
        <w:rPr>
          <w:rFonts w:ascii="Times New Roman" w:hAnsi="Times New Roman" w:cs="Times New Roman"/>
          <w:sz w:val="24"/>
          <w:szCs w:val="24"/>
        </w:rPr>
        <w:t>,</w:t>
      </w:r>
      <w:r w:rsidRPr="006202E5">
        <w:rPr>
          <w:rFonts w:ascii="Times New Roman" w:hAnsi="Times New Roman" w:cs="Times New Roman"/>
          <w:sz w:val="24"/>
          <w:szCs w:val="24"/>
        </w:rPr>
        <w:t xml:space="preserve"> vai laulību vēlas noslēgt dzimtsarakstu nodaļā, kur iesniegums iesniegts, citā dzimtsarakstu nodaļā vai pie garīdznieka. </w:t>
      </w:r>
    </w:p>
    <w:p w:rsidR="00CA63EF" w:rsidRPr="006202E5" w:rsidRDefault="00B246BE" w:rsidP="00CA63EF">
      <w:pPr>
        <w:pStyle w:val="Heading3"/>
        <w:rPr>
          <w:szCs w:val="24"/>
        </w:rPr>
      </w:pPr>
      <w:bookmarkStart w:id="152" w:name="_Toc348948415"/>
      <w:r>
        <w:rPr>
          <w:szCs w:val="24"/>
        </w:rPr>
        <w:t>1.9.</w:t>
      </w:r>
      <w:r w:rsidR="00CA63EF" w:rsidRPr="006202E5">
        <w:rPr>
          <w:szCs w:val="24"/>
        </w:rPr>
        <w:t xml:space="preserve"> </w:t>
      </w:r>
      <w:r w:rsidR="00CA63EF" w:rsidRPr="006202E5">
        <w:rPr>
          <w:rFonts w:eastAsia="Times New Roman"/>
          <w:szCs w:val="24"/>
        </w:rPr>
        <w:t>Korupcijas novēršana</w:t>
      </w:r>
      <w:bookmarkEnd w:id="152"/>
      <w:r w:rsidR="00CA63EF" w:rsidRPr="006202E5">
        <w:rPr>
          <w:rFonts w:eastAsia="Times New Roman"/>
          <w:szCs w:val="24"/>
        </w:rPr>
        <w:t xml:space="preserve"> </w:t>
      </w:r>
    </w:p>
    <w:p w:rsidR="00CA63EF" w:rsidRPr="006202E5" w:rsidRDefault="00CA63EF" w:rsidP="00CA63E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Korupcijas novēršana</w:t>
      </w:r>
      <w:r w:rsidR="00E628AD">
        <w:rPr>
          <w:rFonts w:ascii="Times New Roman" w:eastAsia="Times New Roman" w:hAnsi="Times New Roman" w:cs="Times New Roman"/>
          <w:sz w:val="24"/>
          <w:szCs w:val="24"/>
        </w:rPr>
        <w:t>s</w:t>
      </w:r>
      <w:r w:rsidRPr="006202E5">
        <w:rPr>
          <w:rFonts w:ascii="Times New Roman" w:eastAsia="Times New Roman" w:hAnsi="Times New Roman" w:cs="Times New Roman"/>
          <w:sz w:val="24"/>
          <w:szCs w:val="24"/>
        </w:rPr>
        <w:t xml:space="preserve"> un apkarošanas birojs sagatavojis nosūtīšanai vairāk </w:t>
      </w:r>
      <w:r w:rsidR="00E628AD">
        <w:rPr>
          <w:rFonts w:ascii="Times New Roman" w:eastAsia="Times New Roman" w:hAnsi="Times New Roman" w:cs="Times New Roman"/>
          <w:sz w:val="24"/>
          <w:szCs w:val="24"/>
        </w:rPr>
        <w:t>ne</w:t>
      </w:r>
      <w:r w:rsidRPr="006202E5">
        <w:rPr>
          <w:rFonts w:ascii="Times New Roman" w:eastAsia="Times New Roman" w:hAnsi="Times New Roman" w:cs="Times New Roman"/>
          <w:sz w:val="24"/>
          <w:szCs w:val="24"/>
        </w:rPr>
        <w:t xml:space="preserve">kā 29 krimināltiesiskās palīdzības lūgumus 16 ārvalstīm, savukārt izpildījis 5 ārvalstu krimināltiesiskās palīdzības lūgumus. Uzsākti 29 kriminālprocesi, kas ir par deviņiem vairāk </w:t>
      </w:r>
      <w:r w:rsidR="00E628AD">
        <w:rPr>
          <w:rFonts w:ascii="Times New Roman" w:eastAsia="Times New Roman" w:hAnsi="Times New Roman" w:cs="Times New Roman"/>
          <w:sz w:val="24"/>
          <w:szCs w:val="24"/>
        </w:rPr>
        <w:t>ne</w:t>
      </w:r>
      <w:r w:rsidRPr="006202E5">
        <w:rPr>
          <w:rFonts w:ascii="Times New Roman" w:eastAsia="Times New Roman" w:hAnsi="Times New Roman" w:cs="Times New Roman"/>
          <w:sz w:val="24"/>
          <w:szCs w:val="24"/>
        </w:rPr>
        <w:t xml:space="preserve">kā 2011.gadā. 2012.gadā citām institūcijām izmeklēšanai pēc institucionālās piekritības nosūtīti 8 kriminālprocesi. Kriminālprocesu ietvaros par noziedzīgi iegūtu atzīta manta </w:t>
      </w:r>
      <w:r w:rsidR="00E628AD" w:rsidRPr="006202E5">
        <w:rPr>
          <w:rFonts w:ascii="Times New Roman" w:eastAsia="Times New Roman" w:hAnsi="Times New Roman" w:cs="Times New Roman"/>
          <w:sz w:val="24"/>
          <w:szCs w:val="24"/>
        </w:rPr>
        <w:t xml:space="preserve">USD </w:t>
      </w:r>
      <w:r w:rsidRPr="006202E5">
        <w:rPr>
          <w:rFonts w:ascii="Times New Roman" w:eastAsia="Times New Roman" w:hAnsi="Times New Roman" w:cs="Times New Roman"/>
          <w:sz w:val="24"/>
          <w:szCs w:val="24"/>
        </w:rPr>
        <w:t xml:space="preserve">743 133,39 un </w:t>
      </w:r>
      <w:r w:rsidR="00E628AD">
        <w:rPr>
          <w:rFonts w:ascii="Times New Roman" w:eastAsia="Times New Roman" w:hAnsi="Times New Roman" w:cs="Times New Roman"/>
          <w:sz w:val="24"/>
          <w:szCs w:val="24"/>
        </w:rPr>
        <w:t xml:space="preserve">EUR </w:t>
      </w:r>
      <w:r w:rsidRPr="006202E5">
        <w:rPr>
          <w:rFonts w:ascii="Times New Roman" w:eastAsia="Times New Roman" w:hAnsi="Times New Roman" w:cs="Times New Roman"/>
          <w:sz w:val="24"/>
          <w:szCs w:val="24"/>
        </w:rPr>
        <w:t>667 595,69 apmērā. Saskaņā ar tiesas lēmumu par mantas (ārvalstīs esošas) atzīšanu par nozied</w:t>
      </w:r>
      <w:r w:rsidR="00E628AD">
        <w:rPr>
          <w:rFonts w:ascii="Times New Roman" w:eastAsia="Times New Roman" w:hAnsi="Times New Roman" w:cs="Times New Roman"/>
          <w:sz w:val="24"/>
          <w:szCs w:val="24"/>
        </w:rPr>
        <w:t>zīgi iegūtu un tās konfiskāciju</w:t>
      </w:r>
      <w:r w:rsidRPr="006202E5">
        <w:rPr>
          <w:rFonts w:ascii="Times New Roman" w:eastAsia="Times New Roman" w:hAnsi="Times New Roman" w:cs="Times New Roman"/>
          <w:sz w:val="24"/>
          <w:szCs w:val="24"/>
        </w:rPr>
        <w:t xml:space="preserve"> 2012.gadā Latvijas valsts budžetā ieskaitīti </w:t>
      </w:r>
      <w:r w:rsidR="00E628AD">
        <w:rPr>
          <w:rFonts w:ascii="Times New Roman" w:eastAsia="Times New Roman" w:hAnsi="Times New Roman" w:cs="Times New Roman"/>
          <w:sz w:val="24"/>
          <w:szCs w:val="24"/>
        </w:rPr>
        <w:t xml:space="preserve">EUR </w:t>
      </w:r>
      <w:r w:rsidRPr="006202E5">
        <w:rPr>
          <w:rFonts w:ascii="Times New Roman" w:eastAsia="Times New Roman" w:hAnsi="Times New Roman" w:cs="Times New Roman"/>
          <w:sz w:val="24"/>
          <w:szCs w:val="24"/>
        </w:rPr>
        <w:t xml:space="preserve">77 500,00 un </w:t>
      </w:r>
      <w:r w:rsidR="00E628AD" w:rsidRPr="006202E5">
        <w:rPr>
          <w:rFonts w:ascii="Times New Roman" w:eastAsia="Times New Roman" w:hAnsi="Times New Roman" w:cs="Times New Roman"/>
          <w:sz w:val="24"/>
          <w:szCs w:val="24"/>
        </w:rPr>
        <w:t xml:space="preserve">USD </w:t>
      </w:r>
      <w:r w:rsidRPr="006202E5">
        <w:rPr>
          <w:rFonts w:ascii="Times New Roman" w:eastAsia="Times New Roman" w:hAnsi="Times New Roman" w:cs="Times New Roman"/>
          <w:sz w:val="24"/>
          <w:szCs w:val="24"/>
        </w:rPr>
        <w:t xml:space="preserve">742 150,00. </w:t>
      </w:r>
    </w:p>
    <w:p w:rsidR="00CA63EF" w:rsidRPr="006202E5" w:rsidRDefault="00CA63EF" w:rsidP="00CA63EF">
      <w:pPr>
        <w:pStyle w:val="Heading3"/>
        <w:rPr>
          <w:szCs w:val="24"/>
        </w:rPr>
      </w:pPr>
      <w:bookmarkStart w:id="153" w:name="_Toc348948416"/>
      <w:r w:rsidRPr="006202E5">
        <w:rPr>
          <w:szCs w:val="24"/>
        </w:rPr>
        <w:t>1.1</w:t>
      </w:r>
      <w:r w:rsidR="00B246BE">
        <w:rPr>
          <w:szCs w:val="24"/>
        </w:rPr>
        <w:t>0</w:t>
      </w:r>
      <w:r w:rsidRPr="006202E5">
        <w:rPr>
          <w:szCs w:val="24"/>
        </w:rPr>
        <w:t>. Korupcijas apkarošana</w:t>
      </w:r>
      <w:bookmarkEnd w:id="153"/>
    </w:p>
    <w:p w:rsidR="00CA63EF" w:rsidRPr="006202E5" w:rsidRDefault="00CA63EF" w:rsidP="00CA63EF">
      <w:pPr>
        <w:pStyle w:val="naislab"/>
        <w:spacing w:before="0" w:beforeAutospacing="0" w:after="0" w:afterAutospacing="0"/>
        <w:ind w:firstLine="709"/>
        <w:jc w:val="both"/>
      </w:pPr>
      <w:r w:rsidRPr="006202E5">
        <w:t>Vēršot pastiprinātu uzmanību preventīvu darbību nozīmei korupcijas izplatības mazināšanā</w:t>
      </w:r>
      <w:r w:rsidR="00E628AD">
        <w:t>,</w:t>
      </w:r>
      <w:r w:rsidRPr="006202E5">
        <w:t xml:space="preserve"> par pretkorupcijas, interešu konflikta novēršanas un publiskās pārvaldes ētikas jautājumiem 2012.gadā organizēti un vadīti 76 izglītošanas pasākumi, kuros kopumā izglītotas 3386 personas. 2012.gadā īpaši aktualizēta korupcijas problēma veselības aprūpē.</w:t>
      </w:r>
    </w:p>
    <w:p w:rsidR="00CA63EF" w:rsidRPr="006202E5" w:rsidRDefault="00CA63EF" w:rsidP="00CA63EF">
      <w:pPr>
        <w:pStyle w:val="ListParagraph"/>
        <w:spacing w:after="0" w:line="240" w:lineRule="auto"/>
        <w:ind w:left="0" w:firstLine="709"/>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Korupcijas apkarošanas jomā turpināms darbs pie krimināltiesiskā regulējuma pilnveidošanas ar mērķi ātri un efektīvi novērst korupcijas ietekmi uz valsts ekonomiku, pilnveidojot atbildību par rīcību ar subjekta mantu, kā arī likuma normu pilnveidošanas juridisko personu saukšanai pie kriminālatbildības.</w:t>
      </w:r>
    </w:p>
    <w:p w:rsidR="006202E5" w:rsidRPr="00B246BE" w:rsidRDefault="006202E5" w:rsidP="00B246BE">
      <w:pPr>
        <w:tabs>
          <w:tab w:val="num" w:pos="720"/>
          <w:tab w:val="left" w:pos="3902"/>
        </w:tabs>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KNAB</w:t>
      </w:r>
      <w:r w:rsidR="00CA63EF" w:rsidRPr="006202E5">
        <w:rPr>
          <w:rFonts w:ascii="Times New Roman" w:eastAsia="Times New Roman" w:hAnsi="Times New Roman" w:cs="Times New Roman"/>
          <w:sz w:val="24"/>
          <w:szCs w:val="24"/>
        </w:rPr>
        <w:t xml:space="preserve"> plāno veikt pasākumus, ierobežojot situācijas valsts pārvaldes darba organizācijā, kur pastāv iespēja jautājumus risināt ar neoficiāliem maksājumiem, barterdarījumiem vai pazīšanos. </w:t>
      </w:r>
    </w:p>
    <w:p w:rsidR="00CA63EF" w:rsidRPr="006202E5" w:rsidRDefault="00CA63EF" w:rsidP="00CA63EF">
      <w:pPr>
        <w:pStyle w:val="Heading3"/>
        <w:rPr>
          <w:rFonts w:eastAsia="Times New Roman"/>
          <w:szCs w:val="24"/>
        </w:rPr>
      </w:pPr>
      <w:bookmarkStart w:id="154" w:name="_Toc348948417"/>
      <w:r w:rsidRPr="006202E5">
        <w:rPr>
          <w:rFonts w:eastAsia="Times New Roman"/>
          <w:szCs w:val="24"/>
        </w:rPr>
        <w:t>1.1</w:t>
      </w:r>
      <w:r w:rsidR="00B246BE">
        <w:rPr>
          <w:rFonts w:eastAsia="Times New Roman"/>
          <w:szCs w:val="24"/>
        </w:rPr>
        <w:t>1</w:t>
      </w:r>
      <w:r w:rsidRPr="006202E5">
        <w:rPr>
          <w:rFonts w:eastAsia="Times New Roman"/>
          <w:szCs w:val="24"/>
        </w:rPr>
        <w:t>. Politisko partiju finansēšana un to darbības uzraudzība</w:t>
      </w:r>
      <w:bookmarkEnd w:id="154"/>
      <w:r w:rsidRPr="006202E5">
        <w:rPr>
          <w:rFonts w:eastAsia="Times New Roman"/>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8640"/>
      </w:tblGrid>
      <w:tr w:rsidR="00CA63EF" w:rsidRPr="006202E5" w:rsidTr="008632B8">
        <w:trPr>
          <w:tblCellSpacing w:w="0" w:type="dxa"/>
        </w:trPr>
        <w:tc>
          <w:tcPr>
            <w:tcW w:w="0" w:type="auto"/>
            <w:hideMark/>
          </w:tcPr>
          <w:p w:rsidR="00CA63EF" w:rsidRPr="006202E5" w:rsidRDefault="00CA63EF" w:rsidP="008632B8">
            <w:pPr>
              <w:spacing w:after="0" w:line="240" w:lineRule="auto"/>
              <w:jc w:val="both"/>
              <w:rPr>
                <w:rFonts w:ascii="Times New Roman" w:hAnsi="Times New Roman" w:cs="Times New Roman"/>
                <w:sz w:val="24"/>
                <w:szCs w:val="24"/>
              </w:rPr>
            </w:pPr>
          </w:p>
        </w:tc>
      </w:tr>
    </w:tbl>
    <w:p w:rsidR="00CA63EF" w:rsidRPr="006202E5" w:rsidRDefault="00CA63EF" w:rsidP="00CA63EF">
      <w:pPr>
        <w:pStyle w:val="Default"/>
        <w:ind w:firstLine="709"/>
        <w:jc w:val="both"/>
        <w:rPr>
          <w:rFonts w:ascii="Times New Roman" w:eastAsia="Times New Roman" w:hAnsi="Times New Roman"/>
          <w:color w:val="auto"/>
        </w:rPr>
      </w:pPr>
      <w:r w:rsidRPr="006202E5">
        <w:rPr>
          <w:rFonts w:ascii="Times New Roman" w:eastAsia="Times New Roman" w:hAnsi="Times New Roman"/>
          <w:color w:val="auto"/>
        </w:rPr>
        <w:t xml:space="preserve">Veicot Politisko organizāciju (partiju) finansēšanas likumā noteikto ierobežojumu uzraudzību un priekšvēlēšanu aģitācijas kontroli, 2012.gadā KNAB uzsācis 45 administratīvo pārkāpumu lietas, pieņemti 6 lēmumi par partiju un to apvienību pretlikumīgo finanšu līdzekļu atmaksāšanu </w:t>
      </w:r>
      <w:r w:rsidR="00E628AD">
        <w:rPr>
          <w:rFonts w:ascii="Times New Roman" w:eastAsia="Times New Roman" w:hAnsi="Times New Roman"/>
          <w:color w:val="auto"/>
        </w:rPr>
        <w:t>valsts budžetā par kopējo summu</w:t>
      </w:r>
      <w:r w:rsidRPr="006202E5">
        <w:rPr>
          <w:rFonts w:ascii="Times New Roman" w:eastAsia="Times New Roman" w:hAnsi="Times New Roman"/>
          <w:color w:val="auto"/>
        </w:rPr>
        <w:t xml:space="preserve"> 25114,01 lati. No tiem valsts budžetā atmaksāti 23515,87 lati. Atskaites periodā Birojs tiesā iesniedzis 6 prasības pieteikumus par politiskās partijas darbības apturēšanu un 1 prasības pieteikumu par politiskās partijas darbības izbeigšanu.</w:t>
      </w:r>
    </w:p>
    <w:p w:rsidR="00CA63EF" w:rsidRPr="006202E5" w:rsidRDefault="00CA63EF" w:rsidP="00CA63EF">
      <w:pPr>
        <w:pStyle w:val="Default"/>
        <w:ind w:firstLine="709"/>
        <w:jc w:val="both"/>
        <w:rPr>
          <w:rFonts w:ascii="Times New Roman" w:eastAsia="Times New Roman" w:hAnsi="Times New Roman"/>
          <w:color w:val="auto"/>
        </w:rPr>
      </w:pPr>
      <w:r w:rsidRPr="006202E5">
        <w:rPr>
          <w:rFonts w:ascii="Times New Roman" w:eastAsia="Times New Roman" w:hAnsi="Times New Roman"/>
          <w:color w:val="auto"/>
        </w:rPr>
        <w:t xml:space="preserve">Politisko organizāciju (partiju) finansēšanas likumā samazināts partijām pieļaujamais priekšvēlēšanu izdevumu apmērs reklāmas izvietošanai un Priekšvēlēšanu aģitācijas likumā ieviests aģitācijas aizliegums televīzijā mēnesi pirms vēlēšanām, kas nodrošina privātpersonu ietekmes samazināšanu uz partiju darbību. Ar 2013.gada 1.janvāri noteikts administratīvo resursu izmantošanas aizliegums priekšvēlēšanu aģitācijai, kā arī noteikts atbildības mehānisms, paredzot atbildīgajai personai pienākumu </w:t>
      </w:r>
      <w:r w:rsidRPr="006202E5">
        <w:rPr>
          <w:rFonts w:ascii="Times New Roman" w:eastAsia="Times New Roman" w:hAnsi="Times New Roman"/>
          <w:color w:val="auto"/>
        </w:rPr>
        <w:lastRenderedPageBreak/>
        <w:t>atlīdzināt pretlikumīgi iztērētos valsts budžeta līdzekļus no saviem personīgajie</w:t>
      </w:r>
      <w:r w:rsidR="00E628AD">
        <w:rPr>
          <w:rFonts w:ascii="Times New Roman" w:eastAsia="Times New Roman" w:hAnsi="Times New Roman"/>
          <w:color w:val="auto"/>
        </w:rPr>
        <w:t>m līdzekļiem. Sākot ar 2013.gadu,</w:t>
      </w:r>
      <w:r w:rsidRPr="006202E5">
        <w:rPr>
          <w:rFonts w:ascii="Times New Roman" w:eastAsia="Times New Roman" w:hAnsi="Times New Roman"/>
          <w:color w:val="auto"/>
        </w:rPr>
        <w:t xml:space="preserve"> KNAB veiks jaunu funkciju politisko partiju aģitācijas uzraudzībā.</w:t>
      </w:r>
    </w:p>
    <w:p w:rsidR="00CA63EF" w:rsidRPr="006202E5" w:rsidRDefault="00CA63EF" w:rsidP="00CA63EF">
      <w:pPr>
        <w:pStyle w:val="Heading3"/>
        <w:rPr>
          <w:rFonts w:eastAsia="Times New Roman"/>
          <w:szCs w:val="24"/>
        </w:rPr>
      </w:pPr>
      <w:bookmarkStart w:id="155" w:name="_Toc348948418"/>
      <w:r w:rsidRPr="006202E5">
        <w:rPr>
          <w:rFonts w:eastAsia="Times New Roman"/>
          <w:szCs w:val="24"/>
        </w:rPr>
        <w:t>1.1</w:t>
      </w:r>
      <w:r w:rsidR="00B246BE">
        <w:rPr>
          <w:rFonts w:eastAsia="Times New Roman"/>
          <w:szCs w:val="24"/>
        </w:rPr>
        <w:t>2</w:t>
      </w:r>
      <w:r w:rsidRPr="006202E5">
        <w:rPr>
          <w:rFonts w:eastAsia="Times New Roman"/>
          <w:szCs w:val="24"/>
        </w:rPr>
        <w:t>. Valsts amatpersonu darbības kontrole</w:t>
      </w:r>
      <w:bookmarkEnd w:id="155"/>
    </w:p>
    <w:p w:rsidR="00CA63EF" w:rsidRPr="00B246BE" w:rsidRDefault="00CA63EF" w:rsidP="00B246BE">
      <w:pPr>
        <w:spacing w:after="0" w:line="240" w:lineRule="auto"/>
        <w:ind w:firstLine="480"/>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 xml:space="preserve">Par likumā </w:t>
      </w:r>
      <w:r w:rsidR="00B167ED">
        <w:rPr>
          <w:rFonts w:ascii="Times New Roman" w:eastAsia="Times New Roman" w:hAnsi="Times New Roman" w:cs="Times New Roman"/>
          <w:sz w:val="24"/>
          <w:szCs w:val="24"/>
        </w:rPr>
        <w:t>"</w:t>
      </w:r>
      <w:r w:rsidRPr="006202E5">
        <w:rPr>
          <w:rFonts w:ascii="Times New Roman" w:eastAsia="Times New Roman" w:hAnsi="Times New Roman" w:cs="Times New Roman"/>
          <w:sz w:val="24"/>
          <w:szCs w:val="24"/>
        </w:rPr>
        <w:t>Par interešu konflikta novēršanu valsts amatpersonu darbībā</w:t>
      </w:r>
      <w:r w:rsidR="00B167ED">
        <w:rPr>
          <w:rFonts w:ascii="Times New Roman" w:eastAsia="Times New Roman" w:hAnsi="Times New Roman" w:cs="Times New Roman"/>
          <w:sz w:val="24"/>
          <w:szCs w:val="24"/>
        </w:rPr>
        <w:t>"</w:t>
      </w:r>
      <w:r w:rsidRPr="006202E5">
        <w:rPr>
          <w:rFonts w:ascii="Times New Roman" w:eastAsia="Times New Roman" w:hAnsi="Times New Roman" w:cs="Times New Roman"/>
          <w:sz w:val="24"/>
          <w:szCs w:val="24"/>
        </w:rPr>
        <w:t xml:space="preserve"> valsts amatpersonām noteikto ierobežojumu neievērošanu 138 gadījumos uzsākta lietvedība administratīvā pārkāpuma lietā, 71 gadījumā pieņemts lēmums par atteikšanos uzsākt lietvedību administratīvā pārkāpuma lietā. Kopumā pieņemti 136 lēmumi administratīvā pārkāpuma lietā un ar naudas sodu sodītas 47 valsts amatpersonas kopumā par 4 655 </w:t>
      </w:r>
      <w:r w:rsidR="00E628AD">
        <w:rPr>
          <w:rFonts w:ascii="Times New Roman" w:eastAsia="Times New Roman" w:hAnsi="Times New Roman" w:cs="Times New Roman"/>
          <w:sz w:val="24"/>
          <w:szCs w:val="24"/>
        </w:rPr>
        <w:t>latiem, savukārt</w:t>
      </w:r>
      <w:r w:rsidRPr="006202E5">
        <w:rPr>
          <w:rFonts w:ascii="Times New Roman" w:eastAsia="Times New Roman" w:hAnsi="Times New Roman" w:cs="Times New Roman"/>
          <w:sz w:val="24"/>
          <w:szCs w:val="24"/>
        </w:rPr>
        <w:t xml:space="preserve"> 83 valsts amatpersonām saskaņā ar Latvijas Administratīvo pārkāpumu kodeksa 21.pantu izteikts mutvārdu aizrādījums. Saskaņā ar likuma </w:t>
      </w:r>
      <w:r w:rsidR="00B167ED">
        <w:rPr>
          <w:rFonts w:ascii="Times New Roman" w:eastAsia="Times New Roman" w:hAnsi="Times New Roman" w:cs="Times New Roman"/>
          <w:sz w:val="24"/>
          <w:szCs w:val="24"/>
        </w:rPr>
        <w:t>"</w:t>
      </w:r>
      <w:r w:rsidRPr="006202E5">
        <w:rPr>
          <w:rFonts w:ascii="Times New Roman" w:eastAsia="Times New Roman" w:hAnsi="Times New Roman" w:cs="Times New Roman"/>
          <w:sz w:val="24"/>
          <w:szCs w:val="24"/>
        </w:rPr>
        <w:t>Par interešu konflikta novēršanu valsts amatpersonu darbībā</w:t>
      </w:r>
      <w:r w:rsidR="00B167ED">
        <w:rPr>
          <w:rFonts w:ascii="Times New Roman" w:eastAsia="Times New Roman" w:hAnsi="Times New Roman" w:cs="Times New Roman"/>
          <w:sz w:val="24"/>
          <w:szCs w:val="24"/>
        </w:rPr>
        <w:t>"</w:t>
      </w:r>
      <w:r w:rsidRPr="006202E5">
        <w:rPr>
          <w:rFonts w:ascii="Times New Roman" w:eastAsia="Times New Roman" w:hAnsi="Times New Roman" w:cs="Times New Roman"/>
          <w:sz w:val="24"/>
          <w:szCs w:val="24"/>
        </w:rPr>
        <w:t xml:space="preserve"> 30.pantu divām personām lūgts atlīdzināt valstij nodarītos zaudējumus par kopējo summu 544,94 lati.</w:t>
      </w:r>
    </w:p>
    <w:p w:rsidR="00CA63EF" w:rsidRPr="00B246BE" w:rsidRDefault="006202E5" w:rsidP="00B246BE">
      <w:pPr>
        <w:pStyle w:val="Heading2"/>
      </w:pPr>
      <w:bookmarkStart w:id="156" w:name="_Toc348948419"/>
      <w:r w:rsidRPr="00B246BE">
        <w:t xml:space="preserve">2. </w:t>
      </w:r>
      <w:r w:rsidR="00CA63EF" w:rsidRPr="00B246BE">
        <w:t>Sabiedrības drošība</w:t>
      </w:r>
      <w:bookmarkEnd w:id="156"/>
    </w:p>
    <w:p w:rsidR="00CA63EF" w:rsidRPr="00B246BE" w:rsidRDefault="00CA63EF" w:rsidP="00B246BE">
      <w:pPr>
        <w:pStyle w:val="Heading3"/>
      </w:pPr>
      <w:bookmarkStart w:id="157" w:name="_Toc348948420"/>
      <w:r w:rsidRPr="00B246BE">
        <w:t>2.1. Drošības un tiesību aizsardzības politika</w:t>
      </w:r>
      <w:bookmarkEnd w:id="157"/>
    </w:p>
    <w:p w:rsidR="00344B99" w:rsidRPr="00344B99" w:rsidRDefault="00344B99" w:rsidP="00344B99">
      <w:pPr>
        <w:spacing w:after="0" w:line="240" w:lineRule="auto"/>
        <w:ind w:firstLine="720"/>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Lai sekmētu iekšējās drošības nostiprināšanu valstī un veicinātu iekšlietu sistēmas iestāžu darbības efektivitāti sabiedriskās kārtības nodrošināšanā, noziedzības apkarošanā, personu tiesību un likumīgo interešu aizsardzībā, 2012.gadā tika izstrādāti vairāki nozīmīgi attīstības plānošanas dokumentu proj</w:t>
      </w:r>
      <w:r w:rsidR="00E628AD">
        <w:rPr>
          <w:rFonts w:ascii="Times New Roman" w:eastAsia="Times New Roman" w:hAnsi="Times New Roman" w:cs="Times New Roman"/>
          <w:sz w:val="24"/>
          <w:szCs w:val="24"/>
        </w:rPr>
        <w:t xml:space="preserve">ekti. Apstiprināts </w:t>
      </w:r>
      <w:r w:rsidRPr="00344B99">
        <w:rPr>
          <w:rFonts w:ascii="Times New Roman" w:eastAsia="Times New Roman" w:hAnsi="Times New Roman" w:cs="Times New Roman"/>
          <w:sz w:val="24"/>
          <w:szCs w:val="24"/>
        </w:rPr>
        <w:t>Pasākumu plāns institūciju saskaņotai rīcībai saistībā ar patvēruma meklētāju iespējamo ierašanos La</w:t>
      </w:r>
      <w:r w:rsidR="00E628AD">
        <w:rPr>
          <w:rFonts w:ascii="Times New Roman" w:eastAsia="Times New Roman" w:hAnsi="Times New Roman" w:cs="Times New Roman"/>
          <w:sz w:val="24"/>
          <w:szCs w:val="24"/>
        </w:rPr>
        <w:t>tvijā no krīzes skartām valstīm</w:t>
      </w:r>
      <w:r w:rsidRPr="00344B99">
        <w:rPr>
          <w:rFonts w:ascii="Times New Roman" w:eastAsia="Times New Roman" w:hAnsi="Times New Roman" w:cs="Times New Roman"/>
          <w:sz w:val="24"/>
          <w:szCs w:val="24"/>
        </w:rPr>
        <w:t>, kura mērķis ir noteikt institūciju preventīvos un reaģēšanas pasākumus, kā arī institūciju pieejamības un iesaistīšanas kārtību reaģēšanas pasākumos.</w:t>
      </w:r>
    </w:p>
    <w:p w:rsidR="00344B99" w:rsidRPr="00344B99" w:rsidRDefault="00E628AD" w:rsidP="0034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Izstrādāts </w:t>
      </w:r>
      <w:r w:rsidR="00344B99" w:rsidRPr="00344B99">
        <w:rPr>
          <w:rFonts w:ascii="Times New Roman" w:eastAsia="Times New Roman" w:hAnsi="Times New Roman" w:cs="Times New Roman"/>
          <w:sz w:val="24"/>
          <w:szCs w:val="24"/>
        </w:rPr>
        <w:t>Pasākumu plāna izmeklēšanas kvalitātes paaugs</w:t>
      </w:r>
      <w:r>
        <w:rPr>
          <w:rFonts w:ascii="Times New Roman" w:eastAsia="Times New Roman" w:hAnsi="Times New Roman" w:cs="Times New Roman"/>
          <w:sz w:val="24"/>
          <w:szCs w:val="24"/>
        </w:rPr>
        <w:t>tināšanai izmeklēšanas iestādēs</w:t>
      </w:r>
      <w:r w:rsidR="00344B99" w:rsidRPr="00344B99">
        <w:rPr>
          <w:rFonts w:ascii="Times New Roman" w:eastAsia="Times New Roman" w:hAnsi="Times New Roman" w:cs="Times New Roman"/>
          <w:sz w:val="24"/>
          <w:szCs w:val="24"/>
        </w:rPr>
        <w:t xml:space="preserve"> projekts ar mērķi paaugstināt izmeklēšanas kvalitāti visās izmeklēšanas iestādēs un noteikt pasākumu kopumu, kas atbildīgajām institūcijām jāveic šajā jomā, tai skaitā lai novērstu gadījumus, kad izmeklēšanas iestāžu nelikumīgas vai nepamatotas rīcības  rezultātā tiek pieļauta neattaisnota iejaukšanās personas dzīvē un nodarīti nepamatoti izdevumi fiziskām personām.</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Tāpat</w:t>
      </w:r>
      <w:r w:rsidR="00E628AD">
        <w:rPr>
          <w:rFonts w:ascii="Times New Roman" w:eastAsia="Times New Roman" w:hAnsi="Times New Roman" w:cs="Times New Roman"/>
          <w:sz w:val="24"/>
          <w:szCs w:val="24"/>
        </w:rPr>
        <w:t>,</w:t>
      </w:r>
      <w:r w:rsidRPr="00344B99">
        <w:rPr>
          <w:rFonts w:ascii="Times New Roman" w:eastAsia="Times New Roman" w:hAnsi="Times New Roman" w:cs="Times New Roman"/>
          <w:sz w:val="24"/>
          <w:szCs w:val="24"/>
        </w:rPr>
        <w:t xml:space="preserve"> lai samazināt</w:t>
      </w:r>
      <w:r w:rsidR="00E628AD">
        <w:rPr>
          <w:rFonts w:ascii="Times New Roman" w:eastAsia="Times New Roman" w:hAnsi="Times New Roman" w:cs="Times New Roman"/>
          <w:sz w:val="24"/>
          <w:szCs w:val="24"/>
        </w:rPr>
        <w:t>u</w:t>
      </w:r>
      <w:r w:rsidRPr="00344B99">
        <w:rPr>
          <w:rFonts w:ascii="Times New Roman" w:eastAsia="Times New Roman" w:hAnsi="Times New Roman" w:cs="Times New Roman"/>
          <w:sz w:val="24"/>
          <w:szCs w:val="24"/>
        </w:rPr>
        <w:t xml:space="preserve"> bērnu noziedzību, novērst</w:t>
      </w:r>
      <w:r w:rsidR="00E628AD">
        <w:rPr>
          <w:rFonts w:ascii="Times New Roman" w:eastAsia="Times New Roman" w:hAnsi="Times New Roman" w:cs="Times New Roman"/>
          <w:sz w:val="24"/>
          <w:szCs w:val="24"/>
        </w:rPr>
        <w:t>u</w:t>
      </w:r>
      <w:r w:rsidRPr="00344B99">
        <w:rPr>
          <w:rFonts w:ascii="Times New Roman" w:eastAsia="Times New Roman" w:hAnsi="Times New Roman" w:cs="Times New Roman"/>
          <w:sz w:val="24"/>
          <w:szCs w:val="24"/>
        </w:rPr>
        <w:t xml:space="preserve"> noziedzīgu uzvedību veicinošus faktorus, kā arī uzlabot</w:t>
      </w:r>
      <w:r w:rsidR="00E628AD">
        <w:rPr>
          <w:rFonts w:ascii="Times New Roman" w:eastAsia="Times New Roman" w:hAnsi="Times New Roman" w:cs="Times New Roman"/>
          <w:sz w:val="24"/>
          <w:szCs w:val="24"/>
        </w:rPr>
        <w:t>u</w:t>
      </w:r>
      <w:r w:rsidRPr="00344B99">
        <w:rPr>
          <w:rFonts w:ascii="Times New Roman" w:eastAsia="Times New Roman" w:hAnsi="Times New Roman" w:cs="Times New Roman"/>
          <w:sz w:val="24"/>
          <w:szCs w:val="24"/>
        </w:rPr>
        <w:t xml:space="preserve"> bērnu drošību, aizsargājot tos no veselības un dzīvības apdraudējuma</w:t>
      </w:r>
      <w:r w:rsidR="00E628AD">
        <w:rPr>
          <w:rFonts w:ascii="Times New Roman" w:eastAsia="Times New Roman" w:hAnsi="Times New Roman" w:cs="Times New Roman"/>
          <w:sz w:val="24"/>
          <w:szCs w:val="24"/>
        </w:rPr>
        <w:t>,</w:t>
      </w:r>
      <w:r w:rsidRPr="00344B99">
        <w:rPr>
          <w:rFonts w:ascii="Times New Roman" w:eastAsia="Times New Roman" w:hAnsi="Times New Roman" w:cs="Times New Roman"/>
          <w:sz w:val="24"/>
          <w:szCs w:val="24"/>
        </w:rPr>
        <w:t xml:space="preserve"> </w:t>
      </w:r>
      <w:r w:rsidR="004967A8">
        <w:rPr>
          <w:rFonts w:ascii="Times New Roman" w:eastAsia="Times New Roman" w:hAnsi="Times New Roman" w:cs="Times New Roman"/>
          <w:sz w:val="24"/>
          <w:szCs w:val="24"/>
        </w:rPr>
        <w:t>IeM</w:t>
      </w:r>
      <w:r w:rsidRPr="00344B99">
        <w:rPr>
          <w:rFonts w:ascii="Times New Roman" w:eastAsia="Times New Roman" w:hAnsi="Times New Roman" w:cs="Times New Roman"/>
          <w:sz w:val="24"/>
          <w:szCs w:val="24"/>
        </w:rPr>
        <w:t xml:space="preserve"> sadarbībā ar</w:t>
      </w:r>
      <w:r w:rsidR="00E628AD">
        <w:rPr>
          <w:rFonts w:ascii="Times New Roman" w:eastAsia="Times New Roman" w:hAnsi="Times New Roman" w:cs="Times New Roman"/>
          <w:sz w:val="24"/>
          <w:szCs w:val="24"/>
        </w:rPr>
        <w:t xml:space="preserve"> citām institūcijām izstrādāja </w:t>
      </w:r>
      <w:r w:rsidRPr="00344B99">
        <w:rPr>
          <w:rFonts w:ascii="Times New Roman" w:eastAsia="Times New Roman" w:hAnsi="Times New Roman" w:cs="Times New Roman"/>
          <w:sz w:val="24"/>
          <w:szCs w:val="24"/>
        </w:rPr>
        <w:t>Bērnu noziedzības novēršanas un bērnu aizsardzības pret noziedzīgo nodarījumu</w:t>
      </w:r>
      <w:r w:rsidR="00E628AD">
        <w:rPr>
          <w:rFonts w:ascii="Times New Roman" w:eastAsia="Times New Roman" w:hAnsi="Times New Roman" w:cs="Times New Roman"/>
          <w:sz w:val="24"/>
          <w:szCs w:val="24"/>
        </w:rPr>
        <w:t xml:space="preserve"> pamatnostādņu 2013.-2019.gadam</w:t>
      </w:r>
      <w:r w:rsidRPr="00344B99">
        <w:rPr>
          <w:rFonts w:ascii="Times New Roman" w:eastAsia="Times New Roman" w:hAnsi="Times New Roman" w:cs="Times New Roman"/>
          <w:sz w:val="24"/>
          <w:szCs w:val="24"/>
        </w:rPr>
        <w:t xml:space="preserve"> projektu.</w:t>
      </w:r>
    </w:p>
    <w:p w:rsidR="00344B99" w:rsidRPr="00344B99" w:rsidRDefault="00E628AD" w:rsidP="0034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Izstrādāts </w:t>
      </w:r>
      <w:r w:rsidR="00344B99" w:rsidRPr="00344B99">
        <w:rPr>
          <w:rFonts w:ascii="Times New Roman" w:eastAsia="Times New Roman" w:hAnsi="Times New Roman" w:cs="Times New Roman"/>
          <w:sz w:val="24"/>
          <w:szCs w:val="24"/>
        </w:rPr>
        <w:t>Fizis</w:t>
      </w:r>
      <w:r>
        <w:rPr>
          <w:rFonts w:ascii="Times New Roman" w:eastAsia="Times New Roman" w:hAnsi="Times New Roman" w:cs="Times New Roman"/>
          <w:sz w:val="24"/>
          <w:szCs w:val="24"/>
        </w:rPr>
        <w:t>ko personu reģistra koncepcijas</w:t>
      </w:r>
      <w:r w:rsidR="00344B99" w:rsidRPr="00344B99">
        <w:rPr>
          <w:rFonts w:ascii="Times New Roman" w:eastAsia="Times New Roman" w:hAnsi="Times New Roman" w:cs="Times New Roman"/>
          <w:sz w:val="24"/>
          <w:szCs w:val="24"/>
        </w:rPr>
        <w:t xml:space="preserve"> projekts, kas vērsts uz esošo Iedzīvotāju reģistra informācijas sistēmas funkcionalitātes paplašināšanu, neveidojot jaunu atsevišķu reģistru. Plānots, ka jauns reģistrs uzlabos personu identifikāciju daž</w:t>
      </w:r>
      <w:r>
        <w:rPr>
          <w:rFonts w:ascii="Times New Roman" w:eastAsia="Times New Roman" w:hAnsi="Times New Roman" w:cs="Times New Roman"/>
          <w:sz w:val="24"/>
          <w:szCs w:val="24"/>
        </w:rPr>
        <w:t>ādās informācijas sistēmās. Tādē</w:t>
      </w:r>
      <w:r w:rsidR="00344B99" w:rsidRPr="00344B99">
        <w:rPr>
          <w:rFonts w:ascii="Times New Roman" w:eastAsia="Times New Roman" w:hAnsi="Times New Roman" w:cs="Times New Roman"/>
          <w:sz w:val="24"/>
          <w:szCs w:val="24"/>
        </w:rPr>
        <w:t>jādi valsts un pašvaldību iestādēm, kas šobrīd izmanto Iedzīvotāju reģistra ziņas vai nodrošina Iedzīvotāju reģistram nepieciešamo ziņu sniegšanu, nebūs jāveic ievērojamas izmaiņ</w:t>
      </w:r>
      <w:r w:rsidR="004967A8">
        <w:rPr>
          <w:rFonts w:ascii="Times New Roman" w:eastAsia="Times New Roman" w:hAnsi="Times New Roman" w:cs="Times New Roman"/>
          <w:sz w:val="24"/>
          <w:szCs w:val="24"/>
        </w:rPr>
        <w:t xml:space="preserve">as savās informācijas sistēmās, </w:t>
      </w:r>
      <w:r w:rsidR="00344B99" w:rsidRPr="00344B99">
        <w:rPr>
          <w:rFonts w:ascii="Times New Roman" w:eastAsia="Times New Roman" w:hAnsi="Times New Roman" w:cs="Times New Roman"/>
          <w:sz w:val="24"/>
          <w:szCs w:val="24"/>
        </w:rPr>
        <w:t>lai nodrošinātu ziņu apmaiņu ar jaunizveidoto reģistru, jo vairumā gadījumu varēs izmantot esošās Iedzīvotāju reģistra starpsistēmu saskarnes.</w:t>
      </w:r>
    </w:p>
    <w:p w:rsidR="00344B99" w:rsidRPr="00344B99" w:rsidRDefault="00E628AD" w:rsidP="0034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Sagatavots informatīvā</w:t>
      </w:r>
      <w:r w:rsidR="00344B99" w:rsidRPr="00344B99">
        <w:rPr>
          <w:rFonts w:ascii="Times New Roman" w:eastAsia="Times New Roman" w:hAnsi="Times New Roman" w:cs="Times New Roman"/>
          <w:sz w:val="24"/>
          <w:szCs w:val="24"/>
        </w:rPr>
        <w:t xml:space="preserve"> ziņojuma projekts par pastāvošām problēmām Valsts policijas darba organizācijā un iespējamām izmaiņām normatīvajos aktos, kas būtu </w:t>
      </w:r>
      <w:r w:rsidR="00344B99" w:rsidRPr="00344B99">
        <w:rPr>
          <w:rFonts w:ascii="Times New Roman" w:eastAsia="Times New Roman" w:hAnsi="Times New Roman" w:cs="Times New Roman"/>
          <w:sz w:val="24"/>
          <w:szCs w:val="24"/>
        </w:rPr>
        <w:lastRenderedPageBreak/>
        <w:t>vērstas uz policijas struktūrvienību sadarbības optimizāciju sabiedriskās kārtības un drošības nodrošināšanas jomā valstī.</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Vienlaikus lai pilnveidotu Valsts policijas darbu, kas vērsts uz kvalitatīvu pakalpojumu sniegšanu, tiek turpināts darbs pie Valsts policijas attīstības koncepcijas projekta.</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 xml:space="preserve">2013.gada </w:t>
      </w:r>
      <w:r w:rsidR="00565723">
        <w:rPr>
          <w:rFonts w:ascii="Times New Roman" w:eastAsia="Times New Roman" w:hAnsi="Times New Roman" w:cs="Times New Roman"/>
          <w:sz w:val="24"/>
          <w:szCs w:val="24"/>
        </w:rPr>
        <w:t>1.</w:t>
      </w:r>
      <w:r w:rsidRPr="00344B99">
        <w:rPr>
          <w:rFonts w:ascii="Times New Roman" w:eastAsia="Times New Roman" w:hAnsi="Times New Roman" w:cs="Times New Roman"/>
          <w:sz w:val="24"/>
          <w:szCs w:val="24"/>
        </w:rPr>
        <w:t>pusgadā plānots pabeigt darbu pie koncepcijas projekta par jauniem principiem dar</w:t>
      </w:r>
      <w:r w:rsidR="00E628AD">
        <w:rPr>
          <w:rFonts w:ascii="Times New Roman" w:eastAsia="Times New Roman" w:hAnsi="Times New Roman" w:cs="Times New Roman"/>
          <w:sz w:val="24"/>
          <w:szCs w:val="24"/>
        </w:rPr>
        <w:t>ba samaksas sistēmā</w:t>
      </w:r>
      <w:r w:rsidRPr="00344B99">
        <w:rPr>
          <w:rFonts w:ascii="Times New Roman" w:eastAsia="Times New Roman" w:hAnsi="Times New Roman" w:cs="Times New Roman"/>
          <w:sz w:val="24"/>
          <w:szCs w:val="24"/>
        </w:rPr>
        <w:t xml:space="preserve"> amatpersonām ar speciālajām dienesta pakāpēm.</w:t>
      </w:r>
    </w:p>
    <w:p w:rsidR="00344B99" w:rsidRPr="00344B99" w:rsidRDefault="00E628AD" w:rsidP="00344B9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Jaunā</w:t>
      </w:r>
      <w:r w:rsidR="00344B99" w:rsidRPr="00344B99">
        <w:rPr>
          <w:rFonts w:ascii="Times New Roman" w:eastAsia="Times New Roman" w:hAnsi="Times New Roman" w:cs="Times New Roman"/>
          <w:sz w:val="24"/>
          <w:szCs w:val="24"/>
        </w:rPr>
        <w:t xml:space="preserve"> darba samaksas sistēma paredz amatpersonu algu noteikt atbilstoši veicamajiem uzdevumiem un ieņemamajam amatam un nodrošināt normatīvajos aktos noteikto uzdevumu izpildi un iedzīvotājiem sniedzamo pakalpojumu kvalitāti. </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2013.gadā paredzēts izstrādāt Imigrācijas politikas koncepciju, lai izveidotu līdzsvarotu un Latvijas interesēm atbilstošu ārzemnieku ieceļošanas sistēmu, kas vērsta uz ekonomisko izaugsmi. Svarīgi panākt, lai valsts nevis tērētu savus līdzekļus imigrantu uzturēšanai, bet imigranti dotu pēc iespējas lielāk</w:t>
      </w:r>
      <w:r w:rsidR="00E628AD">
        <w:rPr>
          <w:rFonts w:ascii="Times New Roman" w:eastAsia="Times New Roman" w:hAnsi="Times New Roman" w:cs="Times New Roman"/>
          <w:sz w:val="24"/>
          <w:szCs w:val="24"/>
        </w:rPr>
        <w:t>u</w:t>
      </w:r>
      <w:r w:rsidRPr="00344B99">
        <w:rPr>
          <w:rFonts w:ascii="Times New Roman" w:eastAsia="Times New Roman" w:hAnsi="Times New Roman" w:cs="Times New Roman"/>
          <w:sz w:val="24"/>
          <w:szCs w:val="24"/>
        </w:rPr>
        <w:t xml:space="preserve"> labumu Latvijas Republikai, gan radot jaunas darba vietas, gan aizstājot izceļojušo darbaspēku.</w:t>
      </w:r>
    </w:p>
    <w:p w:rsidR="00344B99" w:rsidRPr="00344B99" w:rsidRDefault="00E628AD" w:rsidP="00344B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Tāpat paredzēts izstrādāt k</w:t>
      </w:r>
      <w:r w:rsidR="00344B99" w:rsidRPr="00344B99">
        <w:rPr>
          <w:rFonts w:ascii="Times New Roman" w:eastAsia="Times New Roman" w:hAnsi="Times New Roman" w:cs="Times New Roman"/>
          <w:sz w:val="24"/>
          <w:szCs w:val="24"/>
        </w:rPr>
        <w:t>oncepcijas projektu par Valsts policijas Iekšējās drošības biroja pārveidošanu par iekšlietu ministra pārraudzībā esošu institūciju ar mērķi efektīva mehānisma nodrošināšanai to amatpersonu iespējamo pārkāpumu noskaidrošanai un saukšanai pie atbildības, kuras veic izmeklēšanas darbības, izveidošanai.</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 xml:space="preserve">Lai turpinātu valsts intervenci cīņā ar tāda veida noziegumiem, kas būtiski ietekmē ekonomiskos un tiesiskos procesus valstī, 2013.gadā tiks izstrādāti šādi jauni politikas </w:t>
      </w:r>
      <w:r w:rsidR="00E628AD">
        <w:rPr>
          <w:rFonts w:ascii="Times New Roman" w:eastAsia="Times New Roman" w:hAnsi="Times New Roman" w:cs="Times New Roman"/>
          <w:sz w:val="24"/>
          <w:szCs w:val="24"/>
        </w:rPr>
        <w:t xml:space="preserve">plānošanas dokumentu projekti: </w:t>
      </w:r>
      <w:r w:rsidRPr="00344B99">
        <w:rPr>
          <w:rFonts w:ascii="Times New Roman" w:eastAsia="Times New Roman" w:hAnsi="Times New Roman" w:cs="Times New Roman"/>
          <w:sz w:val="24"/>
          <w:szCs w:val="24"/>
        </w:rPr>
        <w:t>Organizētās noziedzības apkar</w:t>
      </w:r>
      <w:r w:rsidR="004967A8">
        <w:rPr>
          <w:rFonts w:ascii="Times New Roman" w:eastAsia="Times New Roman" w:hAnsi="Times New Roman" w:cs="Times New Roman"/>
          <w:sz w:val="24"/>
          <w:szCs w:val="24"/>
        </w:rPr>
        <w:t>ošanas plāns 20</w:t>
      </w:r>
      <w:r w:rsidR="00E628AD">
        <w:rPr>
          <w:rFonts w:ascii="Times New Roman" w:eastAsia="Times New Roman" w:hAnsi="Times New Roman" w:cs="Times New Roman"/>
          <w:sz w:val="24"/>
          <w:szCs w:val="24"/>
        </w:rPr>
        <w:t>14.</w:t>
      </w:r>
      <w:r w:rsidR="00E628AD" w:rsidRPr="00034A96">
        <w:rPr>
          <w:rFonts w:ascii="Times New Roman" w:hAnsi="Times New Roman"/>
          <w:sz w:val="24"/>
          <w:szCs w:val="24"/>
        </w:rPr>
        <w:t>–</w:t>
      </w:r>
      <w:r w:rsidR="00E628AD">
        <w:rPr>
          <w:rFonts w:ascii="Times New Roman" w:eastAsia="Times New Roman" w:hAnsi="Times New Roman" w:cs="Times New Roman"/>
          <w:sz w:val="24"/>
          <w:szCs w:val="24"/>
        </w:rPr>
        <w:t>2016.gadam</w:t>
      </w:r>
      <w:r w:rsidR="004967A8">
        <w:rPr>
          <w:rFonts w:ascii="Times New Roman" w:eastAsia="Times New Roman" w:hAnsi="Times New Roman" w:cs="Times New Roman"/>
          <w:sz w:val="24"/>
          <w:szCs w:val="24"/>
        </w:rPr>
        <w:t xml:space="preserve">, </w:t>
      </w:r>
      <w:r w:rsidRPr="00344B99">
        <w:rPr>
          <w:rFonts w:ascii="Times New Roman" w:eastAsia="Times New Roman" w:hAnsi="Times New Roman" w:cs="Times New Roman"/>
          <w:sz w:val="24"/>
          <w:szCs w:val="24"/>
        </w:rPr>
        <w:t>Cilvēku tirdzniecības novēršanas pamatnostādnes 2014.</w:t>
      </w:r>
      <w:r w:rsidR="00E628AD" w:rsidRPr="00034A96">
        <w:rPr>
          <w:rFonts w:ascii="Times New Roman" w:hAnsi="Times New Roman"/>
          <w:sz w:val="24"/>
          <w:szCs w:val="24"/>
        </w:rPr>
        <w:t>–</w:t>
      </w:r>
      <w:r w:rsidR="007A174B">
        <w:rPr>
          <w:rFonts w:ascii="Times New Roman" w:eastAsia="Times New Roman" w:hAnsi="Times New Roman" w:cs="Times New Roman"/>
          <w:sz w:val="24"/>
          <w:szCs w:val="24"/>
        </w:rPr>
        <w:t>2020.gadam</w:t>
      </w:r>
      <w:r w:rsidRPr="00344B99">
        <w:rPr>
          <w:rFonts w:ascii="Times New Roman" w:eastAsia="Times New Roman" w:hAnsi="Times New Roman" w:cs="Times New Roman"/>
          <w:sz w:val="24"/>
          <w:szCs w:val="24"/>
        </w:rPr>
        <w:t>.</w:t>
      </w:r>
    </w:p>
    <w:p w:rsidR="009E07C5"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r>
      <w:r w:rsidR="009E07C5">
        <w:rPr>
          <w:rFonts w:ascii="Times New Roman" w:eastAsia="Times New Roman" w:hAnsi="Times New Roman" w:cs="Times New Roman"/>
          <w:sz w:val="24"/>
          <w:szCs w:val="24"/>
        </w:rPr>
        <w:t>Lai nodrošinātu tiesu ekspertīžu kvalitāti, p</w:t>
      </w:r>
      <w:r w:rsidR="009E07C5" w:rsidRPr="006202E5">
        <w:rPr>
          <w:rFonts w:ascii="Times New Roman" w:eastAsia="Times New Roman" w:hAnsi="Times New Roman" w:cs="Times New Roman"/>
          <w:sz w:val="24"/>
          <w:szCs w:val="24"/>
        </w:rPr>
        <w:t>lānots</w:t>
      </w:r>
      <w:r w:rsidR="009E07C5">
        <w:rPr>
          <w:rFonts w:ascii="Times New Roman" w:eastAsia="Times New Roman" w:hAnsi="Times New Roman" w:cs="Times New Roman"/>
          <w:sz w:val="24"/>
          <w:szCs w:val="24"/>
        </w:rPr>
        <w:t xml:space="preserve"> izvērtēt vienotās tiesu ekspertīžu iestādes izveides nepieciešamību, tajā skaitā izvērtējot iespēju</w:t>
      </w:r>
      <w:r w:rsidR="009E07C5" w:rsidRPr="006202E5">
        <w:rPr>
          <w:rFonts w:ascii="Times New Roman" w:eastAsia="Times New Roman" w:hAnsi="Times New Roman" w:cs="Times New Roman"/>
          <w:sz w:val="24"/>
          <w:szCs w:val="24"/>
        </w:rPr>
        <w:t xml:space="preserve"> apvienot Valsts policijas Kriminālistikas pārvaldi, Valsts robežsardzes Galvenās pārvaldes Ekspertīžu dienestu, kā arī VM pakļautībā esošo Valsts tiesu medicīnas ekspertīzes centru un TM padotībā esošo Valsts tiesu ekspertīžu biroju.</w:t>
      </w:r>
    </w:p>
    <w:p w:rsidR="00344B99" w:rsidRPr="00344B99" w:rsidRDefault="00344B99" w:rsidP="009E07C5">
      <w:pPr>
        <w:spacing w:after="0" w:line="240" w:lineRule="auto"/>
        <w:ind w:firstLine="720"/>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 xml:space="preserve">Analizējot statistiskus datus, kas raksturo noziedzības stāvokli valstī un iekšlietu iestāžu darbības rezultātus pēdējos gados, var konstatēt, ka, neskatoties uz atsevišķām negatīvām tendencēm noziedzības dinamikā un tās struktūrā, kriminogēnā spriedze kopumā ir samazinājusies un </w:t>
      </w:r>
      <w:r w:rsidR="00565723">
        <w:rPr>
          <w:rFonts w:ascii="Times New Roman" w:eastAsia="Times New Roman" w:hAnsi="Times New Roman" w:cs="Times New Roman"/>
          <w:sz w:val="24"/>
          <w:szCs w:val="24"/>
        </w:rPr>
        <w:t>IeM</w:t>
      </w:r>
      <w:r w:rsidRPr="00344B99">
        <w:rPr>
          <w:rFonts w:ascii="Times New Roman" w:eastAsia="Times New Roman" w:hAnsi="Times New Roman" w:cs="Times New Roman"/>
          <w:sz w:val="24"/>
          <w:szCs w:val="24"/>
        </w:rPr>
        <w:t xml:space="preserve"> iestādes sadarbībā ar citām tiesībsargājošām institūcijām ir spējīgas kontrolēt situāciju valstī.</w:t>
      </w:r>
    </w:p>
    <w:p w:rsidR="00344B99" w:rsidRPr="00344B99" w:rsidRDefault="00344B99" w:rsidP="00344B99">
      <w:pPr>
        <w:spacing w:after="0" w:line="240" w:lineRule="auto"/>
        <w:jc w:val="both"/>
        <w:rPr>
          <w:rFonts w:ascii="Times New Roman" w:eastAsia="Times New Roman" w:hAnsi="Times New Roman" w:cs="Times New Roman"/>
          <w:sz w:val="24"/>
          <w:szCs w:val="24"/>
        </w:rPr>
      </w:pPr>
      <w:r w:rsidRPr="00344B99">
        <w:rPr>
          <w:rFonts w:ascii="Times New Roman" w:eastAsia="Times New Roman" w:hAnsi="Times New Roman" w:cs="Times New Roman"/>
          <w:sz w:val="24"/>
          <w:szCs w:val="24"/>
        </w:rPr>
        <w:tab/>
        <w:t>Kopējo ainu par iekšlietu iestāžu darbības rezultātiem var atspoguļot šādi atsevišķi statistiskie dati:</w:t>
      </w:r>
    </w:p>
    <w:p w:rsidR="00CA63EF" w:rsidRPr="006202E5" w:rsidRDefault="00CA63EF" w:rsidP="00CA63EF">
      <w:pPr>
        <w:spacing w:after="0" w:line="240" w:lineRule="auto"/>
        <w:ind w:firstLine="720"/>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7A174B" w:rsidRDefault="007A174B" w:rsidP="00CA63EF">
      <w:pPr>
        <w:spacing w:after="0" w:line="240" w:lineRule="auto"/>
        <w:jc w:val="both"/>
        <w:rPr>
          <w:rFonts w:ascii="Times New Roman" w:eastAsia="Times New Roman" w:hAnsi="Times New Roman" w:cs="Times New Roman"/>
          <w:sz w:val="24"/>
          <w:szCs w:val="24"/>
        </w:rPr>
      </w:pPr>
    </w:p>
    <w:p w:rsidR="00CA63EF" w:rsidRPr="006202E5" w:rsidRDefault="00CA63EF" w:rsidP="00CA63EF">
      <w:pPr>
        <w:spacing w:after="0" w:line="240" w:lineRule="auto"/>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lastRenderedPageBreak/>
        <w:t>Uzsākto kriminālprocesu skaits</w:t>
      </w:r>
    </w:p>
    <w:p w:rsidR="00CA63EF" w:rsidRPr="006202E5" w:rsidRDefault="00CA63EF" w:rsidP="00CA63EF">
      <w:pPr>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noProof/>
          <w:sz w:val="24"/>
          <w:szCs w:val="24"/>
        </w:rPr>
        <w:drawing>
          <wp:inline distT="0" distB="0" distL="0" distR="0" wp14:anchorId="0C210307" wp14:editId="697DE302">
            <wp:extent cx="4499162" cy="2108499"/>
            <wp:effectExtent l="19050" t="0" r="0" b="0"/>
            <wp:docPr id="15"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A63EF" w:rsidRPr="006202E5" w:rsidRDefault="00CA63EF" w:rsidP="00CA63EF">
      <w:pPr>
        <w:spacing w:after="0" w:line="240" w:lineRule="auto"/>
        <w:ind w:firstLine="720"/>
        <w:jc w:val="both"/>
        <w:rPr>
          <w:rFonts w:ascii="Times New Roman" w:eastAsia="Times New Roman" w:hAnsi="Times New Roman" w:cs="Times New Roman"/>
          <w:sz w:val="24"/>
          <w:szCs w:val="24"/>
        </w:rPr>
      </w:pPr>
    </w:p>
    <w:p w:rsidR="00CA63EF" w:rsidRPr="006202E5" w:rsidRDefault="00CA63EF" w:rsidP="00CA63EF">
      <w:pPr>
        <w:spacing w:after="0" w:line="240" w:lineRule="auto"/>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 xml:space="preserve">Reģistrēti noziedzīgie nodarījumi uz 1000 iedzīvotājiem </w:t>
      </w:r>
      <w:r w:rsidRPr="006202E5">
        <w:rPr>
          <w:rFonts w:ascii="Times New Roman" w:eastAsia="Times New Roman" w:hAnsi="Times New Roman" w:cs="Times New Roman"/>
          <w:noProof/>
          <w:sz w:val="24"/>
          <w:szCs w:val="24"/>
        </w:rPr>
        <w:drawing>
          <wp:inline distT="0" distB="0" distL="0" distR="0" wp14:anchorId="1D7AAECB" wp14:editId="06905B98">
            <wp:extent cx="5087732" cy="2259106"/>
            <wp:effectExtent l="0" t="0" r="0" b="0"/>
            <wp:docPr id="14"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A63EF" w:rsidRPr="006202E5" w:rsidRDefault="00CA63EF" w:rsidP="00CA63EF">
      <w:pPr>
        <w:spacing w:after="0" w:line="240" w:lineRule="auto"/>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Ceļu satiksmes negadījumu skaits</w:t>
      </w:r>
    </w:p>
    <w:p w:rsidR="00565723" w:rsidRDefault="00CA63EF" w:rsidP="00565723">
      <w:pPr>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noProof/>
          <w:sz w:val="24"/>
          <w:szCs w:val="24"/>
        </w:rPr>
        <w:drawing>
          <wp:inline distT="0" distB="0" distL="0" distR="0" wp14:anchorId="6B169262" wp14:editId="5BFAB455">
            <wp:extent cx="4647304" cy="1968649"/>
            <wp:effectExtent l="0" t="0" r="0" b="0"/>
            <wp:docPr id="1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CA63EF">
      <w:pPr>
        <w:spacing w:after="0" w:line="240" w:lineRule="auto"/>
        <w:jc w:val="both"/>
        <w:rPr>
          <w:rFonts w:ascii="Times New Roman" w:eastAsia="Times New Roman" w:hAnsi="Times New Roman" w:cs="Times New Roman"/>
          <w:sz w:val="24"/>
          <w:szCs w:val="24"/>
        </w:rPr>
      </w:pPr>
    </w:p>
    <w:p w:rsidR="00565723" w:rsidRDefault="00565723" w:rsidP="00565723">
      <w:pPr>
        <w:spacing w:after="0" w:line="240" w:lineRule="auto"/>
        <w:jc w:val="both"/>
        <w:rPr>
          <w:rFonts w:ascii="Times New Roman" w:eastAsia="Times New Roman" w:hAnsi="Times New Roman" w:cs="Times New Roman"/>
          <w:sz w:val="24"/>
          <w:szCs w:val="24"/>
        </w:rPr>
      </w:pPr>
    </w:p>
    <w:p w:rsidR="00565723" w:rsidRPr="00565723" w:rsidRDefault="00CA63EF" w:rsidP="00565723">
      <w:pPr>
        <w:spacing w:after="0" w:line="240" w:lineRule="auto"/>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lastRenderedPageBreak/>
        <w:t>Reģistrētie ugunsgrēki</w:t>
      </w:r>
    </w:p>
    <w:p w:rsidR="00565723" w:rsidRDefault="00565723" w:rsidP="00344B99">
      <w:pPr>
        <w:spacing w:after="0" w:line="240" w:lineRule="auto"/>
        <w:ind w:firstLine="720"/>
        <w:jc w:val="both"/>
        <w:rPr>
          <w:rFonts w:ascii="Times New Roman" w:eastAsia="Times New Roman" w:hAnsi="Times New Roman" w:cs="Times New Roman"/>
          <w:i/>
          <w:sz w:val="24"/>
          <w:szCs w:val="24"/>
        </w:rPr>
      </w:pPr>
    </w:p>
    <w:p w:rsidR="00CA63EF" w:rsidRPr="00565723" w:rsidRDefault="00565723" w:rsidP="00565723">
      <w:pPr>
        <w:spacing w:after="0" w:line="240" w:lineRule="auto"/>
        <w:ind w:firstLine="720"/>
        <w:jc w:val="both"/>
        <w:rPr>
          <w:rFonts w:ascii="Times New Roman" w:eastAsia="Times New Roman" w:hAnsi="Times New Roman" w:cs="Times New Roman"/>
          <w:i/>
          <w:sz w:val="24"/>
          <w:szCs w:val="24"/>
        </w:rPr>
      </w:pPr>
      <w:r w:rsidRPr="00565723">
        <w:rPr>
          <w:rFonts w:ascii="Times New Roman" w:eastAsia="Times New Roman" w:hAnsi="Times New Roman" w:cs="Times New Roman"/>
          <w:i/>
          <w:noProof/>
          <w:sz w:val="24"/>
          <w:szCs w:val="24"/>
        </w:rPr>
        <w:drawing>
          <wp:inline distT="0" distB="0" distL="0" distR="0" wp14:anchorId="3BE50EF3" wp14:editId="5D7B5399">
            <wp:extent cx="4722607" cy="2194560"/>
            <wp:effectExtent l="0" t="0" r="0" b="0"/>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00583FA8" w:rsidRPr="00583FA8">
        <w:rPr>
          <w:rFonts w:ascii="Times New Roman" w:eastAsia="Times New Roman" w:hAnsi="Times New Roman" w:cs="Times New Roman"/>
          <w:i/>
          <w:sz w:val="24"/>
          <w:szCs w:val="24"/>
        </w:rPr>
        <w:t>Avots</w:t>
      </w:r>
      <w:r w:rsidR="00CA63EF" w:rsidRPr="00583FA8">
        <w:rPr>
          <w:rFonts w:ascii="Times New Roman" w:eastAsia="Times New Roman" w:hAnsi="Times New Roman" w:cs="Times New Roman"/>
          <w:i/>
          <w:sz w:val="24"/>
          <w:szCs w:val="24"/>
        </w:rPr>
        <w:t>:</w:t>
      </w:r>
      <w:r w:rsidR="00583FA8" w:rsidRPr="00583FA8">
        <w:rPr>
          <w:rFonts w:ascii="Times New Roman" w:eastAsia="Times New Roman" w:hAnsi="Times New Roman" w:cs="Times New Roman"/>
          <w:i/>
          <w:sz w:val="24"/>
          <w:szCs w:val="24"/>
        </w:rPr>
        <w:t xml:space="preserve"> </w:t>
      </w:r>
      <w:r w:rsidR="00CA63EF" w:rsidRPr="00583FA8">
        <w:rPr>
          <w:rFonts w:ascii="Times New Roman" w:eastAsia="Times New Roman" w:hAnsi="Times New Roman" w:cs="Times New Roman"/>
          <w:i/>
          <w:sz w:val="24"/>
          <w:szCs w:val="24"/>
        </w:rPr>
        <w:t>IeM In</w:t>
      </w:r>
      <w:r w:rsidR="007A174B">
        <w:rPr>
          <w:rFonts w:ascii="Times New Roman" w:eastAsia="Times New Roman" w:hAnsi="Times New Roman" w:cs="Times New Roman"/>
          <w:i/>
          <w:sz w:val="24"/>
          <w:szCs w:val="24"/>
        </w:rPr>
        <w:t>formācijas centrs; IeM padotībā</w:t>
      </w:r>
      <w:r w:rsidR="00CA63EF" w:rsidRPr="00583FA8">
        <w:rPr>
          <w:rFonts w:ascii="Times New Roman" w:eastAsia="Times New Roman" w:hAnsi="Times New Roman" w:cs="Times New Roman"/>
          <w:i/>
          <w:sz w:val="24"/>
          <w:szCs w:val="24"/>
        </w:rPr>
        <w:t xml:space="preserve"> esošo iestāžu publiskie pārskati un atskaites par 2012.gada darba rezultātiem.</w:t>
      </w:r>
    </w:p>
    <w:p w:rsidR="00CA63EF" w:rsidRPr="00B246BE" w:rsidRDefault="00CA63EF" w:rsidP="00B246BE">
      <w:pPr>
        <w:pStyle w:val="Heading3"/>
      </w:pPr>
      <w:bookmarkStart w:id="158" w:name="_Toc348948421"/>
      <w:r w:rsidRPr="00B246BE">
        <w:t>2.2. Kriminālsodu reforma</w:t>
      </w:r>
      <w:bookmarkEnd w:id="158"/>
    </w:p>
    <w:p w:rsidR="00CA63EF" w:rsidRPr="006202E5" w:rsidRDefault="00CA63EF" w:rsidP="00CA63EF">
      <w:pPr>
        <w:spacing w:after="0" w:line="240" w:lineRule="auto"/>
        <w:ind w:firstLine="720"/>
        <w:jc w:val="both"/>
        <w:rPr>
          <w:rFonts w:ascii="Times New Roman" w:hAnsi="Times New Roman" w:cs="Times New Roman"/>
          <w:bCs/>
          <w:iCs/>
          <w:sz w:val="24"/>
          <w:szCs w:val="24"/>
        </w:rPr>
      </w:pPr>
      <w:r w:rsidRPr="006202E5">
        <w:rPr>
          <w:rFonts w:ascii="Times New Roman" w:hAnsi="Times New Roman" w:cs="Times New Roman"/>
          <w:sz w:val="24"/>
          <w:szCs w:val="24"/>
        </w:rPr>
        <w:t xml:space="preserve">Būtiski reformēta pašreizējā kriminālsodu </w:t>
      </w:r>
      <w:r w:rsidRPr="006202E5">
        <w:rPr>
          <w:rFonts w:ascii="Times New Roman" w:hAnsi="Times New Roman" w:cs="Times New Roman"/>
          <w:bCs/>
          <w:sz w:val="24"/>
          <w:szCs w:val="24"/>
        </w:rPr>
        <w:t>politika</w:t>
      </w:r>
      <w:r w:rsidRPr="006202E5">
        <w:rPr>
          <w:rFonts w:ascii="Times New Roman" w:hAnsi="Times New Roman" w:cs="Times New Roman"/>
          <w:sz w:val="24"/>
          <w:szCs w:val="24"/>
        </w:rPr>
        <w:t xml:space="preserve">, sekmējot likumu ievērošanu un atturot notiesātos no atkārtotas nozieguma izdarīšanas, kas ar laiku ļaus samazināt ieslodzījuma vietu noslodzi. Likums paplašinās soda piemērošanas mērķu kopumu, nosakot, ka soda mērķi ir arī aizsargāt sabiedrības drošību, atjaunot taisnīgumu un resocializēt sodīto personu. Ar likumu tiek atrunāts </w:t>
      </w:r>
      <w:r w:rsidRPr="006202E5">
        <w:rPr>
          <w:rFonts w:ascii="Times New Roman" w:hAnsi="Times New Roman" w:cs="Times New Roman"/>
          <w:bCs/>
          <w:sz w:val="24"/>
          <w:szCs w:val="24"/>
        </w:rPr>
        <w:t>dubultās sodīšanas nepieļaujamības princips (</w:t>
      </w:r>
      <w:r w:rsidRPr="006202E5">
        <w:rPr>
          <w:rFonts w:ascii="Times New Roman" w:hAnsi="Times New Roman" w:cs="Times New Roman"/>
          <w:bCs/>
          <w:i/>
          <w:iCs/>
          <w:sz w:val="24"/>
          <w:szCs w:val="24"/>
        </w:rPr>
        <w:t>ne bis in idem</w:t>
      </w:r>
      <w:r w:rsidRPr="006202E5">
        <w:rPr>
          <w:rFonts w:ascii="Times New Roman" w:hAnsi="Times New Roman" w:cs="Times New Roman"/>
          <w:bCs/>
          <w:sz w:val="24"/>
          <w:szCs w:val="24"/>
        </w:rPr>
        <w:t>),</w:t>
      </w:r>
      <w:r w:rsidRPr="006202E5">
        <w:rPr>
          <w:rFonts w:ascii="Times New Roman" w:eastAsia="+mn-ea" w:hAnsi="Times New Roman" w:cs="Times New Roman"/>
          <w:kern w:val="24"/>
          <w:sz w:val="24"/>
          <w:szCs w:val="24"/>
        </w:rPr>
        <w:t xml:space="preserve"> </w:t>
      </w:r>
      <w:r w:rsidRPr="006202E5">
        <w:rPr>
          <w:rFonts w:ascii="Times New Roman" w:hAnsi="Times New Roman" w:cs="Times New Roman"/>
          <w:bCs/>
          <w:sz w:val="24"/>
          <w:szCs w:val="24"/>
        </w:rPr>
        <w:t xml:space="preserve">tiek mainīta noziedzīgu nodarījumu klasifikācija </w:t>
      </w:r>
      <w:r w:rsidRPr="006202E5">
        <w:rPr>
          <w:rFonts w:ascii="Times New Roman" w:hAnsi="Times New Roman" w:cs="Times New Roman"/>
          <w:sz w:val="24"/>
          <w:szCs w:val="24"/>
        </w:rPr>
        <w:t>atbilstoši</w:t>
      </w:r>
      <w:r w:rsidRPr="006202E5">
        <w:rPr>
          <w:rFonts w:ascii="Times New Roman" w:hAnsi="Times New Roman" w:cs="Times New Roman"/>
          <w:bCs/>
          <w:sz w:val="24"/>
          <w:szCs w:val="24"/>
        </w:rPr>
        <w:t xml:space="preserve"> </w:t>
      </w:r>
      <w:r w:rsidRPr="006202E5">
        <w:rPr>
          <w:rFonts w:ascii="Times New Roman" w:hAnsi="Times New Roman" w:cs="Times New Roman"/>
          <w:sz w:val="24"/>
          <w:szCs w:val="24"/>
        </w:rPr>
        <w:t xml:space="preserve">personas vai sabiedrības interešu </w:t>
      </w:r>
      <w:r w:rsidRPr="006202E5">
        <w:rPr>
          <w:rFonts w:ascii="Times New Roman" w:hAnsi="Times New Roman" w:cs="Times New Roman"/>
          <w:bCs/>
          <w:sz w:val="24"/>
          <w:szCs w:val="24"/>
        </w:rPr>
        <w:t>apdraudējuma raksturam un kaitīgumam</w:t>
      </w:r>
      <w:r w:rsidRPr="006202E5">
        <w:rPr>
          <w:rFonts w:ascii="Times New Roman" w:hAnsi="Times New Roman" w:cs="Times New Roman"/>
          <w:sz w:val="24"/>
          <w:szCs w:val="24"/>
        </w:rPr>
        <w:t>. Likums paredz</w:t>
      </w:r>
      <w:r w:rsidRPr="006202E5">
        <w:rPr>
          <w:rFonts w:ascii="Times New Roman" w:hAnsi="Times New Roman" w:cs="Times New Roman"/>
          <w:bCs/>
          <w:sz w:val="24"/>
          <w:szCs w:val="24"/>
        </w:rPr>
        <w:t xml:space="preserve"> aizstāt kriminālsodu – arests – ar jaunu brīvības atņemšanas soda paveidu – īslaicīga brīvības atņemšana</w:t>
      </w:r>
      <w:r w:rsidRPr="006202E5">
        <w:rPr>
          <w:rFonts w:ascii="Times New Roman" w:hAnsi="Times New Roman" w:cs="Times New Roman"/>
          <w:sz w:val="24"/>
          <w:szCs w:val="24"/>
        </w:rPr>
        <w:t>.</w:t>
      </w:r>
      <w:r w:rsidRPr="006202E5">
        <w:rPr>
          <w:rFonts w:ascii="Times New Roman" w:eastAsia="+mn-ea" w:hAnsi="Times New Roman" w:cs="Times New Roman"/>
          <w:kern w:val="24"/>
          <w:sz w:val="24"/>
          <w:szCs w:val="24"/>
        </w:rPr>
        <w:t xml:space="preserve"> </w:t>
      </w:r>
      <w:r w:rsidRPr="006202E5">
        <w:rPr>
          <w:rFonts w:ascii="Times New Roman" w:hAnsi="Times New Roman" w:cs="Times New Roman"/>
          <w:bCs/>
          <w:sz w:val="24"/>
          <w:szCs w:val="24"/>
        </w:rPr>
        <w:t>Tiek iezīmēta virzība uz kombinēto sodu sistēmu, un tiek konkretizēti soda noteikšanas principi. Likums paredz atteikties no noziedzīgu nodarījumu kvalificējošās pazīmes – noziedzīgu nodarījumu atkārtotība</w:t>
      </w:r>
      <w:r w:rsidRPr="006202E5">
        <w:rPr>
          <w:rFonts w:ascii="Times New Roman" w:hAnsi="Times New Roman" w:cs="Times New Roman"/>
          <w:bCs/>
          <w:i/>
          <w:iCs/>
          <w:sz w:val="24"/>
          <w:szCs w:val="24"/>
        </w:rPr>
        <w:t>,</w:t>
      </w:r>
      <w:r w:rsidRPr="006202E5">
        <w:rPr>
          <w:rFonts w:ascii="Times New Roman" w:hAnsi="Times New Roman" w:cs="Times New Roman"/>
          <w:bCs/>
          <w:sz w:val="24"/>
          <w:szCs w:val="24"/>
        </w:rPr>
        <w:t xml:space="preserve"> tiek mainīti sodu saskaitīšanas principi pēc vairākiem nodarījumiem, kā arī pēc vairākiem spriedumiem, </w:t>
      </w:r>
      <w:r w:rsidRPr="006202E5">
        <w:rPr>
          <w:rFonts w:ascii="Times New Roman" w:hAnsi="Times New Roman" w:cs="Times New Roman"/>
          <w:bCs/>
          <w:iCs/>
          <w:sz w:val="24"/>
          <w:szCs w:val="24"/>
        </w:rPr>
        <w:t xml:space="preserve">lai novērstu neadekvāti augstu galīgā soda noteikšanu </w:t>
      </w:r>
    </w:p>
    <w:p w:rsidR="009E07C5" w:rsidRPr="006A1FCD" w:rsidRDefault="009E07C5" w:rsidP="009E07C5">
      <w:pPr>
        <w:spacing w:after="0" w:line="240" w:lineRule="auto"/>
        <w:ind w:firstLine="720"/>
        <w:jc w:val="both"/>
        <w:rPr>
          <w:rFonts w:ascii="Times New Roman" w:hAnsi="Times New Roman" w:cs="Times New Roman"/>
          <w:sz w:val="24"/>
          <w:szCs w:val="24"/>
        </w:rPr>
      </w:pPr>
      <w:r w:rsidRPr="0078420C">
        <w:rPr>
          <w:rFonts w:ascii="Times New Roman" w:hAnsi="Times New Roman" w:cs="Times New Roman"/>
          <w:bCs/>
          <w:iCs/>
          <w:sz w:val="24"/>
          <w:szCs w:val="24"/>
        </w:rPr>
        <w:t>Plānots u</w:t>
      </w:r>
      <w:r w:rsidRPr="0078420C">
        <w:rPr>
          <w:rFonts w:ascii="Times New Roman" w:hAnsi="Times New Roman" w:cs="Times New Roman"/>
          <w:sz w:val="24"/>
          <w:szCs w:val="24"/>
        </w:rPr>
        <w:t>zsākt Ieslodzījuma vietu infrastruktūras attīstības koncepcijas ieviešanu, kas izstrādāta ar mērķi radīt priekšnoteikumus nepieciešamo materiālo apstākļu (infrastruktūras) izveidošanai efektīvai sodu izpildei, t.</w:t>
      </w:r>
      <w:r w:rsidR="007A174B">
        <w:rPr>
          <w:rFonts w:ascii="Times New Roman" w:hAnsi="Times New Roman" w:cs="Times New Roman"/>
          <w:sz w:val="24"/>
          <w:szCs w:val="24"/>
        </w:rPr>
        <w:t>sk.</w:t>
      </w:r>
      <w:r w:rsidRPr="0078420C">
        <w:rPr>
          <w:rFonts w:ascii="Times New Roman" w:hAnsi="Times New Roman" w:cs="Times New Roman"/>
          <w:sz w:val="24"/>
          <w:szCs w:val="24"/>
        </w:rPr>
        <w:t xml:space="preserve"> notiesāto resocializācijai, kā arī lai kopumā palielinātu sabiedrības drošību pret apdraudējumiem, ko var radīt nedroša ieslodzījuma vietu sistēma. Tāpat plānots uzsākt elektroniskās uzraudzības sistēmas </w:t>
      </w:r>
      <w:r w:rsidR="007A174B">
        <w:rPr>
          <w:rFonts w:ascii="Times New Roman" w:hAnsi="Times New Roman" w:cs="Times New Roman"/>
          <w:sz w:val="24"/>
          <w:szCs w:val="24"/>
        </w:rPr>
        <w:t>pilotprojekta īstenošanu Norvēģijas</w:t>
      </w:r>
      <w:r w:rsidRPr="0078420C">
        <w:rPr>
          <w:rFonts w:ascii="Times New Roman" w:hAnsi="Times New Roman" w:cs="Times New Roman"/>
          <w:sz w:val="24"/>
          <w:szCs w:val="24"/>
        </w:rPr>
        <w:t xml:space="preserve"> valdības finanšu instrumenta projekta ietvaros, radot priekšnosacījumus cietumu atslogošanai un ieslodzīto skaita samazināšanai, Atkarīgo centra Olaines cietumā izveides procesu, nodrošinot atkarību ārstēšanas iespēju ieslodzītajiem, veicinot viņu resocializācijas procesu un sabiedrības drošību kopumā, ieslodzīto veselības aprūpes modeļa izstrādi, paredzot arī Latvijas Cietumu slimnīcas attīstības modeļus</w:t>
      </w:r>
      <w:r>
        <w:rPr>
          <w:rFonts w:ascii="Times New Roman" w:hAnsi="Times New Roman" w:cs="Times New Roman"/>
          <w:sz w:val="24"/>
          <w:szCs w:val="24"/>
        </w:rPr>
        <w:t xml:space="preserve">, kā arī plānots </w:t>
      </w:r>
      <w:r>
        <w:rPr>
          <w:rFonts w:ascii="Times New Roman" w:hAnsi="Times New Roman"/>
          <w:sz w:val="24"/>
          <w:szCs w:val="24"/>
        </w:rPr>
        <w:t>n</w:t>
      </w:r>
      <w:r w:rsidRPr="00876F35">
        <w:rPr>
          <w:rFonts w:ascii="Times New Roman" w:hAnsi="Times New Roman"/>
          <w:sz w:val="24"/>
          <w:szCs w:val="24"/>
        </w:rPr>
        <w:t>oteikt kriminālatbildību par Latvijas okupācijas fakta noliegšanu un</w:t>
      </w:r>
      <w:r>
        <w:rPr>
          <w:rFonts w:ascii="Times New Roman" w:hAnsi="Times New Roman"/>
          <w:sz w:val="24"/>
          <w:szCs w:val="24"/>
        </w:rPr>
        <w:t xml:space="preserve"> okupācijas režīmu slavināšanu.</w:t>
      </w:r>
    </w:p>
    <w:p w:rsidR="00CA63EF" w:rsidRPr="006202E5" w:rsidRDefault="00CA63EF" w:rsidP="00CA63EF">
      <w:pPr>
        <w:jc w:val="both"/>
        <w:rPr>
          <w:rFonts w:eastAsia="Times New Roman"/>
          <w:sz w:val="24"/>
          <w:szCs w:val="24"/>
        </w:rPr>
      </w:pPr>
    </w:p>
    <w:p w:rsidR="00CA63EF" w:rsidRPr="00583FA8" w:rsidRDefault="006202E5" w:rsidP="00583FA8">
      <w:pPr>
        <w:pStyle w:val="Heading2"/>
      </w:pPr>
      <w:bookmarkStart w:id="159" w:name="_Toc348948422"/>
      <w:r w:rsidRPr="00583FA8">
        <w:lastRenderedPageBreak/>
        <w:t>3.</w:t>
      </w:r>
      <w:r w:rsidR="00CA63EF" w:rsidRPr="00583FA8">
        <w:t>Attīstības plānošana</w:t>
      </w:r>
      <w:bookmarkEnd w:id="159"/>
    </w:p>
    <w:p w:rsidR="00CA63EF" w:rsidRPr="006202E5" w:rsidRDefault="00CA63EF" w:rsidP="00583FA8">
      <w:pPr>
        <w:pStyle w:val="Heading3"/>
      </w:pPr>
      <w:bookmarkStart w:id="160" w:name="_Toc348948423"/>
      <w:r w:rsidRPr="006202E5">
        <w:t xml:space="preserve">3.1. </w:t>
      </w:r>
      <w:r w:rsidRPr="00583FA8">
        <w:t>Nacionālā</w:t>
      </w:r>
      <w:r w:rsidRPr="006202E5">
        <w:t xml:space="preserve"> attīstības plāna izstrāde</w:t>
      </w:r>
      <w:bookmarkEnd w:id="160"/>
    </w:p>
    <w:p w:rsidR="00CA63EF" w:rsidRPr="006202E5" w:rsidRDefault="00565723" w:rsidP="00CA63EF">
      <w:pPr>
        <w:spacing w:after="0" w:line="240" w:lineRule="auto"/>
        <w:ind w:firstLine="720"/>
        <w:jc w:val="both"/>
        <w:rPr>
          <w:rFonts w:ascii="Times New Roman" w:hAnsi="Times New Roman"/>
          <w:sz w:val="24"/>
          <w:szCs w:val="24"/>
        </w:rPr>
      </w:pPr>
      <w:r>
        <w:rPr>
          <w:rFonts w:ascii="Times New Roman" w:hAnsi="Times New Roman"/>
          <w:sz w:val="24"/>
          <w:szCs w:val="24"/>
        </w:rPr>
        <w:t>NAP2020</w:t>
      </w:r>
      <w:r w:rsidR="00CA63EF" w:rsidRPr="006202E5">
        <w:rPr>
          <w:rFonts w:ascii="Times New Roman" w:hAnsi="Times New Roman"/>
          <w:sz w:val="24"/>
          <w:szCs w:val="24"/>
        </w:rPr>
        <w:t xml:space="preserve"> ir hierarhiski augstākais nacionāla līmeņa vidēja termiņa plānošanas dokuments. Tas nosaka valsts attīstības mērķus, prioritātes, rīcības virzienus, sasniedzamos rezultātus un atbildīgās institūcijas. NAP2020 ir cieši saistīts ar </w:t>
      </w:r>
      <w:r w:rsidR="00B167ED">
        <w:rPr>
          <w:rFonts w:ascii="Times New Roman" w:hAnsi="Times New Roman"/>
          <w:sz w:val="24"/>
          <w:szCs w:val="24"/>
        </w:rPr>
        <w:t>"</w:t>
      </w:r>
      <w:r w:rsidR="00CA63EF" w:rsidRPr="006202E5">
        <w:rPr>
          <w:rFonts w:ascii="Times New Roman" w:hAnsi="Times New Roman"/>
          <w:sz w:val="24"/>
          <w:szCs w:val="24"/>
        </w:rPr>
        <w:t>Latvijas ilgtspējīgas attīstības stratēģiju līdz 2030.gadam</w:t>
      </w:r>
      <w:r w:rsidR="00B167ED">
        <w:rPr>
          <w:rFonts w:ascii="Times New Roman" w:hAnsi="Times New Roman"/>
          <w:sz w:val="24"/>
          <w:szCs w:val="24"/>
        </w:rPr>
        <w:t>"</w:t>
      </w:r>
      <w:r w:rsidR="00CA63EF" w:rsidRPr="006202E5">
        <w:rPr>
          <w:rFonts w:ascii="Times New Roman" w:hAnsi="Times New Roman"/>
          <w:sz w:val="24"/>
          <w:szCs w:val="24"/>
        </w:rPr>
        <w:t xml:space="preserve"> (Latvija2030) un </w:t>
      </w:r>
      <w:r w:rsidR="00B167ED">
        <w:rPr>
          <w:rFonts w:ascii="Times New Roman" w:hAnsi="Times New Roman"/>
          <w:sz w:val="24"/>
          <w:szCs w:val="24"/>
        </w:rPr>
        <w:t>"</w:t>
      </w:r>
      <w:r w:rsidR="00CA63EF" w:rsidRPr="006202E5">
        <w:rPr>
          <w:rFonts w:ascii="Times New Roman" w:hAnsi="Times New Roman"/>
          <w:sz w:val="24"/>
          <w:szCs w:val="24"/>
        </w:rPr>
        <w:t xml:space="preserve">Nacionālo reformu programmu stratēģijas </w:t>
      </w:r>
      <w:r w:rsidR="00B167ED">
        <w:rPr>
          <w:rFonts w:ascii="Times New Roman" w:hAnsi="Times New Roman"/>
          <w:sz w:val="24"/>
          <w:szCs w:val="24"/>
        </w:rPr>
        <w:t>"</w:t>
      </w:r>
      <w:r w:rsidR="00CA63EF" w:rsidRPr="006202E5">
        <w:rPr>
          <w:rFonts w:ascii="Times New Roman" w:hAnsi="Times New Roman"/>
          <w:sz w:val="24"/>
          <w:szCs w:val="24"/>
        </w:rPr>
        <w:t>ES2020</w:t>
      </w:r>
      <w:r w:rsidR="00B167ED">
        <w:rPr>
          <w:rFonts w:ascii="Times New Roman" w:hAnsi="Times New Roman"/>
          <w:sz w:val="24"/>
          <w:szCs w:val="24"/>
        </w:rPr>
        <w:t>"</w:t>
      </w:r>
      <w:r w:rsidR="00CA63EF" w:rsidRPr="006202E5">
        <w:rPr>
          <w:rFonts w:ascii="Times New Roman" w:hAnsi="Times New Roman"/>
          <w:sz w:val="24"/>
          <w:szCs w:val="24"/>
        </w:rPr>
        <w:t xml:space="preserve"> īstenošanai</w:t>
      </w:r>
      <w:r w:rsidR="00B167ED">
        <w:rPr>
          <w:rFonts w:ascii="Times New Roman" w:hAnsi="Times New Roman"/>
          <w:sz w:val="24"/>
          <w:szCs w:val="24"/>
        </w:rPr>
        <w:t>"</w:t>
      </w:r>
      <w:r w:rsidR="00CA63EF" w:rsidRPr="006202E5">
        <w:rPr>
          <w:rFonts w:ascii="Times New Roman" w:hAnsi="Times New Roman"/>
          <w:sz w:val="24"/>
          <w:szCs w:val="24"/>
        </w:rPr>
        <w:t>. NAP2020 noteiktais jāievēro, izstrādājot nozaru un teritoriju attīstības plānošanas dokumentus.</w:t>
      </w:r>
    </w:p>
    <w:p w:rsidR="00CA63EF" w:rsidRPr="006202E5" w:rsidRDefault="00CA63EF" w:rsidP="00CA63EF">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NAP2020 izstrādes procesā tika sagatavots </w:t>
      </w:r>
      <w:r w:rsidR="00B167ED">
        <w:rPr>
          <w:rFonts w:ascii="Times New Roman" w:hAnsi="Times New Roman"/>
          <w:sz w:val="24"/>
          <w:szCs w:val="24"/>
        </w:rPr>
        <w:t>"</w:t>
      </w:r>
      <w:r w:rsidRPr="006202E5">
        <w:rPr>
          <w:rFonts w:ascii="Times New Roman" w:hAnsi="Times New Roman"/>
          <w:sz w:val="24"/>
          <w:szCs w:val="24"/>
        </w:rPr>
        <w:t>Nacionālā attīstības plāna 2014.–2020.gadam prioritāšu pamatojuma ziņojums</w:t>
      </w:r>
      <w:r w:rsidR="00B167ED">
        <w:rPr>
          <w:rFonts w:ascii="Times New Roman" w:hAnsi="Times New Roman"/>
          <w:sz w:val="24"/>
          <w:szCs w:val="24"/>
        </w:rPr>
        <w:t>"</w:t>
      </w:r>
      <w:r w:rsidRPr="006202E5">
        <w:rPr>
          <w:rFonts w:ascii="Times New Roman" w:hAnsi="Times New Roman"/>
          <w:sz w:val="24"/>
          <w:szCs w:val="24"/>
        </w:rPr>
        <w:t xml:space="preserve">, kura ietvaros tika veikta makroekonomiskās attīstības šķēršļu un prognožu analīze un izvērtēta esošā situācija Latvija2030 mērķu sasniegšanā, Saeimas apstiprinātā ilgtermiņa konceptuālā dokumenta </w:t>
      </w:r>
      <w:r w:rsidR="00B167ED">
        <w:rPr>
          <w:rFonts w:ascii="Times New Roman" w:hAnsi="Times New Roman"/>
          <w:sz w:val="24"/>
          <w:szCs w:val="24"/>
        </w:rPr>
        <w:t>"</w:t>
      </w:r>
      <w:r w:rsidRPr="006202E5">
        <w:rPr>
          <w:rFonts w:ascii="Times New Roman" w:hAnsi="Times New Roman"/>
          <w:sz w:val="24"/>
          <w:szCs w:val="24"/>
        </w:rPr>
        <w:t>Latvijas izaugsmes modelis. Cilvēks pirmajā vietā</w:t>
      </w:r>
      <w:r w:rsidR="00B167ED">
        <w:rPr>
          <w:rFonts w:ascii="Times New Roman" w:hAnsi="Times New Roman"/>
          <w:sz w:val="24"/>
          <w:szCs w:val="24"/>
        </w:rPr>
        <w:t>"</w:t>
      </w:r>
      <w:r w:rsidRPr="006202E5">
        <w:rPr>
          <w:rFonts w:ascii="Times New Roman" w:hAnsi="Times New Roman"/>
          <w:sz w:val="24"/>
          <w:szCs w:val="24"/>
        </w:rPr>
        <w:t xml:space="preserve"> īstenošanā un </w:t>
      </w:r>
      <w:r w:rsidR="00B167ED">
        <w:rPr>
          <w:rFonts w:ascii="Times New Roman" w:hAnsi="Times New Roman"/>
          <w:sz w:val="24"/>
          <w:szCs w:val="24"/>
        </w:rPr>
        <w:t>"</w:t>
      </w:r>
      <w:r w:rsidRPr="006202E5">
        <w:rPr>
          <w:rFonts w:ascii="Times New Roman" w:hAnsi="Times New Roman"/>
          <w:sz w:val="24"/>
          <w:szCs w:val="24"/>
        </w:rPr>
        <w:t xml:space="preserve">Nacionālās reformu programmas stratēģijas </w:t>
      </w:r>
      <w:r w:rsidR="00B167ED">
        <w:rPr>
          <w:rFonts w:ascii="Times New Roman" w:hAnsi="Times New Roman"/>
          <w:sz w:val="24"/>
          <w:szCs w:val="24"/>
        </w:rPr>
        <w:t>"</w:t>
      </w:r>
      <w:r w:rsidRPr="006202E5">
        <w:rPr>
          <w:rFonts w:ascii="Times New Roman" w:hAnsi="Times New Roman"/>
          <w:sz w:val="24"/>
          <w:szCs w:val="24"/>
        </w:rPr>
        <w:t>ES2020</w:t>
      </w:r>
      <w:r w:rsidR="00B167ED">
        <w:rPr>
          <w:rFonts w:ascii="Times New Roman" w:hAnsi="Times New Roman"/>
          <w:sz w:val="24"/>
          <w:szCs w:val="24"/>
        </w:rPr>
        <w:t>"</w:t>
      </w:r>
      <w:r w:rsidRPr="006202E5">
        <w:rPr>
          <w:rFonts w:ascii="Times New Roman" w:hAnsi="Times New Roman"/>
          <w:sz w:val="24"/>
          <w:szCs w:val="24"/>
        </w:rPr>
        <w:t xml:space="preserve"> īstenošanai</w:t>
      </w:r>
      <w:r w:rsidR="00B167ED">
        <w:rPr>
          <w:rFonts w:ascii="Times New Roman" w:hAnsi="Times New Roman"/>
          <w:sz w:val="24"/>
          <w:szCs w:val="24"/>
        </w:rPr>
        <w:t>"</w:t>
      </w:r>
      <w:r w:rsidRPr="006202E5">
        <w:rPr>
          <w:rFonts w:ascii="Times New Roman" w:hAnsi="Times New Roman"/>
          <w:sz w:val="24"/>
          <w:szCs w:val="24"/>
        </w:rPr>
        <w:t xml:space="preserve"> ieviešanā. Būtisku ieguldījumu NAP2020 mērķu izvirzīšanā deva </w:t>
      </w:r>
      <w:r w:rsidR="00B167ED">
        <w:rPr>
          <w:rFonts w:ascii="Times New Roman" w:hAnsi="Times New Roman"/>
          <w:sz w:val="24"/>
          <w:szCs w:val="24"/>
        </w:rPr>
        <w:t>"</w:t>
      </w:r>
      <w:r w:rsidRPr="006202E5">
        <w:rPr>
          <w:rFonts w:ascii="Times New Roman" w:hAnsi="Times New Roman"/>
          <w:sz w:val="24"/>
          <w:szCs w:val="24"/>
        </w:rPr>
        <w:t>Latvijas konkurētspējas novērtējums 2011</w:t>
      </w:r>
      <w:r w:rsidR="00B167ED">
        <w:rPr>
          <w:rFonts w:ascii="Times New Roman" w:hAnsi="Times New Roman"/>
          <w:sz w:val="24"/>
          <w:szCs w:val="24"/>
        </w:rPr>
        <w:t>"</w:t>
      </w:r>
      <w:r w:rsidRPr="006202E5">
        <w:rPr>
          <w:rFonts w:ascii="Times New Roman" w:hAnsi="Times New Roman"/>
          <w:sz w:val="24"/>
          <w:szCs w:val="24"/>
        </w:rPr>
        <w:t>, kurā sniegts vispusīgs valsts tautsaimniecības konkurētspējas novērtējums un piedāvāti risinājumi situācijas uzlabošanai.</w:t>
      </w:r>
    </w:p>
    <w:p w:rsidR="00CA63EF" w:rsidRPr="006202E5" w:rsidRDefault="00CA63EF" w:rsidP="00CA63EF">
      <w:pPr>
        <w:spacing w:after="0" w:line="240" w:lineRule="auto"/>
        <w:ind w:firstLine="720"/>
        <w:jc w:val="both"/>
        <w:rPr>
          <w:rFonts w:ascii="Times New Roman" w:hAnsi="Times New Roman"/>
          <w:sz w:val="24"/>
          <w:szCs w:val="24"/>
        </w:rPr>
      </w:pPr>
      <w:r w:rsidRPr="006202E5">
        <w:rPr>
          <w:rFonts w:ascii="Times New Roman" w:hAnsi="Times New Roman"/>
          <w:sz w:val="24"/>
          <w:szCs w:val="24"/>
        </w:rPr>
        <w:t>NAP2020 izstrādes ietvaros norisinājās līdz šim vērienīgākā diskusija par Latvijas attīstību, tās prioritātēm, mērķiem un sasniedzamajiem rādītājiem. Sabiedrības līdzdalības ietvaros notika trīs sabiedriskās apspriešanas kārtas, sniedzot vairāk nekā 4000 idejas NAP2020 saturam. Ikvienam ir bijusi iespēja ar savām idejām un redzējumu par Latviju 2020.gadā iesaistīties valsts attīstības plānošanā.</w:t>
      </w:r>
    </w:p>
    <w:p w:rsidR="00F67458" w:rsidRPr="00F67458" w:rsidRDefault="00F67458" w:rsidP="00F67458">
      <w:pPr>
        <w:spacing w:after="0" w:line="240" w:lineRule="auto"/>
        <w:ind w:firstLine="720"/>
        <w:jc w:val="both"/>
      </w:pPr>
      <w:r w:rsidRPr="00F67458">
        <w:rPr>
          <w:rFonts w:ascii="Times New Roman" w:hAnsi="Times New Roman"/>
          <w:sz w:val="24"/>
          <w:szCs w:val="24"/>
        </w:rPr>
        <w:t xml:space="preserve">Ņemot vērā nepieciešamību pārorientēties no efektivitātes virzītas ekonomikas uz inovāciju virzītu ekonomiku, tika izvirzīts NAP2020 vadmotīvs </w:t>
      </w:r>
      <w:r w:rsidR="00B167ED">
        <w:rPr>
          <w:rFonts w:ascii="Times New Roman" w:hAnsi="Times New Roman"/>
          <w:sz w:val="24"/>
          <w:szCs w:val="24"/>
        </w:rPr>
        <w:t>"</w:t>
      </w:r>
      <w:r w:rsidRPr="00F67458">
        <w:rPr>
          <w:rFonts w:ascii="Times New Roman" w:hAnsi="Times New Roman"/>
          <w:sz w:val="24"/>
          <w:szCs w:val="24"/>
        </w:rPr>
        <w:t>Ekonomikas izrāviens</w:t>
      </w:r>
      <w:r w:rsidR="00B167ED">
        <w:rPr>
          <w:rFonts w:ascii="Times New Roman" w:hAnsi="Times New Roman"/>
          <w:sz w:val="24"/>
          <w:szCs w:val="24"/>
        </w:rPr>
        <w:t>"</w:t>
      </w:r>
      <w:r w:rsidRPr="00F67458">
        <w:rPr>
          <w:rFonts w:ascii="Times New Roman" w:hAnsi="Times New Roman"/>
          <w:sz w:val="24"/>
          <w:szCs w:val="24"/>
        </w:rPr>
        <w:t xml:space="preserve"> un prioritātes </w:t>
      </w:r>
      <w:r w:rsidR="00B167ED">
        <w:rPr>
          <w:rFonts w:ascii="Times New Roman" w:hAnsi="Times New Roman"/>
          <w:sz w:val="24"/>
          <w:szCs w:val="24"/>
        </w:rPr>
        <w:t>"</w:t>
      </w:r>
      <w:r w:rsidRPr="00F67458">
        <w:rPr>
          <w:rFonts w:ascii="Times New Roman" w:hAnsi="Times New Roman"/>
          <w:sz w:val="24"/>
          <w:szCs w:val="24"/>
        </w:rPr>
        <w:t>Tautas saimniecības izaugsme</w:t>
      </w:r>
      <w:r w:rsidR="00B167ED">
        <w:rPr>
          <w:rFonts w:ascii="Times New Roman" w:hAnsi="Times New Roman"/>
          <w:sz w:val="24"/>
          <w:szCs w:val="24"/>
        </w:rPr>
        <w:t>"</w:t>
      </w:r>
      <w:r w:rsidRPr="00F67458">
        <w:rPr>
          <w:rFonts w:ascii="Times New Roman" w:hAnsi="Times New Roman"/>
          <w:sz w:val="24"/>
          <w:szCs w:val="24"/>
        </w:rPr>
        <w:t xml:space="preserve">, </w:t>
      </w:r>
      <w:r w:rsidR="00B167ED">
        <w:rPr>
          <w:rFonts w:ascii="Times New Roman" w:hAnsi="Times New Roman"/>
          <w:sz w:val="24"/>
          <w:szCs w:val="24"/>
        </w:rPr>
        <w:t>"</w:t>
      </w:r>
      <w:r w:rsidRPr="00F67458">
        <w:rPr>
          <w:rFonts w:ascii="Times New Roman" w:hAnsi="Times New Roman"/>
          <w:sz w:val="24"/>
          <w:szCs w:val="24"/>
        </w:rPr>
        <w:t>Cilvēka drošumspēja</w:t>
      </w:r>
      <w:r w:rsidR="00B167ED">
        <w:rPr>
          <w:rFonts w:ascii="Times New Roman" w:hAnsi="Times New Roman"/>
          <w:sz w:val="24"/>
          <w:szCs w:val="24"/>
        </w:rPr>
        <w:t>"</w:t>
      </w:r>
      <w:r w:rsidRPr="00F67458">
        <w:rPr>
          <w:rFonts w:ascii="Times New Roman" w:hAnsi="Times New Roman"/>
          <w:sz w:val="24"/>
          <w:szCs w:val="24"/>
        </w:rPr>
        <w:t xml:space="preserve"> un </w:t>
      </w:r>
      <w:r w:rsidR="00B167ED">
        <w:rPr>
          <w:rFonts w:ascii="Times New Roman" w:hAnsi="Times New Roman"/>
          <w:sz w:val="24"/>
          <w:szCs w:val="24"/>
        </w:rPr>
        <w:t>"</w:t>
      </w:r>
      <w:r w:rsidRPr="00F67458">
        <w:rPr>
          <w:rFonts w:ascii="Times New Roman" w:hAnsi="Times New Roman"/>
          <w:sz w:val="24"/>
          <w:szCs w:val="24"/>
        </w:rPr>
        <w:t>Izaugsmi atbalstošas teritorijas</w:t>
      </w:r>
      <w:r w:rsidR="00B167ED">
        <w:rPr>
          <w:rFonts w:ascii="Times New Roman" w:hAnsi="Times New Roman"/>
          <w:sz w:val="24"/>
          <w:szCs w:val="24"/>
        </w:rPr>
        <w:t>"</w:t>
      </w:r>
      <w:r w:rsidRPr="00F67458">
        <w:rPr>
          <w:rFonts w:ascii="Times New Roman" w:hAnsi="Times New Roman"/>
          <w:sz w:val="24"/>
          <w:szCs w:val="24"/>
        </w:rPr>
        <w:t>, kā arī noteikti šādi stratēģiskie rādītāji – IKP uz vienu iedzīvotāju pēc pirktspējas paritātes (pieaugums no 58 % 2011.gadā līdz 71 % no ES-27 vidējā 2020. gadā), summārais ienākumu nevienlīdzības S80/S20 kvintiļu attiecības indekss (samazinājums no 6,6 2011.gadā līdz 4,8 2020.gadā)</w:t>
      </w:r>
    </w:p>
    <w:p w:rsidR="00CA63EF" w:rsidRPr="006202E5" w:rsidRDefault="00CA63EF" w:rsidP="00CA63EF">
      <w:pPr>
        <w:spacing w:after="0" w:line="240" w:lineRule="auto"/>
        <w:ind w:firstLine="720"/>
        <w:jc w:val="both"/>
        <w:rPr>
          <w:rFonts w:ascii="Times New Roman" w:hAnsi="Times New Roman"/>
          <w:color w:val="000000" w:themeColor="text1"/>
          <w:sz w:val="24"/>
          <w:szCs w:val="24"/>
        </w:rPr>
      </w:pPr>
      <w:r w:rsidRPr="006202E5">
        <w:rPr>
          <w:rFonts w:ascii="Times New Roman" w:hAnsi="Times New Roman"/>
          <w:color w:val="000000" w:themeColor="text1"/>
          <w:sz w:val="24"/>
          <w:szCs w:val="24"/>
        </w:rPr>
        <w:t xml:space="preserve">Prioritātes </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Tautas saimniecības izaugsme</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mērķis ir ilgtspējīga Latvijas ekonomikas izaugsme ar pieaugošu valsts konkurētspēju starptautiskajos tirgos. Latvijas produktu un pakalpojumu konkurētspējas un eksporta apjomu palielināšana ļaus panākt </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ekonomikas izrāvienu</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katra Latvijas iedzīvotāja un valsts interesēs. Prioritātē noteikti šādi rīcības virzieni: Augstražīga un eksportspējīga ražošana un starptautiski konkurētspējīgi pakalpojumi, Izcila uzņēmējdarbības vide, Attīstīta pētniecība, inovācija un augstākā izglītība, kā arī Energoefektivitāte un enerģijas ražošana. Īstenojot rīcības virzienos noteiktos uzdevumus</w:t>
      </w:r>
      <w:r w:rsidR="007A174B">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paredzams, ka apstrādes rūpniecības ieguldījumu daļa IKP (%) pieaugs no 12,7</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2011.gadā līdz 20</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2020.gadā.</w:t>
      </w:r>
    </w:p>
    <w:p w:rsidR="00CA63EF" w:rsidRPr="006202E5" w:rsidRDefault="00CA63EF" w:rsidP="00CA63EF">
      <w:pPr>
        <w:spacing w:after="0" w:line="240" w:lineRule="auto"/>
        <w:ind w:firstLine="720"/>
        <w:jc w:val="both"/>
        <w:rPr>
          <w:rFonts w:ascii="Times New Roman" w:hAnsi="Times New Roman"/>
          <w:color w:val="000000" w:themeColor="text1"/>
          <w:sz w:val="24"/>
          <w:szCs w:val="24"/>
        </w:rPr>
      </w:pPr>
      <w:r w:rsidRPr="006202E5">
        <w:rPr>
          <w:rFonts w:ascii="Times New Roman" w:hAnsi="Times New Roman"/>
          <w:color w:val="000000" w:themeColor="text1"/>
          <w:sz w:val="24"/>
          <w:szCs w:val="24"/>
        </w:rPr>
        <w:t xml:space="preserve">Prioritātes </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Cilvēka drošumspēja</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mērķis ir radīt spēcīgu vidusšķiru un nodrošināt tautas ataudzi Latvijā – valstī, kur ikkatram cilvēkam ir iespējas gādāt par savu, savu tuvinieku un Latvijas attīstību. Iedzīvotāju drošumspējas stiprināšana ļaus paaugstināt iedzīvotāju ienākumus, mazināt nevienlīdzību un uzlabot dzīves kvalitāti. Prioritātē noteikti šādi rīcības virzieni: Cienīgs darbs, Stabili pamati tautas ataudzei, Kompetenču attīstība, Vesels un darbspējīgs cilvēks un Cilvēku sadarbība, kultūra un pilsoniskā līdzdalība kā piederības Latvijai pamats. Prioritātes ietvaros ievērojama uzmanība ir </w:t>
      </w:r>
      <w:r w:rsidRPr="006202E5">
        <w:rPr>
          <w:rFonts w:ascii="Times New Roman" w:hAnsi="Times New Roman"/>
          <w:color w:val="000000" w:themeColor="text1"/>
          <w:sz w:val="24"/>
          <w:szCs w:val="24"/>
        </w:rPr>
        <w:lastRenderedPageBreak/>
        <w:t>pievērsta nabadzības riska samazināšanai dažādām iedzīvotāju grupām, panākot iedzīvotāju ienākumu nevienlīdzības mazināšanu, kas savukārt nodrošinātu Latvijas iedzīvotāju apmierinātības ar dzīvi indeksa pieaugumu no 5,9</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2011.gadā līdz 6,5</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2020.gadā.</w:t>
      </w:r>
    </w:p>
    <w:p w:rsidR="00CA63EF" w:rsidRPr="006202E5" w:rsidRDefault="00CA63EF" w:rsidP="00CA63EF">
      <w:pPr>
        <w:spacing w:after="0" w:line="240" w:lineRule="auto"/>
        <w:ind w:firstLine="720"/>
        <w:jc w:val="both"/>
        <w:rPr>
          <w:rFonts w:ascii="Times New Roman" w:hAnsi="Times New Roman"/>
          <w:color w:val="000000" w:themeColor="text1"/>
          <w:sz w:val="24"/>
          <w:szCs w:val="24"/>
        </w:rPr>
      </w:pPr>
      <w:r w:rsidRPr="006202E5">
        <w:rPr>
          <w:rFonts w:ascii="Times New Roman" w:hAnsi="Times New Roman"/>
          <w:color w:val="000000" w:themeColor="text1"/>
          <w:sz w:val="24"/>
          <w:szCs w:val="24"/>
        </w:rPr>
        <w:t xml:space="preserve">Savukārt prioritātes </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Izaugsmi atbalstošas teritorijas</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mērķi ir radīt līdzvērtīgākas darba iespējas un dzīves apstākļus visiem iedzīvotājiem, izmantojot teritoriju attīstības potenciālus un unikālos resursus, kā arī stiprināt Latvijas reģionu starptautisko konkurētspēju, palielinot Rīgas kā Ziemeļeiropas metropoles un citu nacionālās nozīmes attīstības centru starptautisko lomu. Ekonomiskās aktivitātes stimulēšana reģionos, s</w:t>
      </w:r>
      <w:r w:rsidR="007A174B">
        <w:rPr>
          <w:rFonts w:ascii="Times New Roman" w:hAnsi="Times New Roman"/>
          <w:color w:val="000000" w:themeColor="text1"/>
          <w:sz w:val="24"/>
          <w:szCs w:val="24"/>
        </w:rPr>
        <w:t>ekmējot jaunu uzņēmumu un darba</w:t>
      </w:r>
      <w:r w:rsidRPr="006202E5">
        <w:rPr>
          <w:rFonts w:ascii="Times New Roman" w:hAnsi="Times New Roman"/>
          <w:color w:val="000000" w:themeColor="text1"/>
          <w:sz w:val="24"/>
          <w:szCs w:val="24"/>
        </w:rPr>
        <w:t xml:space="preserve">vietu radīšanu, sniegs ieguldījumu </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ekonomikas izrāviena</w:t>
      </w:r>
      <w:r w:rsidR="00B167ED">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nodrošināšanā un iedzīvotāju labklājības celšanā. Prioritātē noteikti šādi rīcības virzieni: Ekonomiskās aktivitātes veicināšana reģionos – teritoriju potenciāla izmantošana, Pakalpojumu pieejamība līdzvērtīgāku darba iespēju un dzīves apstākļu radīšanai un Dabas un kultūras kapitāla ilgtspējīga apsaimniekošana. Paredzams, ka</w:t>
      </w:r>
      <w:r w:rsidR="007A174B">
        <w:rPr>
          <w:rFonts w:ascii="Times New Roman" w:hAnsi="Times New Roman"/>
          <w:color w:val="000000" w:themeColor="text1"/>
          <w:sz w:val="24"/>
          <w:szCs w:val="24"/>
        </w:rPr>
        <w:t>,</w:t>
      </w:r>
      <w:r w:rsidRPr="006202E5">
        <w:rPr>
          <w:rFonts w:ascii="Times New Roman" w:hAnsi="Times New Roman"/>
          <w:color w:val="000000" w:themeColor="text1"/>
          <w:sz w:val="24"/>
          <w:szCs w:val="24"/>
        </w:rPr>
        <w:t xml:space="preserve"> īstenojot rīcības virzienos noteiktos uzdevumus, IKP uz vienu iedzīvotāju reģionālā dispersija, kas raksturo reģionu sociālekonomiskās attīstības atšķirības, samazināsies no 43,3</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2009.gadā līdz 34,5</w:t>
      </w:r>
      <w:r w:rsidR="00111406">
        <w:rPr>
          <w:rFonts w:ascii="Times New Roman" w:hAnsi="Times New Roman"/>
          <w:color w:val="000000" w:themeColor="text1"/>
          <w:sz w:val="24"/>
          <w:szCs w:val="24"/>
        </w:rPr>
        <w:t> %</w:t>
      </w:r>
      <w:r w:rsidRPr="006202E5">
        <w:rPr>
          <w:rFonts w:ascii="Times New Roman" w:hAnsi="Times New Roman"/>
          <w:color w:val="000000" w:themeColor="text1"/>
          <w:sz w:val="24"/>
          <w:szCs w:val="24"/>
        </w:rPr>
        <w:t xml:space="preserve"> 2020.gadā. </w:t>
      </w:r>
    </w:p>
    <w:p w:rsidR="00CA63EF" w:rsidRPr="006202E5" w:rsidRDefault="00CA63EF" w:rsidP="00CA63EF">
      <w:pPr>
        <w:spacing w:after="0" w:line="240" w:lineRule="auto"/>
        <w:ind w:firstLine="720"/>
        <w:jc w:val="both"/>
        <w:rPr>
          <w:rFonts w:ascii="Times New Roman" w:hAnsi="Times New Roman"/>
          <w:sz w:val="24"/>
          <w:szCs w:val="24"/>
        </w:rPr>
      </w:pPr>
      <w:r w:rsidRPr="006202E5">
        <w:rPr>
          <w:rFonts w:ascii="Times New Roman" w:hAnsi="Times New Roman"/>
          <w:color w:val="000000" w:themeColor="text1"/>
          <w:sz w:val="24"/>
          <w:szCs w:val="24"/>
        </w:rPr>
        <w:t>NAP2020 vadmotīvs un prioritātes veido savstarpēji iedarbīgu un vienotu sistēmu, kas atbilst ilgtspējīgas plānošanas pieejai un vienlaikus identificē galvenos valsts izaicinājumus</w:t>
      </w:r>
      <w:r w:rsidR="007A174B">
        <w:rPr>
          <w:rFonts w:ascii="Times New Roman" w:hAnsi="Times New Roman"/>
          <w:color w:val="000000" w:themeColor="text1"/>
          <w:sz w:val="24"/>
          <w:szCs w:val="24"/>
        </w:rPr>
        <w:t xml:space="preserve"> un ieguldījumu virzienus laik</w:t>
      </w:r>
      <w:r w:rsidRPr="006202E5">
        <w:rPr>
          <w:rFonts w:ascii="Times New Roman" w:hAnsi="Times New Roman"/>
          <w:sz w:val="24"/>
          <w:szCs w:val="24"/>
        </w:rPr>
        <w:t xml:space="preserve">posmā līdz 2020.gadam. Neatlaidīgi un sistēmiski īstenojot minētās prioritātes, Latvija īstenos </w:t>
      </w:r>
      <w:r w:rsidR="00B167ED">
        <w:rPr>
          <w:rFonts w:ascii="Times New Roman" w:hAnsi="Times New Roman"/>
          <w:sz w:val="24"/>
          <w:szCs w:val="24"/>
        </w:rPr>
        <w:t>"</w:t>
      </w:r>
      <w:r w:rsidRPr="006202E5">
        <w:rPr>
          <w:rFonts w:ascii="Times New Roman" w:hAnsi="Times New Roman"/>
          <w:sz w:val="24"/>
          <w:szCs w:val="24"/>
        </w:rPr>
        <w:t>ekonomikas izrāvienu</w:t>
      </w:r>
      <w:r w:rsidR="00B167ED">
        <w:rPr>
          <w:rFonts w:ascii="Times New Roman" w:hAnsi="Times New Roman"/>
          <w:sz w:val="24"/>
          <w:szCs w:val="24"/>
        </w:rPr>
        <w:t>"</w:t>
      </w:r>
      <w:r w:rsidRPr="006202E5">
        <w:rPr>
          <w:rFonts w:ascii="Times New Roman" w:hAnsi="Times New Roman"/>
          <w:sz w:val="24"/>
          <w:szCs w:val="24"/>
        </w:rPr>
        <w:t>, ierobežotos darbaspēka, finanšu un dabas resursus produktīvi pārvēršot konkurētspējīgos produktos un pakalpojumos, lai sasniegtu galveno mērķi – dzīves kvalitātes pieaugumu ikvienam Latvijas iedzīvotājam.</w:t>
      </w:r>
    </w:p>
    <w:p w:rsidR="00CA63EF" w:rsidRPr="006202E5" w:rsidRDefault="00CA63EF" w:rsidP="00CA63EF">
      <w:pPr>
        <w:spacing w:after="0" w:line="240" w:lineRule="auto"/>
        <w:ind w:firstLine="720"/>
        <w:jc w:val="both"/>
        <w:rPr>
          <w:rFonts w:ascii="Times New Roman" w:hAnsi="Times New Roman"/>
          <w:sz w:val="24"/>
          <w:szCs w:val="24"/>
        </w:rPr>
      </w:pPr>
      <w:r w:rsidRPr="006202E5">
        <w:rPr>
          <w:rFonts w:ascii="Times New Roman" w:hAnsi="Times New Roman"/>
          <w:sz w:val="24"/>
          <w:szCs w:val="24"/>
        </w:rPr>
        <w:t>NAP2020 ir veidots, stratēģiju salāgojot ar resursiem, kas būs pieejami ieguldījumiem valsts</w:t>
      </w:r>
      <w:r w:rsidR="007A174B">
        <w:rPr>
          <w:rFonts w:ascii="Times New Roman" w:hAnsi="Times New Roman"/>
          <w:sz w:val="24"/>
          <w:szCs w:val="24"/>
        </w:rPr>
        <w:t xml:space="preserve"> attīstībā laika posmā no 2014. līdz </w:t>
      </w:r>
      <w:r w:rsidRPr="006202E5">
        <w:rPr>
          <w:rFonts w:ascii="Times New Roman" w:hAnsi="Times New Roman"/>
          <w:sz w:val="24"/>
          <w:szCs w:val="24"/>
        </w:rPr>
        <w:t xml:space="preserve">2020. gadam. Kopējais NAP2020 ietvaros paredzamais finansējums investīcijām valsts attīstībai līdz 2020.gadam paredzēts vairāk </w:t>
      </w:r>
      <w:r w:rsidR="007A174B">
        <w:rPr>
          <w:rFonts w:ascii="Times New Roman" w:hAnsi="Times New Roman"/>
          <w:sz w:val="24"/>
          <w:szCs w:val="24"/>
        </w:rPr>
        <w:t>ne</w:t>
      </w:r>
      <w:r w:rsidRPr="006202E5">
        <w:rPr>
          <w:rFonts w:ascii="Times New Roman" w:hAnsi="Times New Roman"/>
          <w:sz w:val="24"/>
          <w:szCs w:val="24"/>
        </w:rPr>
        <w:t>kā 8,23 miljardi latu, t.sk. 3,90 miljardi latu Eiropas Savienības Strukturālo un investīciju fondu finansējums, 1,42 miljardi latu valsts budžeta finansējums, 1,44 miljardi latu cits ārvalstu finansējums, 1,34 miljardi latu privāt</w:t>
      </w:r>
      <w:r w:rsidR="007A174B">
        <w:rPr>
          <w:rFonts w:ascii="Times New Roman" w:hAnsi="Times New Roman"/>
          <w:sz w:val="24"/>
          <w:szCs w:val="24"/>
        </w:rPr>
        <w:t>ais finansējums un 0,13 miljardi</w:t>
      </w:r>
      <w:r w:rsidRPr="006202E5">
        <w:rPr>
          <w:rFonts w:ascii="Times New Roman" w:hAnsi="Times New Roman"/>
          <w:sz w:val="24"/>
          <w:szCs w:val="24"/>
        </w:rPr>
        <w:t xml:space="preserve"> latu pašvaldību finansējums.</w:t>
      </w:r>
    </w:p>
    <w:p w:rsidR="00F67458" w:rsidRDefault="00F67458" w:rsidP="00CA63EF">
      <w:pPr>
        <w:spacing w:after="0" w:line="240" w:lineRule="auto"/>
        <w:jc w:val="both"/>
        <w:rPr>
          <w:rFonts w:ascii="Times New Roman" w:hAnsi="Times New Roman"/>
          <w:bCs/>
          <w:sz w:val="24"/>
          <w:szCs w:val="24"/>
        </w:rPr>
      </w:pPr>
    </w:p>
    <w:p w:rsidR="00CA63EF" w:rsidRPr="007A457D" w:rsidRDefault="00F67458" w:rsidP="00CA63EF">
      <w:pPr>
        <w:spacing w:after="0" w:line="240" w:lineRule="auto"/>
        <w:jc w:val="both"/>
        <w:rPr>
          <w:rFonts w:ascii="Times New Roman" w:hAnsi="Times New Roman"/>
          <w:b/>
          <w:sz w:val="24"/>
          <w:szCs w:val="24"/>
        </w:rPr>
      </w:pPr>
      <w:r w:rsidRPr="007A457D">
        <w:rPr>
          <w:rFonts w:ascii="Times New Roman" w:hAnsi="Times New Roman"/>
          <w:b/>
          <w:bCs/>
          <w:sz w:val="24"/>
          <w:szCs w:val="24"/>
        </w:rPr>
        <w:t>Indikatīvais finanšu resursu sadalījums, milj. LVL NAP 2020, sadalījumā pa prioritātēm un avotiem</w:t>
      </w:r>
    </w:p>
    <w:p w:rsidR="007A457D" w:rsidRDefault="0035420F" w:rsidP="007A457D">
      <w:pPr>
        <w:spacing w:after="0"/>
        <w:jc w:val="both"/>
        <w:rPr>
          <w:rFonts w:ascii="Times New Roman" w:hAnsi="Times New Roman"/>
          <w:sz w:val="24"/>
          <w:szCs w:val="24"/>
        </w:rPr>
      </w:pPr>
      <w:r w:rsidRPr="0035420F">
        <w:rPr>
          <w:rFonts w:ascii="Times New Roman" w:hAnsi="Times New Roman"/>
          <w:bCs/>
          <w:noProof/>
          <w:sz w:val="24"/>
          <w:szCs w:val="24"/>
        </w:rPr>
        <w:lastRenderedPageBreak/>
        <w:drawing>
          <wp:inline distT="0" distB="0" distL="0" distR="0" wp14:anchorId="632D309E" wp14:editId="57AF180E">
            <wp:extent cx="4582757" cy="4023360"/>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4582757" cy="4023360"/>
                    </a:xfrm>
                    <a:prstGeom prst="rect">
                      <a:avLst/>
                    </a:prstGeom>
                    <a:noFill/>
                    <a:ln w="9525">
                      <a:noFill/>
                      <a:miter lim="800000"/>
                      <a:headEnd/>
                      <a:tailEnd/>
                    </a:ln>
                  </pic:spPr>
                </pic:pic>
              </a:graphicData>
            </a:graphic>
          </wp:inline>
        </w:drawing>
      </w:r>
    </w:p>
    <w:p w:rsidR="007A457D" w:rsidRDefault="007A457D" w:rsidP="007A457D">
      <w:pPr>
        <w:spacing w:after="0"/>
        <w:jc w:val="both"/>
        <w:rPr>
          <w:rFonts w:ascii="Times New Roman" w:hAnsi="Times New Roman"/>
          <w:sz w:val="24"/>
          <w:szCs w:val="24"/>
        </w:rPr>
      </w:pPr>
    </w:p>
    <w:p w:rsidR="007A457D" w:rsidRPr="00565723" w:rsidRDefault="007A457D" w:rsidP="007A457D">
      <w:pPr>
        <w:spacing w:after="0" w:line="240" w:lineRule="auto"/>
        <w:ind w:firstLine="720"/>
        <w:jc w:val="both"/>
        <w:rPr>
          <w:rFonts w:ascii="Times New Roman" w:hAnsi="Times New Roman"/>
          <w:bCs/>
          <w:sz w:val="24"/>
          <w:szCs w:val="24"/>
        </w:rPr>
      </w:pPr>
      <w:r w:rsidRPr="006202E5">
        <w:rPr>
          <w:rFonts w:ascii="Times New Roman" w:hAnsi="Times New Roman"/>
          <w:sz w:val="24"/>
          <w:szCs w:val="24"/>
        </w:rPr>
        <w:t xml:space="preserve">NAP2020 ieguldījumi ir pamatojami ar skaidri definētiem mērķiem un visefektīvākajiem līdzekļiem to sasniegšanā. NAP2020 noteiktais finansējuma sadalījums investīcijām tiks izmantots valsts budžeta attīstības finansējuma, </w:t>
      </w:r>
      <w:r>
        <w:rPr>
          <w:rFonts w:ascii="Times New Roman" w:hAnsi="Times New Roman"/>
          <w:sz w:val="24"/>
          <w:szCs w:val="24"/>
        </w:rPr>
        <w:t>ES</w:t>
      </w:r>
      <w:r w:rsidRPr="006202E5">
        <w:rPr>
          <w:rFonts w:ascii="Times New Roman" w:hAnsi="Times New Roman"/>
          <w:sz w:val="24"/>
          <w:szCs w:val="24"/>
        </w:rPr>
        <w:t xml:space="preserve"> politiku instrumentu un citas ārvalstu finanšu palīdzības investīciju plānošanā.</w:t>
      </w:r>
    </w:p>
    <w:p w:rsidR="00CA63EF" w:rsidRPr="006202E5" w:rsidRDefault="00CA63EF" w:rsidP="007A457D">
      <w:pPr>
        <w:spacing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3,89 miljardi latu paredzēti uzdevumu īstenošanai prioritātē </w:t>
      </w:r>
      <w:r w:rsidR="00B167ED">
        <w:rPr>
          <w:rFonts w:ascii="Times New Roman" w:hAnsi="Times New Roman"/>
          <w:sz w:val="24"/>
          <w:szCs w:val="24"/>
        </w:rPr>
        <w:t>"</w:t>
      </w:r>
      <w:r w:rsidRPr="006202E5">
        <w:rPr>
          <w:rFonts w:ascii="Times New Roman" w:hAnsi="Times New Roman"/>
          <w:sz w:val="24"/>
          <w:szCs w:val="24"/>
        </w:rPr>
        <w:t>Tautas saimniecības izaugsme</w:t>
      </w:r>
      <w:r w:rsidR="00B167ED">
        <w:rPr>
          <w:rFonts w:ascii="Times New Roman" w:hAnsi="Times New Roman"/>
          <w:sz w:val="24"/>
          <w:szCs w:val="24"/>
        </w:rPr>
        <w:t>"</w:t>
      </w:r>
      <w:r w:rsidRPr="006202E5">
        <w:rPr>
          <w:rFonts w:ascii="Times New Roman" w:hAnsi="Times New Roman"/>
          <w:sz w:val="24"/>
          <w:szCs w:val="24"/>
        </w:rPr>
        <w:t xml:space="preserve">, 3,16 miljardi latu – prioritātē </w:t>
      </w:r>
      <w:r w:rsidR="00B167ED">
        <w:rPr>
          <w:rFonts w:ascii="Times New Roman" w:hAnsi="Times New Roman"/>
          <w:sz w:val="24"/>
          <w:szCs w:val="24"/>
        </w:rPr>
        <w:t>"</w:t>
      </w:r>
      <w:r w:rsidRPr="006202E5">
        <w:rPr>
          <w:rFonts w:ascii="Times New Roman" w:hAnsi="Times New Roman"/>
          <w:sz w:val="24"/>
          <w:szCs w:val="24"/>
        </w:rPr>
        <w:t>Izaugsmi atbalstošas teritorijas</w:t>
      </w:r>
      <w:r w:rsidR="00B167ED">
        <w:rPr>
          <w:rFonts w:ascii="Times New Roman" w:hAnsi="Times New Roman"/>
          <w:sz w:val="24"/>
          <w:szCs w:val="24"/>
        </w:rPr>
        <w:t>"</w:t>
      </w:r>
      <w:r w:rsidRPr="006202E5">
        <w:rPr>
          <w:rFonts w:ascii="Times New Roman" w:hAnsi="Times New Roman"/>
          <w:sz w:val="24"/>
          <w:szCs w:val="24"/>
        </w:rPr>
        <w:t xml:space="preserve"> un 1,18 miljardi latu – prioritātē </w:t>
      </w:r>
      <w:r w:rsidR="00B167ED">
        <w:rPr>
          <w:rFonts w:ascii="Times New Roman" w:hAnsi="Times New Roman"/>
          <w:sz w:val="24"/>
          <w:szCs w:val="24"/>
        </w:rPr>
        <w:t>"</w:t>
      </w:r>
      <w:r w:rsidRPr="006202E5">
        <w:rPr>
          <w:rFonts w:ascii="Times New Roman" w:hAnsi="Times New Roman"/>
          <w:sz w:val="24"/>
          <w:szCs w:val="24"/>
        </w:rPr>
        <w:t>Cilvēka drošumspēja</w:t>
      </w:r>
      <w:r w:rsidR="00B167ED">
        <w:rPr>
          <w:rFonts w:ascii="Times New Roman" w:hAnsi="Times New Roman"/>
          <w:sz w:val="24"/>
          <w:szCs w:val="24"/>
        </w:rPr>
        <w:t>"</w:t>
      </w:r>
      <w:r w:rsidRPr="006202E5">
        <w:rPr>
          <w:rFonts w:ascii="Times New Roman" w:hAnsi="Times New Roman"/>
          <w:sz w:val="24"/>
          <w:szCs w:val="24"/>
        </w:rPr>
        <w:t>.</w:t>
      </w:r>
    </w:p>
    <w:p w:rsidR="00CA63EF" w:rsidRPr="006202E5" w:rsidRDefault="00CA63EF" w:rsidP="00CA63EF">
      <w:pPr>
        <w:spacing w:after="0"/>
        <w:jc w:val="both"/>
        <w:rPr>
          <w:rFonts w:ascii="Times New Roman" w:hAnsi="Times New Roman"/>
          <w:bCs/>
          <w:sz w:val="24"/>
          <w:szCs w:val="24"/>
        </w:rPr>
      </w:pPr>
    </w:p>
    <w:p w:rsidR="00CA63EF" w:rsidRPr="009A7775" w:rsidRDefault="00CA63EF" w:rsidP="00CA63EF">
      <w:pPr>
        <w:spacing w:after="0"/>
        <w:jc w:val="both"/>
        <w:rPr>
          <w:rFonts w:ascii="Times New Roman" w:hAnsi="Times New Roman"/>
          <w:b/>
          <w:noProof/>
          <w:sz w:val="24"/>
          <w:szCs w:val="24"/>
        </w:rPr>
      </w:pPr>
      <w:r w:rsidRPr="007A457D">
        <w:rPr>
          <w:rFonts w:ascii="Times New Roman" w:hAnsi="Times New Roman"/>
          <w:b/>
          <w:bCs/>
          <w:sz w:val="24"/>
          <w:szCs w:val="24"/>
        </w:rPr>
        <w:t>Indikatīvais finanšu resursu sadalījums, milj</w:t>
      </w:r>
      <w:smartTag w:uri="schemas-tilde-lv/tildestengine" w:element="currency2">
        <w:smartTagPr>
          <w:attr w:name="currency_id" w:val="48"/>
          <w:attr w:name="currency_key" w:val="LVL"/>
          <w:attr w:name="currency_value" w:val="."/>
          <w:attr w:name="currency_text" w:val="LVL"/>
        </w:smartTagPr>
        <w:r w:rsidRPr="007A457D">
          <w:rPr>
            <w:rFonts w:ascii="Times New Roman" w:hAnsi="Times New Roman"/>
            <w:b/>
            <w:bCs/>
            <w:sz w:val="24"/>
            <w:szCs w:val="24"/>
          </w:rPr>
          <w:t xml:space="preserve">. LVL </w:t>
        </w:r>
      </w:smartTag>
      <w:r w:rsidRPr="007A457D">
        <w:rPr>
          <w:rFonts w:ascii="Times New Roman" w:hAnsi="Times New Roman"/>
          <w:b/>
          <w:bCs/>
          <w:sz w:val="24"/>
          <w:szCs w:val="24"/>
        </w:rPr>
        <w:t>NAP2020, sadalījumā pa prioritātēm un rīcības virzieniem</w:t>
      </w:r>
    </w:p>
    <w:p w:rsidR="00CA63EF" w:rsidRPr="006202E5" w:rsidRDefault="00F67458" w:rsidP="00CA63EF">
      <w:pPr>
        <w:spacing w:after="0"/>
        <w:jc w:val="both"/>
        <w:rPr>
          <w:rFonts w:ascii="Times New Roman" w:hAnsi="Times New Roman"/>
          <w:bCs/>
          <w:sz w:val="24"/>
          <w:szCs w:val="24"/>
        </w:rPr>
      </w:pPr>
      <w:r w:rsidRPr="00F67458">
        <w:rPr>
          <w:rFonts w:ascii="Times New Roman" w:hAnsi="Times New Roman"/>
          <w:noProof/>
          <w:sz w:val="24"/>
          <w:szCs w:val="24"/>
        </w:rPr>
        <w:lastRenderedPageBreak/>
        <w:drawing>
          <wp:inline distT="0" distB="0" distL="0" distR="0" wp14:anchorId="68C85ABD" wp14:editId="694DF26E">
            <wp:extent cx="4528969" cy="3827625"/>
            <wp:effectExtent l="0" t="0" r="4931"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4535956" cy="3833530"/>
                    </a:xfrm>
                    <a:prstGeom prst="rect">
                      <a:avLst/>
                    </a:prstGeom>
                    <a:noFill/>
                    <a:ln w="9525">
                      <a:noFill/>
                      <a:miter lim="800000"/>
                      <a:headEnd/>
                      <a:tailEnd/>
                    </a:ln>
                  </pic:spPr>
                </pic:pic>
              </a:graphicData>
            </a:graphic>
          </wp:inline>
        </w:drawing>
      </w:r>
    </w:p>
    <w:p w:rsidR="00CA63EF" w:rsidRPr="006202E5" w:rsidRDefault="00CA63EF" w:rsidP="00CA63EF">
      <w:pPr>
        <w:spacing w:before="120" w:after="0" w:line="240" w:lineRule="auto"/>
        <w:ind w:firstLine="720"/>
        <w:jc w:val="both"/>
        <w:rPr>
          <w:rFonts w:ascii="Times New Roman" w:hAnsi="Times New Roman"/>
          <w:sz w:val="24"/>
          <w:szCs w:val="24"/>
        </w:rPr>
      </w:pPr>
      <w:r w:rsidRPr="006202E5">
        <w:rPr>
          <w:rFonts w:ascii="Times New Roman" w:hAnsi="Times New Roman"/>
          <w:sz w:val="24"/>
          <w:szCs w:val="24"/>
        </w:rPr>
        <w:t xml:space="preserve">Reizi divos gados </w:t>
      </w:r>
      <w:r w:rsidR="006202E5" w:rsidRPr="006202E5">
        <w:rPr>
          <w:rFonts w:ascii="Times New Roman" w:hAnsi="Times New Roman"/>
          <w:sz w:val="24"/>
          <w:szCs w:val="24"/>
        </w:rPr>
        <w:t>MK</w:t>
      </w:r>
      <w:r w:rsidRPr="006202E5">
        <w:rPr>
          <w:rFonts w:ascii="Times New Roman" w:hAnsi="Times New Roman"/>
          <w:sz w:val="24"/>
          <w:szCs w:val="24"/>
        </w:rPr>
        <w:t xml:space="preserve"> iesniegs izskatīšanai Saeimā vienotu, savstarpēji integrētu ziņojumu par NAP2020 un Latvijas ilgtspējīgas attīstības stratēģijas līdz 2030.gadam īstenošanu. Ziņojums ļaus novērtēt, kā tiek sasniegti </w:t>
      </w:r>
      <w:r w:rsidR="007A174B">
        <w:rPr>
          <w:rFonts w:ascii="Times New Roman" w:hAnsi="Times New Roman"/>
          <w:sz w:val="24"/>
          <w:szCs w:val="24"/>
        </w:rPr>
        <w:t>izvirzītie</w:t>
      </w:r>
      <w:r w:rsidRPr="006202E5">
        <w:rPr>
          <w:rFonts w:ascii="Times New Roman" w:hAnsi="Times New Roman"/>
          <w:sz w:val="24"/>
          <w:szCs w:val="24"/>
        </w:rPr>
        <w:t xml:space="preserve"> mērķi un kādi uzlabojumi ir nepieciešami, kā arī informēs sabiedrību par progresu konkrētos valsts ilgtspējīgas attīstības virzienos, ļaujot ikvienam iesaistīties diskusijā par valsts attīstību, vērtēt noteikto prioritāšu un rīcības virzienu izvēles pareizību, kā arī sasaistīt paredzētos rezultātus ar atbildību par noteikto uzdevumu īstenošanu.</w:t>
      </w:r>
    </w:p>
    <w:p w:rsidR="00CA63EF" w:rsidRPr="006202E5" w:rsidRDefault="00CA63EF" w:rsidP="00583FA8">
      <w:pPr>
        <w:pStyle w:val="Heading3"/>
      </w:pPr>
      <w:bookmarkStart w:id="161" w:name="_Toc348948424"/>
      <w:r w:rsidRPr="006202E5">
        <w:t xml:space="preserve">3.2. Attīstības </w:t>
      </w:r>
      <w:r w:rsidRPr="00583FA8">
        <w:t>plānošanas</w:t>
      </w:r>
      <w:r w:rsidRPr="006202E5">
        <w:t xml:space="preserve"> sistēmas darbība</w:t>
      </w:r>
      <w:bookmarkEnd w:id="161"/>
    </w:p>
    <w:p w:rsidR="00CA63EF" w:rsidRPr="006202E5" w:rsidRDefault="00CA63EF" w:rsidP="00CA63EF">
      <w:pPr>
        <w:pStyle w:val="ListParagraph"/>
        <w:spacing w:after="0" w:line="240" w:lineRule="auto"/>
        <w:ind w:left="0" w:firstLine="720"/>
        <w:jc w:val="both"/>
        <w:rPr>
          <w:rFonts w:ascii="Times New Roman" w:hAnsi="Times New Roman" w:cs="Times New Roman"/>
          <w:color w:val="000000"/>
          <w:sz w:val="24"/>
          <w:szCs w:val="24"/>
        </w:rPr>
      </w:pPr>
      <w:r w:rsidRPr="006202E5">
        <w:rPr>
          <w:rFonts w:ascii="Times New Roman" w:hAnsi="Times New Roman" w:cs="Times New Roman"/>
          <w:color w:val="000000"/>
          <w:sz w:val="24"/>
          <w:szCs w:val="24"/>
        </w:rPr>
        <w:t xml:space="preserve">2012.gadā </w:t>
      </w:r>
      <w:r w:rsidRPr="006202E5">
        <w:rPr>
          <w:rFonts w:ascii="Times New Roman" w:hAnsi="Times New Roman" w:cs="Times New Roman"/>
          <w:sz w:val="24"/>
          <w:szCs w:val="24"/>
        </w:rPr>
        <w:t>PKC</w:t>
      </w:r>
      <w:r w:rsidRPr="006202E5">
        <w:rPr>
          <w:rFonts w:ascii="Times New Roman" w:hAnsi="Times New Roman" w:cs="Times New Roman"/>
          <w:color w:val="000000"/>
          <w:sz w:val="24"/>
          <w:szCs w:val="24"/>
        </w:rPr>
        <w:t xml:space="preserve"> sagatavoja </w:t>
      </w:r>
      <w:r w:rsidRPr="006202E5">
        <w:rPr>
          <w:rFonts w:ascii="Times New Roman" w:hAnsi="Times New Roman" w:cs="Times New Roman"/>
          <w:sz w:val="24"/>
          <w:szCs w:val="24"/>
        </w:rPr>
        <w:t xml:space="preserve">pirmo </w:t>
      </w:r>
      <w:r w:rsidR="007A174B">
        <w:rPr>
          <w:rFonts w:ascii="Times New Roman" w:hAnsi="Times New Roman" w:cs="Times New Roman"/>
          <w:color w:val="000000"/>
          <w:sz w:val="24"/>
          <w:szCs w:val="24"/>
        </w:rPr>
        <w:t>uzraudzības ziņojumu</w:t>
      </w:r>
      <w:r w:rsidRPr="006202E5">
        <w:rPr>
          <w:rFonts w:ascii="Times New Roman" w:hAnsi="Times New Roman" w:cs="Times New Roman"/>
          <w:color w:val="000000"/>
          <w:sz w:val="24"/>
          <w:szCs w:val="24"/>
        </w:rPr>
        <w:t xml:space="preserve"> par Latvijas ilgtspējīgas attīstības stratēģijas līdz 2030.gadam īstenošanu</w:t>
      </w:r>
      <w:r w:rsidRPr="006202E5">
        <w:rPr>
          <w:rFonts w:ascii="Times New Roman" w:hAnsi="Times New Roman" w:cs="Times New Roman"/>
          <w:sz w:val="24"/>
          <w:szCs w:val="24"/>
        </w:rPr>
        <w:t>, kurā izvērtēta stratēģijas īstenošana 2010. un 2011.gadā un sasniegtie rezultāti virzībā uz stratēģijā noteiktajiem mērķiem. Ziņojumā uzsvērts, ka pārskata periodā valsts tautsaimniecība nostabilizējās pēc satricinājumiem, kas notika iepriekšējo gadu neilgtspējīgās politikas un starptautisko finanšu plūsmu apsīkuma rezultātā, un pakāpeniski atgriezās pie izaugsmes, pateicoties gan spējai sakārtot valsts finanses, gan spējai pietiekami veiksmīgi izmantot starptautiskās aizdevumu programmas, ES strukturālo fondu un citas ārvalstu finanšu palīdzības piešķirtos līdzekļus. Vienlaikus kā satraucošas ir vērtējamas demogrāfiskās situācijas attīstības tendences, īpaši, sabiedrībā pastāvošā ienākumu nevienlīdzība, kas var radīt nopietnus šķēršļus valsts ilgtspējīgai attīstībai nākotnē, tādēļ turpmāk galvenā uzmanība veltāma šo jautājumu risināšanai.</w:t>
      </w:r>
    </w:p>
    <w:p w:rsidR="006202E5" w:rsidRPr="006202E5" w:rsidRDefault="00CA63EF" w:rsidP="00CA63EF">
      <w:pPr>
        <w:pStyle w:val="ListParagraph"/>
        <w:spacing w:after="0" w:line="240" w:lineRule="auto"/>
        <w:ind w:left="0" w:firstLine="720"/>
        <w:jc w:val="both"/>
        <w:rPr>
          <w:rFonts w:ascii="Times New Roman" w:eastAsia="Calibri" w:hAnsi="Times New Roman" w:cs="Times New Roman"/>
          <w:sz w:val="24"/>
          <w:szCs w:val="24"/>
        </w:rPr>
      </w:pPr>
      <w:r w:rsidRPr="006202E5">
        <w:rPr>
          <w:rFonts w:ascii="Times New Roman" w:hAnsi="Times New Roman" w:cs="Times New Roman"/>
          <w:color w:val="000000"/>
          <w:sz w:val="24"/>
          <w:szCs w:val="24"/>
        </w:rPr>
        <w:t xml:space="preserve">2012.gadā turpinājās darbs pie attīstības plānošanas sistēmas pilnveidošanas iespēju analīzes. </w:t>
      </w:r>
      <w:r w:rsidR="006202E5" w:rsidRPr="006202E5">
        <w:rPr>
          <w:rFonts w:ascii="Times New Roman" w:hAnsi="Times New Roman" w:cs="Times New Roman"/>
          <w:color w:val="000000"/>
          <w:sz w:val="24"/>
          <w:szCs w:val="24"/>
        </w:rPr>
        <w:t>MK</w:t>
      </w:r>
      <w:r w:rsidRPr="006202E5">
        <w:rPr>
          <w:rFonts w:ascii="Times New Roman" w:hAnsi="Times New Roman" w:cs="Times New Roman"/>
          <w:color w:val="000000"/>
          <w:sz w:val="24"/>
          <w:szCs w:val="24"/>
        </w:rPr>
        <w:t xml:space="preserve"> apstiprināts ziņojums par turpmāko rīcību attīstības plānošanas sistēmas pilnveidošanai. Tajā </w:t>
      </w:r>
      <w:r w:rsidRPr="006202E5">
        <w:rPr>
          <w:rFonts w:ascii="Times New Roman" w:eastAsia="Calibri" w:hAnsi="Times New Roman" w:cs="Times New Roman"/>
          <w:sz w:val="24"/>
          <w:szCs w:val="24"/>
        </w:rPr>
        <w:t xml:space="preserve">paredzēts veikt attīstības plānošanas sistēmas darbības </w:t>
      </w:r>
      <w:r w:rsidRPr="006202E5">
        <w:rPr>
          <w:rFonts w:ascii="Times New Roman" w:eastAsia="Calibri" w:hAnsi="Times New Roman" w:cs="Times New Roman"/>
          <w:sz w:val="24"/>
          <w:szCs w:val="24"/>
        </w:rPr>
        <w:lastRenderedPageBreak/>
        <w:t xml:space="preserve">novērtējumu, kura ietvaros tiks izvērtēta attīstības plānošanas dokumentu savstarpējā saskaņotība, mijiedarbība un integrācija vienotā un hierarhiskā sistēmā, kas nodrošina nacionālās, reģionālās un vietējās pārvaldes līmeņa plānošanas sistēmu sasaisti, kā arī izstrādāti </w:t>
      </w:r>
      <w:r w:rsidRPr="006202E5">
        <w:rPr>
          <w:rFonts w:ascii="Times New Roman" w:eastAsia="Times New Roman" w:hAnsi="Times New Roman" w:cs="Times New Roman"/>
          <w:sz w:val="24"/>
          <w:szCs w:val="24"/>
        </w:rPr>
        <w:t>priekšlikumi attīstības plānošanas sistēmas pilnveidošanai nākotnē.</w:t>
      </w:r>
      <w:r w:rsidRPr="006202E5">
        <w:rPr>
          <w:rFonts w:ascii="Times New Roman" w:eastAsia="Calibri" w:hAnsi="Times New Roman" w:cs="Times New Roman"/>
          <w:sz w:val="24"/>
          <w:szCs w:val="24"/>
        </w:rPr>
        <w:t xml:space="preserve"> </w:t>
      </w:r>
    </w:p>
    <w:p w:rsidR="00CA63EF" w:rsidRPr="00583FA8" w:rsidRDefault="00CA63EF" w:rsidP="00583FA8">
      <w:pPr>
        <w:pStyle w:val="ListParagraph"/>
        <w:spacing w:after="0" w:line="240" w:lineRule="auto"/>
        <w:ind w:left="0" w:firstLine="720"/>
        <w:jc w:val="both"/>
        <w:rPr>
          <w:rFonts w:ascii="Times New Roman" w:hAnsi="Times New Roman" w:cs="Times New Roman"/>
          <w:color w:val="000000"/>
          <w:sz w:val="24"/>
          <w:szCs w:val="24"/>
        </w:rPr>
      </w:pPr>
      <w:r w:rsidRPr="006202E5">
        <w:rPr>
          <w:rFonts w:ascii="Times New Roman" w:eastAsia="Calibri" w:hAnsi="Times New Roman" w:cs="Times New Roman"/>
          <w:sz w:val="24"/>
          <w:szCs w:val="24"/>
        </w:rPr>
        <w:t>2012.gad</w:t>
      </w:r>
      <w:r w:rsidR="006202E5" w:rsidRPr="006202E5">
        <w:rPr>
          <w:rFonts w:ascii="Times New Roman" w:eastAsia="Calibri" w:hAnsi="Times New Roman" w:cs="Times New Roman"/>
          <w:sz w:val="24"/>
          <w:szCs w:val="24"/>
        </w:rPr>
        <w:t>ā</w:t>
      </w:r>
      <w:r w:rsidRPr="006202E5">
        <w:rPr>
          <w:rFonts w:ascii="Times New Roman" w:eastAsia="Calibri" w:hAnsi="Times New Roman" w:cs="Times New Roman"/>
          <w:sz w:val="24"/>
          <w:szCs w:val="24"/>
        </w:rPr>
        <w:t xml:space="preserve"> </w:t>
      </w:r>
      <w:r w:rsidR="006202E5" w:rsidRPr="006202E5">
        <w:rPr>
          <w:rFonts w:ascii="Times New Roman" w:eastAsia="Calibri" w:hAnsi="Times New Roman" w:cs="Times New Roman"/>
          <w:sz w:val="24"/>
          <w:szCs w:val="24"/>
        </w:rPr>
        <w:t>RVG</w:t>
      </w:r>
      <w:r w:rsidRPr="006202E5">
        <w:rPr>
          <w:rFonts w:ascii="Times New Roman" w:eastAsia="Calibri" w:hAnsi="Times New Roman" w:cs="Times New Roman"/>
          <w:sz w:val="24"/>
          <w:szCs w:val="24"/>
        </w:rPr>
        <w:t xml:space="preserve"> tika atbalstīts neatkarīgs pētījums </w:t>
      </w:r>
      <w:r w:rsidR="00B167ED">
        <w:rPr>
          <w:rFonts w:ascii="Times New Roman" w:eastAsia="Calibri" w:hAnsi="Times New Roman" w:cs="Times New Roman"/>
          <w:sz w:val="24"/>
          <w:szCs w:val="24"/>
        </w:rPr>
        <w:t>"</w:t>
      </w:r>
      <w:r w:rsidRPr="006202E5">
        <w:rPr>
          <w:rFonts w:ascii="Times New Roman" w:eastAsia="Calibri" w:hAnsi="Times New Roman" w:cs="Times New Roman"/>
          <w:sz w:val="24"/>
          <w:szCs w:val="24"/>
        </w:rPr>
        <w:t>Politikas plānošanas sistēmas attīstības pamatnostādņu un Attīstības plānošanas sistēmas likuma ietekmes novērtējums</w:t>
      </w:r>
      <w:r w:rsidR="00B167ED">
        <w:rPr>
          <w:rFonts w:ascii="Times New Roman" w:eastAsia="Calibri" w:hAnsi="Times New Roman" w:cs="Times New Roman"/>
          <w:sz w:val="24"/>
          <w:szCs w:val="24"/>
        </w:rPr>
        <w:t>"</w:t>
      </w:r>
      <w:r w:rsidRPr="006202E5">
        <w:rPr>
          <w:rFonts w:ascii="Times New Roman" w:eastAsia="Calibri" w:hAnsi="Times New Roman" w:cs="Times New Roman"/>
          <w:sz w:val="24"/>
          <w:szCs w:val="24"/>
        </w:rPr>
        <w:t xml:space="preserve">. </w:t>
      </w:r>
      <w:r w:rsidRPr="006202E5">
        <w:rPr>
          <w:rFonts w:ascii="Times New Roman" w:eastAsia="Times New Roman" w:hAnsi="Times New Roman" w:cs="Times New Roman"/>
          <w:sz w:val="24"/>
          <w:szCs w:val="24"/>
        </w:rPr>
        <w:t>Pamatojoties uz minētā pētījuma rezultātiem</w:t>
      </w:r>
      <w:r w:rsidRPr="006202E5">
        <w:rPr>
          <w:rFonts w:ascii="Times New Roman" w:hAnsi="Times New Roman" w:cs="Times New Roman"/>
          <w:sz w:val="24"/>
          <w:szCs w:val="24"/>
        </w:rPr>
        <w:t xml:space="preserve">, </w:t>
      </w:r>
      <w:r w:rsidRPr="006202E5">
        <w:rPr>
          <w:rFonts w:ascii="Times New Roman" w:eastAsia="Times New Roman" w:hAnsi="Times New Roman" w:cs="Times New Roman"/>
          <w:sz w:val="24"/>
          <w:szCs w:val="24"/>
        </w:rPr>
        <w:t>PKC sagatavos ziņojumu par politikas plānošanas sistēmas attīstības pamatnostādņu ietekmes novērtējumu.</w:t>
      </w:r>
    </w:p>
    <w:p w:rsidR="00583FA8" w:rsidRDefault="00583FA8" w:rsidP="00583FA8">
      <w:pPr>
        <w:pStyle w:val="Heading2"/>
        <w:spacing w:before="0" w:line="240" w:lineRule="auto"/>
      </w:pPr>
    </w:p>
    <w:p w:rsidR="00CA63EF" w:rsidRPr="00583FA8" w:rsidRDefault="006202E5" w:rsidP="00583FA8">
      <w:pPr>
        <w:pStyle w:val="Heading2"/>
        <w:spacing w:before="0" w:line="240" w:lineRule="auto"/>
      </w:pPr>
      <w:bookmarkStart w:id="162" w:name="_Toc348948425"/>
      <w:r w:rsidRPr="00583FA8">
        <w:t>4.</w:t>
      </w:r>
      <w:r w:rsidR="00CA63EF" w:rsidRPr="00583FA8">
        <w:t>Valsts kapitālsabiedrību pārvaldības reforma</w:t>
      </w:r>
      <w:bookmarkEnd w:id="162"/>
    </w:p>
    <w:p w:rsidR="00CA63EF" w:rsidRPr="006202E5" w:rsidRDefault="00CA63EF" w:rsidP="00583FA8">
      <w:pPr>
        <w:pStyle w:val="ListParagraph"/>
        <w:spacing w:after="0" w:line="240" w:lineRule="auto"/>
        <w:ind w:left="709"/>
        <w:rPr>
          <w:rFonts w:ascii="Times New Roman" w:hAnsi="Times New Roman" w:cs="Times New Roman"/>
          <w:sz w:val="24"/>
          <w:szCs w:val="24"/>
        </w:rPr>
      </w:pPr>
    </w:p>
    <w:p w:rsidR="003445F7" w:rsidRDefault="009E07C5" w:rsidP="003445F7">
      <w:pPr>
        <w:pStyle w:val="Default"/>
        <w:ind w:firstLine="720"/>
        <w:jc w:val="both"/>
        <w:rPr>
          <w:bCs/>
        </w:rPr>
      </w:pPr>
      <w:r w:rsidRPr="006202E5">
        <w:t>2012.gadā tika panākts progress valsts kapitālsabiedrību pārvaldības reformas turpmākajā virzībā</w:t>
      </w:r>
      <w:r>
        <w:t xml:space="preserve"> </w:t>
      </w:r>
      <w:r w:rsidR="00997041" w:rsidRPr="00034A96">
        <w:rPr>
          <w:rFonts w:ascii="Times New Roman" w:hAnsi="Times New Roman"/>
        </w:rPr>
        <w:t>–</w:t>
      </w:r>
      <w:r>
        <w:t xml:space="preserve"> MK</w:t>
      </w:r>
      <w:r w:rsidRPr="009E07C5">
        <w:rPr>
          <w:rFonts w:ascii="Times New Roman" w:hAnsi="Times New Roman"/>
        </w:rPr>
        <w:t xml:space="preserve"> apstiprinātas divas </w:t>
      </w:r>
      <w:r>
        <w:rPr>
          <w:rFonts w:ascii="Times New Roman" w:hAnsi="Times New Roman"/>
        </w:rPr>
        <w:t>EM</w:t>
      </w:r>
      <w:r w:rsidRPr="009E07C5">
        <w:rPr>
          <w:rFonts w:ascii="Times New Roman" w:hAnsi="Times New Roman"/>
        </w:rPr>
        <w:t xml:space="preserve"> sagatavotās koncepcijas</w:t>
      </w:r>
      <w:r w:rsidRPr="009E07C5">
        <w:rPr>
          <w:rFonts w:ascii="Times New Roman" w:hAnsi="Times New Roman"/>
          <w:b/>
        </w:rPr>
        <w:t xml:space="preserve"> -</w:t>
      </w:r>
      <w:bookmarkStart w:id="163" w:name="OLE_LINK1"/>
      <w:bookmarkStart w:id="164" w:name="OLE_LINK2"/>
      <w:bookmarkStart w:id="165" w:name="OLE_LINK3"/>
      <w:r w:rsidRPr="009E07C5">
        <w:rPr>
          <w:rFonts w:ascii="Times New Roman" w:hAnsi="Times New Roman"/>
        </w:rPr>
        <w:t xml:space="preserve"> Publisko personu komercdarbības koncepcija</w:t>
      </w:r>
      <w:bookmarkEnd w:id="163"/>
      <w:bookmarkEnd w:id="164"/>
      <w:bookmarkEnd w:id="165"/>
      <w:r w:rsidRPr="009E07C5">
        <w:rPr>
          <w:rFonts w:ascii="Times New Roman" w:hAnsi="Times New Roman"/>
        </w:rPr>
        <w:t xml:space="preserve"> un Valsts kapitāla daļu pārvaldības koncepcija.</w:t>
      </w:r>
      <w:r w:rsidR="003445F7">
        <w:rPr>
          <w:rFonts w:ascii="Times New Roman" w:hAnsi="Times New Roman"/>
        </w:rPr>
        <w:t xml:space="preserve"> Tajās iestrādāts arī </w:t>
      </w:r>
      <w:r w:rsidR="007A457D">
        <w:t>RVG</w:t>
      </w:r>
      <w:r w:rsidRPr="006202E5">
        <w:t xml:space="preserve"> k</w:t>
      </w:r>
      <w:r>
        <w:rPr>
          <w:bCs/>
        </w:rPr>
        <w:t>onceptuāli atbalstī</w:t>
      </w:r>
      <w:r w:rsidR="003445F7">
        <w:rPr>
          <w:bCs/>
        </w:rPr>
        <w:t>ta</w:t>
      </w:r>
      <w:r>
        <w:rPr>
          <w:bCs/>
        </w:rPr>
        <w:t>i</w:t>
      </w:r>
      <w:r w:rsidR="003445F7">
        <w:rPr>
          <w:bCs/>
        </w:rPr>
        <w:t>s</w:t>
      </w:r>
      <w:r w:rsidR="003445F7" w:rsidRPr="003445F7">
        <w:rPr>
          <w:bCs/>
        </w:rPr>
        <w:t xml:space="preserve"> </w:t>
      </w:r>
      <w:r w:rsidR="003445F7" w:rsidRPr="006202E5">
        <w:rPr>
          <w:bCs/>
        </w:rPr>
        <w:t>daļēji centralizēt</w:t>
      </w:r>
      <w:r w:rsidR="003445F7">
        <w:rPr>
          <w:bCs/>
        </w:rPr>
        <w:t>ais</w:t>
      </w:r>
      <w:r w:rsidR="003445F7" w:rsidRPr="006202E5">
        <w:rPr>
          <w:bCs/>
        </w:rPr>
        <w:t xml:space="preserve"> valsts kapitālsabiedrību un kapitāla daļu pārvaldes modeli</w:t>
      </w:r>
      <w:r w:rsidR="003445F7">
        <w:rPr>
          <w:bCs/>
        </w:rPr>
        <w:t>s</w:t>
      </w:r>
      <w:r w:rsidR="003445F7" w:rsidRPr="006202E5">
        <w:rPr>
          <w:bCs/>
        </w:rPr>
        <w:t>,</w:t>
      </w:r>
      <w:r w:rsidR="003445F7">
        <w:rPr>
          <w:bCs/>
        </w:rPr>
        <w:t xml:space="preserve"> kas paredz iz</w:t>
      </w:r>
      <w:r w:rsidR="003445F7" w:rsidRPr="006202E5">
        <w:rPr>
          <w:bCs/>
        </w:rPr>
        <w:t>veidot Centralizētu pārvaldes institūciju</w:t>
      </w:r>
      <w:r w:rsidR="003445F7">
        <w:rPr>
          <w:bCs/>
        </w:rPr>
        <w:t>. Šo modeli atbilstoši RVG dotajam uzdevumam izstrādāja PKC sadarbībā ar nozares ekspertiem.</w:t>
      </w:r>
    </w:p>
    <w:p w:rsidR="009E07C5" w:rsidRPr="003445F7" w:rsidRDefault="009E07C5" w:rsidP="003445F7">
      <w:pPr>
        <w:pStyle w:val="Default"/>
        <w:ind w:firstLine="720"/>
        <w:jc w:val="both"/>
        <w:rPr>
          <w:bCs/>
        </w:rPr>
      </w:pPr>
      <w:r w:rsidRPr="009E07C5">
        <w:rPr>
          <w:rFonts w:ascii="Times New Roman" w:hAnsi="Times New Roman"/>
        </w:rPr>
        <w:t>Mērķtiecīgi turpinot valsts, pašvaldību, ostu un citu atvasinātu publisko personu kapitāla daļu pārvaldības uzlabošanas reformu, Ekonomikas ministrija izstrādājusi un nodevusi starpinstitūciju saskaņošanai Publisko personu kapitālsabiedrību un kapitāla daļu pārvaldības likumprojektu, kā arī grozījumus vēl piecos saistītajos likumos.</w:t>
      </w:r>
    </w:p>
    <w:p w:rsidR="009E07C5" w:rsidRPr="006202E5" w:rsidRDefault="009E07C5" w:rsidP="009E07C5">
      <w:pPr>
        <w:spacing w:after="0" w:line="240" w:lineRule="auto"/>
        <w:ind w:firstLine="720"/>
        <w:jc w:val="both"/>
        <w:rPr>
          <w:rFonts w:ascii="Times New Roman" w:hAnsi="Times New Roman"/>
          <w:color w:val="000000"/>
          <w:sz w:val="24"/>
          <w:szCs w:val="24"/>
        </w:rPr>
      </w:pPr>
      <w:r w:rsidRPr="006202E5">
        <w:rPr>
          <w:rFonts w:ascii="Times New Roman" w:hAnsi="Times New Roman"/>
          <w:color w:val="000000"/>
          <w:sz w:val="24"/>
          <w:szCs w:val="24"/>
        </w:rPr>
        <w:t xml:space="preserve">2012.gada vasarā darbu ir uzsākusi PKC vadītā darba grupa, kuras galvenais uzdevums ir valsts līdzdalības kapitālsabiedrībās izvērtēšana. Paredzēts, ka darba grupa līdz 2013.gada 1.maijam </w:t>
      </w:r>
      <w:r w:rsidRPr="006202E5">
        <w:rPr>
          <w:rFonts w:ascii="Times New Roman" w:eastAsia="Times New Roman" w:hAnsi="Times New Roman"/>
          <w:sz w:val="24"/>
          <w:szCs w:val="24"/>
        </w:rPr>
        <w:t>sagatavos izskatīšanai Ministru kabinetā detalizētu informatīvo ziņojumu, ietverot priekšlikumu</w:t>
      </w:r>
      <w:r w:rsidR="00997041">
        <w:rPr>
          <w:rFonts w:ascii="Times New Roman" w:eastAsia="Times New Roman" w:hAnsi="Times New Roman"/>
          <w:sz w:val="24"/>
          <w:szCs w:val="24"/>
        </w:rPr>
        <w:t>s turpmākai rīcībai, tai skaitā</w:t>
      </w:r>
      <w:r w:rsidRPr="006202E5">
        <w:rPr>
          <w:rFonts w:ascii="Times New Roman" w:eastAsia="Times New Roman" w:hAnsi="Times New Roman"/>
          <w:sz w:val="24"/>
          <w:szCs w:val="24"/>
        </w:rPr>
        <w:t xml:space="preserve"> par valsts līdzdalības nepieciešamību kapitālsabiedrībās, kā arī kapitālsabiedrību turpmāko juridisko statusu un pārvaldību 216 kapitālsabiedrībās. </w:t>
      </w:r>
    </w:p>
    <w:p w:rsidR="009E07C5" w:rsidRPr="004E0804" w:rsidRDefault="009E07C5" w:rsidP="009E07C5">
      <w:pPr>
        <w:spacing w:after="0" w:line="240" w:lineRule="auto"/>
        <w:ind w:firstLine="720"/>
        <w:jc w:val="both"/>
        <w:rPr>
          <w:rFonts w:ascii="Times New Roman" w:hAnsi="Times New Roman" w:cs="Times New Roman"/>
          <w:sz w:val="24"/>
          <w:szCs w:val="24"/>
        </w:rPr>
      </w:pPr>
      <w:r w:rsidRPr="004E0804">
        <w:rPr>
          <w:rFonts w:ascii="Times New Roman" w:hAnsi="Times New Roman" w:cs="Times New Roman"/>
          <w:color w:val="000000"/>
          <w:sz w:val="24"/>
          <w:szCs w:val="24"/>
        </w:rPr>
        <w:t>Ņemot vērā, ka valsts kapitāla daļu pārvaldības reforma paredz principiāli jaunu pieeju un izstrādāts pilnīgi jauns likumprojekts</w:t>
      </w:r>
      <w:r w:rsidRPr="004E0804">
        <w:rPr>
          <w:rFonts w:ascii="Times New Roman" w:hAnsi="Times New Roman" w:cs="Times New Roman"/>
          <w:sz w:val="24"/>
          <w:szCs w:val="24"/>
        </w:rPr>
        <w:t>, likumprojekta saskaņošanā iesaistītajām pusēm  ir daudz jautājumu, r</w:t>
      </w:r>
      <w:r w:rsidRPr="00941B4C">
        <w:rPr>
          <w:rFonts w:ascii="Times New Roman" w:hAnsi="Times New Roman" w:cs="Times New Roman"/>
          <w:color w:val="000000"/>
          <w:sz w:val="24"/>
          <w:szCs w:val="24"/>
        </w:rPr>
        <w:t xml:space="preserve">eformai nepieciešamo normatīvo aktu izstrādi un pieņemšanu plānots pabeigt 2013.gadā, lai izveidotu normatīvo bāzi publisko kapitālsabiedrību pārvaldības un darbības pārraudzības pilnveidošanai. </w:t>
      </w:r>
    </w:p>
    <w:p w:rsidR="009E07C5" w:rsidRPr="006202E5" w:rsidRDefault="009E07C5" w:rsidP="009E07C5">
      <w:pPr>
        <w:pStyle w:val="ListParagraph"/>
        <w:spacing w:after="0" w:line="240" w:lineRule="auto"/>
        <w:ind w:left="0" w:firstLine="720"/>
        <w:jc w:val="both"/>
        <w:rPr>
          <w:rFonts w:ascii="Times New Roman" w:hAnsi="Times New Roman" w:cs="Times New Roman"/>
          <w:color w:val="000000"/>
          <w:sz w:val="24"/>
          <w:szCs w:val="24"/>
        </w:rPr>
      </w:pPr>
      <w:r w:rsidRPr="006202E5">
        <w:rPr>
          <w:rFonts w:ascii="Times New Roman" w:hAnsi="Times New Roman" w:cs="Times New Roman"/>
          <w:color w:val="000000"/>
          <w:sz w:val="24"/>
          <w:szCs w:val="24"/>
        </w:rPr>
        <w:t xml:space="preserve">Valsts kapitāla daļu pārvaldības birojs varētu tikt izveidots un uzsākt darbu ar 2014.gada 1.janvāri, tā galvenie uzdevumi būs </w:t>
      </w:r>
      <w:r w:rsidRPr="006202E5">
        <w:rPr>
          <w:rFonts w:ascii="Times New Roman" w:hAnsi="Times New Roman" w:cs="Times New Roman"/>
          <w:sz w:val="24"/>
          <w:szCs w:val="24"/>
        </w:rPr>
        <w:t xml:space="preserve">vienotas korporatīvās pārvaldes vadlīniju kapitālsabiedrību un kapitāla daļu pārvaldības un atskaitīšanās ietvaram izstrāde, </w:t>
      </w:r>
      <w:r w:rsidRPr="006202E5">
        <w:rPr>
          <w:rFonts w:ascii="Times New Roman" w:hAnsi="Times New Roman" w:cs="Times New Roman"/>
          <w:color w:val="000000"/>
          <w:kern w:val="24"/>
          <w:sz w:val="24"/>
          <w:szCs w:val="24"/>
        </w:rPr>
        <w:t xml:space="preserve">kapitālsabiedrību darbības uzraudzība un sasniegto finanšu mērķu un rezultātu izvērtēšana, </w:t>
      </w:r>
      <w:r w:rsidRPr="006202E5">
        <w:rPr>
          <w:rFonts w:ascii="Times New Roman" w:hAnsi="Times New Roman" w:cs="Times New Roman"/>
          <w:sz w:val="24"/>
          <w:szCs w:val="24"/>
        </w:rPr>
        <w:t xml:space="preserve">ikgadēja publiska pārskata sagatavošana par valstij piederošajiem aktīviem, informācijas par kapitālsabiedrību darbību un valsts aktīvu izmantošanas efektivitāti pieejamības nodrošināšana, </w:t>
      </w:r>
      <w:r w:rsidRPr="006202E5">
        <w:rPr>
          <w:rFonts w:ascii="Times New Roman" w:hAnsi="Times New Roman" w:cs="Times New Roman"/>
          <w:snapToGrid w:val="0"/>
          <w:sz w:val="24"/>
          <w:szCs w:val="24"/>
        </w:rPr>
        <w:t>valdes un</w:t>
      </w:r>
      <w:r w:rsidR="00997041">
        <w:rPr>
          <w:rFonts w:ascii="Times New Roman" w:hAnsi="Times New Roman" w:cs="Times New Roman"/>
          <w:snapToGrid w:val="0"/>
          <w:sz w:val="24"/>
          <w:szCs w:val="24"/>
        </w:rPr>
        <w:t xml:space="preserve"> padomes locekļu kandidātu datu</w:t>
      </w:r>
      <w:r w:rsidRPr="006202E5">
        <w:rPr>
          <w:rFonts w:ascii="Times New Roman" w:hAnsi="Times New Roman" w:cs="Times New Roman"/>
          <w:snapToGrid w:val="0"/>
          <w:sz w:val="24"/>
          <w:szCs w:val="24"/>
        </w:rPr>
        <w:t xml:space="preserve">bāzes uzturēšana, rekomendāciju izstrāde dividenžu politikai kapitālsabiedrībās, </w:t>
      </w:r>
      <w:r w:rsidRPr="006202E5">
        <w:rPr>
          <w:rFonts w:ascii="Times New Roman" w:hAnsi="Times New Roman" w:cs="Times New Roman"/>
          <w:color w:val="000000"/>
          <w:kern w:val="24"/>
          <w:sz w:val="24"/>
          <w:szCs w:val="24"/>
        </w:rPr>
        <w:t xml:space="preserve">kapitāla daļu turētāja funkciju īstenošana atsevišķās kapitālsabiedrībās, kā arī </w:t>
      </w:r>
      <w:r w:rsidRPr="006202E5">
        <w:rPr>
          <w:rFonts w:ascii="Times New Roman" w:eastAsia="Times New Roman" w:hAnsi="Times New Roman" w:cs="Times New Roman"/>
          <w:bCs/>
          <w:color w:val="000000"/>
          <w:sz w:val="24"/>
          <w:szCs w:val="24"/>
        </w:rPr>
        <w:t>kapitāla daļu atsavināšanas īstenošana</w:t>
      </w:r>
      <w:r w:rsidRPr="006202E5">
        <w:rPr>
          <w:rFonts w:ascii="Times New Roman" w:hAnsi="Times New Roman" w:cs="Times New Roman"/>
          <w:color w:val="000000"/>
          <w:sz w:val="24"/>
          <w:szCs w:val="24"/>
        </w:rPr>
        <w:t>.</w:t>
      </w:r>
    </w:p>
    <w:p w:rsidR="009F77DC" w:rsidRPr="009F77DC" w:rsidRDefault="009F77DC" w:rsidP="009F77DC">
      <w:pPr>
        <w:spacing w:after="0" w:line="240" w:lineRule="auto"/>
        <w:ind w:firstLine="720"/>
        <w:jc w:val="both"/>
      </w:pPr>
      <w:r w:rsidRPr="009F77DC">
        <w:rPr>
          <w:rFonts w:ascii="Times New Roman" w:hAnsi="Times New Roman"/>
          <w:sz w:val="24"/>
          <w:szCs w:val="24"/>
        </w:rPr>
        <w:t xml:space="preserve">2013.gada 1.janvārī spēkā stājās grozījumi </w:t>
      </w:r>
      <w:r w:rsidR="00B167ED">
        <w:rPr>
          <w:rFonts w:ascii="Times New Roman" w:hAnsi="Times New Roman"/>
          <w:sz w:val="24"/>
          <w:szCs w:val="24"/>
        </w:rPr>
        <w:t>"</w:t>
      </w:r>
      <w:r w:rsidRPr="009F77DC">
        <w:rPr>
          <w:rFonts w:ascii="Times New Roman" w:hAnsi="Times New Roman"/>
          <w:sz w:val="24"/>
          <w:szCs w:val="24"/>
        </w:rPr>
        <w:t>Par valsts un pašvaldību finanšu līdzekļu un mantas izšķērdēšanas novēršanu</w:t>
      </w:r>
      <w:r w:rsidR="00B167ED">
        <w:rPr>
          <w:rFonts w:ascii="Times New Roman" w:hAnsi="Times New Roman"/>
          <w:sz w:val="24"/>
          <w:szCs w:val="24"/>
        </w:rPr>
        <w:t>"</w:t>
      </w:r>
      <w:r w:rsidRPr="009F77DC">
        <w:rPr>
          <w:rFonts w:ascii="Times New Roman" w:hAnsi="Times New Roman"/>
          <w:sz w:val="24"/>
          <w:szCs w:val="24"/>
        </w:rPr>
        <w:t xml:space="preserve">, kuri paplašinās sabiedrības iespējas sekot līdzi valsts un pašvaldību kapitālsabiedrību saimnieciskajiem darījumiem. </w:t>
      </w:r>
      <w:r w:rsidRPr="009F77DC">
        <w:rPr>
          <w:rFonts w:ascii="Times New Roman" w:hAnsi="Times New Roman"/>
          <w:sz w:val="24"/>
          <w:szCs w:val="24"/>
        </w:rPr>
        <w:lastRenderedPageBreak/>
        <w:t xml:space="preserve">Kapitālsabiedrībām, ja tās savas darbības nodrošināšanai nomā nekustamo īpašumu vai iznomā savu nekustamo īpašumu citām personām, noteikts pienākums izstrādāt ar kapitāla daļu turētāju saskaņotu kapitālsabiedrības nekustamo īpašumu nomāšanas un iznomāšanas kārtību. Tāpat valsts un pašvaldību kapitālsabiedrībām ir jānodrošina, lai informācija par nomāto un nomāt paredzēto nekustamo īpašumu būtu publiski pieejama, publicējot valsts akciju sabiedrības </w:t>
      </w:r>
      <w:r w:rsidR="00B167ED">
        <w:rPr>
          <w:rFonts w:ascii="Times New Roman" w:hAnsi="Times New Roman"/>
          <w:sz w:val="24"/>
          <w:szCs w:val="24"/>
        </w:rPr>
        <w:t>"</w:t>
      </w:r>
      <w:r w:rsidRPr="009F77DC">
        <w:rPr>
          <w:rFonts w:ascii="Times New Roman" w:hAnsi="Times New Roman"/>
          <w:sz w:val="24"/>
          <w:szCs w:val="24"/>
        </w:rPr>
        <w:t>Valsts nekustamie īpašumi</w:t>
      </w:r>
      <w:r w:rsidR="00B167ED">
        <w:rPr>
          <w:rFonts w:ascii="Times New Roman" w:hAnsi="Times New Roman"/>
          <w:sz w:val="24"/>
          <w:szCs w:val="24"/>
        </w:rPr>
        <w:t>"</w:t>
      </w:r>
      <w:r w:rsidRPr="009F77DC">
        <w:rPr>
          <w:rFonts w:ascii="Times New Roman" w:hAnsi="Times New Roman"/>
          <w:sz w:val="24"/>
          <w:szCs w:val="24"/>
        </w:rPr>
        <w:t xml:space="preserve"> mājaslapā internetā informāciju par nomas līguma slēgšanu.</w:t>
      </w:r>
    </w:p>
    <w:p w:rsidR="009E07C5" w:rsidRPr="00583FA8" w:rsidRDefault="009E07C5" w:rsidP="009E07C5">
      <w:pPr>
        <w:pStyle w:val="NoSpacing"/>
        <w:spacing w:line="240" w:lineRule="auto"/>
        <w:ind w:firstLine="720"/>
        <w:jc w:val="both"/>
        <w:rPr>
          <w:rFonts w:ascii="Times New Roman" w:hAnsi="Times New Roman"/>
          <w:sz w:val="24"/>
          <w:szCs w:val="24"/>
        </w:rPr>
      </w:pPr>
      <w:r w:rsidRPr="006202E5">
        <w:rPr>
          <w:rFonts w:ascii="Times New Roman" w:hAnsi="Times New Roman"/>
          <w:sz w:val="24"/>
          <w:szCs w:val="24"/>
        </w:rPr>
        <w:t>Labākai valsts kapitālsabiedrību (slimnīcu) finanšu disciplīnas ievērošanai visām kapitālsabiedrībām uzdo</w:t>
      </w:r>
      <w:r w:rsidR="00997041">
        <w:rPr>
          <w:rFonts w:ascii="Times New Roman" w:hAnsi="Times New Roman"/>
          <w:sz w:val="24"/>
          <w:szCs w:val="24"/>
        </w:rPr>
        <w:t>ts izveidot bezdeficīta budžetu</w:t>
      </w:r>
      <w:r w:rsidRPr="006202E5">
        <w:rPr>
          <w:rFonts w:ascii="Times New Roman" w:hAnsi="Times New Roman"/>
          <w:sz w:val="24"/>
          <w:szCs w:val="24"/>
        </w:rPr>
        <w:t xml:space="preserve"> (divām lielākajām slimnīcām divu gadu laikā), vienlaikus turpinot vienotas budžeta plānošanas, finanšu pārskatu un budžeta izpildes atskaišu iesniegšanas kārtības pilnveidošanu un stingru plānoto investīciju un lielo iepirkumu (virs 100 tūkst. </w:t>
      </w:r>
      <w:r w:rsidR="00997041">
        <w:rPr>
          <w:rFonts w:ascii="Times New Roman" w:hAnsi="Times New Roman"/>
          <w:sz w:val="24"/>
          <w:szCs w:val="24"/>
        </w:rPr>
        <w:t>latu)</w:t>
      </w:r>
      <w:r w:rsidRPr="006202E5">
        <w:rPr>
          <w:rFonts w:ascii="Times New Roman" w:hAnsi="Times New Roman"/>
          <w:sz w:val="24"/>
          <w:szCs w:val="24"/>
        </w:rPr>
        <w:t xml:space="preserve"> lietderības izvērtēšanu VM.</w:t>
      </w:r>
    </w:p>
    <w:p w:rsidR="00583FA8" w:rsidRDefault="00583FA8" w:rsidP="00583FA8">
      <w:pPr>
        <w:pStyle w:val="Heading2"/>
        <w:spacing w:before="0" w:line="240" w:lineRule="auto"/>
        <w:ind w:left="426"/>
      </w:pPr>
    </w:p>
    <w:p w:rsidR="00CA63EF" w:rsidRPr="00583FA8" w:rsidRDefault="00CA63EF" w:rsidP="00547E94">
      <w:pPr>
        <w:pStyle w:val="Heading2"/>
        <w:numPr>
          <w:ilvl w:val="0"/>
          <w:numId w:val="41"/>
        </w:numPr>
        <w:spacing w:before="0" w:line="240" w:lineRule="auto"/>
        <w:ind w:left="426" w:hanging="426"/>
      </w:pPr>
      <w:bookmarkStart w:id="166" w:name="_Toc348948426"/>
      <w:r w:rsidRPr="00583FA8">
        <w:t>Gatavošanās Latvijas prezidentūrai ES Padomē</w:t>
      </w:r>
      <w:bookmarkEnd w:id="166"/>
    </w:p>
    <w:p w:rsidR="00CA63EF" w:rsidRPr="006202E5" w:rsidRDefault="00583FA8" w:rsidP="00583FA8">
      <w:pPr>
        <w:tabs>
          <w:tab w:val="left" w:pos="101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A63EF" w:rsidRPr="006202E5" w:rsidRDefault="00CA63EF" w:rsidP="00583FA8">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Latvijas prezidentūras Eiropa</w:t>
      </w:r>
      <w:r w:rsidR="00997041">
        <w:rPr>
          <w:rFonts w:ascii="Times New Roman" w:hAnsi="Times New Roman" w:cs="Times New Roman"/>
          <w:sz w:val="24"/>
          <w:szCs w:val="24"/>
        </w:rPr>
        <w:t>s Savienības Padomē sekretariāta</w:t>
      </w:r>
      <w:r w:rsidRPr="006202E5">
        <w:rPr>
          <w:rFonts w:ascii="Times New Roman" w:hAnsi="Times New Roman" w:cs="Times New Roman"/>
          <w:sz w:val="24"/>
          <w:szCs w:val="24"/>
        </w:rPr>
        <w:t xml:space="preserve"> uzdevums ir koordinēt Latvijas prezidentūras satura sagatavošanu, t.i., sešu mēnešu prioritātes un darba programmu un Trio (Itālija, Latvija, Luksemburga) darba programmu, kā arī sagatavot organizatoriski administratīvos priekšnoteikumus sekmīgai pasākumu norisei Latvijā. Gatavošanās prezidentūrai noris atbilstoši rīcības plānam </w:t>
      </w:r>
      <w:r w:rsidR="00B167ED">
        <w:rPr>
          <w:rFonts w:ascii="Times New Roman" w:hAnsi="Times New Roman" w:cs="Times New Roman"/>
          <w:sz w:val="24"/>
          <w:szCs w:val="24"/>
        </w:rPr>
        <w:t>"</w:t>
      </w:r>
      <w:r w:rsidRPr="006202E5">
        <w:rPr>
          <w:rFonts w:ascii="Times New Roman" w:hAnsi="Times New Roman" w:cs="Times New Roman"/>
          <w:sz w:val="24"/>
          <w:szCs w:val="24"/>
        </w:rPr>
        <w:t>Gatavošanās Latvijas prezidentūrai Eiropas Savienības Padomē 2015.gada pirmajā pusē</w:t>
      </w:r>
      <w:r w:rsidR="00B167ED">
        <w:rPr>
          <w:rFonts w:ascii="Times New Roman" w:hAnsi="Times New Roman" w:cs="Times New Roman"/>
          <w:sz w:val="24"/>
          <w:szCs w:val="24"/>
        </w:rPr>
        <w:t>"</w:t>
      </w:r>
      <w:r w:rsidRPr="006202E5">
        <w:rPr>
          <w:rFonts w:ascii="Times New Roman" w:hAnsi="Times New Roman" w:cs="Times New Roman"/>
          <w:sz w:val="24"/>
          <w:szCs w:val="24"/>
        </w:rPr>
        <w:t xml:space="preserve">. </w:t>
      </w:r>
    </w:p>
    <w:p w:rsidR="006202E5" w:rsidRPr="006202E5" w:rsidRDefault="00CA63EF" w:rsidP="00CA63EF">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2012.gadā sekretariāts sadarbībā ar nozaru ministrijām ir uzsācis darbu, lai identificētu Latvijas prezidentūras laikā Latvijā organizējamos pasākumus. Potenciālie prioritārie darba virzieni ir apspriesti ar Trio partneriem, un secināts, ka līdzīgos virzienos strādāt gatavojas arī Itālija un Luksemburga. </w:t>
      </w:r>
    </w:p>
    <w:p w:rsidR="00CA63EF" w:rsidRPr="006202E5" w:rsidRDefault="00CA63EF" w:rsidP="006202E5">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Būtiskākie izaicinājumi prezidentūras sagatavošanā ir</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cilvēkresursu sagatavošana;</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pārdomātas un efektīvas finanšu resursu sistēmas izveide;</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Latvijas Nacionālās bibliotēkas kā prezidentūras pasākumu galvenās norises vietas sagatavošana;</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efektīvas lēmumu pieņemšanas un komunikācijas sistēmas izveide, lai nodrošinātu ātru un precīzu darbu visos līmeņos prezidentūras sešu mēnešu laikā;</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sagatavošanās perioda administratīvo procesu caurs</w:t>
      </w:r>
      <w:r w:rsidR="00997041">
        <w:rPr>
          <w:rFonts w:ascii="Times New Roman" w:hAnsi="Times New Roman" w:cs="Times New Roman"/>
          <w:sz w:val="24"/>
          <w:szCs w:val="24"/>
        </w:rPr>
        <w:t>katāmības</w:t>
      </w:r>
      <w:r w:rsidRPr="006202E5">
        <w:rPr>
          <w:rFonts w:ascii="Times New Roman" w:hAnsi="Times New Roman" w:cs="Times New Roman"/>
          <w:sz w:val="24"/>
          <w:szCs w:val="24"/>
        </w:rPr>
        <w:t xml:space="preserve"> nodrošināšana, kas sekmētu sabiedrības uzticēšanos, atbalstu un dalību Latvijas prezidentūrā ES Padomē 2015.gadā un tās sagatavošanas procesā.</w:t>
      </w:r>
    </w:p>
    <w:p w:rsidR="00CA63EF" w:rsidRPr="006202E5" w:rsidRDefault="00CA63EF" w:rsidP="00CA63EF">
      <w:pPr>
        <w:pStyle w:val="Default"/>
        <w:ind w:firstLine="720"/>
        <w:jc w:val="both"/>
        <w:rPr>
          <w:rFonts w:ascii="Times New Roman" w:hAnsi="Times New Roman"/>
          <w:color w:val="FF0000"/>
        </w:rPr>
      </w:pPr>
      <w:r w:rsidRPr="006202E5">
        <w:rPr>
          <w:rFonts w:ascii="Times New Roman" w:hAnsi="Times New Roman"/>
          <w:color w:val="auto"/>
        </w:rPr>
        <w:t xml:space="preserve">MK apstiprinātas vadlīnijas </w:t>
      </w:r>
      <w:r w:rsidR="00B167ED">
        <w:rPr>
          <w:rFonts w:ascii="Times New Roman" w:hAnsi="Times New Roman"/>
          <w:color w:val="auto"/>
        </w:rPr>
        <w:t>"</w:t>
      </w:r>
      <w:r w:rsidRPr="006202E5">
        <w:rPr>
          <w:rFonts w:ascii="Times New Roman" w:hAnsi="Times New Roman"/>
          <w:color w:val="auto"/>
        </w:rPr>
        <w:t>Par personāla piesaisti un noturēšanu Latvijas prezidentūras Eiropas Savienības Padomē nodrošināšanai</w:t>
      </w:r>
      <w:r w:rsidR="00B167ED">
        <w:rPr>
          <w:rFonts w:ascii="Times New Roman" w:hAnsi="Times New Roman"/>
          <w:color w:val="auto"/>
        </w:rPr>
        <w:t>"</w:t>
      </w:r>
      <w:r w:rsidRPr="006202E5">
        <w:rPr>
          <w:rFonts w:ascii="Times New Roman" w:hAnsi="Times New Roman"/>
          <w:color w:val="auto"/>
        </w:rPr>
        <w:t xml:space="preserve">, </w:t>
      </w:r>
      <w:r w:rsidR="006202E5" w:rsidRPr="006202E5">
        <w:rPr>
          <w:rFonts w:ascii="Times New Roman" w:hAnsi="Times New Roman"/>
          <w:color w:val="auto"/>
        </w:rPr>
        <w:t>VK</w:t>
      </w:r>
      <w:r w:rsidRPr="006202E5">
        <w:rPr>
          <w:rFonts w:ascii="Times New Roman" w:hAnsi="Times New Roman"/>
          <w:color w:val="auto"/>
        </w:rPr>
        <w:t xml:space="preserve"> īstenotā ESF projekta </w:t>
      </w:r>
      <w:r w:rsidR="00B167ED">
        <w:rPr>
          <w:rFonts w:ascii="Times New Roman" w:hAnsi="Times New Roman"/>
          <w:color w:val="auto"/>
        </w:rPr>
        <w:t>"</w:t>
      </w:r>
      <w:r w:rsidRPr="006202E5">
        <w:rPr>
          <w:rFonts w:ascii="Times New Roman" w:hAnsi="Times New Roman"/>
          <w:color w:val="auto"/>
        </w:rPr>
        <w:t>Atbalsts strukturālo reformu ieviešanai valsts pārvaldē</w:t>
      </w:r>
      <w:r w:rsidR="00B167ED">
        <w:rPr>
          <w:rFonts w:ascii="Times New Roman" w:hAnsi="Times New Roman"/>
          <w:color w:val="auto"/>
        </w:rPr>
        <w:t>"</w:t>
      </w:r>
      <w:r w:rsidRPr="006202E5">
        <w:rPr>
          <w:rFonts w:ascii="Times New Roman" w:hAnsi="Times New Roman"/>
          <w:color w:val="auto"/>
        </w:rPr>
        <w:t xml:space="preserve"> ietvaros 2012.gada 1.pusgadā veikta 556 valsts pārvaldē nodarbināto personu angļu valodas zināšanu pārbaude un sagatavots un izsludināts iepirkums </w:t>
      </w:r>
      <w:r w:rsidR="00B167ED">
        <w:rPr>
          <w:rFonts w:ascii="Times New Roman" w:hAnsi="Times New Roman"/>
          <w:color w:val="auto"/>
        </w:rPr>
        <w:t>"</w:t>
      </w:r>
      <w:r w:rsidRPr="006202E5">
        <w:rPr>
          <w:rFonts w:ascii="Times New Roman" w:hAnsi="Times New Roman"/>
          <w:color w:val="auto"/>
        </w:rPr>
        <w:t>Angļu valodas mācības Latvijas prezidentūras Eiropas Savienības Padomē nodrošināšanā iesaistītajiem valsts pārvaldē nodarbinātajiem</w:t>
      </w:r>
      <w:r w:rsidR="00B167ED">
        <w:rPr>
          <w:rFonts w:ascii="Times New Roman" w:hAnsi="Times New Roman"/>
          <w:color w:val="auto"/>
        </w:rPr>
        <w:t>"</w:t>
      </w:r>
      <w:r w:rsidRPr="006202E5">
        <w:rPr>
          <w:rFonts w:ascii="Times New Roman" w:hAnsi="Times New Roman"/>
          <w:color w:val="auto"/>
        </w:rPr>
        <w:t xml:space="preserve">, pēc kura pabeigšanas tiks uzsāktas angļu valodas mācības prezidentūras nodrošināšanai nepieciešamajam pamatpersonālam – darba grupu vadītājiem, to vietniekiem un ekspertiem. </w:t>
      </w:r>
      <w:r w:rsidR="000D0D97" w:rsidRPr="001126E7">
        <w:rPr>
          <w:rFonts w:ascii="Times New Roman" w:hAnsi="Times New Roman"/>
          <w:color w:val="auto"/>
        </w:rPr>
        <w:t xml:space="preserve">Papildus atbalstot Latvijas prezidentūras ES Padomē norisi, ESF projekta </w:t>
      </w:r>
      <w:r w:rsidR="00B167ED">
        <w:rPr>
          <w:rFonts w:ascii="Times New Roman" w:hAnsi="Times New Roman"/>
          <w:color w:val="auto"/>
        </w:rPr>
        <w:t>"</w:t>
      </w:r>
      <w:r w:rsidR="000D0D97" w:rsidRPr="001126E7">
        <w:rPr>
          <w:rFonts w:ascii="Times New Roman" w:hAnsi="Times New Roman"/>
          <w:color w:val="auto"/>
        </w:rPr>
        <w:t>Atbalsts strukturālo reformu ieviešanai val</w:t>
      </w:r>
      <w:r w:rsidR="000D0D97">
        <w:rPr>
          <w:rFonts w:ascii="Times New Roman" w:hAnsi="Times New Roman"/>
          <w:color w:val="auto"/>
        </w:rPr>
        <w:t>sts pārvaldē</w:t>
      </w:r>
      <w:r w:rsidR="00B167ED">
        <w:rPr>
          <w:rFonts w:ascii="Times New Roman" w:hAnsi="Times New Roman"/>
          <w:color w:val="auto"/>
        </w:rPr>
        <w:t>"</w:t>
      </w:r>
      <w:r w:rsidR="000D0D97">
        <w:rPr>
          <w:rFonts w:ascii="Times New Roman" w:hAnsi="Times New Roman"/>
          <w:color w:val="auto"/>
        </w:rPr>
        <w:t xml:space="preserve"> ietvaros pabeigts </w:t>
      </w:r>
      <w:r w:rsidR="00997041">
        <w:rPr>
          <w:rFonts w:ascii="Times New Roman" w:hAnsi="Times New Roman"/>
          <w:color w:val="auto"/>
        </w:rPr>
        <w:t>pētījums</w:t>
      </w:r>
      <w:r w:rsidR="000D0D97" w:rsidRPr="001126E7">
        <w:rPr>
          <w:rFonts w:ascii="Times New Roman" w:hAnsi="Times New Roman"/>
          <w:color w:val="auto"/>
        </w:rPr>
        <w:t xml:space="preserve"> </w:t>
      </w:r>
      <w:r w:rsidR="00B167ED">
        <w:rPr>
          <w:rFonts w:ascii="Times New Roman" w:hAnsi="Times New Roman"/>
          <w:color w:val="auto"/>
        </w:rPr>
        <w:t>"</w:t>
      </w:r>
      <w:r w:rsidR="000D0D97" w:rsidRPr="001126E7">
        <w:rPr>
          <w:rFonts w:ascii="Times New Roman" w:hAnsi="Times New Roman"/>
          <w:color w:val="auto"/>
        </w:rPr>
        <w:t>Atbalsts Prezidentūras darba programmas izstrādei</w:t>
      </w:r>
      <w:r w:rsidR="00B167ED">
        <w:rPr>
          <w:rFonts w:ascii="Times New Roman" w:hAnsi="Times New Roman"/>
          <w:color w:val="auto"/>
        </w:rPr>
        <w:t>"</w:t>
      </w:r>
      <w:r w:rsidR="000D0D97">
        <w:rPr>
          <w:rFonts w:ascii="Times New Roman" w:hAnsi="Times New Roman"/>
          <w:color w:val="auto"/>
        </w:rPr>
        <w:t xml:space="preserve">, pētījuma ietvaros organizētas plašas sabiedriskās diskusijas </w:t>
      </w:r>
      <w:r w:rsidR="000D0D97" w:rsidRPr="001126E7">
        <w:rPr>
          <w:rFonts w:ascii="Times New Roman" w:hAnsi="Times New Roman"/>
          <w:color w:val="auto"/>
        </w:rPr>
        <w:t>par iespējamajām Latvijas prioritātēm ES Padomes prezidentūras laik</w:t>
      </w:r>
      <w:r w:rsidR="000D0D97">
        <w:rPr>
          <w:rFonts w:ascii="Times New Roman" w:hAnsi="Times New Roman"/>
          <w:color w:val="auto"/>
        </w:rPr>
        <w:t>ā.</w:t>
      </w:r>
    </w:p>
    <w:p w:rsidR="006202E5" w:rsidRPr="006202E5" w:rsidRDefault="006202E5" w:rsidP="00992492">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lastRenderedPageBreak/>
        <w:t>VAS</w:t>
      </w:r>
      <w:r w:rsidR="00CA63EF" w:rsidRPr="006202E5">
        <w:rPr>
          <w:rFonts w:ascii="Times New Roman" w:hAnsi="Times New Roman" w:cs="Times New Roman"/>
          <w:sz w:val="24"/>
          <w:szCs w:val="24"/>
        </w:rPr>
        <w:t xml:space="preserve"> sadarbībā ar Latvijas prezidentūras Eiropas Savienības Padomē sekretariātu 2012.gada 2.pusgadā nozaru ministrijas iepazīs</w:t>
      </w:r>
      <w:r w:rsidR="00997041">
        <w:rPr>
          <w:rFonts w:ascii="Times New Roman" w:hAnsi="Times New Roman" w:cs="Times New Roman"/>
          <w:sz w:val="24"/>
          <w:szCs w:val="24"/>
        </w:rPr>
        <w:t>tināja ar tiem uzdevumiem, kuri</w:t>
      </w:r>
      <w:r w:rsidR="00CA63EF" w:rsidRPr="006202E5">
        <w:rPr>
          <w:rFonts w:ascii="Times New Roman" w:hAnsi="Times New Roman" w:cs="Times New Roman"/>
          <w:sz w:val="24"/>
          <w:szCs w:val="24"/>
        </w:rPr>
        <w:t xml:space="preserve"> Latvijai būs jāuzņemas kā prezidējošai valstij, tika ieskicēts gaidāmo pasākumu mērogs un apjoms, kā arī prezentēti centralizēto mācību plāni, lai sagatavotu iesaistītos cilvēkus prezidentūras funkciju veikšanai. Atbilstoši papildus piešķirtajiem valsts budžeta līdzekļiem ES prezidentūras mācību uzsākšanai tika noorganizēti 8 starptautiski pieredzes apmaiņas semināri ar agrāk prezidējušo valstu prezidentūras organizēšanā un norisē iesaistītajiem ārvalstu ekspertiem (iepazīstoties ar Lietuvas, Grieķijas, Zviedrijas, Polijas pieredzi, kā arī specifiskiem jautājumiem, piemēram, sarunu </w:t>
      </w:r>
      <w:r w:rsidR="000B3A5C">
        <w:rPr>
          <w:rFonts w:ascii="Times New Roman" w:hAnsi="Times New Roman" w:cs="Times New Roman"/>
          <w:sz w:val="24"/>
          <w:szCs w:val="24"/>
        </w:rPr>
        <w:t>risināšanu</w:t>
      </w:r>
      <w:r w:rsidR="00CA63EF" w:rsidRPr="006202E5">
        <w:rPr>
          <w:rFonts w:ascii="Times New Roman" w:hAnsi="Times New Roman" w:cs="Times New Roman"/>
          <w:sz w:val="24"/>
          <w:szCs w:val="24"/>
        </w:rPr>
        <w:t>, komunikācijas stratēģijām, programmu veidošanu) un pilotapmācības piecām Latvijas prezidentūras ES Padomē organizēšanai nozīmīgām mērķa grupām</w:t>
      </w:r>
      <w:r w:rsidRPr="006202E5">
        <w:rPr>
          <w:rFonts w:ascii="Times New Roman" w:hAnsi="Times New Roman" w:cs="Times New Roman"/>
          <w:sz w:val="24"/>
          <w:szCs w:val="24"/>
        </w:rPr>
        <w:t>.</w:t>
      </w:r>
      <w:r w:rsidR="000D0D97">
        <w:rPr>
          <w:rFonts w:ascii="Times New Roman" w:hAnsi="Times New Roman" w:cs="Times New Roman"/>
          <w:sz w:val="24"/>
          <w:szCs w:val="24"/>
        </w:rPr>
        <w:t xml:space="preserve"> </w:t>
      </w:r>
      <w:r w:rsidR="000D0D97" w:rsidRPr="001126E7">
        <w:rPr>
          <w:rFonts w:ascii="Times New Roman" w:hAnsi="Times New Roman"/>
          <w:sz w:val="24"/>
          <w:szCs w:val="24"/>
        </w:rPr>
        <w:t>Latvijas prezidentūras ES Padomē sekretariāta un Valsts administrācijas skolas darbiniekiem, ES prezidentūras koordinatoriem nozaru ministrijās, ministriju komunikācijas speciālistiem, ministriju personāldaļu vadītājiem un speciālistiem, ministriju uz darbu ārvalstīs rotējošajiem darbiniekiem</w:t>
      </w:r>
      <w:r w:rsidR="000D0D97">
        <w:rPr>
          <w:rFonts w:ascii="Times New Roman" w:hAnsi="Times New Roman" w:cs="Times New Roman"/>
          <w:sz w:val="24"/>
          <w:szCs w:val="24"/>
        </w:rPr>
        <w:t xml:space="preserve"> – </w:t>
      </w:r>
      <w:r w:rsidR="000D0D97" w:rsidRPr="001126E7">
        <w:rPr>
          <w:rFonts w:ascii="Times New Roman" w:hAnsi="Times New Roman"/>
          <w:sz w:val="24"/>
          <w:szCs w:val="24"/>
        </w:rPr>
        <w:t>kop</w:t>
      </w:r>
      <w:r w:rsidR="000D0D97">
        <w:rPr>
          <w:rFonts w:ascii="Times New Roman" w:hAnsi="Times New Roman"/>
          <w:sz w:val="24"/>
          <w:szCs w:val="24"/>
        </w:rPr>
        <w:t xml:space="preserve">ā </w:t>
      </w:r>
      <w:r w:rsidR="000D0D97" w:rsidRPr="001126E7">
        <w:rPr>
          <w:rFonts w:ascii="Times New Roman" w:hAnsi="Times New Roman"/>
          <w:sz w:val="24"/>
          <w:szCs w:val="24"/>
        </w:rPr>
        <w:t>visām grupā</w:t>
      </w:r>
      <w:r w:rsidR="000D0D97">
        <w:rPr>
          <w:rFonts w:ascii="Times New Roman" w:hAnsi="Times New Roman"/>
          <w:sz w:val="24"/>
          <w:szCs w:val="24"/>
        </w:rPr>
        <w:t>m</w:t>
      </w:r>
      <w:r w:rsidR="000D0D97" w:rsidRPr="001126E7">
        <w:rPr>
          <w:rFonts w:ascii="Times New Roman" w:hAnsi="Times New Roman"/>
          <w:sz w:val="24"/>
          <w:szCs w:val="24"/>
        </w:rPr>
        <w:t xml:space="preserve"> noorganizētas 16 apmācības</w:t>
      </w:r>
      <w:r w:rsidR="000D0D97" w:rsidRPr="006202E5">
        <w:rPr>
          <w:rFonts w:ascii="Times New Roman" w:hAnsi="Times New Roman" w:cs="Times New Roman"/>
          <w:sz w:val="24"/>
          <w:szCs w:val="24"/>
        </w:rPr>
        <w:t xml:space="preserve">. </w:t>
      </w:r>
    </w:p>
    <w:p w:rsidR="00CA63EF" w:rsidRPr="006202E5" w:rsidRDefault="006202E5" w:rsidP="00CA63EF">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VAS</w:t>
      </w:r>
      <w:r w:rsidR="00CA63EF" w:rsidRPr="006202E5">
        <w:rPr>
          <w:rFonts w:ascii="Times New Roman" w:hAnsi="Times New Roman" w:cs="Times New Roman"/>
          <w:sz w:val="24"/>
          <w:szCs w:val="24"/>
        </w:rPr>
        <w:t xml:space="preserve"> sadarbībā ar Francijas Kultūras institūtu Latvijā kopš 2003.gada organizē valsts pārvaldē strādājošo franču valodas apmācības, kurās saskaņā ar Memorandu par daudzgadīgu franču valodas apmācības programmu Latvijas valsts pārvaldē strādājošajiem katru gadu 300 valsts iestāžu darbiniekiem organizē divus franču valodas mācību ciklus, kā arī vasaras profesionālos kursus trīs grupām, tikšanās ar franciski runājošiem diplomātiem, mācību seminārus ar starptautiskas nozīmes lektoriem, kā arī zināšanu pārbaudes un līmeņa noteikšanas testus. 2012.gadā franču valodas apmācība valsts pārvaldē strādājošajiem tika iekļauta Latvijas prezidentūras ES Padomē sagatavošanas mācību programmā. Regulārajās pavasara un rudens mācībās darbs tiek organizēts 18 grupās </w:t>
      </w:r>
      <w:r w:rsidR="000B3A5C">
        <w:rPr>
          <w:rFonts w:ascii="Times New Roman" w:hAnsi="Times New Roman" w:cs="Times New Roman"/>
          <w:sz w:val="24"/>
          <w:szCs w:val="24"/>
        </w:rPr>
        <w:t>10</w:t>
      </w:r>
      <w:r w:rsidR="00CA63EF" w:rsidRPr="006202E5">
        <w:rPr>
          <w:rFonts w:ascii="Times New Roman" w:hAnsi="Times New Roman" w:cs="Times New Roman"/>
          <w:sz w:val="24"/>
          <w:szCs w:val="24"/>
        </w:rPr>
        <w:t xml:space="preserve"> zināšanu un prasmju līmeņos. 2012.gada rudens semestrī franču valodas kursos tika uzņemti 315 dalībnieki no </w:t>
      </w:r>
      <w:r w:rsidR="000B3A5C">
        <w:rPr>
          <w:rFonts w:ascii="Times New Roman" w:hAnsi="Times New Roman" w:cs="Times New Roman"/>
          <w:sz w:val="24"/>
          <w:szCs w:val="24"/>
        </w:rPr>
        <w:t>28</w:t>
      </w:r>
      <w:r w:rsidR="00CA63EF" w:rsidRPr="006202E5">
        <w:rPr>
          <w:rFonts w:ascii="Times New Roman" w:hAnsi="Times New Roman" w:cs="Times New Roman"/>
          <w:sz w:val="24"/>
          <w:szCs w:val="24"/>
        </w:rPr>
        <w:t xml:space="preserve"> valsts iestādēm, dalībnieku atlase franču valodas kursiem notiek, ņemot vērā izvirzīto kandidātu lomu starptautiskā institucionālā sadarbībā un gaidāmās Latvijas ES Padomes prezidentūras sagatavošanā, kas paredzēta 2015.gada pirmajā pusgadā. Eksāmenu par apgūto mācību vielu 2012.gada decembrī kārtoja 230 dalībnieki, no kuriem attiecīgā līmeņa eksāmenu, pārvarot 60 punktu robežu, nokārtoja 191 dalībnieks.</w:t>
      </w:r>
    </w:p>
    <w:p w:rsidR="00CA63EF" w:rsidRPr="006202E5" w:rsidRDefault="00CA63EF" w:rsidP="006202E5">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 xml:space="preserve">Saskaņā ar rīcības plānu </w:t>
      </w:r>
      <w:r w:rsidR="00B167ED">
        <w:rPr>
          <w:rFonts w:ascii="Times New Roman" w:hAnsi="Times New Roman" w:cs="Times New Roman"/>
          <w:sz w:val="24"/>
          <w:szCs w:val="24"/>
        </w:rPr>
        <w:t>"</w:t>
      </w:r>
      <w:r w:rsidRPr="006202E5">
        <w:rPr>
          <w:rFonts w:ascii="Times New Roman" w:hAnsi="Times New Roman" w:cs="Times New Roman"/>
          <w:sz w:val="24"/>
          <w:szCs w:val="24"/>
        </w:rPr>
        <w:t>Gatavošanās Latvijas prezidentūrai Eiropas Savienības Padomē 2015.gada pirmajā pusē</w:t>
      </w:r>
      <w:r w:rsidR="00B167ED">
        <w:rPr>
          <w:rFonts w:ascii="Times New Roman" w:hAnsi="Times New Roman" w:cs="Times New Roman"/>
          <w:sz w:val="24"/>
          <w:szCs w:val="24"/>
        </w:rPr>
        <w:t>"</w:t>
      </w:r>
      <w:r w:rsidRPr="006202E5">
        <w:rPr>
          <w:rFonts w:ascii="Times New Roman" w:hAnsi="Times New Roman" w:cs="Times New Roman"/>
          <w:sz w:val="24"/>
          <w:szCs w:val="24"/>
        </w:rPr>
        <w:t xml:space="preserve"> būtiskākie 2013.gada uzdevu</w:t>
      </w:r>
      <w:r w:rsidR="006202E5" w:rsidRPr="006202E5">
        <w:rPr>
          <w:rFonts w:ascii="Times New Roman" w:hAnsi="Times New Roman" w:cs="Times New Roman"/>
          <w:sz w:val="24"/>
          <w:szCs w:val="24"/>
        </w:rPr>
        <w:t xml:space="preserve">mi būs saistīti ar </w:t>
      </w:r>
      <w:r w:rsidRPr="006202E5">
        <w:rPr>
          <w:rFonts w:ascii="Times New Roman" w:hAnsi="Times New Roman" w:cs="Times New Roman"/>
          <w:sz w:val="24"/>
          <w:szCs w:val="24"/>
        </w:rPr>
        <w:t>prezidentūras budžeta sagatavošanu 2014.gadam;</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 xml:space="preserve">pamatprincipu izstrādi lēmumu pieņemšanas mehānismam prezidentūras sagatavošanas un prezidentūras laikā; </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personālresursu apzināšanu un apmācību;</w:t>
      </w:r>
      <w:r w:rsidR="006202E5" w:rsidRPr="006202E5">
        <w:rPr>
          <w:rFonts w:ascii="Times New Roman" w:hAnsi="Times New Roman" w:cs="Times New Roman"/>
          <w:sz w:val="24"/>
          <w:szCs w:val="24"/>
        </w:rPr>
        <w:t xml:space="preserve"> </w:t>
      </w:r>
      <w:r w:rsidRPr="006202E5">
        <w:rPr>
          <w:rFonts w:ascii="Times New Roman" w:hAnsi="Times New Roman" w:cs="Times New Roman"/>
          <w:sz w:val="24"/>
          <w:szCs w:val="24"/>
        </w:rPr>
        <w:t xml:space="preserve">loģistikas jautājumu risināšanas pasākumiem </w:t>
      </w:r>
      <w:r w:rsidR="006202E5" w:rsidRPr="006202E5">
        <w:rPr>
          <w:rFonts w:ascii="Times New Roman" w:hAnsi="Times New Roman" w:cs="Times New Roman"/>
          <w:sz w:val="24"/>
          <w:szCs w:val="24"/>
        </w:rPr>
        <w:t xml:space="preserve">un </w:t>
      </w:r>
      <w:r w:rsidRPr="006202E5">
        <w:rPr>
          <w:rFonts w:ascii="Times New Roman" w:hAnsi="Times New Roman" w:cs="Times New Roman"/>
          <w:sz w:val="24"/>
          <w:szCs w:val="24"/>
        </w:rPr>
        <w:t xml:space="preserve">prezidentūras vizuālās identitātes </w:t>
      </w:r>
      <w:r w:rsidR="006202E5" w:rsidRPr="006202E5">
        <w:rPr>
          <w:rFonts w:ascii="Times New Roman" w:hAnsi="Times New Roman" w:cs="Times New Roman"/>
          <w:sz w:val="24"/>
          <w:szCs w:val="24"/>
        </w:rPr>
        <w:t xml:space="preserve">un citiem </w:t>
      </w:r>
      <w:r w:rsidRPr="006202E5">
        <w:rPr>
          <w:rFonts w:ascii="Times New Roman" w:hAnsi="Times New Roman" w:cs="Times New Roman"/>
          <w:sz w:val="24"/>
          <w:szCs w:val="24"/>
        </w:rPr>
        <w:t>jautājumiem</w:t>
      </w:r>
      <w:r w:rsidR="006202E5" w:rsidRPr="006202E5">
        <w:rPr>
          <w:rFonts w:ascii="Times New Roman" w:hAnsi="Times New Roman" w:cs="Times New Roman"/>
          <w:sz w:val="24"/>
          <w:szCs w:val="24"/>
        </w:rPr>
        <w:t xml:space="preserve">. </w:t>
      </w:r>
    </w:p>
    <w:p w:rsidR="00CA63EF" w:rsidRPr="006202E5" w:rsidRDefault="00CA63EF" w:rsidP="00583FA8">
      <w:pPr>
        <w:spacing w:after="0" w:line="240" w:lineRule="auto"/>
        <w:ind w:firstLine="426"/>
        <w:jc w:val="both"/>
        <w:rPr>
          <w:rFonts w:ascii="Times New Roman" w:hAnsi="Times New Roman" w:cs="Times New Roman"/>
          <w:sz w:val="24"/>
          <w:szCs w:val="24"/>
        </w:rPr>
      </w:pPr>
      <w:r w:rsidRPr="006202E5">
        <w:rPr>
          <w:rFonts w:ascii="Times New Roman" w:hAnsi="Times New Roman" w:cs="Times New Roman"/>
          <w:sz w:val="24"/>
          <w:szCs w:val="24"/>
        </w:rPr>
        <w:t>2013.gad</w:t>
      </w:r>
      <w:r w:rsidR="000B3A5C">
        <w:rPr>
          <w:rFonts w:ascii="Times New Roman" w:hAnsi="Times New Roman" w:cs="Times New Roman"/>
          <w:sz w:val="24"/>
          <w:szCs w:val="24"/>
        </w:rPr>
        <w:t>ā</w:t>
      </w:r>
      <w:r w:rsidRPr="006202E5">
        <w:rPr>
          <w:rFonts w:ascii="Times New Roman" w:hAnsi="Times New Roman" w:cs="Times New Roman"/>
          <w:sz w:val="24"/>
          <w:szCs w:val="24"/>
        </w:rPr>
        <w:t xml:space="preserve"> notiks arī darbs pie prezidentūrai nepieciešamās dokumentu aprites sistēmas izstrādes, jo līdz 2014.gada 1.jūlijam ir nepieciešams izstrādāt un ieviest valsts informācijas sistēmu darbam ar ES dokumentiem un dokumentiem “d</w:t>
      </w:r>
      <w:r w:rsidR="000B3A5C">
        <w:rPr>
          <w:rFonts w:ascii="Times New Roman" w:hAnsi="Times New Roman" w:cs="Times New Roman"/>
          <w:sz w:val="24"/>
          <w:szCs w:val="24"/>
        </w:rPr>
        <w:t>ienesta vajadzībām</w:t>
      </w:r>
      <w:r w:rsidR="00B167ED">
        <w:rPr>
          <w:rFonts w:ascii="Times New Roman" w:hAnsi="Times New Roman" w:cs="Times New Roman"/>
          <w:sz w:val="24"/>
          <w:szCs w:val="24"/>
        </w:rPr>
        <w:t>"</w:t>
      </w:r>
      <w:r w:rsidR="000B3A5C">
        <w:rPr>
          <w:rFonts w:ascii="Times New Roman" w:hAnsi="Times New Roman" w:cs="Times New Roman"/>
          <w:sz w:val="24"/>
          <w:szCs w:val="24"/>
        </w:rPr>
        <w:t>, tai skaitā</w:t>
      </w:r>
      <w:r w:rsidRPr="006202E5">
        <w:rPr>
          <w:rFonts w:ascii="Times New Roman" w:hAnsi="Times New Roman" w:cs="Times New Roman"/>
          <w:sz w:val="24"/>
          <w:szCs w:val="24"/>
        </w:rPr>
        <w:t xml:space="preserve"> sagatavot un akreditēt valsts pārvaldes iestāžu lokālo datortīklu infrastruktūru, sagatavot sistēmas darbināšanas centrālo infrastruktūru (datu centru un Vienoto datortīklu) un sagatavot tiesību aktu projektus, kas regulē sistēmas darbību.</w:t>
      </w:r>
    </w:p>
    <w:p w:rsidR="00583FA8" w:rsidRDefault="00583FA8" w:rsidP="00583FA8">
      <w:pPr>
        <w:pStyle w:val="Heading2"/>
        <w:spacing w:before="0" w:line="240" w:lineRule="auto"/>
      </w:pPr>
    </w:p>
    <w:p w:rsidR="00CA63EF" w:rsidRPr="00583FA8" w:rsidRDefault="00583FA8" w:rsidP="00583FA8">
      <w:pPr>
        <w:pStyle w:val="Heading2"/>
        <w:spacing w:before="0" w:line="240" w:lineRule="auto"/>
      </w:pPr>
      <w:bookmarkStart w:id="167" w:name="_Toc348948427"/>
      <w:r>
        <w:t xml:space="preserve">6. </w:t>
      </w:r>
      <w:r w:rsidR="00CA63EF" w:rsidRPr="00583FA8">
        <w:t>Valsts pārvaldes efektivitātes uzlabošana</w:t>
      </w:r>
      <w:bookmarkEnd w:id="167"/>
    </w:p>
    <w:p w:rsidR="00583FA8" w:rsidRDefault="00583FA8" w:rsidP="00583FA8">
      <w:pPr>
        <w:pStyle w:val="Heading3"/>
        <w:spacing w:before="0" w:line="240" w:lineRule="auto"/>
        <w:rPr>
          <w:szCs w:val="24"/>
        </w:rPr>
      </w:pPr>
    </w:p>
    <w:p w:rsidR="00CA63EF" w:rsidRPr="006202E5" w:rsidRDefault="00CA63EF" w:rsidP="00583FA8">
      <w:pPr>
        <w:pStyle w:val="Heading3"/>
        <w:spacing w:before="0" w:line="240" w:lineRule="auto"/>
        <w:rPr>
          <w:szCs w:val="24"/>
        </w:rPr>
      </w:pPr>
      <w:bookmarkStart w:id="168" w:name="_Toc348948428"/>
      <w:r w:rsidRPr="006202E5">
        <w:rPr>
          <w:szCs w:val="24"/>
        </w:rPr>
        <w:t>6.1. Informācijas aprites uzlabošana</w:t>
      </w:r>
      <w:bookmarkEnd w:id="168"/>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Iesniegumu likumā paredzēt</w:t>
      </w:r>
      <w:r w:rsidR="000B3A5C">
        <w:rPr>
          <w:rFonts w:ascii="Times New Roman" w:hAnsi="Times New Roman" w:cs="Times New Roman"/>
          <w:color w:val="auto"/>
          <w:sz w:val="24"/>
          <w:szCs w:val="24"/>
        </w:rPr>
        <w:t>a vienotā iesnieguma izskatīšana</w:t>
      </w:r>
      <w:r w:rsidRPr="006202E5">
        <w:rPr>
          <w:rFonts w:ascii="Times New Roman" w:hAnsi="Times New Roman" w:cs="Times New Roman"/>
          <w:color w:val="auto"/>
          <w:sz w:val="24"/>
          <w:szCs w:val="24"/>
        </w:rPr>
        <w:t>, ja tas normatīvajos aktos noteiktajā kārtībā ir parakstīts ar elektronisko parakstu, kā arī tad, ja iesniegumu iesniedz un personas identitāti pārbauda, izmantojot tiešsaistes formas, t.sk. bankas autentifikācija, kuras pieejamas Vienotajā valsts un pašvaldību pakalpojumu portālā (</w:t>
      </w:r>
      <w:hyperlink r:id="rId35">
        <w:r w:rsidRPr="006202E5">
          <w:rPr>
            <w:rFonts w:ascii="Times New Roman" w:hAnsi="Times New Roman" w:cs="Times New Roman"/>
            <w:color w:val="auto"/>
            <w:sz w:val="24"/>
            <w:szCs w:val="24"/>
            <w:u w:val="single"/>
          </w:rPr>
          <w:t>www.latvija.lv</w:t>
        </w:r>
      </w:hyperlink>
      <w:r w:rsidRPr="006202E5">
        <w:rPr>
          <w:rFonts w:ascii="Times New Roman" w:hAnsi="Times New Roman" w:cs="Times New Roman"/>
          <w:color w:val="auto"/>
          <w:sz w:val="24"/>
          <w:szCs w:val="24"/>
        </w:rPr>
        <w:t xml:space="preserve">). </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 xml:space="preserve">Saeimā arī pieņemti grozījumi likumā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Par tautas nobalsošanu un likumu ierosināšanu</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lai atļautu parakstu vākšanu arī elektroniski, izmantojot Vienoto valsts un pašvaldību pakalpojumu portālu (www.latvija.lv) vai citu tiešsaistes sistēmu, ja tiek nodrošināta parakstītāju identifikācija un fizisko personu datu aizsardzība.</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highlight w:val="white"/>
        </w:rPr>
        <w:t xml:space="preserve">Lai vadītu IKT infrastruktūras optimizācijas procesus, nodrošinot IKT infrastruktūras centralizāciju ministriju līmenī un noteiktu turpmāko IKT optimizācijas un attīstības politiku valsts pārvaldē, izstrādāta koncepcija </w:t>
      </w:r>
      <w:r w:rsidR="00B167ED">
        <w:rPr>
          <w:rFonts w:ascii="Times New Roman" w:hAnsi="Times New Roman" w:cs="Times New Roman"/>
          <w:color w:val="auto"/>
          <w:sz w:val="24"/>
          <w:szCs w:val="24"/>
          <w:highlight w:val="white"/>
        </w:rPr>
        <w:t>"</w:t>
      </w:r>
      <w:r w:rsidRPr="006202E5">
        <w:rPr>
          <w:rFonts w:ascii="Times New Roman" w:hAnsi="Times New Roman" w:cs="Times New Roman"/>
          <w:color w:val="auto"/>
          <w:sz w:val="24"/>
          <w:szCs w:val="24"/>
          <w:highlight w:val="white"/>
        </w:rPr>
        <w:t>Valsts IKT pārvaldības organizatoriskais modelis</w:t>
      </w:r>
      <w:r w:rsidR="00B167ED">
        <w:rPr>
          <w:rFonts w:ascii="Times New Roman" w:hAnsi="Times New Roman" w:cs="Times New Roman"/>
          <w:color w:val="auto"/>
          <w:sz w:val="24"/>
          <w:szCs w:val="24"/>
          <w:highlight w:val="white"/>
        </w:rPr>
        <w:t>"</w:t>
      </w:r>
      <w:r w:rsidRPr="006202E5">
        <w:rPr>
          <w:rFonts w:ascii="Times New Roman" w:hAnsi="Times New Roman" w:cs="Times New Roman"/>
          <w:color w:val="auto"/>
          <w:sz w:val="24"/>
          <w:szCs w:val="24"/>
        </w:rPr>
        <w:t>.</w:t>
      </w:r>
    </w:p>
    <w:p w:rsidR="005F513B"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highlight w:val="white"/>
        </w:rPr>
        <w:t>Izstrādāts Fizisko personu elektroniskās identifikācijas likumprojekts, kura mērķis ir noteikt fizisko personu elektroniskās identifikācijas tiesisko statusu elektroniskajā vidē.</w:t>
      </w:r>
    </w:p>
    <w:p w:rsidR="005F513B" w:rsidRPr="005F513B" w:rsidRDefault="005F513B" w:rsidP="005F513B">
      <w:pPr>
        <w:pStyle w:val="Parasts1"/>
        <w:spacing w:after="0" w:line="240" w:lineRule="auto"/>
        <w:ind w:firstLine="709"/>
        <w:jc w:val="both"/>
        <w:rPr>
          <w:rFonts w:ascii="Times New Roman" w:hAnsi="Times New Roman" w:cs="Times New Roman"/>
          <w:color w:val="auto"/>
          <w:sz w:val="24"/>
          <w:szCs w:val="24"/>
        </w:rPr>
      </w:pPr>
      <w:r w:rsidRPr="005F513B">
        <w:rPr>
          <w:rFonts w:ascii="Times New Roman" w:hAnsi="Times New Roman" w:cs="Times New Roman"/>
          <w:color w:val="auto"/>
          <w:sz w:val="24"/>
          <w:highlight w:val="white"/>
        </w:rPr>
        <w:t xml:space="preserve">Lai sekmētu informācijas sabiedrības veidošanu Latvijā, veicinot ilgtspējīgu un noturīgu attīstību, izveidota konsultatīva institūcija </w:t>
      </w:r>
      <w:r w:rsidR="000B3A5C" w:rsidRPr="00034A96">
        <w:rPr>
          <w:rFonts w:ascii="Times New Roman" w:hAnsi="Times New Roman"/>
          <w:sz w:val="24"/>
          <w:szCs w:val="24"/>
        </w:rPr>
        <w:t>–</w:t>
      </w:r>
      <w:r w:rsidRPr="005F513B">
        <w:rPr>
          <w:rFonts w:ascii="Times New Roman" w:hAnsi="Times New Roman" w:cs="Times New Roman"/>
          <w:color w:val="auto"/>
          <w:sz w:val="24"/>
          <w:highlight w:val="white"/>
        </w:rPr>
        <w:t xml:space="preserve"> Informācijas sabiedrības padome.</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 xml:space="preserve">Sagatavoti priekšlikumi pasākumu stratēģijas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Eiropa 2020</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pamatiniciatīvas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Digitālā programma Eiropai</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īstenošanai, pārvaldībai un izvirzīto mērķu sasniegšanai Latvijā, kā arī nosakot atbildības sadalījumu starp ministrijām par programmas ieviešanas koordinēšanu, programmas rīcības jomu un pasākumu īstenošanu.</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 xml:space="preserve">Lai iepirkumiem elektroniskajā vidē nodrošinātu visas tās funkcijas, ko nodrošina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tradicionālais</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publiskā iepirkuma process, kā arī palielinātu efektivitāti un samazinātu administratīvos izdevumus un slogu iepirkuma procedūrās (nodrošinātu lielāku caurs</w:t>
      </w:r>
      <w:r w:rsidR="000B3A5C">
        <w:rPr>
          <w:rFonts w:ascii="Times New Roman" w:hAnsi="Times New Roman" w:cs="Times New Roman"/>
          <w:color w:val="auto"/>
          <w:sz w:val="24"/>
          <w:szCs w:val="24"/>
        </w:rPr>
        <w:t>katāmību</w:t>
      </w:r>
      <w:r w:rsidRPr="006202E5">
        <w:rPr>
          <w:rFonts w:ascii="Times New Roman" w:hAnsi="Times New Roman" w:cs="Times New Roman"/>
          <w:color w:val="auto"/>
          <w:sz w:val="24"/>
          <w:szCs w:val="24"/>
        </w:rPr>
        <w:t xml:space="preserve"> un samazinātu ie</w:t>
      </w:r>
      <w:r w:rsidR="000B3A5C">
        <w:rPr>
          <w:rFonts w:ascii="Times New Roman" w:hAnsi="Times New Roman" w:cs="Times New Roman"/>
          <w:color w:val="auto"/>
          <w:sz w:val="24"/>
          <w:szCs w:val="24"/>
        </w:rPr>
        <w:t>spējamību nomainīt piedāvājumus</w:t>
      </w:r>
      <w:r w:rsidRPr="006202E5">
        <w:rPr>
          <w:rFonts w:ascii="Times New Roman" w:hAnsi="Times New Roman" w:cs="Times New Roman"/>
          <w:color w:val="auto"/>
          <w:sz w:val="24"/>
          <w:szCs w:val="24"/>
        </w:rPr>
        <w:t xml:space="preserve"> vai tos koriģēt pēc iesniegšanas beigu termiņa un atvēršanas), MK atbalstīta elektronisko izziņu apakšsistēmas izstrāde līdz 2014.gada 1.janvārim, bet elektronisko konkursu un elektroniskās izsoles apakšsistēmas izstrāde – līdz 2016.gada 1.janvārim.</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 xml:space="preserve">Lai ikvienam iedzīvotājam būtu ērti izmantot pieejamos e-pakalpojumus, turpināta vienas pieturas aģentūras (VPA) principa ieviešana elektroniskajā vidē vienotajā valsts un pašvaldību pakalpojumu portālā </w:t>
      </w:r>
      <w:hyperlink r:id="rId36">
        <w:r w:rsidRPr="006202E5">
          <w:rPr>
            <w:rFonts w:ascii="Times New Roman" w:hAnsi="Times New Roman" w:cs="Times New Roman"/>
            <w:color w:val="auto"/>
            <w:sz w:val="24"/>
            <w:szCs w:val="24"/>
            <w:u w:val="single"/>
          </w:rPr>
          <w:t>www.latvija.lv</w:t>
        </w:r>
      </w:hyperlink>
      <w:r w:rsidRPr="006202E5">
        <w:rPr>
          <w:rFonts w:ascii="Times New Roman" w:hAnsi="Times New Roman" w:cs="Times New Roman"/>
          <w:color w:val="auto"/>
          <w:sz w:val="24"/>
          <w:szCs w:val="24"/>
        </w:rPr>
        <w:t xml:space="preserve">. Portālā nodrošināta pieeja 11 jauniem e-pakalpojumiem, palielinot kopējo e-pakalpojumu skaitu līdz 52 un sniegta informācija par vairāk </w:t>
      </w:r>
      <w:r w:rsidR="000B3A5C">
        <w:rPr>
          <w:rFonts w:ascii="Times New Roman" w:hAnsi="Times New Roman" w:cs="Times New Roman"/>
          <w:color w:val="auto"/>
          <w:sz w:val="24"/>
          <w:szCs w:val="24"/>
        </w:rPr>
        <w:t>ne</w:t>
      </w:r>
      <w:r w:rsidRPr="006202E5">
        <w:rPr>
          <w:rFonts w:ascii="Times New Roman" w:hAnsi="Times New Roman" w:cs="Times New Roman"/>
          <w:color w:val="auto"/>
          <w:sz w:val="24"/>
          <w:szCs w:val="24"/>
        </w:rPr>
        <w:t xml:space="preserve">kā 2073 valsts un pašvaldību pakalpojumu saņemšanas iespējām. </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Pamatojoties uz VRAA sniegto statistikas informāciju, populārāko e-pakalpojumu TOP 6 2012. gadā:</w:t>
      </w:r>
      <w:hyperlink r:id="rId37">
        <w:r w:rsidRPr="006202E5">
          <w:rPr>
            <w:rFonts w:ascii="Times New Roman" w:hAnsi="Times New Roman" w:cs="Times New Roman"/>
            <w:color w:val="auto"/>
            <w:sz w:val="24"/>
            <w:szCs w:val="24"/>
          </w:rPr>
          <w:t xml:space="preserve"> </w:t>
        </w:r>
      </w:hyperlink>
      <w:hyperlink r:id="rId38">
        <w:r w:rsidRPr="006202E5">
          <w:rPr>
            <w:rFonts w:ascii="Times New Roman" w:hAnsi="Times New Roman" w:cs="Times New Roman"/>
            <w:color w:val="auto"/>
            <w:sz w:val="24"/>
            <w:szCs w:val="24"/>
          </w:rPr>
          <w:t>elektroniskā pieteikšanās studijām pamatstudiju programmās</w:t>
        </w:r>
      </w:hyperlink>
      <w:r w:rsidRPr="006202E5">
        <w:rPr>
          <w:rFonts w:ascii="Times New Roman" w:hAnsi="Times New Roman" w:cs="Times New Roman"/>
          <w:color w:val="auto"/>
          <w:sz w:val="24"/>
          <w:szCs w:val="24"/>
        </w:rPr>
        <w:t>;</w:t>
      </w:r>
      <w:hyperlink r:id="rId39">
        <w:r w:rsidRPr="006202E5">
          <w:rPr>
            <w:rFonts w:ascii="Times New Roman" w:hAnsi="Times New Roman" w:cs="Times New Roman"/>
            <w:color w:val="auto"/>
            <w:sz w:val="24"/>
            <w:szCs w:val="24"/>
          </w:rPr>
          <w:t xml:space="preserve"> </w:t>
        </w:r>
      </w:hyperlink>
      <w:hyperlink r:id="rId40">
        <w:r w:rsidRPr="006202E5">
          <w:rPr>
            <w:rFonts w:ascii="Times New Roman" w:hAnsi="Times New Roman" w:cs="Times New Roman"/>
            <w:color w:val="auto"/>
            <w:sz w:val="24"/>
            <w:szCs w:val="24"/>
          </w:rPr>
          <w:t>dzīvesvietas deklarācijas iesniegšana</w:t>
        </w:r>
      </w:hyperlink>
      <w:r w:rsidRPr="006202E5">
        <w:rPr>
          <w:rFonts w:ascii="Times New Roman" w:hAnsi="Times New Roman" w:cs="Times New Roman"/>
          <w:color w:val="auto"/>
          <w:sz w:val="24"/>
          <w:szCs w:val="24"/>
        </w:rPr>
        <w:t>;</w:t>
      </w:r>
      <w:hyperlink r:id="rId41">
        <w:r w:rsidRPr="006202E5">
          <w:rPr>
            <w:rFonts w:ascii="Times New Roman" w:hAnsi="Times New Roman" w:cs="Times New Roman"/>
            <w:color w:val="auto"/>
            <w:sz w:val="24"/>
            <w:szCs w:val="24"/>
          </w:rPr>
          <w:t xml:space="preserve"> </w:t>
        </w:r>
      </w:hyperlink>
      <w:hyperlink r:id="rId42">
        <w:r w:rsidRPr="006202E5">
          <w:rPr>
            <w:rFonts w:ascii="Times New Roman" w:hAnsi="Times New Roman" w:cs="Times New Roman"/>
            <w:color w:val="auto"/>
            <w:sz w:val="24"/>
            <w:szCs w:val="24"/>
          </w:rPr>
          <w:t>mani dati Iedzīvotāju reģistrā</w:t>
        </w:r>
      </w:hyperlink>
      <w:r w:rsidRPr="006202E5">
        <w:rPr>
          <w:rFonts w:ascii="Times New Roman" w:hAnsi="Times New Roman" w:cs="Times New Roman"/>
          <w:color w:val="auto"/>
          <w:sz w:val="24"/>
          <w:szCs w:val="24"/>
        </w:rPr>
        <w:t>;</w:t>
      </w:r>
      <w:hyperlink r:id="rId43">
        <w:r w:rsidRPr="006202E5">
          <w:rPr>
            <w:rFonts w:ascii="Times New Roman" w:hAnsi="Times New Roman" w:cs="Times New Roman"/>
            <w:color w:val="auto"/>
            <w:sz w:val="24"/>
            <w:szCs w:val="24"/>
          </w:rPr>
          <w:t xml:space="preserve"> </w:t>
        </w:r>
      </w:hyperlink>
      <w:hyperlink r:id="rId44">
        <w:r w:rsidRPr="006202E5">
          <w:rPr>
            <w:rFonts w:ascii="Times New Roman" w:hAnsi="Times New Roman" w:cs="Times New Roman"/>
            <w:color w:val="auto"/>
            <w:sz w:val="24"/>
            <w:szCs w:val="24"/>
          </w:rPr>
          <w:t>pārbaude, vai persona ir deklarēta norādītajā adresē</w:t>
        </w:r>
      </w:hyperlink>
      <w:r w:rsidRPr="006202E5">
        <w:rPr>
          <w:rFonts w:ascii="Times New Roman" w:hAnsi="Times New Roman" w:cs="Times New Roman"/>
          <w:color w:val="auto"/>
          <w:sz w:val="24"/>
          <w:szCs w:val="24"/>
        </w:rPr>
        <w:t>;</w:t>
      </w:r>
      <w:hyperlink r:id="rId45">
        <w:r w:rsidRPr="006202E5">
          <w:rPr>
            <w:rFonts w:ascii="Times New Roman" w:hAnsi="Times New Roman" w:cs="Times New Roman"/>
            <w:color w:val="auto"/>
            <w:sz w:val="24"/>
            <w:szCs w:val="24"/>
          </w:rPr>
          <w:t xml:space="preserve"> </w:t>
        </w:r>
      </w:hyperlink>
      <w:hyperlink r:id="rId46">
        <w:r w:rsidRPr="006202E5">
          <w:rPr>
            <w:rFonts w:ascii="Times New Roman" w:hAnsi="Times New Roman" w:cs="Times New Roman"/>
            <w:color w:val="auto"/>
            <w:sz w:val="24"/>
            <w:szCs w:val="24"/>
          </w:rPr>
          <w:t>informācija par prognozējamo vecuma pensijas apmēru</w:t>
        </w:r>
      </w:hyperlink>
      <w:r w:rsidRPr="006202E5">
        <w:rPr>
          <w:rFonts w:ascii="Times New Roman" w:hAnsi="Times New Roman" w:cs="Times New Roman"/>
          <w:color w:val="auto"/>
          <w:sz w:val="24"/>
          <w:szCs w:val="24"/>
        </w:rPr>
        <w:t>,</w:t>
      </w:r>
      <w:hyperlink r:id="rId47">
        <w:r w:rsidRPr="006202E5">
          <w:rPr>
            <w:rFonts w:ascii="Times New Roman" w:hAnsi="Times New Roman" w:cs="Times New Roman"/>
            <w:color w:val="auto"/>
            <w:sz w:val="24"/>
            <w:szCs w:val="24"/>
          </w:rPr>
          <w:t xml:space="preserve"> </w:t>
        </w:r>
      </w:hyperlink>
      <w:hyperlink r:id="rId48">
        <w:r w:rsidRPr="006202E5">
          <w:rPr>
            <w:rFonts w:ascii="Times New Roman" w:hAnsi="Times New Roman" w:cs="Times New Roman"/>
            <w:color w:val="auto"/>
            <w:sz w:val="24"/>
            <w:szCs w:val="24"/>
          </w:rPr>
          <w:t>mani valsts apmaksātie veselības aprūpes pakalpojumi</w:t>
        </w:r>
      </w:hyperlink>
      <w:r w:rsidRPr="006202E5">
        <w:rPr>
          <w:rFonts w:ascii="Times New Roman" w:hAnsi="Times New Roman" w:cs="Times New Roman"/>
          <w:color w:val="auto"/>
          <w:sz w:val="24"/>
          <w:szCs w:val="24"/>
        </w:rPr>
        <w:t>.</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Lai motivētu iedzīvotājus apgūt, attīstīt un pielietot e-prasmes, tādējādi veicinot iedzīvotāju informēšanu par publisko pakalpojumu pieejamību un saņemšanu virtuālajā vidē, sadarbībā ar Latvijas informācijas un komuni</w:t>
      </w:r>
      <w:r w:rsidR="000B3A5C">
        <w:rPr>
          <w:rFonts w:ascii="Times New Roman" w:hAnsi="Times New Roman" w:cs="Times New Roman"/>
          <w:color w:val="auto"/>
          <w:sz w:val="24"/>
          <w:szCs w:val="24"/>
        </w:rPr>
        <w:t>kācijas tehnoloģijas asociāciju</w:t>
      </w:r>
      <w:r w:rsidRPr="006202E5">
        <w:rPr>
          <w:rFonts w:ascii="Times New Roman" w:hAnsi="Times New Roman" w:cs="Times New Roman"/>
          <w:color w:val="auto"/>
          <w:sz w:val="24"/>
          <w:szCs w:val="24"/>
        </w:rPr>
        <w:t xml:space="preserve"> no </w:t>
      </w:r>
      <w:r w:rsidRPr="006202E5">
        <w:rPr>
          <w:rFonts w:ascii="Times New Roman" w:hAnsi="Times New Roman" w:cs="Times New Roman"/>
          <w:color w:val="auto"/>
          <w:sz w:val="24"/>
          <w:szCs w:val="24"/>
        </w:rPr>
        <w:lastRenderedPageBreak/>
        <w:t xml:space="preserve">2012. gada 26. līdz 30.martam organizēta trešā informatīvā kampaņa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E-prasmju nedēļa</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kuras mērķis bija turpināt informēt un ieinteresēt plašāku sabiedrīb</w:t>
      </w:r>
      <w:r w:rsidR="000B3A5C">
        <w:rPr>
          <w:rFonts w:ascii="Times New Roman" w:hAnsi="Times New Roman" w:cs="Times New Roman"/>
          <w:color w:val="auto"/>
          <w:sz w:val="24"/>
          <w:szCs w:val="24"/>
        </w:rPr>
        <w:t xml:space="preserve">u par e-prasmju apgūšanas un </w:t>
      </w:r>
      <w:r w:rsidRPr="006202E5">
        <w:rPr>
          <w:rFonts w:ascii="Times New Roman" w:hAnsi="Times New Roman" w:cs="Times New Roman"/>
          <w:color w:val="auto"/>
          <w:sz w:val="24"/>
          <w:szCs w:val="24"/>
        </w:rPr>
        <w:t>lietošanas iespējām. Kopējais dalībnieku skaits 2012.gadā pārsniedza 36 000</w:t>
      </w:r>
      <w:r w:rsidR="000B3A5C">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un Latvija otro gadu pēc </w:t>
      </w:r>
      <w:r w:rsidRPr="006202E5">
        <w:rPr>
          <w:rFonts w:ascii="Times New Roman" w:hAnsi="Times New Roman" w:cs="Times New Roman"/>
          <w:i/>
          <w:color w:val="auto"/>
          <w:sz w:val="24"/>
          <w:szCs w:val="24"/>
        </w:rPr>
        <w:t xml:space="preserve">Get Online </w:t>
      </w:r>
      <w:r w:rsidRPr="006202E5">
        <w:rPr>
          <w:rFonts w:ascii="Times New Roman" w:hAnsi="Times New Roman" w:cs="Times New Roman"/>
          <w:color w:val="auto"/>
          <w:sz w:val="24"/>
          <w:szCs w:val="24"/>
        </w:rPr>
        <w:t>skaitītāja rādītājiem ieņēma 1.vietu Eiropā.</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Sadarbībā ar VK un LDDK 2012. gada nove</w:t>
      </w:r>
      <w:r w:rsidR="000B3A5C">
        <w:rPr>
          <w:rFonts w:ascii="Times New Roman" w:hAnsi="Times New Roman" w:cs="Times New Roman"/>
          <w:color w:val="auto"/>
          <w:sz w:val="24"/>
          <w:szCs w:val="24"/>
        </w:rPr>
        <w:t>mbrī noorganizēta ikgadējā k</w:t>
      </w:r>
      <w:r w:rsidRPr="006202E5">
        <w:rPr>
          <w:rFonts w:ascii="Times New Roman" w:hAnsi="Times New Roman" w:cs="Times New Roman"/>
          <w:color w:val="auto"/>
          <w:sz w:val="24"/>
          <w:szCs w:val="24"/>
        </w:rPr>
        <w:t xml:space="preserve">onference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Valsts pārvaldes e-revolūcija: risinājumi e-pakalpojumiem un e-komunikācijai</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kuras mērķis bija atrast un izcelt veidus, kā iestādes izmanto un var izmantot mūsdienu tehnoloģijas, lai kļūtu pieejamākas, saprotamākas un iesaistošākas, tai skaitā izstrādājot lietotājiem ērtus un noderīgus e-pakalpojumus un iedrošinot to lietošanu</w:t>
      </w:r>
      <w:r w:rsidR="000B3A5C">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izmantojot sociālās platformas vai citus radošus risinājumus.</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Sadarbībā ar PKC, IZM, FM un ĀM tika stiprināta Latvijas un Igaunijas sadarbība informācijas sabiedrības un elektroniskās pārvaldes jomās, 14.decembrī Rīgā noorganizēta Latvijas un Igaunijas nākotnes sadarbība</w:t>
      </w:r>
      <w:r w:rsidR="000B3A5C">
        <w:rPr>
          <w:rFonts w:ascii="Times New Roman" w:hAnsi="Times New Roman" w:cs="Times New Roman"/>
          <w:color w:val="auto"/>
          <w:sz w:val="24"/>
          <w:szCs w:val="24"/>
        </w:rPr>
        <w:t>s ziņojuma ieviešanas konference</w:t>
      </w:r>
      <w:r w:rsidRPr="006202E5">
        <w:rPr>
          <w:rFonts w:ascii="Times New Roman" w:hAnsi="Times New Roman" w:cs="Times New Roman"/>
          <w:color w:val="auto"/>
          <w:sz w:val="24"/>
          <w:szCs w:val="24"/>
        </w:rPr>
        <w:t>.</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 xml:space="preserve">Lai nodrošinātu valsts rīcībpolitikas tālāku attīstību informācijas sabiedrības, elektroniskās pārvaldes un informācijas un komunikācijas tehnoloģiju jautājumos, ievērojot stratēģijas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Eiropa 2020</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pamatiniciatīvā </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Digitālā programma Eiropai</w:t>
      </w:r>
      <w:r w:rsidR="00B167ED">
        <w:rPr>
          <w:rFonts w:ascii="Times New Roman" w:hAnsi="Times New Roman" w:cs="Times New Roman"/>
          <w:color w:val="auto"/>
          <w:sz w:val="24"/>
          <w:szCs w:val="24"/>
        </w:rPr>
        <w:t>"</w:t>
      </w:r>
      <w:r w:rsidRPr="006202E5">
        <w:rPr>
          <w:rFonts w:ascii="Times New Roman" w:hAnsi="Times New Roman" w:cs="Times New Roman"/>
          <w:color w:val="auto"/>
          <w:sz w:val="24"/>
          <w:szCs w:val="24"/>
        </w:rPr>
        <w:t xml:space="preserve"> noteiktos mērķus, tiks izstrādāts Informācijas sabiedrības attīstības pamatnostādņu 2014.</w:t>
      </w:r>
      <w:r w:rsidR="000B3A5C" w:rsidRPr="00034A96">
        <w:rPr>
          <w:rFonts w:ascii="Times New Roman" w:hAnsi="Times New Roman"/>
          <w:sz w:val="24"/>
          <w:szCs w:val="24"/>
        </w:rPr>
        <w:t>–</w:t>
      </w:r>
      <w:r w:rsidRPr="006202E5">
        <w:rPr>
          <w:rFonts w:ascii="Times New Roman" w:hAnsi="Times New Roman" w:cs="Times New Roman"/>
          <w:color w:val="auto"/>
          <w:sz w:val="24"/>
          <w:szCs w:val="24"/>
        </w:rPr>
        <w:t>2020.gadam projekts.</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sidRPr="006202E5">
        <w:rPr>
          <w:rFonts w:ascii="Times New Roman" w:hAnsi="Times New Roman" w:cs="Times New Roman"/>
          <w:color w:val="auto"/>
          <w:sz w:val="24"/>
          <w:szCs w:val="24"/>
        </w:rPr>
        <w:t>Lai efektīvi izmantotu un attīstītu valsts IKT arhitektūru, tehniskos resursus, procesus un cilvēkresursus valsts pārvaldes procesu un valsts attīstības prioritāšu atbalstam, tiks izstrādāta normatīvā bāze, kā arī veikta pasākumu īstenošana Valsts informācijas un komunikācijas tehnoloģiju pārvaldības organizatoriskā modeļa ieviešanai.</w:t>
      </w:r>
    </w:p>
    <w:p w:rsidR="005F513B" w:rsidRPr="004967A8" w:rsidRDefault="005F513B" w:rsidP="004967A8">
      <w:pPr>
        <w:pStyle w:val="Parasts1"/>
        <w:spacing w:after="0" w:line="240" w:lineRule="auto"/>
        <w:ind w:firstLine="709"/>
        <w:jc w:val="both"/>
      </w:pPr>
      <w:r w:rsidRPr="006202E5">
        <w:rPr>
          <w:rFonts w:ascii="Times New Roman" w:hAnsi="Times New Roman" w:cs="Times New Roman"/>
          <w:color w:val="auto"/>
          <w:sz w:val="24"/>
          <w:szCs w:val="24"/>
        </w:rPr>
        <w:t xml:space="preserve">Tiks turpināta vienotā kontaktpunkta principa ieviešana, t.sk. jauna veidola (jaunas versijas) ieviešana vienotajam valsts un pašvaldību pakalpojumu portālam </w:t>
      </w:r>
      <w:hyperlink r:id="rId49">
        <w:r w:rsidRPr="006202E5">
          <w:rPr>
            <w:rFonts w:ascii="Times New Roman" w:hAnsi="Times New Roman" w:cs="Times New Roman"/>
            <w:color w:val="auto"/>
            <w:sz w:val="24"/>
            <w:szCs w:val="24"/>
          </w:rPr>
          <w:t>www.latvija.lv</w:t>
        </w:r>
      </w:hyperlink>
      <w:r w:rsidRPr="006202E5">
        <w:rPr>
          <w:rFonts w:ascii="Times New Roman" w:hAnsi="Times New Roman" w:cs="Times New Roman"/>
          <w:color w:val="auto"/>
          <w:sz w:val="24"/>
          <w:szCs w:val="24"/>
        </w:rPr>
        <w:t>, padarot to draudzīgāku un pieejamāku lietotājiem. Portālā tiks attīstīta e-iespēju sadaļa, pilnveidota uzņēmēju sadaļa, papildinot informāciju par tipiskajām uzņēmējiem veicamajām formalitātēm dažādās iestādēs un iespējām tās veikt elektroniski. Lai veicinātu iedzīvotāju un uzņēmēju informētību par visām e-iespējām un e-pakalpojumiem, ko iedzīvotājiem piedāvā valsts iestādes un pašvaldības, paredzēts veikt dažādas komunikāciju aktivitātes.</w:t>
      </w:r>
    </w:p>
    <w:p w:rsidR="005F513B" w:rsidRPr="006202E5" w:rsidRDefault="005F513B" w:rsidP="005F513B">
      <w:pPr>
        <w:pStyle w:val="Parasts1"/>
        <w:spacing w:after="0" w:line="240" w:lineRule="auto"/>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ERAF aktivitātes ietvaros 2012.gadā projektu īstenošanai piešķirtas virssaistības 11,8 milj. latu apmērā i</w:t>
      </w:r>
      <w:r w:rsidRPr="001A2B99">
        <w:rPr>
          <w:rFonts w:ascii="Times New Roman" w:hAnsi="Times New Roman" w:cs="Times New Roman"/>
          <w:color w:val="auto"/>
          <w:sz w:val="24"/>
          <w:szCs w:val="24"/>
        </w:rPr>
        <w:t>nformācijas sistēmu un elektronisko pakalpojumu attīstība</w:t>
      </w:r>
      <w:r>
        <w:rPr>
          <w:rFonts w:ascii="Times New Roman" w:hAnsi="Times New Roman" w:cs="Times New Roman"/>
          <w:color w:val="auto"/>
          <w:sz w:val="24"/>
          <w:szCs w:val="24"/>
        </w:rPr>
        <w:t>i.</w:t>
      </w:r>
    </w:p>
    <w:p w:rsidR="00CA63EF" w:rsidRPr="006202E5" w:rsidRDefault="00A000E3" w:rsidP="00583FA8">
      <w:pPr>
        <w:pStyle w:val="Heading3"/>
      </w:pPr>
      <w:bookmarkStart w:id="169" w:name="_Toc348948429"/>
      <w:r w:rsidRPr="006202E5">
        <w:t xml:space="preserve">6.2. </w:t>
      </w:r>
      <w:r w:rsidR="00CA63EF" w:rsidRPr="006202E5">
        <w:t xml:space="preserve"> </w:t>
      </w:r>
      <w:r w:rsidR="00CA63EF" w:rsidRPr="00583FA8">
        <w:t>Administratīvā</w:t>
      </w:r>
      <w:r w:rsidR="00CA63EF" w:rsidRPr="006202E5">
        <w:t xml:space="preserve"> sloga mazināšana</w:t>
      </w:r>
      <w:bookmarkEnd w:id="169"/>
    </w:p>
    <w:p w:rsidR="006202E5" w:rsidRPr="006202E5" w:rsidRDefault="006202E5" w:rsidP="000D0D97">
      <w:pPr>
        <w:pStyle w:val="Default"/>
        <w:adjustRightInd w:val="0"/>
        <w:ind w:firstLine="720"/>
        <w:jc w:val="both"/>
        <w:rPr>
          <w:rFonts w:ascii="Times New Roman" w:hAnsi="Times New Roman"/>
          <w:color w:val="auto"/>
        </w:rPr>
      </w:pPr>
      <w:r w:rsidRPr="006202E5">
        <w:rPr>
          <w:rFonts w:ascii="Times New Roman" w:hAnsi="Times New Roman"/>
          <w:color w:val="auto"/>
        </w:rPr>
        <w:t>Turpinās</w:t>
      </w:r>
      <w:r w:rsidR="000B3A5C">
        <w:rPr>
          <w:rFonts w:ascii="Times New Roman" w:hAnsi="Times New Roman"/>
          <w:color w:val="auto"/>
        </w:rPr>
        <w:t xml:space="preserve"> Pasākumu plāna</w:t>
      </w:r>
      <w:r w:rsidR="00CA63EF" w:rsidRPr="006202E5">
        <w:rPr>
          <w:rFonts w:ascii="Times New Roman" w:hAnsi="Times New Roman"/>
          <w:color w:val="auto"/>
        </w:rPr>
        <w:t xml:space="preserve"> administratīvā sloga samazināšanai, administratīvo procedūru vienkāršošanai un publisko pakalpojumu kvalitātes uzlaboša</w:t>
      </w:r>
      <w:r w:rsidR="000B3A5C">
        <w:rPr>
          <w:rFonts w:ascii="Times New Roman" w:hAnsi="Times New Roman"/>
          <w:color w:val="auto"/>
        </w:rPr>
        <w:t>nai uzņēmējiem un iedzīvotājiem</w:t>
      </w:r>
      <w:r w:rsidR="00CA63EF" w:rsidRPr="006202E5">
        <w:rPr>
          <w:rFonts w:ascii="Times New Roman" w:hAnsi="Times New Roman"/>
          <w:color w:val="auto"/>
        </w:rPr>
        <w:t xml:space="preserve"> </w:t>
      </w:r>
      <w:r w:rsidRPr="006202E5">
        <w:rPr>
          <w:rFonts w:ascii="Times New Roman" w:hAnsi="Times New Roman"/>
          <w:color w:val="auto"/>
        </w:rPr>
        <w:t>īstenošana. No</w:t>
      </w:r>
      <w:r w:rsidR="00CA63EF" w:rsidRPr="006202E5">
        <w:rPr>
          <w:rFonts w:ascii="Times New Roman" w:hAnsi="Times New Roman"/>
          <w:color w:val="auto"/>
        </w:rPr>
        <w:t xml:space="preserve"> iekļautajiem 25 uzdevumiem nozaru ministrijām noteiktajā apjomā un termiņā ir īstenoti 15 pasākumi, sešu pasākumu īstenošana ir kavēta un tiks turpināta 2013.gadā, savukārt četru pasākumu izpildes termiņš nav pienācis, līdz ar to īstenošana turpināsies 2013.gadā</w:t>
      </w:r>
      <w:r w:rsidRPr="006202E5">
        <w:rPr>
          <w:rFonts w:ascii="Times New Roman" w:hAnsi="Times New Roman"/>
          <w:color w:val="auto"/>
        </w:rPr>
        <w:t>.</w:t>
      </w:r>
    </w:p>
    <w:p w:rsidR="000D0D97" w:rsidRPr="006202E5" w:rsidRDefault="000D0D97" w:rsidP="000D0D97">
      <w:pPr>
        <w:pStyle w:val="Default"/>
        <w:adjustRightInd w:val="0"/>
        <w:ind w:firstLine="709"/>
        <w:jc w:val="both"/>
        <w:rPr>
          <w:rFonts w:ascii="Times New Roman" w:hAnsi="Times New Roman"/>
          <w:color w:val="auto"/>
        </w:rPr>
      </w:pPr>
      <w:r w:rsidRPr="006202E5">
        <w:rPr>
          <w:rFonts w:ascii="Times New Roman" w:hAnsi="Times New Roman"/>
          <w:color w:val="auto"/>
        </w:rPr>
        <w:t>2012.gadā sadarbībā ar nozaru ministrijām ir īstenot</w:t>
      </w:r>
      <w:r>
        <w:rPr>
          <w:rFonts w:ascii="Times New Roman" w:hAnsi="Times New Roman"/>
          <w:color w:val="auto"/>
        </w:rPr>
        <w:t xml:space="preserve">i divi pētījumi </w:t>
      </w:r>
      <w:r w:rsidR="000B3A5C" w:rsidRPr="00034A96">
        <w:rPr>
          <w:rFonts w:ascii="Times New Roman" w:hAnsi="Times New Roman"/>
        </w:rPr>
        <w:t>–</w:t>
      </w:r>
      <w:r>
        <w:rPr>
          <w:rFonts w:ascii="Times New Roman" w:hAnsi="Times New Roman"/>
          <w:color w:val="auto"/>
        </w:rPr>
        <w:t xml:space="preserve"> </w:t>
      </w:r>
      <w:r w:rsidRPr="006202E5">
        <w:rPr>
          <w:rFonts w:ascii="Times New Roman" w:hAnsi="Times New Roman"/>
        </w:rPr>
        <w:t>administratīvo</w:t>
      </w:r>
      <w:r>
        <w:rPr>
          <w:rFonts w:ascii="Times New Roman" w:hAnsi="Times New Roman"/>
        </w:rPr>
        <w:t xml:space="preserve"> </w:t>
      </w:r>
      <w:r w:rsidRPr="006202E5">
        <w:rPr>
          <w:rFonts w:ascii="Times New Roman" w:hAnsi="Times New Roman"/>
        </w:rPr>
        <w:t>prasību analīze un kontrolējošo institūciju darbības novērtējums veselības aprūpes pakalpojumu jomā</w:t>
      </w:r>
      <w:r>
        <w:rPr>
          <w:rFonts w:ascii="Times New Roman" w:hAnsi="Times New Roman"/>
        </w:rPr>
        <w:t xml:space="preserve"> (</w:t>
      </w:r>
      <w:r w:rsidR="000B3A5C">
        <w:rPr>
          <w:rFonts w:ascii="Times New Roman" w:hAnsi="Times New Roman"/>
        </w:rPr>
        <w:t>p</w:t>
      </w:r>
      <w:r w:rsidRPr="006202E5">
        <w:rPr>
          <w:rFonts w:ascii="Times New Roman" w:hAnsi="Times New Roman"/>
        </w:rPr>
        <w:t>ētījuma mērķis bija noteikt administratīvās barjeras, ar ko jāsaskaras veselības aprūpes pakalpojumu sniedzējiem, kā arī identificēt veselības aprūpes pakalpojumu jomu kontrolējošo un uzraugošo institūciju īstenoto kontroļu intensitāti, iespējamo pārklāšanos un dublēšanos starp iestādēm vai to struktūrvienībām</w:t>
      </w:r>
      <w:r>
        <w:rPr>
          <w:rFonts w:ascii="Times New Roman" w:hAnsi="Times New Roman"/>
        </w:rPr>
        <w:t xml:space="preserve">) </w:t>
      </w:r>
      <w:r>
        <w:rPr>
          <w:rFonts w:ascii="Times New Roman" w:hAnsi="Times New Roman"/>
        </w:rPr>
        <w:lastRenderedPageBreak/>
        <w:t xml:space="preserve">un </w:t>
      </w:r>
      <w:r w:rsidRPr="006202E5">
        <w:rPr>
          <w:rFonts w:ascii="Times New Roman" w:hAnsi="Times New Roman"/>
        </w:rPr>
        <w:t>administratīvā sloga samazināšanas iespēju izpēte privātajam sekto</w:t>
      </w:r>
      <w:r w:rsidRPr="006202E5">
        <w:rPr>
          <w:rFonts w:ascii="Times New Roman" w:hAnsi="Times New Roman"/>
        </w:rPr>
        <w:softHyphen/>
        <w:t>ram darbības dokumentēšana</w:t>
      </w:r>
      <w:r w:rsidR="00992492">
        <w:rPr>
          <w:rFonts w:ascii="Times New Roman" w:hAnsi="Times New Roman"/>
        </w:rPr>
        <w:t xml:space="preserve">s un dokumentu glabāšanas jomā </w:t>
      </w:r>
      <w:r>
        <w:rPr>
          <w:rFonts w:ascii="Times New Roman" w:hAnsi="Times New Roman"/>
        </w:rPr>
        <w:t>(</w:t>
      </w:r>
      <w:r w:rsidRPr="006B0BA7">
        <w:rPr>
          <w:rFonts w:ascii="Times New Roman" w:hAnsi="Times New Roman"/>
        </w:rPr>
        <w:t>pētījuma mērķis bija izstrādāt priekšlikumus, kas būtiski atvieglotu komersantu dokumentu glabāšanas prasības, samazinot administratīvā sloga radītos administratīvos izdevumus)</w:t>
      </w:r>
      <w:r w:rsidR="00992492">
        <w:rPr>
          <w:rFonts w:ascii="Times New Roman" w:hAnsi="Times New Roman"/>
        </w:rPr>
        <w:t>.</w:t>
      </w:r>
      <w:r>
        <w:rPr>
          <w:rFonts w:ascii="Times New Roman" w:hAnsi="Times New Roman"/>
        </w:rPr>
        <w:t xml:space="preserve"> </w:t>
      </w:r>
      <w:r w:rsidRPr="006202E5">
        <w:rPr>
          <w:rFonts w:ascii="Times New Roman" w:hAnsi="Times New Roman"/>
        </w:rPr>
        <w:t xml:space="preserve">Pamatojoties uz </w:t>
      </w:r>
      <w:r>
        <w:rPr>
          <w:rFonts w:ascii="Times New Roman" w:hAnsi="Times New Roman"/>
        </w:rPr>
        <w:t xml:space="preserve">īstenotajiem </w:t>
      </w:r>
      <w:r w:rsidRPr="006202E5">
        <w:rPr>
          <w:rFonts w:ascii="Times New Roman" w:hAnsi="Times New Roman"/>
          <w:color w:val="auto"/>
        </w:rPr>
        <w:t>pētījumiem</w:t>
      </w:r>
      <w:r w:rsidR="000B3A5C">
        <w:rPr>
          <w:rFonts w:ascii="Times New Roman" w:hAnsi="Times New Roman"/>
          <w:color w:val="auto"/>
        </w:rPr>
        <w:t>,</w:t>
      </w:r>
      <w:r w:rsidRPr="006202E5">
        <w:rPr>
          <w:rFonts w:ascii="Times New Roman" w:hAnsi="Times New Roman"/>
          <w:color w:val="auto"/>
        </w:rPr>
        <w:t xml:space="preserve"> plānots izstrādāt jaunu</w:t>
      </w:r>
      <w:r>
        <w:rPr>
          <w:rFonts w:ascii="Times New Roman" w:hAnsi="Times New Roman"/>
          <w:color w:val="auto"/>
        </w:rPr>
        <w:t>s</w:t>
      </w:r>
      <w:r w:rsidRPr="006202E5">
        <w:rPr>
          <w:rFonts w:ascii="Times New Roman" w:hAnsi="Times New Roman"/>
          <w:color w:val="auto"/>
        </w:rPr>
        <w:t xml:space="preserve"> pasākumu plānu</w:t>
      </w:r>
      <w:r>
        <w:rPr>
          <w:rFonts w:ascii="Times New Roman" w:hAnsi="Times New Roman"/>
          <w:color w:val="auto"/>
        </w:rPr>
        <w:t>s</w:t>
      </w:r>
      <w:r w:rsidRPr="006202E5">
        <w:rPr>
          <w:rFonts w:ascii="Times New Roman" w:hAnsi="Times New Roman"/>
          <w:color w:val="auto"/>
        </w:rPr>
        <w:t xml:space="preserve"> administratīvā sloga samazināšanai, administratīvo procedūru vienkāršošanai un publisko pakalpojumu kvalitātes uzlabošanai uzņēmējiem un iedzīvotājiem.</w:t>
      </w:r>
    </w:p>
    <w:p w:rsidR="000D0D97" w:rsidRPr="004967A8" w:rsidRDefault="000D0D97" w:rsidP="004967A8">
      <w:pPr>
        <w:pStyle w:val="Default"/>
        <w:adjustRightInd w:val="0"/>
        <w:ind w:firstLine="709"/>
        <w:jc w:val="both"/>
        <w:rPr>
          <w:rFonts w:ascii="Times New Roman" w:hAnsi="Times New Roman"/>
          <w:color w:val="auto"/>
        </w:rPr>
      </w:pPr>
      <w:r w:rsidRPr="006202E5">
        <w:rPr>
          <w:rFonts w:ascii="Times New Roman" w:hAnsi="Times New Roman"/>
        </w:rPr>
        <w:t xml:space="preserve">VK mājaslapā internetā ir izveidota vietne, ar kuras starpniecību iedzīvotāji var sniegt konkrētus priekšlikumus administratīvā sloga mazināšanai, gan aprakstot problēmas, gan piedāvājot risinājumus tām. </w:t>
      </w:r>
    </w:p>
    <w:p w:rsidR="005F513B" w:rsidRDefault="005F513B" w:rsidP="005F513B">
      <w:pPr>
        <w:pStyle w:val="Heading3"/>
      </w:pPr>
      <w:bookmarkStart w:id="170" w:name="_Toc348948430"/>
      <w:r>
        <w:t xml:space="preserve">6.3. </w:t>
      </w:r>
      <w:r w:rsidRPr="005F513B">
        <w:t>Publisko</w:t>
      </w:r>
      <w:r>
        <w:t xml:space="preserve"> pakalpojumu sistēmas pilnveide</w:t>
      </w:r>
      <w:bookmarkEnd w:id="170"/>
    </w:p>
    <w:p w:rsidR="006202E5" w:rsidRPr="005F513B" w:rsidRDefault="005F513B" w:rsidP="005F513B">
      <w:pPr>
        <w:spacing w:after="0" w:line="240" w:lineRule="auto"/>
        <w:ind w:firstLine="709"/>
        <w:jc w:val="both"/>
        <w:rPr>
          <w:rFonts w:cs="Times New Roman"/>
          <w:szCs w:val="24"/>
        </w:rPr>
      </w:pPr>
      <w:r w:rsidRPr="00F20E85">
        <w:rPr>
          <w:rFonts w:ascii="Times New Roman" w:hAnsi="Times New Roman" w:cs="Times New Roman"/>
          <w:sz w:val="24"/>
          <w:szCs w:val="24"/>
        </w:rPr>
        <w:t>Ar mērķi nodrošināt kvalitatīvākus, daudz ērtāk pieejamus un izprotamus pakalpojumus iedzīvotājiem VARAM ir sagatavojusi un iesniegusi Ministru kabinetā Publisko pakalpojumu sistēmas pilnveides koncepcijas projektu. Lai sasniegtu</w:t>
      </w:r>
      <w:r>
        <w:rPr>
          <w:rFonts w:ascii="Times New Roman" w:hAnsi="Times New Roman" w:cs="Times New Roman"/>
          <w:sz w:val="24"/>
          <w:szCs w:val="24"/>
        </w:rPr>
        <w:t xml:space="preserve"> koncepcijā izvirzītos mērķus, rīcība plānota vairākos virzienos, no kuriem svarīgākie ir trīs – vienota normatīvā ietvara radīšana, pakalpojumu elektronizācija un vienota klientu apkalpošanas centra tīkla izveide. To plānots darīt pakāpeniski – 2013.gadā veicot sagatavošanās darbus, bet 2014.gadā īstenojot pilotprojektu. Pēc pilotprojekta rezultātu izvērtējuma iecerēts precizēt koncepcijas tālākās ieviešanas plānus</w:t>
      </w:r>
      <w:r w:rsidR="000B3A5C">
        <w:rPr>
          <w:rFonts w:ascii="Times New Roman" w:hAnsi="Times New Roman" w:cs="Times New Roman"/>
          <w:sz w:val="24"/>
          <w:szCs w:val="24"/>
        </w:rPr>
        <w:t xml:space="preserve"> un gatavoties tam, lai ar 2016.</w:t>
      </w:r>
      <w:r>
        <w:rPr>
          <w:rFonts w:ascii="Times New Roman" w:hAnsi="Times New Roman" w:cs="Times New Roman"/>
          <w:sz w:val="24"/>
          <w:szCs w:val="24"/>
        </w:rPr>
        <w:t xml:space="preserve">gadu varētu uzsākt vienotā valsts klientu apkalpošanas centra tīkla darbību visā Latvijas teritorijā. </w:t>
      </w:r>
    </w:p>
    <w:p w:rsidR="00CA63EF" w:rsidRPr="006202E5" w:rsidRDefault="005F513B" w:rsidP="00CA63EF">
      <w:pPr>
        <w:pStyle w:val="Heading3"/>
        <w:rPr>
          <w:szCs w:val="24"/>
        </w:rPr>
      </w:pPr>
      <w:bookmarkStart w:id="171" w:name="_Toc348948431"/>
      <w:r>
        <w:rPr>
          <w:szCs w:val="24"/>
        </w:rPr>
        <w:t xml:space="preserve">6.4. </w:t>
      </w:r>
      <w:r w:rsidR="00A000E3" w:rsidRPr="006202E5">
        <w:rPr>
          <w:szCs w:val="24"/>
        </w:rPr>
        <w:t xml:space="preserve"> </w:t>
      </w:r>
      <w:r w:rsidR="00CA63EF" w:rsidRPr="006202E5">
        <w:rPr>
          <w:szCs w:val="24"/>
        </w:rPr>
        <w:t>Valsts pārvaldes un cilvēkresursu politika</w:t>
      </w:r>
      <w:bookmarkEnd w:id="171"/>
    </w:p>
    <w:p w:rsidR="00992492" w:rsidRPr="006202E5" w:rsidRDefault="00992492" w:rsidP="00992492">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Izveidota Valsts pārvaldes cilvēkresursu attīstības padome, kuras mērķis ir izstrādāt vienotu cilvēkresursu attīstības politiku valsts pārvaldē un koordinēt tās ieviešanu.</w:t>
      </w:r>
    </w:p>
    <w:p w:rsidR="00992492" w:rsidRPr="006202E5" w:rsidRDefault="00992492" w:rsidP="009924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Pieņemot MK noteikumus,</w:t>
      </w:r>
      <w:r w:rsidRPr="006202E5">
        <w:rPr>
          <w:rFonts w:ascii="Times New Roman" w:hAnsi="Times New Roman" w:cs="Times New Roman"/>
          <w:sz w:val="24"/>
          <w:szCs w:val="24"/>
        </w:rPr>
        <w:t xml:space="preserve"> </w:t>
      </w:r>
      <w:r>
        <w:rPr>
          <w:rFonts w:ascii="Times New Roman" w:hAnsi="Times New Roman" w:cs="Times New Roman"/>
          <w:sz w:val="24"/>
          <w:szCs w:val="24"/>
        </w:rPr>
        <w:t>i</w:t>
      </w:r>
      <w:r w:rsidRPr="006202E5">
        <w:rPr>
          <w:rFonts w:ascii="Times New Roman" w:hAnsi="Times New Roman" w:cs="Times New Roman"/>
          <w:sz w:val="24"/>
          <w:szCs w:val="24"/>
        </w:rPr>
        <w:t>eviesti jauni princip</w:t>
      </w:r>
      <w:r>
        <w:rPr>
          <w:rFonts w:ascii="Times New Roman" w:hAnsi="Times New Roman" w:cs="Times New Roman"/>
          <w:sz w:val="24"/>
          <w:szCs w:val="24"/>
        </w:rPr>
        <w:t>i</w:t>
      </w:r>
      <w:r w:rsidRPr="006202E5">
        <w:rPr>
          <w:rFonts w:ascii="Times New Roman" w:hAnsi="Times New Roman" w:cs="Times New Roman"/>
          <w:sz w:val="24"/>
          <w:szCs w:val="24"/>
        </w:rPr>
        <w:t xml:space="preserve"> tiešajā valsts pārvaldē nodarbināto darba izpildes novērtēšanā, kā arī VK nodrošinājusi apmācības par jauno sistēmu sistēmas administratoriem un lietotājiem </w:t>
      </w:r>
      <w:r w:rsidR="000B3A5C" w:rsidRPr="00034A96">
        <w:rPr>
          <w:rFonts w:ascii="Times New Roman" w:hAnsi="Times New Roman"/>
          <w:sz w:val="24"/>
          <w:szCs w:val="24"/>
        </w:rPr>
        <w:t>–</w:t>
      </w:r>
      <w:r w:rsidRPr="006202E5">
        <w:rPr>
          <w:rFonts w:ascii="Times New Roman" w:hAnsi="Times New Roman" w:cs="Times New Roman"/>
          <w:sz w:val="24"/>
          <w:szCs w:val="24"/>
        </w:rPr>
        <w:t xml:space="preserve"> 2012.gadā ir īstenotas 43 apmācības ministrijās un to padotības iestādēs, kurās kopā piedalījušies 785 cilvēki. </w:t>
      </w:r>
    </w:p>
    <w:p w:rsidR="00992492" w:rsidRPr="006202E5" w:rsidRDefault="00992492" w:rsidP="00992492">
      <w:pPr>
        <w:spacing w:after="0" w:line="240" w:lineRule="auto"/>
        <w:ind w:firstLine="720"/>
        <w:jc w:val="both"/>
        <w:rPr>
          <w:rFonts w:ascii="Times New Roman" w:hAnsi="Times New Roman" w:cs="Times New Roman"/>
          <w:sz w:val="24"/>
          <w:szCs w:val="24"/>
        </w:rPr>
      </w:pPr>
      <w:r w:rsidRPr="006202E5">
        <w:rPr>
          <w:rFonts w:ascii="Times New Roman" w:hAnsi="Times New Roman" w:cs="Times New Roman"/>
          <w:sz w:val="24"/>
          <w:szCs w:val="24"/>
        </w:rPr>
        <w:t>Pieņemta Valsts pārvaldes cilvēkresursu attīstības koncepcija, kura piedāvā turpmāko rīcību nodarbināto tiesisko attiecību pilnveidošanā (civildienesta sistēmas reforma) un augstākā līmeņa vadītāju attīstīšanā, darba samaksas un sociālo garantiju sistēmas pilnveidošanā, motivācijas sistēmas un profesionālās pilnveides pasākumu nodrošināšanā u.c.</w:t>
      </w:r>
    </w:p>
    <w:p w:rsidR="00992492" w:rsidRPr="006202E5" w:rsidRDefault="00992492" w:rsidP="00992492">
      <w:pPr>
        <w:pStyle w:val="Default"/>
        <w:ind w:firstLine="720"/>
        <w:jc w:val="both"/>
        <w:rPr>
          <w:rFonts w:ascii="Times New Roman" w:hAnsi="Times New Roman"/>
          <w:color w:val="auto"/>
        </w:rPr>
      </w:pPr>
      <w:r w:rsidRPr="006202E5">
        <w:rPr>
          <w:rFonts w:ascii="Times New Roman" w:hAnsi="Times New Roman"/>
          <w:color w:val="auto"/>
        </w:rPr>
        <w:t>Izstrādāts regulējums, lai nodrošinātu efektīvāku iekšējās kontroles sistēmu ieviešanu visā valsts pārvaldē. Iekšējās kontroles sistēmas mērķis ir nodrošināt pastāvīgu, ekonomisku, efektīvu un lietderīgu iestādes darbību, īstenojot risku vadības, kontroles un pārvaldības pasākumu kopumu. Lai sniegtu praktisku atbalstu valsts pārvaldes iestādēm, veidojot iekšējās kontroles sistēmu, VK ir izstrādājusi iekšējās kontroles sistēmas izveidošanas, uzraud</w:t>
      </w:r>
      <w:r w:rsidR="000B3A5C">
        <w:rPr>
          <w:rFonts w:ascii="Times New Roman" w:hAnsi="Times New Roman"/>
          <w:color w:val="auto"/>
        </w:rPr>
        <w:t>zības un uzlabošanas vadlīnijas</w:t>
      </w:r>
      <w:r w:rsidRPr="006202E5">
        <w:rPr>
          <w:rFonts w:ascii="Times New Roman" w:hAnsi="Times New Roman"/>
          <w:color w:val="auto"/>
        </w:rPr>
        <w:t xml:space="preserve">, kuru galvenais mērķis ir nodrošināt vienotu izpratni par iekšējās kontroles sistēmu visās valsts tiešās pārvaldes iestādēs, skaidrojot iekšējās kontroles sistēmas izveidošanas, uzraudzības un uzlabošanas pamatprasības. </w:t>
      </w:r>
    </w:p>
    <w:p w:rsidR="00992492" w:rsidRPr="006202E5" w:rsidRDefault="00992492" w:rsidP="004967A8">
      <w:pPr>
        <w:spacing w:after="0" w:line="240" w:lineRule="auto"/>
        <w:ind w:left="66" w:firstLine="654"/>
        <w:jc w:val="both"/>
        <w:rPr>
          <w:rFonts w:ascii="Times New Roman" w:hAnsi="Times New Roman" w:cs="Times New Roman"/>
          <w:sz w:val="24"/>
          <w:szCs w:val="24"/>
        </w:rPr>
      </w:pPr>
      <w:r w:rsidRPr="006202E5">
        <w:rPr>
          <w:rFonts w:ascii="Times New Roman" w:hAnsi="Times New Roman" w:cs="Times New Roman"/>
          <w:sz w:val="24"/>
          <w:szCs w:val="24"/>
        </w:rPr>
        <w:t xml:space="preserve">Lai pilnveidotu atlīdzības politiku sabiedriskajā sektorā nodarbinātajiem, pieņemti grozījumi Valsts un pašvaldību institūciju amatpersonu un darbinieku atlīdzības likumā, </w:t>
      </w:r>
      <w:r w:rsidRPr="006202E5">
        <w:rPr>
          <w:rFonts w:ascii="Times New Roman" w:hAnsi="Times New Roman" w:cs="Times New Roman"/>
          <w:sz w:val="24"/>
          <w:szCs w:val="24"/>
        </w:rPr>
        <w:lastRenderedPageBreak/>
        <w:t>paredzot pasākumus motivācijas sistēmas pilnveidei ar mērķi uzlabot valsts pārvaldē nodarbināto darba efektivitāti. Paredzēts paaugstināt piemaksu par papildu darbu un par aizvietošanu, kā arī par personisko darba ieguldījumu un darba kvalitāti. 2013.gadā paredzēta iespēja arī motivēt tos darbiniekus, kuru darbības rezultātā ir būtiski uzlabota situācija ēnu ekonomikas apkarošanā un godīgas konkurences veicināšanā, kā arī par ieguldījumu valsts budžeta izdevumu samazināšanā vai iestādes darbīb</w:t>
      </w:r>
      <w:r w:rsidR="00D11AC9">
        <w:rPr>
          <w:rFonts w:ascii="Times New Roman" w:hAnsi="Times New Roman" w:cs="Times New Roman"/>
          <w:sz w:val="24"/>
          <w:szCs w:val="24"/>
        </w:rPr>
        <w:t>as izpildes rādītāju uzlabošanā</w:t>
      </w:r>
      <w:r w:rsidRPr="006202E5">
        <w:rPr>
          <w:rFonts w:ascii="Times New Roman" w:hAnsi="Times New Roman" w:cs="Times New Roman"/>
          <w:sz w:val="24"/>
          <w:szCs w:val="24"/>
        </w:rPr>
        <w:t>.</w:t>
      </w:r>
    </w:p>
    <w:p w:rsidR="00992492" w:rsidRPr="006202E5" w:rsidRDefault="00992492" w:rsidP="00992492">
      <w:pPr>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Sociālo garantiju amatpersonu ar speciālajām dienesta pakāpēm sistēmas pilnveidošanas realizējamo pasākumu ietvaros uzturdevas kompensācijā integrēta amatpersonu atalgojumā</w:t>
      </w:r>
      <w:r w:rsidR="00D11AC9">
        <w:rPr>
          <w:rFonts w:ascii="Times New Roman" w:eastAsia="Times New Roman" w:hAnsi="Times New Roman" w:cs="Times New Roman"/>
          <w:sz w:val="24"/>
          <w:szCs w:val="24"/>
        </w:rPr>
        <w:t>,</w:t>
      </w:r>
      <w:r w:rsidRPr="006202E5">
        <w:rPr>
          <w:rFonts w:ascii="Times New Roman" w:eastAsia="Times New Roman" w:hAnsi="Times New Roman" w:cs="Times New Roman"/>
          <w:sz w:val="24"/>
          <w:szCs w:val="24"/>
        </w:rPr>
        <w:t xml:space="preserve"> sākot ar 2013.gadu.</w:t>
      </w:r>
    </w:p>
    <w:p w:rsidR="00992492" w:rsidRPr="006202E5" w:rsidRDefault="00992492" w:rsidP="00992492">
      <w:pPr>
        <w:spacing w:after="0" w:line="240" w:lineRule="auto"/>
        <w:ind w:firstLine="720"/>
        <w:jc w:val="both"/>
        <w:rPr>
          <w:rFonts w:ascii="Times New Roman" w:eastAsia="Times New Roman" w:hAnsi="Times New Roman" w:cs="Times New Roman"/>
          <w:sz w:val="24"/>
          <w:szCs w:val="24"/>
        </w:rPr>
      </w:pPr>
      <w:r w:rsidRPr="006202E5">
        <w:rPr>
          <w:rFonts w:ascii="Times New Roman" w:eastAsia="Times New Roman" w:hAnsi="Times New Roman" w:cs="Times New Roman"/>
          <w:sz w:val="24"/>
          <w:szCs w:val="24"/>
        </w:rPr>
        <w:t xml:space="preserve">Līdz š.g. 29.martam plānots pabeigt darbu pie koncepcijas projekta par jauniem principiem </w:t>
      </w:r>
      <w:r w:rsidR="00D11AC9">
        <w:rPr>
          <w:rFonts w:ascii="Times New Roman" w:eastAsia="Times New Roman" w:hAnsi="Times New Roman" w:cs="Times New Roman"/>
          <w:sz w:val="24"/>
          <w:szCs w:val="24"/>
        </w:rPr>
        <w:t>darba samaksas sistēmā</w:t>
      </w:r>
      <w:r w:rsidRPr="006202E5">
        <w:rPr>
          <w:rFonts w:ascii="Times New Roman" w:eastAsia="Times New Roman" w:hAnsi="Times New Roman" w:cs="Times New Roman"/>
          <w:sz w:val="24"/>
          <w:szCs w:val="24"/>
        </w:rPr>
        <w:t xml:space="preserve"> amatpersonām ar speciālajām dienesta pakāpēm. </w:t>
      </w:r>
    </w:p>
    <w:p w:rsidR="00992492" w:rsidRDefault="00992492" w:rsidP="00992492">
      <w:pPr>
        <w:rPr>
          <w:rFonts w:ascii="Times New Roman" w:eastAsia="Calibri" w:hAnsi="Times New Roman" w:cs="Times New Roman"/>
          <w:b/>
          <w:bCs/>
          <w:kern w:val="36"/>
          <w:sz w:val="24"/>
          <w:szCs w:val="24"/>
        </w:rPr>
      </w:pPr>
      <w:r>
        <w:rPr>
          <w:sz w:val="24"/>
          <w:szCs w:val="24"/>
        </w:rPr>
        <w:br w:type="page"/>
      </w:r>
    </w:p>
    <w:p w:rsidR="00FD601E" w:rsidRPr="00A03F5A" w:rsidRDefault="00FD601E" w:rsidP="00871110">
      <w:pPr>
        <w:pStyle w:val="Heading1"/>
      </w:pPr>
      <w:bookmarkStart w:id="172" w:name="_Toc348948432"/>
      <w:r w:rsidRPr="00A03F5A">
        <w:lastRenderedPageBreak/>
        <w:t>V. Kultūrtelpa</w:t>
      </w:r>
      <w:bookmarkEnd w:id="172"/>
    </w:p>
    <w:p w:rsidR="00FD601E" w:rsidRPr="00A03F5A" w:rsidRDefault="00FD601E" w:rsidP="00FD601E">
      <w:pPr>
        <w:pStyle w:val="Heading2"/>
        <w:numPr>
          <w:ilvl w:val="1"/>
          <w:numId w:val="1"/>
        </w:numPr>
        <w:ind w:left="426" w:hanging="426"/>
        <w:rPr>
          <w:rFonts w:cs="Times New Roman"/>
          <w:szCs w:val="28"/>
        </w:rPr>
      </w:pPr>
      <w:bookmarkStart w:id="173" w:name="_Toc348948433"/>
      <w:r w:rsidRPr="00A03F5A">
        <w:rPr>
          <w:rFonts w:cs="Times New Roman"/>
          <w:szCs w:val="28"/>
        </w:rPr>
        <w:t>Kultūra un kultūras mantojuma saglabāšana</w:t>
      </w:r>
      <w:bookmarkEnd w:id="173"/>
    </w:p>
    <w:p w:rsidR="00FD601E" w:rsidRPr="00A03F5A" w:rsidRDefault="00FD601E" w:rsidP="00583FA8">
      <w:pPr>
        <w:pStyle w:val="Heading3"/>
      </w:pPr>
      <w:bookmarkStart w:id="174" w:name="_Toc348948434"/>
      <w:r w:rsidRPr="00A03F5A">
        <w:t>1.1.</w:t>
      </w:r>
      <w:r w:rsidR="009A7775">
        <w:t xml:space="preserve"> </w:t>
      </w:r>
      <w:r w:rsidRPr="00A03F5A">
        <w:t xml:space="preserve">Valsts </w:t>
      </w:r>
      <w:r w:rsidRPr="00583FA8">
        <w:t>kultūrpolitikas</w:t>
      </w:r>
      <w:r w:rsidRPr="00A03F5A">
        <w:t xml:space="preserve"> īstenošana</w:t>
      </w:r>
      <w:bookmarkEnd w:id="174"/>
    </w:p>
    <w:p w:rsidR="00CA24BF" w:rsidRPr="00CA24BF" w:rsidRDefault="00CA24BF" w:rsidP="009A7775">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Lai sekmētu radošā potenciāla apzināšanu un izmantošanu Latvijas konkurētspējas stiprināšanā, tautsaimniecības attīstībā un sabiedrības labklājības veicināšanā</w:t>
      </w:r>
      <w:r w:rsidR="009A7775">
        <w:rPr>
          <w:rFonts w:ascii="Times New Roman" w:hAnsi="Times New Roman" w:cs="Times New Roman"/>
          <w:sz w:val="24"/>
          <w:szCs w:val="24"/>
        </w:rPr>
        <w:t>,</w:t>
      </w:r>
      <w:r w:rsidRPr="00CA24BF">
        <w:rPr>
          <w:rFonts w:ascii="Times New Roman" w:hAnsi="Times New Roman" w:cs="Times New Roman"/>
          <w:sz w:val="24"/>
          <w:szCs w:val="24"/>
        </w:rPr>
        <w:t xml:space="preserve"> 2012.gada 14.martā tika parakstīts KM, IZM, VARAM un EM Nodomu protokols par sadarbības jomām un uzdevumiem radošās Latvijas platformas izveidē. Izveidota jauna sadarbības forma ar kultūras jomas nevalstisko sektoru, nodrošinot kultūras NVO ciešāku iesaisti kultūrpolitikas veidošanā. 2012.gada 21.maijā </w:t>
      </w:r>
      <w:r w:rsidRPr="00CA24BF">
        <w:rPr>
          <w:rStyle w:val="Strong"/>
          <w:rFonts w:ascii="Times New Roman" w:hAnsi="Times New Roman" w:cs="Times New Roman"/>
          <w:b w:val="0"/>
          <w:sz w:val="24"/>
          <w:szCs w:val="24"/>
        </w:rPr>
        <w:t>KM, Kultūras alianse un Nacionālā apvienība noslēdza sadarbības memorandu.</w:t>
      </w:r>
      <w:r w:rsidRPr="00CA24BF">
        <w:rPr>
          <w:rFonts w:ascii="Times New Roman" w:hAnsi="Times New Roman" w:cs="Times New Roman"/>
          <w:sz w:val="24"/>
          <w:szCs w:val="24"/>
        </w:rPr>
        <w:t xml:space="preserve"> </w:t>
      </w:r>
    </w:p>
    <w:p w:rsidR="00CA24BF" w:rsidRPr="00CA24BF" w:rsidRDefault="00CA24BF" w:rsidP="007A457D">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2012.gadā izstrādātas vairākas kultūras institūciju darbības stratēģijas </w:t>
      </w:r>
      <w:r w:rsidR="007A457D">
        <w:rPr>
          <w:rFonts w:ascii="Times New Roman" w:hAnsi="Times New Roman" w:cs="Times New Roman"/>
          <w:sz w:val="24"/>
          <w:szCs w:val="24"/>
        </w:rPr>
        <w:t>– VKKF,</w:t>
      </w:r>
      <w:r w:rsidRPr="00CA24BF">
        <w:rPr>
          <w:rFonts w:ascii="Times New Roman" w:hAnsi="Times New Roman" w:cs="Times New Roman"/>
          <w:sz w:val="24"/>
          <w:szCs w:val="24"/>
        </w:rPr>
        <w:t xml:space="preserve"> Latvijas Nacionālās operas un Latvijas Mākslas</w:t>
      </w:r>
      <w:r w:rsidR="007A457D">
        <w:rPr>
          <w:rFonts w:ascii="Times New Roman" w:hAnsi="Times New Roman" w:cs="Times New Roman"/>
          <w:sz w:val="24"/>
          <w:szCs w:val="24"/>
        </w:rPr>
        <w:t xml:space="preserve"> akadēmijas darbības stratēģija</w:t>
      </w:r>
      <w:r w:rsidRPr="00CA24BF">
        <w:rPr>
          <w:rFonts w:ascii="Times New Roman" w:hAnsi="Times New Roman" w:cs="Times New Roman"/>
          <w:sz w:val="24"/>
          <w:szCs w:val="24"/>
        </w:rPr>
        <w:t>, lai noteiktu attīstības mērķus un pamatotu nepieciešam</w:t>
      </w:r>
      <w:r w:rsidR="009A7775">
        <w:rPr>
          <w:rFonts w:ascii="Times New Roman" w:hAnsi="Times New Roman" w:cs="Times New Roman"/>
          <w:sz w:val="24"/>
          <w:szCs w:val="24"/>
        </w:rPr>
        <w:t>ā</w:t>
      </w:r>
      <w:r w:rsidRPr="00CA24BF">
        <w:rPr>
          <w:rFonts w:ascii="Times New Roman" w:hAnsi="Times New Roman" w:cs="Times New Roman"/>
          <w:sz w:val="24"/>
          <w:szCs w:val="24"/>
        </w:rPr>
        <w:t xml:space="preserve"> finansējuma pieaugumu.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Lai veicinātu reģionu kultūras dzīves daudzveidību, īstenotas VKKF mērķprogrammas </w:t>
      </w:r>
      <w:r w:rsidR="00B167ED">
        <w:rPr>
          <w:rFonts w:ascii="Times New Roman" w:hAnsi="Times New Roman" w:cs="Times New Roman"/>
          <w:sz w:val="24"/>
          <w:szCs w:val="24"/>
        </w:rPr>
        <w:t>"</w:t>
      </w:r>
      <w:r w:rsidRPr="00CA24BF">
        <w:rPr>
          <w:rFonts w:ascii="Times New Roman" w:hAnsi="Times New Roman" w:cs="Times New Roman"/>
          <w:sz w:val="24"/>
          <w:szCs w:val="24"/>
        </w:rPr>
        <w:t>Profesionālās mākslas pieejamības nodrošināšana reģionos</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un īstenotas Kurzemes, Latgales, Zemgales un Vidzemes kultūras programmas, nodrošinot kultūras pieejamību reģionos.</w:t>
      </w:r>
    </w:p>
    <w:p w:rsidR="00CA24BF" w:rsidRPr="00FD601E"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Ar </w:t>
      </w:r>
      <w:r w:rsidRPr="00CA24BF">
        <w:rPr>
          <w:rFonts w:ascii="Times New Roman" w:hAnsi="Times New Roman" w:cs="Times New Roman"/>
          <w:bCs/>
          <w:sz w:val="24"/>
          <w:szCs w:val="24"/>
        </w:rPr>
        <w:t xml:space="preserve">2013.gada 1.janvāri normatīvais regulējums paredz izveidot </w:t>
      </w:r>
      <w:r w:rsidRPr="00CA24BF">
        <w:rPr>
          <w:rFonts w:ascii="Times New Roman" w:hAnsi="Times New Roman" w:cs="Times New Roman"/>
          <w:sz w:val="24"/>
          <w:szCs w:val="24"/>
        </w:rPr>
        <w:t xml:space="preserve">Latvijas Filmu fondu un noteikt valsts budžeta līdzfinansējumu ārvalstu filmu uzņemšanai Latvijā. </w:t>
      </w:r>
      <w:r w:rsidR="009A7775">
        <w:rPr>
          <w:rFonts w:ascii="Times New Roman" w:hAnsi="Times New Roman" w:cs="Times New Roman"/>
          <w:sz w:val="24"/>
          <w:szCs w:val="24"/>
        </w:rPr>
        <w:t>L</w:t>
      </w:r>
      <w:r w:rsidRPr="00CA24BF">
        <w:rPr>
          <w:rFonts w:ascii="Times New Roman" w:hAnsi="Times New Roman" w:cs="Times New Roman"/>
          <w:sz w:val="24"/>
          <w:szCs w:val="24"/>
        </w:rPr>
        <w:t>ai saņemtu ES līdzfinansējumu, plānotās aktivitātes ir nepieciešams saskaņot ar EK.</w:t>
      </w:r>
      <w:r w:rsidRPr="00FD601E">
        <w:rPr>
          <w:rFonts w:ascii="Times New Roman" w:hAnsi="Times New Roman" w:cs="Times New Roman"/>
          <w:sz w:val="24"/>
          <w:szCs w:val="24"/>
        </w:rPr>
        <w:t xml:space="preserve"> </w:t>
      </w:r>
    </w:p>
    <w:p w:rsidR="00FD601E" w:rsidRPr="00FD601E" w:rsidRDefault="00FD601E" w:rsidP="00583FA8">
      <w:pPr>
        <w:pStyle w:val="Heading3"/>
        <w:rPr>
          <w:rFonts w:eastAsiaTheme="minorEastAsia"/>
        </w:rPr>
      </w:pPr>
      <w:bookmarkStart w:id="175" w:name="_Toc348948435"/>
      <w:r w:rsidRPr="00FD601E">
        <w:rPr>
          <w:rFonts w:eastAsiaTheme="minorEastAsia"/>
        </w:rPr>
        <w:t>1.2.</w:t>
      </w:r>
      <w:r w:rsidR="009A7775">
        <w:rPr>
          <w:rFonts w:eastAsiaTheme="minorEastAsia"/>
        </w:rPr>
        <w:t xml:space="preserve"> </w:t>
      </w:r>
      <w:r w:rsidRPr="00FD601E">
        <w:rPr>
          <w:rFonts w:eastAsiaTheme="minorEastAsia"/>
        </w:rPr>
        <w:t xml:space="preserve">Atbalsts valsts </w:t>
      </w:r>
      <w:r w:rsidRPr="00583FA8">
        <w:t>kultūrnotikumiem</w:t>
      </w:r>
      <w:bookmarkEnd w:id="175"/>
    </w:p>
    <w:p w:rsidR="00CA24BF" w:rsidRPr="00CA24BF" w:rsidRDefault="00CA24BF" w:rsidP="00CA24BF">
      <w:pPr>
        <w:pStyle w:val="ListParagraph"/>
        <w:spacing w:after="0" w:line="240" w:lineRule="auto"/>
        <w:ind w:left="0" w:firstLine="720"/>
        <w:jc w:val="both"/>
        <w:rPr>
          <w:rFonts w:ascii="Times New Roman" w:hAnsi="Times New Roman" w:cs="Times New Roman"/>
          <w:sz w:val="24"/>
          <w:szCs w:val="24"/>
        </w:rPr>
      </w:pPr>
      <w:r w:rsidRPr="00CA24BF">
        <w:rPr>
          <w:rFonts w:ascii="Times New Roman" w:hAnsi="Times New Roman"/>
          <w:sz w:val="24"/>
          <w:szCs w:val="24"/>
        </w:rPr>
        <w:t>2012.gadā jaunbūvējamā Latvijas Nacionālās bibliotēkas (LNB) ēka pabeigta par 90</w:t>
      </w:r>
      <w:r w:rsidR="00111406">
        <w:rPr>
          <w:rFonts w:ascii="Times New Roman" w:hAnsi="Times New Roman"/>
          <w:sz w:val="24"/>
          <w:szCs w:val="24"/>
        </w:rPr>
        <w:t> %</w:t>
      </w:r>
      <w:r w:rsidRPr="00CA24BF">
        <w:rPr>
          <w:rFonts w:ascii="Times New Roman" w:hAnsi="Times New Roman"/>
          <w:sz w:val="24"/>
          <w:szCs w:val="24"/>
        </w:rPr>
        <w:t>. Projektu plānots pabeigt līdz 2013.gada 31.decembrim, tāpēc ir svarīgi t</w:t>
      </w:r>
      <w:r w:rsidRPr="00CA24BF">
        <w:rPr>
          <w:rFonts w:ascii="Times New Roman" w:hAnsi="Times New Roman" w:cs="Times New Roman"/>
          <w:sz w:val="24"/>
          <w:szCs w:val="24"/>
        </w:rPr>
        <w:t>urpināt iesāktos priekšdarbus, gatavojoties LNB funkciju īstenošanai un pakalpojumu sniegšanai jaunajā bibliotēkas ēkā 2014.gadā un LNB ēkas pielāgošanai kā ES prezidentūras norises vietai 2015.gadā.</w:t>
      </w:r>
    </w:p>
    <w:p w:rsidR="00CA24BF" w:rsidRPr="00CA24BF" w:rsidRDefault="00CA24BF" w:rsidP="00CA24BF">
      <w:pPr>
        <w:pStyle w:val="ListParagraph"/>
        <w:spacing w:after="0" w:line="240" w:lineRule="auto"/>
        <w:ind w:left="0"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Lai noorganizētu XXV Vispārējos latviešu dziesmu un XV Deju svētkus Rīgā no 2013.gada 30.jūnija līdz 7.jūlijam, aktīvi norit gatavošanās tiem </w:t>
      </w:r>
      <w:r w:rsidR="009A7775">
        <w:rPr>
          <w:rFonts w:ascii="Times New Roman" w:hAnsi="Times New Roman" w:cs="Times New Roman"/>
          <w:sz w:val="24"/>
          <w:szCs w:val="24"/>
        </w:rPr>
        <w:t>–</w:t>
      </w:r>
      <w:r w:rsidRPr="00CA24BF">
        <w:rPr>
          <w:rFonts w:ascii="Times New Roman" w:hAnsi="Times New Roman" w:cs="Times New Roman"/>
          <w:sz w:val="24"/>
          <w:szCs w:val="24"/>
        </w:rPr>
        <w:t xml:space="preserve"> darbu uzsākusi Dziesmu un deju svētku padome un Rīcības komiteja, noteikts svētku norises laiks un vietas. Apstiprinātas svētku galveno pasākumu mākslinieciskās koncepcijas, izvēlēts svētku vizuālās identitātes risinājums, izstrādāta svētku biļešu politika. Īstenoti 112 starpsvētku pasākumi, kuros piedalījušies 1614 mākslinieciskie kolektīvi. Pirmo reizi svētkiem gatavojas arī 57 latviešu diasporas mākslinieciskie kolektīvi.</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2012.gada nogalē atjaunota mērķdotācija māksliniecisko kolektīvu vadītāju darba samaksai un valsts sociālās apdrošināšanas obligātajām iemaksām. 2012.gadā pašvaldību amatiermākslas kolektīvu vadītāju darba samaksai piešķirta mērķdotācija 490 000 latu apjomā.</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2012.gadā notika gatavošanās XI Latvijas skolu jaunatnes dziesmu un deju svētkiem, izstrādājot </w:t>
      </w:r>
      <w:r w:rsidRPr="00CA24BF">
        <w:rPr>
          <w:rFonts w:ascii="Times New Roman" w:hAnsi="Times New Roman"/>
          <w:bCs/>
          <w:sz w:val="24"/>
          <w:szCs w:val="24"/>
        </w:rPr>
        <w:t>tautas deju lieluzveduma koncepciju un Mežaparka koncerta māksliniecisko koncepciju.</w:t>
      </w:r>
      <w:r w:rsidRPr="00CA24BF">
        <w:rPr>
          <w:rFonts w:ascii="Times New Roman" w:hAnsi="Times New Roman" w:cs="Times New Roman"/>
          <w:sz w:val="24"/>
          <w:szCs w:val="24"/>
        </w:rPr>
        <w:t xml:space="preserve"> Plānots turpināt darbu pie dziesmu un deju svētku sagatavošanas, </w:t>
      </w:r>
      <w:r w:rsidRPr="00CA24BF">
        <w:rPr>
          <w:rFonts w:ascii="Times New Roman" w:hAnsi="Times New Roman"/>
          <w:sz w:val="24"/>
          <w:szCs w:val="24"/>
        </w:rPr>
        <w:t>nodrošinot kultūras aktivitātes skolēniem</w:t>
      </w:r>
      <w:r w:rsidRPr="00CA24BF">
        <w:rPr>
          <w:rFonts w:ascii="Times New Roman" w:hAnsi="Times New Roman" w:cs="Times New Roman"/>
          <w:sz w:val="24"/>
          <w:szCs w:val="24"/>
        </w:rPr>
        <w:t xml:space="preserve">.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2012.gada jūlijā sarīkots starptautiskais folkloras festivāls </w:t>
      </w:r>
      <w:r w:rsidR="00B167ED">
        <w:rPr>
          <w:rFonts w:ascii="Times New Roman" w:hAnsi="Times New Roman" w:cs="Times New Roman"/>
          <w:sz w:val="24"/>
          <w:szCs w:val="24"/>
        </w:rPr>
        <w:t>"</w:t>
      </w:r>
      <w:r w:rsidRPr="00CA24BF">
        <w:rPr>
          <w:rFonts w:ascii="Times New Roman" w:hAnsi="Times New Roman" w:cs="Times New Roman"/>
          <w:sz w:val="24"/>
          <w:szCs w:val="24"/>
        </w:rPr>
        <w:t>Baltica 2012</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Sekmīgi turpināts nemateriālā kultūras mantojuma iedzīvināšanas projekts </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Satiec savu </w:t>
      </w:r>
      <w:r w:rsidRPr="00CA24BF">
        <w:rPr>
          <w:rFonts w:ascii="Times New Roman" w:hAnsi="Times New Roman" w:cs="Times New Roman"/>
          <w:sz w:val="24"/>
          <w:szCs w:val="24"/>
        </w:rPr>
        <w:lastRenderedPageBreak/>
        <w:t>meistaru</w:t>
      </w:r>
      <w:r w:rsidR="00B167ED">
        <w:rPr>
          <w:rFonts w:ascii="Times New Roman" w:hAnsi="Times New Roman" w:cs="Times New Roman"/>
          <w:sz w:val="24"/>
          <w:szCs w:val="24"/>
        </w:rPr>
        <w:t>"</w:t>
      </w:r>
      <w:r w:rsidRPr="00CA24BF">
        <w:rPr>
          <w:rFonts w:ascii="Times New Roman" w:hAnsi="Times New Roman" w:cs="Times New Roman"/>
          <w:sz w:val="24"/>
          <w:szCs w:val="24"/>
        </w:rPr>
        <w:t>, kurā 2012.gadā piedalījās 160 seno amatu prasmju meistari</w:t>
      </w:r>
      <w:r w:rsidR="009A7775">
        <w:rPr>
          <w:rFonts w:ascii="Times New Roman" w:hAnsi="Times New Roman" w:cs="Times New Roman"/>
          <w:sz w:val="24"/>
          <w:szCs w:val="24"/>
        </w:rPr>
        <w:t xml:space="preserve"> no</w:t>
      </w:r>
      <w:r w:rsidRPr="00CA24BF">
        <w:rPr>
          <w:rFonts w:ascii="Times New Roman" w:hAnsi="Times New Roman" w:cs="Times New Roman"/>
          <w:sz w:val="24"/>
          <w:szCs w:val="24"/>
        </w:rPr>
        <w:t xml:space="preserve"> vis</w:t>
      </w:r>
      <w:r w:rsidR="009A7775">
        <w:rPr>
          <w:rFonts w:ascii="Times New Roman" w:hAnsi="Times New Roman" w:cs="Times New Roman"/>
          <w:sz w:val="24"/>
          <w:szCs w:val="24"/>
        </w:rPr>
        <w:t>as Latvijas</w:t>
      </w:r>
      <w:r w:rsidRPr="00CA24BF">
        <w:rPr>
          <w:rFonts w:ascii="Times New Roman" w:hAnsi="Times New Roman" w:cs="Times New Roman"/>
          <w:sz w:val="24"/>
          <w:szCs w:val="24"/>
        </w:rPr>
        <w:t>, piesaistot 3690 apmeklētājus.</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Lai identificētu kultūras centru attīstības turpmākos soļus visā Latvijā, 2012.gada novembrī organizēts Kultūras centru forums.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2012.gada martā KM sadarbībā ar Britu padomi, IZM, VARAM, EM, LIAA, augstskolām un citiem partneriem organizēja Radošās darbības nedēļu, kuras laikā Latvijā notika vairāk nekā 130 pasākumi. Rīgā pasākumos klātienē piedalījās vairāk nekā 1900 dalībnieki, tika i</w:t>
      </w:r>
      <w:r w:rsidR="009A7775">
        <w:rPr>
          <w:rFonts w:ascii="Times New Roman" w:hAnsi="Times New Roman" w:cs="Times New Roman"/>
          <w:sz w:val="24"/>
          <w:szCs w:val="24"/>
        </w:rPr>
        <w:t>erakstītas vairāk nekā 60 video</w:t>
      </w:r>
      <w:r w:rsidRPr="00CA24BF">
        <w:rPr>
          <w:rFonts w:ascii="Times New Roman" w:hAnsi="Times New Roman" w:cs="Times New Roman"/>
          <w:sz w:val="24"/>
          <w:szCs w:val="24"/>
        </w:rPr>
        <w:t>intervijas ar viesiem, ekspertiem, radošo industri</w:t>
      </w:r>
      <w:r w:rsidR="009A7775">
        <w:rPr>
          <w:rFonts w:ascii="Times New Roman" w:hAnsi="Times New Roman" w:cs="Times New Roman"/>
          <w:sz w:val="24"/>
          <w:szCs w:val="24"/>
        </w:rPr>
        <w:t>ju pārstāvjiem, izveidota mājas</w:t>
      </w:r>
      <w:r w:rsidRPr="00CA24BF">
        <w:rPr>
          <w:rFonts w:ascii="Times New Roman" w:hAnsi="Times New Roman" w:cs="Times New Roman"/>
          <w:sz w:val="24"/>
          <w:szCs w:val="24"/>
        </w:rPr>
        <w:t xml:space="preserve">lapa.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bCs/>
          <w:sz w:val="24"/>
          <w:szCs w:val="24"/>
        </w:rPr>
        <w:t xml:space="preserve">2012.gada 25.jūlijā noslēdzās </w:t>
      </w:r>
      <w:r w:rsidRPr="00CA24BF">
        <w:rPr>
          <w:rStyle w:val="Strong"/>
          <w:rFonts w:ascii="Times New Roman" w:hAnsi="Times New Roman" w:cs="Times New Roman"/>
          <w:b w:val="0"/>
          <w:sz w:val="24"/>
          <w:szCs w:val="24"/>
        </w:rPr>
        <w:t>ERAF līdzfinansētā projekta</w:t>
      </w:r>
      <w:r w:rsidRPr="00CA24BF">
        <w:rPr>
          <w:rStyle w:val="Emphasis"/>
          <w:rFonts w:ascii="Times New Roman" w:hAnsi="Times New Roman" w:cs="Times New Roman"/>
          <w:b/>
          <w:bCs/>
          <w:sz w:val="24"/>
          <w:szCs w:val="24"/>
        </w:rPr>
        <w:t xml:space="preserve"> </w:t>
      </w:r>
      <w:r w:rsidR="00B167ED">
        <w:rPr>
          <w:rStyle w:val="Emphasis"/>
          <w:rFonts w:ascii="Times New Roman" w:hAnsi="Times New Roman" w:cs="Times New Roman"/>
          <w:bCs/>
          <w:i w:val="0"/>
          <w:sz w:val="24"/>
          <w:szCs w:val="24"/>
        </w:rPr>
        <w:t>"</w:t>
      </w:r>
      <w:r w:rsidRPr="00CA24BF">
        <w:rPr>
          <w:rStyle w:val="Emphasis"/>
          <w:rFonts w:ascii="Times New Roman" w:hAnsi="Times New Roman" w:cs="Times New Roman"/>
          <w:bCs/>
          <w:i w:val="0"/>
          <w:sz w:val="24"/>
          <w:szCs w:val="24"/>
        </w:rPr>
        <w:t>Livonijas ordeņa pils kompleksa Ventspilī rekonstrukcija, renovācija un ekspozīcijas izveide</w:t>
      </w:r>
      <w:r w:rsidR="00B167ED">
        <w:rPr>
          <w:rStyle w:val="Emphasis"/>
          <w:rFonts w:ascii="Times New Roman" w:hAnsi="Times New Roman" w:cs="Times New Roman"/>
          <w:bCs/>
          <w:i w:val="0"/>
          <w:sz w:val="24"/>
          <w:szCs w:val="24"/>
        </w:rPr>
        <w:t>"</w:t>
      </w:r>
      <w:r w:rsidRPr="00CA24BF">
        <w:rPr>
          <w:rStyle w:val="Strong"/>
          <w:rFonts w:ascii="Times New Roman" w:hAnsi="Times New Roman" w:cs="Times New Roman"/>
          <w:b w:val="0"/>
          <w:i/>
          <w:sz w:val="24"/>
          <w:szCs w:val="24"/>
        </w:rPr>
        <w:t xml:space="preserve"> </w:t>
      </w:r>
      <w:r w:rsidRPr="00CA24BF">
        <w:rPr>
          <w:rStyle w:val="Strong"/>
          <w:rFonts w:ascii="Times New Roman" w:hAnsi="Times New Roman" w:cs="Times New Roman"/>
          <w:b w:val="0"/>
          <w:sz w:val="24"/>
          <w:szCs w:val="24"/>
        </w:rPr>
        <w:t>īstenošana</w:t>
      </w:r>
      <w:r w:rsidRPr="00CA24BF">
        <w:rPr>
          <w:rFonts w:ascii="Times New Roman" w:hAnsi="Times New Roman" w:cs="Times New Roman"/>
          <w:bCs/>
          <w:sz w:val="24"/>
          <w:szCs w:val="24"/>
        </w:rPr>
        <w:t xml:space="preserve">, </w:t>
      </w:r>
      <w:r w:rsidRPr="00CA24BF">
        <w:rPr>
          <w:rFonts w:ascii="Times New Roman" w:hAnsi="Times New Roman" w:cs="Times New Roman"/>
          <w:sz w:val="24"/>
          <w:szCs w:val="24"/>
        </w:rPr>
        <w:t xml:space="preserve">kura ietvaros atjaunots valsts nozīmes arhitektūras un arheoloģijas piemineklis </w:t>
      </w:r>
      <w:r w:rsidR="009A7775">
        <w:rPr>
          <w:rFonts w:ascii="Times New Roman" w:hAnsi="Times New Roman" w:cs="Times New Roman"/>
          <w:sz w:val="24"/>
          <w:szCs w:val="24"/>
        </w:rPr>
        <w:t>–</w:t>
      </w:r>
      <w:r w:rsidRPr="00CA24BF">
        <w:rPr>
          <w:rFonts w:ascii="Times New Roman" w:hAnsi="Times New Roman" w:cs="Times New Roman"/>
          <w:sz w:val="24"/>
          <w:szCs w:val="24"/>
        </w:rPr>
        <w:t xml:space="preserve"> Livonijas ordeņa pils.</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bCs/>
          <w:sz w:val="24"/>
          <w:szCs w:val="24"/>
        </w:rPr>
        <w:t xml:space="preserve">2012.gada 23.oktobrī izsludināta atklātas projektu iesniegumu atlases 2.kārta ERAF programmas aktivitātē 3.4.3.2. </w:t>
      </w:r>
      <w:r w:rsidR="00B167ED">
        <w:rPr>
          <w:rFonts w:ascii="Times New Roman" w:hAnsi="Times New Roman" w:cs="Times New Roman"/>
          <w:bCs/>
          <w:sz w:val="24"/>
          <w:szCs w:val="24"/>
        </w:rPr>
        <w:t>"</w:t>
      </w:r>
      <w:r w:rsidRPr="00CA24BF">
        <w:rPr>
          <w:rFonts w:ascii="Times New Roman" w:hAnsi="Times New Roman" w:cs="Times New Roman"/>
          <w:bCs/>
          <w:sz w:val="24"/>
          <w:szCs w:val="24"/>
        </w:rPr>
        <w:t>Sociālekonomiski nozīmīgu kultūras mantojuma objektu atjaunošana</w:t>
      </w:r>
      <w:r w:rsidR="00B167ED">
        <w:rPr>
          <w:rFonts w:ascii="Times New Roman" w:hAnsi="Times New Roman" w:cs="Times New Roman"/>
          <w:bCs/>
          <w:sz w:val="24"/>
          <w:szCs w:val="24"/>
        </w:rPr>
        <w:t>"</w:t>
      </w:r>
      <w:r w:rsidRPr="00CA24BF">
        <w:rPr>
          <w:rFonts w:ascii="Times New Roman" w:hAnsi="Times New Roman" w:cs="Times New Roman"/>
          <w:bCs/>
          <w:sz w:val="24"/>
          <w:szCs w:val="24"/>
        </w:rPr>
        <w:t>. Konkursa kārtībā</w:t>
      </w:r>
      <w:r w:rsidRPr="00CA24BF">
        <w:rPr>
          <w:rFonts w:ascii="Times New Roman" w:hAnsi="Times New Roman" w:cs="Times New Roman"/>
          <w:sz w:val="24"/>
          <w:szCs w:val="24"/>
        </w:rPr>
        <w:t xml:space="preserve"> apstiprināts Latvijas Nacionālā mākslas muzeja (turpmāk – LNMM) galvenās ēkas rekonstrukcijas projekts, un 2013.gada 22.janvārī parakstīta vienošanās ar Rīgas domi un LNMM. LNMM rekonstrukcijas projekta kopējais finansējums ir 9,4 milj. latu, tajā skaitā ERAF līdzfinansējums – 7,9 milj.</w:t>
      </w:r>
      <w:r w:rsidR="009A7775">
        <w:rPr>
          <w:rFonts w:ascii="Times New Roman" w:hAnsi="Times New Roman" w:cs="Times New Roman"/>
          <w:sz w:val="24"/>
          <w:szCs w:val="24"/>
        </w:rPr>
        <w:t xml:space="preserve"> </w:t>
      </w:r>
      <w:r w:rsidRPr="00CA24BF">
        <w:rPr>
          <w:rFonts w:ascii="Times New Roman" w:hAnsi="Times New Roman" w:cs="Times New Roman"/>
          <w:sz w:val="24"/>
          <w:szCs w:val="24"/>
        </w:rPr>
        <w:t xml:space="preserve">latu.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Ziemeļvalstu un Baltijas valstu </w:t>
      </w:r>
      <w:r w:rsidR="009A7775">
        <w:rPr>
          <w:rFonts w:ascii="Times New Roman" w:hAnsi="Times New Roman" w:cs="Times New Roman"/>
          <w:sz w:val="24"/>
          <w:szCs w:val="24"/>
        </w:rPr>
        <w:t>m</w:t>
      </w:r>
      <w:r w:rsidRPr="00CA24BF">
        <w:rPr>
          <w:rFonts w:ascii="Times New Roman" w:hAnsi="Times New Roman" w:cs="Times New Roman"/>
          <w:sz w:val="24"/>
          <w:szCs w:val="24"/>
        </w:rPr>
        <w:t xml:space="preserve">obilitātes programmas </w:t>
      </w:r>
      <w:r w:rsidR="00B167ED">
        <w:rPr>
          <w:rFonts w:ascii="Times New Roman" w:hAnsi="Times New Roman" w:cs="Times New Roman"/>
          <w:sz w:val="24"/>
          <w:szCs w:val="24"/>
        </w:rPr>
        <w:t>"</w:t>
      </w:r>
      <w:r w:rsidRPr="00CA24BF">
        <w:rPr>
          <w:rFonts w:ascii="Times New Roman" w:hAnsi="Times New Roman" w:cs="Times New Roman"/>
          <w:sz w:val="24"/>
          <w:szCs w:val="24"/>
        </w:rPr>
        <w:t>Kultūra</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ietvaros 2012.gadā notika </w:t>
      </w:r>
      <w:r w:rsidR="009A7775">
        <w:rPr>
          <w:rFonts w:ascii="Times New Roman" w:hAnsi="Times New Roman" w:cs="Times New Roman"/>
          <w:sz w:val="24"/>
          <w:szCs w:val="24"/>
        </w:rPr>
        <w:t>astoņi</w:t>
      </w:r>
      <w:r w:rsidRPr="00CA24BF">
        <w:rPr>
          <w:rFonts w:ascii="Times New Roman" w:hAnsi="Times New Roman" w:cs="Times New Roman"/>
          <w:sz w:val="24"/>
          <w:szCs w:val="24"/>
        </w:rPr>
        <w:t xml:space="preserve"> projektu konkursi, kuros Latvijas profesionāliem māksliniekiem un citu radošo profesiju pārstāvjiem piešķirtas 39 mobilitātes stipendijas radoš</w:t>
      </w:r>
      <w:r w:rsidR="009A7775">
        <w:rPr>
          <w:rFonts w:ascii="Times New Roman" w:hAnsi="Times New Roman" w:cs="Times New Roman"/>
          <w:sz w:val="24"/>
          <w:szCs w:val="24"/>
        </w:rPr>
        <w:t>aj</w:t>
      </w:r>
      <w:r w:rsidRPr="00CA24BF">
        <w:rPr>
          <w:rFonts w:ascii="Times New Roman" w:hAnsi="Times New Roman" w:cs="Times New Roman"/>
          <w:sz w:val="24"/>
          <w:szCs w:val="24"/>
        </w:rPr>
        <w:t xml:space="preserve">iem braucieniem uz Ziemeļvalstīm.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Programmas </w:t>
      </w:r>
      <w:r w:rsidR="00B167ED">
        <w:rPr>
          <w:rFonts w:ascii="Times New Roman" w:hAnsi="Times New Roman" w:cs="Times New Roman"/>
          <w:sz w:val="24"/>
          <w:szCs w:val="24"/>
        </w:rPr>
        <w:t>"</w:t>
      </w:r>
      <w:r w:rsidRPr="00CA24BF">
        <w:rPr>
          <w:rFonts w:ascii="Times New Roman" w:hAnsi="Times New Roman" w:cs="Times New Roman"/>
          <w:sz w:val="24"/>
          <w:szCs w:val="24"/>
        </w:rPr>
        <w:t>Mantojums – 2018. Kultūras infrastruktūras uzlabošanas programma 2006.–2018.gadam</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ietvaros piešķirts finansējums Rīgas pils ēkas (Pils laukumā 3, Rīgā) Konventa restaurācijai un rekonstrukcijai, vienlaikus nodrošinot ēkā esošā muzeju krājuma pārvietošanai un saglabāšanai nepieciešamā muzeju krātuvju kompleksa Pulka ielā 8, Rīgā, būvniecības 1.kārtas uzsākšanai nepieciešamo finansējumu.</w:t>
      </w:r>
    </w:p>
    <w:p w:rsidR="00CA24BF" w:rsidRPr="00CA24BF" w:rsidRDefault="00CA24BF" w:rsidP="00CA24BF">
      <w:pPr>
        <w:spacing w:after="0" w:line="240" w:lineRule="auto"/>
        <w:ind w:firstLine="720"/>
        <w:jc w:val="both"/>
        <w:rPr>
          <w:rFonts w:ascii="Times New Roman" w:hAnsi="Times New Roman" w:cs="Times New Roman"/>
          <w:bCs/>
          <w:sz w:val="24"/>
          <w:szCs w:val="24"/>
        </w:rPr>
      </w:pPr>
      <w:r w:rsidRPr="00CA24BF">
        <w:rPr>
          <w:rFonts w:ascii="Times New Roman" w:hAnsi="Times New Roman" w:cs="Times New Roman"/>
          <w:sz w:val="24"/>
          <w:szCs w:val="24"/>
        </w:rPr>
        <w:t xml:space="preserve">Pieņemts lēmums par </w:t>
      </w:r>
      <w:r w:rsidRPr="00CA24BF">
        <w:rPr>
          <w:rFonts w:ascii="Times New Roman" w:hAnsi="Times New Roman" w:cs="Times New Roman"/>
          <w:bCs/>
          <w:sz w:val="24"/>
          <w:szCs w:val="24"/>
        </w:rPr>
        <w:t>5,2 milj.</w:t>
      </w:r>
      <w:r w:rsidR="009A7775">
        <w:rPr>
          <w:rFonts w:ascii="Times New Roman" w:hAnsi="Times New Roman" w:cs="Times New Roman"/>
          <w:bCs/>
          <w:sz w:val="24"/>
          <w:szCs w:val="24"/>
        </w:rPr>
        <w:t xml:space="preserve"> </w:t>
      </w:r>
      <w:r w:rsidRPr="00CA24BF">
        <w:rPr>
          <w:rFonts w:ascii="Times New Roman" w:hAnsi="Times New Roman" w:cs="Times New Roman"/>
          <w:bCs/>
          <w:sz w:val="24"/>
          <w:szCs w:val="24"/>
        </w:rPr>
        <w:t xml:space="preserve">latu finansējuma piešķiršanu </w:t>
      </w:r>
      <w:r w:rsidRPr="00CA24BF">
        <w:rPr>
          <w:rFonts w:ascii="Times New Roman" w:hAnsi="Times New Roman" w:cs="Times New Roman"/>
          <w:sz w:val="24"/>
          <w:szCs w:val="24"/>
        </w:rPr>
        <w:t xml:space="preserve">Jaunā Rīgas teātra ēkas Lāčplēša ielā 25, Rīgā, būvniecības projekta izdevumu segšanai. </w:t>
      </w:r>
    </w:p>
    <w:p w:rsidR="00CA24BF" w:rsidRPr="00CA24BF" w:rsidRDefault="00CA24BF" w:rsidP="00CA24BF">
      <w:pPr>
        <w:spacing w:after="0" w:line="240" w:lineRule="auto"/>
        <w:ind w:firstLine="720"/>
        <w:jc w:val="both"/>
        <w:rPr>
          <w:rFonts w:ascii="Times New Roman" w:hAnsi="Times New Roman" w:cs="Times New Roman"/>
          <w:bCs/>
          <w:sz w:val="24"/>
          <w:szCs w:val="24"/>
        </w:rPr>
      </w:pPr>
      <w:r w:rsidRPr="00CA24BF">
        <w:rPr>
          <w:rFonts w:ascii="Times New Roman" w:hAnsi="Times New Roman" w:cs="Times New Roman"/>
          <w:sz w:val="24"/>
          <w:szCs w:val="24"/>
        </w:rPr>
        <w:t xml:space="preserve">2012.gadā tika īstenoti vairāki ERAF līdzfinansēti projekti kultūras resursu digitalizācijas, pieejamības digitālajā vidē un e-pakalpojumu izstrādes jomā. Uzsākts </w:t>
      </w:r>
      <w:r w:rsidRPr="00CA24BF">
        <w:rPr>
          <w:rFonts w:ascii="Times New Roman" w:hAnsi="Times New Roman" w:cs="Times New Roman"/>
          <w:bCs/>
          <w:sz w:val="24"/>
          <w:szCs w:val="24"/>
        </w:rPr>
        <w:t xml:space="preserve">projekts </w:t>
      </w:r>
      <w:r w:rsidR="00B167ED">
        <w:rPr>
          <w:rFonts w:ascii="Times New Roman" w:hAnsi="Times New Roman" w:cs="Times New Roman"/>
          <w:bCs/>
          <w:sz w:val="24"/>
          <w:szCs w:val="24"/>
        </w:rPr>
        <w:t>"</w:t>
      </w:r>
      <w:r w:rsidRPr="00CA24BF">
        <w:rPr>
          <w:rFonts w:ascii="Times New Roman" w:hAnsi="Times New Roman" w:cs="Times New Roman"/>
          <w:bCs/>
          <w:sz w:val="24"/>
          <w:szCs w:val="24"/>
        </w:rPr>
        <w:t>Daudzvalodu korpusa un mašīntulkošanas infrastruktūras izveide e-pakalpojumu pieejamības nodrošināšanai</w:t>
      </w:r>
      <w:r w:rsidR="00B167ED">
        <w:rPr>
          <w:rFonts w:ascii="Times New Roman" w:hAnsi="Times New Roman" w:cs="Times New Roman"/>
          <w:bCs/>
          <w:sz w:val="24"/>
          <w:szCs w:val="24"/>
        </w:rPr>
        <w:t>"</w:t>
      </w:r>
      <w:r w:rsidRPr="00CA24BF">
        <w:rPr>
          <w:rFonts w:ascii="Times New Roman" w:hAnsi="Times New Roman" w:cs="Times New Roman"/>
          <w:bCs/>
          <w:sz w:val="24"/>
          <w:szCs w:val="24"/>
        </w:rPr>
        <w:t xml:space="preserve">. </w:t>
      </w:r>
    </w:p>
    <w:p w:rsidR="00CA24BF" w:rsidRPr="00CA24BF" w:rsidRDefault="00B167ED" w:rsidP="00CA24BF">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w:t>
      </w:r>
      <w:r w:rsidR="00CA24BF" w:rsidRPr="00CA24BF">
        <w:rPr>
          <w:rFonts w:ascii="Times New Roman" w:hAnsi="Times New Roman" w:cs="Times New Roman"/>
          <w:i/>
          <w:sz w:val="24"/>
          <w:szCs w:val="24"/>
        </w:rPr>
        <w:t>Bila &amp; Melindas Geitsu</w:t>
      </w:r>
      <w:r>
        <w:rPr>
          <w:rFonts w:ascii="Times New Roman" w:hAnsi="Times New Roman" w:cs="Times New Roman"/>
          <w:sz w:val="24"/>
          <w:szCs w:val="24"/>
        </w:rPr>
        <w:t>"</w:t>
      </w:r>
      <w:r w:rsidR="00CA24BF" w:rsidRPr="00CA24BF">
        <w:rPr>
          <w:rFonts w:ascii="Times New Roman" w:hAnsi="Times New Roman" w:cs="Times New Roman"/>
          <w:sz w:val="24"/>
          <w:szCs w:val="24"/>
        </w:rPr>
        <w:t xml:space="preserve"> fonda līdzfinansētā publisko bibliotēku attīstības projekta </w:t>
      </w:r>
      <w:r>
        <w:rPr>
          <w:rFonts w:ascii="Times New Roman" w:hAnsi="Times New Roman" w:cs="Times New Roman"/>
          <w:sz w:val="24"/>
          <w:szCs w:val="24"/>
        </w:rPr>
        <w:t>"</w:t>
      </w:r>
      <w:r w:rsidR="00CA24BF" w:rsidRPr="00CA24BF">
        <w:rPr>
          <w:rFonts w:ascii="Times New Roman" w:hAnsi="Times New Roman" w:cs="Times New Roman"/>
          <w:sz w:val="24"/>
          <w:szCs w:val="24"/>
        </w:rPr>
        <w:t>Trešais tēva dēls</w:t>
      </w:r>
      <w:r>
        <w:rPr>
          <w:rFonts w:ascii="Times New Roman" w:hAnsi="Times New Roman" w:cs="Times New Roman"/>
          <w:sz w:val="24"/>
          <w:szCs w:val="24"/>
        </w:rPr>
        <w:t>"</w:t>
      </w:r>
      <w:r w:rsidR="00CA24BF" w:rsidRPr="00CA24BF">
        <w:rPr>
          <w:rFonts w:ascii="Times New Roman" w:hAnsi="Times New Roman" w:cs="Times New Roman"/>
          <w:sz w:val="24"/>
          <w:szCs w:val="24"/>
        </w:rPr>
        <w:t xml:space="preserve"> (3td projekts) ietvaros 2012.gadā </w:t>
      </w:r>
      <w:r w:rsidR="009A7775">
        <w:rPr>
          <w:rFonts w:ascii="Times New Roman" w:hAnsi="Times New Roman" w:cs="Times New Roman"/>
          <w:sz w:val="24"/>
          <w:szCs w:val="24"/>
        </w:rPr>
        <w:t>īst</w:t>
      </w:r>
      <w:r w:rsidR="006D7AB4">
        <w:rPr>
          <w:rFonts w:ascii="Times New Roman" w:hAnsi="Times New Roman" w:cs="Times New Roman"/>
          <w:sz w:val="24"/>
          <w:szCs w:val="24"/>
        </w:rPr>
        <w:t>e</w:t>
      </w:r>
      <w:r w:rsidR="009A7775">
        <w:rPr>
          <w:rFonts w:ascii="Times New Roman" w:hAnsi="Times New Roman" w:cs="Times New Roman"/>
          <w:sz w:val="24"/>
          <w:szCs w:val="24"/>
        </w:rPr>
        <w:t>nots</w:t>
      </w:r>
      <w:r w:rsidR="00CA24BF" w:rsidRPr="00CA24BF">
        <w:rPr>
          <w:rFonts w:ascii="Times New Roman" w:hAnsi="Times New Roman" w:cs="Times New Roman"/>
          <w:sz w:val="24"/>
          <w:szCs w:val="24"/>
        </w:rPr>
        <w:t xml:space="preserve"> apmācību kurss par bibliotēku interešu pārstāvniecības pamatjautājumiem, kura ietvaros apmācīti visi Latvijas publisko bibliotēku bibliotekāri. </w:t>
      </w:r>
    </w:p>
    <w:p w:rsidR="00583FA8"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2013.gadā tiks nodrošināta 17.Baltijas valstu studentu dziesmu un deju svētku </w:t>
      </w:r>
      <w:r w:rsidR="00B167ED">
        <w:rPr>
          <w:rFonts w:ascii="Times New Roman" w:hAnsi="Times New Roman" w:cs="Times New Roman"/>
          <w:sz w:val="24"/>
          <w:szCs w:val="24"/>
        </w:rPr>
        <w:t>"</w:t>
      </w:r>
      <w:r w:rsidRPr="00CA24BF">
        <w:rPr>
          <w:rFonts w:ascii="Times New Roman" w:hAnsi="Times New Roman" w:cs="Times New Roman"/>
          <w:i/>
          <w:sz w:val="24"/>
          <w:szCs w:val="24"/>
        </w:rPr>
        <w:t>Gaudeamus</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sagatavošana, lai 2014.gadā svētki notiktu Latvijā.</w:t>
      </w:r>
    </w:p>
    <w:p w:rsidR="009A7775" w:rsidRPr="00CA24BF" w:rsidRDefault="009A7775" w:rsidP="00CA24BF">
      <w:pPr>
        <w:spacing w:after="0" w:line="240" w:lineRule="auto"/>
        <w:ind w:firstLine="720"/>
        <w:jc w:val="both"/>
        <w:rPr>
          <w:rFonts w:ascii="Times New Roman" w:hAnsi="Times New Roman" w:cs="Times New Roman"/>
          <w:sz w:val="24"/>
          <w:szCs w:val="24"/>
        </w:rPr>
      </w:pPr>
    </w:p>
    <w:p w:rsidR="00FD601E" w:rsidRPr="00FD601E" w:rsidRDefault="00FD601E" w:rsidP="00583FA8">
      <w:pPr>
        <w:pStyle w:val="Heading2"/>
        <w:spacing w:before="0" w:line="240" w:lineRule="auto"/>
      </w:pPr>
      <w:bookmarkStart w:id="176" w:name="_Toc348948436"/>
      <w:r w:rsidRPr="00FD601E">
        <w:lastRenderedPageBreak/>
        <w:t xml:space="preserve">2. </w:t>
      </w:r>
      <w:r w:rsidRPr="00583FA8">
        <w:t>Nacionālā</w:t>
      </w:r>
      <w:r w:rsidRPr="00FD601E">
        <w:t xml:space="preserve"> identitāte un sabiedrības saliedētība</w:t>
      </w:r>
      <w:bookmarkEnd w:id="176"/>
    </w:p>
    <w:p w:rsidR="00583FA8" w:rsidRDefault="00583FA8" w:rsidP="00583FA8">
      <w:pPr>
        <w:pStyle w:val="Heading3"/>
        <w:spacing w:before="0" w:line="240" w:lineRule="auto"/>
        <w:rPr>
          <w:rFonts w:cs="Times New Roman"/>
          <w:szCs w:val="24"/>
        </w:rPr>
      </w:pPr>
    </w:p>
    <w:p w:rsidR="00FD601E" w:rsidRPr="00FD601E" w:rsidRDefault="00FD601E" w:rsidP="00583FA8">
      <w:pPr>
        <w:pStyle w:val="Heading3"/>
        <w:spacing w:before="0" w:line="240" w:lineRule="auto"/>
        <w:rPr>
          <w:szCs w:val="24"/>
        </w:rPr>
      </w:pPr>
      <w:bookmarkStart w:id="177" w:name="_Toc348948437"/>
      <w:r w:rsidRPr="00FD601E">
        <w:rPr>
          <w:rFonts w:cs="Times New Roman"/>
          <w:szCs w:val="24"/>
        </w:rPr>
        <w:t>2.1.</w:t>
      </w:r>
      <w:r w:rsidR="009A7775">
        <w:rPr>
          <w:rFonts w:cs="Times New Roman"/>
          <w:szCs w:val="24"/>
        </w:rPr>
        <w:t xml:space="preserve"> </w:t>
      </w:r>
      <w:r w:rsidRPr="00FD601E">
        <w:rPr>
          <w:szCs w:val="24"/>
        </w:rPr>
        <w:t>Pilsoniskas sabiedrības stiprināšana un integrācija</w:t>
      </w:r>
      <w:bookmarkEnd w:id="177"/>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Aktualizēti pilsoniskās izglītības jautājumi, un 2012.gada 6.jūnijā norisinājās pilsoniskās izglītības konference </w:t>
      </w:r>
      <w:r w:rsidR="00B167ED">
        <w:rPr>
          <w:rFonts w:ascii="Times New Roman" w:hAnsi="Times New Roman"/>
          <w:sz w:val="24"/>
          <w:szCs w:val="24"/>
        </w:rPr>
        <w:t>"</w:t>
      </w:r>
      <w:r w:rsidRPr="00CA24BF">
        <w:rPr>
          <w:rFonts w:ascii="Times New Roman" w:hAnsi="Times New Roman"/>
          <w:sz w:val="24"/>
          <w:szCs w:val="24"/>
        </w:rPr>
        <w:t>Es piederu Latvijai</w:t>
      </w:r>
      <w:r w:rsidR="00B167ED">
        <w:rPr>
          <w:rFonts w:ascii="Times New Roman" w:hAnsi="Times New Roman"/>
          <w:sz w:val="24"/>
          <w:szCs w:val="24"/>
        </w:rPr>
        <w:t>"</w:t>
      </w:r>
      <w:r w:rsidRPr="00CA24BF">
        <w:rPr>
          <w:rFonts w:ascii="Times New Roman" w:hAnsi="Times New Roman"/>
          <w:sz w:val="24"/>
          <w:szCs w:val="24"/>
        </w:rPr>
        <w:t xml:space="preserve">, kuras ietvaros izstrādāts buklets </w:t>
      </w:r>
      <w:r w:rsidR="00B167ED">
        <w:rPr>
          <w:rFonts w:ascii="Times New Roman" w:hAnsi="Times New Roman"/>
          <w:sz w:val="24"/>
          <w:szCs w:val="24"/>
        </w:rPr>
        <w:t>"</w:t>
      </w:r>
      <w:r w:rsidRPr="00CA24BF">
        <w:rPr>
          <w:rFonts w:ascii="Times New Roman" w:hAnsi="Times New Roman"/>
          <w:sz w:val="24"/>
          <w:szCs w:val="24"/>
        </w:rPr>
        <w:t>Es piederu Latvijai!</w:t>
      </w:r>
      <w:r w:rsidR="00B167ED">
        <w:rPr>
          <w:rFonts w:ascii="Times New Roman" w:hAnsi="Times New Roman"/>
          <w:sz w:val="24"/>
          <w:szCs w:val="24"/>
        </w:rPr>
        <w:t>"</w:t>
      </w:r>
      <w:r w:rsidRPr="00CA24BF">
        <w:rPr>
          <w:rFonts w:ascii="Times New Roman" w:hAnsi="Times New Roman"/>
          <w:sz w:val="24"/>
          <w:szCs w:val="24"/>
        </w:rPr>
        <w:t xml:space="preserve"> latviešu, krievu un angļu valodā</w:t>
      </w:r>
      <w:r w:rsidR="009A7775">
        <w:rPr>
          <w:rFonts w:ascii="Times New Roman" w:hAnsi="Times New Roman"/>
          <w:sz w:val="24"/>
          <w:szCs w:val="24"/>
        </w:rPr>
        <w:t>.</w:t>
      </w:r>
      <w:r w:rsidRPr="00CA24BF">
        <w:rPr>
          <w:rFonts w:ascii="Times New Roman" w:hAnsi="Times New Roman"/>
          <w:sz w:val="24"/>
          <w:szCs w:val="24"/>
        </w:rPr>
        <w:t xml:space="preserve"> </w:t>
      </w:r>
      <w:r w:rsidR="009A7775">
        <w:rPr>
          <w:rFonts w:ascii="Times New Roman" w:hAnsi="Times New Roman"/>
          <w:sz w:val="24"/>
          <w:szCs w:val="24"/>
        </w:rPr>
        <w:t>Bukletam</w:t>
      </w:r>
      <w:r w:rsidRPr="00CA24BF">
        <w:rPr>
          <w:rFonts w:ascii="Times New Roman" w:hAnsi="Times New Roman"/>
          <w:sz w:val="24"/>
          <w:szCs w:val="24"/>
        </w:rPr>
        <w:t xml:space="preserve"> pievienots CD ar latviešu valodas apmācības materiālu un vēsturisku dokumentālo filmu.</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eastAsia="Times New Roman" w:hAnsi="Times New Roman" w:cs="Times New Roman"/>
          <w:sz w:val="24"/>
          <w:szCs w:val="24"/>
        </w:rPr>
        <w:t xml:space="preserve">Nodrošināta Eiropas Trešo valstu valstspiederīgo integrācijas fonda līdzekļu apguve, tai skaitā </w:t>
      </w:r>
      <w:r w:rsidRPr="00CA24BF">
        <w:rPr>
          <w:rFonts w:ascii="Times New Roman" w:hAnsi="Times New Roman" w:cs="Times New Roman"/>
          <w:sz w:val="24"/>
          <w:szCs w:val="24"/>
        </w:rPr>
        <w:t>ir</w:t>
      </w:r>
      <w:r w:rsidRPr="00CA24BF">
        <w:rPr>
          <w:rFonts w:ascii="Times New Roman" w:hAnsi="Times New Roman"/>
          <w:sz w:val="24"/>
          <w:szCs w:val="24"/>
        </w:rPr>
        <w:t xml:space="preserve"> uzsākta projekta </w:t>
      </w:r>
      <w:r w:rsidR="00B167ED">
        <w:rPr>
          <w:rFonts w:ascii="Times New Roman" w:hAnsi="Times New Roman"/>
          <w:sz w:val="24"/>
          <w:szCs w:val="24"/>
        </w:rPr>
        <w:t>"</w:t>
      </w:r>
      <w:r w:rsidRPr="00CA24BF">
        <w:rPr>
          <w:rFonts w:ascii="Times New Roman" w:hAnsi="Times New Roman"/>
          <w:sz w:val="24"/>
          <w:szCs w:val="24"/>
        </w:rPr>
        <w:t>Nacionālais integrācijas centrs</w:t>
      </w:r>
      <w:r w:rsidR="00B167ED">
        <w:rPr>
          <w:rFonts w:ascii="Times New Roman" w:hAnsi="Times New Roman"/>
          <w:sz w:val="24"/>
          <w:szCs w:val="24"/>
        </w:rPr>
        <w:t>"</w:t>
      </w:r>
      <w:r w:rsidRPr="00CA24BF">
        <w:rPr>
          <w:rFonts w:ascii="Times New Roman" w:hAnsi="Times New Roman"/>
          <w:sz w:val="24"/>
          <w:szCs w:val="24"/>
        </w:rPr>
        <w:t xml:space="preserve"> īstenošana. Projektā paredzēts </w:t>
      </w:r>
      <w:r w:rsidRPr="00CA24BF">
        <w:rPr>
          <w:rFonts w:ascii="Times New Roman" w:hAnsi="Times New Roman" w:cs="Times New Roman"/>
          <w:bCs/>
          <w:sz w:val="24"/>
          <w:szCs w:val="24"/>
        </w:rPr>
        <w:t>uzlabot trešo valstu valstspiederīgo piekļuvi valsts un privātajiem pakalpojumiem, kā arī v</w:t>
      </w:r>
      <w:r w:rsidRPr="00CA24BF">
        <w:rPr>
          <w:rFonts w:ascii="Times New Roman" w:hAnsi="Times New Roman" w:cs="Times New Roman"/>
          <w:sz w:val="24"/>
          <w:szCs w:val="24"/>
        </w:rPr>
        <w:t>eicināt labvēlīgāku attieksmi pret migrāciju Latvijas sabiedrībā.</w:t>
      </w:r>
      <w:r w:rsidRPr="00CA24BF">
        <w:rPr>
          <w:rFonts w:ascii="Times New Roman" w:hAnsi="Times New Roman"/>
          <w:sz w:val="24"/>
          <w:szCs w:val="24"/>
        </w:rPr>
        <w:t xml:space="preserve">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Programmas </w:t>
      </w:r>
      <w:r w:rsidR="00B167ED">
        <w:rPr>
          <w:rFonts w:ascii="Times New Roman" w:hAnsi="Times New Roman" w:cs="Times New Roman"/>
          <w:sz w:val="24"/>
          <w:szCs w:val="24"/>
        </w:rPr>
        <w:t>"</w:t>
      </w:r>
      <w:r w:rsidRPr="00CA24BF">
        <w:rPr>
          <w:rFonts w:ascii="Times New Roman" w:hAnsi="Times New Roman" w:cs="Times New Roman"/>
          <w:sz w:val="24"/>
          <w:szCs w:val="24"/>
        </w:rPr>
        <w:t>Jaunatne darbībā</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ietvaros Latvijā tiek īstenoti </w:t>
      </w:r>
      <w:r w:rsidR="009A7775">
        <w:rPr>
          <w:rFonts w:ascii="Times New Roman" w:hAnsi="Times New Roman" w:cs="Times New Roman"/>
          <w:sz w:val="24"/>
          <w:szCs w:val="24"/>
        </w:rPr>
        <w:t>četri</w:t>
      </w:r>
      <w:r w:rsidRPr="00CA24BF">
        <w:rPr>
          <w:rFonts w:ascii="Times New Roman" w:hAnsi="Times New Roman" w:cs="Times New Roman"/>
          <w:sz w:val="24"/>
          <w:szCs w:val="24"/>
        </w:rPr>
        <w:t xml:space="preserve"> projekti, kuru sagatavošanā un īstenošanā iesaistīti romu tautības jaunieši. 2012.gadā programmas ietvaros apstiprināti </w:t>
      </w:r>
      <w:r w:rsidR="009A7775">
        <w:rPr>
          <w:rFonts w:ascii="Times New Roman" w:hAnsi="Times New Roman" w:cs="Times New Roman"/>
          <w:sz w:val="24"/>
          <w:szCs w:val="24"/>
        </w:rPr>
        <w:t>divi</w:t>
      </w:r>
      <w:r w:rsidRPr="00CA24BF">
        <w:rPr>
          <w:rFonts w:ascii="Times New Roman" w:hAnsi="Times New Roman" w:cs="Times New Roman"/>
          <w:sz w:val="24"/>
          <w:szCs w:val="24"/>
        </w:rPr>
        <w:t xml:space="preserve"> jauniešu demokrātijas projekti un </w:t>
      </w:r>
      <w:r w:rsidR="009A7775">
        <w:rPr>
          <w:rFonts w:ascii="Times New Roman" w:hAnsi="Times New Roman" w:cs="Times New Roman"/>
          <w:sz w:val="24"/>
          <w:szCs w:val="24"/>
        </w:rPr>
        <w:t>četri</w:t>
      </w:r>
      <w:r w:rsidRPr="00CA24BF">
        <w:rPr>
          <w:rFonts w:ascii="Times New Roman" w:hAnsi="Times New Roman" w:cs="Times New Roman"/>
          <w:sz w:val="24"/>
          <w:szCs w:val="24"/>
        </w:rPr>
        <w:t xml:space="preserve"> jauniešu un jaunatnes politikas veidotāju tikšanās projekti, kopumā plānojot iesaistīt 439 dalībniekus. </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Programmas </w:t>
      </w:r>
      <w:r w:rsidR="00B167ED">
        <w:rPr>
          <w:rFonts w:ascii="Times New Roman" w:hAnsi="Times New Roman"/>
          <w:sz w:val="24"/>
          <w:szCs w:val="24"/>
        </w:rPr>
        <w:t>"</w:t>
      </w:r>
      <w:r w:rsidRPr="00CA24BF">
        <w:rPr>
          <w:rFonts w:ascii="Times New Roman" w:hAnsi="Times New Roman"/>
          <w:sz w:val="24"/>
          <w:szCs w:val="24"/>
        </w:rPr>
        <w:t xml:space="preserve">Publisko bibliotēku kapacitātes </w:t>
      </w:r>
      <w:r w:rsidRPr="00CA24BF">
        <w:rPr>
          <w:rFonts w:ascii="Times New Roman" w:hAnsi="Times New Roman" w:cs="Times New Roman"/>
          <w:sz w:val="24"/>
          <w:szCs w:val="24"/>
        </w:rPr>
        <w:t>stiprināšana grāmatu un citu izdevumu iegādē nacionālās identitātes un sabiedrības saliedētības veicināšanai</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ietvaros </w:t>
      </w:r>
      <w:r w:rsidRPr="00CA24BF">
        <w:rPr>
          <w:rFonts w:ascii="Times New Roman" w:hAnsi="Times New Roman"/>
          <w:sz w:val="24"/>
          <w:szCs w:val="24"/>
        </w:rPr>
        <w:t xml:space="preserve">LNB vadībā tika iegādātas grāmatas un </w:t>
      </w:r>
      <w:r w:rsidRPr="00CA24BF">
        <w:rPr>
          <w:rFonts w:ascii="Times New Roman" w:hAnsi="Times New Roman" w:cs="Times New Roman"/>
          <w:sz w:val="24"/>
          <w:szCs w:val="24"/>
        </w:rPr>
        <w:t>804 publiskajām bibliotēkām tika nodoti 14 136 grāmatu un citu izdevumu eksemplāri</w:t>
      </w:r>
      <w:r w:rsidRPr="00CA24BF">
        <w:rPr>
          <w:rFonts w:ascii="Times New Roman" w:hAnsi="Times New Roman"/>
          <w:sz w:val="24"/>
          <w:szCs w:val="24"/>
        </w:rPr>
        <w:t xml:space="preserve"> par Latvijas un Eiropas vēsturi, holokaustu, izsūtījumiem, sociālo atmiņu, kultūru, teātri, arhitektūru, pieminekļiem, Latvijas novadiem</w:t>
      </w:r>
      <w:r w:rsidR="009A7775">
        <w:rPr>
          <w:rFonts w:ascii="Times New Roman" w:hAnsi="Times New Roman"/>
          <w:sz w:val="24"/>
          <w:szCs w:val="24"/>
        </w:rPr>
        <w:t>, kā arī</w:t>
      </w:r>
      <w:r w:rsidRPr="00CA24BF">
        <w:rPr>
          <w:rFonts w:ascii="Times New Roman" w:hAnsi="Times New Roman"/>
          <w:sz w:val="24"/>
          <w:szCs w:val="24"/>
        </w:rPr>
        <w:t xml:space="preserve"> zinātniskā literatūra.</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bCs/>
          <w:sz w:val="24"/>
          <w:szCs w:val="24"/>
        </w:rPr>
        <w:t xml:space="preserve">Lasīšanas veicināšanas programmā </w:t>
      </w:r>
      <w:r w:rsidR="00B167ED">
        <w:rPr>
          <w:rFonts w:ascii="Times New Roman" w:hAnsi="Times New Roman" w:cs="Times New Roman"/>
          <w:bCs/>
          <w:sz w:val="24"/>
          <w:szCs w:val="24"/>
        </w:rPr>
        <w:t>"</w:t>
      </w:r>
      <w:r w:rsidRPr="00CA24BF">
        <w:rPr>
          <w:rFonts w:ascii="Times New Roman" w:hAnsi="Times New Roman" w:cs="Times New Roman"/>
          <w:bCs/>
          <w:sz w:val="24"/>
          <w:szCs w:val="24"/>
        </w:rPr>
        <w:t>Bērnu un jauniešu žūrija</w:t>
      </w:r>
      <w:r w:rsidR="00B167ED">
        <w:rPr>
          <w:rFonts w:ascii="Times New Roman" w:hAnsi="Times New Roman" w:cs="Times New Roman"/>
          <w:bCs/>
          <w:sz w:val="24"/>
          <w:szCs w:val="24"/>
        </w:rPr>
        <w:t>"</w:t>
      </w:r>
      <w:r w:rsidRPr="00CA24BF">
        <w:rPr>
          <w:rFonts w:ascii="Times New Roman" w:hAnsi="Times New Roman" w:cs="Times New Roman"/>
          <w:bCs/>
          <w:sz w:val="24"/>
          <w:szCs w:val="24"/>
        </w:rPr>
        <w:t xml:space="preserve"> iesaistījās 576 bibliotēkas un vairāk nekā 17 tūkstoši jauno lasītāju, </w:t>
      </w:r>
      <w:r w:rsidRPr="00CA24BF">
        <w:rPr>
          <w:rFonts w:ascii="Times New Roman" w:hAnsi="Times New Roman" w:cs="Times New Roman"/>
          <w:sz w:val="24"/>
          <w:szCs w:val="24"/>
        </w:rPr>
        <w:t>39 latviešu diasporas centri 15 valstīs saņēma 24 grāmatu kolekcijas.</w:t>
      </w:r>
    </w:p>
    <w:p w:rsidR="00CA24BF" w:rsidRPr="00CA24BF" w:rsidRDefault="00CA24BF" w:rsidP="00CA24BF">
      <w:pPr>
        <w:spacing w:after="0" w:line="240" w:lineRule="auto"/>
        <w:ind w:firstLine="720"/>
        <w:jc w:val="both"/>
        <w:rPr>
          <w:rFonts w:ascii="Times New Roman" w:hAnsi="Times New Roman" w:cs="Times New Roman"/>
          <w:bCs/>
          <w:sz w:val="24"/>
          <w:szCs w:val="24"/>
        </w:rPr>
      </w:pPr>
      <w:r w:rsidRPr="00CA24BF">
        <w:rPr>
          <w:rFonts w:ascii="Times New Roman" w:hAnsi="Times New Roman" w:cs="Times New Roman"/>
          <w:bCs/>
          <w:sz w:val="24"/>
          <w:szCs w:val="24"/>
        </w:rPr>
        <w:t xml:space="preserve">2012.gadā SIF īstenoja projektu </w:t>
      </w:r>
      <w:r w:rsidR="00B167ED">
        <w:rPr>
          <w:rFonts w:ascii="Times New Roman" w:hAnsi="Times New Roman" w:cs="Times New Roman"/>
          <w:bCs/>
          <w:sz w:val="24"/>
          <w:szCs w:val="24"/>
        </w:rPr>
        <w:t>"</w:t>
      </w:r>
      <w:r w:rsidRPr="00CA24BF">
        <w:rPr>
          <w:rFonts w:ascii="Times New Roman" w:hAnsi="Times New Roman" w:cs="Times New Roman"/>
          <w:bCs/>
          <w:sz w:val="24"/>
          <w:szCs w:val="24"/>
        </w:rPr>
        <w:t xml:space="preserve">Apmācību kursa </w:t>
      </w:r>
      <w:r w:rsidR="00B167ED">
        <w:rPr>
          <w:rFonts w:ascii="Times New Roman" w:hAnsi="Times New Roman" w:cs="Times New Roman"/>
          <w:bCs/>
          <w:sz w:val="24"/>
          <w:szCs w:val="24"/>
        </w:rPr>
        <w:t>"</w:t>
      </w:r>
      <w:r w:rsidRPr="00CA24BF">
        <w:rPr>
          <w:rFonts w:ascii="Times New Roman" w:hAnsi="Times New Roman" w:cs="Times New Roman"/>
          <w:bCs/>
          <w:sz w:val="24"/>
          <w:szCs w:val="24"/>
        </w:rPr>
        <w:t>Starpkultūru komunikācija</w:t>
      </w:r>
      <w:r w:rsidR="00B167ED">
        <w:rPr>
          <w:rFonts w:ascii="Times New Roman" w:hAnsi="Times New Roman" w:cs="Times New Roman"/>
          <w:bCs/>
          <w:sz w:val="24"/>
          <w:szCs w:val="24"/>
        </w:rPr>
        <w:t>"</w:t>
      </w:r>
      <w:r w:rsidRPr="00CA24BF">
        <w:rPr>
          <w:rFonts w:ascii="Times New Roman" w:hAnsi="Times New Roman" w:cs="Times New Roman"/>
          <w:bCs/>
          <w:sz w:val="24"/>
          <w:szCs w:val="24"/>
        </w:rPr>
        <w:t xml:space="preserve"> aktualizēšana, sagatavošana un ieviešana</w:t>
      </w:r>
      <w:r w:rsidR="00B167ED">
        <w:rPr>
          <w:rFonts w:ascii="Times New Roman" w:hAnsi="Times New Roman" w:cs="Times New Roman"/>
          <w:bCs/>
          <w:sz w:val="24"/>
          <w:szCs w:val="24"/>
        </w:rPr>
        <w:t>"</w:t>
      </w:r>
      <w:r w:rsidRPr="00CA24BF">
        <w:rPr>
          <w:rFonts w:ascii="Times New Roman" w:hAnsi="Times New Roman" w:cs="Times New Roman"/>
          <w:bCs/>
          <w:sz w:val="24"/>
          <w:szCs w:val="24"/>
        </w:rPr>
        <w:t>, kura mērķis bija uzlabot valsts, pašvaldību iestāžu, biedrību un nodibinājumu speciālistu, kas sniedz pakalpojumus trešo valstu valstspiederīgajiem, starpkultūru komunikācijas prasmes kultūru daudzveidību pārzināšanā. Projektā piedalījās 39 valsts, pašvaldību iestāžu darbinieki, kā arī biedrību un nodibinājumu speciālisti, apgūstot nepieciešamās starpkultūru komunikācijas kompetences darbā ar trešo valstu valstspiederīgajiem.</w:t>
      </w:r>
    </w:p>
    <w:p w:rsidR="00CA24BF" w:rsidRPr="00CA24BF" w:rsidRDefault="00CA24BF" w:rsidP="00CA24BF">
      <w:pPr>
        <w:spacing w:after="0" w:line="240" w:lineRule="auto"/>
        <w:ind w:firstLine="720"/>
        <w:jc w:val="both"/>
        <w:rPr>
          <w:rFonts w:ascii="Times New Roman" w:hAnsi="Times New Roman" w:cs="Times New Roman"/>
          <w:bCs/>
          <w:sz w:val="24"/>
          <w:szCs w:val="24"/>
        </w:rPr>
      </w:pPr>
      <w:r w:rsidRPr="00CA24BF">
        <w:rPr>
          <w:rFonts w:ascii="Times New Roman" w:hAnsi="Times New Roman"/>
          <w:sz w:val="24"/>
          <w:szCs w:val="24"/>
        </w:rPr>
        <w:t xml:space="preserve">Nodrošināta trešo valstu valstspiederīgo bērnu un jauniešu iespēja apgūt latviešu valodu un integrēties Latvijas sabiedrībā, īstenojot inovatīvas pieejas latviešu valodas apguvē un veicinot uzņemošās sabiedrības līdzdalību projektā </w:t>
      </w:r>
      <w:r w:rsidR="00B167ED">
        <w:rPr>
          <w:rFonts w:ascii="Times New Roman" w:hAnsi="Times New Roman"/>
          <w:sz w:val="24"/>
          <w:szCs w:val="24"/>
        </w:rPr>
        <w:t>"</w:t>
      </w:r>
      <w:r w:rsidRPr="00CA24BF">
        <w:rPr>
          <w:rFonts w:ascii="Times New Roman" w:hAnsi="Times New Roman"/>
          <w:sz w:val="24"/>
          <w:szCs w:val="24"/>
        </w:rPr>
        <w:t>Inovatīvas pieejas valodas apguvei trešo valstu valstspiederīgo bērniem un jauniešiem</w:t>
      </w:r>
      <w:r w:rsidR="00B167ED">
        <w:rPr>
          <w:rFonts w:ascii="Times New Roman" w:hAnsi="Times New Roman"/>
          <w:sz w:val="24"/>
          <w:szCs w:val="24"/>
        </w:rPr>
        <w:t>"</w:t>
      </w:r>
      <w:r w:rsidRPr="00CA24BF">
        <w:rPr>
          <w:rFonts w:ascii="Times New Roman" w:hAnsi="Times New Roman"/>
          <w:sz w:val="24"/>
          <w:szCs w:val="24"/>
        </w:rPr>
        <w:t xml:space="preserve">. </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KM ir iesaistījusies Eiropas Padomes projektā, kura mērķis ir veicināt izpratni par diskrimināciju uz seksuālas orientācijas un dzimuma identitātes pamata. Projekta ietvaros plānota aktīva sadarbība ar iesaistītajām dalībvalstīm, lai veicinātu pieredzes apmaiņu starp dažādām institūcijām cilvēku ar atšķirīgu seksuālo orientāciju un dzimuma identitāti tiesību nodrošināšanā. </w:t>
      </w:r>
    </w:p>
    <w:p w:rsidR="00CA24BF" w:rsidRPr="00CA24BF" w:rsidRDefault="00CA24BF" w:rsidP="00CA24BF">
      <w:pPr>
        <w:shd w:val="clear" w:color="auto" w:fill="FFFFFF"/>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Īstenota programma </w:t>
      </w:r>
      <w:r w:rsidR="00B167ED">
        <w:rPr>
          <w:rFonts w:ascii="Times New Roman" w:hAnsi="Times New Roman" w:cs="Times New Roman"/>
          <w:sz w:val="24"/>
          <w:szCs w:val="24"/>
        </w:rPr>
        <w:t>"</w:t>
      </w:r>
      <w:r w:rsidRPr="00CA24BF">
        <w:rPr>
          <w:rFonts w:ascii="Times New Roman" w:hAnsi="Times New Roman" w:cs="Times New Roman"/>
          <w:bCs/>
          <w:sz w:val="24"/>
          <w:szCs w:val="24"/>
        </w:rPr>
        <w:t>Apmaiņas programma latviešu un mazākumtautību bērniem</w:t>
      </w:r>
      <w:r w:rsidR="00B167ED">
        <w:rPr>
          <w:rFonts w:ascii="Times New Roman" w:hAnsi="Times New Roman" w:cs="Times New Roman"/>
          <w:sz w:val="24"/>
          <w:szCs w:val="24"/>
        </w:rPr>
        <w:t>"</w:t>
      </w:r>
      <w:r w:rsidR="0046528D">
        <w:rPr>
          <w:rFonts w:ascii="Times New Roman" w:hAnsi="Times New Roman" w:cs="Times New Roman"/>
          <w:sz w:val="24"/>
          <w:szCs w:val="24"/>
        </w:rPr>
        <w:t>, lai</w:t>
      </w:r>
      <w:r w:rsidRPr="00CA24BF">
        <w:rPr>
          <w:rFonts w:ascii="Times New Roman" w:hAnsi="Times New Roman" w:cs="Times New Roman"/>
          <w:sz w:val="24"/>
          <w:szCs w:val="24"/>
        </w:rPr>
        <w:t xml:space="preserve"> veicināt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Latvijā dzīvojošo tautību savstarpējo sapratni un sadarbību, veidojot saliedētu un iekļaujošu sabiedrību. Apmaiņas programmā tika ies</w:t>
      </w:r>
      <w:r w:rsidR="0046528D">
        <w:rPr>
          <w:rFonts w:ascii="Times New Roman" w:hAnsi="Times New Roman" w:cs="Times New Roman"/>
          <w:sz w:val="24"/>
          <w:szCs w:val="24"/>
        </w:rPr>
        <w:t>aistīti 100 skolēni no 5.–9.klasei</w:t>
      </w:r>
      <w:r w:rsidRPr="00CA24BF">
        <w:rPr>
          <w:rFonts w:ascii="Times New Roman" w:hAnsi="Times New Roman" w:cs="Times New Roman"/>
          <w:sz w:val="24"/>
          <w:szCs w:val="24"/>
        </w:rPr>
        <w:t xml:space="preserve"> (jeb 87</w:t>
      </w:r>
      <w:r w:rsidR="00111406">
        <w:rPr>
          <w:rFonts w:ascii="Times New Roman" w:hAnsi="Times New Roman" w:cs="Times New Roman"/>
          <w:sz w:val="24"/>
          <w:szCs w:val="24"/>
        </w:rPr>
        <w:t> %</w:t>
      </w:r>
      <w:r w:rsidRPr="00CA24BF">
        <w:rPr>
          <w:rFonts w:ascii="Times New Roman" w:hAnsi="Times New Roman" w:cs="Times New Roman"/>
          <w:sz w:val="24"/>
          <w:szCs w:val="24"/>
        </w:rPr>
        <w:t xml:space="preserve"> no plānotā skaita), kuri ikdienas saziņā lieto latviešu vai krievu valodu.</w:t>
      </w:r>
      <w:r w:rsidRPr="00CA24BF">
        <w:rPr>
          <w:rFonts w:ascii="Times New Roman" w:hAnsi="Times New Roman" w:cs="Times New Roman"/>
          <w:snapToGrid w:val="0"/>
          <w:sz w:val="24"/>
          <w:szCs w:val="24"/>
          <w:lang w:eastAsia="en-US"/>
        </w:rPr>
        <w:t xml:space="preserve"> </w:t>
      </w:r>
      <w:r w:rsidRPr="00CA24BF">
        <w:rPr>
          <w:rFonts w:ascii="Times New Roman" w:eastAsia="Calibri" w:hAnsi="Times New Roman" w:cs="Times New Roman"/>
          <w:sz w:val="24"/>
          <w:szCs w:val="24"/>
          <w:lang w:eastAsia="en-US"/>
        </w:rPr>
        <w:t xml:space="preserve">Programmā iesaistījās 72 viesģimenes, kuras uzņēma bērnus. </w:t>
      </w:r>
      <w:r w:rsidR="0046528D" w:rsidRPr="00CA24BF">
        <w:rPr>
          <w:rFonts w:ascii="Times New Roman" w:eastAsia="Calibri" w:hAnsi="Times New Roman" w:cs="Times New Roman"/>
          <w:sz w:val="24"/>
          <w:szCs w:val="24"/>
          <w:lang w:eastAsia="en-US"/>
        </w:rPr>
        <w:t>85</w:t>
      </w:r>
      <w:r w:rsidR="0046528D">
        <w:rPr>
          <w:rFonts w:ascii="Times New Roman" w:eastAsia="Calibri" w:hAnsi="Times New Roman" w:cs="Times New Roman"/>
          <w:sz w:val="24"/>
          <w:szCs w:val="24"/>
          <w:lang w:eastAsia="en-US"/>
        </w:rPr>
        <w:t> </w:t>
      </w:r>
      <w:r w:rsidRPr="00CA24BF">
        <w:rPr>
          <w:rFonts w:ascii="Times New Roman" w:eastAsia="Calibri" w:hAnsi="Times New Roman" w:cs="Times New Roman"/>
          <w:sz w:val="24"/>
          <w:szCs w:val="24"/>
          <w:lang w:eastAsia="en-US"/>
        </w:rPr>
        <w:t>ģime</w:t>
      </w:r>
      <w:r w:rsidR="0046528D">
        <w:rPr>
          <w:rFonts w:ascii="Times New Roman" w:eastAsia="Calibri" w:hAnsi="Times New Roman" w:cs="Times New Roman"/>
          <w:sz w:val="24"/>
          <w:szCs w:val="24"/>
          <w:lang w:eastAsia="en-US"/>
        </w:rPr>
        <w:t>nes</w:t>
      </w:r>
      <w:r w:rsidRPr="00CA24BF">
        <w:rPr>
          <w:rFonts w:ascii="Times New Roman" w:eastAsia="Calibri" w:hAnsi="Times New Roman" w:cs="Times New Roman"/>
          <w:sz w:val="24"/>
          <w:szCs w:val="24"/>
          <w:lang w:eastAsia="en-US"/>
        </w:rPr>
        <w:t xml:space="preserve"> </w:t>
      </w:r>
      <w:r w:rsidRPr="00CA24BF">
        <w:rPr>
          <w:rFonts w:ascii="Times New Roman" w:eastAsia="Calibri" w:hAnsi="Times New Roman" w:cs="Times New Roman"/>
          <w:sz w:val="24"/>
          <w:szCs w:val="24"/>
          <w:lang w:eastAsia="en-US"/>
        </w:rPr>
        <w:lastRenderedPageBreak/>
        <w:t>nosū</w:t>
      </w:r>
      <w:r w:rsidR="0046528D">
        <w:rPr>
          <w:rFonts w:ascii="Times New Roman" w:eastAsia="Calibri" w:hAnsi="Times New Roman" w:cs="Times New Roman"/>
          <w:sz w:val="24"/>
          <w:szCs w:val="24"/>
          <w:lang w:eastAsia="en-US"/>
        </w:rPr>
        <w:t>tīja bērnus uz viesģimenēm</w:t>
      </w:r>
      <w:r w:rsidRPr="00CA24BF">
        <w:rPr>
          <w:rFonts w:ascii="Times New Roman" w:eastAsia="Calibri" w:hAnsi="Times New Roman" w:cs="Times New Roman"/>
          <w:sz w:val="24"/>
          <w:szCs w:val="24"/>
          <w:lang w:eastAsia="en-US"/>
        </w:rPr>
        <w:t xml:space="preserve">. Apmaiņas programmas ietvaros piedalījušos un līdzdarbojošos vecāku, vecvecāku u. c. ģimenes locekļu kopējais skaits bija 633. </w:t>
      </w:r>
    </w:p>
    <w:p w:rsidR="00CA24BF" w:rsidRPr="00CA24BF" w:rsidRDefault="00CA24BF" w:rsidP="00CA24BF">
      <w:pPr>
        <w:shd w:val="clear" w:color="auto" w:fill="FFFFFF"/>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Īstenota programma “</w:t>
      </w:r>
      <w:r w:rsidRPr="00CA24BF">
        <w:rPr>
          <w:rStyle w:val="Strong"/>
          <w:rFonts w:ascii="Times New Roman" w:hAnsi="Times New Roman" w:cs="Times New Roman"/>
          <w:b w:val="0"/>
          <w:sz w:val="24"/>
          <w:szCs w:val="24"/>
        </w:rPr>
        <w:t>Ārpusskolas pasākumu programma</w:t>
      </w:r>
      <w:r w:rsidR="00B167ED">
        <w:rPr>
          <w:rFonts w:ascii="Times New Roman" w:hAnsi="Times New Roman" w:cs="Times New Roman"/>
          <w:sz w:val="24"/>
          <w:szCs w:val="24"/>
        </w:rPr>
        <w:t>"</w:t>
      </w:r>
      <w:r w:rsidR="0046528D">
        <w:rPr>
          <w:rFonts w:ascii="Times New Roman" w:hAnsi="Times New Roman" w:cs="Times New Roman"/>
          <w:sz w:val="24"/>
          <w:szCs w:val="24"/>
        </w:rPr>
        <w:t>, lai</w:t>
      </w:r>
      <w:r w:rsidRPr="00CA24BF">
        <w:rPr>
          <w:rFonts w:ascii="Times New Roman" w:hAnsi="Times New Roman" w:cs="Times New Roman"/>
          <w:sz w:val="24"/>
          <w:szCs w:val="24"/>
        </w:rPr>
        <w:t xml:space="preserve"> veicināt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bērnu un jauniešu pilsonisko un demokrātisko līdzdalību, stiprināt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nacionālo, lokālo un eiropeisko identitāti, veicināt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kultūras un sociālās atmiņas attīstību. Programmas mērķa grupa ir dažādu tautību skolēni, t.sk. arī ārvalstīs dzīvojošie Latvijas valstspiederīgie.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sz w:val="24"/>
          <w:szCs w:val="24"/>
        </w:rPr>
        <w:t xml:space="preserve">Tika sekmēta NVO </w:t>
      </w:r>
      <w:r w:rsidRPr="00CA24BF">
        <w:rPr>
          <w:rFonts w:ascii="Times New Roman" w:hAnsi="Times New Roman" w:cs="Times New Roman"/>
          <w:sz w:val="24"/>
          <w:szCs w:val="24"/>
        </w:rPr>
        <w:t>administratīvās kapacitātes stiprināšana, lai panāktu aktīvu un kvalitatīvu nevalstiskā sektora līdzdalību lēmumu pieņemšanas procesā un publisko pakalpojumu sniegšanā, kā arī ES politiku instrumentu un pārējās ārvalstu finanšu palīdzības līdzfinansēto projektu un pasākumu īstenošanā. Šim mērķim pārskata periodā izmaksāts finansējums 710 876,37 latu apmērā.</w:t>
      </w:r>
    </w:p>
    <w:p w:rsidR="00CA24BF" w:rsidRPr="00CA24BF" w:rsidRDefault="00CA24BF" w:rsidP="00CA24BF">
      <w:pPr>
        <w:suppressAutoHyphens/>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Īstenota </w:t>
      </w:r>
      <w:r w:rsidR="0046528D">
        <w:rPr>
          <w:rFonts w:ascii="Times New Roman" w:hAnsi="Times New Roman" w:cs="Times New Roman"/>
          <w:bCs/>
          <w:sz w:val="24"/>
          <w:szCs w:val="24"/>
        </w:rPr>
        <w:t>g</w:t>
      </w:r>
      <w:r w:rsidRPr="00CA24BF">
        <w:rPr>
          <w:rFonts w:ascii="Times New Roman" w:hAnsi="Times New Roman" w:cs="Times New Roman"/>
          <w:bCs/>
          <w:sz w:val="24"/>
          <w:szCs w:val="24"/>
        </w:rPr>
        <w:t xml:space="preserve">rantu shēma </w:t>
      </w:r>
      <w:r w:rsidR="00B167ED">
        <w:rPr>
          <w:rFonts w:ascii="Times New Roman" w:hAnsi="Times New Roman" w:cs="Times New Roman"/>
          <w:bCs/>
          <w:sz w:val="24"/>
          <w:szCs w:val="24"/>
        </w:rPr>
        <w:t>"</w:t>
      </w:r>
      <w:r w:rsidRPr="00CA24BF">
        <w:rPr>
          <w:rFonts w:ascii="Times New Roman" w:hAnsi="Times New Roman" w:cs="Times New Roman"/>
          <w:bCs/>
          <w:sz w:val="24"/>
          <w:szCs w:val="24"/>
        </w:rPr>
        <w:t>Pilsoniskās sabiedrības stiprināšanas atbalsta programma 2012</w:t>
      </w:r>
      <w:r w:rsidR="00B167ED">
        <w:rPr>
          <w:rFonts w:ascii="Times New Roman" w:hAnsi="Times New Roman" w:cs="Times New Roman"/>
          <w:bCs/>
          <w:sz w:val="24"/>
          <w:szCs w:val="24"/>
        </w:rPr>
        <w:t>"</w:t>
      </w:r>
      <w:r w:rsidR="0046528D">
        <w:rPr>
          <w:rFonts w:ascii="Times New Roman" w:hAnsi="Times New Roman" w:cs="Times New Roman"/>
          <w:bCs/>
          <w:sz w:val="24"/>
          <w:szCs w:val="24"/>
        </w:rPr>
        <w:t>, lai</w:t>
      </w:r>
      <w:r w:rsidRPr="00CA24BF">
        <w:rPr>
          <w:rFonts w:ascii="Times New Roman" w:hAnsi="Times New Roman" w:cs="Times New Roman"/>
          <w:bCs/>
          <w:sz w:val="24"/>
          <w:szCs w:val="24"/>
        </w:rPr>
        <w:t xml:space="preserve"> </w:t>
      </w:r>
      <w:r w:rsidRPr="00CA24BF">
        <w:rPr>
          <w:rFonts w:ascii="Times New Roman" w:hAnsi="Times New Roman" w:cs="Times New Roman"/>
          <w:sz w:val="24"/>
          <w:szCs w:val="24"/>
        </w:rPr>
        <w:t>attīstīt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vidi ilgtspējīgai, uz rezultātu orientētai NVO darbībai un palielināt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iedzīvotāju īpatsvaru, kuri sadarbojas sabiedrībai svarīgu mērķu</w:t>
      </w:r>
      <w:r w:rsidRPr="00CA24BF">
        <w:rPr>
          <w:rFonts w:ascii="Times New Roman" w:hAnsi="Times New Roman" w:cs="Times New Roman"/>
          <w:b/>
          <w:bCs/>
          <w:sz w:val="24"/>
          <w:szCs w:val="24"/>
        </w:rPr>
        <w:t xml:space="preserve"> </w:t>
      </w:r>
      <w:r w:rsidRPr="00CA24BF">
        <w:rPr>
          <w:rFonts w:ascii="Times New Roman" w:hAnsi="Times New Roman" w:cs="Times New Roman"/>
          <w:sz w:val="24"/>
          <w:szCs w:val="24"/>
        </w:rPr>
        <w:t xml:space="preserve">labā. </w:t>
      </w:r>
      <w:r w:rsidRPr="00CA24BF">
        <w:rPr>
          <w:rFonts w:ascii="Times New Roman" w:hAnsi="Times New Roman" w:cs="Times New Roman"/>
          <w:kern w:val="1"/>
          <w:sz w:val="24"/>
          <w:szCs w:val="24"/>
          <w:lang w:eastAsia="ar-SA"/>
        </w:rPr>
        <w:t>Grantu shēmas ietvaros īstenoti 5 projekti, pa vienam katrā plānošanas reģionā</w:t>
      </w:r>
      <w:r w:rsidRPr="00CA24BF">
        <w:rPr>
          <w:rFonts w:ascii="Times New Roman" w:hAnsi="Times New Roman" w:cs="Times New Roman"/>
          <w:sz w:val="24"/>
          <w:szCs w:val="24"/>
        </w:rPr>
        <w:t>.</w:t>
      </w:r>
    </w:p>
    <w:p w:rsidR="00CA24BF" w:rsidRPr="00CA24BF" w:rsidRDefault="00CA24BF" w:rsidP="00CA24BF">
      <w:pPr>
        <w:pStyle w:val="NormalWeb"/>
        <w:spacing w:before="0" w:beforeAutospacing="0" w:after="0" w:afterAutospacing="0"/>
        <w:ind w:firstLine="720"/>
        <w:jc w:val="both"/>
      </w:pPr>
      <w:r w:rsidRPr="00CA24BF">
        <w:t xml:space="preserve">Nodrošināta normatīvā bāze EEZ finansējuma apguvei, kura ietvaros līdz 2015.gadam Latvijai pieejams EEZ finanšu instrumenta </w:t>
      </w:r>
      <w:r w:rsidR="00B167ED">
        <w:t>"</w:t>
      </w:r>
      <w:r w:rsidRPr="00CA24BF">
        <w:t>NVO fonds</w:t>
      </w:r>
      <w:r w:rsidR="00B167ED">
        <w:t>"</w:t>
      </w:r>
      <w:r w:rsidRPr="00CA24BF">
        <w:t xml:space="preserve"> programmas finansējums (gandrīz 10 miljonu </w:t>
      </w:r>
      <w:r w:rsidR="007A457D">
        <w:t>eiro</w:t>
      </w:r>
      <w:r w:rsidRPr="00CA24BF">
        <w:t xml:space="preserve">) NVO projektu un pašu NVO kapacitātes atbalstīšanai. </w:t>
      </w:r>
    </w:p>
    <w:p w:rsidR="00CA24BF" w:rsidRPr="00CA24BF" w:rsidRDefault="00CA24BF" w:rsidP="00CA24BF">
      <w:pPr>
        <w:pStyle w:val="NormalWeb"/>
        <w:spacing w:before="0" w:beforeAutospacing="0" w:after="0" w:afterAutospacing="0"/>
        <w:ind w:firstLine="720"/>
        <w:jc w:val="both"/>
      </w:pPr>
      <w:r w:rsidRPr="00CA24BF">
        <w:t>Papildus finansējuma piešķiršana jaunsargu kustībai ļāva palielināt jauniešu skaitu, kuri iesaistās pilsoniskās audzināšanas un jauniešu saturīga brīvā laika pavadīšanas aktivitātēs, tādējādi sekmējot jaunatnes izglītošanu valsts aizsardzības jomā, viņu patriotismu un pilsonisko apziņu, b</w:t>
      </w:r>
      <w:r w:rsidR="0046528D">
        <w:t>iedriskumu, drošsirdību, u.tml.</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2013.gada programmas </w:t>
      </w:r>
      <w:r w:rsidR="00B167ED">
        <w:rPr>
          <w:rFonts w:ascii="Times New Roman" w:hAnsi="Times New Roman" w:cs="Times New Roman"/>
          <w:sz w:val="24"/>
          <w:szCs w:val="24"/>
        </w:rPr>
        <w:t>"</w:t>
      </w:r>
      <w:r w:rsidRPr="00CA24BF">
        <w:rPr>
          <w:rFonts w:ascii="Times New Roman" w:hAnsi="Times New Roman" w:cs="Times New Roman"/>
          <w:sz w:val="24"/>
          <w:szCs w:val="24"/>
        </w:rPr>
        <w:t>Jaunatne darbībā</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ietvaros ir izvirzīta prioritāte, kas sekmēs sabiedrības saliedētību – attīstīt vienotību un sekmēt iecietību jauniešu vidū, īpaši, lai veicinātu sociālo saliedētību ES. Tiks rīkots īpašs informatīvs pasākums par jauniešu demokrātijas un jauniešu un jaunatnes politikas veidotāju tikšanās projektiem, kā arī nodrukāts īpašs materiāls par jauniešu demokrātijas projektiem.</w:t>
      </w:r>
    </w:p>
    <w:p w:rsidR="00CA24BF" w:rsidRPr="00710076" w:rsidRDefault="00CA24BF" w:rsidP="00CA24BF">
      <w:pPr>
        <w:spacing w:after="0" w:line="240" w:lineRule="auto"/>
        <w:ind w:firstLine="720"/>
        <w:jc w:val="both"/>
        <w:rPr>
          <w:rFonts w:ascii="Times New Roman" w:eastAsia="Times New Roman" w:hAnsi="Times New Roman" w:cs="Times New Roman"/>
          <w:sz w:val="24"/>
          <w:szCs w:val="24"/>
        </w:rPr>
      </w:pPr>
      <w:r w:rsidRPr="00CA24BF">
        <w:rPr>
          <w:rFonts w:ascii="Times New Roman" w:eastAsia="Times New Roman" w:hAnsi="Times New Roman" w:cs="Times New Roman"/>
          <w:sz w:val="24"/>
          <w:szCs w:val="24"/>
        </w:rPr>
        <w:t>Gada garumā notiks Eiropas pilsoņu gada aktivitātes, kuru uzdevums ir rosināt diskusijas par pilsoņu tiesībām un sekmēt pilsoņu līdzdalību ES demokrātiskajā dzīvē.</w:t>
      </w:r>
    </w:p>
    <w:p w:rsidR="00FD601E" w:rsidRPr="00FD601E" w:rsidRDefault="00FD601E" w:rsidP="00FD601E">
      <w:pPr>
        <w:pStyle w:val="Heading3"/>
        <w:rPr>
          <w:szCs w:val="24"/>
        </w:rPr>
      </w:pPr>
      <w:bookmarkStart w:id="178" w:name="_Toc348948438"/>
      <w:r w:rsidRPr="00FD601E">
        <w:rPr>
          <w:szCs w:val="24"/>
        </w:rPr>
        <w:t>2.2.</w:t>
      </w:r>
      <w:r w:rsidR="0046528D">
        <w:rPr>
          <w:szCs w:val="24"/>
        </w:rPr>
        <w:t xml:space="preserve"> </w:t>
      </w:r>
      <w:r w:rsidRPr="00FD601E">
        <w:rPr>
          <w:szCs w:val="24"/>
        </w:rPr>
        <w:t>Nacionālā identitāte: valoda un kultūrtelpa</w:t>
      </w:r>
      <w:bookmarkEnd w:id="178"/>
    </w:p>
    <w:p w:rsidR="00CA24BF" w:rsidRPr="00FD601E" w:rsidRDefault="0046528D" w:rsidP="00CA24BF">
      <w:pPr>
        <w:spacing w:after="0" w:line="240" w:lineRule="auto"/>
        <w:ind w:firstLine="720"/>
        <w:jc w:val="both"/>
        <w:rPr>
          <w:rFonts w:ascii="Times New Roman" w:hAnsi="Times New Roman"/>
          <w:sz w:val="24"/>
          <w:szCs w:val="24"/>
        </w:rPr>
      </w:pPr>
      <w:r>
        <w:rPr>
          <w:rFonts w:ascii="Times New Roman" w:hAnsi="Times New Roman"/>
          <w:sz w:val="24"/>
          <w:szCs w:val="24"/>
        </w:rPr>
        <w:t>Tika veikts skaidrojoš</w:t>
      </w:r>
      <w:r w:rsidR="00CA24BF" w:rsidRPr="00CA24BF">
        <w:rPr>
          <w:rFonts w:ascii="Times New Roman" w:hAnsi="Times New Roman"/>
          <w:sz w:val="24"/>
          <w:szCs w:val="24"/>
        </w:rPr>
        <w:t>s darbs, informējot dažādas mērķauditorijas un institūcijas par sasniedzamajiem mērķiem valodas vides uzlabošanā. Papildus tam tika īstenoti pasākumi, kuri sekmēja saliedētas un iekļaujošas sabiedrības veidošanos un stiprināja nacionālo identitāti.</w:t>
      </w:r>
      <w:r w:rsidR="00CA24BF" w:rsidRPr="00FD601E">
        <w:rPr>
          <w:rFonts w:ascii="Times New Roman" w:hAnsi="Times New Roman"/>
          <w:sz w:val="24"/>
          <w:szCs w:val="24"/>
        </w:rPr>
        <w:t xml:space="preserve"> </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Latgales kultūrtelpas, latgaliešu valodas un Latgales latviešu identitātes jomā notika konference </w:t>
      </w:r>
      <w:r w:rsidR="00B167ED">
        <w:rPr>
          <w:rFonts w:ascii="Times New Roman" w:hAnsi="Times New Roman"/>
          <w:sz w:val="24"/>
          <w:szCs w:val="24"/>
        </w:rPr>
        <w:t>"</w:t>
      </w:r>
      <w:r w:rsidRPr="00CA24BF">
        <w:rPr>
          <w:rFonts w:ascii="Times New Roman" w:hAnsi="Times New Roman"/>
          <w:sz w:val="24"/>
          <w:szCs w:val="24"/>
        </w:rPr>
        <w:t>Latgaliešu valoda un latgaliskā identitāte</w:t>
      </w:r>
      <w:r w:rsidR="00B167ED">
        <w:rPr>
          <w:rFonts w:ascii="Times New Roman" w:hAnsi="Times New Roman"/>
          <w:sz w:val="24"/>
          <w:szCs w:val="24"/>
        </w:rPr>
        <w:t>"</w:t>
      </w:r>
      <w:r w:rsidR="0046528D">
        <w:rPr>
          <w:rFonts w:ascii="Times New Roman" w:hAnsi="Times New Roman"/>
          <w:sz w:val="24"/>
          <w:szCs w:val="24"/>
        </w:rPr>
        <w:t>.</w:t>
      </w:r>
      <w:r w:rsidRPr="00CA24BF">
        <w:rPr>
          <w:rFonts w:ascii="Times New Roman" w:hAnsi="Times New Roman"/>
          <w:sz w:val="24"/>
          <w:szCs w:val="24"/>
        </w:rPr>
        <w:t xml:space="preserve"> </w:t>
      </w:r>
      <w:r w:rsidR="0046528D">
        <w:rPr>
          <w:rFonts w:ascii="Times New Roman" w:hAnsi="Times New Roman"/>
          <w:sz w:val="24"/>
          <w:szCs w:val="24"/>
        </w:rPr>
        <w:t>L</w:t>
      </w:r>
      <w:r w:rsidRPr="00CA24BF">
        <w:rPr>
          <w:rFonts w:ascii="Times New Roman" w:hAnsi="Times New Roman"/>
          <w:sz w:val="24"/>
          <w:szCs w:val="24"/>
        </w:rPr>
        <w:t>iteratūras un kultūras vēstures pētnieka, valodnieka un publicista Miķeļa B</w:t>
      </w:r>
      <w:r w:rsidR="0046528D">
        <w:rPr>
          <w:rFonts w:ascii="Times New Roman" w:hAnsi="Times New Roman"/>
          <w:sz w:val="24"/>
          <w:szCs w:val="24"/>
        </w:rPr>
        <w:t>ukša 100.dzimšanas dienas gadā</w:t>
      </w:r>
      <w:r w:rsidRPr="00CA24BF">
        <w:rPr>
          <w:rFonts w:ascii="Times New Roman" w:hAnsi="Times New Roman"/>
          <w:sz w:val="24"/>
          <w:szCs w:val="24"/>
        </w:rPr>
        <w:t xml:space="preserve"> </w:t>
      </w:r>
      <w:r w:rsidR="0046528D" w:rsidRPr="00CA24BF">
        <w:rPr>
          <w:rFonts w:ascii="Times New Roman" w:hAnsi="Times New Roman"/>
          <w:sz w:val="24"/>
          <w:szCs w:val="24"/>
        </w:rPr>
        <w:t>atkārtot</w:t>
      </w:r>
      <w:r w:rsidR="0046528D">
        <w:rPr>
          <w:rFonts w:ascii="Times New Roman" w:hAnsi="Times New Roman"/>
          <w:sz w:val="24"/>
          <w:szCs w:val="24"/>
        </w:rPr>
        <w:t>i</w:t>
      </w:r>
      <w:r w:rsidR="0046528D" w:rsidRPr="00CA24BF">
        <w:rPr>
          <w:rFonts w:ascii="Times New Roman" w:hAnsi="Times New Roman"/>
          <w:sz w:val="24"/>
          <w:szCs w:val="24"/>
        </w:rPr>
        <w:t xml:space="preserve"> izdo</w:t>
      </w:r>
      <w:r w:rsidR="0046528D">
        <w:rPr>
          <w:rFonts w:ascii="Times New Roman" w:hAnsi="Times New Roman"/>
          <w:sz w:val="24"/>
          <w:szCs w:val="24"/>
        </w:rPr>
        <w:t>t</w:t>
      </w:r>
      <w:r w:rsidR="0046528D" w:rsidRPr="00CA24BF">
        <w:rPr>
          <w:rFonts w:ascii="Times New Roman" w:hAnsi="Times New Roman"/>
          <w:sz w:val="24"/>
          <w:szCs w:val="24"/>
        </w:rPr>
        <w:t xml:space="preserve">a </w:t>
      </w:r>
      <w:r w:rsidR="0046528D">
        <w:rPr>
          <w:rFonts w:ascii="Times New Roman" w:hAnsi="Times New Roman"/>
          <w:sz w:val="24"/>
          <w:szCs w:val="24"/>
        </w:rPr>
        <w:t>grāmata</w:t>
      </w:r>
      <w:r w:rsidRPr="00CA24BF">
        <w:rPr>
          <w:rFonts w:ascii="Times New Roman" w:hAnsi="Times New Roman"/>
          <w:sz w:val="24"/>
          <w:szCs w:val="24"/>
        </w:rPr>
        <w:t xml:space="preserve"> </w:t>
      </w:r>
      <w:r w:rsidR="00B167ED">
        <w:rPr>
          <w:rFonts w:ascii="Times New Roman" w:hAnsi="Times New Roman"/>
          <w:sz w:val="24"/>
          <w:szCs w:val="24"/>
        </w:rPr>
        <w:t>"</w:t>
      </w:r>
      <w:r w:rsidRPr="00CA24BF">
        <w:rPr>
          <w:rFonts w:ascii="Times New Roman" w:hAnsi="Times New Roman"/>
          <w:sz w:val="24"/>
          <w:szCs w:val="24"/>
        </w:rPr>
        <w:t>Latgaļu atmūda</w:t>
      </w:r>
      <w:r w:rsidR="00B167ED">
        <w:rPr>
          <w:rFonts w:ascii="Times New Roman" w:hAnsi="Times New Roman"/>
          <w:sz w:val="24"/>
          <w:szCs w:val="24"/>
        </w:rPr>
        <w:t>"</w:t>
      </w:r>
      <w:r w:rsidRPr="00CA24BF">
        <w:rPr>
          <w:rFonts w:ascii="Times New Roman" w:hAnsi="Times New Roman"/>
          <w:sz w:val="24"/>
          <w:szCs w:val="24"/>
        </w:rPr>
        <w:t xml:space="preserve"> un izplatī</w:t>
      </w:r>
      <w:r w:rsidR="0046528D">
        <w:rPr>
          <w:rFonts w:ascii="Times New Roman" w:hAnsi="Times New Roman"/>
          <w:sz w:val="24"/>
          <w:szCs w:val="24"/>
        </w:rPr>
        <w:t>t</w:t>
      </w:r>
      <w:r w:rsidRPr="00CA24BF">
        <w:rPr>
          <w:rFonts w:ascii="Times New Roman" w:hAnsi="Times New Roman"/>
          <w:sz w:val="24"/>
          <w:szCs w:val="24"/>
        </w:rPr>
        <w:t xml:space="preserve">a reģiona skolās un bibliotēkās. 2012.gadā tika īstenoti projekti </w:t>
      </w:r>
      <w:r w:rsidR="00B167ED">
        <w:rPr>
          <w:rFonts w:ascii="Times New Roman" w:hAnsi="Times New Roman"/>
          <w:sz w:val="24"/>
          <w:szCs w:val="24"/>
        </w:rPr>
        <w:t>"</w:t>
      </w:r>
      <w:r w:rsidRPr="00CA24BF">
        <w:rPr>
          <w:rFonts w:ascii="Times New Roman" w:hAnsi="Times New Roman"/>
          <w:sz w:val="24"/>
          <w:szCs w:val="24"/>
        </w:rPr>
        <w:t>Latgaliešu kultūras ziņu portāls Lakuga.lv</w:t>
      </w:r>
      <w:r w:rsidR="00B167ED">
        <w:rPr>
          <w:rFonts w:ascii="Times New Roman" w:hAnsi="Times New Roman"/>
          <w:sz w:val="24"/>
          <w:szCs w:val="24"/>
        </w:rPr>
        <w:t>"</w:t>
      </w:r>
      <w:r w:rsidRPr="00CA24BF">
        <w:rPr>
          <w:rFonts w:ascii="Times New Roman" w:hAnsi="Times New Roman"/>
          <w:sz w:val="24"/>
          <w:szCs w:val="24"/>
        </w:rPr>
        <w:t xml:space="preserve">, </w:t>
      </w:r>
      <w:r w:rsidR="00B167ED">
        <w:rPr>
          <w:rFonts w:ascii="Times New Roman" w:hAnsi="Times New Roman"/>
          <w:sz w:val="24"/>
          <w:szCs w:val="24"/>
        </w:rPr>
        <w:t>"</w:t>
      </w:r>
      <w:r w:rsidRPr="00CA24BF">
        <w:rPr>
          <w:rFonts w:ascii="Times New Roman" w:hAnsi="Times New Roman"/>
          <w:sz w:val="24"/>
          <w:szCs w:val="24"/>
        </w:rPr>
        <w:t>Vuiceisimēs latgalīšu rakstu valūdu!</w:t>
      </w:r>
      <w:r w:rsidR="00B167ED">
        <w:rPr>
          <w:rFonts w:ascii="Times New Roman" w:hAnsi="Times New Roman"/>
          <w:sz w:val="24"/>
          <w:szCs w:val="24"/>
        </w:rPr>
        <w:t>"</w:t>
      </w:r>
      <w:r w:rsidRPr="00CA24BF">
        <w:rPr>
          <w:rFonts w:ascii="Times New Roman" w:hAnsi="Times New Roman"/>
          <w:sz w:val="24"/>
          <w:szCs w:val="24"/>
        </w:rPr>
        <w:t xml:space="preserve"> un </w:t>
      </w:r>
      <w:r w:rsidR="00B167ED">
        <w:rPr>
          <w:rFonts w:ascii="Times New Roman" w:hAnsi="Times New Roman"/>
          <w:sz w:val="24"/>
          <w:szCs w:val="24"/>
        </w:rPr>
        <w:t>"</w:t>
      </w:r>
      <w:r w:rsidRPr="00CA24BF">
        <w:rPr>
          <w:rFonts w:ascii="Times New Roman" w:hAnsi="Times New Roman"/>
          <w:sz w:val="24"/>
          <w:szCs w:val="24"/>
        </w:rPr>
        <w:t xml:space="preserve">Sajutīsim latgalisko </w:t>
      </w:r>
      <w:r w:rsidR="00B167ED">
        <w:rPr>
          <w:rFonts w:ascii="Times New Roman" w:hAnsi="Times New Roman"/>
          <w:sz w:val="24"/>
          <w:szCs w:val="24"/>
        </w:rPr>
        <w:t>"</w:t>
      </w:r>
      <w:r w:rsidRPr="00CA24BF">
        <w:rPr>
          <w:rFonts w:ascii="Times New Roman" w:hAnsi="Times New Roman"/>
          <w:sz w:val="24"/>
          <w:szCs w:val="24"/>
        </w:rPr>
        <w:t>garšu</w:t>
      </w:r>
      <w:r w:rsidR="00B167ED">
        <w:rPr>
          <w:rFonts w:ascii="Times New Roman" w:hAnsi="Times New Roman"/>
          <w:sz w:val="24"/>
          <w:szCs w:val="24"/>
        </w:rPr>
        <w:t>"</w:t>
      </w:r>
      <w:r w:rsidRPr="00CA24BF">
        <w:rPr>
          <w:rFonts w:ascii="Times New Roman" w:hAnsi="Times New Roman"/>
          <w:sz w:val="24"/>
          <w:szCs w:val="24"/>
        </w:rPr>
        <w:t>, spēlējot teātri!</w:t>
      </w:r>
      <w:r w:rsidR="00B167ED">
        <w:rPr>
          <w:rFonts w:ascii="Times New Roman" w:hAnsi="Times New Roman"/>
          <w:sz w:val="24"/>
          <w:szCs w:val="24"/>
        </w:rPr>
        <w:t>"</w:t>
      </w:r>
      <w:r w:rsidRPr="00CA24BF">
        <w:rPr>
          <w:rFonts w:ascii="Times New Roman" w:hAnsi="Times New Roman"/>
          <w:sz w:val="24"/>
          <w:szCs w:val="24"/>
        </w:rPr>
        <w:t>.</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sz w:val="24"/>
          <w:szCs w:val="24"/>
        </w:rPr>
        <w:t xml:space="preserve">Īstenota programma </w:t>
      </w:r>
      <w:r w:rsidR="00B167ED">
        <w:rPr>
          <w:rFonts w:ascii="Times New Roman" w:hAnsi="Times New Roman"/>
          <w:sz w:val="24"/>
          <w:szCs w:val="24"/>
        </w:rPr>
        <w:t>"</w:t>
      </w:r>
      <w:r w:rsidRPr="00CA24BF">
        <w:rPr>
          <w:rFonts w:ascii="Times New Roman" w:hAnsi="Times New Roman" w:cs="Times New Roman"/>
          <w:bCs/>
          <w:sz w:val="24"/>
          <w:szCs w:val="24"/>
        </w:rPr>
        <w:t>Latviešu valodas apguve pieaugušajiem 2012</w:t>
      </w:r>
      <w:r w:rsidR="00B167ED">
        <w:rPr>
          <w:rFonts w:ascii="Times New Roman" w:hAnsi="Times New Roman" w:cs="Times New Roman"/>
          <w:bCs/>
          <w:sz w:val="24"/>
          <w:szCs w:val="24"/>
        </w:rPr>
        <w:t>"</w:t>
      </w:r>
      <w:r w:rsidR="0046528D">
        <w:rPr>
          <w:rFonts w:ascii="Times New Roman" w:hAnsi="Times New Roman" w:cs="Times New Roman"/>
          <w:bCs/>
          <w:sz w:val="24"/>
          <w:szCs w:val="24"/>
        </w:rPr>
        <w:t>, lai</w:t>
      </w:r>
      <w:r w:rsidRPr="00CA24BF">
        <w:rPr>
          <w:rFonts w:ascii="Times New Roman" w:hAnsi="Times New Roman" w:cs="Times New Roman"/>
          <w:bCs/>
          <w:sz w:val="24"/>
          <w:szCs w:val="24"/>
        </w:rPr>
        <w:t xml:space="preserve"> </w:t>
      </w:r>
      <w:r w:rsidRPr="00CA24BF">
        <w:rPr>
          <w:rFonts w:ascii="Times New Roman" w:hAnsi="Times New Roman" w:cs="Times New Roman"/>
          <w:sz w:val="24"/>
          <w:szCs w:val="24"/>
        </w:rPr>
        <w:t>paaugstināt</w:t>
      </w:r>
      <w:r w:rsidR="0046528D">
        <w:rPr>
          <w:rFonts w:ascii="Times New Roman" w:hAnsi="Times New Roman" w:cs="Times New Roman"/>
          <w:sz w:val="24"/>
          <w:szCs w:val="24"/>
        </w:rPr>
        <w:t>u</w:t>
      </w:r>
      <w:r w:rsidRPr="00CA24BF">
        <w:rPr>
          <w:rFonts w:ascii="Times New Roman" w:hAnsi="Times New Roman" w:cs="Times New Roman"/>
          <w:sz w:val="24"/>
          <w:szCs w:val="24"/>
        </w:rPr>
        <w:t xml:space="preserve"> latviešu valodas prasmi Latvijas iedzīvotājiem, kuru dzimtā valoda nav latviešu valoda.</w:t>
      </w:r>
      <w:r w:rsidRPr="00CA24BF">
        <w:rPr>
          <w:rFonts w:ascii="Times New Roman" w:hAnsi="Times New Roman" w:cs="Times New Roman"/>
          <w:bCs/>
          <w:i/>
          <w:sz w:val="24"/>
          <w:szCs w:val="24"/>
        </w:rPr>
        <w:t xml:space="preserve"> </w:t>
      </w:r>
      <w:r w:rsidRPr="00CA24BF">
        <w:rPr>
          <w:rFonts w:ascii="Times New Roman" w:hAnsi="Times New Roman" w:cs="Times New Roman"/>
          <w:sz w:val="24"/>
          <w:szCs w:val="24"/>
        </w:rPr>
        <w:t xml:space="preserve">Programmas ietvaros tiek atbalstīti intensīvie latviešu valodas kursi Latgales reģionā (īpaši Ciblā, Zilupē, Ludzā, Daugavpilī, Dagdā, Krāslavā) un Rīgas reģionā, kā arī citviet Latvijā, nodrošinot iespēju ikvienam interesentam apgūt latviešu </w:t>
      </w:r>
      <w:r w:rsidRPr="00CA24BF">
        <w:rPr>
          <w:rFonts w:ascii="Times New Roman" w:hAnsi="Times New Roman" w:cs="Times New Roman"/>
          <w:sz w:val="24"/>
          <w:szCs w:val="24"/>
        </w:rPr>
        <w:lastRenderedPageBreak/>
        <w:t>valodu līdz valsts valodas prasmes vidējā līmeņa 2.pakāpei (B2).</w:t>
      </w:r>
      <w:r w:rsidRPr="00CA24BF">
        <w:rPr>
          <w:rFonts w:ascii="Times New Roman" w:hAnsi="Times New Roman" w:cs="Times New Roman"/>
          <w:bCs/>
          <w:i/>
          <w:sz w:val="24"/>
          <w:szCs w:val="24"/>
        </w:rPr>
        <w:t xml:space="preserve"> </w:t>
      </w:r>
      <w:r w:rsidRPr="00CA24BF">
        <w:rPr>
          <w:rFonts w:ascii="Times New Roman" w:hAnsi="Times New Roman" w:cs="Times New Roman"/>
          <w:sz w:val="24"/>
          <w:szCs w:val="24"/>
        </w:rPr>
        <w:t xml:space="preserve">Programmas mērķa grupa ir pieaugušie Latvijas iedzīvotāji, izņemot bezdarbniekus, darba meklētājus un skolēnus. Kā īpaši atbalstāma mērķa grupa ir noteikti jaunieši vecumā līdz 25 gadiem, kuri nav skolēni, bezdarbnieki vai darba meklētāji.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eastAsia="Times New Roman" w:hAnsi="Times New Roman" w:cs="Times New Roman"/>
          <w:sz w:val="24"/>
          <w:szCs w:val="24"/>
        </w:rPr>
        <w:t xml:space="preserve">2012.gadā </w:t>
      </w:r>
      <w:r w:rsidR="0046528D">
        <w:rPr>
          <w:rFonts w:ascii="Times New Roman" w:eastAsia="Times New Roman" w:hAnsi="Times New Roman" w:cs="Times New Roman"/>
          <w:sz w:val="24"/>
          <w:szCs w:val="24"/>
        </w:rPr>
        <w:t>v</w:t>
      </w:r>
      <w:r w:rsidRPr="00CA24BF">
        <w:rPr>
          <w:rFonts w:ascii="Times New Roman" w:eastAsia="Times New Roman" w:hAnsi="Times New Roman" w:cs="Times New Roman"/>
          <w:sz w:val="24"/>
          <w:szCs w:val="24"/>
        </w:rPr>
        <w:t xml:space="preserve">alsts valodas prasmes pārbaudi profesionālo un amata pienākumu veikšanai, pastāvīgās uzturēšanās atļaujas saņemšanai un </w:t>
      </w:r>
      <w:r w:rsidRPr="00CA24BF">
        <w:rPr>
          <w:rFonts w:ascii="Times New Roman" w:hAnsi="Times New Roman" w:cs="Times New Roman"/>
          <w:sz w:val="24"/>
          <w:szCs w:val="24"/>
        </w:rPr>
        <w:t>ES</w:t>
      </w:r>
      <w:r w:rsidRPr="00CA24BF">
        <w:rPr>
          <w:rFonts w:ascii="Times New Roman" w:eastAsia="Times New Roman" w:hAnsi="Times New Roman" w:cs="Times New Roman"/>
          <w:sz w:val="24"/>
          <w:szCs w:val="24"/>
        </w:rPr>
        <w:t xml:space="preserve"> pastāvīgā iedzīvotāja statusa iegūšanai kārtoja 6880 personas, no kurām pārbaudi sekmīgi nokārtoja 16,5 </w:t>
      </w:r>
      <w:r w:rsidR="00111406">
        <w:rPr>
          <w:rFonts w:ascii="Times New Roman" w:eastAsia="Times New Roman" w:hAnsi="Times New Roman" w:cs="Times New Roman"/>
          <w:sz w:val="24"/>
          <w:szCs w:val="24"/>
        </w:rPr>
        <w:t> %</w:t>
      </w:r>
      <w:r w:rsidRPr="00CA24BF">
        <w:rPr>
          <w:rFonts w:ascii="Times New Roman" w:eastAsia="Times New Roman" w:hAnsi="Times New Roman" w:cs="Times New Roman"/>
          <w:sz w:val="24"/>
          <w:szCs w:val="24"/>
        </w:rPr>
        <w:t xml:space="preserve">. </w:t>
      </w:r>
    </w:p>
    <w:p w:rsidR="00CA24BF" w:rsidRPr="00CA24BF" w:rsidRDefault="00CA24BF" w:rsidP="00CA24BF">
      <w:pPr>
        <w:autoSpaceDE w:val="0"/>
        <w:autoSpaceDN w:val="0"/>
        <w:adjustRightInd w:val="0"/>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2012.gadā tika īstenoti vairāki sabiedriski nozīmīgi valod</w:t>
      </w:r>
      <w:r w:rsidR="0046528D">
        <w:rPr>
          <w:rFonts w:ascii="Times New Roman" w:hAnsi="Times New Roman" w:cs="Times New Roman"/>
          <w:sz w:val="24"/>
          <w:szCs w:val="24"/>
        </w:rPr>
        <w:t>as lomu aktualizējoši pasākumi</w:t>
      </w:r>
      <w:r w:rsidRPr="00CA24BF">
        <w:rPr>
          <w:rFonts w:ascii="Times New Roman" w:hAnsi="Times New Roman" w:cs="Times New Roman"/>
          <w:sz w:val="24"/>
          <w:szCs w:val="24"/>
        </w:rPr>
        <w:t xml:space="preserve"> </w:t>
      </w:r>
      <w:r w:rsidRPr="00CA24BF">
        <w:rPr>
          <w:rFonts w:ascii="Times New Roman" w:hAnsi="Times New Roman"/>
          <w:bCs/>
          <w:sz w:val="24"/>
          <w:szCs w:val="24"/>
        </w:rPr>
        <w:t>latviešu valodas kā vienīgās valsts valodas statusa apliecināšanai</w:t>
      </w:r>
      <w:r w:rsidR="0046528D">
        <w:rPr>
          <w:rFonts w:ascii="Times New Roman" w:hAnsi="Times New Roman"/>
          <w:bCs/>
          <w:sz w:val="24"/>
          <w:szCs w:val="24"/>
        </w:rPr>
        <w:t> –</w:t>
      </w:r>
      <w:r w:rsidRPr="00CA24BF">
        <w:rPr>
          <w:rFonts w:ascii="Times New Roman" w:hAnsi="Times New Roman"/>
          <w:bCs/>
          <w:sz w:val="24"/>
          <w:szCs w:val="24"/>
        </w:rPr>
        <w:t xml:space="preserve"> </w:t>
      </w:r>
      <w:r w:rsidRPr="00CA24BF">
        <w:rPr>
          <w:rFonts w:ascii="Times New Roman" w:hAnsi="Times New Roman"/>
          <w:sz w:val="24"/>
          <w:szCs w:val="24"/>
        </w:rPr>
        <w:t xml:space="preserve">Dzimtās valodas dienas, Eiropas valodu dienas, valodas vakaru cikls </w:t>
      </w:r>
      <w:r w:rsidR="00B167ED">
        <w:rPr>
          <w:rFonts w:ascii="Times New Roman" w:hAnsi="Times New Roman"/>
          <w:sz w:val="24"/>
          <w:szCs w:val="24"/>
        </w:rPr>
        <w:t>"</w:t>
      </w:r>
      <w:r w:rsidRPr="00CA24BF">
        <w:rPr>
          <w:rFonts w:ascii="Times New Roman" w:hAnsi="Times New Roman"/>
          <w:sz w:val="24"/>
          <w:szCs w:val="24"/>
        </w:rPr>
        <w:t>Un es tieši gāju vārdu meklēt</w:t>
      </w:r>
      <w:r w:rsidR="00B167ED">
        <w:rPr>
          <w:rFonts w:ascii="Times New Roman" w:hAnsi="Times New Roman"/>
          <w:sz w:val="24"/>
          <w:szCs w:val="24"/>
        </w:rPr>
        <w:t>"</w:t>
      </w:r>
      <w:r w:rsidRPr="00CA24BF">
        <w:rPr>
          <w:rFonts w:ascii="Times New Roman" w:hAnsi="Times New Roman"/>
          <w:sz w:val="24"/>
          <w:szCs w:val="24"/>
        </w:rPr>
        <w:t xml:space="preserve"> u.c. pasākumi skolu jaunatnei.</w:t>
      </w:r>
    </w:p>
    <w:p w:rsidR="00CA24BF" w:rsidRPr="00FD601E"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Lai turpinātu valodas situācijas Latvijā izpēti, 2013.gadā plānots pabeigt vēl trīs pētījumus sociolingvistikā, izvērtējot valodas politikas īstenošanas atsevišķus aspektus (izglītībā, valsts valodas prasmes pārbaudē, plašsaziņas līdzekļos).</w:t>
      </w:r>
    </w:p>
    <w:p w:rsidR="00CA24BF" w:rsidRPr="009E07C5" w:rsidRDefault="00CA24BF" w:rsidP="00CA24BF">
      <w:pPr>
        <w:spacing w:after="0" w:line="240" w:lineRule="auto"/>
        <w:ind w:firstLine="720"/>
        <w:jc w:val="both"/>
        <w:rPr>
          <w:rFonts w:ascii="Times New Roman" w:hAnsi="Times New Roman" w:cs="Times New Roman"/>
          <w:sz w:val="24"/>
          <w:szCs w:val="24"/>
        </w:rPr>
      </w:pPr>
      <w:r w:rsidRPr="009E07C5">
        <w:rPr>
          <w:rFonts w:ascii="Times New Roman" w:hAnsi="Times New Roman"/>
          <w:sz w:val="24"/>
          <w:szCs w:val="24"/>
        </w:rPr>
        <w:t>2013.gadā plānots turpināt</w:t>
      </w:r>
      <w:r w:rsidRPr="009E07C5">
        <w:rPr>
          <w:sz w:val="24"/>
          <w:szCs w:val="24"/>
        </w:rPr>
        <w:t xml:space="preserve"> </w:t>
      </w:r>
      <w:r w:rsidRPr="009E07C5">
        <w:rPr>
          <w:rFonts w:ascii="Times New Roman" w:hAnsi="Times New Roman"/>
          <w:sz w:val="24"/>
          <w:szCs w:val="24"/>
        </w:rPr>
        <w:t>sabiedrības līdzdalības veicināšanas un latviešu valodas popularizēšanas pasākumus.</w:t>
      </w:r>
      <w:r w:rsidRPr="009E07C5">
        <w:rPr>
          <w:rFonts w:ascii="Times New Roman" w:hAnsi="Times New Roman" w:cs="Times New Roman"/>
          <w:sz w:val="24"/>
          <w:szCs w:val="24"/>
        </w:rPr>
        <w:t xml:space="preserve"> </w:t>
      </w:r>
      <w:r w:rsidRPr="009E07C5">
        <w:rPr>
          <w:rFonts w:ascii="Times New Roman" w:hAnsi="Times New Roman"/>
          <w:sz w:val="24"/>
          <w:szCs w:val="24"/>
        </w:rPr>
        <w:t xml:space="preserve">Tiks turpināta skolēnu lasīšanas veicināšanas programma </w:t>
      </w:r>
      <w:r w:rsidR="00B167ED">
        <w:rPr>
          <w:rFonts w:ascii="Times New Roman" w:hAnsi="Times New Roman"/>
          <w:sz w:val="24"/>
          <w:szCs w:val="24"/>
        </w:rPr>
        <w:t>"</w:t>
      </w:r>
      <w:r w:rsidRPr="009E07C5">
        <w:rPr>
          <w:rFonts w:ascii="Times New Roman" w:hAnsi="Times New Roman"/>
          <w:sz w:val="24"/>
          <w:szCs w:val="24"/>
        </w:rPr>
        <w:t>Bērnu un jauniešu žūrija</w:t>
      </w:r>
      <w:r w:rsidR="00B167ED">
        <w:rPr>
          <w:rFonts w:ascii="Times New Roman" w:hAnsi="Times New Roman"/>
          <w:sz w:val="24"/>
          <w:szCs w:val="24"/>
        </w:rPr>
        <w:t>"</w:t>
      </w:r>
      <w:r w:rsidRPr="009E07C5">
        <w:rPr>
          <w:rFonts w:ascii="Times New Roman" w:hAnsi="Times New Roman"/>
          <w:sz w:val="24"/>
          <w:szCs w:val="24"/>
        </w:rPr>
        <w:t xml:space="preserve"> ar diasporas latviešu centru un nedēļas nogales skolu iesaisti. Diasporas latviešu identitātes saglabāšanai tiks atbalstītas latviešu profesionālo kultūras kolektīvu izrādes latviešu kopienu centros to mītnes zemēs.</w:t>
      </w:r>
    </w:p>
    <w:p w:rsidR="00CA24BF" w:rsidRPr="00FD601E" w:rsidRDefault="00CA24BF" w:rsidP="00CA24BF">
      <w:pPr>
        <w:pStyle w:val="Heading3"/>
        <w:rPr>
          <w:szCs w:val="24"/>
        </w:rPr>
      </w:pPr>
      <w:bookmarkStart w:id="179" w:name="_Toc348948439"/>
      <w:r w:rsidRPr="00FD601E">
        <w:rPr>
          <w:szCs w:val="24"/>
        </w:rPr>
        <w:t>2.3.</w:t>
      </w:r>
      <w:r w:rsidR="0046528D">
        <w:rPr>
          <w:szCs w:val="24"/>
        </w:rPr>
        <w:t xml:space="preserve"> </w:t>
      </w:r>
      <w:r w:rsidRPr="00FD601E">
        <w:rPr>
          <w:szCs w:val="24"/>
        </w:rPr>
        <w:t>Saliedēta sociālā atmiņa</w:t>
      </w:r>
      <w:bookmarkEnd w:id="179"/>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2012.gadā uzsākta gatavošanās sociālās atmiņas politikas izstrādei, lai palīdzētu mazināt plaisas un neizpratni </w:t>
      </w:r>
      <w:r w:rsidR="0046528D">
        <w:rPr>
          <w:rFonts w:ascii="Times New Roman" w:hAnsi="Times New Roman"/>
          <w:sz w:val="24"/>
          <w:szCs w:val="24"/>
        </w:rPr>
        <w:t>starp</w:t>
      </w:r>
      <w:r w:rsidR="0046528D" w:rsidRPr="00CA24BF">
        <w:rPr>
          <w:rFonts w:ascii="Times New Roman" w:hAnsi="Times New Roman"/>
          <w:sz w:val="24"/>
          <w:szCs w:val="24"/>
        </w:rPr>
        <w:t xml:space="preserve"> </w:t>
      </w:r>
      <w:r w:rsidRPr="00CA24BF">
        <w:rPr>
          <w:rFonts w:ascii="Times New Roman" w:hAnsi="Times New Roman"/>
          <w:sz w:val="24"/>
          <w:szCs w:val="24"/>
        </w:rPr>
        <w:t>dažād</w:t>
      </w:r>
      <w:r w:rsidR="0046528D">
        <w:rPr>
          <w:rFonts w:ascii="Times New Roman" w:hAnsi="Times New Roman"/>
          <w:sz w:val="24"/>
          <w:szCs w:val="24"/>
        </w:rPr>
        <w:t>ām</w:t>
      </w:r>
      <w:r w:rsidRPr="00CA24BF">
        <w:rPr>
          <w:rFonts w:ascii="Times New Roman" w:hAnsi="Times New Roman"/>
          <w:sz w:val="24"/>
          <w:szCs w:val="24"/>
        </w:rPr>
        <w:t xml:space="preserve"> sabiedrības grup</w:t>
      </w:r>
      <w:r w:rsidR="0046528D">
        <w:rPr>
          <w:rFonts w:ascii="Times New Roman" w:hAnsi="Times New Roman"/>
          <w:sz w:val="24"/>
          <w:szCs w:val="24"/>
        </w:rPr>
        <w:t>ām</w:t>
      </w:r>
      <w:r w:rsidRPr="00CA24BF">
        <w:rPr>
          <w:rFonts w:ascii="Times New Roman" w:hAnsi="Times New Roman"/>
          <w:sz w:val="24"/>
          <w:szCs w:val="24"/>
        </w:rPr>
        <w:t xml:space="preserve">, kas balstās atšķirīgā vēstures faktu interpretācijā. </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Piešķirts finansējums grāmatas </w:t>
      </w:r>
      <w:r w:rsidR="00B167ED">
        <w:rPr>
          <w:rFonts w:ascii="Times New Roman" w:hAnsi="Times New Roman"/>
          <w:sz w:val="24"/>
          <w:szCs w:val="24"/>
        </w:rPr>
        <w:t>"</w:t>
      </w:r>
      <w:r w:rsidRPr="00CA24BF">
        <w:rPr>
          <w:rFonts w:ascii="Times New Roman" w:hAnsi="Times New Roman"/>
          <w:sz w:val="24"/>
          <w:szCs w:val="24"/>
        </w:rPr>
        <w:t>(Divas) puses. Latviešu kara stāsti</w:t>
      </w:r>
      <w:r w:rsidR="00B167ED">
        <w:rPr>
          <w:rFonts w:ascii="Times New Roman" w:hAnsi="Times New Roman"/>
          <w:sz w:val="24"/>
          <w:szCs w:val="24"/>
        </w:rPr>
        <w:t>"</w:t>
      </w:r>
      <w:r w:rsidRPr="00CA24BF">
        <w:rPr>
          <w:rFonts w:ascii="Times New Roman" w:hAnsi="Times New Roman"/>
          <w:sz w:val="24"/>
          <w:szCs w:val="24"/>
        </w:rPr>
        <w:t xml:space="preserve"> tulkošanai krievu valodā. </w:t>
      </w:r>
    </w:p>
    <w:p w:rsidR="00CA24BF" w:rsidRPr="00CA24BF" w:rsidRDefault="00CA24BF" w:rsidP="00CA24BF">
      <w:pPr>
        <w:spacing w:after="0" w:line="240" w:lineRule="auto"/>
        <w:ind w:firstLine="720"/>
        <w:jc w:val="both"/>
        <w:rPr>
          <w:rFonts w:ascii="Times New Roman" w:hAnsi="Times New Roman" w:cs="Times New Roman"/>
          <w:sz w:val="24"/>
          <w:szCs w:val="24"/>
        </w:rPr>
      </w:pPr>
      <w:r w:rsidRPr="00CA24BF">
        <w:rPr>
          <w:rFonts w:ascii="Times New Roman" w:hAnsi="Times New Roman" w:cs="Times New Roman"/>
          <w:sz w:val="24"/>
          <w:szCs w:val="24"/>
        </w:rPr>
        <w:t xml:space="preserve">Uzsākts īstenot skolēnu patriotiskās audzināšanas pasākumu ciklu </w:t>
      </w:r>
      <w:r w:rsidR="00B167ED">
        <w:rPr>
          <w:rFonts w:ascii="Times New Roman" w:hAnsi="Times New Roman" w:cs="Times New Roman"/>
          <w:sz w:val="24"/>
          <w:szCs w:val="24"/>
        </w:rPr>
        <w:t>"</w:t>
      </w:r>
      <w:r w:rsidRPr="00CA24BF">
        <w:rPr>
          <w:rFonts w:ascii="Times New Roman" w:hAnsi="Times New Roman" w:cs="Times New Roman"/>
          <w:sz w:val="24"/>
          <w:szCs w:val="24"/>
        </w:rPr>
        <w:t>Mana Latvija</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kura ietvaros notikuši divi informatīvi izglītojoši semināri pašvaldību koordinatoriem par skolēnu pilsonisko izglītību un patriotisma audzināšanu. Savukārt, sadarbībā ar Likteņdārzu organizēts projekts skolēniem </w:t>
      </w:r>
      <w:r w:rsidR="00B167ED">
        <w:rPr>
          <w:rFonts w:ascii="Times New Roman" w:hAnsi="Times New Roman" w:cs="Times New Roman"/>
          <w:sz w:val="24"/>
          <w:szCs w:val="24"/>
        </w:rPr>
        <w:t>"</w:t>
      </w:r>
      <w:r w:rsidRPr="00CA24BF">
        <w:rPr>
          <w:rFonts w:ascii="Times New Roman" w:hAnsi="Times New Roman" w:cs="Times New Roman"/>
          <w:sz w:val="24"/>
          <w:szCs w:val="24"/>
        </w:rPr>
        <w:t>Dāvini savai Latvijai</w:t>
      </w:r>
      <w:r w:rsidR="00B167ED">
        <w:rPr>
          <w:rFonts w:ascii="Times New Roman" w:hAnsi="Times New Roman" w:cs="Times New Roman"/>
          <w:sz w:val="24"/>
          <w:szCs w:val="24"/>
        </w:rPr>
        <w:t>"</w:t>
      </w:r>
      <w:r w:rsidRPr="00CA24BF">
        <w:rPr>
          <w:rFonts w:ascii="Times New Roman" w:hAnsi="Times New Roman" w:cs="Times New Roman"/>
          <w:sz w:val="24"/>
          <w:szCs w:val="24"/>
        </w:rPr>
        <w:t xml:space="preserve">, kurā iesaistījās 334 izglītības iestādes. </w:t>
      </w:r>
    </w:p>
    <w:p w:rsidR="00CA24BF" w:rsidRPr="00583FA8"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Sadarbībā ar Latvijas Okupācijas muzeju tiks īstenoti projekti </w:t>
      </w:r>
      <w:r w:rsidR="00D30DBD">
        <w:rPr>
          <w:rFonts w:ascii="Times New Roman" w:hAnsi="Times New Roman"/>
          <w:sz w:val="24"/>
          <w:szCs w:val="24"/>
        </w:rPr>
        <w:t>–</w:t>
      </w:r>
      <w:r w:rsidRPr="00CA24BF">
        <w:rPr>
          <w:rFonts w:ascii="Times New Roman" w:hAnsi="Times New Roman"/>
          <w:sz w:val="24"/>
          <w:szCs w:val="24"/>
        </w:rPr>
        <w:t xml:space="preserve"> jaunas ekspozīcijas izveide integrētai, interaktīvai vēstures mācīšanai, viegli uztverama un ilustrēta Latvijas vēstures skaidrojuma </w:t>
      </w:r>
      <w:r w:rsidR="00D30DBD" w:rsidRPr="00CA24BF">
        <w:rPr>
          <w:rFonts w:ascii="Times New Roman" w:hAnsi="Times New Roman"/>
          <w:sz w:val="24"/>
          <w:szCs w:val="24"/>
        </w:rPr>
        <w:t xml:space="preserve">izstrāde </w:t>
      </w:r>
      <w:r w:rsidRPr="00CA24BF">
        <w:rPr>
          <w:rFonts w:ascii="Times New Roman" w:hAnsi="Times New Roman"/>
          <w:sz w:val="24"/>
          <w:szCs w:val="24"/>
        </w:rPr>
        <w:t xml:space="preserve">latviešu, krievu un angļu valodā un īsfilmu cikla </w:t>
      </w:r>
      <w:r w:rsidR="00D30DBD">
        <w:rPr>
          <w:rFonts w:ascii="Times New Roman" w:hAnsi="Times New Roman"/>
          <w:sz w:val="24"/>
          <w:szCs w:val="24"/>
        </w:rPr>
        <w:t xml:space="preserve">izveide </w:t>
      </w:r>
      <w:r w:rsidRPr="00CA24BF">
        <w:rPr>
          <w:rFonts w:ascii="Times New Roman" w:hAnsi="Times New Roman"/>
          <w:sz w:val="24"/>
          <w:szCs w:val="24"/>
        </w:rPr>
        <w:t>par Latvijas vēsturi un konstitucionālajiem pamatiem.</w:t>
      </w:r>
      <w:r w:rsidRPr="00FD601E">
        <w:rPr>
          <w:rFonts w:ascii="Times New Roman" w:hAnsi="Times New Roman"/>
          <w:sz w:val="24"/>
          <w:szCs w:val="24"/>
        </w:rPr>
        <w:t xml:space="preserve"> </w:t>
      </w:r>
    </w:p>
    <w:p w:rsidR="00CA24BF" w:rsidRDefault="00CA24BF" w:rsidP="00CA24BF">
      <w:pPr>
        <w:pStyle w:val="Heading2"/>
        <w:spacing w:before="0" w:line="240" w:lineRule="auto"/>
      </w:pPr>
    </w:p>
    <w:p w:rsidR="00CA24BF" w:rsidRPr="00FD601E" w:rsidRDefault="00CA24BF" w:rsidP="00CA24BF">
      <w:pPr>
        <w:pStyle w:val="Heading2"/>
        <w:spacing w:before="0" w:line="240" w:lineRule="auto"/>
      </w:pPr>
      <w:bookmarkStart w:id="180" w:name="_Toc348948440"/>
      <w:r w:rsidRPr="00FD601E">
        <w:t>3. Sabiedriskie mediji</w:t>
      </w:r>
      <w:bookmarkEnd w:id="180"/>
    </w:p>
    <w:p w:rsidR="00CA24BF" w:rsidRPr="00FD601E" w:rsidRDefault="00CA24BF" w:rsidP="00CA24BF">
      <w:pPr>
        <w:spacing w:after="0" w:line="240" w:lineRule="auto"/>
        <w:ind w:firstLine="720"/>
        <w:jc w:val="both"/>
        <w:rPr>
          <w:rFonts w:ascii="Times New Roman" w:hAnsi="Times New Roman"/>
          <w:sz w:val="24"/>
          <w:szCs w:val="24"/>
        </w:rPr>
      </w:pP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 xml:space="preserve">Tika veikta detalizēta situācijas izpēte jautājumā par jauna Latvijas sabiedriskā elektroniskā medija izveidi, pārskatot finansiālo risinājumu variantus un precizējot koncepcijas īstenošanai nepieciešamos pasākumus un laika grafiku. 2013.gadā plānots iesniegt apstiprināšanai MK Koncepciju par jauna Latvijas sabiedriskā elektroniskā medija izveidi. </w:t>
      </w:r>
    </w:p>
    <w:p w:rsidR="00CA24BF" w:rsidRPr="00CA24BF" w:rsidRDefault="00CA24BF" w:rsidP="00CA24BF">
      <w:pPr>
        <w:spacing w:after="0" w:line="240" w:lineRule="auto"/>
        <w:ind w:firstLine="720"/>
        <w:jc w:val="both"/>
        <w:rPr>
          <w:rFonts w:ascii="Times New Roman" w:hAnsi="Times New Roman"/>
          <w:bCs/>
          <w:sz w:val="24"/>
          <w:szCs w:val="24"/>
        </w:rPr>
      </w:pPr>
      <w:r w:rsidRPr="00CA24BF">
        <w:rPr>
          <w:rFonts w:ascii="Times New Roman" w:hAnsi="Times New Roman"/>
          <w:sz w:val="24"/>
          <w:szCs w:val="24"/>
        </w:rPr>
        <w:t>Latvijas Radio 1.kanālā</w:t>
      </w:r>
      <w:r w:rsidRPr="00CA24BF">
        <w:rPr>
          <w:rFonts w:ascii="Times New Roman" w:hAnsi="Times New Roman"/>
          <w:bCs/>
          <w:sz w:val="24"/>
          <w:szCs w:val="24"/>
        </w:rPr>
        <w:t xml:space="preserve"> (turpmāk – LR-1) novembrī uzsāka iknedēļas raidījumu </w:t>
      </w:r>
      <w:r w:rsidR="00B167ED">
        <w:rPr>
          <w:rFonts w:ascii="Times New Roman" w:hAnsi="Times New Roman"/>
          <w:bCs/>
          <w:sz w:val="24"/>
          <w:szCs w:val="24"/>
        </w:rPr>
        <w:t>"</w:t>
      </w:r>
      <w:r w:rsidR="00D30DBD">
        <w:rPr>
          <w:rFonts w:ascii="Times New Roman" w:hAnsi="Times New Roman"/>
          <w:bCs/>
          <w:sz w:val="24"/>
          <w:szCs w:val="24"/>
        </w:rPr>
        <w:t>21.gs. latvietis</w:t>
      </w:r>
      <w:r w:rsidR="00B167ED">
        <w:rPr>
          <w:rFonts w:ascii="Times New Roman" w:hAnsi="Times New Roman"/>
          <w:bCs/>
          <w:sz w:val="24"/>
          <w:szCs w:val="24"/>
        </w:rPr>
        <w:t>"</w:t>
      </w:r>
      <w:r w:rsidRPr="00CA24BF">
        <w:rPr>
          <w:rFonts w:ascii="Times New Roman" w:hAnsi="Times New Roman"/>
          <w:bCs/>
          <w:sz w:val="24"/>
          <w:szCs w:val="24"/>
        </w:rPr>
        <w:t xml:space="preserve"> </w:t>
      </w:r>
      <w:r w:rsidR="00D30DBD">
        <w:rPr>
          <w:rFonts w:ascii="Times New Roman" w:hAnsi="Times New Roman"/>
          <w:bCs/>
          <w:sz w:val="24"/>
          <w:szCs w:val="24"/>
        </w:rPr>
        <w:t>pārraidīšana.</w:t>
      </w:r>
      <w:r w:rsidR="00D30DBD" w:rsidRPr="00CA24BF">
        <w:rPr>
          <w:rFonts w:ascii="Times New Roman" w:hAnsi="Times New Roman"/>
          <w:bCs/>
          <w:sz w:val="24"/>
          <w:szCs w:val="24"/>
        </w:rPr>
        <w:t xml:space="preserve"> </w:t>
      </w:r>
      <w:r w:rsidR="00D30DBD">
        <w:rPr>
          <w:rFonts w:ascii="Times New Roman" w:hAnsi="Times New Roman"/>
          <w:bCs/>
          <w:sz w:val="24"/>
          <w:szCs w:val="24"/>
        </w:rPr>
        <w:t>Raidījumā</w:t>
      </w:r>
      <w:r w:rsidRPr="00CA24BF">
        <w:rPr>
          <w:rFonts w:ascii="Times New Roman" w:hAnsi="Times New Roman"/>
          <w:bCs/>
          <w:sz w:val="24"/>
          <w:szCs w:val="24"/>
        </w:rPr>
        <w:t xml:space="preserve"> tiek </w:t>
      </w:r>
      <w:r w:rsidRPr="00CA24BF">
        <w:rPr>
          <w:rStyle w:val="Strong"/>
          <w:rFonts w:ascii="Times New Roman" w:hAnsi="Times New Roman"/>
          <w:b w:val="0"/>
          <w:iCs/>
          <w:sz w:val="24"/>
          <w:szCs w:val="24"/>
        </w:rPr>
        <w:t>risinātas sa</w:t>
      </w:r>
      <w:r w:rsidR="00D30DBD">
        <w:rPr>
          <w:rStyle w:val="Strong"/>
          <w:rFonts w:ascii="Times New Roman" w:hAnsi="Times New Roman"/>
          <w:b w:val="0"/>
          <w:iCs/>
          <w:sz w:val="24"/>
          <w:szCs w:val="24"/>
        </w:rPr>
        <w:t>runas par un ar latviešiem, kas dažādu iemeslu dēļ</w:t>
      </w:r>
      <w:r w:rsidRPr="00CA24BF">
        <w:rPr>
          <w:rStyle w:val="Strong"/>
          <w:rFonts w:ascii="Times New Roman" w:hAnsi="Times New Roman"/>
          <w:b w:val="0"/>
          <w:iCs/>
          <w:sz w:val="24"/>
          <w:szCs w:val="24"/>
        </w:rPr>
        <w:t xml:space="preserve"> ir izvēlējušies dzīvot ārpus Latvijas </w:t>
      </w:r>
      <w:r w:rsidR="00D30DBD">
        <w:rPr>
          <w:rFonts w:ascii="Times New Roman" w:hAnsi="Times New Roman"/>
          <w:sz w:val="24"/>
          <w:szCs w:val="24"/>
        </w:rPr>
        <w:t>–</w:t>
      </w:r>
      <w:r w:rsidRPr="00CA24BF">
        <w:rPr>
          <w:rFonts w:ascii="Times New Roman" w:hAnsi="Times New Roman"/>
          <w:sz w:val="24"/>
          <w:szCs w:val="24"/>
        </w:rPr>
        <w:t xml:space="preserve"> </w:t>
      </w:r>
      <w:r w:rsidR="00B167ED">
        <w:rPr>
          <w:rFonts w:ascii="Times New Roman" w:hAnsi="Times New Roman"/>
          <w:sz w:val="24"/>
          <w:szCs w:val="24"/>
        </w:rPr>
        <w:t>"</w:t>
      </w:r>
      <w:r w:rsidRPr="00CA24BF">
        <w:rPr>
          <w:rFonts w:ascii="Times New Roman" w:hAnsi="Times New Roman"/>
          <w:sz w:val="24"/>
          <w:szCs w:val="24"/>
        </w:rPr>
        <w:t>vecie trimdinieki</w:t>
      </w:r>
      <w:r w:rsidR="00B167ED">
        <w:rPr>
          <w:rFonts w:ascii="Times New Roman" w:hAnsi="Times New Roman"/>
          <w:sz w:val="24"/>
          <w:szCs w:val="24"/>
        </w:rPr>
        <w:t>"</w:t>
      </w:r>
      <w:r w:rsidRPr="00CA24BF">
        <w:rPr>
          <w:rFonts w:ascii="Times New Roman" w:hAnsi="Times New Roman"/>
          <w:sz w:val="24"/>
          <w:szCs w:val="24"/>
        </w:rPr>
        <w:t xml:space="preserve">, jaunie </w:t>
      </w:r>
      <w:r w:rsidRPr="00CA24BF">
        <w:rPr>
          <w:rFonts w:ascii="Times New Roman" w:hAnsi="Times New Roman"/>
          <w:sz w:val="24"/>
          <w:szCs w:val="24"/>
        </w:rPr>
        <w:lastRenderedPageBreak/>
        <w:t>emigranti, ekonomiskie bēgļi, studenti u.c.</w:t>
      </w:r>
      <w:r w:rsidRPr="00CA24BF">
        <w:rPr>
          <w:rFonts w:ascii="Times New Roman" w:hAnsi="Times New Roman"/>
          <w:bCs/>
          <w:sz w:val="24"/>
          <w:szCs w:val="24"/>
        </w:rPr>
        <w:t xml:space="preserve"> Tāpat katru nedēļu LR-1 izs</w:t>
      </w:r>
      <w:r w:rsidR="00D30DBD">
        <w:rPr>
          <w:rFonts w:ascii="Times New Roman" w:hAnsi="Times New Roman"/>
          <w:bCs/>
          <w:sz w:val="24"/>
          <w:szCs w:val="24"/>
        </w:rPr>
        <w:t>kan raidījums latgaliešu valodā</w:t>
      </w:r>
      <w:r w:rsidRPr="00CA24BF">
        <w:rPr>
          <w:rFonts w:ascii="Times New Roman" w:hAnsi="Times New Roman"/>
          <w:bCs/>
          <w:sz w:val="24"/>
          <w:szCs w:val="24"/>
        </w:rPr>
        <w:t xml:space="preserve"> </w:t>
      </w:r>
      <w:r w:rsidR="00B167ED">
        <w:rPr>
          <w:rFonts w:ascii="Times New Roman" w:hAnsi="Times New Roman"/>
          <w:bCs/>
          <w:sz w:val="24"/>
          <w:szCs w:val="24"/>
        </w:rPr>
        <w:t>"</w:t>
      </w:r>
      <w:r w:rsidRPr="00CA24BF">
        <w:rPr>
          <w:rFonts w:ascii="Times New Roman" w:hAnsi="Times New Roman"/>
          <w:bCs/>
          <w:sz w:val="24"/>
          <w:szCs w:val="24"/>
        </w:rPr>
        <w:t>Kolnasāta</w:t>
      </w:r>
      <w:r w:rsidR="00B167ED">
        <w:rPr>
          <w:rFonts w:ascii="Times New Roman" w:hAnsi="Times New Roman"/>
          <w:bCs/>
          <w:sz w:val="24"/>
          <w:szCs w:val="24"/>
        </w:rPr>
        <w:t>"</w:t>
      </w:r>
      <w:r w:rsidRPr="00CA24BF">
        <w:rPr>
          <w:rFonts w:ascii="Times New Roman" w:hAnsi="Times New Roman"/>
          <w:bCs/>
          <w:sz w:val="24"/>
          <w:szCs w:val="24"/>
        </w:rPr>
        <w:t>.</w:t>
      </w:r>
    </w:p>
    <w:p w:rsidR="00CA24BF" w:rsidRPr="00CA24BF" w:rsidRDefault="00CA24BF" w:rsidP="00CA24BF">
      <w:pPr>
        <w:spacing w:after="0" w:line="240" w:lineRule="auto"/>
        <w:ind w:firstLine="720"/>
        <w:jc w:val="both"/>
        <w:rPr>
          <w:rFonts w:ascii="Times New Roman" w:hAnsi="Times New Roman"/>
          <w:bCs/>
          <w:sz w:val="24"/>
          <w:szCs w:val="24"/>
        </w:rPr>
      </w:pPr>
      <w:r w:rsidRPr="00CA24BF">
        <w:rPr>
          <w:rFonts w:ascii="Times New Roman" w:hAnsi="Times New Roman"/>
          <w:bCs/>
          <w:sz w:val="24"/>
          <w:szCs w:val="24"/>
        </w:rPr>
        <w:t>Ir sākuši darboties raidītāji Alūksnē, Viesītē un Dagdā, tādējādi ir paplašinājusies Latvijas Radio 4.kanāla (turpmāk – LR4) apraides zona, nodrošinot ar Latvijas ziņām un Latvijā veidotiem raidījumiem faktiski visu Latgales teritoriju.</w:t>
      </w:r>
      <w:r w:rsidR="00D30DBD">
        <w:rPr>
          <w:rFonts w:ascii="Times New Roman" w:hAnsi="Times New Roman"/>
          <w:sz w:val="24"/>
          <w:szCs w:val="24"/>
        </w:rPr>
        <w:t xml:space="preserve"> Celta LR4 personāla kapacitāte</w:t>
      </w:r>
      <w:r w:rsidRPr="00CA24BF">
        <w:rPr>
          <w:rFonts w:ascii="Times New Roman" w:hAnsi="Times New Roman"/>
          <w:sz w:val="24"/>
          <w:szCs w:val="24"/>
        </w:rPr>
        <w:t>, izveidojot dažas būtiskas personāl</w:t>
      </w:r>
      <w:r w:rsidR="00D30DBD">
        <w:rPr>
          <w:rFonts w:ascii="Times New Roman" w:hAnsi="Times New Roman"/>
          <w:sz w:val="24"/>
          <w:szCs w:val="24"/>
        </w:rPr>
        <w:t>a</w:t>
      </w:r>
      <w:r w:rsidRPr="00CA24BF">
        <w:rPr>
          <w:rFonts w:ascii="Times New Roman" w:hAnsi="Times New Roman"/>
          <w:sz w:val="24"/>
          <w:szCs w:val="24"/>
        </w:rPr>
        <w:t xml:space="preserve"> pozīcijas, kas</w:t>
      </w:r>
      <w:r w:rsidRPr="00CA24BF">
        <w:rPr>
          <w:rFonts w:ascii="Times New Roman" w:hAnsi="Times New Roman" w:cs="Times New Roman"/>
          <w:sz w:val="24"/>
          <w:szCs w:val="24"/>
        </w:rPr>
        <w:t xml:space="preserve"> ļaus būtiski uzlabot LR4 komunikāciju ar klausītājiem interneta vidē, kā a</w:t>
      </w:r>
      <w:r w:rsidR="00D30DBD">
        <w:rPr>
          <w:rFonts w:ascii="Times New Roman" w:hAnsi="Times New Roman" w:cs="Times New Roman"/>
          <w:sz w:val="24"/>
          <w:szCs w:val="24"/>
        </w:rPr>
        <w:t>rī nodrošināt lielāku LR4 mājas</w:t>
      </w:r>
      <w:r w:rsidRPr="00CA24BF">
        <w:rPr>
          <w:rFonts w:ascii="Times New Roman" w:hAnsi="Times New Roman" w:cs="Times New Roman"/>
          <w:sz w:val="24"/>
          <w:szCs w:val="24"/>
        </w:rPr>
        <w:t>lapas sasaisti ar sociālajiem tīkliem.</w:t>
      </w:r>
    </w:p>
    <w:p w:rsidR="00CA24BF" w:rsidRPr="00CA24BF" w:rsidRDefault="00CA24BF" w:rsidP="00CA24BF">
      <w:pPr>
        <w:spacing w:after="0" w:line="240" w:lineRule="auto"/>
        <w:ind w:firstLine="720"/>
        <w:jc w:val="both"/>
        <w:rPr>
          <w:rFonts w:ascii="Times New Roman" w:hAnsi="Times New Roman"/>
          <w:sz w:val="24"/>
          <w:szCs w:val="24"/>
        </w:rPr>
      </w:pPr>
      <w:r w:rsidRPr="00CA24BF">
        <w:rPr>
          <w:rFonts w:ascii="Times New Roman" w:hAnsi="Times New Roman"/>
          <w:sz w:val="24"/>
          <w:szCs w:val="24"/>
        </w:rPr>
        <w:t>Latvijas Radio saņēma finansējumu raidījumu izveidei par Latvijas konstitucionālajiem pamatiem un mazākumtautību vēsturisko nozīmi</w:t>
      </w:r>
      <w:r w:rsidR="00D30DBD">
        <w:rPr>
          <w:rFonts w:ascii="Times New Roman" w:hAnsi="Times New Roman"/>
          <w:sz w:val="24"/>
          <w:szCs w:val="24"/>
        </w:rPr>
        <w:t>.</w:t>
      </w:r>
      <w:r w:rsidRPr="00CA24BF">
        <w:rPr>
          <w:rFonts w:ascii="Times New Roman" w:hAnsi="Times New Roman"/>
          <w:sz w:val="24"/>
          <w:szCs w:val="24"/>
        </w:rPr>
        <w:t xml:space="preserve"> LR4 ir paplašinā</w:t>
      </w:r>
      <w:r w:rsidR="00D30DBD">
        <w:rPr>
          <w:rFonts w:ascii="Times New Roman" w:hAnsi="Times New Roman"/>
          <w:sz w:val="24"/>
          <w:szCs w:val="24"/>
        </w:rPr>
        <w:t>ji</w:t>
      </w:r>
      <w:r w:rsidRPr="00CA24BF">
        <w:rPr>
          <w:rFonts w:ascii="Times New Roman" w:hAnsi="Times New Roman"/>
          <w:sz w:val="24"/>
          <w:szCs w:val="24"/>
        </w:rPr>
        <w:t>s raidījum</w:t>
      </w:r>
      <w:r w:rsidR="00D30DBD">
        <w:rPr>
          <w:rFonts w:ascii="Times New Roman" w:hAnsi="Times New Roman"/>
          <w:sz w:val="24"/>
          <w:szCs w:val="24"/>
        </w:rPr>
        <w:t>ā</w:t>
      </w:r>
      <w:r w:rsidRPr="00CA24BF">
        <w:rPr>
          <w:rFonts w:ascii="Times New Roman" w:hAnsi="Times New Roman"/>
          <w:sz w:val="24"/>
          <w:szCs w:val="24"/>
        </w:rPr>
        <w:t xml:space="preserve"> </w:t>
      </w:r>
      <w:r w:rsidR="00B167ED">
        <w:rPr>
          <w:rFonts w:ascii="Times New Roman" w:hAnsi="Times New Roman"/>
          <w:sz w:val="24"/>
          <w:szCs w:val="24"/>
        </w:rPr>
        <w:t>"</w:t>
      </w:r>
      <w:r w:rsidRPr="00CA24BF">
        <w:rPr>
          <w:rFonts w:ascii="Times New Roman" w:hAnsi="Times New Roman"/>
          <w:sz w:val="24"/>
          <w:szCs w:val="24"/>
        </w:rPr>
        <w:t>Dzīvā vēsture</w:t>
      </w:r>
      <w:r w:rsidR="00B167ED">
        <w:rPr>
          <w:rFonts w:ascii="Times New Roman" w:hAnsi="Times New Roman"/>
          <w:sz w:val="24"/>
          <w:szCs w:val="24"/>
        </w:rPr>
        <w:t>"</w:t>
      </w:r>
      <w:r w:rsidRPr="00CA24BF">
        <w:rPr>
          <w:rFonts w:ascii="Times New Roman" w:hAnsi="Times New Roman"/>
          <w:sz w:val="24"/>
          <w:szCs w:val="24"/>
        </w:rPr>
        <w:t xml:space="preserve"> </w:t>
      </w:r>
      <w:r w:rsidR="00D30DBD">
        <w:rPr>
          <w:rFonts w:ascii="Times New Roman" w:hAnsi="Times New Roman"/>
          <w:sz w:val="24"/>
          <w:szCs w:val="24"/>
        </w:rPr>
        <w:t>aplūkojamo</w:t>
      </w:r>
      <w:r w:rsidRPr="00CA24BF">
        <w:rPr>
          <w:rFonts w:ascii="Times New Roman" w:hAnsi="Times New Roman"/>
          <w:sz w:val="24"/>
          <w:szCs w:val="24"/>
        </w:rPr>
        <w:t xml:space="preserve"> jautājumu loks.</w:t>
      </w:r>
    </w:p>
    <w:p w:rsidR="00FD601E" w:rsidRPr="00FD601E" w:rsidRDefault="00FD601E" w:rsidP="00583FA8">
      <w:pPr>
        <w:pStyle w:val="Heading2"/>
        <w:spacing w:before="0" w:line="240" w:lineRule="auto"/>
        <w:rPr>
          <w:sz w:val="24"/>
          <w:szCs w:val="24"/>
        </w:rPr>
      </w:pPr>
    </w:p>
    <w:p w:rsidR="00FD601E" w:rsidRPr="00583FA8" w:rsidRDefault="00FD601E" w:rsidP="00583FA8">
      <w:pPr>
        <w:pStyle w:val="Heading2"/>
        <w:spacing w:before="0" w:line="240" w:lineRule="auto"/>
      </w:pPr>
      <w:bookmarkStart w:id="181" w:name="_Toc348948441"/>
      <w:r w:rsidRPr="00583FA8">
        <w:t>4.</w:t>
      </w:r>
      <w:r w:rsidR="00D30DBD">
        <w:t xml:space="preserve"> </w:t>
      </w:r>
      <w:r w:rsidRPr="00583FA8">
        <w:t>Rīga – Eiropas kultūras galvaspilsēta 2014</w:t>
      </w:r>
      <w:bookmarkEnd w:id="181"/>
      <w:r w:rsidRPr="00583FA8">
        <w:t xml:space="preserve"> </w:t>
      </w:r>
    </w:p>
    <w:p w:rsidR="00FD601E" w:rsidRPr="00FD601E" w:rsidRDefault="00FD601E" w:rsidP="00583FA8">
      <w:pPr>
        <w:spacing w:after="0" w:line="240" w:lineRule="auto"/>
        <w:ind w:firstLine="720"/>
        <w:jc w:val="both"/>
        <w:rPr>
          <w:rFonts w:ascii="Times New Roman" w:hAnsi="Times New Roman"/>
          <w:sz w:val="24"/>
          <w:szCs w:val="24"/>
        </w:rPr>
      </w:pPr>
    </w:p>
    <w:p w:rsidR="00FD601E" w:rsidRPr="00FD601E" w:rsidRDefault="00FD601E" w:rsidP="00583FA8">
      <w:pPr>
        <w:spacing w:after="0" w:line="240" w:lineRule="auto"/>
        <w:ind w:firstLine="720"/>
        <w:jc w:val="both"/>
        <w:rPr>
          <w:rFonts w:ascii="Times New Roman" w:hAnsi="Times New Roman"/>
          <w:sz w:val="24"/>
          <w:szCs w:val="24"/>
        </w:rPr>
      </w:pPr>
      <w:r w:rsidRPr="00FD601E">
        <w:rPr>
          <w:rFonts w:ascii="Times New Roman" w:hAnsi="Times New Roman"/>
          <w:sz w:val="24"/>
          <w:szCs w:val="24"/>
        </w:rPr>
        <w:t xml:space="preserve">2012.gadā pieņemts lēmums par dalību projektā </w:t>
      </w:r>
      <w:r w:rsidR="00B167ED">
        <w:rPr>
          <w:rFonts w:ascii="Times New Roman" w:hAnsi="Times New Roman"/>
          <w:sz w:val="24"/>
          <w:szCs w:val="24"/>
        </w:rPr>
        <w:t>"</w:t>
      </w:r>
      <w:r w:rsidRPr="00FD601E">
        <w:rPr>
          <w:rFonts w:ascii="Times New Roman" w:hAnsi="Times New Roman"/>
          <w:sz w:val="24"/>
          <w:szCs w:val="24"/>
        </w:rPr>
        <w:t>Rīga − Eiropas kultūras galvaspilsēta 2014.gadā</w:t>
      </w:r>
      <w:r w:rsidR="00B167ED">
        <w:rPr>
          <w:rFonts w:ascii="Times New Roman" w:hAnsi="Times New Roman"/>
          <w:sz w:val="24"/>
          <w:szCs w:val="24"/>
        </w:rPr>
        <w:t>"</w:t>
      </w:r>
      <w:r w:rsidRPr="00FD601E">
        <w:rPr>
          <w:rFonts w:ascii="Times New Roman" w:hAnsi="Times New Roman"/>
          <w:sz w:val="24"/>
          <w:szCs w:val="24"/>
        </w:rPr>
        <w:t xml:space="preserve">, paredzot kopējo valsts finansējumu šim projektam 8,6 milj. latu apmērā. </w:t>
      </w:r>
    </w:p>
    <w:p w:rsidR="00FD601E" w:rsidRPr="00FD601E" w:rsidRDefault="00FD601E" w:rsidP="00FD601E">
      <w:pPr>
        <w:spacing w:after="0" w:line="240" w:lineRule="auto"/>
        <w:ind w:firstLine="720"/>
        <w:jc w:val="both"/>
        <w:rPr>
          <w:rFonts w:ascii="Times New Roman" w:hAnsi="Times New Roman"/>
          <w:sz w:val="24"/>
          <w:szCs w:val="24"/>
        </w:rPr>
      </w:pPr>
      <w:r w:rsidRPr="00FD601E">
        <w:rPr>
          <w:rFonts w:ascii="Times New Roman" w:hAnsi="Times New Roman"/>
          <w:sz w:val="24"/>
          <w:szCs w:val="24"/>
        </w:rPr>
        <w:t xml:space="preserve">Aktīvi sekmēts </w:t>
      </w:r>
      <w:r w:rsidR="00B167ED">
        <w:rPr>
          <w:rFonts w:ascii="Times New Roman" w:hAnsi="Times New Roman"/>
          <w:sz w:val="24"/>
          <w:szCs w:val="24"/>
        </w:rPr>
        <w:t>"</w:t>
      </w:r>
      <w:r w:rsidRPr="00FD601E">
        <w:rPr>
          <w:rFonts w:ascii="Times New Roman" w:hAnsi="Times New Roman"/>
          <w:sz w:val="24"/>
          <w:szCs w:val="24"/>
        </w:rPr>
        <w:t>Rīga − Eiropas kultūras galvaspilsēta 2014</w:t>
      </w:r>
      <w:r w:rsidR="00B167ED">
        <w:rPr>
          <w:rFonts w:ascii="Times New Roman" w:hAnsi="Times New Roman"/>
          <w:sz w:val="24"/>
          <w:szCs w:val="24"/>
        </w:rPr>
        <w:t>"</w:t>
      </w:r>
      <w:r w:rsidRPr="00FD601E">
        <w:rPr>
          <w:rFonts w:ascii="Times New Roman" w:hAnsi="Times New Roman"/>
          <w:sz w:val="24"/>
          <w:szCs w:val="24"/>
        </w:rPr>
        <w:t xml:space="preserve"> ietvaros rīkotās </w:t>
      </w:r>
      <w:r w:rsidR="00B526CD">
        <w:rPr>
          <w:rFonts w:ascii="Times New Roman" w:hAnsi="Times New Roman"/>
          <w:sz w:val="24"/>
          <w:szCs w:val="24"/>
        </w:rPr>
        <w:t>p</w:t>
      </w:r>
      <w:r w:rsidRPr="00FD601E">
        <w:rPr>
          <w:rFonts w:ascii="Times New Roman" w:hAnsi="Times New Roman"/>
          <w:sz w:val="24"/>
          <w:szCs w:val="24"/>
        </w:rPr>
        <w:t>asaules koru olimpiādes</w:t>
      </w:r>
      <w:r w:rsidR="00B526CD">
        <w:rPr>
          <w:rFonts w:ascii="Times New Roman" w:hAnsi="Times New Roman"/>
          <w:sz w:val="24"/>
          <w:szCs w:val="24"/>
        </w:rPr>
        <w:t xml:space="preserve"> sagatavošanas process, tostarp</w:t>
      </w:r>
      <w:r w:rsidRPr="00FD601E">
        <w:rPr>
          <w:rFonts w:ascii="Times New Roman" w:hAnsi="Times New Roman"/>
          <w:sz w:val="24"/>
          <w:szCs w:val="24"/>
        </w:rPr>
        <w:t xml:space="preserve"> popularizējot pasākumu 2012.gada </w:t>
      </w:r>
      <w:r w:rsidR="00B526CD">
        <w:rPr>
          <w:rFonts w:ascii="Times New Roman" w:hAnsi="Times New Roman"/>
          <w:sz w:val="24"/>
          <w:szCs w:val="24"/>
        </w:rPr>
        <w:t>p</w:t>
      </w:r>
      <w:r w:rsidRPr="00FD601E">
        <w:rPr>
          <w:rFonts w:ascii="Times New Roman" w:hAnsi="Times New Roman"/>
          <w:sz w:val="24"/>
          <w:szCs w:val="24"/>
        </w:rPr>
        <w:t xml:space="preserve">asaules koru olimpiādē Sinsinati (ASV) un 1.Siņhai starptautiskajās koru meistarsacīkstēs (Ķīnā). </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Lai </w:t>
      </w:r>
      <w:r w:rsidR="00B526CD" w:rsidRPr="00FD601E">
        <w:rPr>
          <w:rFonts w:ascii="Times New Roman" w:hAnsi="Times New Roman" w:cs="Times New Roman"/>
          <w:sz w:val="24"/>
          <w:szCs w:val="24"/>
        </w:rPr>
        <w:t xml:space="preserve">ārvalstniekiem </w:t>
      </w:r>
      <w:r w:rsidR="00B526CD">
        <w:rPr>
          <w:rFonts w:ascii="Times New Roman" w:hAnsi="Times New Roman" w:cs="Times New Roman"/>
          <w:sz w:val="24"/>
          <w:szCs w:val="24"/>
        </w:rPr>
        <w:t>veidotu</w:t>
      </w:r>
      <w:r w:rsidRPr="00FD601E">
        <w:rPr>
          <w:rFonts w:ascii="Times New Roman" w:hAnsi="Times New Roman" w:cs="Times New Roman"/>
          <w:sz w:val="24"/>
          <w:szCs w:val="24"/>
        </w:rPr>
        <w:t xml:space="preserve"> pozitīv</w:t>
      </w:r>
      <w:r w:rsidR="00B526CD">
        <w:rPr>
          <w:rFonts w:ascii="Times New Roman" w:hAnsi="Times New Roman" w:cs="Times New Roman"/>
          <w:sz w:val="24"/>
          <w:szCs w:val="24"/>
        </w:rPr>
        <w:t>u</w:t>
      </w:r>
      <w:r w:rsidRPr="00FD601E">
        <w:rPr>
          <w:rFonts w:ascii="Times New Roman" w:hAnsi="Times New Roman" w:cs="Times New Roman"/>
          <w:sz w:val="24"/>
          <w:szCs w:val="24"/>
        </w:rPr>
        <w:t xml:space="preserve"> iespaid</w:t>
      </w:r>
      <w:r w:rsidR="00B526CD">
        <w:rPr>
          <w:rFonts w:ascii="Times New Roman" w:hAnsi="Times New Roman" w:cs="Times New Roman"/>
          <w:sz w:val="24"/>
          <w:szCs w:val="24"/>
        </w:rPr>
        <w:t>u</w:t>
      </w:r>
      <w:r w:rsidRPr="00FD601E">
        <w:rPr>
          <w:rFonts w:ascii="Times New Roman" w:hAnsi="Times New Roman" w:cs="Times New Roman"/>
          <w:sz w:val="24"/>
          <w:szCs w:val="24"/>
        </w:rPr>
        <w:t xml:space="preserve"> par Latviju projekta </w:t>
      </w:r>
      <w:r w:rsidR="00B167ED">
        <w:rPr>
          <w:rFonts w:ascii="Times New Roman" w:hAnsi="Times New Roman" w:cs="Times New Roman"/>
          <w:sz w:val="24"/>
          <w:szCs w:val="24"/>
        </w:rPr>
        <w:t>"</w:t>
      </w:r>
      <w:r w:rsidRPr="00FD601E">
        <w:rPr>
          <w:rFonts w:ascii="Times New Roman" w:hAnsi="Times New Roman" w:cs="Times New Roman"/>
          <w:sz w:val="24"/>
          <w:szCs w:val="24"/>
        </w:rPr>
        <w:t>Rīga</w:t>
      </w:r>
      <w:r w:rsidR="00B526CD">
        <w:rPr>
          <w:rFonts w:ascii="Times New Roman" w:hAnsi="Times New Roman" w:cs="Times New Roman"/>
          <w:sz w:val="24"/>
          <w:szCs w:val="24"/>
        </w:rPr>
        <w:t> </w:t>
      </w:r>
      <w:r w:rsidRPr="00FD601E">
        <w:rPr>
          <w:rFonts w:ascii="Times New Roman" w:hAnsi="Times New Roman" w:cs="Times New Roman"/>
          <w:sz w:val="24"/>
          <w:szCs w:val="24"/>
        </w:rPr>
        <w:t>– Eiropas kultūras galvaspilsēta 2014</w:t>
      </w:r>
      <w:r w:rsidR="00B167ED">
        <w:rPr>
          <w:rFonts w:ascii="Times New Roman" w:hAnsi="Times New Roman" w:cs="Times New Roman"/>
          <w:sz w:val="24"/>
          <w:szCs w:val="24"/>
        </w:rPr>
        <w:t>"</w:t>
      </w:r>
      <w:r w:rsidRPr="00FD601E">
        <w:rPr>
          <w:rFonts w:ascii="Times New Roman" w:hAnsi="Times New Roman" w:cs="Times New Roman"/>
          <w:sz w:val="24"/>
          <w:szCs w:val="24"/>
        </w:rPr>
        <w:t xml:space="preserve"> </w:t>
      </w:r>
      <w:r w:rsidR="00B526CD">
        <w:rPr>
          <w:rFonts w:ascii="Times New Roman" w:hAnsi="Times New Roman" w:cs="Times New Roman"/>
          <w:sz w:val="24"/>
          <w:szCs w:val="24"/>
        </w:rPr>
        <w:t>ietvaros</w:t>
      </w:r>
      <w:r w:rsidRPr="00FD601E">
        <w:rPr>
          <w:rFonts w:ascii="Times New Roman" w:hAnsi="Times New Roman" w:cs="Times New Roman"/>
          <w:sz w:val="24"/>
          <w:szCs w:val="24"/>
        </w:rPr>
        <w:t xml:space="preserve">, 2013.gadā Latvijas Institūts plāno sagatavot </w:t>
      </w:r>
      <w:r>
        <w:rPr>
          <w:rFonts w:ascii="Times New Roman" w:hAnsi="Times New Roman" w:cs="Times New Roman"/>
          <w:sz w:val="24"/>
          <w:szCs w:val="24"/>
        </w:rPr>
        <w:t xml:space="preserve">aktuālus </w:t>
      </w:r>
      <w:r w:rsidRPr="00FD601E">
        <w:rPr>
          <w:rFonts w:ascii="Times New Roman" w:hAnsi="Times New Roman" w:cs="Times New Roman"/>
          <w:sz w:val="24"/>
          <w:szCs w:val="24"/>
        </w:rPr>
        <w:t xml:space="preserve">informatīvos materiālus </w:t>
      </w:r>
      <w:r>
        <w:rPr>
          <w:rFonts w:ascii="Times New Roman" w:hAnsi="Times New Roman" w:cs="Times New Roman"/>
          <w:sz w:val="24"/>
          <w:szCs w:val="24"/>
        </w:rPr>
        <w:t>par Latviju</w:t>
      </w:r>
      <w:r w:rsidRPr="00FD601E">
        <w:rPr>
          <w:rFonts w:ascii="Times New Roman" w:hAnsi="Times New Roman" w:cs="Times New Roman"/>
          <w:sz w:val="24"/>
          <w:szCs w:val="24"/>
        </w:rPr>
        <w:t xml:space="preserve">, nodrošināt informāciju Latvijas </w:t>
      </w:r>
      <w:r w:rsidRPr="00FD601E">
        <w:rPr>
          <w:rFonts w:ascii="Times New Roman" w:hAnsi="Times New Roman" w:cs="Times New Roman"/>
          <w:i/>
          <w:sz w:val="24"/>
          <w:szCs w:val="24"/>
        </w:rPr>
        <w:t xml:space="preserve">Facebook </w:t>
      </w:r>
      <w:r w:rsidRPr="00FD601E">
        <w:rPr>
          <w:rFonts w:ascii="Times New Roman" w:hAnsi="Times New Roman" w:cs="Times New Roman"/>
          <w:sz w:val="24"/>
          <w:szCs w:val="24"/>
        </w:rPr>
        <w:t xml:space="preserve">lapā, kā arī organizēt 40 ārvalstu žurnālistu vizītes. </w:t>
      </w:r>
    </w:p>
    <w:p w:rsidR="00FD601E" w:rsidRPr="00A03F5A" w:rsidRDefault="00FD601E" w:rsidP="00FD601E">
      <w:pPr>
        <w:spacing w:after="0" w:line="240" w:lineRule="auto"/>
        <w:ind w:firstLine="720"/>
        <w:jc w:val="both"/>
        <w:rPr>
          <w:rFonts w:ascii="Times New Roman" w:hAnsi="Times New Roman" w:cs="Times New Roman"/>
          <w:sz w:val="28"/>
          <w:szCs w:val="28"/>
          <w:u w:val="single"/>
        </w:rPr>
      </w:pPr>
    </w:p>
    <w:p w:rsidR="00FD601E" w:rsidRPr="00A03F5A" w:rsidRDefault="00FD601E" w:rsidP="00FD601E">
      <w:pPr>
        <w:jc w:val="both"/>
        <w:rPr>
          <w:rFonts w:ascii="Times New Roman" w:hAnsi="Times New Roman" w:cs="Times New Roman"/>
          <w:sz w:val="28"/>
          <w:szCs w:val="28"/>
        </w:rPr>
      </w:pPr>
    </w:p>
    <w:p w:rsidR="004967A8" w:rsidRDefault="004967A8">
      <w:pPr>
        <w:rPr>
          <w:rFonts w:ascii="Times New Roman" w:eastAsia="Calibri" w:hAnsi="Times New Roman" w:cs="Times New Roman"/>
          <w:b/>
          <w:bCs/>
          <w:kern w:val="36"/>
          <w:sz w:val="32"/>
          <w:szCs w:val="24"/>
        </w:rPr>
      </w:pPr>
      <w:r>
        <w:br w:type="page"/>
      </w:r>
    </w:p>
    <w:p w:rsidR="00FD601E" w:rsidRPr="00583FA8" w:rsidRDefault="00FD601E" w:rsidP="00871110">
      <w:pPr>
        <w:pStyle w:val="Heading1"/>
      </w:pPr>
      <w:bookmarkStart w:id="182" w:name="_Toc348948442"/>
      <w:r w:rsidRPr="00A03F5A">
        <w:lastRenderedPageBreak/>
        <w:t>VI. Latvija pasaulē</w:t>
      </w:r>
      <w:bookmarkEnd w:id="182"/>
    </w:p>
    <w:p w:rsidR="00FD601E" w:rsidRPr="00FD601E" w:rsidRDefault="00FD601E" w:rsidP="00583FA8">
      <w:pPr>
        <w:pStyle w:val="Heading2"/>
        <w:numPr>
          <w:ilvl w:val="0"/>
          <w:numId w:val="40"/>
        </w:numPr>
        <w:ind w:left="426" w:hanging="426"/>
      </w:pPr>
      <w:bookmarkStart w:id="183" w:name="_Toc348948443"/>
      <w:r w:rsidRPr="00FD601E">
        <w:t xml:space="preserve">Latvijas </w:t>
      </w:r>
      <w:r w:rsidRPr="00583FA8">
        <w:t>ārpolitika</w:t>
      </w:r>
      <w:bookmarkEnd w:id="183"/>
      <w:r w:rsidRPr="00FD601E">
        <w:t xml:space="preserve"> </w:t>
      </w:r>
    </w:p>
    <w:p w:rsidR="00FD601E" w:rsidRPr="00FD601E" w:rsidRDefault="00FD601E" w:rsidP="00FD601E">
      <w:pPr>
        <w:spacing w:after="0" w:line="240" w:lineRule="auto"/>
        <w:jc w:val="both"/>
        <w:rPr>
          <w:rFonts w:ascii="Times New Roman" w:hAnsi="Times New Roman" w:cs="Times New Roman"/>
          <w:sz w:val="24"/>
          <w:szCs w:val="24"/>
        </w:rPr>
      </w:pP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Latvijas ārpolitika tiek veidota, vadoties </w:t>
      </w:r>
      <w:r>
        <w:rPr>
          <w:rFonts w:ascii="Times New Roman" w:hAnsi="Times New Roman" w:cs="Times New Roman"/>
          <w:sz w:val="24"/>
          <w:szCs w:val="24"/>
        </w:rPr>
        <w:t>pēc</w:t>
      </w:r>
      <w:r w:rsidRPr="00FD601E">
        <w:rPr>
          <w:rFonts w:ascii="Times New Roman" w:hAnsi="Times New Roman" w:cs="Times New Roman"/>
          <w:sz w:val="24"/>
          <w:szCs w:val="24"/>
        </w:rPr>
        <w:t xml:space="preserve"> ārlietu ministra ikgadējā ziņojumā Saeimai par paveikto un iecerēto darbību valsts ārpolitikā un ES jautājumos </w:t>
      </w:r>
      <w:r w:rsidR="003C0EBF">
        <w:rPr>
          <w:rFonts w:ascii="Times New Roman" w:hAnsi="Times New Roman" w:cs="Times New Roman"/>
          <w:sz w:val="24"/>
          <w:szCs w:val="24"/>
        </w:rPr>
        <w:t>izvirzītajām</w:t>
      </w:r>
      <w:r w:rsidRPr="00FD601E">
        <w:rPr>
          <w:rFonts w:ascii="Times New Roman" w:hAnsi="Times New Roman" w:cs="Times New Roman"/>
          <w:sz w:val="24"/>
          <w:szCs w:val="24"/>
        </w:rPr>
        <w:t xml:space="preserve"> prioritātēm. Ziņojums, par kuru debates Saeimā notika 2013.gada 24.janvārī, satur gan atskaiti par paveikto 2012.gadā, gan vadlīnijas darbam 2013.gadā.</w:t>
      </w:r>
    </w:p>
    <w:p w:rsidR="00FD601E" w:rsidRPr="00FD601E" w:rsidRDefault="00FD601E" w:rsidP="00583FA8">
      <w:pPr>
        <w:spacing w:after="0" w:line="240" w:lineRule="auto"/>
        <w:jc w:val="both"/>
        <w:rPr>
          <w:rFonts w:ascii="Times New Roman" w:hAnsi="Times New Roman" w:cs="Times New Roman"/>
          <w:sz w:val="24"/>
          <w:szCs w:val="24"/>
        </w:rPr>
      </w:pPr>
    </w:p>
    <w:p w:rsidR="00FD601E" w:rsidRPr="00FD601E" w:rsidRDefault="00FD601E" w:rsidP="00583FA8">
      <w:pPr>
        <w:pStyle w:val="Heading3"/>
        <w:numPr>
          <w:ilvl w:val="1"/>
          <w:numId w:val="40"/>
        </w:numPr>
        <w:spacing w:before="0" w:line="240" w:lineRule="auto"/>
        <w:ind w:left="567" w:hanging="567"/>
      </w:pPr>
      <w:bookmarkStart w:id="184" w:name="_Toc348948444"/>
      <w:r w:rsidRPr="00FD601E">
        <w:t xml:space="preserve">ES </w:t>
      </w:r>
      <w:r w:rsidRPr="00583FA8">
        <w:t>politika</w:t>
      </w:r>
      <w:bookmarkEnd w:id="184"/>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Latvijai kā ES dalībvalstij svarīgākais ir tās aktīva dalība ES nākotnes veidošanā. </w:t>
      </w:r>
      <w:r>
        <w:rPr>
          <w:rFonts w:ascii="Times New Roman" w:hAnsi="Times New Roman" w:cs="Times New Roman"/>
          <w:sz w:val="24"/>
          <w:szCs w:val="24"/>
        </w:rPr>
        <w:t xml:space="preserve">Būtiskākie jautājumi </w:t>
      </w:r>
      <w:r w:rsidRPr="00FD601E">
        <w:rPr>
          <w:rFonts w:ascii="Times New Roman" w:hAnsi="Times New Roman" w:cs="Times New Roman"/>
          <w:sz w:val="24"/>
          <w:szCs w:val="24"/>
        </w:rPr>
        <w:t>ES politikā 2012.gadā bija un arī 2013.gadā būs sarunas par ES daudzgadu budžetu 2014.</w:t>
      </w:r>
      <w:r w:rsidR="003C0EBF">
        <w:rPr>
          <w:rFonts w:ascii="Times New Roman" w:hAnsi="Times New Roman" w:cs="Times New Roman"/>
          <w:sz w:val="24"/>
          <w:szCs w:val="24"/>
        </w:rPr>
        <w:t>–</w:t>
      </w:r>
      <w:r w:rsidRPr="00FD601E">
        <w:rPr>
          <w:rFonts w:ascii="Times New Roman" w:hAnsi="Times New Roman" w:cs="Times New Roman"/>
          <w:sz w:val="24"/>
          <w:szCs w:val="24"/>
        </w:rPr>
        <w:t xml:space="preserve">2020.gadam un Eiropas Ekonomiskās un </w:t>
      </w:r>
      <w:r>
        <w:rPr>
          <w:rFonts w:ascii="Times New Roman" w:hAnsi="Times New Roman" w:cs="Times New Roman"/>
          <w:sz w:val="24"/>
          <w:szCs w:val="24"/>
        </w:rPr>
        <w:t>m</w:t>
      </w:r>
      <w:r w:rsidRPr="00FD601E">
        <w:rPr>
          <w:rFonts w:ascii="Times New Roman" w:hAnsi="Times New Roman" w:cs="Times New Roman"/>
          <w:sz w:val="24"/>
          <w:szCs w:val="24"/>
        </w:rPr>
        <w:t xml:space="preserve">onetārās savienības stiprināšana. </w:t>
      </w:r>
    </w:p>
    <w:p w:rsidR="00F23CC8"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eastAsia="Times New Roman" w:hAnsi="Times New Roman" w:cs="Times New Roman"/>
          <w:sz w:val="24"/>
          <w:szCs w:val="24"/>
        </w:rPr>
        <w:t>2012.gadā ir norisinājies aktīvs darbs</w:t>
      </w:r>
      <w:r w:rsidR="003C0EBF">
        <w:rPr>
          <w:rFonts w:ascii="Times New Roman" w:eastAsia="Times New Roman" w:hAnsi="Times New Roman" w:cs="Times New Roman"/>
          <w:sz w:val="24"/>
          <w:szCs w:val="24"/>
        </w:rPr>
        <w:t>, lai</w:t>
      </w:r>
      <w:r w:rsidRPr="00FD601E">
        <w:rPr>
          <w:rFonts w:ascii="Times New Roman" w:eastAsia="Times New Roman" w:hAnsi="Times New Roman" w:cs="Times New Roman"/>
          <w:sz w:val="24"/>
          <w:szCs w:val="24"/>
        </w:rPr>
        <w:t xml:space="preserve"> </w:t>
      </w:r>
      <w:r w:rsidR="003C0EBF" w:rsidRPr="00FD601E">
        <w:rPr>
          <w:rFonts w:ascii="Times New Roman" w:hAnsi="Times New Roman" w:cs="Times New Roman"/>
          <w:sz w:val="24"/>
          <w:szCs w:val="24"/>
        </w:rPr>
        <w:t>panākt</w:t>
      </w:r>
      <w:r w:rsidR="003C0EBF">
        <w:rPr>
          <w:rFonts w:ascii="Times New Roman" w:hAnsi="Times New Roman" w:cs="Times New Roman"/>
          <w:sz w:val="24"/>
          <w:szCs w:val="24"/>
        </w:rPr>
        <w:t>u</w:t>
      </w:r>
      <w:r w:rsidR="003C0EBF" w:rsidRPr="00FD601E">
        <w:rPr>
          <w:rFonts w:ascii="Times New Roman" w:hAnsi="Times New Roman" w:cs="Times New Roman"/>
          <w:sz w:val="24"/>
          <w:szCs w:val="24"/>
        </w:rPr>
        <w:t xml:space="preserve"> vienošanos </w:t>
      </w:r>
      <w:r w:rsidRPr="00FD601E">
        <w:rPr>
          <w:rFonts w:ascii="Times New Roman" w:eastAsia="Times New Roman" w:hAnsi="Times New Roman" w:cs="Times New Roman"/>
          <w:sz w:val="24"/>
          <w:szCs w:val="24"/>
        </w:rPr>
        <w:t xml:space="preserve">Latvijas pozīcijas </w:t>
      </w:r>
      <w:r w:rsidR="003C0EBF">
        <w:rPr>
          <w:rFonts w:ascii="Times New Roman" w:hAnsi="Times New Roman" w:cs="Times New Roman"/>
          <w:sz w:val="24"/>
          <w:szCs w:val="24"/>
        </w:rPr>
        <w:t xml:space="preserve">aizstāvībā </w:t>
      </w:r>
      <w:r>
        <w:rPr>
          <w:rFonts w:ascii="Times New Roman" w:eastAsia="Times New Roman" w:hAnsi="Times New Roman" w:cs="Times New Roman"/>
          <w:sz w:val="24"/>
          <w:szCs w:val="24"/>
        </w:rPr>
        <w:t>par</w:t>
      </w:r>
      <w:r w:rsidR="003C0EBF">
        <w:rPr>
          <w:rFonts w:ascii="Times New Roman" w:eastAsia="Times New Roman" w:hAnsi="Times New Roman" w:cs="Times New Roman"/>
          <w:sz w:val="24"/>
          <w:szCs w:val="24"/>
        </w:rPr>
        <w:t xml:space="preserve"> </w:t>
      </w:r>
      <w:r w:rsidRPr="00FD601E">
        <w:rPr>
          <w:rFonts w:ascii="Times New Roman" w:eastAsia="Times New Roman" w:hAnsi="Times New Roman" w:cs="Times New Roman"/>
          <w:sz w:val="24"/>
          <w:szCs w:val="24"/>
        </w:rPr>
        <w:t>ES daudzgadu budžetu un Kohēzijas politiku</w:t>
      </w:r>
      <w:r w:rsidRPr="00FD601E">
        <w:rPr>
          <w:rFonts w:ascii="Times New Roman" w:hAnsi="Times New Roman" w:cs="Times New Roman"/>
          <w:sz w:val="24"/>
          <w:szCs w:val="24"/>
        </w:rPr>
        <w:t xml:space="preserve"> 2012.gada 23.novembra </w:t>
      </w:r>
      <w:r>
        <w:rPr>
          <w:rFonts w:ascii="Times New Roman" w:hAnsi="Times New Roman" w:cs="Times New Roman"/>
          <w:sz w:val="24"/>
          <w:szCs w:val="24"/>
        </w:rPr>
        <w:t>un pēc tam 2013.gada 7.</w:t>
      </w:r>
      <w:r w:rsidR="003C0EBF">
        <w:rPr>
          <w:rFonts w:ascii="Times New Roman" w:hAnsi="Times New Roman" w:cs="Times New Roman"/>
          <w:sz w:val="24"/>
          <w:szCs w:val="24"/>
        </w:rPr>
        <w:t>–</w:t>
      </w:r>
      <w:r>
        <w:rPr>
          <w:rFonts w:ascii="Times New Roman" w:hAnsi="Times New Roman" w:cs="Times New Roman"/>
          <w:sz w:val="24"/>
          <w:szCs w:val="24"/>
        </w:rPr>
        <w:t>8.februāra Eiropadomē</w:t>
      </w:r>
      <w:r w:rsidRPr="00FD601E">
        <w:rPr>
          <w:rFonts w:ascii="Times New Roman" w:hAnsi="Times New Roman" w:cs="Times New Roman"/>
          <w:sz w:val="24"/>
          <w:szCs w:val="24"/>
        </w:rPr>
        <w:t>. Latvijas institūciju un amatpersonu aktivitātes ir ļāvušas panākt, ka jaun</w:t>
      </w:r>
      <w:r>
        <w:rPr>
          <w:rFonts w:ascii="Times New Roman" w:hAnsi="Times New Roman" w:cs="Times New Roman"/>
          <w:sz w:val="24"/>
          <w:szCs w:val="24"/>
        </w:rPr>
        <w:t>ais</w:t>
      </w:r>
      <w:r w:rsidRPr="00FD601E">
        <w:rPr>
          <w:rFonts w:ascii="Times New Roman" w:hAnsi="Times New Roman" w:cs="Times New Roman"/>
          <w:sz w:val="24"/>
          <w:szCs w:val="24"/>
        </w:rPr>
        <w:t xml:space="preserve"> </w:t>
      </w:r>
      <w:r>
        <w:rPr>
          <w:rFonts w:ascii="Times New Roman" w:hAnsi="Times New Roman" w:cs="Times New Roman"/>
          <w:sz w:val="24"/>
          <w:szCs w:val="24"/>
        </w:rPr>
        <w:t xml:space="preserve">ES daudzgadu </w:t>
      </w:r>
      <w:r w:rsidRPr="00FD601E">
        <w:rPr>
          <w:rFonts w:ascii="Times New Roman" w:hAnsi="Times New Roman" w:cs="Times New Roman"/>
          <w:sz w:val="24"/>
          <w:szCs w:val="24"/>
        </w:rPr>
        <w:t>budžet</w:t>
      </w:r>
      <w:r>
        <w:rPr>
          <w:rFonts w:ascii="Times New Roman" w:hAnsi="Times New Roman" w:cs="Times New Roman"/>
          <w:sz w:val="24"/>
          <w:szCs w:val="24"/>
        </w:rPr>
        <w:t>s</w:t>
      </w:r>
      <w:r w:rsidRPr="00FD601E">
        <w:rPr>
          <w:rFonts w:ascii="Times New Roman" w:hAnsi="Times New Roman" w:cs="Times New Roman"/>
          <w:sz w:val="24"/>
          <w:szCs w:val="24"/>
        </w:rPr>
        <w:t xml:space="preserve"> Latvijai ir ievērojami izdevīgāks, salīdzinot ar EK sākotnējo priekšlikumu. Latvijai izņēmuma kārtā ir paredzēts palielināts Kohēzijas politikas finansējuma piešķīruma ierobežojums</w:t>
      </w:r>
      <w:r>
        <w:rPr>
          <w:rFonts w:ascii="Times New Roman" w:hAnsi="Times New Roman" w:cs="Times New Roman"/>
          <w:sz w:val="24"/>
          <w:szCs w:val="24"/>
        </w:rPr>
        <w:t xml:space="preserve"> un </w:t>
      </w:r>
      <w:r w:rsidRPr="00FD601E">
        <w:rPr>
          <w:rFonts w:ascii="Times New Roman" w:hAnsi="Times New Roman" w:cs="Times New Roman"/>
          <w:sz w:val="24"/>
          <w:szCs w:val="24"/>
        </w:rPr>
        <w:t xml:space="preserve">piedāvāts augstāks lauksaimniecības tiešo maksājumu līmenis. </w:t>
      </w:r>
    </w:p>
    <w:p w:rsidR="00F23CC8" w:rsidRDefault="00F23CC8" w:rsidP="00F23CC8">
      <w:pPr>
        <w:spacing w:after="0" w:line="240" w:lineRule="auto"/>
        <w:ind w:firstLine="720"/>
        <w:jc w:val="both"/>
        <w:rPr>
          <w:rFonts w:ascii="Times New Roman" w:hAnsi="Times New Roman"/>
          <w:sz w:val="24"/>
          <w:szCs w:val="24"/>
        </w:rPr>
      </w:pPr>
      <w:r>
        <w:rPr>
          <w:rFonts w:ascii="Times New Roman" w:hAnsi="Times New Roman"/>
          <w:sz w:val="24"/>
          <w:szCs w:val="24"/>
        </w:rPr>
        <w:t xml:space="preserve">Pirmo reizi vēsturē ES daudzgadu budžets ir samazināts salīdzinājumā ar iepriekšējo periodu. </w:t>
      </w:r>
      <w:r w:rsidR="003C0EBF">
        <w:rPr>
          <w:rFonts w:ascii="Times New Roman" w:hAnsi="Times New Roman"/>
          <w:sz w:val="24"/>
          <w:szCs w:val="24"/>
        </w:rPr>
        <w:t>Tomēr</w:t>
      </w:r>
      <w:r>
        <w:rPr>
          <w:rFonts w:ascii="Times New Roman" w:hAnsi="Times New Roman"/>
          <w:sz w:val="24"/>
          <w:szCs w:val="24"/>
        </w:rPr>
        <w:t xml:space="preserve"> </w:t>
      </w:r>
      <w:r w:rsidRPr="005C7A6F">
        <w:rPr>
          <w:rFonts w:ascii="Times New Roman" w:hAnsi="Times New Roman"/>
          <w:sz w:val="24"/>
          <w:szCs w:val="24"/>
        </w:rPr>
        <w:t>Latvijai ir izdevies panākt labus nosacījumus</w:t>
      </w:r>
      <w:r>
        <w:rPr>
          <w:rFonts w:ascii="Times New Roman" w:hAnsi="Times New Roman"/>
          <w:sz w:val="24"/>
          <w:szCs w:val="24"/>
        </w:rPr>
        <w:t xml:space="preserve"> visās būtiskajās sarunu pozīcijās. </w:t>
      </w:r>
      <w:r w:rsidRPr="00087CA4">
        <w:rPr>
          <w:rFonts w:ascii="Times New Roman" w:hAnsi="Times New Roman"/>
          <w:sz w:val="24"/>
          <w:szCs w:val="24"/>
        </w:rPr>
        <w:t>Finansējums, ko</w:t>
      </w:r>
      <w:r w:rsidRPr="005C7A6F">
        <w:rPr>
          <w:rFonts w:ascii="Times New Roman" w:hAnsi="Times New Roman"/>
          <w:sz w:val="24"/>
          <w:szCs w:val="24"/>
        </w:rPr>
        <w:t xml:space="preserve"> Latvija saņems</w:t>
      </w:r>
      <w:r w:rsidRPr="00087CA4">
        <w:rPr>
          <w:rFonts w:ascii="Times New Roman" w:hAnsi="Times New Roman"/>
          <w:sz w:val="24"/>
          <w:szCs w:val="24"/>
        </w:rPr>
        <w:t xml:space="preserve"> no ES budžeta, joprojām </w:t>
      </w:r>
      <w:r w:rsidRPr="005C7A6F">
        <w:rPr>
          <w:rFonts w:ascii="Times New Roman" w:hAnsi="Times New Roman"/>
          <w:sz w:val="24"/>
          <w:szCs w:val="24"/>
        </w:rPr>
        <w:t>ievērojami pārsniegs Latvijas iemaksas tajā</w:t>
      </w:r>
      <w:r w:rsidRPr="00087CA4">
        <w:rPr>
          <w:rFonts w:ascii="Times New Roman" w:hAnsi="Times New Roman"/>
          <w:sz w:val="24"/>
          <w:szCs w:val="24"/>
        </w:rPr>
        <w:t xml:space="preserve">. </w:t>
      </w:r>
    </w:p>
    <w:p w:rsidR="00F23CC8" w:rsidRDefault="00F23CC8" w:rsidP="00F23CC8">
      <w:pPr>
        <w:spacing w:after="0" w:line="240" w:lineRule="auto"/>
        <w:ind w:firstLine="720"/>
        <w:jc w:val="both"/>
        <w:rPr>
          <w:rFonts w:ascii="Times New Roman" w:hAnsi="Times New Roman"/>
          <w:sz w:val="24"/>
          <w:szCs w:val="24"/>
        </w:rPr>
      </w:pPr>
      <w:r w:rsidRPr="008A1DFD">
        <w:rPr>
          <w:rFonts w:ascii="Times New Roman" w:hAnsi="Times New Roman"/>
          <w:sz w:val="24"/>
          <w:szCs w:val="24"/>
        </w:rPr>
        <w:t xml:space="preserve">Nākamajā septiņu gadu plānošanas periodā Latvijas ekonomikai no ES budžeta būs pieejami vairāk </w:t>
      </w:r>
      <w:r w:rsidR="003C0EBF">
        <w:rPr>
          <w:rFonts w:ascii="Times New Roman" w:hAnsi="Times New Roman"/>
          <w:sz w:val="24"/>
          <w:szCs w:val="24"/>
        </w:rPr>
        <w:t>ne</w:t>
      </w:r>
      <w:r w:rsidRPr="00123C29">
        <w:rPr>
          <w:rFonts w:ascii="Times New Roman" w:hAnsi="Times New Roman"/>
          <w:sz w:val="24"/>
          <w:szCs w:val="24"/>
        </w:rPr>
        <w:t xml:space="preserve">kā </w:t>
      </w:r>
      <w:r w:rsidRPr="005C7A6F">
        <w:rPr>
          <w:rFonts w:ascii="Times New Roman" w:hAnsi="Times New Roman"/>
          <w:sz w:val="24"/>
          <w:szCs w:val="24"/>
        </w:rPr>
        <w:t>7,446 miljardi eiro</w:t>
      </w:r>
      <w:r w:rsidRPr="00D0006E">
        <w:rPr>
          <w:rStyle w:val="FootnoteReference"/>
          <w:sz w:val="20"/>
          <w:szCs w:val="20"/>
        </w:rPr>
        <w:footnoteReference w:id="8"/>
      </w:r>
      <w:r w:rsidRPr="00D0006E">
        <w:rPr>
          <w:rFonts w:ascii="Times New Roman" w:hAnsi="Times New Roman"/>
          <w:b/>
          <w:sz w:val="20"/>
          <w:szCs w:val="20"/>
        </w:rPr>
        <w:t>.</w:t>
      </w:r>
      <w:r>
        <w:rPr>
          <w:rFonts w:ascii="Times New Roman" w:hAnsi="Times New Roman"/>
          <w:b/>
          <w:sz w:val="24"/>
          <w:szCs w:val="24"/>
        </w:rPr>
        <w:t xml:space="preserve"> </w:t>
      </w:r>
      <w:r w:rsidRPr="005C7A6F">
        <w:rPr>
          <w:rFonts w:ascii="Times New Roman" w:hAnsi="Times New Roman"/>
          <w:sz w:val="24"/>
          <w:szCs w:val="24"/>
        </w:rPr>
        <w:t>Latvijai pieejamais Kohēzijas finansējums laika posmā no 2014.</w:t>
      </w:r>
      <w:r w:rsidR="003C0EBF">
        <w:rPr>
          <w:rFonts w:ascii="Times New Roman" w:hAnsi="Times New Roman"/>
          <w:sz w:val="24"/>
          <w:szCs w:val="24"/>
        </w:rPr>
        <w:t>–</w:t>
      </w:r>
      <w:r w:rsidRPr="005C7A6F">
        <w:rPr>
          <w:rFonts w:ascii="Times New Roman" w:hAnsi="Times New Roman"/>
          <w:sz w:val="24"/>
          <w:szCs w:val="24"/>
        </w:rPr>
        <w:t>2020.gadam būs 4,770 miljard</w:t>
      </w:r>
      <w:r>
        <w:rPr>
          <w:rFonts w:ascii="Times New Roman" w:hAnsi="Times New Roman"/>
          <w:sz w:val="24"/>
          <w:szCs w:val="24"/>
        </w:rPr>
        <w:t>i</w:t>
      </w:r>
      <w:r w:rsidRPr="005C7A6F">
        <w:rPr>
          <w:rFonts w:ascii="Times New Roman" w:hAnsi="Times New Roman"/>
          <w:sz w:val="24"/>
          <w:szCs w:val="24"/>
        </w:rPr>
        <w:t xml:space="preserve"> eiro</w:t>
      </w:r>
      <w:r w:rsidRPr="005C7A6F">
        <w:rPr>
          <w:rFonts w:ascii="Times New Roman" w:hAnsi="Times New Roman"/>
          <w:b/>
          <w:sz w:val="24"/>
          <w:szCs w:val="24"/>
        </w:rPr>
        <w:t xml:space="preserve">. </w:t>
      </w:r>
      <w:r w:rsidRPr="005C7A6F">
        <w:rPr>
          <w:rFonts w:ascii="Times New Roman" w:hAnsi="Times New Roman"/>
          <w:sz w:val="24"/>
          <w:szCs w:val="24"/>
        </w:rPr>
        <w:t xml:space="preserve">Ar ES fondu finansējuma palīdzību būs iespējams turpināt investīcijas izaugsmi veicinošās jomās (transporta </w:t>
      </w:r>
      <w:r>
        <w:rPr>
          <w:rFonts w:ascii="Times New Roman" w:hAnsi="Times New Roman"/>
          <w:sz w:val="24"/>
          <w:szCs w:val="24"/>
        </w:rPr>
        <w:t>infrastruktūras</w:t>
      </w:r>
      <w:r w:rsidRPr="005C7A6F">
        <w:rPr>
          <w:rFonts w:ascii="Times New Roman" w:hAnsi="Times New Roman"/>
          <w:sz w:val="24"/>
          <w:szCs w:val="24"/>
        </w:rPr>
        <w:t xml:space="preserve"> attīstīšanā, pētniecībā, tehnoloģiju attīstīšanā un inovācijās, mazo un vidējo uzņēmumu konkurētspējas veicināšanā, energoefektivitātē, vides jomā, nodarbinātības veicināšanā, izglītībā).</w:t>
      </w:r>
    </w:p>
    <w:p w:rsidR="00F23CC8" w:rsidRDefault="003C0EBF" w:rsidP="00F23CC8">
      <w:pPr>
        <w:spacing w:after="0" w:line="240" w:lineRule="auto"/>
        <w:ind w:firstLine="720"/>
        <w:jc w:val="both"/>
        <w:rPr>
          <w:rFonts w:ascii="Times New Roman" w:hAnsi="Times New Roman"/>
          <w:sz w:val="24"/>
          <w:szCs w:val="24"/>
        </w:rPr>
      </w:pPr>
      <w:r>
        <w:rPr>
          <w:rFonts w:ascii="Times New Roman" w:hAnsi="Times New Roman"/>
          <w:sz w:val="24"/>
          <w:szCs w:val="24"/>
        </w:rPr>
        <w:t>Tiešajiem maksājumiem laik</w:t>
      </w:r>
      <w:r w:rsidR="00F23CC8" w:rsidRPr="00724E68">
        <w:rPr>
          <w:rFonts w:ascii="Times New Roman" w:hAnsi="Times New Roman"/>
          <w:sz w:val="24"/>
          <w:szCs w:val="24"/>
        </w:rPr>
        <w:t>posmā no 2014.</w:t>
      </w:r>
      <w:r>
        <w:rPr>
          <w:rFonts w:ascii="Times New Roman" w:hAnsi="Times New Roman"/>
          <w:sz w:val="24"/>
          <w:szCs w:val="24"/>
        </w:rPr>
        <w:t xml:space="preserve"> līdz </w:t>
      </w:r>
      <w:r w:rsidR="00F23CC8" w:rsidRPr="00724E68">
        <w:rPr>
          <w:rFonts w:ascii="Times New Roman" w:hAnsi="Times New Roman"/>
          <w:sz w:val="24"/>
          <w:szCs w:val="24"/>
        </w:rPr>
        <w:t xml:space="preserve">2020.gadam būs pieejams finansējums </w:t>
      </w:r>
      <w:r w:rsidR="00F23CC8" w:rsidRPr="005C7A6F">
        <w:rPr>
          <w:rFonts w:ascii="Times New Roman" w:hAnsi="Times New Roman"/>
          <w:sz w:val="24"/>
          <w:szCs w:val="24"/>
        </w:rPr>
        <w:t>1,717 miljard</w:t>
      </w:r>
      <w:r>
        <w:rPr>
          <w:rFonts w:ascii="Times New Roman" w:hAnsi="Times New Roman"/>
          <w:sz w:val="24"/>
          <w:szCs w:val="24"/>
        </w:rPr>
        <w:t>u</w:t>
      </w:r>
      <w:r w:rsidR="00F23CC8" w:rsidRPr="005C7A6F">
        <w:rPr>
          <w:rFonts w:ascii="Times New Roman" w:hAnsi="Times New Roman"/>
          <w:sz w:val="24"/>
          <w:szCs w:val="24"/>
        </w:rPr>
        <w:t xml:space="preserve"> eiro</w:t>
      </w:r>
      <w:r w:rsidR="00F23CC8" w:rsidRPr="00724E68">
        <w:rPr>
          <w:rFonts w:ascii="Times New Roman" w:hAnsi="Times New Roman"/>
          <w:sz w:val="24"/>
          <w:szCs w:val="24"/>
        </w:rPr>
        <w:t xml:space="preserve"> apmērā.</w:t>
      </w:r>
      <w:r w:rsidR="00F23CC8">
        <w:rPr>
          <w:rFonts w:ascii="Times New Roman" w:hAnsi="Times New Roman"/>
          <w:sz w:val="24"/>
          <w:szCs w:val="24"/>
        </w:rPr>
        <w:t xml:space="preserve"> </w:t>
      </w:r>
      <w:r w:rsidR="00F23CC8" w:rsidRPr="00724E68">
        <w:rPr>
          <w:rFonts w:ascii="Times New Roman" w:hAnsi="Times New Roman"/>
          <w:sz w:val="24"/>
          <w:szCs w:val="24"/>
        </w:rPr>
        <w:t>Latvijas lauksaimnieki no ES tiešo maksājumu budžeta, sākot no 2014.gada</w:t>
      </w:r>
      <w:r>
        <w:rPr>
          <w:rFonts w:ascii="Times New Roman" w:hAnsi="Times New Roman"/>
          <w:sz w:val="24"/>
          <w:szCs w:val="24"/>
        </w:rPr>
        <w:t>,</w:t>
      </w:r>
      <w:r w:rsidR="00F23CC8" w:rsidRPr="00724E68">
        <w:rPr>
          <w:rFonts w:ascii="Times New Roman" w:hAnsi="Times New Roman"/>
          <w:sz w:val="24"/>
          <w:szCs w:val="24"/>
        </w:rPr>
        <w:t xml:space="preserve"> saņems </w:t>
      </w:r>
      <w:r w:rsidR="00F23CC8" w:rsidRPr="005C7A6F">
        <w:rPr>
          <w:rFonts w:ascii="Times New Roman" w:hAnsi="Times New Roman"/>
          <w:sz w:val="24"/>
          <w:szCs w:val="24"/>
        </w:rPr>
        <w:t>109 eiro/ha</w:t>
      </w:r>
      <w:r w:rsidR="00F23CC8" w:rsidRPr="00724E68">
        <w:rPr>
          <w:rFonts w:ascii="Times New Roman" w:hAnsi="Times New Roman"/>
          <w:b/>
          <w:sz w:val="24"/>
          <w:szCs w:val="24"/>
        </w:rPr>
        <w:t xml:space="preserve">, </w:t>
      </w:r>
      <w:r w:rsidR="00F23CC8" w:rsidRPr="00724E68">
        <w:rPr>
          <w:rFonts w:ascii="Times New Roman" w:hAnsi="Times New Roman"/>
          <w:sz w:val="24"/>
          <w:szCs w:val="24"/>
        </w:rPr>
        <w:t>2019.gadā sasniedzot</w:t>
      </w:r>
      <w:r w:rsidR="00F23CC8" w:rsidRPr="00724E68">
        <w:rPr>
          <w:rFonts w:ascii="Times New Roman" w:hAnsi="Times New Roman"/>
          <w:b/>
          <w:sz w:val="24"/>
          <w:szCs w:val="24"/>
        </w:rPr>
        <w:t xml:space="preserve"> </w:t>
      </w:r>
      <w:r w:rsidR="00F23CC8" w:rsidRPr="005C7A6F">
        <w:rPr>
          <w:rFonts w:ascii="Times New Roman" w:hAnsi="Times New Roman"/>
          <w:sz w:val="24"/>
          <w:szCs w:val="24"/>
        </w:rPr>
        <w:t xml:space="preserve">196 eiro/ha. </w:t>
      </w:r>
      <w:r w:rsidR="00F23CC8" w:rsidRPr="00087CA4">
        <w:rPr>
          <w:rFonts w:ascii="Times New Roman" w:hAnsi="Times New Roman"/>
          <w:sz w:val="24"/>
          <w:szCs w:val="24"/>
        </w:rPr>
        <w:t xml:space="preserve">Salīdzinot ar pašreizējo situāciju, tiešie maksājumi Latvijas zemniekiem palielināti par </w:t>
      </w:r>
      <w:r w:rsidR="00F23CC8" w:rsidRPr="005C7A6F">
        <w:rPr>
          <w:rFonts w:ascii="Times New Roman" w:hAnsi="Times New Roman"/>
          <w:sz w:val="24"/>
          <w:szCs w:val="24"/>
        </w:rPr>
        <w:t>135</w:t>
      </w:r>
      <w:r w:rsidR="00111406">
        <w:rPr>
          <w:rFonts w:ascii="Times New Roman" w:hAnsi="Times New Roman"/>
          <w:sz w:val="24"/>
          <w:szCs w:val="24"/>
        </w:rPr>
        <w:t> %</w:t>
      </w:r>
      <w:r w:rsidR="00F23CC8" w:rsidRPr="005C7A6F">
        <w:rPr>
          <w:rFonts w:ascii="Times New Roman" w:hAnsi="Times New Roman"/>
          <w:sz w:val="24"/>
          <w:szCs w:val="24"/>
        </w:rPr>
        <w:t>.</w:t>
      </w:r>
      <w:r w:rsidR="00F23CC8" w:rsidRPr="004D00F9">
        <w:rPr>
          <w:rFonts w:ascii="Times New Roman" w:hAnsi="Times New Roman"/>
          <w:b/>
          <w:sz w:val="24"/>
          <w:szCs w:val="24"/>
        </w:rPr>
        <w:t xml:space="preserve"> </w:t>
      </w:r>
      <w:r w:rsidR="00F23CC8" w:rsidRPr="008A1DFD">
        <w:rPr>
          <w:rFonts w:ascii="Times New Roman" w:hAnsi="Times New Roman"/>
          <w:sz w:val="24"/>
          <w:szCs w:val="24"/>
        </w:rPr>
        <w:t xml:space="preserve">Savukārt lauku attīstības veicināšanai Latvijai būs </w:t>
      </w:r>
      <w:r w:rsidR="00F23CC8" w:rsidRPr="00A154A2">
        <w:rPr>
          <w:rFonts w:ascii="Times New Roman" w:hAnsi="Times New Roman"/>
          <w:sz w:val="24"/>
          <w:szCs w:val="24"/>
        </w:rPr>
        <w:t xml:space="preserve">pieejami </w:t>
      </w:r>
      <w:r w:rsidR="00F23CC8" w:rsidRPr="005C7A6F">
        <w:rPr>
          <w:rFonts w:ascii="Times New Roman" w:hAnsi="Times New Roman"/>
          <w:sz w:val="24"/>
          <w:szCs w:val="24"/>
        </w:rPr>
        <w:t>966 miljoni eiro.</w:t>
      </w:r>
      <w:r w:rsidR="00F23CC8" w:rsidRPr="008A1DFD">
        <w:rPr>
          <w:rFonts w:ascii="Times New Roman" w:hAnsi="Times New Roman"/>
          <w:sz w:val="24"/>
          <w:szCs w:val="24"/>
        </w:rPr>
        <w:t xml:space="preserve"> </w:t>
      </w:r>
    </w:p>
    <w:p w:rsidR="00F23CC8" w:rsidRPr="00103D25" w:rsidRDefault="00F23CC8" w:rsidP="00F23CC8">
      <w:pPr>
        <w:spacing w:after="0" w:line="240" w:lineRule="auto"/>
        <w:ind w:firstLine="720"/>
        <w:jc w:val="both"/>
        <w:rPr>
          <w:rFonts w:ascii="Times New Roman" w:hAnsi="Times New Roman"/>
          <w:sz w:val="24"/>
          <w:szCs w:val="24"/>
        </w:rPr>
      </w:pPr>
      <w:r w:rsidRPr="008A1DFD">
        <w:rPr>
          <w:rFonts w:ascii="Times New Roman" w:hAnsi="Times New Roman"/>
          <w:sz w:val="24"/>
          <w:szCs w:val="24"/>
        </w:rPr>
        <w:t xml:space="preserve">Papildus </w:t>
      </w:r>
      <w:r>
        <w:rPr>
          <w:rFonts w:ascii="Times New Roman" w:hAnsi="Times New Roman"/>
          <w:sz w:val="24"/>
          <w:szCs w:val="24"/>
        </w:rPr>
        <w:t>šiem garantētajiem</w:t>
      </w:r>
      <w:r w:rsidRPr="008A1DFD">
        <w:rPr>
          <w:rFonts w:ascii="Times New Roman" w:hAnsi="Times New Roman"/>
          <w:sz w:val="24"/>
          <w:szCs w:val="24"/>
        </w:rPr>
        <w:t xml:space="preserve"> līdzekļiem Latvijai būs iespēja </w:t>
      </w:r>
      <w:r>
        <w:rPr>
          <w:rFonts w:ascii="Times New Roman" w:hAnsi="Times New Roman"/>
          <w:sz w:val="24"/>
          <w:szCs w:val="24"/>
        </w:rPr>
        <w:t xml:space="preserve">saņemt finansējumu </w:t>
      </w:r>
      <w:r w:rsidRPr="008A1DFD">
        <w:rPr>
          <w:rFonts w:ascii="Times New Roman" w:hAnsi="Times New Roman"/>
          <w:sz w:val="24"/>
          <w:szCs w:val="24"/>
        </w:rPr>
        <w:t xml:space="preserve">arī </w:t>
      </w:r>
      <w:r>
        <w:rPr>
          <w:rFonts w:ascii="Times New Roman" w:hAnsi="Times New Roman"/>
          <w:sz w:val="24"/>
          <w:szCs w:val="24"/>
        </w:rPr>
        <w:t xml:space="preserve">no </w:t>
      </w:r>
      <w:r w:rsidRPr="005C7A6F">
        <w:rPr>
          <w:rFonts w:ascii="Times New Roman" w:hAnsi="Times New Roman"/>
          <w:sz w:val="24"/>
          <w:szCs w:val="24"/>
        </w:rPr>
        <w:t>dažādu nozaru ES finanšu programmām:</w:t>
      </w:r>
      <w:r>
        <w:rPr>
          <w:rFonts w:ascii="Times New Roman" w:hAnsi="Times New Roman"/>
          <w:sz w:val="24"/>
          <w:szCs w:val="24"/>
        </w:rPr>
        <w:t xml:space="preserve"> </w:t>
      </w:r>
    </w:p>
    <w:p w:rsidR="00F23CC8" w:rsidRDefault="00F23CC8" w:rsidP="00F23CC8">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i</w:t>
      </w:r>
      <w:r w:rsidRPr="00087CA4">
        <w:rPr>
          <w:rFonts w:ascii="Times New Roman" w:hAnsi="Times New Roman"/>
          <w:sz w:val="24"/>
          <w:szCs w:val="24"/>
        </w:rPr>
        <w:t>ekšlietu nozarei būs pieejami līdzekļi</w:t>
      </w:r>
      <w:r>
        <w:rPr>
          <w:rFonts w:ascii="Times New Roman" w:hAnsi="Times New Roman"/>
          <w:sz w:val="24"/>
          <w:szCs w:val="24"/>
        </w:rPr>
        <w:t xml:space="preserve"> </w:t>
      </w:r>
      <w:r w:rsidRPr="00087CA4">
        <w:rPr>
          <w:rFonts w:ascii="Times New Roman" w:hAnsi="Times New Roman"/>
          <w:sz w:val="24"/>
          <w:szCs w:val="24"/>
        </w:rPr>
        <w:t>policijai, robežsardzei, iekšējās drošības stiprināšanai</w:t>
      </w:r>
      <w:r>
        <w:rPr>
          <w:rFonts w:ascii="Times New Roman" w:hAnsi="Times New Roman"/>
          <w:sz w:val="24"/>
          <w:szCs w:val="24"/>
        </w:rPr>
        <w:t xml:space="preserve"> u.c.;</w:t>
      </w:r>
      <w:r w:rsidRPr="00087CA4">
        <w:rPr>
          <w:rFonts w:ascii="Times New Roman" w:hAnsi="Times New Roman"/>
          <w:sz w:val="24"/>
          <w:szCs w:val="24"/>
        </w:rPr>
        <w:t xml:space="preserve"> </w:t>
      </w:r>
    </w:p>
    <w:p w:rsidR="00F23CC8" w:rsidRDefault="00F23CC8" w:rsidP="00F23CC8">
      <w:pPr>
        <w:numPr>
          <w:ilvl w:val="0"/>
          <w:numId w:val="43"/>
        </w:numPr>
        <w:spacing w:after="0" w:line="240" w:lineRule="auto"/>
        <w:jc w:val="both"/>
        <w:rPr>
          <w:rFonts w:ascii="Times New Roman" w:hAnsi="Times New Roman"/>
          <w:sz w:val="24"/>
          <w:szCs w:val="24"/>
        </w:rPr>
      </w:pPr>
      <w:r w:rsidRPr="00087CA4">
        <w:rPr>
          <w:rFonts w:ascii="Times New Roman" w:hAnsi="Times New Roman"/>
          <w:sz w:val="24"/>
          <w:szCs w:val="24"/>
        </w:rPr>
        <w:t xml:space="preserve">nākamajā septiņu gadu posmā ES budžetā paredzēts palielināt finansējumu </w:t>
      </w:r>
      <w:r w:rsidRPr="005C7A6F">
        <w:rPr>
          <w:rFonts w:ascii="Times New Roman" w:hAnsi="Times New Roman"/>
          <w:sz w:val="24"/>
          <w:szCs w:val="24"/>
        </w:rPr>
        <w:t>pētniecībai, inovācijām un tehnoloģiju attīstībai</w:t>
      </w:r>
      <w:r w:rsidRPr="00087CA4">
        <w:rPr>
          <w:rFonts w:ascii="Times New Roman" w:hAnsi="Times New Roman"/>
          <w:sz w:val="24"/>
          <w:szCs w:val="24"/>
        </w:rPr>
        <w:t xml:space="preserve">. Tas dos iespēju Latvijai attīstīt </w:t>
      </w:r>
      <w:r w:rsidRPr="00087CA4">
        <w:rPr>
          <w:rFonts w:ascii="Times New Roman" w:hAnsi="Times New Roman"/>
          <w:sz w:val="24"/>
          <w:szCs w:val="24"/>
        </w:rPr>
        <w:lastRenderedPageBreak/>
        <w:t xml:space="preserve">zinātni, izmantojot vienlaikus gan </w:t>
      </w:r>
      <w:r w:rsidR="00B167ED">
        <w:rPr>
          <w:rFonts w:ascii="Times New Roman" w:hAnsi="Times New Roman"/>
          <w:sz w:val="24"/>
          <w:szCs w:val="24"/>
        </w:rPr>
        <w:t>"</w:t>
      </w:r>
      <w:r w:rsidRPr="005C7A6F">
        <w:rPr>
          <w:rFonts w:ascii="Times New Roman" w:hAnsi="Times New Roman"/>
          <w:sz w:val="24"/>
          <w:szCs w:val="24"/>
        </w:rPr>
        <w:t>Horizonts 2020</w:t>
      </w:r>
      <w:r w:rsidR="00B167ED">
        <w:rPr>
          <w:rFonts w:ascii="Times New Roman" w:hAnsi="Times New Roman"/>
          <w:sz w:val="24"/>
          <w:szCs w:val="24"/>
        </w:rPr>
        <w:t>"</w:t>
      </w:r>
      <w:r w:rsidRPr="00087CA4">
        <w:rPr>
          <w:rFonts w:ascii="Times New Roman" w:hAnsi="Times New Roman"/>
          <w:sz w:val="24"/>
          <w:szCs w:val="24"/>
        </w:rPr>
        <w:t xml:space="preserve"> programmu, gan </w:t>
      </w:r>
      <w:r w:rsidRPr="005C7A6F">
        <w:rPr>
          <w:rFonts w:ascii="Times New Roman" w:hAnsi="Times New Roman"/>
          <w:sz w:val="24"/>
          <w:szCs w:val="24"/>
        </w:rPr>
        <w:t xml:space="preserve">ES fondu </w:t>
      </w:r>
      <w:r w:rsidRPr="00087CA4">
        <w:rPr>
          <w:rFonts w:ascii="Times New Roman" w:hAnsi="Times New Roman"/>
          <w:sz w:val="24"/>
          <w:szCs w:val="24"/>
        </w:rPr>
        <w:t>līdzekļus zinātniskās ekselences attīstīšanai</w:t>
      </w:r>
      <w:r>
        <w:rPr>
          <w:rFonts w:ascii="Times New Roman" w:hAnsi="Times New Roman"/>
          <w:sz w:val="24"/>
          <w:szCs w:val="24"/>
        </w:rPr>
        <w:t>;</w:t>
      </w:r>
    </w:p>
    <w:p w:rsidR="00F23CC8" w:rsidRDefault="00F23CC8" w:rsidP="00F23CC8">
      <w:pPr>
        <w:numPr>
          <w:ilvl w:val="0"/>
          <w:numId w:val="43"/>
        </w:numPr>
        <w:spacing w:after="0" w:line="240" w:lineRule="auto"/>
        <w:jc w:val="both"/>
        <w:rPr>
          <w:rFonts w:ascii="Times New Roman" w:hAnsi="Times New Roman"/>
          <w:sz w:val="24"/>
          <w:szCs w:val="24"/>
        </w:rPr>
      </w:pPr>
      <w:r w:rsidRPr="00087CA4">
        <w:rPr>
          <w:rFonts w:ascii="Times New Roman" w:hAnsi="Times New Roman"/>
          <w:sz w:val="24"/>
          <w:szCs w:val="24"/>
        </w:rPr>
        <w:t xml:space="preserve">līdz šim aktīvi izmantotās </w:t>
      </w:r>
      <w:r w:rsidRPr="005C7A6F">
        <w:rPr>
          <w:rFonts w:ascii="Times New Roman" w:hAnsi="Times New Roman"/>
          <w:sz w:val="24"/>
          <w:szCs w:val="24"/>
        </w:rPr>
        <w:t xml:space="preserve">ERASMUS </w:t>
      </w:r>
      <w:r w:rsidRPr="00087CA4">
        <w:rPr>
          <w:rFonts w:ascii="Times New Roman" w:hAnsi="Times New Roman"/>
          <w:sz w:val="24"/>
          <w:szCs w:val="24"/>
        </w:rPr>
        <w:t>programmas turpināšana nākamajā plānošanas</w:t>
      </w:r>
      <w:r w:rsidR="003C0EBF">
        <w:rPr>
          <w:rFonts w:ascii="Times New Roman" w:hAnsi="Times New Roman"/>
          <w:sz w:val="24"/>
          <w:szCs w:val="24"/>
        </w:rPr>
        <w:t xml:space="preserve"> periodā sniegs iespējas studēt</w:t>
      </w:r>
      <w:r w:rsidRPr="00087CA4">
        <w:rPr>
          <w:rFonts w:ascii="Times New Roman" w:hAnsi="Times New Roman"/>
          <w:sz w:val="24"/>
          <w:szCs w:val="24"/>
        </w:rPr>
        <w:t>gribētājiem gūt pieredzi citu dalībvalstu mācību iestādēs;</w:t>
      </w:r>
    </w:p>
    <w:p w:rsidR="00F23CC8" w:rsidRDefault="00F23CC8" w:rsidP="00F23CC8">
      <w:pPr>
        <w:numPr>
          <w:ilvl w:val="0"/>
          <w:numId w:val="43"/>
        </w:numPr>
        <w:spacing w:after="0" w:line="240" w:lineRule="auto"/>
        <w:jc w:val="both"/>
        <w:rPr>
          <w:rFonts w:ascii="Times New Roman" w:hAnsi="Times New Roman"/>
          <w:sz w:val="24"/>
          <w:szCs w:val="24"/>
        </w:rPr>
      </w:pPr>
      <w:r>
        <w:rPr>
          <w:rFonts w:ascii="Times New Roman" w:hAnsi="Times New Roman"/>
          <w:sz w:val="24"/>
          <w:szCs w:val="24"/>
        </w:rPr>
        <w:t>t</w:t>
      </w:r>
      <w:r w:rsidRPr="00087CA4">
        <w:rPr>
          <w:rFonts w:ascii="Times New Roman" w:hAnsi="Times New Roman"/>
          <w:sz w:val="24"/>
          <w:szCs w:val="24"/>
        </w:rPr>
        <w:t xml:space="preserve">iks izveidota </w:t>
      </w:r>
      <w:r w:rsidRPr="005C7A6F">
        <w:rPr>
          <w:rFonts w:ascii="Times New Roman" w:hAnsi="Times New Roman"/>
          <w:sz w:val="24"/>
          <w:szCs w:val="24"/>
        </w:rPr>
        <w:t xml:space="preserve">jauna iniciatīva, </w:t>
      </w:r>
      <w:r w:rsidRPr="00087CA4">
        <w:rPr>
          <w:rFonts w:ascii="Times New Roman" w:hAnsi="Times New Roman"/>
          <w:sz w:val="24"/>
          <w:szCs w:val="24"/>
        </w:rPr>
        <w:t>kas ļaus reģioniem ar augstu jauniešu</w:t>
      </w:r>
      <w:r w:rsidR="003C0EBF">
        <w:rPr>
          <w:rFonts w:ascii="Times New Roman" w:hAnsi="Times New Roman"/>
          <w:sz w:val="24"/>
          <w:szCs w:val="24"/>
        </w:rPr>
        <w:t xml:space="preserve"> bezdarba līmeni saņemt papildu</w:t>
      </w:r>
      <w:r w:rsidRPr="00087CA4">
        <w:rPr>
          <w:rFonts w:ascii="Times New Roman" w:hAnsi="Times New Roman"/>
          <w:sz w:val="24"/>
          <w:szCs w:val="24"/>
        </w:rPr>
        <w:t xml:space="preserve"> finansējumu jauniešu bezdarba mazināšanai;</w:t>
      </w:r>
    </w:p>
    <w:p w:rsidR="00F23CC8" w:rsidRDefault="00F23CC8" w:rsidP="00F23CC8">
      <w:pPr>
        <w:numPr>
          <w:ilvl w:val="0"/>
          <w:numId w:val="43"/>
        </w:numPr>
        <w:spacing w:after="0" w:line="240" w:lineRule="auto"/>
        <w:jc w:val="both"/>
        <w:rPr>
          <w:rFonts w:ascii="Times New Roman" w:hAnsi="Times New Roman"/>
          <w:sz w:val="24"/>
          <w:szCs w:val="24"/>
        </w:rPr>
      </w:pPr>
      <w:r w:rsidRPr="00087CA4">
        <w:rPr>
          <w:rFonts w:ascii="Times New Roman" w:hAnsi="Times New Roman"/>
          <w:sz w:val="24"/>
          <w:szCs w:val="24"/>
        </w:rPr>
        <w:t xml:space="preserve">tāpat nākamajā plānošanas periodā tiks turpināta </w:t>
      </w:r>
      <w:r w:rsidRPr="005C7A6F">
        <w:rPr>
          <w:rFonts w:ascii="Times New Roman" w:hAnsi="Times New Roman"/>
          <w:sz w:val="24"/>
          <w:szCs w:val="24"/>
        </w:rPr>
        <w:t>COSME programma</w:t>
      </w:r>
      <w:r w:rsidRPr="00087CA4">
        <w:rPr>
          <w:rFonts w:ascii="Times New Roman" w:hAnsi="Times New Roman"/>
          <w:sz w:val="24"/>
          <w:szCs w:val="24"/>
        </w:rPr>
        <w:t>, kas paredzēta mazo un vidējo uzņēmumu atbalstam</w:t>
      </w:r>
      <w:r>
        <w:rPr>
          <w:rFonts w:ascii="Times New Roman" w:hAnsi="Times New Roman"/>
          <w:sz w:val="24"/>
          <w:szCs w:val="24"/>
        </w:rPr>
        <w:t>;</w:t>
      </w:r>
    </w:p>
    <w:p w:rsidR="00F23CC8" w:rsidRPr="00103D25" w:rsidRDefault="00F23CC8" w:rsidP="00F23CC8">
      <w:pPr>
        <w:numPr>
          <w:ilvl w:val="0"/>
          <w:numId w:val="43"/>
        </w:numPr>
        <w:spacing w:after="0" w:line="240" w:lineRule="auto"/>
        <w:jc w:val="both"/>
        <w:rPr>
          <w:rFonts w:ascii="Times New Roman" w:hAnsi="Times New Roman"/>
          <w:sz w:val="24"/>
          <w:szCs w:val="24"/>
        </w:rPr>
      </w:pPr>
      <w:r w:rsidRPr="00087CA4">
        <w:rPr>
          <w:rFonts w:ascii="Times New Roman" w:hAnsi="Times New Roman"/>
          <w:sz w:val="24"/>
          <w:szCs w:val="24"/>
        </w:rPr>
        <w:t>vienošanās par nāk</w:t>
      </w:r>
      <w:r w:rsidR="003C0EBF">
        <w:rPr>
          <w:rFonts w:ascii="Times New Roman" w:hAnsi="Times New Roman"/>
          <w:sz w:val="24"/>
          <w:szCs w:val="24"/>
        </w:rPr>
        <w:t>amo</w:t>
      </w:r>
      <w:r w:rsidRPr="00087CA4">
        <w:rPr>
          <w:rFonts w:ascii="Times New Roman" w:hAnsi="Times New Roman"/>
          <w:sz w:val="24"/>
          <w:szCs w:val="24"/>
        </w:rPr>
        <w:t xml:space="preserve"> ES daudzgadu budžetu paredz </w:t>
      </w:r>
      <w:r w:rsidRPr="005C7A6F">
        <w:rPr>
          <w:rFonts w:ascii="Times New Roman" w:hAnsi="Times New Roman"/>
          <w:sz w:val="24"/>
          <w:szCs w:val="24"/>
        </w:rPr>
        <w:t xml:space="preserve">virkni uzlabojumu, </w:t>
      </w:r>
      <w:r w:rsidRPr="00087CA4">
        <w:rPr>
          <w:rFonts w:ascii="Times New Roman" w:hAnsi="Times New Roman"/>
          <w:sz w:val="24"/>
          <w:szCs w:val="24"/>
        </w:rPr>
        <w:t>lai nodrošinātu</w:t>
      </w:r>
      <w:r w:rsidRPr="005C7A6F">
        <w:rPr>
          <w:rFonts w:ascii="Times New Roman" w:hAnsi="Times New Roman"/>
          <w:sz w:val="24"/>
          <w:szCs w:val="24"/>
        </w:rPr>
        <w:t xml:space="preserve"> mērķtiecīgāku finansējuma izlietošanu</w:t>
      </w:r>
      <w:r w:rsidRPr="00087CA4">
        <w:rPr>
          <w:rFonts w:ascii="Times New Roman" w:hAnsi="Times New Roman"/>
          <w:sz w:val="24"/>
          <w:szCs w:val="24"/>
        </w:rPr>
        <w:t xml:space="preserve">. Tiks ieviesta </w:t>
      </w:r>
      <w:r w:rsidRPr="005C7A6F">
        <w:rPr>
          <w:rFonts w:ascii="Times New Roman" w:hAnsi="Times New Roman"/>
          <w:sz w:val="24"/>
          <w:szCs w:val="24"/>
        </w:rPr>
        <w:t>vienota stratēģiskā plānošana</w:t>
      </w:r>
      <w:r w:rsidRPr="00087CA4">
        <w:rPr>
          <w:rFonts w:ascii="Times New Roman" w:hAnsi="Times New Roman"/>
          <w:sz w:val="24"/>
          <w:szCs w:val="24"/>
        </w:rPr>
        <w:t xml:space="preserve"> dažādiem fondiem. </w:t>
      </w:r>
    </w:p>
    <w:p w:rsidR="00F23CC8" w:rsidRPr="00103D25" w:rsidRDefault="00F23CC8" w:rsidP="00F23CC8">
      <w:pPr>
        <w:spacing w:after="0" w:line="240" w:lineRule="auto"/>
        <w:ind w:firstLine="720"/>
        <w:jc w:val="both"/>
        <w:rPr>
          <w:rFonts w:ascii="Times New Roman" w:hAnsi="Times New Roman"/>
          <w:sz w:val="24"/>
          <w:szCs w:val="24"/>
        </w:rPr>
      </w:pPr>
      <w:r w:rsidRPr="008A1DFD">
        <w:rPr>
          <w:rFonts w:ascii="Times New Roman" w:hAnsi="Times New Roman"/>
          <w:sz w:val="24"/>
          <w:szCs w:val="24"/>
        </w:rPr>
        <w:t xml:space="preserve">ES budžeta kopējais apjoms, salīdzinot ar </w:t>
      </w:r>
      <w:r>
        <w:rPr>
          <w:rFonts w:ascii="Times New Roman" w:hAnsi="Times New Roman"/>
          <w:sz w:val="24"/>
          <w:szCs w:val="24"/>
        </w:rPr>
        <w:t>EK</w:t>
      </w:r>
      <w:r w:rsidRPr="008A1DFD">
        <w:rPr>
          <w:rFonts w:ascii="Times New Roman" w:hAnsi="Times New Roman"/>
          <w:sz w:val="24"/>
          <w:szCs w:val="24"/>
        </w:rPr>
        <w:t xml:space="preserve"> sākotnējo piedāvājumu, ir samazināts </w:t>
      </w:r>
      <w:r w:rsidRPr="00700322">
        <w:rPr>
          <w:rFonts w:ascii="Times New Roman" w:hAnsi="Times New Roman"/>
          <w:sz w:val="24"/>
          <w:szCs w:val="24"/>
        </w:rPr>
        <w:t xml:space="preserve">par </w:t>
      </w:r>
      <w:r w:rsidRPr="005C7A6F">
        <w:rPr>
          <w:rFonts w:ascii="Times New Roman" w:hAnsi="Times New Roman"/>
          <w:sz w:val="24"/>
          <w:szCs w:val="24"/>
        </w:rPr>
        <w:t>8,7</w:t>
      </w:r>
      <w:r w:rsidR="00111406">
        <w:rPr>
          <w:rFonts w:ascii="Times New Roman" w:hAnsi="Times New Roman"/>
          <w:sz w:val="24"/>
          <w:szCs w:val="24"/>
        </w:rPr>
        <w:t> %</w:t>
      </w:r>
      <w:r w:rsidRPr="005C7A6F">
        <w:rPr>
          <w:rFonts w:ascii="Times New Roman" w:hAnsi="Times New Roman"/>
          <w:sz w:val="24"/>
          <w:szCs w:val="24"/>
        </w:rPr>
        <w:t xml:space="preserve"> </w:t>
      </w:r>
      <w:r w:rsidRPr="00087CA4">
        <w:rPr>
          <w:rFonts w:ascii="Times New Roman" w:hAnsi="Times New Roman"/>
          <w:sz w:val="24"/>
          <w:szCs w:val="24"/>
        </w:rPr>
        <w:t>jeb</w:t>
      </w:r>
      <w:r w:rsidRPr="005C7A6F">
        <w:rPr>
          <w:rFonts w:ascii="Times New Roman" w:hAnsi="Times New Roman"/>
          <w:sz w:val="24"/>
          <w:szCs w:val="24"/>
        </w:rPr>
        <w:t xml:space="preserve"> </w:t>
      </w:r>
      <w:r w:rsidRPr="00087CA4">
        <w:rPr>
          <w:rFonts w:ascii="Times New Roman" w:hAnsi="Times New Roman"/>
          <w:sz w:val="24"/>
          <w:szCs w:val="24"/>
        </w:rPr>
        <w:t>aptuveni</w:t>
      </w:r>
      <w:r w:rsidRPr="005C7A6F">
        <w:rPr>
          <w:rFonts w:ascii="Times New Roman" w:hAnsi="Times New Roman"/>
          <w:sz w:val="24"/>
          <w:szCs w:val="24"/>
        </w:rPr>
        <w:t xml:space="preserve"> 100 miljardiem eiro.</w:t>
      </w:r>
      <w:r>
        <w:rPr>
          <w:rFonts w:ascii="Times New Roman" w:hAnsi="Times New Roman"/>
          <w:sz w:val="24"/>
          <w:szCs w:val="24"/>
        </w:rPr>
        <w:t xml:space="preserve"> </w:t>
      </w:r>
      <w:r w:rsidRPr="00087CA4">
        <w:rPr>
          <w:rFonts w:ascii="Times New Roman" w:hAnsi="Times New Roman"/>
          <w:sz w:val="24"/>
          <w:szCs w:val="24"/>
        </w:rPr>
        <w:t xml:space="preserve">Latvijas provizoriskās iemaksas ES budžetā veidos </w:t>
      </w:r>
      <w:r w:rsidRPr="005C7A6F">
        <w:rPr>
          <w:rFonts w:ascii="Times New Roman" w:hAnsi="Times New Roman"/>
          <w:sz w:val="24"/>
          <w:szCs w:val="24"/>
        </w:rPr>
        <w:t>1,860 miljardus eiro.</w:t>
      </w:r>
      <w:r w:rsidRPr="00087CA4">
        <w:rPr>
          <w:rFonts w:ascii="Times New Roman" w:hAnsi="Times New Roman"/>
          <w:sz w:val="24"/>
          <w:szCs w:val="24"/>
        </w:rPr>
        <w:t xml:space="preserve"> Uz katru ES budžetā iemaksāto eiro Latvija no tai piešķirtā finansējuma saņems atpakaļ </w:t>
      </w:r>
      <w:r w:rsidRPr="005C7A6F">
        <w:rPr>
          <w:rFonts w:ascii="Times New Roman" w:hAnsi="Times New Roman"/>
          <w:sz w:val="24"/>
          <w:szCs w:val="24"/>
        </w:rPr>
        <w:t>4 eiro</w:t>
      </w:r>
      <w:r w:rsidRPr="00087CA4">
        <w:rPr>
          <w:rFonts w:ascii="Times New Roman" w:hAnsi="Times New Roman"/>
          <w:sz w:val="24"/>
          <w:szCs w:val="24"/>
        </w:rPr>
        <w:t xml:space="preserve">. Tādējādi Latvija ir </w:t>
      </w:r>
      <w:r w:rsidRPr="005C7A6F">
        <w:rPr>
          <w:rFonts w:ascii="Times New Roman" w:hAnsi="Times New Roman"/>
          <w:sz w:val="24"/>
          <w:szCs w:val="24"/>
        </w:rPr>
        <w:t xml:space="preserve">4.lielākā neto saņēmēja </w:t>
      </w:r>
      <w:r w:rsidRPr="00087CA4">
        <w:rPr>
          <w:rFonts w:ascii="Times New Roman" w:hAnsi="Times New Roman"/>
          <w:sz w:val="24"/>
          <w:szCs w:val="24"/>
        </w:rPr>
        <w:t>starp visām ES dalībvalstīm</w:t>
      </w:r>
      <w:r w:rsidRPr="00087CA4">
        <w:rPr>
          <w:rStyle w:val="FootnoteReference"/>
          <w:szCs w:val="24"/>
        </w:rPr>
        <w:footnoteReference w:id="9"/>
      </w:r>
      <w:r w:rsidRPr="00087CA4">
        <w:rPr>
          <w:rFonts w:ascii="Times New Roman" w:hAnsi="Times New Roman"/>
          <w:sz w:val="24"/>
          <w:szCs w:val="24"/>
        </w:rPr>
        <w:t xml:space="preserve">. Rēķinot pieejamo </w:t>
      </w:r>
      <w:r w:rsidRPr="005C7A6F">
        <w:rPr>
          <w:rFonts w:ascii="Times New Roman" w:hAnsi="Times New Roman"/>
          <w:sz w:val="24"/>
          <w:szCs w:val="24"/>
        </w:rPr>
        <w:t>atbalstu uz 1 iedzīvotāju</w:t>
      </w:r>
      <w:r w:rsidRPr="00087CA4">
        <w:rPr>
          <w:rFonts w:ascii="Times New Roman" w:hAnsi="Times New Roman"/>
          <w:sz w:val="24"/>
          <w:szCs w:val="24"/>
        </w:rPr>
        <w:t xml:space="preserve">, Latvija ierindojas </w:t>
      </w:r>
      <w:r w:rsidRPr="005C7A6F">
        <w:rPr>
          <w:rFonts w:ascii="Times New Roman" w:hAnsi="Times New Roman"/>
          <w:sz w:val="24"/>
          <w:szCs w:val="24"/>
        </w:rPr>
        <w:t>3. vietā starp</w:t>
      </w:r>
      <w:r w:rsidRPr="00087CA4">
        <w:rPr>
          <w:rFonts w:ascii="Times New Roman" w:hAnsi="Times New Roman"/>
          <w:sz w:val="24"/>
          <w:szCs w:val="24"/>
        </w:rPr>
        <w:t xml:space="preserve"> ES dalībvalstīm, saņemot aptuveni 3000 eiro uz 1 iedzīvotāju laika periodā no 2014.</w:t>
      </w:r>
      <w:r w:rsidR="003C0EBF">
        <w:rPr>
          <w:rFonts w:ascii="Times New Roman" w:hAnsi="Times New Roman"/>
          <w:sz w:val="24"/>
          <w:szCs w:val="24"/>
        </w:rPr>
        <w:t xml:space="preserve"> līdz </w:t>
      </w:r>
      <w:r w:rsidRPr="00087CA4">
        <w:rPr>
          <w:rFonts w:ascii="Times New Roman" w:hAnsi="Times New Roman"/>
          <w:sz w:val="24"/>
          <w:szCs w:val="24"/>
        </w:rPr>
        <w:t>2020.gadam</w:t>
      </w:r>
      <w:r w:rsidRPr="00087CA4">
        <w:rPr>
          <w:rStyle w:val="FootnoteReference"/>
          <w:szCs w:val="24"/>
        </w:rPr>
        <w:footnoteReference w:id="10"/>
      </w:r>
      <w:r w:rsidRPr="00087CA4">
        <w:rPr>
          <w:rFonts w:ascii="Times New Roman" w:hAnsi="Times New Roman"/>
          <w:sz w:val="24"/>
          <w:szCs w:val="24"/>
        </w:rPr>
        <w:t xml:space="preserve">.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2012</w:t>
      </w:r>
      <w:r>
        <w:rPr>
          <w:rFonts w:ascii="Times New Roman" w:hAnsi="Times New Roman" w:cs="Times New Roman"/>
          <w:sz w:val="24"/>
          <w:szCs w:val="24"/>
        </w:rPr>
        <w:t xml:space="preserve">.gadā arī </w:t>
      </w:r>
      <w:r w:rsidRPr="00FD601E">
        <w:rPr>
          <w:rFonts w:ascii="Times New Roman" w:hAnsi="Times New Roman" w:cs="Times New Roman"/>
          <w:sz w:val="24"/>
          <w:szCs w:val="24"/>
        </w:rPr>
        <w:t>notika intensīvs darbs Eiropas Ekonomiskās un monetārās savienības stiprināšan</w:t>
      </w:r>
      <w:r w:rsidR="002C5FED">
        <w:rPr>
          <w:rFonts w:ascii="Times New Roman" w:hAnsi="Times New Roman" w:cs="Times New Roman"/>
          <w:sz w:val="24"/>
          <w:szCs w:val="24"/>
        </w:rPr>
        <w:t>ā, lai</w:t>
      </w:r>
      <w:r w:rsidRPr="00FD601E">
        <w:rPr>
          <w:rFonts w:ascii="Times New Roman" w:hAnsi="Times New Roman" w:cs="Times New Roman"/>
          <w:sz w:val="24"/>
          <w:szCs w:val="24"/>
        </w:rPr>
        <w:t xml:space="preserve"> nākotnē izvairīt</w:t>
      </w:r>
      <w:r w:rsidR="002C5FED">
        <w:rPr>
          <w:rFonts w:ascii="Times New Roman" w:hAnsi="Times New Roman" w:cs="Times New Roman"/>
          <w:sz w:val="24"/>
          <w:szCs w:val="24"/>
        </w:rPr>
        <w:t>o</w:t>
      </w:r>
      <w:r w:rsidRPr="00FD601E">
        <w:rPr>
          <w:rFonts w:ascii="Times New Roman" w:hAnsi="Times New Roman" w:cs="Times New Roman"/>
          <w:sz w:val="24"/>
          <w:szCs w:val="24"/>
        </w:rPr>
        <w:t>s no nedisciplinētas fiskālās politikas izraisītām krīzēm. Gada sākumā tika parakstīts un Saeimā ratificēts Fiskālās disciplīnas līgums (Līgums par stabilitāti, koordināciju un pārvaldību ekonomiskajā un monetārajā savienībā), sagatavotas un apstiprinātas izmaiņas Stabilitātes un izaugsmes paktā</w:t>
      </w:r>
      <w:r>
        <w:rPr>
          <w:rFonts w:ascii="Times New Roman" w:hAnsi="Times New Roman" w:cs="Times New Roman"/>
          <w:sz w:val="24"/>
          <w:szCs w:val="24"/>
        </w:rPr>
        <w:t xml:space="preserve"> un</w:t>
      </w:r>
      <w:r w:rsidRPr="00FD601E">
        <w:rPr>
          <w:rFonts w:ascii="Times New Roman" w:hAnsi="Times New Roman" w:cs="Times New Roman"/>
          <w:sz w:val="24"/>
          <w:szCs w:val="24"/>
        </w:rPr>
        <w:t xml:space="preserve"> uzsākts darbs plašākas Ekonomiskās un monetārās savienības stiprināšan</w:t>
      </w:r>
      <w:r w:rsidR="002C5FED">
        <w:rPr>
          <w:rFonts w:ascii="Times New Roman" w:hAnsi="Times New Roman" w:cs="Times New Roman"/>
          <w:sz w:val="24"/>
          <w:szCs w:val="24"/>
        </w:rPr>
        <w:t xml:space="preserve">ā saskaņā ar Eiropadomes </w:t>
      </w:r>
      <w:r w:rsidRPr="00FD601E">
        <w:rPr>
          <w:rFonts w:ascii="Times New Roman" w:hAnsi="Times New Roman" w:cs="Times New Roman"/>
          <w:sz w:val="24"/>
          <w:szCs w:val="24"/>
        </w:rPr>
        <w:t>prezidenta Hermana van Rompeja sagatavot</w:t>
      </w:r>
      <w:r>
        <w:rPr>
          <w:rFonts w:ascii="Times New Roman" w:hAnsi="Times New Roman" w:cs="Times New Roman"/>
          <w:sz w:val="24"/>
          <w:szCs w:val="24"/>
        </w:rPr>
        <w:t xml:space="preserve">o </w:t>
      </w:r>
      <w:r w:rsidRPr="00FD601E">
        <w:rPr>
          <w:rFonts w:ascii="Times New Roman" w:hAnsi="Times New Roman" w:cs="Times New Roman"/>
          <w:sz w:val="24"/>
          <w:szCs w:val="24"/>
        </w:rPr>
        <w:t>rīcības plānu. Tas ir ļāvis nodrošināt Eiropas stabilitātes mehānisma iesaisti banku kapitāla atjaunošanā, kā arī paredz Banku savienības izveidi ar stiprāku un daļēji centralizētu banku uzraudzību. Turpinās darbs pie izmaiņām ekonomikas politikas un fiskālās politikas pārvaldē, ievērojot ES līmenī pieņem</w:t>
      </w:r>
      <w:r>
        <w:rPr>
          <w:rFonts w:ascii="Times New Roman" w:hAnsi="Times New Roman" w:cs="Times New Roman"/>
          <w:sz w:val="24"/>
          <w:szCs w:val="24"/>
        </w:rPr>
        <w:t>t</w:t>
      </w:r>
      <w:r w:rsidRPr="00FD601E">
        <w:rPr>
          <w:rFonts w:ascii="Times New Roman" w:hAnsi="Times New Roman" w:cs="Times New Roman"/>
          <w:sz w:val="24"/>
          <w:szCs w:val="24"/>
        </w:rPr>
        <w:t>o lēmumu demokrātisko leģitimitāti.</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panākts ievērojams progress ES kandidātvalstu un potenciālo kandidātvalstu ES integrācijas procesā. </w:t>
      </w:r>
      <w:r>
        <w:rPr>
          <w:rFonts w:ascii="Times New Roman" w:hAnsi="Times New Roman" w:cs="Times New Roman"/>
          <w:sz w:val="24"/>
          <w:szCs w:val="24"/>
        </w:rPr>
        <w:t>Pagājušā gada m</w:t>
      </w:r>
      <w:r w:rsidRPr="00FD601E">
        <w:rPr>
          <w:rFonts w:ascii="Times New Roman" w:hAnsi="Times New Roman" w:cs="Times New Roman"/>
          <w:sz w:val="24"/>
          <w:szCs w:val="24"/>
        </w:rPr>
        <w:t>artā Eiropadome atzina Serbiju par ES kandidātvalsti; jūnijā tika sāktas ES pievienošanās sarunas ar Melnkalni un 18.decembrī tika slēgta pirmā sarunu sadaļa</w:t>
      </w:r>
      <w:r>
        <w:rPr>
          <w:rFonts w:ascii="Times New Roman" w:hAnsi="Times New Roman" w:cs="Times New Roman"/>
          <w:sz w:val="24"/>
          <w:szCs w:val="24"/>
        </w:rPr>
        <w:t>,</w:t>
      </w:r>
      <w:r w:rsidRPr="00FD601E">
        <w:rPr>
          <w:rFonts w:ascii="Times New Roman" w:hAnsi="Times New Roman" w:cs="Times New Roman"/>
          <w:sz w:val="24"/>
          <w:szCs w:val="24"/>
        </w:rPr>
        <w:t xml:space="preserve"> maijā EK uzsāka t.s. pozitīvo darba kārtību ar Turciju, lai veicinātu tās ES integrācijai nepieciešamo reformu īstenošanu</w:t>
      </w:r>
      <w:r>
        <w:rPr>
          <w:rFonts w:ascii="Times New Roman" w:hAnsi="Times New Roman" w:cs="Times New Roman"/>
          <w:sz w:val="24"/>
          <w:szCs w:val="24"/>
        </w:rPr>
        <w:t>,</w:t>
      </w:r>
      <w:r w:rsidRPr="00FD601E">
        <w:rPr>
          <w:rFonts w:ascii="Times New Roman" w:hAnsi="Times New Roman" w:cs="Times New Roman"/>
          <w:sz w:val="24"/>
          <w:szCs w:val="24"/>
        </w:rPr>
        <w:t xml:space="preserve"> jūnijā tika parafēts ES readmisijas līgums ar Turciju</w:t>
      </w:r>
      <w:r>
        <w:rPr>
          <w:rFonts w:ascii="Times New Roman" w:hAnsi="Times New Roman" w:cs="Times New Roman"/>
          <w:sz w:val="24"/>
          <w:szCs w:val="24"/>
        </w:rPr>
        <w:t>,</w:t>
      </w:r>
      <w:r w:rsidRPr="00FD601E">
        <w:rPr>
          <w:rFonts w:ascii="Times New Roman" w:hAnsi="Times New Roman" w:cs="Times New Roman"/>
          <w:sz w:val="24"/>
          <w:szCs w:val="24"/>
        </w:rPr>
        <w:t xml:space="preserve"> veiksmīgi turpinājās ES pievienošanās sarunas ar Islandi; turpinājās Horvātijas ES pievienošanās līguma ratifikācijas process dalībvalstīs. Saeima Horvātijas ES pievienošanās līgumu ratificēja 2012.gada 22.martā.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Latvija arī 2013.gadā turpinās atbalstīt ES paplašināšanos, </w:t>
      </w:r>
      <w:r>
        <w:rPr>
          <w:rFonts w:ascii="Times New Roman" w:hAnsi="Times New Roman" w:cs="Times New Roman"/>
          <w:sz w:val="24"/>
          <w:szCs w:val="24"/>
        </w:rPr>
        <w:t>pamatojoties</w:t>
      </w:r>
      <w:r w:rsidRPr="00FD601E">
        <w:rPr>
          <w:rFonts w:ascii="Times New Roman" w:hAnsi="Times New Roman" w:cs="Times New Roman"/>
          <w:sz w:val="24"/>
          <w:szCs w:val="24"/>
        </w:rPr>
        <w:t xml:space="preserve"> uz individuālu pieeju un dalības ES kritēriju izpildi attiecībā uz Rietumbalkānu valstīm, Turciju un Islandi. Paredzēts, ka 2013.gada 1.jūlijā Horvātija kļūs par ES dalībvalsti</w:t>
      </w:r>
      <w:r>
        <w:rPr>
          <w:rFonts w:ascii="Times New Roman" w:hAnsi="Times New Roman" w:cs="Times New Roman"/>
          <w:sz w:val="24"/>
          <w:szCs w:val="24"/>
        </w:rPr>
        <w:t>,</w:t>
      </w:r>
      <w:r w:rsidRPr="00FD601E">
        <w:rPr>
          <w:rFonts w:ascii="Times New Roman" w:hAnsi="Times New Roman" w:cs="Times New Roman"/>
          <w:sz w:val="24"/>
          <w:szCs w:val="24"/>
        </w:rPr>
        <w:t xml:space="preserve"> ES pievienošanās sarunās ar Melnkalni 2013.gadā tiks turpināta EK sagatavoto skrīninga ziņojumu par </w:t>
      </w:r>
      <w:r>
        <w:rPr>
          <w:rFonts w:ascii="Times New Roman" w:hAnsi="Times New Roman" w:cs="Times New Roman"/>
          <w:sz w:val="24"/>
          <w:szCs w:val="24"/>
        </w:rPr>
        <w:t>ES likumdošanas kopuma</w:t>
      </w:r>
      <w:r w:rsidRPr="00FD601E">
        <w:rPr>
          <w:rFonts w:ascii="Times New Roman" w:hAnsi="Times New Roman" w:cs="Times New Roman"/>
          <w:sz w:val="24"/>
          <w:szCs w:val="24"/>
        </w:rPr>
        <w:t xml:space="preserve"> sadaļām izvērtēšana un jaunu sarunu sadaļu atvēršana.</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lastRenderedPageBreak/>
        <w:t>Gatavojoties Latvijas prezidentūrai ES Padomē, sākot ar 2013.gadu tiks paaugstināta kapacitāte gan Ārlietu</w:t>
      </w:r>
      <w:r w:rsidR="002C5FED">
        <w:rPr>
          <w:rFonts w:ascii="Times New Roman" w:hAnsi="Times New Roman" w:cs="Times New Roman"/>
          <w:sz w:val="24"/>
          <w:szCs w:val="24"/>
        </w:rPr>
        <w:t xml:space="preserve"> ministrija</w:t>
      </w:r>
      <w:r w:rsidRPr="00FD601E">
        <w:rPr>
          <w:rFonts w:ascii="Times New Roman" w:hAnsi="Times New Roman" w:cs="Times New Roman"/>
          <w:sz w:val="24"/>
          <w:szCs w:val="24"/>
        </w:rPr>
        <w:t xml:space="preserve">, gan visās nozaru ministrijās, lai kompetenti nodrošinātu sekmīgu Latvijas un ES kopumā interešu aizstāvību pievienošanās sarunās, ņemot vērā, ka 2015.gada pirmajā pusē Latvija vadīs ES pievienošanās sarunas ar kandidātvalstīm visu ES dalībvalstu vārdā. </w:t>
      </w:r>
    </w:p>
    <w:p w:rsidR="00FD601E" w:rsidRPr="00583FA8" w:rsidRDefault="00583FA8" w:rsidP="00583FA8">
      <w:pPr>
        <w:pStyle w:val="Heading3"/>
      </w:pPr>
      <w:bookmarkStart w:id="185" w:name="_Toc348948445"/>
      <w:r>
        <w:t xml:space="preserve">1.2. </w:t>
      </w:r>
      <w:r w:rsidR="00FD601E" w:rsidRPr="00583FA8">
        <w:t>Baltijas jūras reģions</w:t>
      </w:r>
      <w:bookmarkEnd w:id="185"/>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Latvijas intereses bija vērstas arī uz tālāku Baltijas jūras reģiona kā viena no Eiropā dinamiskāk augošajiem reģioniem statusa nostiprināšanu. Latvija aktīvi iesaistījās ES </w:t>
      </w:r>
      <w:r>
        <w:rPr>
          <w:rFonts w:ascii="Times New Roman" w:hAnsi="Times New Roman" w:cs="Times New Roman"/>
          <w:sz w:val="24"/>
          <w:szCs w:val="24"/>
        </w:rPr>
        <w:t>s</w:t>
      </w:r>
      <w:r w:rsidRPr="00FD601E">
        <w:rPr>
          <w:rFonts w:ascii="Times New Roman" w:hAnsi="Times New Roman" w:cs="Times New Roman"/>
          <w:sz w:val="24"/>
          <w:szCs w:val="24"/>
        </w:rPr>
        <w:t xml:space="preserve">tratēģijas Baltijas jūras reģionam Rīcības plāna sagatavošanā.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Baltijas un Ziemeļvalstu sadarbības modelis kā viedokļu koordinācijas mehānisms iegūst interesi arī citās valstīs, piemēra</w:t>
      </w:r>
      <w:r>
        <w:rPr>
          <w:rFonts w:ascii="Times New Roman" w:hAnsi="Times New Roman" w:cs="Times New Roman"/>
          <w:sz w:val="24"/>
          <w:szCs w:val="24"/>
        </w:rPr>
        <w:t>m, Lielbritānijā. 2013.gadā Rīgā</w:t>
      </w:r>
      <w:r w:rsidRPr="00FD601E">
        <w:rPr>
          <w:rFonts w:ascii="Times New Roman" w:hAnsi="Times New Roman" w:cs="Times New Roman"/>
          <w:sz w:val="24"/>
          <w:szCs w:val="24"/>
        </w:rPr>
        <w:t xml:space="preserve"> plānots Ziemeļu nākotnes forums ar NB8 valstu (Latvijas, Lietuvas, Igaunijas, Zviedrijas, Somijas, Dānijas, Norvēģijas, Islandes) un Lielbritānijas premjeru piedalīšanos.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2013.gadā Latvija būs prezidējošā valsts Baltijas Ministru padomē un Baltijas Asamblejā. Latvija koncentrēsies uz </w:t>
      </w:r>
      <w:r w:rsidR="002C5FED">
        <w:rPr>
          <w:rFonts w:ascii="Times New Roman" w:hAnsi="Times New Roman" w:cs="Times New Roman"/>
          <w:sz w:val="24"/>
          <w:szCs w:val="24"/>
        </w:rPr>
        <w:t>šādu</w:t>
      </w:r>
      <w:r w:rsidRPr="00FD601E">
        <w:rPr>
          <w:rFonts w:ascii="Times New Roman" w:hAnsi="Times New Roman" w:cs="Times New Roman"/>
          <w:sz w:val="24"/>
          <w:szCs w:val="24"/>
        </w:rPr>
        <w:t xml:space="preserve"> pr</w:t>
      </w:r>
      <w:r>
        <w:rPr>
          <w:rFonts w:ascii="Times New Roman" w:hAnsi="Times New Roman" w:cs="Times New Roman"/>
          <w:sz w:val="24"/>
          <w:szCs w:val="24"/>
        </w:rPr>
        <w:t>ioritāšu īstenošanu</w:t>
      </w:r>
      <w:r w:rsidRPr="00FD601E">
        <w:rPr>
          <w:rFonts w:ascii="Times New Roman" w:hAnsi="Times New Roman" w:cs="Times New Roman"/>
          <w:sz w:val="24"/>
          <w:szCs w:val="24"/>
        </w:rPr>
        <w:t xml:space="preserve"> </w:t>
      </w:r>
      <w:r w:rsidR="002C5FED">
        <w:rPr>
          <w:rFonts w:ascii="Times New Roman" w:hAnsi="Times New Roman" w:cs="Times New Roman"/>
          <w:sz w:val="24"/>
          <w:szCs w:val="24"/>
        </w:rPr>
        <w:t>–</w:t>
      </w:r>
      <w:r w:rsidRPr="00FD601E">
        <w:rPr>
          <w:rFonts w:ascii="Times New Roman" w:hAnsi="Times New Roman" w:cs="Times New Roman"/>
          <w:sz w:val="24"/>
          <w:szCs w:val="24"/>
        </w:rPr>
        <w:t xml:space="preserve"> konkurētspējas un uzņēmējdarbības vides uzlabošana reģionā </w:t>
      </w:r>
      <w:r>
        <w:rPr>
          <w:rFonts w:ascii="Times New Roman" w:hAnsi="Times New Roman" w:cs="Times New Roman"/>
          <w:sz w:val="24"/>
          <w:szCs w:val="24"/>
        </w:rPr>
        <w:t>(</w:t>
      </w:r>
      <w:r w:rsidR="002C5FED">
        <w:rPr>
          <w:rFonts w:ascii="Times New Roman" w:hAnsi="Times New Roman" w:cs="Times New Roman"/>
          <w:sz w:val="24"/>
          <w:szCs w:val="24"/>
        </w:rPr>
        <w:t>t.sk.</w:t>
      </w:r>
      <w:r w:rsidRPr="00FD601E">
        <w:rPr>
          <w:rFonts w:ascii="Times New Roman" w:hAnsi="Times New Roman" w:cs="Times New Roman"/>
          <w:sz w:val="24"/>
          <w:szCs w:val="24"/>
        </w:rPr>
        <w:t xml:space="preserve"> harmonizēta nodokļu sistēmas attīstīb</w:t>
      </w:r>
      <w:r>
        <w:rPr>
          <w:rFonts w:ascii="Times New Roman" w:hAnsi="Times New Roman" w:cs="Times New Roman"/>
          <w:sz w:val="24"/>
          <w:szCs w:val="24"/>
        </w:rPr>
        <w:t>a</w:t>
      </w:r>
      <w:r w:rsidRPr="00FD601E">
        <w:rPr>
          <w:rFonts w:ascii="Times New Roman" w:hAnsi="Times New Roman" w:cs="Times New Roman"/>
          <w:sz w:val="24"/>
          <w:szCs w:val="24"/>
        </w:rPr>
        <w:t xml:space="preserve"> starp Baltijas valstīm, </w:t>
      </w:r>
      <w:r w:rsidR="002C5FED">
        <w:rPr>
          <w:rFonts w:ascii="Times New Roman" w:hAnsi="Times New Roman" w:cs="Times New Roman"/>
          <w:sz w:val="24"/>
          <w:szCs w:val="24"/>
        </w:rPr>
        <w:t>v</w:t>
      </w:r>
      <w:r w:rsidRPr="00FD601E">
        <w:rPr>
          <w:rFonts w:ascii="Times New Roman" w:hAnsi="Times New Roman" w:cs="Times New Roman"/>
          <w:sz w:val="24"/>
          <w:szCs w:val="24"/>
        </w:rPr>
        <w:t xml:space="preserve">ienota digitālā tirgus un </w:t>
      </w:r>
      <w:r w:rsidRPr="002C5FED">
        <w:rPr>
          <w:rFonts w:ascii="Times New Roman" w:hAnsi="Times New Roman" w:cs="Times New Roman"/>
          <w:i/>
          <w:sz w:val="24"/>
          <w:szCs w:val="24"/>
        </w:rPr>
        <w:t>BIRTI</w:t>
      </w:r>
      <w:r w:rsidRPr="00FD601E">
        <w:rPr>
          <w:rFonts w:ascii="Times New Roman" w:hAnsi="Times New Roman" w:cs="Times New Roman"/>
          <w:sz w:val="24"/>
          <w:szCs w:val="24"/>
        </w:rPr>
        <w:t xml:space="preserve"> izveidošana</w:t>
      </w:r>
      <w:r>
        <w:rPr>
          <w:rFonts w:ascii="Times New Roman" w:hAnsi="Times New Roman" w:cs="Times New Roman"/>
          <w:sz w:val="24"/>
          <w:szCs w:val="24"/>
        </w:rPr>
        <w:t>),</w:t>
      </w:r>
      <w:r w:rsidRPr="00FD601E">
        <w:rPr>
          <w:rFonts w:ascii="Times New Roman" w:hAnsi="Times New Roman" w:cs="Times New Roman"/>
          <w:sz w:val="24"/>
          <w:szCs w:val="24"/>
        </w:rPr>
        <w:t xml:space="preserve"> sadarbības nostiprināšana ar Ziemeļvalstīm starptautiskās politikas dienas kārtības jautājumos, savstarpēja atbalsta veicināšana kandidatūrām starptautiskajās organizācijās</w:t>
      </w:r>
      <w:r>
        <w:rPr>
          <w:rFonts w:ascii="Times New Roman" w:hAnsi="Times New Roman" w:cs="Times New Roman"/>
          <w:sz w:val="24"/>
          <w:szCs w:val="24"/>
        </w:rPr>
        <w:t xml:space="preserve"> un </w:t>
      </w:r>
      <w:r w:rsidRPr="00FD601E">
        <w:rPr>
          <w:rFonts w:ascii="Times New Roman" w:hAnsi="Times New Roman" w:cs="Times New Roman"/>
          <w:sz w:val="24"/>
          <w:szCs w:val="24"/>
        </w:rPr>
        <w:t>darbs diplomātisko pārstāvniecību izveid</w:t>
      </w:r>
      <w:r w:rsidR="002C5FED">
        <w:rPr>
          <w:rFonts w:ascii="Times New Roman" w:hAnsi="Times New Roman" w:cs="Times New Roman"/>
          <w:sz w:val="24"/>
          <w:szCs w:val="24"/>
        </w:rPr>
        <w:t>ē</w:t>
      </w:r>
      <w:r w:rsidRPr="00FD601E">
        <w:rPr>
          <w:rFonts w:ascii="Times New Roman" w:hAnsi="Times New Roman" w:cs="Times New Roman"/>
          <w:sz w:val="24"/>
          <w:szCs w:val="24"/>
        </w:rPr>
        <w:t xml:space="preserve"> vai savstarpēju diplomātu izvietošan</w:t>
      </w:r>
      <w:r w:rsidR="002C5FED">
        <w:rPr>
          <w:rFonts w:ascii="Times New Roman" w:hAnsi="Times New Roman" w:cs="Times New Roman"/>
          <w:sz w:val="24"/>
          <w:szCs w:val="24"/>
        </w:rPr>
        <w:t>ā</w:t>
      </w:r>
      <w:r w:rsidRPr="00FD601E">
        <w:rPr>
          <w:rFonts w:ascii="Times New Roman" w:hAnsi="Times New Roman" w:cs="Times New Roman"/>
          <w:sz w:val="24"/>
          <w:szCs w:val="24"/>
        </w:rPr>
        <w:t xml:space="preserve"> atsevišķu valstu misijās</w:t>
      </w:r>
      <w:r>
        <w:rPr>
          <w:rFonts w:ascii="Times New Roman" w:hAnsi="Times New Roman" w:cs="Times New Roman"/>
          <w:sz w:val="24"/>
          <w:szCs w:val="24"/>
        </w:rPr>
        <w:t xml:space="preserve">, </w:t>
      </w:r>
      <w:r w:rsidR="002C5FED">
        <w:rPr>
          <w:rFonts w:ascii="Times New Roman" w:hAnsi="Times New Roman" w:cs="Times New Roman"/>
          <w:sz w:val="24"/>
          <w:szCs w:val="24"/>
        </w:rPr>
        <w:t>kā arī</w:t>
      </w:r>
      <w:r w:rsidRPr="00FD601E">
        <w:rPr>
          <w:rFonts w:ascii="Times New Roman" w:hAnsi="Times New Roman" w:cs="Times New Roman"/>
          <w:sz w:val="24"/>
          <w:szCs w:val="24"/>
        </w:rPr>
        <w:t xml:space="preserve"> enerģētikas un transporta jautājumi.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2013.gada maijā Rīg</w:t>
      </w:r>
      <w:r w:rsidR="002C5FED">
        <w:rPr>
          <w:rFonts w:ascii="Times New Roman" w:hAnsi="Times New Roman" w:cs="Times New Roman"/>
          <w:sz w:val="24"/>
          <w:szCs w:val="24"/>
        </w:rPr>
        <w:t>ā</w:t>
      </w:r>
      <w:r w:rsidRPr="00FD601E">
        <w:rPr>
          <w:rFonts w:ascii="Times New Roman" w:hAnsi="Times New Roman" w:cs="Times New Roman"/>
          <w:sz w:val="24"/>
          <w:szCs w:val="24"/>
        </w:rPr>
        <w:t xml:space="preserve"> norisināsies 15.Baltijas Attīstības foruma samits. Tā mērķis ir veicināt Baltijas un Ziemeļvalstu sadarbības padziļināšanu, vienlaikus pozicionējot Latviju kā valsti ar lielu izaugsmes potenciālu</w:t>
      </w:r>
      <w:r w:rsidR="002C5FED">
        <w:rPr>
          <w:rFonts w:ascii="Times New Roman" w:hAnsi="Times New Roman" w:cs="Times New Roman"/>
          <w:sz w:val="24"/>
          <w:szCs w:val="24"/>
        </w:rPr>
        <w:t>,</w:t>
      </w:r>
      <w:r>
        <w:rPr>
          <w:rFonts w:ascii="Times New Roman" w:hAnsi="Times New Roman" w:cs="Times New Roman"/>
          <w:sz w:val="24"/>
          <w:szCs w:val="24"/>
        </w:rPr>
        <w:t xml:space="preserve"> un</w:t>
      </w:r>
      <w:r w:rsidRPr="00FD601E">
        <w:rPr>
          <w:rFonts w:ascii="Times New Roman" w:hAnsi="Times New Roman" w:cs="Times New Roman"/>
          <w:sz w:val="24"/>
          <w:szCs w:val="24"/>
        </w:rPr>
        <w:t xml:space="preserve"> piesaistīt reģiona tautsaimniecības līderu interesi un investīcijas. </w:t>
      </w:r>
    </w:p>
    <w:p w:rsidR="00FD601E" w:rsidRPr="00FD601E" w:rsidRDefault="00FD601E" w:rsidP="00583FA8">
      <w:pPr>
        <w:pStyle w:val="Heading3"/>
      </w:pPr>
      <w:bookmarkStart w:id="186" w:name="_Toc348948446"/>
      <w:r w:rsidRPr="00FD601E">
        <w:t xml:space="preserve">1.3. </w:t>
      </w:r>
      <w:r w:rsidRPr="00583FA8">
        <w:t>Divpusējās</w:t>
      </w:r>
      <w:r w:rsidRPr="00FD601E">
        <w:t xml:space="preserve"> attiecības</w:t>
      </w:r>
      <w:bookmarkEnd w:id="186"/>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2012.gadā aktīvi tika attīstītas Latvijas attiecības ar Vāciju un Poliju, gan strādājot pie divpusējo attiecību paplašināšanas iespējām, gan turpinot ciešu koordināciju Latvijai būtiskos ES jautājumo</w:t>
      </w:r>
      <w:r>
        <w:rPr>
          <w:rFonts w:ascii="Times New Roman" w:hAnsi="Times New Roman" w:cs="Times New Roman"/>
          <w:sz w:val="24"/>
          <w:szCs w:val="24"/>
        </w:rPr>
        <w:t xml:space="preserve">s, t.sk. par ES daudzgadu budžetu un </w:t>
      </w:r>
      <w:r w:rsidRPr="00FD601E">
        <w:rPr>
          <w:rFonts w:ascii="Times New Roman" w:hAnsi="Times New Roman" w:cs="Times New Roman"/>
          <w:sz w:val="24"/>
          <w:szCs w:val="24"/>
        </w:rPr>
        <w:t xml:space="preserve">Austrumu partnerību. 2013.gadā sadarbībā ar Poliju un Vāciju </w:t>
      </w:r>
      <w:r w:rsidR="002C5FED">
        <w:rPr>
          <w:rFonts w:ascii="Times New Roman" w:hAnsi="Times New Roman" w:cs="Times New Roman"/>
          <w:sz w:val="24"/>
          <w:szCs w:val="24"/>
        </w:rPr>
        <w:t>līdzās</w:t>
      </w:r>
      <w:r w:rsidRPr="00FD601E">
        <w:rPr>
          <w:rFonts w:ascii="Times New Roman" w:hAnsi="Times New Roman" w:cs="Times New Roman"/>
          <w:sz w:val="24"/>
          <w:szCs w:val="24"/>
        </w:rPr>
        <w:t xml:space="preserve"> aktīvajam politiskajam dialogam un ekonomiskajām attiecībām svarīgi būs aktivizēt sadarbību izglītības jomā.</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Latvija turpināja padziļināt stratēģiskās partnerattiecības ar ASV, pievēršot īpašu uzmanību ekonomiskās sadarbības </w:t>
      </w:r>
      <w:r>
        <w:rPr>
          <w:rFonts w:ascii="Times New Roman" w:hAnsi="Times New Roman" w:cs="Times New Roman"/>
          <w:sz w:val="24"/>
          <w:szCs w:val="24"/>
        </w:rPr>
        <w:t>veicināšanai</w:t>
      </w:r>
      <w:r w:rsidRPr="00FD601E">
        <w:rPr>
          <w:rFonts w:ascii="Times New Roman" w:hAnsi="Times New Roman" w:cs="Times New Roman"/>
          <w:sz w:val="24"/>
          <w:szCs w:val="24"/>
        </w:rPr>
        <w:t xml:space="preserve">. Tika turpināts augsta līmeņa politiskais dialogs – 2012.gada 28.jūnijā Latviju divpusējā vizītē apmeklēja ASV valsts sekretāre Hilarija Klintone, un 1.jūlijā </w:t>
      </w:r>
      <w:r w:rsidR="002C5FED">
        <w:rPr>
          <w:rFonts w:ascii="Times New Roman" w:hAnsi="Times New Roman" w:cs="Times New Roman"/>
          <w:sz w:val="24"/>
          <w:szCs w:val="24"/>
        </w:rPr>
        <w:t>–</w:t>
      </w:r>
      <w:r w:rsidRPr="00FD601E">
        <w:rPr>
          <w:rFonts w:ascii="Times New Roman" w:hAnsi="Times New Roman" w:cs="Times New Roman"/>
          <w:sz w:val="24"/>
          <w:szCs w:val="24"/>
        </w:rPr>
        <w:t xml:space="preserve"> augsta līmeņa ASV Kongresa delegācija.  H.Klintones vizītes laikā tika parakstītas vienošanās par sadarbību Fulbraita stipendiju programmas īstenošanā un attīstības palīdzības sniegšanā Moldovas tieslietu sistēmai, kas nostiprina Latvijas</w:t>
      </w:r>
      <w:r w:rsidR="002C5FED">
        <w:rPr>
          <w:rFonts w:ascii="Times New Roman" w:hAnsi="Times New Roman" w:cs="Times New Roman"/>
          <w:sz w:val="24"/>
          <w:szCs w:val="24"/>
        </w:rPr>
        <w:t>–</w:t>
      </w:r>
      <w:r w:rsidRPr="00FD601E">
        <w:rPr>
          <w:rFonts w:ascii="Times New Roman" w:hAnsi="Times New Roman" w:cs="Times New Roman"/>
          <w:sz w:val="24"/>
          <w:szCs w:val="24"/>
        </w:rPr>
        <w:t xml:space="preserve">ASV partnerību demokratizācijas procesu atbalstam ES Austrumu partnerības valstīs. Gada laikā vizītēs ASV apmeklēja </w:t>
      </w:r>
      <w:r w:rsidR="002C5FED">
        <w:rPr>
          <w:rFonts w:ascii="Times New Roman" w:hAnsi="Times New Roman" w:cs="Times New Roman"/>
          <w:sz w:val="24"/>
          <w:szCs w:val="24"/>
        </w:rPr>
        <w:t>vairāki</w:t>
      </w:r>
      <w:r w:rsidRPr="00FD601E">
        <w:rPr>
          <w:rFonts w:ascii="Times New Roman" w:hAnsi="Times New Roman" w:cs="Times New Roman"/>
          <w:sz w:val="24"/>
          <w:szCs w:val="24"/>
        </w:rPr>
        <w:t xml:space="preserve"> Latvijas nozaru ministr</w:t>
      </w:r>
      <w:r w:rsidR="002C5FED">
        <w:rPr>
          <w:rFonts w:ascii="Times New Roman" w:hAnsi="Times New Roman" w:cs="Times New Roman"/>
          <w:sz w:val="24"/>
          <w:szCs w:val="24"/>
        </w:rPr>
        <w:t>i</w:t>
      </w:r>
      <w:r w:rsidRPr="00FD601E">
        <w:rPr>
          <w:rFonts w:ascii="Times New Roman" w:hAnsi="Times New Roman" w:cs="Times New Roman"/>
          <w:sz w:val="24"/>
          <w:szCs w:val="24"/>
        </w:rPr>
        <w:t xml:space="preserve"> </w:t>
      </w:r>
      <w:r w:rsidR="002C5FED">
        <w:rPr>
          <w:rFonts w:ascii="Times New Roman" w:hAnsi="Times New Roman" w:cs="Times New Roman"/>
          <w:sz w:val="24"/>
          <w:szCs w:val="24"/>
        </w:rPr>
        <w:t>–</w:t>
      </w:r>
      <w:r w:rsidRPr="00FD601E">
        <w:rPr>
          <w:rFonts w:ascii="Times New Roman" w:hAnsi="Times New Roman" w:cs="Times New Roman"/>
          <w:sz w:val="24"/>
          <w:szCs w:val="24"/>
        </w:rPr>
        <w:t xml:space="preserve"> aizsardzības, finanšu, ekonomikas, satiksmes, kultūras un veselības</w:t>
      </w:r>
      <w:r w:rsidR="002C5FED" w:rsidRPr="002C5FED">
        <w:rPr>
          <w:rFonts w:ascii="Times New Roman" w:hAnsi="Times New Roman" w:cs="Times New Roman"/>
          <w:sz w:val="24"/>
          <w:szCs w:val="24"/>
        </w:rPr>
        <w:t xml:space="preserve"> </w:t>
      </w:r>
      <w:r w:rsidR="002C5FED" w:rsidRPr="00FD601E">
        <w:rPr>
          <w:rFonts w:ascii="Times New Roman" w:hAnsi="Times New Roman" w:cs="Times New Roman"/>
          <w:sz w:val="24"/>
          <w:szCs w:val="24"/>
        </w:rPr>
        <w:t>ministr</w:t>
      </w:r>
      <w:r w:rsidR="002C5FED">
        <w:rPr>
          <w:rFonts w:ascii="Times New Roman" w:hAnsi="Times New Roman" w:cs="Times New Roman"/>
          <w:sz w:val="24"/>
          <w:szCs w:val="24"/>
        </w:rPr>
        <w:t>i</w:t>
      </w:r>
      <w:r w:rsidRPr="00FD601E">
        <w:rPr>
          <w:rFonts w:ascii="Times New Roman" w:hAnsi="Times New Roman" w:cs="Times New Roman"/>
          <w:sz w:val="24"/>
          <w:szCs w:val="24"/>
        </w:rPr>
        <w:t xml:space="preserve">.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Tradicionāli augstu intensitāti saglabāja dialogs drošības politikā. </w:t>
      </w:r>
      <w:r>
        <w:rPr>
          <w:rFonts w:ascii="Times New Roman" w:hAnsi="Times New Roman" w:cs="Times New Roman"/>
          <w:sz w:val="24"/>
          <w:szCs w:val="24"/>
        </w:rPr>
        <w:t>2012.gada j</w:t>
      </w:r>
      <w:r w:rsidRPr="00FD601E">
        <w:rPr>
          <w:rFonts w:ascii="Times New Roman" w:hAnsi="Times New Roman" w:cs="Times New Roman"/>
          <w:sz w:val="24"/>
          <w:szCs w:val="24"/>
        </w:rPr>
        <w:t>ūlijā Latviju apmeklēja ASV Biznesa misijas vizīte, kurā piedalījās 20 uzņēmumi, uzlaboj</w:t>
      </w:r>
      <w:r w:rsidR="002C5FED">
        <w:rPr>
          <w:rFonts w:ascii="Times New Roman" w:hAnsi="Times New Roman" w:cs="Times New Roman"/>
          <w:sz w:val="24"/>
          <w:szCs w:val="24"/>
        </w:rPr>
        <w:t>ot</w:t>
      </w:r>
      <w:r w:rsidRPr="00FD601E">
        <w:rPr>
          <w:rFonts w:ascii="Times New Roman" w:hAnsi="Times New Roman" w:cs="Times New Roman"/>
          <w:sz w:val="24"/>
          <w:szCs w:val="24"/>
        </w:rPr>
        <w:t xml:space="preserve"> sadarbīb</w:t>
      </w:r>
      <w:r w:rsidR="002C5FED">
        <w:rPr>
          <w:rFonts w:ascii="Times New Roman" w:hAnsi="Times New Roman" w:cs="Times New Roman"/>
          <w:sz w:val="24"/>
          <w:szCs w:val="24"/>
        </w:rPr>
        <w:t>u</w:t>
      </w:r>
      <w:r w:rsidRPr="00FD601E">
        <w:rPr>
          <w:rFonts w:ascii="Times New Roman" w:hAnsi="Times New Roman" w:cs="Times New Roman"/>
          <w:sz w:val="24"/>
          <w:szCs w:val="24"/>
        </w:rPr>
        <w:t xml:space="preserve"> ar ASV uzņēmējdarbības jomā. Uzturot regulāru dialogu reģionālās enerģētikas drošības jautājumos, notikušas tikšanās ar augsta līmeņa ASV Valsts departamenta amatpersonām, kas atbildīgas par starptautiskajiem enerģētikas jautājumiem.</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lastRenderedPageBreak/>
        <w:t xml:space="preserve">Tika stiprināta sadarbība izglītības sfērā, lai padziļinātu kontaktus starp Latvijas un ASV augstākajām mācību iestādēm. Baltijas un Amerikas Brīvības Fonds (BAFF) ir piešķīris 36 stipendijas Latvijas pētnieku un stažieru apmācībai ASV. Turpinās studentu un mācībspēku apmaiņa Fulbraita programmas ietvaros. </w:t>
      </w:r>
    </w:p>
    <w:p w:rsidR="00AE18C6" w:rsidRPr="00FD601E" w:rsidRDefault="00AE18C6" w:rsidP="00AE18C6">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2012.gadā Latvija turpināja attīstīt sadarbību ar Krievijas Federāciju – notika nozaru ministru tikšanās, robežas demarkācijas komisijas, Starpvaldību komisijas darba grupu, kā arī vēsturnieku komisijas sēdes. Turpinājās sadarbības paplašināšana ar Krievijas reģioniem (uzņēmēju vizītes Baškortostān</w:t>
      </w:r>
      <w:r w:rsidR="00A770C5">
        <w:rPr>
          <w:rFonts w:ascii="Times New Roman" w:hAnsi="Times New Roman" w:cs="Times New Roman"/>
          <w:sz w:val="24"/>
          <w:szCs w:val="24"/>
        </w:rPr>
        <w:t>ā</w:t>
      </w:r>
      <w:r w:rsidRPr="00FD601E">
        <w:rPr>
          <w:rFonts w:ascii="Times New Roman" w:hAnsi="Times New Roman" w:cs="Times New Roman"/>
          <w:sz w:val="24"/>
          <w:szCs w:val="24"/>
        </w:rPr>
        <w:t>, Tatarstān</w:t>
      </w:r>
      <w:r w:rsidR="00A770C5">
        <w:rPr>
          <w:rFonts w:ascii="Times New Roman" w:hAnsi="Times New Roman" w:cs="Times New Roman"/>
          <w:sz w:val="24"/>
          <w:szCs w:val="24"/>
        </w:rPr>
        <w:t>ā</w:t>
      </w:r>
      <w:r w:rsidRPr="00FD601E">
        <w:rPr>
          <w:rFonts w:ascii="Times New Roman" w:hAnsi="Times New Roman" w:cs="Times New Roman"/>
          <w:sz w:val="24"/>
          <w:szCs w:val="24"/>
        </w:rPr>
        <w:t>, Jekaterinburg</w:t>
      </w:r>
      <w:r w:rsidR="00A770C5">
        <w:rPr>
          <w:rFonts w:ascii="Times New Roman" w:hAnsi="Times New Roman" w:cs="Times New Roman"/>
          <w:sz w:val="24"/>
          <w:szCs w:val="24"/>
        </w:rPr>
        <w:t>ā</w:t>
      </w:r>
      <w:r w:rsidRPr="00FD601E">
        <w:rPr>
          <w:rFonts w:ascii="Times New Roman" w:hAnsi="Times New Roman" w:cs="Times New Roman"/>
          <w:sz w:val="24"/>
          <w:szCs w:val="24"/>
        </w:rPr>
        <w:t xml:space="preserve">). 2012.gada novembrī stājās spēkā un no 2013.gada 1.janvāra tiek piemērots starpvaldību līgums par nodokļu dubultās uzlikšanas un nodokļu nemaksāšanas novēršanu. 2012.gada augustā Krievija noslēdza iestāšanās PTO procedūras un kļuva par pilntiesīgu tās dalībvalsti, kas paver jaunas perspektīvas ekonomiskajai sadarbībai ar Krieviju. Starpvalstu sadarbība veiksmīgi attīstījās Ziemeļu apgādes tīkla </w:t>
      </w:r>
      <w:r>
        <w:rPr>
          <w:rFonts w:ascii="Times New Roman" w:hAnsi="Times New Roman" w:cs="Times New Roman"/>
          <w:sz w:val="24"/>
          <w:szCs w:val="24"/>
        </w:rPr>
        <w:t>darbības nodrošināšanā</w:t>
      </w:r>
      <w:r w:rsidRPr="00FD601E">
        <w:rPr>
          <w:rFonts w:ascii="Times New Roman" w:hAnsi="Times New Roman" w:cs="Times New Roman"/>
          <w:sz w:val="24"/>
          <w:szCs w:val="24"/>
        </w:rPr>
        <w:t>. Vienlaikus Krievijas paustie viedokļi par Latvijas iekšpolitiku, piemēram, par referendumu par otru valsts valodu</w:t>
      </w:r>
      <w:r w:rsidR="00A770C5">
        <w:rPr>
          <w:rFonts w:ascii="Times New Roman" w:hAnsi="Times New Roman" w:cs="Times New Roman"/>
          <w:sz w:val="24"/>
          <w:szCs w:val="24"/>
        </w:rPr>
        <w:t>,</w:t>
      </w:r>
      <w:r>
        <w:rPr>
          <w:rFonts w:ascii="Times New Roman" w:hAnsi="Times New Roman" w:cs="Times New Roman"/>
          <w:sz w:val="24"/>
          <w:szCs w:val="24"/>
        </w:rPr>
        <w:t xml:space="preserve"> un</w:t>
      </w:r>
      <w:r w:rsidRPr="00FD601E">
        <w:rPr>
          <w:rFonts w:ascii="Times New Roman" w:hAnsi="Times New Roman" w:cs="Times New Roman"/>
          <w:sz w:val="24"/>
          <w:szCs w:val="24"/>
        </w:rPr>
        <w:t xml:space="preserve"> atsevišķu vēstures un cilvēktiesību jautājumu traktējums neveicināja labvēlīgu fonu pragmatisku starpvalstu attiecību attīstībai.</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Latvija turpināja atbalstīt Austrumu partnerības valstu centienus tuvināties ES, atbalstot ES un Ukrainas Asociācijas līguma, kas ietver padziļināto brīvās tirdzniecības sadaļu, noslēgšanu (līgums ir parafēts), kā arī sarunu pabeigšanu par šāda veida līgumiem 2013.gadā ar Moldovu un Gruziju. Latvija stingri atbalstīja virzību uz ES vīzu atvieglojumiem un liberalizāciju ar Austrumu partnerības valstīm. Vienlaikus Latvija uzsvēra, ka katras Austrumu partnerības dalībvalsts virzība uz ciešākām attiecībām ar ES ir atkarīga no to veikto reformu progresa. Sarunās par jauno Eiropas Kaimiņattiecību instrumenta </w:t>
      </w:r>
      <w:r>
        <w:rPr>
          <w:rFonts w:ascii="Times New Roman" w:hAnsi="Times New Roman" w:cs="Times New Roman"/>
          <w:sz w:val="24"/>
          <w:szCs w:val="24"/>
        </w:rPr>
        <w:t>r</w:t>
      </w:r>
      <w:r w:rsidRPr="00FD601E">
        <w:rPr>
          <w:rFonts w:ascii="Times New Roman" w:hAnsi="Times New Roman" w:cs="Times New Roman"/>
          <w:sz w:val="24"/>
          <w:szCs w:val="24"/>
        </w:rPr>
        <w:t>egulu Latvija uzsver jauno ES dalībvalstu pārejas pieredzes nodošan</w:t>
      </w:r>
      <w:r>
        <w:rPr>
          <w:rFonts w:ascii="Times New Roman" w:hAnsi="Times New Roman" w:cs="Times New Roman"/>
          <w:sz w:val="24"/>
          <w:szCs w:val="24"/>
        </w:rPr>
        <w:t>as</w:t>
      </w:r>
      <w:r w:rsidRPr="00FD601E">
        <w:rPr>
          <w:rFonts w:ascii="Times New Roman" w:hAnsi="Times New Roman" w:cs="Times New Roman"/>
          <w:sz w:val="24"/>
          <w:szCs w:val="24"/>
        </w:rPr>
        <w:t xml:space="preserve"> partnervalstīm</w:t>
      </w:r>
      <w:r>
        <w:rPr>
          <w:rFonts w:ascii="Times New Roman" w:hAnsi="Times New Roman" w:cs="Times New Roman"/>
          <w:sz w:val="24"/>
          <w:szCs w:val="24"/>
        </w:rPr>
        <w:t xml:space="preserve"> svarīgumu un</w:t>
      </w:r>
      <w:r w:rsidRPr="00FD601E">
        <w:rPr>
          <w:rFonts w:ascii="Times New Roman" w:hAnsi="Times New Roman" w:cs="Times New Roman"/>
          <w:sz w:val="24"/>
          <w:szCs w:val="24"/>
        </w:rPr>
        <w:t xml:space="preserve"> pietiekama finansējuma nodrošinājumu. </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Situācija Baltkrievijā neļauj tai </w:t>
      </w:r>
      <w:r>
        <w:rPr>
          <w:rFonts w:ascii="Times New Roman" w:hAnsi="Times New Roman" w:cs="Times New Roman"/>
          <w:sz w:val="24"/>
          <w:szCs w:val="24"/>
        </w:rPr>
        <w:t xml:space="preserve">pilnvērtīgi </w:t>
      </w:r>
      <w:r w:rsidRPr="00FD601E">
        <w:rPr>
          <w:rFonts w:ascii="Times New Roman" w:hAnsi="Times New Roman" w:cs="Times New Roman"/>
          <w:sz w:val="24"/>
          <w:szCs w:val="24"/>
        </w:rPr>
        <w:t>izmantot Austrumu partnerības piedāvātos instrumentus. Latvija kopīgi ar ES partneriem un ASV ir paudusi bažas par cilvēktiesību situācijas pasliktināšanos šajā valstī. Vienlai</w:t>
      </w:r>
      <w:r w:rsidR="00A770C5">
        <w:rPr>
          <w:rFonts w:ascii="Times New Roman" w:hAnsi="Times New Roman" w:cs="Times New Roman"/>
          <w:sz w:val="24"/>
          <w:szCs w:val="24"/>
        </w:rPr>
        <w:t>kus</w:t>
      </w:r>
      <w:r w:rsidRPr="00FD601E">
        <w:rPr>
          <w:rFonts w:ascii="Times New Roman" w:hAnsi="Times New Roman" w:cs="Times New Roman"/>
          <w:sz w:val="24"/>
          <w:szCs w:val="24"/>
        </w:rPr>
        <w:t xml:space="preserve"> Latvija aicināja saglabāt dialoga iespējas ar Baltkrieviju un panāca, ka, nosakot pastiprinātas ES sankcijas Baltkrievijai, tika respektētas Latvijas ekonomiskās intereses.</w:t>
      </w:r>
      <w:r>
        <w:rPr>
          <w:rFonts w:ascii="Times New Roman" w:hAnsi="Times New Roman" w:cs="Times New Roman"/>
          <w:sz w:val="24"/>
          <w:szCs w:val="24"/>
        </w:rPr>
        <w:t xml:space="preserve"> Latvija turpinās veicināt ES dialogu ar Baltkrieviju.</w:t>
      </w:r>
    </w:p>
    <w:p w:rsidR="00F23CC8" w:rsidRPr="00FD601E"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Latvija turpināja padziļināt sadarbību ar Centrālāzijas valstīm gan divpusēji, gan </w:t>
      </w:r>
      <w:r>
        <w:rPr>
          <w:rFonts w:ascii="Times New Roman" w:hAnsi="Times New Roman" w:cs="Times New Roman"/>
          <w:sz w:val="24"/>
          <w:szCs w:val="24"/>
        </w:rPr>
        <w:t>akcentējot interesi par</w:t>
      </w:r>
      <w:r w:rsidRPr="00FD601E">
        <w:rPr>
          <w:rFonts w:ascii="Times New Roman" w:hAnsi="Times New Roman" w:cs="Times New Roman"/>
          <w:sz w:val="24"/>
          <w:szCs w:val="24"/>
        </w:rPr>
        <w:t xml:space="preserve"> reģion</w:t>
      </w:r>
      <w:r>
        <w:rPr>
          <w:rFonts w:ascii="Times New Roman" w:hAnsi="Times New Roman" w:cs="Times New Roman"/>
          <w:sz w:val="24"/>
          <w:szCs w:val="24"/>
        </w:rPr>
        <w:t>u</w:t>
      </w:r>
      <w:r w:rsidRPr="00FD601E">
        <w:rPr>
          <w:rFonts w:ascii="Times New Roman" w:hAnsi="Times New Roman" w:cs="Times New Roman"/>
          <w:sz w:val="24"/>
          <w:szCs w:val="24"/>
        </w:rPr>
        <w:t xml:space="preserve"> ES</w:t>
      </w:r>
      <w:r>
        <w:rPr>
          <w:rFonts w:ascii="Times New Roman" w:hAnsi="Times New Roman" w:cs="Times New Roman"/>
          <w:sz w:val="24"/>
          <w:szCs w:val="24"/>
        </w:rPr>
        <w:t xml:space="preserve"> un</w:t>
      </w:r>
      <w:r w:rsidRPr="00FD601E">
        <w:rPr>
          <w:rFonts w:ascii="Times New Roman" w:hAnsi="Times New Roman" w:cs="Times New Roman"/>
          <w:sz w:val="24"/>
          <w:szCs w:val="24"/>
        </w:rPr>
        <w:t xml:space="preserve"> NATO ietvaros. Divpusējā līmenī gads bija aktīvs un tika realizētas vairākas </w:t>
      </w:r>
      <w:r>
        <w:rPr>
          <w:rFonts w:ascii="Times New Roman" w:hAnsi="Times New Roman" w:cs="Times New Roman"/>
          <w:sz w:val="24"/>
          <w:szCs w:val="24"/>
        </w:rPr>
        <w:t>bilaterālas</w:t>
      </w:r>
      <w:r w:rsidRPr="00FD601E">
        <w:rPr>
          <w:rFonts w:ascii="Times New Roman" w:hAnsi="Times New Roman" w:cs="Times New Roman"/>
          <w:sz w:val="24"/>
          <w:szCs w:val="24"/>
        </w:rPr>
        <w:t xml:space="preserve"> vizītes </w:t>
      </w:r>
      <w:r w:rsidR="00A770C5">
        <w:rPr>
          <w:rFonts w:ascii="Times New Roman" w:hAnsi="Times New Roman" w:cs="Times New Roman"/>
          <w:sz w:val="24"/>
          <w:szCs w:val="24"/>
        </w:rPr>
        <w:t>–</w:t>
      </w:r>
      <w:r w:rsidRPr="00FD601E">
        <w:rPr>
          <w:rFonts w:ascii="Times New Roman" w:hAnsi="Times New Roman" w:cs="Times New Roman"/>
          <w:sz w:val="24"/>
          <w:szCs w:val="24"/>
        </w:rPr>
        <w:t xml:space="preserve"> politiskā, ekonomiskā</w:t>
      </w:r>
      <w:r>
        <w:rPr>
          <w:rFonts w:ascii="Times New Roman" w:hAnsi="Times New Roman" w:cs="Times New Roman"/>
          <w:sz w:val="24"/>
          <w:szCs w:val="24"/>
        </w:rPr>
        <w:t xml:space="preserve"> un</w:t>
      </w:r>
      <w:r w:rsidRPr="00FD601E">
        <w:rPr>
          <w:rFonts w:ascii="Times New Roman" w:hAnsi="Times New Roman" w:cs="Times New Roman"/>
          <w:sz w:val="24"/>
          <w:szCs w:val="24"/>
        </w:rPr>
        <w:t xml:space="preserve"> aizsardzības jomā. Labie divpusējie kontakti ar Centrālāzijas valstīm deva iespējas veiksmīgi pildīt NATO kontak</w:t>
      </w:r>
      <w:r>
        <w:rPr>
          <w:rFonts w:ascii="Times New Roman" w:hAnsi="Times New Roman" w:cs="Times New Roman"/>
          <w:sz w:val="24"/>
          <w:szCs w:val="24"/>
        </w:rPr>
        <w:t>t</w:t>
      </w:r>
      <w:r w:rsidRPr="00FD601E">
        <w:rPr>
          <w:rFonts w:ascii="Times New Roman" w:hAnsi="Times New Roman" w:cs="Times New Roman"/>
          <w:sz w:val="24"/>
          <w:szCs w:val="24"/>
        </w:rPr>
        <w:t xml:space="preserve">vēstniecības funkcijas Taškentā, kam </w:t>
      </w:r>
      <w:r>
        <w:rPr>
          <w:rFonts w:ascii="Times New Roman" w:hAnsi="Times New Roman" w:cs="Times New Roman"/>
          <w:sz w:val="24"/>
          <w:szCs w:val="24"/>
        </w:rPr>
        <w:t xml:space="preserve">bija </w:t>
      </w:r>
      <w:r w:rsidRPr="00FD601E">
        <w:rPr>
          <w:rFonts w:ascii="Times New Roman" w:hAnsi="Times New Roman" w:cs="Times New Roman"/>
          <w:sz w:val="24"/>
          <w:szCs w:val="24"/>
        </w:rPr>
        <w:t xml:space="preserve">svarīga nozīme plašākā </w:t>
      </w:r>
      <w:r w:rsidR="00A770C5">
        <w:rPr>
          <w:rFonts w:ascii="Times New Roman" w:hAnsi="Times New Roman" w:cs="Times New Roman"/>
          <w:sz w:val="24"/>
          <w:szCs w:val="24"/>
        </w:rPr>
        <w:t>reģionālajā kontekstā, it īpaši</w:t>
      </w:r>
      <w:r w:rsidRPr="00FD601E">
        <w:rPr>
          <w:rFonts w:ascii="Times New Roman" w:hAnsi="Times New Roman" w:cs="Times New Roman"/>
          <w:sz w:val="24"/>
          <w:szCs w:val="24"/>
        </w:rPr>
        <w:t xml:space="preserve"> Afganistānas drošība</w:t>
      </w:r>
      <w:r w:rsidR="00A770C5">
        <w:rPr>
          <w:rFonts w:ascii="Times New Roman" w:hAnsi="Times New Roman" w:cs="Times New Roman"/>
          <w:sz w:val="24"/>
          <w:szCs w:val="24"/>
        </w:rPr>
        <w:t>i</w:t>
      </w:r>
      <w:r w:rsidRPr="00FD601E">
        <w:rPr>
          <w:rFonts w:ascii="Times New Roman" w:hAnsi="Times New Roman" w:cs="Times New Roman"/>
          <w:sz w:val="24"/>
          <w:szCs w:val="24"/>
        </w:rPr>
        <w:t xml:space="preserve">. Izveidotās iestrādes ir pamats arī Latvijas iesaistei ES Centrālāzijas stratēģijas </w:t>
      </w:r>
      <w:r>
        <w:rPr>
          <w:rFonts w:ascii="Times New Roman" w:hAnsi="Times New Roman" w:cs="Times New Roman"/>
          <w:sz w:val="24"/>
          <w:szCs w:val="24"/>
        </w:rPr>
        <w:t xml:space="preserve">projektu </w:t>
      </w:r>
      <w:r w:rsidRPr="00FD601E">
        <w:rPr>
          <w:rFonts w:ascii="Times New Roman" w:hAnsi="Times New Roman" w:cs="Times New Roman"/>
          <w:sz w:val="24"/>
          <w:szCs w:val="24"/>
        </w:rPr>
        <w:t>īstenošan</w:t>
      </w:r>
      <w:r>
        <w:rPr>
          <w:rFonts w:ascii="Times New Roman" w:hAnsi="Times New Roman" w:cs="Times New Roman"/>
          <w:sz w:val="24"/>
          <w:szCs w:val="24"/>
        </w:rPr>
        <w:t>ā</w:t>
      </w:r>
      <w:r w:rsidRPr="00FD601E">
        <w:rPr>
          <w:rFonts w:ascii="Times New Roman" w:hAnsi="Times New Roman" w:cs="Times New Roman"/>
          <w:sz w:val="24"/>
          <w:szCs w:val="24"/>
        </w:rPr>
        <w:t>. 2012.gadā Latvijas pārstāvji iepazīstināja ar parlamentāro pieredzi, kā arī pieredzi izglītības, muitas un robežsardzes jomās.</w:t>
      </w:r>
    </w:p>
    <w:p w:rsidR="00F23CC8" w:rsidRDefault="00F23CC8" w:rsidP="00F23CC8">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Atjaunotas fin</w:t>
      </w:r>
      <w:r w:rsidR="00A770C5">
        <w:rPr>
          <w:rFonts w:ascii="Times New Roman" w:hAnsi="Times New Roman" w:cs="Times New Roman"/>
          <w:sz w:val="24"/>
          <w:szCs w:val="24"/>
        </w:rPr>
        <w:t>anšu krīzes apstākļos praktiski</w:t>
      </w:r>
      <w:r w:rsidRPr="00FD601E">
        <w:rPr>
          <w:rFonts w:ascii="Times New Roman" w:hAnsi="Times New Roman" w:cs="Times New Roman"/>
          <w:sz w:val="24"/>
          <w:szCs w:val="24"/>
        </w:rPr>
        <w:t xml:space="preserve"> pārtrauktās aktivitātes attīstības sadarbības politikas jomā.</w:t>
      </w:r>
      <w:r>
        <w:rPr>
          <w:rFonts w:ascii="Times New Roman" w:hAnsi="Times New Roman" w:cs="Times New Roman"/>
          <w:sz w:val="24"/>
          <w:szCs w:val="24"/>
        </w:rPr>
        <w:t xml:space="preserve"> </w:t>
      </w:r>
      <w:r w:rsidRPr="00FD601E">
        <w:rPr>
          <w:rFonts w:ascii="Times New Roman" w:hAnsi="Times New Roman" w:cs="Times New Roman"/>
          <w:sz w:val="24"/>
          <w:szCs w:val="24"/>
        </w:rPr>
        <w:t>2012.gadā finansējums divpusējās attīstības sadarbības īstenošanai sasniedza 50 269 latu</w:t>
      </w:r>
      <w:r w:rsidR="00A770C5">
        <w:rPr>
          <w:rFonts w:ascii="Times New Roman" w:hAnsi="Times New Roman" w:cs="Times New Roman"/>
          <w:sz w:val="24"/>
          <w:szCs w:val="24"/>
        </w:rPr>
        <w:t>s</w:t>
      </w:r>
      <w:r w:rsidRPr="00FD601E">
        <w:rPr>
          <w:rFonts w:ascii="Times New Roman" w:hAnsi="Times New Roman" w:cs="Times New Roman"/>
          <w:sz w:val="24"/>
          <w:szCs w:val="24"/>
        </w:rPr>
        <w:t xml:space="preserve">, </w:t>
      </w:r>
      <w:r w:rsidR="00A770C5">
        <w:rPr>
          <w:rFonts w:ascii="Times New Roman" w:hAnsi="Times New Roman" w:cs="Times New Roman"/>
          <w:sz w:val="24"/>
          <w:szCs w:val="24"/>
        </w:rPr>
        <w:t>un tas</w:t>
      </w:r>
      <w:r w:rsidRPr="00FD601E">
        <w:rPr>
          <w:rFonts w:ascii="Times New Roman" w:hAnsi="Times New Roman" w:cs="Times New Roman"/>
          <w:sz w:val="24"/>
          <w:szCs w:val="24"/>
        </w:rPr>
        <w:t xml:space="preserve"> izlietots īstenojot projektus Moldovā un Afganistānā, kā arī piešķirot līdzfinansējumu NVO īstenotajiem projektiem. </w:t>
      </w:r>
      <w:r>
        <w:rPr>
          <w:rFonts w:ascii="Times New Roman" w:hAnsi="Times New Roman" w:cs="Times New Roman"/>
          <w:sz w:val="24"/>
          <w:szCs w:val="24"/>
        </w:rPr>
        <w:t>Attīstības sadarbības politikas</w:t>
      </w:r>
      <w:r w:rsidR="00A770C5">
        <w:rPr>
          <w:rFonts w:ascii="Times New Roman" w:hAnsi="Times New Roman" w:cs="Times New Roman"/>
          <w:sz w:val="24"/>
          <w:szCs w:val="24"/>
        </w:rPr>
        <w:t xml:space="preserve"> divpusējais budžets 2013.gadā </w:t>
      </w:r>
      <w:r>
        <w:rPr>
          <w:rFonts w:ascii="Times New Roman" w:hAnsi="Times New Roman" w:cs="Times New Roman"/>
          <w:sz w:val="24"/>
          <w:szCs w:val="24"/>
        </w:rPr>
        <w:t>ti</w:t>
      </w:r>
      <w:r w:rsidRPr="00FD601E">
        <w:rPr>
          <w:rFonts w:ascii="Times New Roman" w:hAnsi="Times New Roman" w:cs="Times New Roman"/>
          <w:sz w:val="24"/>
          <w:szCs w:val="24"/>
        </w:rPr>
        <w:t xml:space="preserve">ks saglabāts iepriekšējā gada </w:t>
      </w:r>
      <w:r w:rsidRPr="00FD601E">
        <w:rPr>
          <w:rFonts w:ascii="Times New Roman" w:hAnsi="Times New Roman" w:cs="Times New Roman"/>
          <w:sz w:val="24"/>
          <w:szCs w:val="24"/>
        </w:rPr>
        <w:lastRenderedPageBreak/>
        <w:t xml:space="preserve">apjomā, </w:t>
      </w:r>
      <w:r>
        <w:rPr>
          <w:rFonts w:ascii="Times New Roman" w:hAnsi="Times New Roman" w:cs="Times New Roman"/>
          <w:sz w:val="24"/>
          <w:szCs w:val="24"/>
        </w:rPr>
        <w:t xml:space="preserve">un tas </w:t>
      </w:r>
      <w:r w:rsidR="00A770C5">
        <w:rPr>
          <w:rFonts w:ascii="Times New Roman" w:hAnsi="Times New Roman" w:cs="Times New Roman"/>
          <w:sz w:val="24"/>
          <w:szCs w:val="24"/>
        </w:rPr>
        <w:t>ļaus turpināt 2012.</w:t>
      </w:r>
      <w:r w:rsidRPr="00FD601E">
        <w:rPr>
          <w:rFonts w:ascii="Times New Roman" w:hAnsi="Times New Roman" w:cs="Times New Roman"/>
          <w:sz w:val="24"/>
          <w:szCs w:val="24"/>
        </w:rPr>
        <w:t>gadā veiksmīgi uzsāktos projektus un nodrošināt līdzfinansējumu NVO.</w:t>
      </w:r>
    </w:p>
    <w:p w:rsidR="00FD601E" w:rsidRPr="00FD601E" w:rsidRDefault="00FD601E" w:rsidP="00583FA8">
      <w:pPr>
        <w:pStyle w:val="Heading3"/>
      </w:pPr>
      <w:bookmarkStart w:id="187" w:name="_Toc348948447"/>
      <w:r w:rsidRPr="00FD601E">
        <w:t xml:space="preserve">1.4. Dalība </w:t>
      </w:r>
      <w:r w:rsidRPr="00583FA8">
        <w:t>starptautiskajās</w:t>
      </w:r>
      <w:r w:rsidRPr="00FD601E">
        <w:t xml:space="preserve"> organizācij</w:t>
      </w:r>
      <w:r w:rsidR="00A770C5">
        <w:t>ā</w:t>
      </w:r>
      <w:r w:rsidRPr="00FD601E">
        <w:t>s</w:t>
      </w:r>
      <w:bookmarkEnd w:id="187"/>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2012.gadā Latvija aktīvi strādāja, lai panākt</w:t>
      </w:r>
      <w:r w:rsidR="00A60833">
        <w:rPr>
          <w:rFonts w:ascii="Times New Roman" w:hAnsi="Times New Roman" w:cs="Times New Roman"/>
          <w:sz w:val="24"/>
          <w:szCs w:val="24"/>
        </w:rPr>
        <w:t>u</w:t>
      </w:r>
      <w:r w:rsidRPr="00FD601E">
        <w:rPr>
          <w:rFonts w:ascii="Times New Roman" w:hAnsi="Times New Roman" w:cs="Times New Roman"/>
          <w:sz w:val="24"/>
          <w:szCs w:val="24"/>
        </w:rPr>
        <w:t xml:space="preserve"> plašāku pārstāvniecību starptautiskajās organizācijās</w:t>
      </w:r>
      <w:r w:rsidR="00A770C5">
        <w:rPr>
          <w:rFonts w:ascii="Times New Roman" w:hAnsi="Times New Roman" w:cs="Times New Roman"/>
          <w:sz w:val="24"/>
          <w:szCs w:val="24"/>
        </w:rPr>
        <w:t>,</w:t>
      </w:r>
      <w:r w:rsidRPr="00FD601E">
        <w:rPr>
          <w:rFonts w:ascii="Times New Roman" w:hAnsi="Times New Roman" w:cs="Times New Roman"/>
          <w:sz w:val="24"/>
          <w:szCs w:val="24"/>
        </w:rPr>
        <w:t xml:space="preserve"> un turpināja darbu starptautisko organizāciju, t.sk. ANO, EDSO, EP ietvaros, īpašu uzsvaru liekot uz Latvijas interešu aizstāvēšanu cilvēktiesību jomā. </w:t>
      </w:r>
    </w:p>
    <w:p w:rsidR="00FD601E" w:rsidRPr="00FD601E" w:rsidRDefault="00FD601E" w:rsidP="00FD601E">
      <w:pPr>
        <w:spacing w:after="0" w:line="240" w:lineRule="auto"/>
        <w:ind w:firstLine="709"/>
        <w:jc w:val="both"/>
        <w:rPr>
          <w:rFonts w:ascii="Times New Roman" w:hAnsi="Times New Roman" w:cs="Times New Roman"/>
          <w:sz w:val="24"/>
          <w:szCs w:val="24"/>
        </w:rPr>
      </w:pPr>
      <w:r w:rsidRPr="00FD601E">
        <w:rPr>
          <w:rFonts w:ascii="Times New Roman" w:hAnsi="Times New Roman" w:cs="Times New Roman"/>
          <w:sz w:val="24"/>
          <w:szCs w:val="24"/>
        </w:rPr>
        <w:t xml:space="preserve">Latvijas kandidātu ievēlēšana: </w:t>
      </w:r>
    </w:p>
    <w:p w:rsidR="00FD601E" w:rsidRPr="00FD601E" w:rsidRDefault="00FD601E" w:rsidP="002F79C3">
      <w:pPr>
        <w:spacing w:after="0" w:line="240" w:lineRule="auto"/>
        <w:ind w:left="1134" w:hanging="284"/>
        <w:jc w:val="both"/>
        <w:rPr>
          <w:rFonts w:ascii="Times New Roman" w:hAnsi="Times New Roman" w:cs="Times New Roman"/>
          <w:sz w:val="24"/>
          <w:szCs w:val="24"/>
        </w:rPr>
      </w:pPr>
      <w:r w:rsidRPr="00FD601E">
        <w:rPr>
          <w:rFonts w:ascii="Times New Roman" w:hAnsi="Times New Roman" w:cs="Times New Roman"/>
          <w:sz w:val="24"/>
          <w:szCs w:val="24"/>
        </w:rPr>
        <w:t>-</w:t>
      </w:r>
      <w:r w:rsidRPr="00FD601E">
        <w:rPr>
          <w:rFonts w:ascii="Times New Roman" w:hAnsi="Times New Roman" w:cs="Times New Roman"/>
          <w:sz w:val="24"/>
          <w:szCs w:val="24"/>
        </w:rPr>
        <w:tab/>
        <w:t xml:space="preserve">24.janvārī Eiropas Padomes Parlamentārā asambleja Eiropas Padomes </w:t>
      </w:r>
      <w:r w:rsidR="00A770C5">
        <w:rPr>
          <w:rFonts w:ascii="Times New Roman" w:hAnsi="Times New Roman" w:cs="Times New Roman"/>
          <w:sz w:val="24"/>
          <w:szCs w:val="24"/>
        </w:rPr>
        <w:t>c</w:t>
      </w:r>
      <w:r w:rsidRPr="00FD601E">
        <w:rPr>
          <w:rFonts w:ascii="Times New Roman" w:hAnsi="Times New Roman" w:cs="Times New Roman"/>
          <w:sz w:val="24"/>
          <w:szCs w:val="24"/>
        </w:rPr>
        <w:t>ilvēktiesību komisāra amatā ievēlēja Nilu Muižnieku;</w:t>
      </w:r>
    </w:p>
    <w:p w:rsidR="00FD601E" w:rsidRPr="00FD601E" w:rsidRDefault="00FD601E" w:rsidP="002F79C3">
      <w:pPr>
        <w:spacing w:after="0" w:line="240" w:lineRule="auto"/>
        <w:ind w:left="1134" w:hanging="284"/>
        <w:jc w:val="both"/>
        <w:rPr>
          <w:rFonts w:ascii="Times New Roman" w:hAnsi="Times New Roman" w:cs="Times New Roman"/>
          <w:sz w:val="24"/>
          <w:szCs w:val="24"/>
        </w:rPr>
      </w:pPr>
      <w:r w:rsidRPr="00FD601E">
        <w:rPr>
          <w:rFonts w:ascii="Times New Roman" w:hAnsi="Times New Roman" w:cs="Times New Roman"/>
          <w:sz w:val="24"/>
          <w:szCs w:val="24"/>
        </w:rPr>
        <w:t>-</w:t>
      </w:r>
      <w:r w:rsidRPr="00FD601E">
        <w:rPr>
          <w:rFonts w:ascii="Times New Roman" w:hAnsi="Times New Roman" w:cs="Times New Roman"/>
          <w:sz w:val="24"/>
          <w:szCs w:val="24"/>
        </w:rPr>
        <w:tab/>
        <w:t>26.aprīlī ANO Ekonomisko un sociālo lietu padome (</w:t>
      </w:r>
      <w:r w:rsidRPr="00A770C5">
        <w:rPr>
          <w:rFonts w:ascii="Times New Roman" w:hAnsi="Times New Roman" w:cs="Times New Roman"/>
          <w:i/>
          <w:sz w:val="24"/>
          <w:szCs w:val="24"/>
        </w:rPr>
        <w:t>ECOSOC</w:t>
      </w:r>
      <w:r w:rsidRPr="00FD601E">
        <w:rPr>
          <w:rFonts w:ascii="Times New Roman" w:hAnsi="Times New Roman" w:cs="Times New Roman"/>
          <w:sz w:val="24"/>
          <w:szCs w:val="24"/>
        </w:rPr>
        <w:t xml:space="preserve">) ievēlēja Latviju ANO Dzimumu līdztiesības un sieviešu iespēju veicināšanas </w:t>
      </w:r>
      <w:r w:rsidR="00A770C5">
        <w:rPr>
          <w:rFonts w:ascii="Times New Roman" w:hAnsi="Times New Roman" w:cs="Times New Roman"/>
          <w:sz w:val="24"/>
          <w:szCs w:val="24"/>
        </w:rPr>
        <w:t>i</w:t>
      </w:r>
      <w:r w:rsidRPr="00FD601E">
        <w:rPr>
          <w:rFonts w:ascii="Times New Roman" w:hAnsi="Times New Roman" w:cs="Times New Roman"/>
          <w:sz w:val="24"/>
          <w:szCs w:val="24"/>
        </w:rPr>
        <w:t>zpildpadomē uz termiņu līdz 2015.gadam;</w:t>
      </w:r>
    </w:p>
    <w:p w:rsidR="00FD601E" w:rsidRPr="00FD601E" w:rsidRDefault="00FD601E" w:rsidP="002F79C3">
      <w:pPr>
        <w:spacing w:after="0" w:line="240" w:lineRule="auto"/>
        <w:ind w:left="1134" w:hanging="284"/>
        <w:jc w:val="both"/>
        <w:rPr>
          <w:rFonts w:ascii="Times New Roman" w:hAnsi="Times New Roman" w:cs="Times New Roman"/>
          <w:sz w:val="24"/>
          <w:szCs w:val="24"/>
        </w:rPr>
      </w:pPr>
      <w:r w:rsidRPr="00FD601E">
        <w:rPr>
          <w:rFonts w:ascii="Times New Roman" w:hAnsi="Times New Roman" w:cs="Times New Roman"/>
          <w:sz w:val="24"/>
          <w:szCs w:val="24"/>
        </w:rPr>
        <w:t>-</w:t>
      </w:r>
      <w:r w:rsidRPr="00FD601E">
        <w:rPr>
          <w:rFonts w:ascii="Times New Roman" w:hAnsi="Times New Roman" w:cs="Times New Roman"/>
          <w:sz w:val="24"/>
          <w:szCs w:val="24"/>
        </w:rPr>
        <w:tab/>
        <w:t xml:space="preserve">31.jūlijā ANO Ģenerālsekretārs paziņoja par augsta līmeņa padomdevēju grupas izveidi, kas būs atbildīga par nākamo Tūkstošgades attīstības mērķu noteikšanu pēc 2015.gada. Padomdevēju grupā, kas sastāv no 26 valstu pārstāvjiem, dalībai izvēlēts arī EK </w:t>
      </w:r>
      <w:r w:rsidR="00A770C5">
        <w:rPr>
          <w:rFonts w:ascii="Times New Roman" w:hAnsi="Times New Roman" w:cs="Times New Roman"/>
          <w:sz w:val="24"/>
          <w:szCs w:val="24"/>
        </w:rPr>
        <w:t>a</w:t>
      </w:r>
      <w:r w:rsidRPr="00FD601E">
        <w:rPr>
          <w:rFonts w:ascii="Times New Roman" w:hAnsi="Times New Roman" w:cs="Times New Roman"/>
          <w:sz w:val="24"/>
          <w:szCs w:val="24"/>
        </w:rPr>
        <w:t>ttīstības sadarbības komisārs Andris Piebalgs;</w:t>
      </w:r>
    </w:p>
    <w:p w:rsidR="00FD601E" w:rsidRPr="00FD601E" w:rsidRDefault="00A60833" w:rsidP="002F79C3">
      <w:pPr>
        <w:spacing w:after="0" w:line="240" w:lineRule="auto"/>
        <w:ind w:left="1134"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FD601E" w:rsidRPr="00FD601E">
        <w:rPr>
          <w:rFonts w:ascii="Times New Roman" w:hAnsi="Times New Roman" w:cs="Times New Roman"/>
          <w:sz w:val="24"/>
          <w:szCs w:val="24"/>
        </w:rPr>
        <w:t>14.novembrī Starptautiskās Krimināltiesas dalībvalstu Asamblejas 11.sesijā Hāgā Starptautiskās Krimināltiesas Cietušo trasta fonda valdē atkā</w:t>
      </w:r>
      <w:r w:rsidR="00A770C5">
        <w:rPr>
          <w:rFonts w:ascii="Times New Roman" w:hAnsi="Times New Roman" w:cs="Times New Roman"/>
          <w:sz w:val="24"/>
          <w:szCs w:val="24"/>
        </w:rPr>
        <w:t>rtoti tika ievēlēta Vaira Vīķe-</w:t>
      </w:r>
      <w:r w:rsidR="00FD601E" w:rsidRPr="00FD601E">
        <w:rPr>
          <w:rFonts w:ascii="Times New Roman" w:hAnsi="Times New Roman" w:cs="Times New Roman"/>
          <w:sz w:val="24"/>
          <w:szCs w:val="24"/>
        </w:rPr>
        <w:t>Freiberga.</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2012.gada jūnijā Latvija ir oficiāli pieteikusi savu interesi iestāties Ekonomiskās sadarbības un attīstības organizācijā (OECD). 2012.gadā  tika īstenots aktīvs lobija darbs, lai gūtu atbalstu Latvijas kandidatūrai OECD nākamajā paplašināšanās kārtā. Šobrīd Latvija ir starp redzamākajām OECD kandidātvalstīm. </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2013.gadā ĀM turpinās aktīvu politisko lobiju, lai panāktu atbalstu  Latvijas kandidatūrai nākamajā OECD paplašināšanās kārtā, kā arī atbalstīs nozaru ministriju dalību organizācijas darbā kompetentu ekspertu līmenī, nodrošinot kvalitatīvu līdzdalību OECD. </w:t>
      </w:r>
      <w:r>
        <w:rPr>
          <w:rFonts w:ascii="Times New Roman" w:hAnsi="Times New Roman" w:cs="Times New Roman"/>
          <w:sz w:val="24"/>
          <w:szCs w:val="24"/>
        </w:rPr>
        <w:t>Ja</w:t>
      </w:r>
      <w:r w:rsidRPr="00FD601E">
        <w:rPr>
          <w:rFonts w:ascii="Times New Roman" w:hAnsi="Times New Roman" w:cs="Times New Roman"/>
          <w:sz w:val="24"/>
          <w:szCs w:val="24"/>
        </w:rPr>
        <w:t xml:space="preserve"> OECD Ministru Padome 2013.gada maijā pieņems lēmumu par organizācijas paplašināšanos, uzaicinot arī Latviju uzsākt iestāšanās procesu</w:t>
      </w:r>
      <w:r>
        <w:rPr>
          <w:rFonts w:ascii="Times New Roman" w:hAnsi="Times New Roman" w:cs="Times New Roman"/>
          <w:sz w:val="24"/>
          <w:szCs w:val="24"/>
        </w:rPr>
        <w:t>, tiks organizētas iestāšanās sarunas</w:t>
      </w:r>
      <w:r w:rsidRPr="00FD601E">
        <w:rPr>
          <w:rFonts w:ascii="Times New Roman" w:hAnsi="Times New Roman" w:cs="Times New Roman"/>
          <w:sz w:val="24"/>
          <w:szCs w:val="24"/>
        </w:rPr>
        <w:t>.</w:t>
      </w:r>
    </w:p>
    <w:p w:rsidR="00A60833" w:rsidRPr="00FD601E" w:rsidRDefault="00A60833" w:rsidP="00A6083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D601E">
        <w:rPr>
          <w:rFonts w:ascii="Times New Roman" w:eastAsia="Times New Roman" w:hAnsi="Times New Roman" w:cs="Times New Roman"/>
          <w:color w:val="000000"/>
          <w:sz w:val="24"/>
          <w:szCs w:val="24"/>
        </w:rPr>
        <w:t>Papildus tam</w:t>
      </w:r>
      <w:r>
        <w:rPr>
          <w:rFonts w:ascii="Times New Roman" w:eastAsia="Times New Roman" w:hAnsi="Times New Roman" w:cs="Times New Roman"/>
          <w:color w:val="000000"/>
          <w:sz w:val="24"/>
          <w:szCs w:val="24"/>
        </w:rPr>
        <w:t>,</w:t>
      </w:r>
      <w:r w:rsidRPr="00FD601E">
        <w:rPr>
          <w:rFonts w:ascii="Times New Roman" w:eastAsia="Times New Roman" w:hAnsi="Times New Roman" w:cs="Times New Roman"/>
          <w:color w:val="000000"/>
          <w:sz w:val="24"/>
          <w:szCs w:val="24"/>
        </w:rPr>
        <w:t xml:space="preserve"> īstenojot Latvijas un OECD sadarbības politikas pamatnostādnes, tika nodrošināta Latvijas dalība OECD Pretkorupcijas darba grupas sanāksmēs un iesaist</w:t>
      </w:r>
      <w:r>
        <w:rPr>
          <w:rFonts w:ascii="Times New Roman" w:eastAsia="Times New Roman" w:hAnsi="Times New Roman" w:cs="Times New Roman"/>
          <w:color w:val="000000"/>
          <w:sz w:val="24"/>
          <w:szCs w:val="24"/>
        </w:rPr>
        <w:t xml:space="preserve">e </w:t>
      </w:r>
      <w:r w:rsidRPr="00FD601E">
        <w:rPr>
          <w:rFonts w:ascii="Times New Roman" w:eastAsia="Times New Roman" w:hAnsi="Times New Roman" w:cs="Times New Roman"/>
          <w:color w:val="000000"/>
          <w:sz w:val="24"/>
          <w:szCs w:val="24"/>
        </w:rPr>
        <w:t xml:space="preserve">tās organizētajās aktivitātēs, tādējādi gan sniedzot saturisku ieguldījumu OECD darbā, gan nodrošinot Latvijas atpazīstamību OECD. </w:t>
      </w:r>
      <w:r w:rsidRPr="00FD601E">
        <w:rPr>
          <w:rFonts w:ascii="Times New Roman" w:eastAsia="Times New Roman" w:hAnsi="Times New Roman" w:cs="Times New Roman"/>
          <w:color w:val="000000"/>
          <w:sz w:val="24"/>
          <w:szCs w:val="24"/>
        </w:rPr>
        <w:tab/>
      </w:r>
    </w:p>
    <w:p w:rsidR="00A60833" w:rsidRDefault="00A60833" w:rsidP="00A60833">
      <w:pPr>
        <w:spacing w:after="0" w:line="240" w:lineRule="auto"/>
        <w:ind w:firstLine="709"/>
        <w:jc w:val="both"/>
        <w:rPr>
          <w:rFonts w:ascii="Times New Roman" w:eastAsia="Times New Roman" w:hAnsi="Times New Roman" w:cs="Times New Roman"/>
          <w:color w:val="000000"/>
          <w:sz w:val="24"/>
          <w:szCs w:val="24"/>
        </w:rPr>
      </w:pPr>
      <w:r w:rsidRPr="00FD601E">
        <w:rPr>
          <w:rFonts w:ascii="Times New Roman" w:eastAsia="Times New Roman" w:hAnsi="Times New Roman" w:cs="Times New Roman"/>
          <w:color w:val="000000"/>
          <w:sz w:val="24"/>
          <w:szCs w:val="24"/>
        </w:rPr>
        <w:t>Ņemot vērā, ka, balstoties uz veikto novērtējumu, OECD Pretkorupcijas darba grupa ir aicinājusi Latviju pilnveidot tiesisko regulējumu, lai tas atbilstu OECD Pretkorupcijas konvencijas prasībām, 2013.gadā tiks turpināts darbs normatīvo aktu grozījum</w:t>
      </w:r>
      <w:r w:rsidR="00A770C5">
        <w:rPr>
          <w:rFonts w:ascii="Times New Roman" w:eastAsia="Times New Roman" w:hAnsi="Times New Roman" w:cs="Times New Roman"/>
          <w:color w:val="000000"/>
          <w:sz w:val="24"/>
          <w:szCs w:val="24"/>
        </w:rPr>
        <w:t>u izstrādē</w:t>
      </w:r>
      <w:r w:rsidRPr="00FD601E">
        <w:rPr>
          <w:rFonts w:ascii="Times New Roman" w:eastAsia="Times New Roman" w:hAnsi="Times New Roman" w:cs="Times New Roman"/>
          <w:color w:val="000000"/>
          <w:sz w:val="24"/>
          <w:szCs w:val="24"/>
        </w:rPr>
        <w:t xml:space="preserve">, kas nepieciešami, lai panāktu Latvijas tiesību aktu atbilstību OECD Pretkorupcijas konvencijai. </w:t>
      </w:r>
    </w:p>
    <w:p w:rsidR="009E07C5" w:rsidRPr="006A1FCD" w:rsidRDefault="009E07C5" w:rsidP="009E07C5">
      <w:pPr>
        <w:spacing w:after="0" w:line="240" w:lineRule="auto"/>
        <w:ind w:firstLine="709"/>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Saistībā ar Latvijas interesi iestāties OECD </w:t>
      </w:r>
      <w:r>
        <w:rPr>
          <w:rFonts w:ascii="Times New Roman" w:hAnsi="Times New Roman"/>
          <w:color w:val="000000"/>
          <w:sz w:val="24"/>
          <w:szCs w:val="24"/>
        </w:rPr>
        <w:t>TM uzsākts darbs</w:t>
      </w:r>
      <w:r w:rsidR="00A770C5">
        <w:rPr>
          <w:rFonts w:ascii="Times New Roman" w:hAnsi="Times New Roman"/>
          <w:color w:val="000000"/>
          <w:sz w:val="24"/>
          <w:szCs w:val="24"/>
        </w:rPr>
        <w:t>, pilnveidojot</w:t>
      </w:r>
      <w:r>
        <w:rPr>
          <w:rFonts w:ascii="Times New Roman" w:hAnsi="Times New Roman"/>
          <w:color w:val="000000"/>
          <w:sz w:val="24"/>
          <w:szCs w:val="24"/>
        </w:rPr>
        <w:t xml:space="preserve"> </w:t>
      </w:r>
      <w:r w:rsidRPr="00B72D18">
        <w:rPr>
          <w:rFonts w:ascii="Times New Roman" w:hAnsi="Times New Roman"/>
          <w:color w:val="000000"/>
          <w:sz w:val="24"/>
          <w:szCs w:val="24"/>
        </w:rPr>
        <w:t>juridiskajām personām piemērojamo piespiedu ietekmēšanas līdzekļu piemērošan</w:t>
      </w:r>
      <w:r w:rsidR="00A770C5">
        <w:rPr>
          <w:rFonts w:ascii="Times New Roman" w:hAnsi="Times New Roman"/>
          <w:color w:val="000000"/>
          <w:sz w:val="24"/>
          <w:szCs w:val="24"/>
        </w:rPr>
        <w:t>u</w:t>
      </w:r>
      <w:r>
        <w:rPr>
          <w:rFonts w:ascii="Times New Roman" w:hAnsi="Times New Roman"/>
          <w:color w:val="000000"/>
          <w:sz w:val="24"/>
          <w:szCs w:val="24"/>
        </w:rPr>
        <w:t>, izstrādājot grozījumus nepieciešamajos normatīvajos aktos</w:t>
      </w:r>
      <w:r>
        <w:rPr>
          <w:rFonts w:ascii="Times New Roman" w:hAnsi="Times New Roman"/>
          <w:sz w:val="24"/>
          <w:szCs w:val="24"/>
        </w:rPr>
        <w:t>.</w:t>
      </w:r>
    </w:p>
    <w:p w:rsidR="00A60833" w:rsidRPr="00FD601E" w:rsidRDefault="00A60833" w:rsidP="00A60833">
      <w:pPr>
        <w:spacing w:after="0" w:line="240" w:lineRule="auto"/>
        <w:ind w:firstLine="709"/>
        <w:jc w:val="both"/>
        <w:rPr>
          <w:rFonts w:ascii="Times New Roman" w:hAnsi="Times New Roman" w:cs="Times New Roman"/>
          <w:sz w:val="24"/>
          <w:szCs w:val="24"/>
        </w:rPr>
      </w:pPr>
      <w:r w:rsidRPr="00FD601E">
        <w:rPr>
          <w:rFonts w:ascii="Times New Roman" w:hAnsi="Times New Roman" w:cs="Times New Roman"/>
          <w:sz w:val="24"/>
          <w:szCs w:val="24"/>
        </w:rPr>
        <w:t xml:space="preserve">2013.gadā Latvija turpinās aktīvu darbu starptautiskajās organizācijās, lai nodrošinātu Latvijas nacionālo interešu efektīvu aizstāvību. </w:t>
      </w:r>
    </w:p>
    <w:p w:rsidR="00A60833" w:rsidRPr="00FD601E" w:rsidRDefault="00A60833" w:rsidP="00A60833">
      <w:pPr>
        <w:spacing w:after="0" w:line="240" w:lineRule="auto"/>
        <w:jc w:val="both"/>
        <w:rPr>
          <w:rFonts w:ascii="Times New Roman" w:hAnsi="Times New Roman" w:cs="Times New Roman"/>
          <w:sz w:val="24"/>
          <w:szCs w:val="24"/>
        </w:rPr>
      </w:pPr>
      <w:r w:rsidRPr="00FD601E">
        <w:rPr>
          <w:rFonts w:ascii="Times New Roman" w:hAnsi="Times New Roman" w:cs="Times New Roman"/>
          <w:sz w:val="24"/>
          <w:szCs w:val="24"/>
        </w:rPr>
        <w:lastRenderedPageBreak/>
        <w:t xml:space="preserve"> </w:t>
      </w:r>
      <w:r w:rsidRPr="00FD601E">
        <w:rPr>
          <w:rFonts w:ascii="Times New Roman" w:hAnsi="Times New Roman" w:cs="Times New Roman"/>
          <w:sz w:val="24"/>
          <w:szCs w:val="24"/>
        </w:rPr>
        <w:tab/>
        <w:t xml:space="preserve">ĀM turpinās lobēt Latvijas kandidatūras starptautiskajās organizācijās. Galvenā uzmanība tiks pievērsta 2014.gada ANO Cilvēktiesību padomes vēlēšanām, uz kuru tiks gatavots Latvijas valdības apņemšanās dokuments kā kandidātvalstij uz ANO Cilvēktiesību padomi. </w:t>
      </w:r>
    </w:p>
    <w:p w:rsidR="00FD601E" w:rsidRPr="00FD601E" w:rsidRDefault="00FD601E" w:rsidP="00FD601E">
      <w:pPr>
        <w:pStyle w:val="Heading3"/>
        <w:rPr>
          <w:rFonts w:cs="Times New Roman"/>
          <w:szCs w:val="24"/>
        </w:rPr>
      </w:pPr>
      <w:bookmarkStart w:id="188" w:name="_Toc348948448"/>
      <w:r w:rsidRPr="00FD601E">
        <w:rPr>
          <w:rFonts w:cs="Times New Roman"/>
          <w:szCs w:val="24"/>
        </w:rPr>
        <w:t>1.5. Konsulārā politika</w:t>
      </w:r>
      <w:bookmarkEnd w:id="188"/>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2012.gada 1.jūnijā stājās spēkā MK noteikumi </w:t>
      </w:r>
      <w:r w:rsidR="00B167ED">
        <w:rPr>
          <w:rFonts w:ascii="Times New Roman" w:hAnsi="Times New Roman" w:cs="Times New Roman"/>
          <w:sz w:val="24"/>
          <w:szCs w:val="24"/>
        </w:rPr>
        <w:t>"</w:t>
      </w:r>
      <w:r w:rsidRPr="00FD601E">
        <w:rPr>
          <w:rFonts w:ascii="Times New Roman" w:hAnsi="Times New Roman" w:cs="Times New Roman"/>
          <w:sz w:val="24"/>
          <w:szCs w:val="24"/>
        </w:rPr>
        <w:t>Materiālās palīdzības nodrošināšanas kārtība ārkārtas situācijā ārvalstī nonākušai personai</w:t>
      </w:r>
      <w:r w:rsidR="00B167ED">
        <w:rPr>
          <w:rFonts w:ascii="Times New Roman" w:hAnsi="Times New Roman" w:cs="Times New Roman"/>
          <w:sz w:val="24"/>
          <w:szCs w:val="24"/>
        </w:rPr>
        <w:t>"</w:t>
      </w:r>
      <w:r w:rsidRPr="00FD601E">
        <w:rPr>
          <w:rFonts w:ascii="Times New Roman" w:hAnsi="Times New Roman" w:cs="Times New Roman"/>
          <w:sz w:val="24"/>
          <w:szCs w:val="24"/>
        </w:rPr>
        <w:t xml:space="preserve">, kas paredz iespēju ārvalstīs ārkārtas situācijā nonākušam Latvijas valstspiederīgajam no valsts saņemt pēc tam atmaksājamus finanšu līdzekļus. Tas ir jauns instruments konsulārā dienesta rīcībā, kas nodrošina personai iespēju atgriezties Latvijā gadījumos, kad cita palīdzība nav pieejama. Līdz šim ir pieņemti 45 lēmumi par materiālās palīdzības piešķiršanu. Kopējā personām izmaksātā summa 2012.gadā bija 4150 lati.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ĀM un IeM sadarbības rezultātā Latvijas vēstniecībām Amerikā, Lielbritānijā un Īrijā tika sagatavotas un nodotas mobilās pasu darbstacijas, kas nodrošina iespēju pieņemt pasu un personu apliecību pieteikumus un iegūt biometriskos datus ārpus pārstāvniecības, tādējādi ļaujot īstenot ikviena pilsoņa Satversmē paredzētās tiesības piedalīties vēlēšanās un stiprināt saikni ar Latviju. Līdz šim izbraukumu sesijās Amerikā, Lielbritānijā un Īrijā ir pieņemti jau 792 pieteikumi.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ĀM turpina aktīvu darbu tālākas vīzu pārstāvības tīkla paplašināšan</w:t>
      </w:r>
      <w:r w:rsidR="00A770C5">
        <w:rPr>
          <w:rFonts w:ascii="Times New Roman" w:hAnsi="Times New Roman" w:cs="Times New Roman"/>
          <w:sz w:val="24"/>
          <w:szCs w:val="24"/>
        </w:rPr>
        <w:t>ā</w:t>
      </w:r>
      <w:r w:rsidRPr="00FD601E">
        <w:rPr>
          <w:rFonts w:ascii="Times New Roman" w:hAnsi="Times New Roman" w:cs="Times New Roman"/>
          <w:sz w:val="24"/>
          <w:szCs w:val="24"/>
        </w:rPr>
        <w:t xml:space="preserve">. Tiek uzklausītas un ņemtas vērā Latvijas uzņēmēju paustās intereses par vēlamajām vīzu pārstāvības vietām. Vīzu pārstāvības līgumi ir noslēgti ar 10 dalībvalstīm </w:t>
      </w:r>
      <w:r w:rsidR="00A770C5">
        <w:rPr>
          <w:rFonts w:ascii="Times New Roman" w:hAnsi="Times New Roman" w:cs="Times New Roman"/>
          <w:sz w:val="24"/>
          <w:szCs w:val="24"/>
        </w:rPr>
        <w:t>–</w:t>
      </w:r>
      <w:r w:rsidRPr="00FD601E">
        <w:rPr>
          <w:rFonts w:ascii="Times New Roman" w:hAnsi="Times New Roman" w:cs="Times New Roman"/>
          <w:sz w:val="24"/>
          <w:szCs w:val="24"/>
        </w:rPr>
        <w:t xml:space="preserve"> Vāciju, Ungāriju, Franciju, Slovākiju, Slovēniju, Nīderlandi, Lietuvu, Igauniju, Austriju un Zviedriju. Latviju Šengenas vīzu izsniegšanā šobrīd pārstāv citas Šengenas līguma dalībvalstis 60 dažādās pasaules vietās, bet Latvija pārstāv 8 Šengenas līguma dalībvalstis  8 pasaules vietās.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2012.gadā, salīdzinot ar 2011.gadu, Latvijas pārstāvniecībās ārvalstīs pieņemto vīzu pieteikumu skaits pieaudzis par 12</w:t>
      </w:r>
      <w:r w:rsidR="00111406">
        <w:rPr>
          <w:rFonts w:ascii="Times New Roman" w:hAnsi="Times New Roman" w:cs="Times New Roman"/>
          <w:sz w:val="24"/>
          <w:szCs w:val="24"/>
        </w:rPr>
        <w:t> %</w:t>
      </w:r>
      <w:r w:rsidRPr="00FD601E">
        <w:rPr>
          <w:rFonts w:ascii="Times New Roman" w:hAnsi="Times New Roman" w:cs="Times New Roman"/>
          <w:sz w:val="24"/>
          <w:szCs w:val="24"/>
        </w:rPr>
        <w:t xml:space="preserve">. 2012.gadā ir pieņemts rekordliels skaits vīzu pieteikumu </w:t>
      </w:r>
      <w:r w:rsidR="00A770C5">
        <w:rPr>
          <w:rFonts w:ascii="Times New Roman" w:hAnsi="Times New Roman" w:cs="Times New Roman"/>
          <w:sz w:val="24"/>
          <w:szCs w:val="24"/>
        </w:rPr>
        <w:t>–</w:t>
      </w:r>
      <w:r w:rsidRPr="00FD601E">
        <w:rPr>
          <w:rFonts w:ascii="Times New Roman" w:hAnsi="Times New Roman" w:cs="Times New Roman"/>
          <w:sz w:val="24"/>
          <w:szCs w:val="24"/>
        </w:rPr>
        <w:t xml:space="preserve"> 182 480 vīzu pieteikumi, kas ir par 19 176 vīzu pieteikumiem vairāk nekā 2011.gadā. Vislielākais saņemto vīzu pieteikumu skaits 2012.gadā bija vēstniecībā Krievijā – 90 999, kā arī vēstniecībā Baltkrievijā – 23 646. </w:t>
      </w:r>
    </w:p>
    <w:p w:rsidR="00FD601E" w:rsidRPr="00FD601E" w:rsidRDefault="00FD601E" w:rsidP="00FD601E">
      <w:pPr>
        <w:spacing w:after="0"/>
        <w:ind w:firstLine="720"/>
        <w:jc w:val="both"/>
        <w:rPr>
          <w:rFonts w:ascii="Times New Roman" w:hAnsi="Times New Roman" w:cs="Times New Roman"/>
          <w:sz w:val="24"/>
          <w:szCs w:val="24"/>
        </w:rPr>
      </w:pPr>
    </w:p>
    <w:p w:rsidR="00FD601E" w:rsidRPr="00FD601E" w:rsidRDefault="00FD601E" w:rsidP="00FD601E">
      <w:pPr>
        <w:jc w:val="both"/>
        <w:rPr>
          <w:rFonts w:ascii="Times New Roman" w:hAnsi="Times New Roman" w:cs="Times New Roman"/>
          <w:sz w:val="24"/>
          <w:szCs w:val="24"/>
        </w:rPr>
      </w:pPr>
      <w:r w:rsidRPr="00FD601E">
        <w:rPr>
          <w:rFonts w:ascii="Times New Roman" w:hAnsi="Times New Roman" w:cs="Times New Roman"/>
          <w:noProof/>
          <w:sz w:val="24"/>
          <w:szCs w:val="24"/>
        </w:rPr>
        <w:drawing>
          <wp:inline distT="0" distB="0" distL="0" distR="0" wp14:anchorId="62734101" wp14:editId="7A91A272">
            <wp:extent cx="2498239" cy="216067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2496139" cy="2158855"/>
                    </a:xfrm>
                    <a:prstGeom prst="rect">
                      <a:avLst/>
                    </a:prstGeom>
                  </pic:spPr>
                </pic:pic>
              </a:graphicData>
            </a:graphic>
          </wp:inline>
        </w:drawing>
      </w:r>
      <w:r w:rsidRPr="00FD601E">
        <w:rPr>
          <w:rFonts w:ascii="Times New Roman" w:hAnsi="Times New Roman" w:cs="Times New Roman"/>
          <w:sz w:val="24"/>
          <w:szCs w:val="24"/>
        </w:rPr>
        <w:t xml:space="preserve"> </w:t>
      </w:r>
      <w:r w:rsidRPr="00FD601E">
        <w:rPr>
          <w:rFonts w:ascii="Times New Roman" w:hAnsi="Times New Roman" w:cs="Times New Roman"/>
          <w:noProof/>
          <w:sz w:val="24"/>
          <w:szCs w:val="24"/>
        </w:rPr>
        <w:drawing>
          <wp:inline distT="0" distB="0" distL="0" distR="0" wp14:anchorId="4011DC83" wp14:editId="0845530D">
            <wp:extent cx="2702634" cy="2162287"/>
            <wp:effectExtent l="19050" t="0" r="2466"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1.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2708049" cy="2166619"/>
                    </a:xfrm>
                    <a:prstGeom prst="rect">
                      <a:avLst/>
                    </a:prstGeom>
                  </pic:spPr>
                </pic:pic>
              </a:graphicData>
            </a:graphic>
          </wp:inline>
        </w:drawing>
      </w:r>
    </w:p>
    <w:p w:rsidR="00FD601E" w:rsidRPr="00FD601E" w:rsidRDefault="00FD601E" w:rsidP="00FD601E">
      <w:pPr>
        <w:spacing w:after="0" w:line="240" w:lineRule="auto"/>
        <w:jc w:val="both"/>
        <w:rPr>
          <w:rFonts w:ascii="Times New Roman" w:hAnsi="Times New Roman" w:cs="Times New Roman"/>
          <w:sz w:val="24"/>
          <w:szCs w:val="24"/>
        </w:rPr>
      </w:pPr>
      <w:r w:rsidRPr="00FD601E">
        <w:rPr>
          <w:rFonts w:ascii="Times New Roman" w:hAnsi="Times New Roman" w:cs="Times New Roman"/>
          <w:sz w:val="24"/>
          <w:szCs w:val="24"/>
        </w:rPr>
        <w:lastRenderedPageBreak/>
        <w:t xml:space="preserve"> </w:t>
      </w:r>
      <w:r w:rsidRPr="00FD601E">
        <w:rPr>
          <w:rFonts w:ascii="Times New Roman" w:hAnsi="Times New Roman" w:cs="Times New Roman"/>
          <w:sz w:val="24"/>
          <w:szCs w:val="24"/>
        </w:rPr>
        <w:tab/>
        <w:t>2012.gada oktobrī notika Šengenas ekspertu komisijas novērtēšanas vizītes vīzu jomā Latvijas Ģenerālkonsulātā Sanktpēterburgā un Latvijas vēstniecībā Minskā, kur</w:t>
      </w:r>
      <w:r w:rsidR="00A770C5">
        <w:rPr>
          <w:rFonts w:ascii="Times New Roman" w:hAnsi="Times New Roman" w:cs="Times New Roman"/>
          <w:sz w:val="24"/>
          <w:szCs w:val="24"/>
        </w:rPr>
        <w:t>u</w:t>
      </w:r>
      <w:r w:rsidRPr="00FD601E">
        <w:rPr>
          <w:rFonts w:ascii="Times New Roman" w:hAnsi="Times New Roman" w:cs="Times New Roman"/>
          <w:sz w:val="24"/>
          <w:szCs w:val="24"/>
        </w:rPr>
        <w:t xml:space="preserve"> laikā starptautiskie eksperti pozitīvi novērtēja Latvijas pārstāvniecību darbu Šengenas tiesību aktu piemērošanas jomā.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Raugoties uz pozitīvajām tendencēm tūrisma nozarē, tika uzsāktas konsultācijas starp ĀM, VM, IeM un Latvijas ārstniecības iestādēm par iespēju kopīgiem spēkiem veicināt medicīnas tūrisma attīstību un rast risinājumus Latvijas ārstniecības iestāžu eksportspējas veicināšanai. Veiksmīgas sadarbības rezultātā tika izstrādāta atvieglota vīzu saņemšanas kārtība medicīnas tūristiem, kuras piemērošana tika uzsākta 2012.gada sākumā.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Prioritārie virzieni konsulāro funkciju veikšanas nodrošināšanai 2013.gadā ir kvalitatīva un operatīva Latvijas valstspiederīgo konsulārā aizsardzība un apkalpošana ārvalstīs, efektīva Latvijas vīzu pakalpojumu nodrošināšana ārvalstniekiem. Darba turpināšana, lai slēgtu vīzu pārstāvības līgumus ar citām Šengenas nolīguma dalībvalstīm reģionos, kuros nav Latvijas pārstāvniecību, t.sk. ar mērķi ārvalstu investīciju un uzņēmēju sadarbības veicināšanai. </w:t>
      </w:r>
    </w:p>
    <w:p w:rsidR="00FD601E" w:rsidRPr="00FD601E" w:rsidRDefault="00FD601E" w:rsidP="00FD601E">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2013.gadā ir plānots turpināt konsulāro pakalpojumu uzlabošanu un papildināšanu elektro</w:t>
      </w:r>
      <w:r w:rsidR="00A770C5">
        <w:rPr>
          <w:rFonts w:ascii="Times New Roman" w:hAnsi="Times New Roman" w:cs="Times New Roman"/>
          <w:sz w:val="24"/>
          <w:szCs w:val="24"/>
        </w:rPr>
        <w:t>niskajā vidē, sadarbībā ar PMLP</w:t>
      </w:r>
      <w:r w:rsidRPr="00FD601E">
        <w:rPr>
          <w:rFonts w:ascii="Times New Roman" w:hAnsi="Times New Roman" w:cs="Times New Roman"/>
          <w:sz w:val="24"/>
          <w:szCs w:val="24"/>
        </w:rPr>
        <w:t xml:space="preserve"> izstrādājot e-pakalpojuma sadaļas </w:t>
      </w:r>
      <w:r w:rsidR="00022E35">
        <w:rPr>
          <w:rFonts w:ascii="Times New Roman" w:hAnsi="Times New Roman" w:cs="Times New Roman"/>
          <w:sz w:val="24"/>
          <w:szCs w:val="24"/>
        </w:rPr>
        <w:t>"</w:t>
      </w:r>
      <w:r w:rsidR="00022E35" w:rsidRPr="00FD601E">
        <w:rPr>
          <w:rFonts w:ascii="Times New Roman" w:hAnsi="Times New Roman" w:cs="Times New Roman"/>
          <w:sz w:val="24"/>
          <w:szCs w:val="24"/>
        </w:rPr>
        <w:t xml:space="preserve">Elektroniskā </w:t>
      </w:r>
      <w:r w:rsidRPr="00FD601E">
        <w:rPr>
          <w:rFonts w:ascii="Times New Roman" w:hAnsi="Times New Roman" w:cs="Times New Roman"/>
          <w:sz w:val="24"/>
          <w:szCs w:val="24"/>
        </w:rPr>
        <w:t>anketa vīzas saņemša</w:t>
      </w:r>
      <w:r w:rsidR="00A60833">
        <w:rPr>
          <w:rFonts w:ascii="Times New Roman" w:hAnsi="Times New Roman" w:cs="Times New Roman"/>
          <w:sz w:val="24"/>
          <w:szCs w:val="24"/>
        </w:rPr>
        <w:t>nai</w:t>
      </w:r>
      <w:r w:rsidR="00022E35">
        <w:rPr>
          <w:rFonts w:ascii="Times New Roman" w:hAnsi="Times New Roman" w:cs="Times New Roman"/>
          <w:sz w:val="24"/>
          <w:szCs w:val="24"/>
        </w:rPr>
        <w:t>"</w:t>
      </w:r>
      <w:r w:rsidR="00A60833">
        <w:rPr>
          <w:rFonts w:ascii="Times New Roman" w:hAnsi="Times New Roman" w:cs="Times New Roman"/>
          <w:sz w:val="24"/>
          <w:szCs w:val="24"/>
        </w:rPr>
        <w:t xml:space="preserve"> anglisko versiju, kā arī e-</w:t>
      </w:r>
      <w:r w:rsidRPr="00FD601E">
        <w:rPr>
          <w:rFonts w:ascii="Times New Roman" w:hAnsi="Times New Roman" w:cs="Times New Roman"/>
          <w:sz w:val="24"/>
          <w:szCs w:val="24"/>
        </w:rPr>
        <w:t xml:space="preserve">pakalpojuma sadaļu </w:t>
      </w:r>
      <w:r w:rsidR="00022E35">
        <w:rPr>
          <w:rFonts w:ascii="Times New Roman" w:hAnsi="Times New Roman" w:cs="Times New Roman"/>
          <w:sz w:val="24"/>
          <w:szCs w:val="24"/>
        </w:rPr>
        <w:t>"</w:t>
      </w:r>
      <w:r w:rsidR="00022E35" w:rsidRPr="00FD601E">
        <w:rPr>
          <w:rFonts w:ascii="Times New Roman" w:hAnsi="Times New Roman" w:cs="Times New Roman"/>
          <w:sz w:val="24"/>
          <w:szCs w:val="24"/>
        </w:rPr>
        <w:t xml:space="preserve">Elektroniskā </w:t>
      </w:r>
      <w:r w:rsidRPr="00FD601E">
        <w:rPr>
          <w:rFonts w:ascii="Times New Roman" w:hAnsi="Times New Roman" w:cs="Times New Roman"/>
          <w:sz w:val="24"/>
          <w:szCs w:val="24"/>
        </w:rPr>
        <w:t>pieteikšanās sistēmā</w:t>
      </w:r>
      <w:r w:rsidR="00022E35">
        <w:rPr>
          <w:rFonts w:ascii="Times New Roman" w:hAnsi="Times New Roman" w:cs="Times New Roman"/>
          <w:sz w:val="24"/>
          <w:szCs w:val="24"/>
        </w:rPr>
        <w:t>"</w:t>
      </w:r>
      <w:r w:rsidRPr="00FD601E">
        <w:rPr>
          <w:rFonts w:ascii="Times New Roman" w:hAnsi="Times New Roman" w:cs="Times New Roman"/>
          <w:sz w:val="24"/>
          <w:szCs w:val="24"/>
        </w:rPr>
        <w:t>, tād</w:t>
      </w:r>
      <w:r w:rsidR="00022E35">
        <w:rPr>
          <w:rFonts w:ascii="Times New Roman" w:hAnsi="Times New Roman" w:cs="Times New Roman"/>
          <w:sz w:val="24"/>
          <w:szCs w:val="24"/>
        </w:rPr>
        <w:t>ē</w:t>
      </w:r>
      <w:r w:rsidRPr="00FD601E">
        <w:rPr>
          <w:rFonts w:ascii="Times New Roman" w:hAnsi="Times New Roman" w:cs="Times New Roman"/>
          <w:sz w:val="24"/>
          <w:szCs w:val="24"/>
        </w:rPr>
        <w:t>jādi saīsinot dokumentu apstrādes termiņus un uzlabojot apmeklētāju pieņemšanas kvalitāti.</w:t>
      </w:r>
    </w:p>
    <w:p w:rsidR="00FD601E" w:rsidRPr="00FD601E" w:rsidRDefault="00FD601E" w:rsidP="00FD601E">
      <w:pPr>
        <w:pStyle w:val="Heading3"/>
        <w:rPr>
          <w:rFonts w:cs="Times New Roman"/>
          <w:szCs w:val="24"/>
        </w:rPr>
      </w:pPr>
      <w:bookmarkStart w:id="189" w:name="_Toc348948449"/>
      <w:r w:rsidRPr="00FD601E">
        <w:rPr>
          <w:rFonts w:cs="Times New Roman"/>
          <w:szCs w:val="24"/>
        </w:rPr>
        <w:t>1.6. Saiknes stiprināšana ar latviešu diasporām ārvalstīs</w:t>
      </w:r>
      <w:bookmarkEnd w:id="189"/>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Latviešu valodu ārpus Latvijas var apgūt 21 valstī</w:t>
      </w:r>
      <w:r w:rsidRPr="00FD601E">
        <w:rPr>
          <w:rFonts w:ascii="Times New Roman" w:eastAsia="Calibri" w:hAnsi="Times New Roman" w:cs="Times New Roman"/>
          <w:sz w:val="24"/>
          <w:szCs w:val="24"/>
        </w:rPr>
        <w:t xml:space="preserve"> </w:t>
      </w:r>
      <w:r w:rsidR="00C46BCC">
        <w:rPr>
          <w:rFonts w:ascii="Times New Roman" w:eastAsia="Calibri" w:hAnsi="Times New Roman" w:cs="Times New Roman"/>
          <w:sz w:val="24"/>
          <w:szCs w:val="24"/>
        </w:rPr>
        <w:t>aptuveni</w:t>
      </w:r>
      <w:r w:rsidRPr="00FD601E">
        <w:rPr>
          <w:rFonts w:ascii="Times New Roman" w:eastAsia="Calibri" w:hAnsi="Times New Roman" w:cs="Times New Roman"/>
          <w:sz w:val="24"/>
          <w:szCs w:val="24"/>
        </w:rPr>
        <w:t xml:space="preserve"> simt</w:t>
      </w:r>
      <w:r w:rsidRPr="00FD601E">
        <w:rPr>
          <w:rFonts w:ascii="Times New Roman" w:hAnsi="Times New Roman" w:cs="Times New Roman"/>
          <w:sz w:val="24"/>
          <w:szCs w:val="24"/>
        </w:rPr>
        <w:t xml:space="preserve"> formālās un</w:t>
      </w:r>
      <w:r w:rsidRPr="00FD601E">
        <w:rPr>
          <w:rFonts w:ascii="Times New Roman" w:eastAsia="Calibri" w:hAnsi="Times New Roman" w:cs="Times New Roman"/>
          <w:sz w:val="24"/>
          <w:szCs w:val="24"/>
        </w:rPr>
        <w:t xml:space="preserve"> neformālās izglītības mācību iestādēs. Eiropā patlaban darbojas 51</w:t>
      </w:r>
      <w:r w:rsidRPr="00FD601E">
        <w:rPr>
          <w:rFonts w:ascii="Times New Roman" w:hAnsi="Times New Roman" w:cs="Times New Roman"/>
          <w:sz w:val="24"/>
          <w:szCs w:val="24"/>
        </w:rPr>
        <w:t xml:space="preserve"> latviešu nedēļas nogales skol</w:t>
      </w:r>
      <w:r w:rsidRPr="00FD601E">
        <w:rPr>
          <w:rFonts w:ascii="Times New Roman" w:eastAsia="Calibri" w:hAnsi="Times New Roman" w:cs="Times New Roman"/>
          <w:sz w:val="24"/>
          <w:szCs w:val="24"/>
        </w:rPr>
        <w:t>a.</w:t>
      </w:r>
      <w:r w:rsidRPr="00FD601E">
        <w:rPr>
          <w:rFonts w:ascii="Times New Roman" w:hAnsi="Times New Roman" w:cs="Times New Roman"/>
          <w:sz w:val="24"/>
          <w:szCs w:val="24"/>
        </w:rPr>
        <w:t xml:space="preserve"> </w:t>
      </w:r>
      <w:r w:rsidRPr="00FD601E">
        <w:rPr>
          <w:rFonts w:ascii="Times New Roman" w:eastAsia="Calibri" w:hAnsi="Times New Roman" w:cs="Times New Roman"/>
          <w:sz w:val="24"/>
          <w:szCs w:val="24"/>
        </w:rPr>
        <w:t xml:space="preserve">Īpaši strauji to skaits </w:t>
      </w:r>
      <w:r w:rsidRPr="00FD601E">
        <w:rPr>
          <w:rFonts w:ascii="Times New Roman" w:hAnsi="Times New Roman" w:cs="Times New Roman"/>
          <w:sz w:val="24"/>
          <w:szCs w:val="24"/>
        </w:rPr>
        <w:t xml:space="preserve">aug </w:t>
      </w:r>
      <w:r w:rsidRPr="00FD601E">
        <w:rPr>
          <w:rFonts w:ascii="Times New Roman" w:eastAsia="Calibri" w:hAnsi="Times New Roman" w:cs="Times New Roman"/>
          <w:sz w:val="24"/>
          <w:szCs w:val="24"/>
        </w:rPr>
        <w:t xml:space="preserve">Īrijā </w:t>
      </w:r>
      <w:r w:rsidRPr="00FD601E">
        <w:rPr>
          <w:rFonts w:ascii="Times New Roman" w:hAnsi="Times New Roman" w:cs="Times New Roman"/>
          <w:sz w:val="24"/>
          <w:szCs w:val="24"/>
        </w:rPr>
        <w:t xml:space="preserve">(10 skolas) </w:t>
      </w:r>
      <w:r w:rsidRPr="00FD601E">
        <w:rPr>
          <w:rFonts w:ascii="Times New Roman" w:eastAsia="Calibri" w:hAnsi="Times New Roman" w:cs="Times New Roman"/>
          <w:sz w:val="24"/>
          <w:szCs w:val="24"/>
        </w:rPr>
        <w:t>un Lielbritānijā</w:t>
      </w:r>
      <w:r w:rsidRPr="00FD601E">
        <w:rPr>
          <w:rFonts w:ascii="Times New Roman" w:hAnsi="Times New Roman" w:cs="Times New Roman"/>
          <w:sz w:val="24"/>
          <w:szCs w:val="24"/>
        </w:rPr>
        <w:t xml:space="preserve"> (15 skolas).</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tika nodrošināta </w:t>
      </w:r>
      <w:r w:rsidR="007F1313">
        <w:rPr>
          <w:rFonts w:ascii="Times New Roman" w:hAnsi="Times New Roman" w:cs="Times New Roman"/>
          <w:sz w:val="24"/>
          <w:szCs w:val="24"/>
        </w:rPr>
        <w:t>5</w:t>
      </w:r>
      <w:r w:rsidRPr="00FD601E">
        <w:rPr>
          <w:rFonts w:ascii="Times New Roman" w:hAnsi="Times New Roman" w:cs="Times New Roman"/>
          <w:sz w:val="24"/>
          <w:szCs w:val="24"/>
        </w:rPr>
        <w:t xml:space="preserve"> skolotāju darbība Krievijas Federācijā, kā arī sniegts atbalsts </w:t>
      </w:r>
      <w:r w:rsidR="007F1313">
        <w:rPr>
          <w:rFonts w:ascii="Times New Roman" w:hAnsi="Times New Roman" w:cs="Times New Roman"/>
          <w:sz w:val="24"/>
          <w:szCs w:val="24"/>
        </w:rPr>
        <w:t>5</w:t>
      </w:r>
      <w:r w:rsidRPr="00FD601E">
        <w:rPr>
          <w:rFonts w:ascii="Times New Roman" w:hAnsi="Times New Roman" w:cs="Times New Roman"/>
          <w:sz w:val="24"/>
          <w:szCs w:val="24"/>
        </w:rPr>
        <w:t xml:space="preserve"> nedēļas nogales skolām Īrijā. Sniegtas konsultācijas diasporas skolotājiem, kā arī nodrošināti mācību materiāli un metodiskie līdzekļi diasporas skolām. 2012.gadā mācību materiālus saņēmušas 73 diasporas nedēļas nogales skolas visā pasaulē.</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2013.gadā plānots turpināt atbalstu diasporas nedēļas nogales skolām (telpu īre, bērnu apdrošināšana, transporta izmaksas u.tml.), diasporas skolotāju semināru organizēšanai, kā arī valodas apguves nometņu organizēšanai diasporas bērniem. Plānots arī atbalstīt mācību līdzekļu un materiālu iegādi un nosūtīšanu ārvalstīs dzīvojošo bērnu apmācībai, metodisko līdzekļu izstrādi, kā arī atbalstīt diasporas latviešu rīkotos kursus, seminārus un citus izglītojošos pasākumus viņu mītnes valstīs.</w:t>
      </w:r>
    </w:p>
    <w:p w:rsidR="00A60833" w:rsidRPr="00FD601E" w:rsidRDefault="007F1313" w:rsidP="00A608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2013.gadā ir plānots MK iesniegt izskatīšanai </w:t>
      </w:r>
      <w:r w:rsidR="00BE63A0">
        <w:rPr>
          <w:rFonts w:ascii="Times New Roman" w:hAnsi="Times New Roman" w:cs="Times New Roman"/>
          <w:sz w:val="24"/>
          <w:szCs w:val="24"/>
        </w:rPr>
        <w:t>ziņojumu</w:t>
      </w:r>
      <w:r w:rsidR="00A60833" w:rsidRPr="00FD601E">
        <w:rPr>
          <w:rFonts w:ascii="Times New Roman" w:hAnsi="Times New Roman" w:cs="Times New Roman"/>
          <w:sz w:val="24"/>
          <w:szCs w:val="24"/>
        </w:rPr>
        <w:t xml:space="preserve"> </w:t>
      </w:r>
      <w:r w:rsidR="00B167ED">
        <w:rPr>
          <w:rFonts w:ascii="Times New Roman" w:hAnsi="Times New Roman" w:cs="Times New Roman"/>
          <w:sz w:val="24"/>
          <w:szCs w:val="24"/>
        </w:rPr>
        <w:t>"</w:t>
      </w:r>
      <w:r w:rsidR="00A60833" w:rsidRPr="00FD601E">
        <w:rPr>
          <w:rFonts w:ascii="Times New Roman" w:hAnsi="Times New Roman" w:cs="Times New Roman"/>
          <w:sz w:val="24"/>
          <w:szCs w:val="24"/>
        </w:rPr>
        <w:t>Par Ārlietu ministrijas sadarbību ar Latvijas diasporu 2013.-2015.gadā</w:t>
      </w:r>
      <w:r w:rsidR="00B167ED">
        <w:rPr>
          <w:rFonts w:ascii="Times New Roman" w:hAnsi="Times New Roman" w:cs="Times New Roman"/>
          <w:sz w:val="24"/>
          <w:szCs w:val="24"/>
        </w:rPr>
        <w:t>"</w:t>
      </w:r>
      <w:r w:rsidR="00A60833" w:rsidRPr="00FD601E">
        <w:rPr>
          <w:rFonts w:ascii="Times New Roman" w:hAnsi="Times New Roman" w:cs="Times New Roman"/>
          <w:sz w:val="24"/>
          <w:szCs w:val="24"/>
        </w:rPr>
        <w:t>, kurā tiek izcelti</w:t>
      </w:r>
      <w:r w:rsidR="00BE63A0">
        <w:rPr>
          <w:rFonts w:ascii="Times New Roman" w:hAnsi="Times New Roman" w:cs="Times New Roman"/>
          <w:sz w:val="24"/>
          <w:szCs w:val="24"/>
        </w:rPr>
        <w:t xml:space="preserve"> četri rīcības virzieni, proti, </w:t>
      </w:r>
      <w:r w:rsidR="00A60833" w:rsidRPr="00FD601E">
        <w:rPr>
          <w:rFonts w:ascii="Times New Roman" w:hAnsi="Times New Roman" w:cs="Times New Roman"/>
          <w:sz w:val="24"/>
          <w:szCs w:val="24"/>
        </w:rPr>
        <w:t>identitāte un latviskā kultūrtelpa, pilsoniskās līdzdalības Latvijas procesos veicināšana, iesaistīšanās Latvi</w:t>
      </w:r>
      <w:r w:rsidR="00022E35">
        <w:rPr>
          <w:rFonts w:ascii="Times New Roman" w:hAnsi="Times New Roman" w:cs="Times New Roman"/>
          <w:sz w:val="24"/>
          <w:szCs w:val="24"/>
        </w:rPr>
        <w:t>jas attīstībā veicināšana un re</w:t>
      </w:r>
      <w:r w:rsidR="00A60833" w:rsidRPr="00FD601E">
        <w:rPr>
          <w:rFonts w:ascii="Times New Roman" w:hAnsi="Times New Roman" w:cs="Times New Roman"/>
          <w:sz w:val="24"/>
          <w:szCs w:val="24"/>
        </w:rPr>
        <w:t xml:space="preserve">emigrācija. </w:t>
      </w:r>
    </w:p>
    <w:p w:rsidR="00D93112" w:rsidRPr="00D93112" w:rsidRDefault="00022E35" w:rsidP="00D931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Savukārt</w:t>
      </w:r>
      <w:r w:rsidR="00A60833" w:rsidRPr="00D93112">
        <w:rPr>
          <w:rFonts w:ascii="Times New Roman" w:hAnsi="Times New Roman" w:cs="Times New Roman"/>
          <w:sz w:val="24"/>
          <w:szCs w:val="24"/>
        </w:rPr>
        <w:t xml:space="preserve"> sadarbībā ar EK pārstāvniecību un ar OECD tik</w:t>
      </w:r>
      <w:r>
        <w:rPr>
          <w:rFonts w:ascii="Times New Roman" w:hAnsi="Times New Roman" w:cs="Times New Roman"/>
          <w:sz w:val="24"/>
          <w:szCs w:val="24"/>
        </w:rPr>
        <w:t xml:space="preserve">a rīkotas divas starptautiskas </w:t>
      </w:r>
      <w:r w:rsidR="00A60833" w:rsidRPr="00D93112">
        <w:rPr>
          <w:rFonts w:ascii="Times New Roman" w:hAnsi="Times New Roman" w:cs="Times New Roman"/>
          <w:sz w:val="24"/>
          <w:szCs w:val="24"/>
        </w:rPr>
        <w:t>konferences par migrācijas un diasporas jautājumiem, kā arī citā</w:t>
      </w:r>
      <w:r>
        <w:rPr>
          <w:rFonts w:ascii="Times New Roman" w:hAnsi="Times New Roman" w:cs="Times New Roman"/>
          <w:sz w:val="24"/>
          <w:szCs w:val="24"/>
        </w:rPr>
        <w:t>s</w:t>
      </w:r>
      <w:r w:rsidR="00A60833" w:rsidRPr="00D93112">
        <w:rPr>
          <w:rFonts w:ascii="Times New Roman" w:hAnsi="Times New Roman" w:cs="Times New Roman"/>
          <w:sz w:val="24"/>
          <w:szCs w:val="24"/>
        </w:rPr>
        <w:t xml:space="preserve"> konferencē</w:t>
      </w:r>
      <w:r>
        <w:rPr>
          <w:rFonts w:ascii="Times New Roman" w:hAnsi="Times New Roman" w:cs="Times New Roman"/>
          <w:sz w:val="24"/>
          <w:szCs w:val="24"/>
        </w:rPr>
        <w:t>s</w:t>
      </w:r>
      <w:r w:rsidR="00A60833" w:rsidRPr="00D93112">
        <w:rPr>
          <w:rFonts w:ascii="Times New Roman" w:hAnsi="Times New Roman" w:cs="Times New Roman"/>
          <w:sz w:val="24"/>
          <w:szCs w:val="24"/>
        </w:rPr>
        <w:t>, intervijā</w:t>
      </w:r>
      <w:r>
        <w:rPr>
          <w:rFonts w:ascii="Times New Roman" w:hAnsi="Times New Roman" w:cs="Times New Roman"/>
          <w:sz w:val="24"/>
          <w:szCs w:val="24"/>
        </w:rPr>
        <w:t>s</w:t>
      </w:r>
      <w:r w:rsidR="00A60833" w:rsidRPr="00D93112">
        <w:rPr>
          <w:rFonts w:ascii="Times New Roman" w:hAnsi="Times New Roman" w:cs="Times New Roman"/>
          <w:sz w:val="24"/>
          <w:szCs w:val="24"/>
        </w:rPr>
        <w:t xml:space="preserve"> un rakst</w:t>
      </w:r>
      <w:r>
        <w:rPr>
          <w:rFonts w:ascii="Times New Roman" w:hAnsi="Times New Roman" w:cs="Times New Roman"/>
          <w:sz w:val="24"/>
          <w:szCs w:val="24"/>
        </w:rPr>
        <w:t>os</w:t>
      </w:r>
      <w:r w:rsidR="00A60833" w:rsidRPr="00D93112">
        <w:rPr>
          <w:rFonts w:ascii="Times New Roman" w:hAnsi="Times New Roman" w:cs="Times New Roman"/>
          <w:sz w:val="24"/>
          <w:szCs w:val="24"/>
        </w:rPr>
        <w:t xml:space="preserve"> tika veicināta diasporas problemātikas aktualizācija Latvijas publiskajā telpā. </w:t>
      </w:r>
      <w:r w:rsidR="00D93112" w:rsidRPr="00D93112">
        <w:rPr>
          <w:rFonts w:ascii="Times New Roman" w:hAnsi="Times New Roman" w:cs="Times New Roman"/>
          <w:sz w:val="24"/>
          <w:szCs w:val="24"/>
        </w:rPr>
        <w:t xml:space="preserve">2012.gadā nostiprinājās sadarbība ar diasporas latviešu organizācijām (ELA un PBLA), organizējot konferenci </w:t>
      </w:r>
      <w:r w:rsidR="00B167ED">
        <w:rPr>
          <w:rFonts w:ascii="Times New Roman" w:hAnsi="Times New Roman" w:cs="Times New Roman"/>
          <w:sz w:val="24"/>
          <w:szCs w:val="24"/>
        </w:rPr>
        <w:t>"</w:t>
      </w:r>
      <w:r w:rsidR="00D93112" w:rsidRPr="00D93112">
        <w:rPr>
          <w:rFonts w:ascii="Times New Roman" w:hAnsi="Times New Roman" w:cs="Times New Roman"/>
          <w:sz w:val="24"/>
          <w:szCs w:val="24"/>
        </w:rPr>
        <w:t>Latvieši pasaulē – piederīgi Latvijai</w:t>
      </w:r>
      <w:r w:rsidR="00B167ED">
        <w:rPr>
          <w:rFonts w:ascii="Times New Roman" w:hAnsi="Times New Roman" w:cs="Times New Roman"/>
          <w:sz w:val="24"/>
          <w:szCs w:val="24"/>
        </w:rPr>
        <w:t>"</w:t>
      </w:r>
      <w:r w:rsidR="00D93112" w:rsidRPr="00D93112">
        <w:rPr>
          <w:rFonts w:ascii="Times New Roman" w:hAnsi="Times New Roman" w:cs="Times New Roman"/>
          <w:sz w:val="24"/>
          <w:szCs w:val="24"/>
        </w:rPr>
        <w:t xml:space="preserve">, kurā piedalījās diasporas pārstāvji no 15 valstīm. Kā ikgadējs pasākums </w:t>
      </w:r>
      <w:r w:rsidR="00D93112" w:rsidRPr="00D93112">
        <w:rPr>
          <w:rFonts w:ascii="Times New Roman" w:hAnsi="Times New Roman" w:cs="Times New Roman"/>
          <w:sz w:val="24"/>
          <w:szCs w:val="24"/>
        </w:rPr>
        <w:lastRenderedPageBreak/>
        <w:t>konference notiks 2013.gadā, liekot atskatīties uz gada laikā paveikto un iezīmējot darbības virzienus nāk</w:t>
      </w:r>
      <w:r>
        <w:rPr>
          <w:rFonts w:ascii="Times New Roman" w:hAnsi="Times New Roman" w:cs="Times New Roman"/>
          <w:sz w:val="24"/>
          <w:szCs w:val="24"/>
        </w:rPr>
        <w:t>amajam</w:t>
      </w:r>
      <w:r w:rsidR="00D93112" w:rsidRPr="00D93112">
        <w:rPr>
          <w:rFonts w:ascii="Times New Roman" w:hAnsi="Times New Roman" w:cs="Times New Roman"/>
          <w:sz w:val="24"/>
          <w:szCs w:val="24"/>
        </w:rPr>
        <w:t xml:space="preserve"> periodam.</w:t>
      </w:r>
    </w:p>
    <w:p w:rsidR="00A60833" w:rsidRPr="00D93112" w:rsidRDefault="00D93112" w:rsidP="00D93112">
      <w:pPr>
        <w:spacing w:after="0" w:line="240" w:lineRule="auto"/>
        <w:ind w:firstLine="720"/>
        <w:jc w:val="both"/>
        <w:rPr>
          <w:rFonts w:ascii="Times New Roman" w:hAnsi="Times New Roman" w:cs="Times New Roman"/>
          <w:sz w:val="24"/>
          <w:szCs w:val="24"/>
        </w:rPr>
      </w:pPr>
      <w:r w:rsidRPr="00D93112">
        <w:rPr>
          <w:rFonts w:ascii="Times New Roman" w:hAnsi="Times New Roman" w:cs="Times New Roman"/>
          <w:sz w:val="24"/>
          <w:szCs w:val="24"/>
        </w:rPr>
        <w:t xml:space="preserve">2013.gadā </w:t>
      </w:r>
      <w:r w:rsidR="00BE63A0">
        <w:rPr>
          <w:rFonts w:ascii="Times New Roman" w:hAnsi="Times New Roman" w:cs="Times New Roman"/>
          <w:sz w:val="24"/>
          <w:szCs w:val="24"/>
        </w:rPr>
        <w:t>tiks</w:t>
      </w:r>
      <w:r w:rsidRPr="00D93112">
        <w:rPr>
          <w:rFonts w:ascii="Times New Roman" w:hAnsi="Times New Roman" w:cs="Times New Roman"/>
          <w:sz w:val="24"/>
          <w:szCs w:val="24"/>
        </w:rPr>
        <w:t xml:space="preserve"> atbalstīts Pasaules </w:t>
      </w:r>
      <w:r w:rsidR="006D7AB4" w:rsidRPr="00D93112">
        <w:rPr>
          <w:rFonts w:ascii="Times New Roman" w:hAnsi="Times New Roman" w:cs="Times New Roman"/>
          <w:sz w:val="24"/>
          <w:szCs w:val="24"/>
        </w:rPr>
        <w:t xml:space="preserve">Brīvo </w:t>
      </w:r>
      <w:r w:rsidRPr="00D93112">
        <w:rPr>
          <w:rFonts w:ascii="Times New Roman" w:hAnsi="Times New Roman" w:cs="Times New Roman"/>
          <w:sz w:val="24"/>
          <w:szCs w:val="24"/>
        </w:rPr>
        <w:t xml:space="preserve">latviešu apvienības iniciētais </w:t>
      </w:r>
      <w:r w:rsidRPr="00D93112">
        <w:rPr>
          <w:rFonts w:ascii="Times New Roman" w:hAnsi="Times New Roman" w:cs="Times New Roman"/>
          <w:i/>
          <w:iCs/>
          <w:sz w:val="24"/>
          <w:szCs w:val="24"/>
        </w:rPr>
        <w:t xml:space="preserve">Pasaules latviešu ekonomikas un inovāciju forums, </w:t>
      </w:r>
      <w:r w:rsidRPr="00D93112">
        <w:rPr>
          <w:rFonts w:ascii="Times New Roman" w:hAnsi="Times New Roman" w:cs="Times New Roman"/>
          <w:iCs/>
          <w:sz w:val="24"/>
          <w:szCs w:val="24"/>
        </w:rPr>
        <w:t xml:space="preserve">kura </w:t>
      </w:r>
      <w:r w:rsidRPr="00D93112">
        <w:rPr>
          <w:rFonts w:ascii="Times New Roman" w:hAnsi="Times New Roman" w:cs="Times New Roman"/>
          <w:sz w:val="24"/>
          <w:szCs w:val="24"/>
        </w:rPr>
        <w:t>mērķis ir Latvijas ekonomiskās izaugsmes veicināšanas nolūkā stiprināt sadarbību starp dažādās uzņēmējdarbības nozarēs strādājošie</w:t>
      </w:r>
      <w:r w:rsidR="00022E35">
        <w:rPr>
          <w:rFonts w:ascii="Times New Roman" w:hAnsi="Times New Roman" w:cs="Times New Roman"/>
          <w:sz w:val="24"/>
          <w:szCs w:val="24"/>
        </w:rPr>
        <w:t>m latviešiem Latvijā un pasaulē</w:t>
      </w:r>
      <w:r w:rsidRPr="00D93112">
        <w:rPr>
          <w:rFonts w:ascii="Times New Roman" w:hAnsi="Times New Roman" w:cs="Times New Roman"/>
          <w:sz w:val="24"/>
          <w:szCs w:val="24"/>
        </w:rPr>
        <w:t xml:space="preserve"> un veicināt inovāciju, finanšu investīciju un zināšanu kapitāla piesaisti Latvijai, kā arī ārvalstu investīcijām pievilcīgas un godīgas uzņēmējdarbības un tiesiskās vides izveidi Latvijā.</w:t>
      </w:r>
    </w:p>
    <w:p w:rsidR="00A60833" w:rsidRPr="00D93112" w:rsidRDefault="00A60833" w:rsidP="00A60833">
      <w:pPr>
        <w:spacing w:after="0" w:line="240" w:lineRule="auto"/>
        <w:ind w:firstLine="720"/>
        <w:jc w:val="both"/>
        <w:rPr>
          <w:rFonts w:ascii="Times New Roman" w:hAnsi="Times New Roman" w:cs="Times New Roman"/>
          <w:sz w:val="24"/>
          <w:szCs w:val="24"/>
        </w:rPr>
      </w:pPr>
      <w:r w:rsidRPr="00D93112">
        <w:rPr>
          <w:rFonts w:ascii="Times New Roman" w:hAnsi="Times New Roman" w:cs="Times New Roman"/>
          <w:sz w:val="24"/>
          <w:szCs w:val="24"/>
        </w:rPr>
        <w:t xml:space="preserve">Tika iesākts projekts </w:t>
      </w:r>
      <w:r w:rsidR="00B167ED">
        <w:rPr>
          <w:rFonts w:ascii="Times New Roman" w:hAnsi="Times New Roman" w:cs="Times New Roman"/>
          <w:sz w:val="24"/>
          <w:szCs w:val="24"/>
        </w:rPr>
        <w:t>"</w:t>
      </w:r>
      <w:r w:rsidRPr="00D93112">
        <w:rPr>
          <w:rFonts w:ascii="Times New Roman" w:hAnsi="Times New Roman" w:cs="Times New Roman"/>
          <w:sz w:val="24"/>
          <w:szCs w:val="24"/>
        </w:rPr>
        <w:t>Globālais latvietis</w:t>
      </w:r>
      <w:r w:rsidR="00B167ED">
        <w:rPr>
          <w:rFonts w:ascii="Times New Roman" w:hAnsi="Times New Roman" w:cs="Times New Roman"/>
          <w:sz w:val="24"/>
          <w:szCs w:val="24"/>
        </w:rPr>
        <w:t>"</w:t>
      </w:r>
      <w:r w:rsidRPr="00D93112">
        <w:rPr>
          <w:rFonts w:ascii="Times New Roman" w:hAnsi="Times New Roman" w:cs="Times New Roman"/>
          <w:sz w:val="24"/>
          <w:szCs w:val="24"/>
        </w:rPr>
        <w:t xml:space="preserve"> pasaulē izkliedēto tautiešu komunikācijas platformas attīstībai, kā arī viņu </w:t>
      </w:r>
      <w:r w:rsidR="00022E35">
        <w:rPr>
          <w:rFonts w:ascii="Times New Roman" w:hAnsi="Times New Roman" w:cs="Times New Roman"/>
          <w:sz w:val="24"/>
          <w:szCs w:val="24"/>
        </w:rPr>
        <w:t>saliedēšanai</w:t>
      </w:r>
      <w:r w:rsidRPr="00D93112">
        <w:rPr>
          <w:rFonts w:ascii="Times New Roman" w:hAnsi="Times New Roman" w:cs="Times New Roman"/>
          <w:sz w:val="24"/>
          <w:szCs w:val="24"/>
        </w:rPr>
        <w:t xml:space="preserve">. 2013.gadā šis darbs tiks padziļināts arī sadarbībā ar sociālajiem medijiem </w:t>
      </w:r>
      <w:r w:rsidR="00022E35">
        <w:rPr>
          <w:rFonts w:ascii="Times New Roman" w:hAnsi="Times New Roman" w:cs="Times New Roman"/>
          <w:sz w:val="24"/>
          <w:szCs w:val="24"/>
        </w:rPr>
        <w:t>un</w:t>
      </w:r>
      <w:r w:rsidRPr="00D93112">
        <w:rPr>
          <w:rFonts w:ascii="Times New Roman" w:hAnsi="Times New Roman" w:cs="Times New Roman"/>
          <w:sz w:val="24"/>
          <w:szCs w:val="24"/>
        </w:rPr>
        <w:t xml:space="preserve"> pētniekiem, </w:t>
      </w:r>
      <w:r w:rsidR="00022E35" w:rsidRPr="00D93112">
        <w:rPr>
          <w:rFonts w:ascii="Times New Roman" w:hAnsi="Times New Roman" w:cs="Times New Roman"/>
          <w:sz w:val="24"/>
          <w:szCs w:val="24"/>
        </w:rPr>
        <w:t xml:space="preserve">kā arī </w:t>
      </w:r>
      <w:r w:rsidRPr="00D93112">
        <w:rPr>
          <w:rFonts w:ascii="Times New Roman" w:hAnsi="Times New Roman" w:cs="Times New Roman"/>
          <w:sz w:val="24"/>
          <w:szCs w:val="24"/>
        </w:rPr>
        <w:t xml:space="preserve">piedaloties PBLA un LTRK iniciētā </w:t>
      </w:r>
      <w:r w:rsidR="00B167ED">
        <w:rPr>
          <w:rFonts w:ascii="Times New Roman" w:hAnsi="Times New Roman" w:cs="Times New Roman"/>
          <w:sz w:val="24"/>
          <w:szCs w:val="24"/>
        </w:rPr>
        <w:t>"</w:t>
      </w:r>
      <w:r w:rsidRPr="00D93112">
        <w:rPr>
          <w:rFonts w:ascii="Times New Roman" w:hAnsi="Times New Roman" w:cs="Times New Roman"/>
          <w:sz w:val="24"/>
          <w:szCs w:val="24"/>
        </w:rPr>
        <w:t>Pasaules ekonomikas un inovāciju foruma</w:t>
      </w:r>
      <w:r w:rsidR="00B167ED">
        <w:rPr>
          <w:rFonts w:ascii="Times New Roman" w:hAnsi="Times New Roman" w:cs="Times New Roman"/>
          <w:sz w:val="24"/>
          <w:szCs w:val="24"/>
        </w:rPr>
        <w:t>"</w:t>
      </w:r>
      <w:r w:rsidRPr="00D93112">
        <w:rPr>
          <w:rFonts w:ascii="Times New Roman" w:hAnsi="Times New Roman" w:cs="Times New Roman"/>
          <w:sz w:val="24"/>
          <w:szCs w:val="24"/>
        </w:rPr>
        <w:t xml:space="preserve"> rīkošanā. </w:t>
      </w:r>
    </w:p>
    <w:p w:rsidR="00FD601E" w:rsidRPr="00FD601E" w:rsidRDefault="00FD601E" w:rsidP="002F79C3">
      <w:pPr>
        <w:spacing w:after="0" w:line="240" w:lineRule="auto"/>
        <w:rPr>
          <w:rFonts w:ascii="Times New Roman" w:hAnsi="Times New Roman" w:cs="Times New Roman"/>
          <w:sz w:val="24"/>
          <w:szCs w:val="24"/>
        </w:rPr>
      </w:pPr>
    </w:p>
    <w:p w:rsidR="00FD601E" w:rsidRPr="00FD601E" w:rsidRDefault="00FD601E" w:rsidP="002F79C3">
      <w:pPr>
        <w:pStyle w:val="Heading2"/>
        <w:numPr>
          <w:ilvl w:val="0"/>
          <w:numId w:val="40"/>
        </w:numPr>
        <w:spacing w:before="0" w:line="240" w:lineRule="auto"/>
        <w:ind w:left="284" w:hanging="284"/>
      </w:pPr>
      <w:bookmarkStart w:id="190" w:name="_Toc348948450"/>
      <w:r w:rsidRPr="002F79C3">
        <w:t>Aizsardzības</w:t>
      </w:r>
      <w:r w:rsidRPr="00FD601E">
        <w:t xml:space="preserve"> politika</w:t>
      </w:r>
      <w:bookmarkEnd w:id="190"/>
      <w:r w:rsidRPr="00FD601E">
        <w:t xml:space="preserve"> </w:t>
      </w:r>
    </w:p>
    <w:p w:rsidR="00FD601E" w:rsidRPr="00FD601E" w:rsidRDefault="00FD601E" w:rsidP="002F79C3">
      <w:pPr>
        <w:spacing w:after="0" w:line="240" w:lineRule="auto"/>
        <w:rPr>
          <w:rFonts w:ascii="Times New Roman" w:hAnsi="Times New Roman" w:cs="Times New Roman"/>
          <w:sz w:val="24"/>
          <w:szCs w:val="24"/>
        </w:rPr>
      </w:pPr>
    </w:p>
    <w:p w:rsidR="00FD601E" w:rsidRPr="00FD601E" w:rsidRDefault="00FD601E" w:rsidP="002F79C3">
      <w:pPr>
        <w:pStyle w:val="Heading3"/>
        <w:spacing w:before="0" w:line="240" w:lineRule="auto"/>
        <w:rPr>
          <w:rFonts w:cs="Times New Roman"/>
          <w:szCs w:val="24"/>
        </w:rPr>
      </w:pPr>
      <w:bookmarkStart w:id="191" w:name="_Toc348948451"/>
      <w:r w:rsidRPr="00FD601E">
        <w:rPr>
          <w:rFonts w:cs="Times New Roman"/>
          <w:szCs w:val="24"/>
        </w:rPr>
        <w:t>2.1. Latvijas īstenotā aizsardzības politika</w:t>
      </w:r>
      <w:bookmarkEnd w:id="191"/>
    </w:p>
    <w:p w:rsidR="00BC6E02" w:rsidRPr="00B25511"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B25511">
        <w:rPr>
          <w:rFonts w:ascii="Times New Roman" w:eastAsia="Calibri" w:hAnsi="Times New Roman"/>
          <w:color w:val="000000"/>
          <w:sz w:val="24"/>
          <w:szCs w:val="24"/>
          <w:lang w:eastAsia="en-US"/>
        </w:rPr>
        <w:t>2012.gada 10.maijā Saeima vienbalsīgi apstiprināja Valsts aizsardzības koncepciju, kas iezīmē stratēģiju val</w:t>
      </w:r>
      <w:r w:rsidR="00BE63A0">
        <w:rPr>
          <w:rFonts w:ascii="Times New Roman" w:eastAsia="Calibri" w:hAnsi="Times New Roman"/>
          <w:color w:val="000000"/>
          <w:sz w:val="24"/>
          <w:szCs w:val="24"/>
          <w:lang w:eastAsia="en-US"/>
        </w:rPr>
        <w:t>sts aizsardzības nodrošināšanai</w:t>
      </w:r>
      <w:r w:rsidRPr="00B25511">
        <w:rPr>
          <w:rFonts w:ascii="Times New Roman" w:eastAsia="Calibri" w:hAnsi="Times New Roman"/>
          <w:color w:val="000000"/>
          <w:sz w:val="24"/>
          <w:szCs w:val="24"/>
          <w:lang w:eastAsia="en-US"/>
        </w:rPr>
        <w:t>.</w:t>
      </w:r>
      <w:r w:rsidR="00022E35">
        <w:rPr>
          <w:rFonts w:ascii="Times New Roman" w:eastAsia="Calibri" w:hAnsi="Times New Roman"/>
          <w:color w:val="000000"/>
          <w:sz w:val="24"/>
          <w:szCs w:val="24"/>
          <w:lang w:eastAsia="en-US"/>
        </w:rPr>
        <w:t xml:space="preserve"> Atbilstoši Saeimas noteiktajam</w:t>
      </w:r>
      <w:r w:rsidRPr="00B25511">
        <w:rPr>
          <w:rFonts w:ascii="Times New Roman" w:eastAsia="Calibri" w:hAnsi="Times New Roman"/>
          <w:color w:val="000000"/>
          <w:sz w:val="24"/>
          <w:szCs w:val="24"/>
          <w:lang w:eastAsia="en-US"/>
        </w:rPr>
        <w:t xml:space="preserve"> valsts aizsardzības stratēģija ir balstīta uz Latvijas ārējā militārā apdraudējuma un citu valsts apdraudējuma risku mazināšanu ar aktīvu dalību NATO kolektīvajā aizsardzības sistēmā un minimāl</w:t>
      </w:r>
      <w:r>
        <w:rPr>
          <w:rFonts w:ascii="Times New Roman" w:eastAsia="Calibri" w:hAnsi="Times New Roman"/>
          <w:color w:val="000000"/>
          <w:sz w:val="24"/>
          <w:szCs w:val="24"/>
          <w:lang w:eastAsia="en-US"/>
        </w:rPr>
        <w:t>o</w:t>
      </w:r>
      <w:r w:rsidRPr="00B25511">
        <w:rPr>
          <w:rFonts w:ascii="Times New Roman" w:eastAsia="Calibri" w:hAnsi="Times New Roman"/>
          <w:color w:val="000000"/>
          <w:sz w:val="24"/>
          <w:szCs w:val="24"/>
          <w:lang w:eastAsia="en-US"/>
        </w:rPr>
        <w:t xml:space="preserve"> pašaizsardzības spēj</w:t>
      </w:r>
      <w:r>
        <w:rPr>
          <w:rFonts w:ascii="Times New Roman" w:eastAsia="Calibri" w:hAnsi="Times New Roman"/>
          <w:color w:val="000000"/>
          <w:sz w:val="24"/>
          <w:szCs w:val="24"/>
          <w:lang w:eastAsia="en-US"/>
        </w:rPr>
        <w:t>u attīstību</w:t>
      </w:r>
      <w:r w:rsidRPr="00B25511">
        <w:rPr>
          <w:rFonts w:ascii="Times New Roman" w:eastAsia="Calibri" w:hAnsi="Times New Roman"/>
          <w:color w:val="000000"/>
          <w:sz w:val="24"/>
          <w:szCs w:val="24"/>
          <w:lang w:eastAsia="en-US"/>
        </w:rPr>
        <w:t>, kā arī normatīvajos aktos noteikto atbalstu civilajai sabiedrībai. Savukārt</w:t>
      </w:r>
      <w:r w:rsidR="00022E35">
        <w:rPr>
          <w:rFonts w:ascii="Times New Roman" w:eastAsia="Calibri" w:hAnsi="Times New Roman"/>
          <w:color w:val="000000"/>
          <w:sz w:val="24"/>
          <w:szCs w:val="24"/>
          <w:lang w:eastAsia="en-US"/>
        </w:rPr>
        <w:t>,</w:t>
      </w:r>
      <w:r w:rsidRPr="00B25511">
        <w:rPr>
          <w:rFonts w:ascii="Times New Roman" w:eastAsia="Calibri" w:hAnsi="Times New Roman"/>
          <w:color w:val="000000"/>
          <w:sz w:val="24"/>
          <w:szCs w:val="24"/>
          <w:lang w:eastAsia="en-US"/>
        </w:rPr>
        <w:t xml:space="preserve"> attīstot agrās brīdināšanas, minimālās pašaizsardzības un uzņemošās valsts atbalsta spējas, kā arī preventīvos līdzekļus</w:t>
      </w:r>
      <w:r w:rsidR="00022E35">
        <w:rPr>
          <w:rFonts w:ascii="Times New Roman" w:eastAsia="Calibri" w:hAnsi="Times New Roman"/>
          <w:color w:val="000000"/>
          <w:sz w:val="24"/>
          <w:szCs w:val="24"/>
          <w:lang w:eastAsia="en-US"/>
        </w:rPr>
        <w:t>,</w:t>
      </w:r>
      <w:r w:rsidRPr="00B25511">
        <w:rPr>
          <w:rFonts w:ascii="Times New Roman" w:eastAsia="Calibri" w:hAnsi="Times New Roman"/>
          <w:color w:val="000000"/>
          <w:sz w:val="24"/>
          <w:szCs w:val="24"/>
          <w:lang w:eastAsia="en-US"/>
        </w:rPr>
        <w:t xml:space="preserve"> tiek attīstīta</w:t>
      </w:r>
      <w:r>
        <w:rPr>
          <w:rFonts w:ascii="Times New Roman" w:eastAsia="Calibri" w:hAnsi="Times New Roman"/>
          <w:color w:val="000000"/>
          <w:sz w:val="24"/>
          <w:szCs w:val="24"/>
          <w:lang w:eastAsia="en-US"/>
        </w:rPr>
        <w:t>s</w:t>
      </w:r>
      <w:r w:rsidRPr="00B25511">
        <w:rPr>
          <w:rFonts w:ascii="Times New Roman" w:eastAsia="Calibri" w:hAnsi="Times New Roman"/>
          <w:color w:val="000000"/>
          <w:sz w:val="24"/>
          <w:szCs w:val="24"/>
          <w:lang w:eastAsia="en-US"/>
        </w:rPr>
        <w:t xml:space="preserve"> valsts aizsardzības spējas atbildēt uz tradicionālajiem un citiem drošības izaicinājumiem.</w:t>
      </w:r>
    </w:p>
    <w:p w:rsidR="00BC6E02" w:rsidRPr="008559A9"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B25511">
        <w:rPr>
          <w:rFonts w:ascii="Times New Roman" w:eastAsia="Calibri" w:hAnsi="Times New Roman"/>
          <w:color w:val="000000"/>
          <w:sz w:val="24"/>
          <w:szCs w:val="24"/>
          <w:lang w:eastAsia="en-US"/>
        </w:rPr>
        <w:t>Koncepcija iezīmē skaidras vadlīnijas un galamērķus aizsardzības sistēmas un NBS pēctecī</w:t>
      </w:r>
      <w:r w:rsidR="00BE63A0">
        <w:rPr>
          <w:rFonts w:ascii="Times New Roman" w:eastAsia="Calibri" w:hAnsi="Times New Roman"/>
          <w:color w:val="000000"/>
          <w:sz w:val="24"/>
          <w:szCs w:val="24"/>
          <w:lang w:eastAsia="en-US"/>
        </w:rPr>
        <w:t xml:space="preserve">gai un plānveidīgai attīstībai, kā arī definē </w:t>
      </w:r>
      <w:r w:rsidRPr="008559A9">
        <w:rPr>
          <w:rFonts w:ascii="Times New Roman" w:eastAsia="Calibri" w:hAnsi="Times New Roman"/>
          <w:color w:val="000000"/>
          <w:sz w:val="24"/>
          <w:szCs w:val="24"/>
          <w:lang w:eastAsia="en-US"/>
        </w:rPr>
        <w:t>skaidri izmērāmus sasniedzamos rezultātus, piemēram, nosakot, ka bruņoto spēku administratīvais aparāts nedrīkst būt lielāks par 10</w:t>
      </w:r>
      <w:r w:rsidR="00111406">
        <w:rPr>
          <w:rFonts w:ascii="Times New Roman" w:eastAsia="Calibri" w:hAnsi="Times New Roman"/>
          <w:color w:val="000000"/>
          <w:sz w:val="24"/>
          <w:szCs w:val="24"/>
          <w:lang w:eastAsia="en-US"/>
        </w:rPr>
        <w:t> %</w:t>
      </w:r>
      <w:r w:rsidRPr="008559A9">
        <w:rPr>
          <w:rFonts w:ascii="Times New Roman" w:eastAsia="Calibri" w:hAnsi="Times New Roman"/>
          <w:color w:val="000000"/>
          <w:sz w:val="24"/>
          <w:szCs w:val="24"/>
          <w:lang w:eastAsia="en-US"/>
        </w:rPr>
        <w:t xml:space="preserve"> no k</w:t>
      </w:r>
      <w:r w:rsidR="00022E35">
        <w:rPr>
          <w:rFonts w:ascii="Times New Roman" w:eastAsia="Calibri" w:hAnsi="Times New Roman"/>
          <w:color w:val="000000"/>
          <w:sz w:val="24"/>
          <w:szCs w:val="24"/>
          <w:lang w:eastAsia="en-US"/>
        </w:rPr>
        <w:t>opējā personālsastāva, savukārt</w:t>
      </w:r>
      <w:r w:rsidRPr="008559A9">
        <w:rPr>
          <w:rFonts w:ascii="Times New Roman" w:eastAsia="Calibri" w:hAnsi="Times New Roman"/>
          <w:color w:val="000000"/>
          <w:sz w:val="24"/>
          <w:szCs w:val="24"/>
          <w:lang w:eastAsia="en-US"/>
        </w:rPr>
        <w:t xml:space="preserve"> ne mazāk kā 20</w:t>
      </w:r>
      <w:r w:rsidR="00111406">
        <w:rPr>
          <w:rFonts w:ascii="Times New Roman" w:eastAsia="Calibri" w:hAnsi="Times New Roman"/>
          <w:color w:val="000000"/>
          <w:sz w:val="24"/>
          <w:szCs w:val="24"/>
          <w:lang w:eastAsia="en-US"/>
        </w:rPr>
        <w:t> %</w:t>
      </w:r>
      <w:r w:rsidRPr="008559A9">
        <w:rPr>
          <w:rFonts w:ascii="Times New Roman" w:eastAsia="Calibri" w:hAnsi="Times New Roman"/>
          <w:color w:val="000000"/>
          <w:sz w:val="24"/>
          <w:szCs w:val="24"/>
          <w:lang w:eastAsia="en-US"/>
        </w:rPr>
        <w:t xml:space="preserve"> no finansējuma jānovirza attīstības projektiem un ne mazāk kā 50</w:t>
      </w:r>
      <w:r w:rsidR="00111406">
        <w:rPr>
          <w:rFonts w:ascii="Times New Roman" w:eastAsia="Calibri" w:hAnsi="Times New Roman"/>
          <w:color w:val="000000"/>
          <w:sz w:val="24"/>
          <w:szCs w:val="24"/>
          <w:lang w:eastAsia="en-US"/>
        </w:rPr>
        <w:t> %</w:t>
      </w:r>
      <w:r w:rsidRPr="008559A9">
        <w:rPr>
          <w:rFonts w:ascii="Times New Roman" w:eastAsia="Calibri" w:hAnsi="Times New Roman"/>
          <w:color w:val="000000"/>
          <w:sz w:val="24"/>
          <w:szCs w:val="24"/>
          <w:lang w:eastAsia="en-US"/>
        </w:rPr>
        <w:t xml:space="preserve"> no NBS kopējā profesionālā dienesta karavīriem jābūt sagatavotiem dalībai starptautiskajās operācijās. </w:t>
      </w:r>
    </w:p>
    <w:p w:rsidR="00BC6E02" w:rsidRPr="00B072F8"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8559A9">
        <w:rPr>
          <w:rFonts w:ascii="Times New Roman" w:eastAsia="Calibri" w:hAnsi="Times New Roman"/>
          <w:color w:val="000000"/>
          <w:sz w:val="24"/>
          <w:szCs w:val="24"/>
          <w:lang w:eastAsia="en-US"/>
        </w:rPr>
        <w:t>Koncepcijā n</w:t>
      </w:r>
      <w:r w:rsidRPr="00B25511">
        <w:rPr>
          <w:rFonts w:ascii="Times New Roman" w:eastAsia="Calibri" w:hAnsi="Times New Roman"/>
          <w:color w:val="000000"/>
          <w:sz w:val="24"/>
          <w:szCs w:val="24"/>
          <w:lang w:eastAsia="en-US"/>
        </w:rPr>
        <w:t xml:space="preserve">oteikts indikatīvais mērķis </w:t>
      </w:r>
      <w:r w:rsidRPr="00B25511">
        <w:rPr>
          <w:rFonts w:ascii="Times New Roman" w:hAnsi="Times New Roman"/>
          <w:sz w:val="24"/>
          <w:szCs w:val="24"/>
        </w:rPr>
        <w:t>līdz 2020.gadam sasniegt valsts aizsardzības finansējuma apmēru līdz 2</w:t>
      </w:r>
      <w:r w:rsidR="00111406">
        <w:rPr>
          <w:rFonts w:ascii="Times New Roman" w:hAnsi="Times New Roman"/>
          <w:sz w:val="24"/>
          <w:szCs w:val="24"/>
        </w:rPr>
        <w:t> %</w:t>
      </w:r>
      <w:r w:rsidRPr="00B25511">
        <w:rPr>
          <w:rFonts w:ascii="Times New Roman" w:hAnsi="Times New Roman"/>
          <w:sz w:val="24"/>
          <w:szCs w:val="24"/>
        </w:rPr>
        <w:t xml:space="preserve"> no IKP, ņemot vērā valsts ekonomisko situāciju un valsts budžeta iespējas</w:t>
      </w:r>
      <w:r w:rsidRPr="00284365">
        <w:rPr>
          <w:rFonts w:ascii="Times New Roman" w:eastAsia="Calibri" w:hAnsi="Times New Roman"/>
          <w:color w:val="000000"/>
          <w:sz w:val="24"/>
          <w:szCs w:val="24"/>
          <w:lang w:eastAsia="en-US"/>
        </w:rPr>
        <w:t>, tād</w:t>
      </w:r>
      <w:r w:rsidR="00022E35">
        <w:rPr>
          <w:rFonts w:ascii="Times New Roman" w:eastAsia="Calibri" w:hAnsi="Times New Roman"/>
          <w:color w:val="000000"/>
          <w:sz w:val="24"/>
          <w:szCs w:val="24"/>
          <w:lang w:eastAsia="en-US"/>
        </w:rPr>
        <w:t>ē</w:t>
      </w:r>
      <w:r w:rsidRPr="00284365">
        <w:rPr>
          <w:rFonts w:ascii="Times New Roman" w:eastAsia="Calibri" w:hAnsi="Times New Roman"/>
          <w:color w:val="000000"/>
          <w:sz w:val="24"/>
          <w:szCs w:val="24"/>
          <w:lang w:eastAsia="en-US"/>
        </w:rPr>
        <w:t>jādi nodrošinot arī skaidru plānošanas perspektīvu NBS tālākai attīstībai un galveno prioritāšu sasniegšanai. Šīs prioritātes ir saistītas ar sauszemes spē</w:t>
      </w:r>
      <w:r w:rsidRPr="005E0530">
        <w:rPr>
          <w:rFonts w:ascii="Times New Roman" w:eastAsia="Calibri" w:hAnsi="Times New Roman"/>
          <w:color w:val="000000"/>
          <w:sz w:val="24"/>
          <w:szCs w:val="24"/>
          <w:lang w:eastAsia="en-US"/>
        </w:rPr>
        <w:t>ku kā NBS kodola attīstību, integrāciju starp Baltijas valstīm un ciešāku Zemessardzes iesaisti NBS uz</w:t>
      </w:r>
      <w:r w:rsidRPr="00B072F8">
        <w:rPr>
          <w:rFonts w:ascii="Times New Roman" w:eastAsia="Calibri" w:hAnsi="Times New Roman"/>
          <w:color w:val="000000"/>
          <w:sz w:val="24"/>
          <w:szCs w:val="24"/>
          <w:lang w:eastAsia="en-US"/>
        </w:rPr>
        <w:t>devumu veikšanā.</w:t>
      </w:r>
    </w:p>
    <w:p w:rsidR="00BC6E02" w:rsidRPr="00B072F8"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B072F8">
        <w:rPr>
          <w:rFonts w:ascii="Times New Roman" w:eastAsia="Calibri" w:hAnsi="Times New Roman"/>
          <w:color w:val="000000"/>
          <w:sz w:val="24"/>
          <w:szCs w:val="24"/>
          <w:lang w:eastAsia="en-US"/>
        </w:rPr>
        <w:t xml:space="preserve">2012.gadā izdevies pievērst lielāku uzmanību pieaugošam apdraudējumam Latvijas informācijas telpā, organizējot vairākas publiskās diskusijas ar dažādu nozaru ekspertiem, kā arī stiprinot NBS spējas cīņai </w:t>
      </w:r>
      <w:r w:rsidR="00BE63A0">
        <w:rPr>
          <w:rFonts w:ascii="Times New Roman" w:eastAsia="Calibri" w:hAnsi="Times New Roman"/>
          <w:color w:val="000000"/>
          <w:sz w:val="24"/>
          <w:szCs w:val="24"/>
          <w:lang w:eastAsia="en-US"/>
        </w:rPr>
        <w:t>ar šiem riskiem</w:t>
      </w:r>
      <w:r w:rsidRPr="00B072F8">
        <w:rPr>
          <w:rFonts w:ascii="Times New Roman" w:eastAsia="Calibri" w:hAnsi="Times New Roman"/>
          <w:color w:val="000000"/>
          <w:sz w:val="24"/>
          <w:szCs w:val="24"/>
          <w:lang w:eastAsia="en-US"/>
        </w:rPr>
        <w:t xml:space="preserve">. </w:t>
      </w:r>
      <w:r w:rsidR="00BE63A0">
        <w:rPr>
          <w:rFonts w:ascii="Times New Roman" w:eastAsia="Calibri" w:hAnsi="Times New Roman"/>
          <w:color w:val="000000"/>
          <w:sz w:val="24"/>
          <w:szCs w:val="24"/>
          <w:lang w:eastAsia="en-US"/>
        </w:rPr>
        <w:t xml:space="preserve">Informācijas telpas apdraudējums ir aktuāls arī citām NATO dalībvalstīm, </w:t>
      </w:r>
      <w:r w:rsidRPr="00B072F8">
        <w:rPr>
          <w:rFonts w:ascii="Times New Roman" w:eastAsia="Calibri" w:hAnsi="Times New Roman"/>
          <w:color w:val="000000"/>
          <w:sz w:val="24"/>
          <w:szCs w:val="24"/>
          <w:lang w:eastAsia="en-US"/>
        </w:rPr>
        <w:t>tāpēc 2013.gadā sadarbībā ar citām valstīm tiks meklēti kopīgi risinājumi šī apdraudējuma mazināšanai.</w:t>
      </w:r>
    </w:p>
    <w:p w:rsidR="00BC6E02" w:rsidRPr="00B072F8" w:rsidRDefault="00BE63A0"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Pr>
          <w:rFonts w:ascii="Times New Roman" w:hAnsi="Times New Roman"/>
          <w:color w:val="000000"/>
          <w:sz w:val="24"/>
          <w:szCs w:val="24"/>
        </w:rPr>
        <w:t>Plānots, ka</w:t>
      </w:r>
      <w:r w:rsidR="00BC6E02" w:rsidRPr="00B072F8">
        <w:rPr>
          <w:rFonts w:ascii="Times New Roman" w:hAnsi="Times New Roman"/>
          <w:color w:val="000000"/>
          <w:sz w:val="24"/>
          <w:szCs w:val="24"/>
        </w:rPr>
        <w:t xml:space="preserve"> 2013.gada decembrī notiks Eiropadome, kas būs veltīta Eiropas aizsardzības nākotnei. Gatavojoties šai diskusijai</w:t>
      </w:r>
      <w:r w:rsidR="00BC6E02">
        <w:rPr>
          <w:rFonts w:ascii="Times New Roman" w:hAnsi="Times New Roman"/>
          <w:color w:val="000000"/>
          <w:sz w:val="24"/>
          <w:szCs w:val="24"/>
        </w:rPr>
        <w:t xml:space="preserve">, </w:t>
      </w:r>
      <w:r w:rsidR="00BC6E02" w:rsidRPr="00D25BDB">
        <w:rPr>
          <w:rFonts w:ascii="Times New Roman" w:hAnsi="Times New Roman"/>
          <w:color w:val="000000"/>
          <w:sz w:val="24"/>
          <w:szCs w:val="24"/>
        </w:rPr>
        <w:t xml:space="preserve">Latvijas </w:t>
      </w:r>
      <w:r>
        <w:rPr>
          <w:rFonts w:ascii="Times New Roman" w:hAnsi="Times New Roman"/>
          <w:color w:val="000000"/>
          <w:sz w:val="24"/>
          <w:szCs w:val="24"/>
        </w:rPr>
        <w:t>interesēs</w:t>
      </w:r>
      <w:r w:rsidR="00BC6E02" w:rsidRPr="00D25BDB">
        <w:rPr>
          <w:rFonts w:ascii="Times New Roman" w:hAnsi="Times New Roman"/>
          <w:color w:val="000000"/>
          <w:sz w:val="24"/>
          <w:szCs w:val="24"/>
        </w:rPr>
        <w:t xml:space="preserve"> ir</w:t>
      </w:r>
      <w:r>
        <w:rPr>
          <w:rFonts w:ascii="Times New Roman" w:hAnsi="Times New Roman"/>
          <w:color w:val="000000"/>
          <w:sz w:val="24"/>
          <w:szCs w:val="24"/>
        </w:rPr>
        <w:t xml:space="preserve"> </w:t>
      </w:r>
      <w:r w:rsidR="00BC6E02" w:rsidRPr="00D25BDB">
        <w:rPr>
          <w:rFonts w:ascii="Times New Roman" w:hAnsi="Times New Roman"/>
          <w:color w:val="000000"/>
          <w:sz w:val="24"/>
          <w:szCs w:val="24"/>
        </w:rPr>
        <w:t>nodrošināt, lai valstu un valdību vadītāju līmenī noritētu stratēģiska diskusija par ES mērķiem militārajā jomā, t.i.</w:t>
      </w:r>
      <w:r w:rsidR="00022E35">
        <w:rPr>
          <w:rFonts w:ascii="Times New Roman" w:hAnsi="Times New Roman"/>
          <w:color w:val="000000"/>
          <w:sz w:val="24"/>
          <w:szCs w:val="24"/>
        </w:rPr>
        <w:t>,</w:t>
      </w:r>
      <w:r w:rsidR="00BC6E02" w:rsidRPr="00D25BDB">
        <w:rPr>
          <w:rFonts w:ascii="Times New Roman" w:hAnsi="Times New Roman"/>
          <w:color w:val="000000"/>
          <w:sz w:val="24"/>
          <w:szCs w:val="24"/>
        </w:rPr>
        <w:t xml:space="preserve"> par ģeogrāfisko tvērumu, operāciju intensitāti un citiem aspektiem. </w:t>
      </w:r>
    </w:p>
    <w:p w:rsidR="00FD601E" w:rsidRPr="00FD601E" w:rsidRDefault="00FD601E" w:rsidP="00FD601E">
      <w:pPr>
        <w:pStyle w:val="Heading3"/>
        <w:rPr>
          <w:rFonts w:cs="Times New Roman"/>
          <w:szCs w:val="24"/>
        </w:rPr>
      </w:pPr>
      <w:bookmarkStart w:id="192" w:name="_Toc348948452"/>
      <w:r w:rsidRPr="00FD601E">
        <w:rPr>
          <w:rFonts w:cs="Times New Roman"/>
          <w:szCs w:val="24"/>
        </w:rPr>
        <w:lastRenderedPageBreak/>
        <w:t>2.2. Latvijas dalība transatlantiskajā drošības telpā</w:t>
      </w:r>
      <w:bookmarkEnd w:id="192"/>
    </w:p>
    <w:p w:rsidR="00BC6E02" w:rsidRPr="008559A9" w:rsidRDefault="00BC6E02" w:rsidP="00BC6E02">
      <w:pPr>
        <w:spacing w:after="0" w:line="240" w:lineRule="auto"/>
        <w:ind w:right="2" w:firstLine="720"/>
        <w:jc w:val="both"/>
        <w:rPr>
          <w:rFonts w:ascii="Times New Roman" w:hAnsi="Times New Roman"/>
          <w:sz w:val="24"/>
          <w:szCs w:val="24"/>
        </w:rPr>
      </w:pPr>
      <w:r w:rsidRPr="008559A9">
        <w:rPr>
          <w:rFonts w:ascii="Times New Roman" w:hAnsi="Times New Roman"/>
          <w:sz w:val="24"/>
          <w:szCs w:val="24"/>
        </w:rPr>
        <w:t xml:space="preserve">Čikāgas samita laikā 2012.gada 20.–21.maijā NATO apstiprināja ilgtermiņa risinājumu NATO gaisa telpas patrulēšanas operācijai Baltijas valstīs, kas paredz </w:t>
      </w:r>
      <w:r w:rsidR="00022E35">
        <w:rPr>
          <w:rFonts w:ascii="Times New Roman" w:hAnsi="Times New Roman"/>
          <w:sz w:val="24"/>
          <w:szCs w:val="24"/>
        </w:rPr>
        <w:t>patrulēt</w:t>
      </w:r>
      <w:r w:rsidRPr="008559A9">
        <w:rPr>
          <w:rFonts w:ascii="Times New Roman" w:hAnsi="Times New Roman"/>
          <w:sz w:val="24"/>
          <w:szCs w:val="24"/>
        </w:rPr>
        <w:t xml:space="preserve"> Baltijas valstu gaisa telp</w:t>
      </w:r>
      <w:r w:rsidR="00022E35">
        <w:rPr>
          <w:rFonts w:ascii="Times New Roman" w:hAnsi="Times New Roman"/>
          <w:sz w:val="24"/>
          <w:szCs w:val="24"/>
        </w:rPr>
        <w:t>ā</w:t>
      </w:r>
      <w:r w:rsidRPr="008559A9">
        <w:rPr>
          <w:rFonts w:ascii="Times New Roman" w:hAnsi="Times New Roman"/>
          <w:sz w:val="24"/>
          <w:szCs w:val="24"/>
        </w:rPr>
        <w:t xml:space="preserve"> arī pēc iepriekš noteiktā termiņa 2014.gada beigās, kad būs pagājuši jau 10 gadi kopš Latvijas iestāšanās aliansē un šīs operācijas sākuma. </w:t>
      </w:r>
    </w:p>
    <w:p w:rsidR="00BC6E02" w:rsidRPr="00B25511" w:rsidRDefault="00BC6E02" w:rsidP="00BC6E02">
      <w:pPr>
        <w:spacing w:after="0" w:line="240" w:lineRule="auto"/>
        <w:ind w:right="2" w:firstLine="720"/>
        <w:jc w:val="both"/>
        <w:rPr>
          <w:rFonts w:ascii="Times New Roman" w:hAnsi="Times New Roman"/>
          <w:sz w:val="24"/>
          <w:szCs w:val="24"/>
        </w:rPr>
      </w:pPr>
      <w:r w:rsidRPr="008559A9">
        <w:rPr>
          <w:rFonts w:ascii="Times New Roman" w:hAnsi="Times New Roman"/>
          <w:sz w:val="24"/>
          <w:szCs w:val="24"/>
        </w:rPr>
        <w:t>Vienlaikus ņemot vērā operācijas dalībvalstu izteiktās bažas par nepietiekamo Baltijas valstu atbalstu operācijas nodrošināšanai, 2012.gada 8.jūnijā trīs Baltijas valstu aizsardzības ministri pieņēma lēmumu par jauniem atbalsta nosacījumiem, kas paredz pakāpeniski palielināt Baltijas valstu ieguldījum</w:t>
      </w:r>
      <w:r w:rsidRPr="00B25511">
        <w:rPr>
          <w:rFonts w:ascii="Times New Roman" w:hAnsi="Times New Roman"/>
          <w:sz w:val="24"/>
          <w:szCs w:val="24"/>
        </w:rPr>
        <w:t xml:space="preserve">u operācijas norisē, kā arī piedāvā NATO valstu gaisa kuģiem papildu apmācību iespējas. </w:t>
      </w:r>
    </w:p>
    <w:p w:rsidR="00BC6E02" w:rsidRPr="00B072F8" w:rsidRDefault="00BC6E02" w:rsidP="00BC6E02">
      <w:pPr>
        <w:spacing w:after="0" w:line="240" w:lineRule="auto"/>
        <w:ind w:right="2" w:firstLine="720"/>
        <w:jc w:val="both"/>
        <w:rPr>
          <w:rFonts w:ascii="Times New Roman" w:hAnsi="Times New Roman"/>
          <w:sz w:val="24"/>
          <w:szCs w:val="24"/>
        </w:rPr>
      </w:pPr>
      <w:r w:rsidRPr="00B25511">
        <w:rPr>
          <w:rFonts w:ascii="Times New Roman" w:hAnsi="Times New Roman"/>
          <w:sz w:val="24"/>
          <w:szCs w:val="24"/>
        </w:rPr>
        <w:t>NATO mācību norise Latvijā ir nepārprotams pierādījums alianses klātbūtnei un aktīvai Latvijas dalībai transatlantiskajā drošības telpā. 2012.gada jūlijā visās Baltijas valstīs vienlai</w:t>
      </w:r>
      <w:r w:rsidR="00022E35">
        <w:rPr>
          <w:rFonts w:ascii="Times New Roman" w:hAnsi="Times New Roman"/>
          <w:sz w:val="24"/>
          <w:szCs w:val="24"/>
        </w:rPr>
        <w:t>kus</w:t>
      </w:r>
      <w:r w:rsidRPr="00B25511">
        <w:rPr>
          <w:rFonts w:ascii="Times New Roman" w:hAnsi="Times New Roman"/>
          <w:sz w:val="24"/>
          <w:szCs w:val="24"/>
        </w:rPr>
        <w:t xml:space="preserve"> notika militārās mācības </w:t>
      </w:r>
      <w:r w:rsidR="00B167ED">
        <w:rPr>
          <w:rFonts w:ascii="Times New Roman" w:hAnsi="Times New Roman"/>
          <w:sz w:val="24"/>
          <w:szCs w:val="24"/>
        </w:rPr>
        <w:t>"</w:t>
      </w:r>
      <w:r w:rsidRPr="00284365">
        <w:rPr>
          <w:rFonts w:ascii="Times New Roman" w:hAnsi="Times New Roman"/>
          <w:i/>
          <w:sz w:val="24"/>
          <w:szCs w:val="24"/>
        </w:rPr>
        <w:t>Baltic Host</w:t>
      </w:r>
      <w:r w:rsidR="00B167ED">
        <w:rPr>
          <w:rFonts w:ascii="Times New Roman" w:hAnsi="Times New Roman"/>
          <w:sz w:val="24"/>
          <w:szCs w:val="24"/>
        </w:rPr>
        <w:t>"</w:t>
      </w:r>
      <w:r w:rsidRPr="00284365">
        <w:rPr>
          <w:rFonts w:ascii="Times New Roman" w:hAnsi="Times New Roman"/>
          <w:sz w:val="24"/>
          <w:szCs w:val="24"/>
        </w:rPr>
        <w:t xml:space="preserve">, kuru laikā tika simulēta starpinstitūciju sadarbība </w:t>
      </w:r>
      <w:r w:rsidR="00022E35">
        <w:rPr>
          <w:rFonts w:ascii="Times New Roman" w:hAnsi="Times New Roman"/>
          <w:sz w:val="24"/>
          <w:szCs w:val="24"/>
        </w:rPr>
        <w:t>u</w:t>
      </w:r>
      <w:r w:rsidRPr="00284365">
        <w:rPr>
          <w:rFonts w:ascii="Times New Roman" w:hAnsi="Times New Roman"/>
          <w:sz w:val="24"/>
          <w:szCs w:val="24"/>
        </w:rPr>
        <w:t xml:space="preserve">zņemošās valsts atbalsta plānošanā un sniegšanā ienākošajiem bruņotajiem spēkiem. Vienlaikus tika panākta vienošanās par mācību </w:t>
      </w:r>
      <w:r w:rsidR="00B167ED">
        <w:rPr>
          <w:rFonts w:ascii="Times New Roman" w:hAnsi="Times New Roman"/>
          <w:sz w:val="24"/>
          <w:szCs w:val="24"/>
        </w:rPr>
        <w:t>"</w:t>
      </w:r>
      <w:r w:rsidRPr="005E0530">
        <w:rPr>
          <w:rFonts w:ascii="Times New Roman" w:hAnsi="Times New Roman"/>
          <w:i/>
          <w:sz w:val="24"/>
          <w:szCs w:val="24"/>
        </w:rPr>
        <w:t>Baltic Host</w:t>
      </w:r>
      <w:r w:rsidR="00B167ED">
        <w:rPr>
          <w:rFonts w:ascii="Times New Roman" w:hAnsi="Times New Roman"/>
          <w:sz w:val="24"/>
          <w:szCs w:val="24"/>
        </w:rPr>
        <w:t>"</w:t>
      </w:r>
      <w:r w:rsidRPr="005E0530">
        <w:rPr>
          <w:rFonts w:ascii="Times New Roman" w:hAnsi="Times New Roman"/>
          <w:sz w:val="24"/>
          <w:szCs w:val="24"/>
        </w:rPr>
        <w:t xml:space="preserve"> sinhronizēšanu ar NATO Reaģēšanas spēku mācībām </w:t>
      </w:r>
      <w:r w:rsidR="00B167ED">
        <w:rPr>
          <w:rFonts w:ascii="Times New Roman" w:hAnsi="Times New Roman"/>
          <w:sz w:val="24"/>
          <w:szCs w:val="24"/>
        </w:rPr>
        <w:t>"</w:t>
      </w:r>
      <w:r w:rsidRPr="00B072F8">
        <w:rPr>
          <w:rFonts w:ascii="Times New Roman" w:hAnsi="Times New Roman"/>
          <w:i/>
          <w:sz w:val="24"/>
          <w:szCs w:val="24"/>
        </w:rPr>
        <w:t>Steadfast Jazz</w:t>
      </w:r>
      <w:r w:rsidR="00B167ED">
        <w:rPr>
          <w:rFonts w:ascii="Times New Roman" w:hAnsi="Times New Roman"/>
          <w:sz w:val="24"/>
          <w:szCs w:val="24"/>
        </w:rPr>
        <w:t>"</w:t>
      </w:r>
      <w:r w:rsidRPr="00B072F8">
        <w:rPr>
          <w:rFonts w:ascii="Times New Roman" w:hAnsi="Times New Roman"/>
          <w:sz w:val="24"/>
          <w:szCs w:val="24"/>
        </w:rPr>
        <w:t xml:space="preserve"> 2013.gadā, kas būs plašākās NATO mācības reģionā.</w:t>
      </w:r>
    </w:p>
    <w:p w:rsidR="00BC6E02" w:rsidRPr="00B072F8" w:rsidRDefault="00BC6E02" w:rsidP="00BC6E02">
      <w:pPr>
        <w:autoSpaceDE w:val="0"/>
        <w:autoSpaceDN w:val="0"/>
        <w:adjustRightInd w:val="0"/>
        <w:spacing w:after="0" w:line="240" w:lineRule="auto"/>
        <w:ind w:right="2" w:firstLine="720"/>
        <w:jc w:val="both"/>
        <w:rPr>
          <w:rFonts w:ascii="Times New Roman" w:eastAsia="Calibri" w:hAnsi="Times New Roman"/>
          <w:color w:val="000000"/>
          <w:sz w:val="24"/>
          <w:szCs w:val="24"/>
          <w:lang w:eastAsia="en-US"/>
        </w:rPr>
      </w:pPr>
      <w:r w:rsidRPr="00B072F8">
        <w:rPr>
          <w:rFonts w:ascii="Times New Roman" w:eastAsia="Calibri" w:hAnsi="Times New Roman"/>
          <w:color w:val="000000"/>
          <w:sz w:val="24"/>
          <w:szCs w:val="24"/>
          <w:lang w:eastAsia="en-US"/>
        </w:rPr>
        <w:t xml:space="preserve">2012.gada septembrī jau otro gadu pēc kārtas Latvijas Nacionālajā aizsardzības akadēmijā notika NATO Sabiedroto spēku augstākās virspavēlniecības Eiropā un NATO Sabiedroto spēku Transformācijas virspavēlniecības rīkotie vingrinājumi </w:t>
      </w:r>
      <w:r w:rsidR="00B167ED">
        <w:rPr>
          <w:rFonts w:ascii="Times New Roman" w:eastAsia="Calibri" w:hAnsi="Times New Roman"/>
          <w:color w:val="000000"/>
          <w:sz w:val="24"/>
          <w:szCs w:val="24"/>
          <w:lang w:eastAsia="en-US"/>
        </w:rPr>
        <w:t>"</w:t>
      </w:r>
      <w:r w:rsidRPr="00B072F8">
        <w:rPr>
          <w:rFonts w:ascii="Times New Roman" w:eastAsia="Calibri" w:hAnsi="Times New Roman"/>
          <w:i/>
          <w:color w:val="000000"/>
          <w:sz w:val="24"/>
          <w:szCs w:val="24"/>
          <w:lang w:eastAsia="en-US"/>
        </w:rPr>
        <w:t>Steadfast Pyramid 2012</w:t>
      </w:r>
      <w:r w:rsidR="00B167ED">
        <w:rPr>
          <w:rFonts w:ascii="Times New Roman" w:eastAsia="Calibri" w:hAnsi="Times New Roman"/>
          <w:color w:val="000000"/>
          <w:sz w:val="24"/>
          <w:szCs w:val="24"/>
          <w:lang w:eastAsia="en-US"/>
        </w:rPr>
        <w:t>"</w:t>
      </w:r>
      <w:r w:rsidRPr="00B072F8">
        <w:rPr>
          <w:rFonts w:ascii="Times New Roman" w:eastAsia="Calibri" w:hAnsi="Times New Roman"/>
          <w:color w:val="000000"/>
          <w:sz w:val="24"/>
          <w:szCs w:val="24"/>
          <w:lang w:eastAsia="en-US"/>
        </w:rPr>
        <w:t xml:space="preserve"> un </w:t>
      </w:r>
      <w:r w:rsidR="00B167ED">
        <w:rPr>
          <w:rFonts w:ascii="Times New Roman" w:eastAsia="Calibri" w:hAnsi="Times New Roman"/>
          <w:color w:val="000000"/>
          <w:sz w:val="24"/>
          <w:szCs w:val="24"/>
          <w:lang w:eastAsia="en-US"/>
        </w:rPr>
        <w:t>"</w:t>
      </w:r>
      <w:r w:rsidRPr="00B072F8">
        <w:rPr>
          <w:rFonts w:ascii="Times New Roman" w:eastAsia="Calibri" w:hAnsi="Times New Roman"/>
          <w:i/>
          <w:color w:val="000000"/>
          <w:sz w:val="24"/>
          <w:szCs w:val="24"/>
          <w:lang w:eastAsia="en-US"/>
        </w:rPr>
        <w:t>Steadfast Pinnacle 2012</w:t>
      </w:r>
      <w:r w:rsidR="00B167ED">
        <w:rPr>
          <w:rFonts w:ascii="Times New Roman" w:eastAsia="Calibri" w:hAnsi="Times New Roman"/>
          <w:color w:val="000000"/>
          <w:sz w:val="24"/>
          <w:szCs w:val="24"/>
          <w:lang w:eastAsia="en-US"/>
        </w:rPr>
        <w:t>"</w:t>
      </w:r>
      <w:r w:rsidRPr="00B072F8">
        <w:rPr>
          <w:rFonts w:ascii="Times New Roman" w:eastAsia="Calibri" w:hAnsi="Times New Roman"/>
          <w:color w:val="000000"/>
          <w:sz w:val="24"/>
          <w:szCs w:val="24"/>
          <w:lang w:eastAsia="en-US"/>
        </w:rPr>
        <w:t>, kuros piedalījās augstākie virsnieki no NATO valstīm, kā arī no Austrijas, Krievijas, Somijas un Zviedrijas. Latvija abiem vingrinājumiem nodrošina infrastruktūras un personāla atbalstu, tād</w:t>
      </w:r>
      <w:r w:rsidR="006A0FF3">
        <w:rPr>
          <w:rFonts w:ascii="Times New Roman" w:eastAsia="Calibri" w:hAnsi="Times New Roman"/>
          <w:color w:val="000000"/>
          <w:sz w:val="24"/>
          <w:szCs w:val="24"/>
          <w:lang w:eastAsia="en-US"/>
        </w:rPr>
        <w:t>ē</w:t>
      </w:r>
      <w:r w:rsidRPr="00B072F8">
        <w:rPr>
          <w:rFonts w:ascii="Times New Roman" w:eastAsia="Calibri" w:hAnsi="Times New Roman"/>
          <w:color w:val="000000"/>
          <w:sz w:val="24"/>
          <w:szCs w:val="24"/>
          <w:lang w:eastAsia="en-US"/>
        </w:rPr>
        <w:t>jādi attīstot prasmes sadarboties ar citām NATO dalībvalstīm un reģionālajiem partneriem. Plānots, ka abi vingrinājumi Rīgā notiks katru gadu līdz pat 2016.gadam.</w:t>
      </w:r>
    </w:p>
    <w:p w:rsidR="00BC6E02" w:rsidRPr="00B072F8" w:rsidRDefault="00BC6E02" w:rsidP="00BC6E02">
      <w:pPr>
        <w:autoSpaceDE w:val="0"/>
        <w:autoSpaceDN w:val="0"/>
        <w:adjustRightInd w:val="0"/>
        <w:spacing w:after="0" w:line="240" w:lineRule="auto"/>
        <w:ind w:firstLine="720"/>
        <w:jc w:val="both"/>
        <w:rPr>
          <w:rFonts w:ascii="Times New Roman" w:hAnsi="Times New Roman"/>
          <w:bCs/>
          <w:sz w:val="24"/>
          <w:szCs w:val="24"/>
        </w:rPr>
      </w:pPr>
      <w:r w:rsidRPr="00B072F8">
        <w:rPr>
          <w:rFonts w:ascii="Times New Roman" w:hAnsi="Times New Roman"/>
          <w:bCs/>
          <w:sz w:val="24"/>
          <w:szCs w:val="24"/>
        </w:rPr>
        <w:t>2012.gadā turpinājās darbs NATO Gudrās aizsardzības</w:t>
      </w:r>
      <w:r w:rsidRPr="00B072F8">
        <w:rPr>
          <w:rFonts w:ascii="Times New Roman" w:hAnsi="Times New Roman"/>
          <w:bCs/>
          <w:i/>
          <w:sz w:val="24"/>
          <w:szCs w:val="24"/>
        </w:rPr>
        <w:t xml:space="preserve"> </w:t>
      </w:r>
      <w:r w:rsidRPr="00B072F8">
        <w:rPr>
          <w:rFonts w:ascii="Times New Roman" w:hAnsi="Times New Roman"/>
          <w:bCs/>
          <w:sz w:val="24"/>
          <w:szCs w:val="24"/>
        </w:rPr>
        <w:t>koncepta attīstīb</w:t>
      </w:r>
      <w:r w:rsidR="006A0FF3">
        <w:rPr>
          <w:rFonts w:ascii="Times New Roman" w:hAnsi="Times New Roman"/>
          <w:bCs/>
          <w:sz w:val="24"/>
          <w:szCs w:val="24"/>
        </w:rPr>
        <w:t>ā</w:t>
      </w:r>
      <w:r w:rsidRPr="00B072F8">
        <w:rPr>
          <w:rFonts w:ascii="Times New Roman" w:hAnsi="Times New Roman"/>
          <w:bCs/>
          <w:sz w:val="24"/>
          <w:szCs w:val="24"/>
        </w:rPr>
        <w:t xml:space="preserve">, un Čikāgas samitā NATO valstu līderi vienojās, ka daudznacionālā sadarbība ir viens no veidiem, kā nodrošināt to spēju attīstību un saglabāšanu ierobežotu resursu apstākļos. </w:t>
      </w:r>
    </w:p>
    <w:p w:rsidR="005700D5"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lang w:eastAsia="en-US"/>
        </w:rPr>
      </w:pPr>
      <w:r w:rsidRPr="00B072F8">
        <w:rPr>
          <w:rFonts w:ascii="Times New Roman" w:hAnsi="Times New Roman"/>
          <w:bCs/>
          <w:sz w:val="24"/>
          <w:szCs w:val="24"/>
        </w:rPr>
        <w:t>T</w:t>
      </w:r>
      <w:r w:rsidRPr="00B072F8">
        <w:rPr>
          <w:rFonts w:ascii="Times New Roman" w:eastAsia="Calibri" w:hAnsi="Times New Roman"/>
          <w:color w:val="000000"/>
          <w:sz w:val="24"/>
          <w:szCs w:val="24"/>
          <w:lang w:eastAsia="en-US"/>
        </w:rPr>
        <w:t>urpinot veiksmīgu sadarbību</w:t>
      </w:r>
      <w:r w:rsidR="006A0FF3">
        <w:rPr>
          <w:rFonts w:ascii="Times New Roman" w:eastAsia="Calibri" w:hAnsi="Times New Roman"/>
          <w:color w:val="000000"/>
          <w:sz w:val="24"/>
          <w:szCs w:val="24"/>
          <w:lang w:eastAsia="en-US"/>
        </w:rPr>
        <w:t>,</w:t>
      </w:r>
      <w:r w:rsidRPr="00B072F8">
        <w:rPr>
          <w:rFonts w:ascii="Times New Roman" w:eastAsia="Calibri" w:hAnsi="Times New Roman"/>
          <w:color w:val="000000"/>
          <w:sz w:val="24"/>
          <w:szCs w:val="24"/>
          <w:lang w:eastAsia="en-US"/>
        </w:rPr>
        <w:t xml:space="preserve"> 2012.gadā notika darbs gan esošo Baltijas valstu projektu attīstīšan</w:t>
      </w:r>
      <w:r w:rsidR="006A0FF3">
        <w:rPr>
          <w:rFonts w:ascii="Times New Roman" w:eastAsia="Calibri" w:hAnsi="Times New Roman"/>
          <w:color w:val="000000"/>
          <w:sz w:val="24"/>
          <w:szCs w:val="24"/>
          <w:lang w:eastAsia="en-US"/>
        </w:rPr>
        <w:t>ā</w:t>
      </w:r>
      <w:r w:rsidRPr="00B072F8">
        <w:rPr>
          <w:rFonts w:ascii="Times New Roman" w:eastAsia="Calibri" w:hAnsi="Times New Roman"/>
          <w:color w:val="000000"/>
          <w:sz w:val="24"/>
          <w:szCs w:val="24"/>
          <w:lang w:eastAsia="en-US"/>
        </w:rPr>
        <w:t xml:space="preserve"> (</w:t>
      </w:r>
      <w:r w:rsidRPr="006A0FF3">
        <w:rPr>
          <w:rFonts w:ascii="Times New Roman" w:eastAsia="Calibri" w:hAnsi="Times New Roman"/>
          <w:color w:val="000000"/>
          <w:sz w:val="24"/>
          <w:szCs w:val="24"/>
          <w:lang w:eastAsia="en-US"/>
        </w:rPr>
        <w:t>BALTDEFCOL, BALTRON, BALTNET</w:t>
      </w:r>
      <w:r w:rsidRPr="00B072F8">
        <w:rPr>
          <w:rFonts w:ascii="Times New Roman" w:eastAsia="Calibri" w:hAnsi="Times New Roman"/>
          <w:color w:val="000000"/>
          <w:sz w:val="24"/>
          <w:szCs w:val="24"/>
          <w:lang w:eastAsia="en-US"/>
        </w:rPr>
        <w:t xml:space="preserve">), gan arī tika uzsāktas jaunas iniciatīvas (iepirkumi, apmācības, kopīgas dalības NATO Reaģēšanas spēkos un ES kaujas grupu sagatavošanā). Tāpat 2012.gadā tika izstrādāta jauna vienošanās par Baltijas valstu sadarbības formātiem un to organizāciju, kas tika parakstīta </w:t>
      </w:r>
      <w:r w:rsidR="006A0FF3">
        <w:rPr>
          <w:rFonts w:ascii="Times New Roman" w:eastAsia="Calibri" w:hAnsi="Times New Roman"/>
          <w:color w:val="000000"/>
          <w:sz w:val="24"/>
          <w:szCs w:val="24"/>
          <w:lang w:eastAsia="en-US"/>
        </w:rPr>
        <w:t>2013.gada</w:t>
      </w:r>
      <w:r w:rsidRPr="00B072F8">
        <w:rPr>
          <w:rFonts w:ascii="Times New Roman" w:eastAsia="Calibri" w:hAnsi="Times New Roman"/>
          <w:color w:val="000000"/>
          <w:sz w:val="24"/>
          <w:szCs w:val="24"/>
          <w:lang w:eastAsia="en-US"/>
        </w:rPr>
        <w:t xml:space="preserve"> 29.janvārī. Nākamais solis Baltijas valstu aizsardzības sistēmu ciešākai integrācijai ir vienota Baltijas valstu štāba izveidošana, kura projekta izstrādi un īstenošanu ir uzņēmusies Latvija. </w:t>
      </w:r>
    </w:p>
    <w:p w:rsidR="00BC6E02" w:rsidRPr="00B072F8" w:rsidRDefault="00BC6E02" w:rsidP="00BC6E02">
      <w:pPr>
        <w:autoSpaceDE w:val="0"/>
        <w:autoSpaceDN w:val="0"/>
        <w:adjustRightInd w:val="0"/>
        <w:spacing w:after="0" w:line="240" w:lineRule="auto"/>
        <w:ind w:firstLine="720"/>
        <w:jc w:val="both"/>
        <w:rPr>
          <w:rFonts w:ascii="Times New Roman" w:eastAsia="Calibri" w:hAnsi="Times New Roman"/>
          <w:color w:val="000000"/>
          <w:sz w:val="24"/>
          <w:szCs w:val="24"/>
        </w:rPr>
      </w:pPr>
      <w:r w:rsidRPr="00B072F8">
        <w:rPr>
          <w:rFonts w:ascii="Times New Roman" w:eastAsia="Calibri" w:hAnsi="Times New Roman"/>
          <w:color w:val="000000"/>
          <w:sz w:val="24"/>
          <w:szCs w:val="24"/>
          <w:lang w:eastAsia="en-US"/>
        </w:rPr>
        <w:t xml:space="preserve">Jāpiemin, ka </w:t>
      </w:r>
      <w:r w:rsidRPr="00B072F8">
        <w:rPr>
          <w:rFonts w:ascii="Times New Roman" w:eastAsia="Calibri" w:hAnsi="Times New Roman"/>
          <w:color w:val="000000"/>
          <w:sz w:val="24"/>
          <w:szCs w:val="24"/>
        </w:rPr>
        <w:t>2012.gadā Latvija bija vadošā valsts Baltijas aizsardzības koledžā (BALTDEFCOL). Šajā laikā koledža ir uzsākusi darbu Augstākās vadības kurs</w:t>
      </w:r>
      <w:r w:rsidRPr="00B65FD3">
        <w:rPr>
          <w:rFonts w:ascii="Times New Roman" w:eastAsia="Calibri" w:hAnsi="Times New Roman"/>
          <w:color w:val="000000"/>
          <w:sz w:val="24"/>
          <w:szCs w:val="24"/>
        </w:rPr>
        <w:t>a (</w:t>
      </w:r>
      <w:r w:rsidRPr="00B65FD3">
        <w:rPr>
          <w:rFonts w:ascii="Times New Roman" w:eastAsia="Calibri" w:hAnsi="Times New Roman"/>
          <w:i/>
          <w:color w:val="000000"/>
          <w:sz w:val="24"/>
          <w:szCs w:val="24"/>
        </w:rPr>
        <w:t>Higher Command Studies Course</w:t>
      </w:r>
      <w:r w:rsidRPr="008559A9">
        <w:rPr>
          <w:rFonts w:ascii="Times New Roman" w:eastAsia="Calibri" w:hAnsi="Times New Roman"/>
          <w:color w:val="000000"/>
          <w:sz w:val="24"/>
          <w:szCs w:val="24"/>
        </w:rPr>
        <w:t>) attīstīšan</w:t>
      </w:r>
      <w:r w:rsidR="006A0FF3">
        <w:rPr>
          <w:rFonts w:ascii="Times New Roman" w:eastAsia="Calibri" w:hAnsi="Times New Roman"/>
          <w:color w:val="000000"/>
          <w:sz w:val="24"/>
          <w:szCs w:val="24"/>
        </w:rPr>
        <w:t>ā</w:t>
      </w:r>
      <w:r w:rsidRPr="008559A9">
        <w:rPr>
          <w:rFonts w:ascii="Times New Roman" w:eastAsia="Calibri" w:hAnsi="Times New Roman"/>
          <w:color w:val="000000"/>
          <w:sz w:val="24"/>
          <w:szCs w:val="24"/>
        </w:rPr>
        <w:t xml:space="preserve">, lai nākotnē piesaistītu vairāk NATO valstu studentu. Tāpat ir iniciēti grozījumi BALTDEFCOL saprašanās memorandā, lai tajā paredzētu profesionālo maģistra studiju programmu </w:t>
      </w:r>
      <w:r w:rsidR="00B167ED">
        <w:rPr>
          <w:rFonts w:ascii="Times New Roman" w:eastAsia="Calibri" w:hAnsi="Times New Roman"/>
          <w:color w:val="000000"/>
          <w:sz w:val="24"/>
          <w:szCs w:val="24"/>
        </w:rPr>
        <w:t>"</w:t>
      </w:r>
      <w:r w:rsidRPr="008559A9">
        <w:rPr>
          <w:rFonts w:ascii="Times New Roman" w:eastAsia="Calibri" w:hAnsi="Times New Roman"/>
          <w:color w:val="000000"/>
          <w:sz w:val="24"/>
          <w:szCs w:val="24"/>
        </w:rPr>
        <w:t>Militārā vadība un drošība</w:t>
      </w:r>
      <w:r w:rsidR="00B167ED">
        <w:rPr>
          <w:rFonts w:ascii="Times New Roman" w:eastAsia="Calibri" w:hAnsi="Times New Roman"/>
          <w:color w:val="000000"/>
          <w:sz w:val="24"/>
          <w:szCs w:val="24"/>
        </w:rPr>
        <w:t>"</w:t>
      </w:r>
      <w:r w:rsidRPr="008559A9">
        <w:rPr>
          <w:rFonts w:ascii="Times New Roman" w:eastAsia="Calibri" w:hAnsi="Times New Roman"/>
          <w:color w:val="000000"/>
          <w:sz w:val="24"/>
          <w:szCs w:val="24"/>
        </w:rPr>
        <w:t>, kuru sadarbībā ar BALTDEFCOL jau šobrīd nodrošina Latvijas Nacionālā aizsardzības akadēmija.</w:t>
      </w:r>
      <w:r w:rsidRPr="00B072F8">
        <w:rPr>
          <w:rFonts w:ascii="Times New Roman" w:eastAsia="Calibri" w:hAnsi="Times New Roman"/>
          <w:color w:val="000000"/>
          <w:sz w:val="24"/>
          <w:szCs w:val="24"/>
        </w:rPr>
        <w:t xml:space="preserve"> Kā vēl vien</w:t>
      </w:r>
      <w:r w:rsidR="006A0FF3">
        <w:rPr>
          <w:rFonts w:ascii="Times New Roman" w:eastAsia="Calibri" w:hAnsi="Times New Roman"/>
          <w:color w:val="000000"/>
          <w:sz w:val="24"/>
          <w:szCs w:val="24"/>
        </w:rPr>
        <w:t>s</w:t>
      </w:r>
      <w:r w:rsidRPr="00B072F8">
        <w:rPr>
          <w:rFonts w:ascii="Times New Roman" w:eastAsia="Calibri" w:hAnsi="Times New Roman"/>
          <w:color w:val="000000"/>
          <w:sz w:val="24"/>
          <w:szCs w:val="24"/>
        </w:rPr>
        <w:t xml:space="preserve"> akadēmijas programmas kvalitātes uzlabošanas pasākum</w:t>
      </w:r>
      <w:r w:rsidR="006A0FF3">
        <w:rPr>
          <w:rFonts w:ascii="Times New Roman" w:eastAsia="Calibri" w:hAnsi="Times New Roman"/>
          <w:color w:val="000000"/>
          <w:sz w:val="24"/>
          <w:szCs w:val="24"/>
        </w:rPr>
        <w:t>s</w:t>
      </w:r>
      <w:r w:rsidRPr="00B072F8">
        <w:rPr>
          <w:rFonts w:ascii="Times New Roman" w:eastAsia="Calibri" w:hAnsi="Times New Roman"/>
          <w:color w:val="000000"/>
          <w:sz w:val="24"/>
          <w:szCs w:val="24"/>
        </w:rPr>
        <w:t xml:space="preserve"> jāmin Aizsardzības zinātniskās pētniecības centra reorganizācij</w:t>
      </w:r>
      <w:r w:rsidR="006A0FF3">
        <w:rPr>
          <w:rFonts w:ascii="Times New Roman" w:eastAsia="Calibri" w:hAnsi="Times New Roman"/>
          <w:color w:val="000000"/>
          <w:sz w:val="24"/>
          <w:szCs w:val="24"/>
        </w:rPr>
        <w:t>a</w:t>
      </w:r>
      <w:r w:rsidR="006A0FF3" w:rsidRPr="00B072F8">
        <w:rPr>
          <w:rFonts w:ascii="Times New Roman" w:eastAsia="Calibri" w:hAnsi="Times New Roman"/>
          <w:color w:val="000000"/>
          <w:sz w:val="24"/>
          <w:szCs w:val="24"/>
        </w:rPr>
        <w:t>2012.gadā</w:t>
      </w:r>
      <w:r w:rsidRPr="00B072F8">
        <w:rPr>
          <w:rFonts w:ascii="Times New Roman" w:eastAsia="Calibri" w:hAnsi="Times New Roman"/>
          <w:color w:val="000000"/>
          <w:sz w:val="24"/>
          <w:szCs w:val="24"/>
        </w:rPr>
        <w:t xml:space="preserve">, </w:t>
      </w:r>
      <w:r w:rsidR="005700D5">
        <w:rPr>
          <w:rFonts w:ascii="Times New Roman" w:eastAsia="Calibri" w:hAnsi="Times New Roman"/>
          <w:color w:val="000000"/>
          <w:sz w:val="24"/>
          <w:szCs w:val="24"/>
        </w:rPr>
        <w:t>iz</w:t>
      </w:r>
      <w:r w:rsidRPr="00B072F8">
        <w:rPr>
          <w:rFonts w:ascii="Times New Roman" w:eastAsia="Calibri" w:hAnsi="Times New Roman"/>
          <w:color w:val="000000"/>
          <w:sz w:val="24"/>
          <w:szCs w:val="24"/>
        </w:rPr>
        <w:t>veidojot to par mūsdienīgu pētniecisku institūciju valsts drošības un aizsardzības jomā.</w:t>
      </w:r>
    </w:p>
    <w:p w:rsidR="00BC6E02" w:rsidRPr="008559A9" w:rsidRDefault="00BC6E02" w:rsidP="00BC6E02">
      <w:pPr>
        <w:spacing w:after="0" w:line="240" w:lineRule="auto"/>
        <w:ind w:firstLine="720"/>
        <w:jc w:val="both"/>
        <w:rPr>
          <w:rFonts w:ascii="Times New Roman" w:hAnsi="Times New Roman"/>
          <w:sz w:val="24"/>
          <w:szCs w:val="24"/>
          <w:lang w:bidi="lo-LA"/>
        </w:rPr>
      </w:pPr>
      <w:r w:rsidRPr="00B65FD3">
        <w:rPr>
          <w:rFonts w:ascii="Times New Roman" w:hAnsi="Times New Roman"/>
          <w:sz w:val="24"/>
          <w:szCs w:val="24"/>
          <w:lang w:bidi="lo-LA"/>
        </w:rPr>
        <w:lastRenderedPageBreak/>
        <w:t>Jāuzsver, ka Latvijas dalība NATO un tās operācijā Afganistānā sniedz arī būtisku ieguvumu Latvijas ekonomikai. 2012.gadā caur Latviju tranzītā pārvesti aptuveni 20 000 kravas kontei</w:t>
      </w:r>
      <w:r w:rsidRPr="008559A9">
        <w:rPr>
          <w:rFonts w:ascii="Times New Roman" w:hAnsi="Times New Roman"/>
          <w:sz w:val="24"/>
          <w:szCs w:val="24"/>
          <w:lang w:bidi="lo-LA"/>
        </w:rPr>
        <w:t>neru, kuru ekonomiskais ieguvums mērāms apmēram 8 miljonos eiro. 2012.gadā tika sākta arī reversā tranzīta plūsma no Afganistānas caur Latviju. Tika sekmīgi veikts pirmais izmēģinājuma brauciens caur Krieviju (Uļjanovsku – abos virzienos), bet 2013.gada sākumā – plānots pabeigt atpakaļceļa pārvadājuma testu pa dzelzceļu cauri Uzbekistānai.</w:t>
      </w:r>
    </w:p>
    <w:p w:rsidR="00BC6E02" w:rsidRPr="00B072F8" w:rsidRDefault="005700D5" w:rsidP="00BC6E02">
      <w:pPr>
        <w:spacing w:after="0" w:line="240" w:lineRule="auto"/>
        <w:ind w:firstLine="720"/>
        <w:jc w:val="both"/>
        <w:rPr>
          <w:rFonts w:ascii="Times New Roman" w:hAnsi="Times New Roman"/>
          <w:sz w:val="24"/>
          <w:szCs w:val="24"/>
          <w:lang w:bidi="lo-LA"/>
        </w:rPr>
      </w:pPr>
      <w:r w:rsidRPr="00600A51">
        <w:rPr>
          <w:rFonts w:ascii="Times New Roman" w:hAnsi="Times New Roman"/>
          <w:sz w:val="24"/>
          <w:szCs w:val="24"/>
          <w:lang w:bidi="lo-LA"/>
        </w:rPr>
        <w:t xml:space="preserve">Militārās tehnikas iegāde ir </w:t>
      </w:r>
      <w:r w:rsidR="00BC6E02" w:rsidRPr="00600A51">
        <w:rPr>
          <w:rFonts w:ascii="Times New Roman" w:hAnsi="Times New Roman"/>
          <w:sz w:val="24"/>
          <w:szCs w:val="24"/>
          <w:lang w:bidi="lo-LA"/>
        </w:rPr>
        <w:t>vēl viens veids</w:t>
      </w:r>
      <w:r w:rsidR="006A0FF3">
        <w:rPr>
          <w:rFonts w:ascii="Times New Roman" w:hAnsi="Times New Roman"/>
          <w:sz w:val="24"/>
          <w:szCs w:val="24"/>
          <w:lang w:bidi="lo-LA"/>
        </w:rPr>
        <w:t>,</w:t>
      </w:r>
      <w:r w:rsidR="00BC6E02" w:rsidRPr="00600A51">
        <w:rPr>
          <w:rFonts w:ascii="Times New Roman" w:hAnsi="Times New Roman"/>
          <w:sz w:val="24"/>
          <w:szCs w:val="24"/>
          <w:lang w:bidi="lo-LA"/>
        </w:rPr>
        <w:t xml:space="preserve"> kā aizsardzības nozare spēj nodrošināt atbalstu tautsaimniecības attīstībai. </w:t>
      </w:r>
      <w:r w:rsidRPr="00600A51">
        <w:rPr>
          <w:rFonts w:ascii="Times New Roman" w:hAnsi="Times New Roman"/>
          <w:sz w:val="24"/>
          <w:szCs w:val="24"/>
          <w:lang w:bidi="lo-LA"/>
        </w:rPr>
        <w:t xml:space="preserve">Tāpēc </w:t>
      </w:r>
      <w:r w:rsidR="00BC6E02" w:rsidRPr="00600A51">
        <w:rPr>
          <w:rFonts w:ascii="Times New Roman" w:hAnsi="Times New Roman"/>
          <w:sz w:val="24"/>
          <w:szCs w:val="24"/>
          <w:lang w:bidi="lo-LA"/>
        </w:rPr>
        <w:t xml:space="preserve">2012.gadā </w:t>
      </w:r>
      <w:r w:rsidRPr="00600A51">
        <w:rPr>
          <w:rFonts w:ascii="Times New Roman" w:hAnsi="Times New Roman"/>
          <w:sz w:val="24"/>
          <w:szCs w:val="24"/>
          <w:lang w:bidi="lo-LA"/>
        </w:rPr>
        <w:t>tika turpināta sadarbīb</w:t>
      </w:r>
      <w:r w:rsidR="006A0FF3">
        <w:rPr>
          <w:rFonts w:ascii="Times New Roman" w:hAnsi="Times New Roman"/>
          <w:sz w:val="24"/>
          <w:szCs w:val="24"/>
          <w:lang w:bidi="lo-LA"/>
        </w:rPr>
        <w:t>a</w:t>
      </w:r>
      <w:r w:rsidRPr="00600A51">
        <w:rPr>
          <w:rFonts w:ascii="Times New Roman" w:hAnsi="Times New Roman"/>
          <w:sz w:val="24"/>
          <w:szCs w:val="24"/>
          <w:lang w:bidi="lo-LA"/>
        </w:rPr>
        <w:t xml:space="preserve"> </w:t>
      </w:r>
      <w:r w:rsidR="00BC6E02" w:rsidRPr="00600A51">
        <w:rPr>
          <w:rFonts w:ascii="Times New Roman" w:hAnsi="Times New Roman"/>
          <w:sz w:val="24"/>
          <w:szCs w:val="24"/>
          <w:lang w:bidi="lo-LA"/>
        </w:rPr>
        <w:t>ar uzņēmējiem</w:t>
      </w:r>
      <w:r w:rsidRPr="00600A51">
        <w:rPr>
          <w:rFonts w:ascii="Times New Roman" w:hAnsi="Times New Roman"/>
          <w:sz w:val="24"/>
          <w:szCs w:val="24"/>
          <w:lang w:bidi="lo-LA"/>
        </w:rPr>
        <w:t xml:space="preserve">, organizējot seminārus, kuros tika sniegta informācija </w:t>
      </w:r>
      <w:r w:rsidR="00BC6E02" w:rsidRPr="00600A51">
        <w:rPr>
          <w:rFonts w:ascii="Times New Roman" w:hAnsi="Times New Roman"/>
          <w:sz w:val="24"/>
          <w:szCs w:val="24"/>
          <w:lang w:bidi="lo-LA"/>
        </w:rPr>
        <w:t>par iespēj</w:t>
      </w:r>
      <w:r w:rsidR="006A0FF3">
        <w:rPr>
          <w:rFonts w:ascii="Times New Roman" w:hAnsi="Times New Roman"/>
          <w:sz w:val="24"/>
          <w:szCs w:val="24"/>
          <w:lang w:bidi="lo-LA"/>
        </w:rPr>
        <w:t>ā</w:t>
      </w:r>
      <w:r w:rsidR="00BC6E02" w:rsidRPr="00600A51">
        <w:rPr>
          <w:rFonts w:ascii="Times New Roman" w:hAnsi="Times New Roman"/>
          <w:sz w:val="24"/>
          <w:szCs w:val="24"/>
          <w:lang w:bidi="lo-LA"/>
        </w:rPr>
        <w:t xml:space="preserve">m piedalīties NATO, ES un nacionālajos iepirkumos. </w:t>
      </w:r>
      <w:r w:rsidRPr="00600A51">
        <w:rPr>
          <w:rFonts w:ascii="Times New Roman" w:hAnsi="Times New Roman"/>
          <w:sz w:val="24"/>
          <w:szCs w:val="24"/>
          <w:lang w:bidi="lo-LA"/>
        </w:rPr>
        <w:t xml:space="preserve">Nozīmīgākais šāda veida pasākums </w:t>
      </w:r>
      <w:r w:rsidR="00BC6E02" w:rsidRPr="00600A51">
        <w:rPr>
          <w:rFonts w:ascii="Times New Roman" w:hAnsi="Times New Roman"/>
          <w:sz w:val="24"/>
          <w:szCs w:val="24"/>
          <w:lang w:bidi="lo-LA"/>
        </w:rPr>
        <w:t xml:space="preserve">bija NATO </w:t>
      </w:r>
      <w:r w:rsidR="00B167ED">
        <w:rPr>
          <w:rFonts w:ascii="Times New Roman" w:hAnsi="Times New Roman"/>
          <w:sz w:val="24"/>
          <w:szCs w:val="24"/>
          <w:lang w:bidi="lo-LA"/>
        </w:rPr>
        <w:t>"</w:t>
      </w:r>
      <w:r w:rsidR="00BC6E02" w:rsidRPr="00600A51">
        <w:rPr>
          <w:rFonts w:ascii="Times New Roman" w:hAnsi="Times New Roman"/>
          <w:sz w:val="24"/>
          <w:szCs w:val="24"/>
          <w:lang w:bidi="lo-LA"/>
        </w:rPr>
        <w:t>Industrijas diena 2012</w:t>
      </w:r>
      <w:r w:rsidR="00B167ED">
        <w:rPr>
          <w:rFonts w:ascii="Times New Roman" w:hAnsi="Times New Roman"/>
          <w:sz w:val="24"/>
          <w:szCs w:val="24"/>
          <w:lang w:bidi="lo-LA"/>
        </w:rPr>
        <w:t>"</w:t>
      </w:r>
      <w:r w:rsidR="00BC6E02" w:rsidRPr="00600A51">
        <w:rPr>
          <w:rFonts w:ascii="Times New Roman" w:hAnsi="Times New Roman"/>
          <w:sz w:val="24"/>
          <w:szCs w:val="24"/>
          <w:lang w:bidi="lo-LA"/>
        </w:rPr>
        <w:t>, kura notika Rīgā 2012.gada 15.–16.oktobrī un deva iespēju mūsu ražotājiem nodibināt kontaktus ar</w:t>
      </w:r>
      <w:r w:rsidR="00BC6E02" w:rsidRPr="00600A51">
        <w:t xml:space="preserve"> </w:t>
      </w:r>
      <w:r w:rsidR="00BC6E02" w:rsidRPr="00600A51">
        <w:rPr>
          <w:rFonts w:ascii="Times New Roman" w:hAnsi="Times New Roman"/>
          <w:sz w:val="24"/>
          <w:szCs w:val="24"/>
          <w:lang w:bidi="lo-LA"/>
        </w:rPr>
        <w:t xml:space="preserve">stratēģiski nozīmīgiem NATO valstu aizsardzības industrijas pārstāvjiem. </w:t>
      </w:r>
    </w:p>
    <w:p w:rsidR="00BC6E02" w:rsidRPr="008559A9" w:rsidRDefault="00BC6E02" w:rsidP="00BC6E0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sz w:val="24"/>
          <w:szCs w:val="24"/>
        </w:rPr>
      </w:pPr>
      <w:r w:rsidRPr="00B65FD3">
        <w:rPr>
          <w:rFonts w:ascii="Times New Roman" w:hAnsi="Times New Roman"/>
          <w:color w:val="000000"/>
          <w:sz w:val="24"/>
          <w:szCs w:val="24"/>
        </w:rPr>
        <w:tab/>
        <w:t xml:space="preserve">Arī 2012.gadā Latvija turpināja aktīvi iesaistīties NATO institūciju darbā. Līdz 2012.gada 1.jūlijam Latvija turpināja pildīt līdzpriekšsēdētājas pienākumus NATO Masu iznīcināšanas ieroču neizplatīšanas komitejā, nodrošinot Eiropas valstu pārstāvniecību komitejas vadībā. Vadot šo </w:t>
      </w:r>
      <w:r w:rsidRPr="008559A9">
        <w:rPr>
          <w:rFonts w:ascii="Times New Roman" w:hAnsi="Times New Roman"/>
          <w:color w:val="000000"/>
          <w:sz w:val="24"/>
          <w:szCs w:val="24"/>
        </w:rPr>
        <w:t xml:space="preserve">komiteju, Latvija pievērsās Baltijas jūrā nogremdēto ķīmisko ieroču munīcijas problēmai, kā arī kuģošanas drošības uzlabošanai. </w:t>
      </w:r>
      <w:r w:rsidR="008A5DA2">
        <w:rPr>
          <w:rFonts w:ascii="Times New Roman" w:hAnsi="Times New Roman"/>
          <w:color w:val="000000"/>
          <w:sz w:val="24"/>
          <w:szCs w:val="24"/>
        </w:rPr>
        <w:t>Tika aktualizēts arī jautājums par</w:t>
      </w:r>
      <w:r w:rsidRPr="008559A9">
        <w:rPr>
          <w:rFonts w:ascii="Times New Roman" w:hAnsi="Times New Roman"/>
          <w:color w:val="000000"/>
          <w:sz w:val="24"/>
          <w:szCs w:val="24"/>
        </w:rPr>
        <w:t xml:space="preserve"> masu iznīcināšanas ieroču drošību kibervidē. 2012.gada 20.</w:t>
      </w:r>
      <w:r w:rsidR="006A0FF3">
        <w:rPr>
          <w:rFonts w:ascii="Times New Roman" w:hAnsi="Times New Roman"/>
          <w:color w:val="000000"/>
          <w:sz w:val="24"/>
          <w:szCs w:val="24"/>
        </w:rPr>
        <w:t>–</w:t>
      </w:r>
      <w:r w:rsidRPr="008559A9">
        <w:rPr>
          <w:rFonts w:ascii="Times New Roman" w:hAnsi="Times New Roman"/>
          <w:color w:val="000000"/>
          <w:sz w:val="24"/>
          <w:szCs w:val="24"/>
        </w:rPr>
        <w:t xml:space="preserve">22.martā Rīgā tika rīkots komitejas starptautiskais partneru pasākums, kas norisinājās ražošanas izstādes formātā, un NATO programmas </w:t>
      </w:r>
      <w:r w:rsidR="00B167ED">
        <w:rPr>
          <w:rFonts w:ascii="Times New Roman" w:hAnsi="Times New Roman"/>
          <w:color w:val="000000"/>
          <w:sz w:val="24"/>
          <w:szCs w:val="24"/>
        </w:rPr>
        <w:t>"</w:t>
      </w:r>
      <w:r w:rsidRPr="008559A9">
        <w:rPr>
          <w:rFonts w:ascii="Times New Roman" w:hAnsi="Times New Roman"/>
          <w:color w:val="000000"/>
          <w:sz w:val="24"/>
          <w:szCs w:val="24"/>
        </w:rPr>
        <w:t>Zinātne mieram un drošībai</w:t>
      </w:r>
      <w:r w:rsidR="00B167ED">
        <w:rPr>
          <w:rFonts w:ascii="Times New Roman" w:hAnsi="Times New Roman"/>
          <w:color w:val="000000"/>
          <w:sz w:val="24"/>
          <w:szCs w:val="24"/>
        </w:rPr>
        <w:t>"</w:t>
      </w:r>
      <w:r w:rsidRPr="008559A9">
        <w:rPr>
          <w:rFonts w:ascii="Times New Roman" w:hAnsi="Times New Roman"/>
          <w:color w:val="000000"/>
          <w:sz w:val="24"/>
          <w:szCs w:val="24"/>
        </w:rPr>
        <w:t xml:space="preserve"> seminārs, kura rīkošanai Latvija ieguva NATO līdzfinansējumu. Jāuzsver, ka komitejas līdzpriekšsēdētājas pienākumi veicināja Latvijas dalību NATO lēmumu pieņemšanas un konsultāciju procesos, kā arī Latvijas </w:t>
      </w:r>
      <w:r w:rsidR="008A5DA2">
        <w:rPr>
          <w:rFonts w:ascii="Times New Roman" w:hAnsi="Times New Roman"/>
          <w:color w:val="000000"/>
          <w:sz w:val="24"/>
          <w:szCs w:val="24"/>
        </w:rPr>
        <w:t>pamanāmību</w:t>
      </w:r>
      <w:r w:rsidRPr="008559A9">
        <w:rPr>
          <w:rFonts w:ascii="Times New Roman" w:hAnsi="Times New Roman"/>
          <w:color w:val="000000"/>
          <w:sz w:val="24"/>
          <w:szCs w:val="24"/>
        </w:rPr>
        <w:t xml:space="preserve"> NATO struktūrās. </w:t>
      </w:r>
    </w:p>
    <w:p w:rsidR="00BC6E02" w:rsidRPr="00B25511" w:rsidRDefault="00BC6E02" w:rsidP="00BC6E02">
      <w:pPr>
        <w:spacing w:after="0" w:line="240" w:lineRule="auto"/>
        <w:ind w:firstLine="720"/>
        <w:jc w:val="both"/>
        <w:rPr>
          <w:rFonts w:ascii="Times New Roman" w:hAnsi="Times New Roman"/>
          <w:sz w:val="24"/>
          <w:szCs w:val="24"/>
        </w:rPr>
      </w:pPr>
      <w:r w:rsidRPr="008559A9">
        <w:rPr>
          <w:rFonts w:ascii="Times New Roman" w:hAnsi="Times New Roman"/>
          <w:sz w:val="24"/>
          <w:szCs w:val="24"/>
        </w:rPr>
        <w:t>Latvija bijusi aktīva arī citos transatlantiskās drošības sada</w:t>
      </w:r>
      <w:r w:rsidR="008A5DA2">
        <w:rPr>
          <w:rFonts w:ascii="Times New Roman" w:hAnsi="Times New Roman"/>
          <w:sz w:val="24"/>
          <w:szCs w:val="24"/>
        </w:rPr>
        <w:t>rbības formātos, piemēram, EDSO</w:t>
      </w:r>
      <w:r w:rsidR="006A0FF3">
        <w:rPr>
          <w:rFonts w:ascii="Times New Roman" w:hAnsi="Times New Roman"/>
          <w:sz w:val="24"/>
          <w:szCs w:val="24"/>
        </w:rPr>
        <w:t xml:space="preserve"> 2012.</w:t>
      </w:r>
      <w:r w:rsidRPr="008559A9">
        <w:rPr>
          <w:rFonts w:ascii="Times New Roman" w:hAnsi="Times New Roman"/>
          <w:sz w:val="24"/>
          <w:szCs w:val="24"/>
        </w:rPr>
        <w:t xml:space="preserve">gada vidū Latvija pildīja EDSO Drošības un sadarbības foruma prezidējošās valsts pienākumus. Latvijas prezidentūra starptautiski tika augsti novērtēta, atzīstot Latvijas ieguldījumu EDSO politiski militāro un bruņojuma kontroles jautājumu stiprināšanā. Latvijas būtiskākie sasniegumi prezidentūras laikā bija EDSO lomas izvērtēšana sadarbības stiprināšanai ar Afganistānu, ieilgušā konflikta Kalnu Karabahā un Gruzijas jautājumu risināšana, Vīnes dokumenta modernizēšana un jaunu savstarpējās drošības un uzticības veicinošo pasākumu izstrāde, kā arī uzlabots koordinēšanas process </w:t>
      </w:r>
      <w:r w:rsidRPr="00B25511">
        <w:rPr>
          <w:rFonts w:ascii="Times New Roman" w:hAnsi="Times New Roman"/>
          <w:bCs/>
          <w:sz w:val="24"/>
          <w:szCs w:val="24"/>
        </w:rPr>
        <w:t>valstu</w:t>
      </w:r>
      <w:r w:rsidRPr="00B25511">
        <w:rPr>
          <w:rFonts w:ascii="Times New Roman" w:hAnsi="Times New Roman"/>
          <w:b/>
          <w:bCs/>
          <w:sz w:val="24"/>
          <w:szCs w:val="24"/>
        </w:rPr>
        <w:t xml:space="preserve"> </w:t>
      </w:r>
      <w:r w:rsidRPr="00B25511">
        <w:rPr>
          <w:rFonts w:ascii="Times New Roman" w:hAnsi="Times New Roman"/>
          <w:sz w:val="24"/>
          <w:szCs w:val="24"/>
        </w:rPr>
        <w:t>nacionālo masu iznīcināšanas ieroču un materiālu neizplatīšanas pasākumos. Tāpat Latvijas prezidentūras laikā pārskatīts EDSO Politiski militāro drošības aspektu regulējuma dokuments, kur būtiska nozīme bija Rīgā organizētajam reģionālajam semināram.</w:t>
      </w:r>
    </w:p>
    <w:p w:rsidR="00BC6E02" w:rsidRPr="00B25511" w:rsidRDefault="00BC6E02" w:rsidP="00BC6E02">
      <w:pPr>
        <w:pStyle w:val="Heading3"/>
        <w:rPr>
          <w:szCs w:val="24"/>
        </w:rPr>
      </w:pPr>
      <w:bookmarkStart w:id="193" w:name="_Toc348948453"/>
      <w:r w:rsidRPr="00B25511">
        <w:rPr>
          <w:szCs w:val="24"/>
        </w:rPr>
        <w:t>2.3. Sadarbība ar stratēģiskajiem partneriem, kopīgās operācijas</w:t>
      </w:r>
      <w:bookmarkEnd w:id="193"/>
    </w:p>
    <w:p w:rsidR="00BC6E02" w:rsidRPr="008A5DA2" w:rsidRDefault="00BC6E02" w:rsidP="00BC6E0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lang w:bidi="lo-LA"/>
        </w:rPr>
      </w:pPr>
      <w:r w:rsidRPr="00284365">
        <w:rPr>
          <w:rFonts w:ascii="Times New Roman" w:hAnsi="Times New Roman"/>
          <w:sz w:val="24"/>
          <w:szCs w:val="24"/>
          <w:lang w:bidi="lo-LA"/>
        </w:rPr>
        <w:tab/>
      </w:r>
      <w:r w:rsidRPr="008A5DA2">
        <w:rPr>
          <w:rFonts w:ascii="Times New Roman" w:hAnsi="Times New Roman" w:cs="Times New Roman"/>
          <w:sz w:val="24"/>
          <w:szCs w:val="24"/>
          <w:lang w:bidi="lo-LA"/>
        </w:rPr>
        <w:t>Latvija 2012.gadā turpināja savu līdzdalību NATO vadīt</w:t>
      </w:r>
      <w:r w:rsidR="006A0FF3">
        <w:rPr>
          <w:rFonts w:ascii="Times New Roman" w:hAnsi="Times New Roman" w:cs="Times New Roman"/>
          <w:sz w:val="24"/>
          <w:szCs w:val="24"/>
          <w:lang w:bidi="lo-LA"/>
        </w:rPr>
        <w:t>a</w:t>
      </w:r>
      <w:r w:rsidRPr="008A5DA2">
        <w:rPr>
          <w:rFonts w:ascii="Times New Roman" w:hAnsi="Times New Roman" w:cs="Times New Roman"/>
          <w:sz w:val="24"/>
          <w:szCs w:val="24"/>
          <w:lang w:bidi="lo-LA"/>
        </w:rPr>
        <w:t>j</w:t>
      </w:r>
      <w:r w:rsidR="006A0FF3">
        <w:rPr>
          <w:rFonts w:ascii="Times New Roman" w:hAnsi="Times New Roman" w:cs="Times New Roman"/>
          <w:sz w:val="24"/>
          <w:szCs w:val="24"/>
          <w:lang w:bidi="lo-LA"/>
        </w:rPr>
        <w:t>ā</w:t>
      </w:r>
      <w:r w:rsidRPr="008A5DA2">
        <w:rPr>
          <w:rFonts w:ascii="Times New Roman" w:hAnsi="Times New Roman" w:cs="Times New Roman"/>
          <w:sz w:val="24"/>
          <w:szCs w:val="24"/>
          <w:lang w:bidi="lo-LA"/>
        </w:rPr>
        <w:t xml:space="preserve"> operācijā Afganistānā ISAF, piedaloties ar vidēji 180 karavīru lielu kontingentu. Latvijas karavīri dienesta pienākumus pildīja Afganistānas ziemeļu reģionā – Fārjābas un Balkhas provincē, valsts dienvidu reģionā – Kandahāras provincē, kā arī galvaspilsētā Kabulā.</w:t>
      </w:r>
    </w:p>
    <w:p w:rsidR="00BC6E02" w:rsidRPr="008A5DA2" w:rsidRDefault="00BC6E02" w:rsidP="00BC6E02">
      <w:pPr>
        <w:spacing w:after="0" w:line="240" w:lineRule="auto"/>
        <w:ind w:firstLine="720"/>
        <w:jc w:val="both"/>
        <w:rPr>
          <w:rFonts w:ascii="Times New Roman" w:hAnsi="Times New Roman" w:cs="Times New Roman"/>
          <w:sz w:val="24"/>
          <w:szCs w:val="24"/>
          <w:lang w:bidi="lo-LA"/>
        </w:rPr>
      </w:pPr>
      <w:r w:rsidRPr="008A5DA2">
        <w:rPr>
          <w:rFonts w:ascii="Times New Roman" w:hAnsi="Times New Roman" w:cs="Times New Roman"/>
          <w:sz w:val="24"/>
          <w:szCs w:val="24"/>
          <w:lang w:bidi="lo-LA"/>
        </w:rPr>
        <w:t xml:space="preserve">Aizvadītais gads bija zīmīgs ar atbildības nodošanas procesu Farjābas provincē, kur kopā ar Norvēģijas karavīriem kopš 2006.gada savus uzdevumus pildīja lielākā Latvijas kontingenta daļa. 2012.gada oktobrī atbildība par drošības situāciju provincē tika pilnībā nodota Afganistānas pārvaldes struktūrām. Līdz ar to Latvija pārdislocēja savus </w:t>
      </w:r>
      <w:r w:rsidRPr="008A5DA2">
        <w:rPr>
          <w:rFonts w:ascii="Times New Roman" w:hAnsi="Times New Roman" w:cs="Times New Roman"/>
          <w:sz w:val="24"/>
          <w:szCs w:val="24"/>
          <w:lang w:bidi="lo-LA"/>
        </w:rPr>
        <w:lastRenderedPageBreak/>
        <w:t xml:space="preserve">spēkus no Meimanes bāzes uz Mazārešarīfu, lai turpinātu sniegt atbalstu un apmācību afgāņu spēku vienībām ziemeļu reģionā. Mazārešarīfā Latvija turpina </w:t>
      </w:r>
      <w:r w:rsidR="008A5DA2" w:rsidRPr="008A5DA2">
        <w:rPr>
          <w:rFonts w:ascii="Times New Roman" w:hAnsi="Times New Roman" w:cs="Times New Roman"/>
          <w:sz w:val="24"/>
          <w:szCs w:val="24"/>
          <w:lang w:bidi="lo-LA"/>
        </w:rPr>
        <w:t>sadarbību ar Ziemeļvalstīm</w:t>
      </w:r>
      <w:r w:rsidRPr="008A5DA2">
        <w:rPr>
          <w:rFonts w:ascii="Times New Roman" w:hAnsi="Times New Roman" w:cs="Times New Roman"/>
          <w:sz w:val="24"/>
          <w:szCs w:val="24"/>
          <w:lang w:bidi="lo-LA"/>
        </w:rPr>
        <w:t xml:space="preserve">, </w:t>
      </w:r>
      <w:r w:rsidR="008A5DA2" w:rsidRPr="008A5DA2">
        <w:rPr>
          <w:rFonts w:ascii="Times New Roman" w:hAnsi="Times New Roman" w:cs="Times New Roman"/>
          <w:sz w:val="24"/>
          <w:szCs w:val="24"/>
          <w:lang w:bidi="lo-LA"/>
        </w:rPr>
        <w:t>izveidojot kopīgu Pārejas atbalsta vienību ar</w:t>
      </w:r>
      <w:r w:rsidRPr="008A5DA2">
        <w:rPr>
          <w:rFonts w:ascii="Times New Roman" w:hAnsi="Times New Roman" w:cs="Times New Roman"/>
          <w:sz w:val="24"/>
          <w:szCs w:val="24"/>
          <w:lang w:bidi="lo-LA"/>
        </w:rPr>
        <w:t xml:space="preserve"> Zviedrij</w:t>
      </w:r>
      <w:r w:rsidR="008A5DA2" w:rsidRPr="008A5DA2">
        <w:rPr>
          <w:rFonts w:ascii="Times New Roman" w:hAnsi="Times New Roman" w:cs="Times New Roman"/>
          <w:sz w:val="24"/>
          <w:szCs w:val="24"/>
          <w:lang w:bidi="lo-LA"/>
        </w:rPr>
        <w:t>u</w:t>
      </w:r>
      <w:r w:rsidRPr="008A5DA2">
        <w:rPr>
          <w:rFonts w:ascii="Times New Roman" w:hAnsi="Times New Roman" w:cs="Times New Roman"/>
          <w:sz w:val="24"/>
          <w:szCs w:val="24"/>
          <w:lang w:bidi="lo-LA"/>
        </w:rPr>
        <w:t>, Norvēģij</w:t>
      </w:r>
      <w:r w:rsidR="008A5DA2" w:rsidRPr="008A5DA2">
        <w:rPr>
          <w:rFonts w:ascii="Times New Roman" w:hAnsi="Times New Roman" w:cs="Times New Roman"/>
          <w:sz w:val="24"/>
          <w:szCs w:val="24"/>
          <w:lang w:bidi="lo-LA"/>
        </w:rPr>
        <w:t xml:space="preserve">u un </w:t>
      </w:r>
      <w:r w:rsidRPr="008A5DA2">
        <w:rPr>
          <w:rFonts w:ascii="Times New Roman" w:hAnsi="Times New Roman" w:cs="Times New Roman"/>
          <w:sz w:val="24"/>
          <w:szCs w:val="24"/>
          <w:lang w:bidi="lo-LA"/>
        </w:rPr>
        <w:t>Somij</w:t>
      </w:r>
      <w:r w:rsidR="008A5DA2" w:rsidRPr="008A5DA2">
        <w:rPr>
          <w:rFonts w:ascii="Times New Roman" w:hAnsi="Times New Roman" w:cs="Times New Roman"/>
          <w:sz w:val="24"/>
          <w:szCs w:val="24"/>
          <w:lang w:bidi="lo-LA"/>
        </w:rPr>
        <w:t>u.</w:t>
      </w:r>
    </w:p>
    <w:p w:rsidR="00BC6E02" w:rsidRPr="00B072F8" w:rsidRDefault="00BC6E02" w:rsidP="00BC6E02">
      <w:pPr>
        <w:spacing w:after="0" w:line="240" w:lineRule="auto"/>
        <w:ind w:firstLine="720"/>
        <w:jc w:val="both"/>
        <w:rPr>
          <w:rFonts w:ascii="Times New Roman" w:hAnsi="Times New Roman"/>
          <w:sz w:val="24"/>
          <w:szCs w:val="24"/>
          <w:lang w:bidi="lo-LA"/>
        </w:rPr>
      </w:pPr>
      <w:r w:rsidRPr="00B072F8">
        <w:rPr>
          <w:rFonts w:ascii="Times New Roman" w:hAnsi="Times New Roman"/>
          <w:sz w:val="24"/>
          <w:szCs w:val="24"/>
        </w:rPr>
        <w:t xml:space="preserve">Afganistānas dienvidu reģionā 2012.gadā Latvija, iesaistot NBS Speciālo uzdevumu vienību, ciešā sadarbībā ar Lietuvu kopīgi īstenoja afgāņu drošības spēku apmācību un veica sadarbības uzdevumus ar afgāņu drošības spēkiem. Latvijas NBS iesaiste turpinājās </w:t>
      </w:r>
      <w:r w:rsidRPr="00B072F8">
        <w:rPr>
          <w:rFonts w:ascii="Times New Roman" w:hAnsi="Times New Roman"/>
          <w:sz w:val="24"/>
          <w:szCs w:val="24"/>
          <w:lang w:bidi="lo-LA"/>
        </w:rPr>
        <w:t>Lietuvas vadītajā Afganistānas Gaisa spēku apmācības vienībā Kandahārā, lai nodrošinātu Mi-17 helikopteru apkalpju apmācību.</w:t>
      </w:r>
    </w:p>
    <w:p w:rsidR="00BC6E02" w:rsidRPr="008559A9" w:rsidRDefault="00BC6E02" w:rsidP="00BC6E02">
      <w:pPr>
        <w:spacing w:after="0" w:line="240" w:lineRule="auto"/>
        <w:ind w:firstLine="720"/>
        <w:jc w:val="both"/>
        <w:rPr>
          <w:rFonts w:ascii="Times New Roman" w:hAnsi="Times New Roman"/>
          <w:sz w:val="24"/>
          <w:szCs w:val="24"/>
        </w:rPr>
      </w:pPr>
      <w:r w:rsidRPr="00B65FD3">
        <w:rPr>
          <w:rFonts w:ascii="Times New Roman" w:hAnsi="Times New Roman"/>
          <w:sz w:val="24"/>
          <w:szCs w:val="24"/>
        </w:rPr>
        <w:t xml:space="preserve">2012.gadā Latvija nodrošināja iesaisti </w:t>
      </w:r>
      <w:r w:rsidRPr="00B65FD3">
        <w:rPr>
          <w:rFonts w:ascii="Times New Roman" w:eastAsia="Calibri" w:hAnsi="Times New Roman"/>
          <w:color w:val="000000"/>
          <w:sz w:val="24"/>
          <w:szCs w:val="24"/>
          <w:lang w:eastAsia="en-US"/>
        </w:rPr>
        <w:t xml:space="preserve">NATO Reaģēšanas spēkos, kuru </w:t>
      </w:r>
      <w:r w:rsidRPr="00B65FD3">
        <w:rPr>
          <w:rFonts w:ascii="Times New Roman" w:hAnsi="Times New Roman"/>
          <w:sz w:val="24"/>
          <w:szCs w:val="24"/>
        </w:rPr>
        <w:t>mērķis ir nodrošināt NATO gatavību nekavējoties iesaistīties pi</w:t>
      </w:r>
      <w:r w:rsidR="006A0FF3">
        <w:rPr>
          <w:rFonts w:ascii="Times New Roman" w:hAnsi="Times New Roman"/>
          <w:sz w:val="24"/>
          <w:szCs w:val="24"/>
        </w:rPr>
        <w:t>lna spektra operācijās</w:t>
      </w:r>
      <w:r w:rsidRPr="008559A9">
        <w:rPr>
          <w:rFonts w:ascii="Times New Roman" w:hAnsi="Times New Roman"/>
          <w:sz w:val="24"/>
          <w:szCs w:val="24"/>
        </w:rPr>
        <w:t xml:space="preserve"> ar Militārās policijas vienību 37 karavīru sastāvā.</w:t>
      </w:r>
    </w:p>
    <w:p w:rsidR="00BC6E02" w:rsidRPr="008559A9" w:rsidRDefault="006A0FF3" w:rsidP="00BC6E02">
      <w:pPr>
        <w:spacing w:after="0" w:line="240" w:lineRule="auto"/>
        <w:ind w:firstLine="720"/>
        <w:jc w:val="both"/>
        <w:rPr>
          <w:rFonts w:ascii="Times New Roman" w:hAnsi="Times New Roman"/>
          <w:sz w:val="24"/>
          <w:szCs w:val="24"/>
        </w:rPr>
      </w:pPr>
      <w:r>
        <w:rPr>
          <w:rFonts w:ascii="Times New Roman" w:hAnsi="Times New Roman"/>
          <w:sz w:val="24"/>
          <w:szCs w:val="24"/>
        </w:rPr>
        <w:t>2012.</w:t>
      </w:r>
      <w:r w:rsidR="00BC6E02" w:rsidRPr="008559A9">
        <w:rPr>
          <w:rFonts w:ascii="Times New Roman" w:hAnsi="Times New Roman"/>
          <w:sz w:val="24"/>
          <w:szCs w:val="24"/>
        </w:rPr>
        <w:t>gadā Latvija turpināja pildīt NATO kontaktvēstniecības funkcijas Uzbekistānā un ieguva tiesības turpmākos divus gadus pārstāvēt NATO Kazahstānā. Latvija turpinās pārstāvēt NATO intereses arī Uzbekistānā, Latvij</w:t>
      </w:r>
      <w:r>
        <w:rPr>
          <w:rFonts w:ascii="Times New Roman" w:hAnsi="Times New Roman"/>
          <w:sz w:val="24"/>
          <w:szCs w:val="24"/>
        </w:rPr>
        <w:t>as diplomātam Taškentā no 2012.</w:t>
      </w:r>
      <w:r w:rsidR="00BC6E02" w:rsidRPr="008559A9">
        <w:rPr>
          <w:rFonts w:ascii="Times New Roman" w:hAnsi="Times New Roman"/>
          <w:sz w:val="24"/>
          <w:szCs w:val="24"/>
        </w:rPr>
        <w:t>gada nogales pildot NATO pārstāvja tranzīta jautājumos Centrālāzijas reģionā funkcijas.</w:t>
      </w:r>
    </w:p>
    <w:p w:rsidR="00BC6E02" w:rsidRPr="00284365" w:rsidRDefault="00BC6E02" w:rsidP="00BC6E02">
      <w:pPr>
        <w:spacing w:after="0" w:line="240" w:lineRule="auto"/>
        <w:ind w:firstLine="720"/>
        <w:jc w:val="both"/>
        <w:rPr>
          <w:rFonts w:ascii="Times New Roman" w:hAnsi="Times New Roman"/>
          <w:sz w:val="24"/>
          <w:szCs w:val="24"/>
          <w:lang w:bidi="lo-LA"/>
        </w:rPr>
      </w:pPr>
      <w:r w:rsidRPr="008559A9">
        <w:rPr>
          <w:rFonts w:ascii="Times New Roman" w:hAnsi="Times New Roman"/>
          <w:sz w:val="24"/>
          <w:szCs w:val="24"/>
        </w:rPr>
        <w:t>2012.gadā Latvija turpināja piedalīties arī ES operācijā ATALANTA</w:t>
      </w:r>
      <w:r w:rsidR="006A0FF3">
        <w:rPr>
          <w:rFonts w:ascii="Times New Roman" w:hAnsi="Times New Roman"/>
          <w:sz w:val="24"/>
          <w:szCs w:val="24"/>
        </w:rPr>
        <w:t>, iesaistot</w:t>
      </w:r>
      <w:r w:rsidRPr="008559A9">
        <w:rPr>
          <w:rFonts w:ascii="Times New Roman" w:hAnsi="Times New Roman"/>
          <w:i/>
          <w:sz w:val="24"/>
          <w:szCs w:val="24"/>
        </w:rPr>
        <w:t xml:space="preserve"> </w:t>
      </w:r>
      <w:r w:rsidRPr="008559A9">
        <w:rPr>
          <w:rFonts w:ascii="Times New Roman" w:hAnsi="Times New Roman"/>
          <w:sz w:val="24"/>
          <w:szCs w:val="24"/>
        </w:rPr>
        <w:t>div</w:t>
      </w:r>
      <w:r w:rsidR="006A0FF3">
        <w:rPr>
          <w:rFonts w:ascii="Times New Roman" w:hAnsi="Times New Roman"/>
          <w:sz w:val="24"/>
          <w:szCs w:val="24"/>
        </w:rPr>
        <w:t>us</w:t>
      </w:r>
      <w:r w:rsidRPr="008559A9">
        <w:rPr>
          <w:rFonts w:ascii="Times New Roman" w:hAnsi="Times New Roman"/>
          <w:sz w:val="24"/>
          <w:szCs w:val="24"/>
        </w:rPr>
        <w:t xml:space="preserve"> karavīr</w:t>
      </w:r>
      <w:r w:rsidR="006A0FF3">
        <w:rPr>
          <w:rFonts w:ascii="Times New Roman" w:hAnsi="Times New Roman"/>
          <w:sz w:val="24"/>
          <w:szCs w:val="24"/>
        </w:rPr>
        <w:t>us</w:t>
      </w:r>
      <w:r w:rsidRPr="008559A9">
        <w:rPr>
          <w:rFonts w:ascii="Times New Roman" w:hAnsi="Times New Roman"/>
          <w:sz w:val="24"/>
          <w:szCs w:val="24"/>
        </w:rPr>
        <w:t>. Viens virsni</w:t>
      </w:r>
      <w:r w:rsidRPr="00B25511">
        <w:rPr>
          <w:rFonts w:ascii="Times New Roman" w:hAnsi="Times New Roman"/>
          <w:sz w:val="24"/>
          <w:szCs w:val="24"/>
        </w:rPr>
        <w:t xml:space="preserve">eks pildīja pienākumus Operacionālajā štābā Nortvudā, Lielbritānijā, bet otrs virsnieks dienēja uz štāba kuģa operācijas rajonā pie Somālijas krastiem. </w:t>
      </w:r>
    </w:p>
    <w:p w:rsidR="00BC6E02" w:rsidRPr="00B072F8" w:rsidRDefault="00BC6E02" w:rsidP="00BC6E02">
      <w:pPr>
        <w:spacing w:after="0" w:line="240" w:lineRule="auto"/>
        <w:ind w:firstLine="720"/>
        <w:jc w:val="both"/>
        <w:rPr>
          <w:rFonts w:ascii="Times New Roman" w:hAnsi="Times New Roman"/>
          <w:sz w:val="24"/>
          <w:szCs w:val="24"/>
          <w:lang w:bidi="lo-LA"/>
        </w:rPr>
      </w:pPr>
      <w:r w:rsidRPr="005E0530">
        <w:rPr>
          <w:rFonts w:ascii="Times New Roman" w:hAnsi="Times New Roman"/>
          <w:sz w:val="24"/>
          <w:szCs w:val="24"/>
        </w:rPr>
        <w:t xml:space="preserve">Lai nodrošinātu regulāru iesaisti ES ātrās reaģēšanas vienībās, 2012.gadā Latvija uzsāka plānošanu un gatavošanos dalībai Lielbritānijas vadītajā </w:t>
      </w:r>
      <w:r w:rsidRPr="00B072F8">
        <w:rPr>
          <w:rFonts w:ascii="Times New Roman" w:eastAsia="Calibri" w:hAnsi="Times New Roman"/>
          <w:color w:val="000000"/>
          <w:sz w:val="24"/>
          <w:szCs w:val="24"/>
          <w:lang w:eastAsia="en-US"/>
        </w:rPr>
        <w:t>ES kaujas grupā</w:t>
      </w:r>
      <w:r w:rsidRPr="00B072F8">
        <w:rPr>
          <w:rFonts w:ascii="Times New Roman" w:hAnsi="Times New Roman"/>
          <w:sz w:val="24"/>
          <w:szCs w:val="24"/>
        </w:rPr>
        <w:t xml:space="preserve">, kura būs dežūrrežīmā 2013.gada otrajā pusgadā, un tajā piedalīsies arī Lietuva, Nīderlande un Zviedrija. Latvija plāno piedalīties ar vieglo kājnieku rotu un dažāda līmeņa štāba virsniekiem 102 karavīru un zemessargu sastāvā. </w:t>
      </w:r>
    </w:p>
    <w:p w:rsidR="00BC6E02" w:rsidRPr="00B072F8" w:rsidRDefault="00BC6E02" w:rsidP="00BC6E02">
      <w:pPr>
        <w:pStyle w:val="Heading3"/>
        <w:rPr>
          <w:color w:val="FF0000"/>
          <w:szCs w:val="24"/>
        </w:rPr>
      </w:pPr>
      <w:bookmarkStart w:id="194" w:name="_Toc348948454"/>
      <w:r w:rsidRPr="00B072F8">
        <w:rPr>
          <w:szCs w:val="24"/>
        </w:rPr>
        <w:t>2.4. NBS un Zemessardzes attīstība</w:t>
      </w:r>
      <w:bookmarkEnd w:id="194"/>
    </w:p>
    <w:p w:rsidR="00BC6E02" w:rsidRPr="00B072F8" w:rsidRDefault="00BC6E02" w:rsidP="00BC6E02">
      <w:pPr>
        <w:autoSpaceDE w:val="0"/>
        <w:autoSpaceDN w:val="0"/>
        <w:adjustRightInd w:val="0"/>
        <w:spacing w:after="0" w:line="240" w:lineRule="auto"/>
        <w:ind w:firstLine="720"/>
        <w:jc w:val="both"/>
        <w:rPr>
          <w:rFonts w:ascii="Times New Roman" w:hAnsi="Times New Roman"/>
          <w:color w:val="000000"/>
          <w:sz w:val="24"/>
          <w:szCs w:val="24"/>
        </w:rPr>
      </w:pPr>
      <w:r w:rsidRPr="00B072F8">
        <w:rPr>
          <w:rFonts w:ascii="Times New Roman" w:hAnsi="Times New Roman"/>
          <w:color w:val="000000"/>
          <w:sz w:val="24"/>
          <w:szCs w:val="24"/>
        </w:rPr>
        <w:t>NBS un Zemessardzes attīstībā īpaši nozīmīga bija NBS attīstības plāna 2012.–2024.gadam apstiprināšana Ministru kabinetā 2012.gada 19.jūnijā, kas tika izstrādāts, ņemot vērā Valsts aizsardzības koncepcijā ietvertās vadlīnijas. Plāna izstrādes procesā tika iedzīvināts jaunais attīstības plānošanas cikls, kurā paredzēta pāreja no vienību uz spēju attīstības plānošanu.</w:t>
      </w:r>
    </w:p>
    <w:p w:rsidR="00BC6E02" w:rsidRPr="00B65FD3" w:rsidRDefault="00BC6E02" w:rsidP="00BC6E02">
      <w:pPr>
        <w:autoSpaceDE w:val="0"/>
        <w:autoSpaceDN w:val="0"/>
        <w:adjustRightInd w:val="0"/>
        <w:spacing w:after="0" w:line="240" w:lineRule="auto"/>
        <w:ind w:firstLine="720"/>
        <w:jc w:val="both"/>
        <w:rPr>
          <w:rFonts w:ascii="Times New Roman" w:hAnsi="Times New Roman"/>
          <w:color w:val="000000"/>
          <w:sz w:val="24"/>
          <w:szCs w:val="24"/>
        </w:rPr>
      </w:pPr>
      <w:r w:rsidRPr="00B072F8">
        <w:rPr>
          <w:rFonts w:ascii="Times New Roman" w:hAnsi="Times New Roman"/>
          <w:color w:val="000000"/>
          <w:sz w:val="24"/>
          <w:szCs w:val="24"/>
        </w:rPr>
        <w:t>NBS attīstības plāns nosaka NBS attīstības mērķus un izpildes termiņus, kā arī plānošanas un budžeta izstrādes savstarpējo sasaisti. Saskaņā ar šo plānu trīs pri</w:t>
      </w:r>
      <w:r w:rsidR="006A0FF3">
        <w:rPr>
          <w:rFonts w:ascii="Times New Roman" w:hAnsi="Times New Roman"/>
          <w:color w:val="000000"/>
          <w:sz w:val="24"/>
          <w:szCs w:val="24"/>
        </w:rPr>
        <w:t>oritārās spējas, kuru attīstība</w:t>
      </w:r>
      <w:r w:rsidRPr="00B072F8">
        <w:rPr>
          <w:rFonts w:ascii="Times New Roman" w:hAnsi="Times New Roman"/>
          <w:color w:val="000000"/>
          <w:sz w:val="24"/>
          <w:szCs w:val="24"/>
        </w:rPr>
        <w:t xml:space="preserve"> atkarībā no pieejamiem finanšu resursiem tiks uzsākta jau no 2014.gada, ir speciālo uzdevumu vienības attīstība, militāro inženieru spējas attīstība un mehanizācijas projekts. </w:t>
      </w:r>
      <w:r w:rsidRPr="00B65FD3">
        <w:rPr>
          <w:rFonts w:ascii="Times New Roman" w:hAnsi="Times New Roman"/>
          <w:color w:val="000000"/>
          <w:sz w:val="24"/>
          <w:szCs w:val="24"/>
        </w:rPr>
        <w:t>2013.gadā tiks pabeigta šo prioritāro spēju ieviešanas detalizēta izstrāde.</w:t>
      </w:r>
    </w:p>
    <w:p w:rsidR="00BC6E02" w:rsidRPr="00B65FD3" w:rsidRDefault="00BC6E02" w:rsidP="00BC6E02">
      <w:pPr>
        <w:autoSpaceDE w:val="0"/>
        <w:autoSpaceDN w:val="0"/>
        <w:adjustRightInd w:val="0"/>
        <w:spacing w:after="0" w:line="240" w:lineRule="auto"/>
        <w:ind w:firstLine="720"/>
        <w:jc w:val="both"/>
        <w:rPr>
          <w:rFonts w:ascii="Times New Roman" w:hAnsi="Times New Roman"/>
          <w:sz w:val="24"/>
          <w:szCs w:val="24"/>
        </w:rPr>
      </w:pPr>
      <w:r w:rsidRPr="00B65FD3">
        <w:rPr>
          <w:rFonts w:ascii="Times New Roman" w:hAnsi="Times New Roman"/>
          <w:sz w:val="24"/>
          <w:szCs w:val="24"/>
        </w:rPr>
        <w:t xml:space="preserve">Pilnveidojot Zemessardzes aktīvāku un plašāku izmantošanu valsts aizsardzībā un starptautiskajās operācijās, ir pieņemts lēmums par Zemessardzes piedalīšanos Lielbritānijas veidotajā ES Kaujas grupā. Zemessardze ir primārā NBS rezerve, un šobrīd noris darbs grozījumu </w:t>
      </w:r>
      <w:r w:rsidR="006A0FF3">
        <w:rPr>
          <w:rFonts w:ascii="Times New Roman" w:hAnsi="Times New Roman"/>
          <w:sz w:val="24"/>
          <w:szCs w:val="24"/>
        </w:rPr>
        <w:t xml:space="preserve">izstrādē </w:t>
      </w:r>
      <w:r w:rsidRPr="00B65FD3">
        <w:rPr>
          <w:rFonts w:ascii="Times New Roman" w:hAnsi="Times New Roman"/>
          <w:sz w:val="24"/>
          <w:szCs w:val="24"/>
        </w:rPr>
        <w:t>Zemessardzes likumā</w:t>
      </w:r>
      <w:r w:rsidR="006A0FF3">
        <w:rPr>
          <w:rFonts w:ascii="Times New Roman" w:hAnsi="Times New Roman"/>
          <w:sz w:val="24"/>
          <w:szCs w:val="24"/>
        </w:rPr>
        <w:t>, lai</w:t>
      </w:r>
      <w:r w:rsidRPr="00B65FD3">
        <w:rPr>
          <w:rFonts w:ascii="Times New Roman" w:hAnsi="Times New Roman"/>
          <w:sz w:val="24"/>
          <w:szCs w:val="24"/>
        </w:rPr>
        <w:t xml:space="preserve"> paplašināt</w:t>
      </w:r>
      <w:r w:rsidR="006A0FF3">
        <w:rPr>
          <w:rFonts w:ascii="Times New Roman" w:hAnsi="Times New Roman"/>
          <w:sz w:val="24"/>
          <w:szCs w:val="24"/>
        </w:rPr>
        <w:t>u</w:t>
      </w:r>
      <w:r w:rsidRPr="00B65FD3">
        <w:rPr>
          <w:rFonts w:ascii="Times New Roman" w:hAnsi="Times New Roman"/>
          <w:sz w:val="24"/>
          <w:szCs w:val="24"/>
        </w:rPr>
        <w:t xml:space="preserve"> zemessargu iesaisti NBS atbalsta funkciju nodrošināšanā. </w:t>
      </w:r>
    </w:p>
    <w:p w:rsidR="00BC6E02" w:rsidRPr="00B65FD3" w:rsidRDefault="00BC6E02" w:rsidP="00BC6E02">
      <w:pPr>
        <w:autoSpaceDE w:val="0"/>
        <w:autoSpaceDN w:val="0"/>
        <w:adjustRightInd w:val="0"/>
        <w:spacing w:after="0" w:line="240" w:lineRule="auto"/>
        <w:ind w:firstLine="720"/>
        <w:jc w:val="both"/>
        <w:rPr>
          <w:rFonts w:ascii="Times New Roman" w:hAnsi="Times New Roman"/>
          <w:sz w:val="24"/>
          <w:szCs w:val="24"/>
        </w:rPr>
      </w:pPr>
      <w:r w:rsidRPr="00B65FD3">
        <w:rPr>
          <w:rFonts w:ascii="Times New Roman" w:hAnsi="Times New Roman"/>
          <w:sz w:val="24"/>
          <w:szCs w:val="24"/>
        </w:rPr>
        <w:t xml:space="preserve">2012.gada </w:t>
      </w:r>
      <w:r w:rsidR="009C61F8" w:rsidRPr="009C61F8">
        <w:rPr>
          <w:rFonts w:ascii="Times New Roman" w:hAnsi="Times New Roman"/>
          <w:sz w:val="24"/>
          <w:szCs w:val="24"/>
        </w:rPr>
        <w:t>ti</w:t>
      </w:r>
      <w:r w:rsidR="009C61F8">
        <w:rPr>
          <w:rFonts w:ascii="Times New Roman" w:hAnsi="Times New Roman"/>
          <w:sz w:val="24"/>
          <w:szCs w:val="24"/>
        </w:rPr>
        <w:t>ka turpināts stiprināt arī Jaunsardzes kustību</w:t>
      </w:r>
      <w:r w:rsidRPr="00B65FD3">
        <w:rPr>
          <w:rFonts w:ascii="Times New Roman" w:hAnsi="Times New Roman"/>
          <w:sz w:val="24"/>
          <w:szCs w:val="24"/>
        </w:rPr>
        <w:t xml:space="preserve">. Ņemot vērā nākotnes izaicinājumus, samazinoties </w:t>
      </w:r>
      <w:r w:rsidRPr="00B65FD3">
        <w:rPr>
          <w:rFonts w:ascii="Times New Roman" w:hAnsi="Times New Roman"/>
          <w:color w:val="000000"/>
          <w:sz w:val="24"/>
          <w:szCs w:val="24"/>
        </w:rPr>
        <w:t xml:space="preserve">uz pusi jauniešu skaitam vecuma grupā no 18 līdz 27 </w:t>
      </w:r>
      <w:r w:rsidRPr="00B65FD3">
        <w:rPr>
          <w:rFonts w:ascii="Times New Roman" w:hAnsi="Times New Roman"/>
          <w:color w:val="000000"/>
          <w:sz w:val="24"/>
          <w:szCs w:val="24"/>
        </w:rPr>
        <w:lastRenderedPageBreak/>
        <w:t xml:space="preserve">gadiem, </w:t>
      </w:r>
      <w:r w:rsidR="009C61F8">
        <w:rPr>
          <w:rFonts w:ascii="Times New Roman" w:hAnsi="Times New Roman"/>
          <w:color w:val="000000"/>
          <w:sz w:val="24"/>
          <w:szCs w:val="24"/>
        </w:rPr>
        <w:t>AizM</w:t>
      </w:r>
      <w:r w:rsidRPr="00B65FD3">
        <w:rPr>
          <w:rFonts w:ascii="Times New Roman" w:hAnsi="Times New Roman"/>
          <w:color w:val="000000"/>
          <w:sz w:val="24"/>
          <w:szCs w:val="24"/>
        </w:rPr>
        <w:t xml:space="preserve"> plāno </w:t>
      </w:r>
      <w:r w:rsidR="009C61F8">
        <w:rPr>
          <w:rFonts w:ascii="Times New Roman" w:hAnsi="Times New Roman"/>
          <w:color w:val="000000"/>
          <w:sz w:val="24"/>
          <w:szCs w:val="24"/>
        </w:rPr>
        <w:t>turpināt</w:t>
      </w:r>
      <w:r w:rsidRPr="00B65FD3">
        <w:rPr>
          <w:rFonts w:ascii="Times New Roman" w:hAnsi="Times New Roman"/>
          <w:color w:val="000000"/>
          <w:sz w:val="24"/>
          <w:szCs w:val="24"/>
        </w:rPr>
        <w:t xml:space="preserve"> attīstīt Jaunsardzes organizāciju, kas nodrošina rekrutēšanas platformu dienestam NBS un Zemessardzē.</w:t>
      </w:r>
    </w:p>
    <w:p w:rsidR="00FD601E" w:rsidRDefault="00BC6E02" w:rsidP="00BC6E02">
      <w:pPr>
        <w:autoSpaceDE w:val="0"/>
        <w:autoSpaceDN w:val="0"/>
        <w:adjustRightInd w:val="0"/>
        <w:spacing w:after="0" w:line="240" w:lineRule="auto"/>
        <w:ind w:firstLine="720"/>
        <w:jc w:val="both"/>
        <w:rPr>
          <w:rFonts w:ascii="Times New Roman" w:hAnsi="Times New Roman"/>
          <w:color w:val="000000"/>
          <w:sz w:val="24"/>
          <w:szCs w:val="24"/>
        </w:rPr>
      </w:pPr>
      <w:r w:rsidRPr="00B65FD3">
        <w:rPr>
          <w:rFonts w:ascii="Times New Roman" w:hAnsi="Times New Roman"/>
          <w:color w:val="000000"/>
          <w:sz w:val="24"/>
          <w:szCs w:val="24"/>
        </w:rPr>
        <w:t xml:space="preserve">2012.gadā </w:t>
      </w:r>
      <w:r w:rsidR="009C61F8">
        <w:rPr>
          <w:rFonts w:ascii="Times New Roman" w:hAnsi="Times New Roman"/>
          <w:color w:val="000000"/>
          <w:sz w:val="24"/>
          <w:szCs w:val="24"/>
        </w:rPr>
        <w:t xml:space="preserve">tika uzlaboti arī karavīru dienesta apstākļi, uzsākot jaunu tipveida kazarmu celtniecības projektu izstrādi Ādažos, kuru īstenošanu plānots veikt 2013.gadā. </w:t>
      </w:r>
    </w:p>
    <w:p w:rsidR="00A60833" w:rsidRPr="009C61F8" w:rsidRDefault="00A60833" w:rsidP="00BC6E02">
      <w:pPr>
        <w:autoSpaceDE w:val="0"/>
        <w:autoSpaceDN w:val="0"/>
        <w:adjustRightInd w:val="0"/>
        <w:spacing w:after="0" w:line="240" w:lineRule="auto"/>
        <w:ind w:firstLine="720"/>
        <w:jc w:val="both"/>
        <w:rPr>
          <w:rFonts w:ascii="Times New Roman" w:hAnsi="Times New Roman"/>
          <w:color w:val="000000"/>
          <w:sz w:val="24"/>
          <w:szCs w:val="24"/>
        </w:rPr>
      </w:pPr>
    </w:p>
    <w:p w:rsidR="00FD601E" w:rsidRPr="00A60833" w:rsidRDefault="00FD601E" w:rsidP="00A60833">
      <w:pPr>
        <w:pStyle w:val="Heading2"/>
        <w:numPr>
          <w:ilvl w:val="0"/>
          <w:numId w:val="40"/>
        </w:numPr>
        <w:spacing w:before="0" w:line="240" w:lineRule="auto"/>
        <w:ind w:left="284" w:hanging="284"/>
      </w:pPr>
      <w:bookmarkStart w:id="195" w:name="_Toc348948455"/>
      <w:r w:rsidRPr="00FD601E">
        <w:t>Latvijas tēls ārvalstīs</w:t>
      </w:r>
      <w:bookmarkEnd w:id="195"/>
    </w:p>
    <w:p w:rsidR="00A60833" w:rsidRDefault="00A60833" w:rsidP="00A60833">
      <w:pPr>
        <w:spacing w:after="0" w:line="240" w:lineRule="auto"/>
        <w:ind w:firstLine="720"/>
        <w:jc w:val="both"/>
        <w:rPr>
          <w:rFonts w:ascii="Times New Roman" w:hAnsi="Times New Roman" w:cs="Times New Roman"/>
          <w:sz w:val="24"/>
          <w:szCs w:val="24"/>
        </w:rPr>
      </w:pPr>
    </w:p>
    <w:p w:rsidR="00A60833" w:rsidRPr="00FD601E" w:rsidRDefault="00A60833" w:rsidP="00A608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Lai paaugstinātu Latvijas pozitīvo atpazīstamību ārvalstīs un pozicionētu Latviju kā zaļu, konkurētspējīgu, politiski un finansiāli reformētu valsti, pievilcīgu tūrisma galamērķi, kā arī atvērtu un uzticamu starptautisko partneri, Latvijas institūts (LI) 2012.gadā </w:t>
      </w:r>
      <w:r w:rsidRPr="00FD601E">
        <w:rPr>
          <w:rFonts w:ascii="Times New Roman" w:hAnsi="Times New Roman" w:cs="Times New Roman"/>
          <w:sz w:val="24"/>
          <w:szCs w:val="24"/>
        </w:rPr>
        <w:t xml:space="preserve">pilnībā atjaunojis Latvijas oficiālo portālu ārvalstu auditorijām </w:t>
      </w:r>
      <w:hyperlink r:id="rId52" w:history="1">
        <w:r w:rsidRPr="00FD601E">
          <w:rPr>
            <w:rStyle w:val="Hyperlink"/>
            <w:rFonts w:ascii="Times New Roman" w:hAnsi="Times New Roman" w:cs="Times New Roman"/>
            <w:sz w:val="24"/>
            <w:szCs w:val="24"/>
          </w:rPr>
          <w:t>www.latvia.eu</w:t>
        </w:r>
      </w:hyperlink>
      <w:r w:rsidR="00565439">
        <w:rPr>
          <w:rFonts w:ascii="Times New Roman" w:hAnsi="Times New Roman" w:cs="Times New Roman"/>
          <w:sz w:val="24"/>
          <w:szCs w:val="24"/>
        </w:rPr>
        <w:t> </w:t>
      </w:r>
      <w:r w:rsidRPr="00FD601E">
        <w:rPr>
          <w:rFonts w:ascii="Times New Roman" w:hAnsi="Times New Roman" w:cs="Times New Roman"/>
          <w:sz w:val="24"/>
          <w:szCs w:val="24"/>
        </w:rPr>
        <w:t>– ir mainīta portāla satura vadības sistēma, padarot portālu lietotājam vienkāršāku un saprotamāku, kā arī drošāku un ātrāku, ir izstrādāts jauns, mūsdienīgs portāla dizains, kā arī tajā regulāri tiek atjaunota informācija. Tika turpināts darbs arī portāla satura papildināšan</w:t>
      </w:r>
      <w:r w:rsidR="00565439">
        <w:rPr>
          <w:rFonts w:ascii="Times New Roman" w:hAnsi="Times New Roman" w:cs="Times New Roman"/>
          <w:sz w:val="24"/>
          <w:szCs w:val="24"/>
        </w:rPr>
        <w:t>ā</w:t>
      </w:r>
      <w:r w:rsidRPr="00FD601E">
        <w:rPr>
          <w:rFonts w:ascii="Times New Roman" w:hAnsi="Times New Roman" w:cs="Times New Roman"/>
          <w:sz w:val="24"/>
          <w:szCs w:val="24"/>
        </w:rPr>
        <w:t xml:space="preserve"> un uzlabošan</w:t>
      </w:r>
      <w:r w:rsidR="00565439">
        <w:rPr>
          <w:rFonts w:ascii="Times New Roman" w:hAnsi="Times New Roman" w:cs="Times New Roman"/>
          <w:sz w:val="24"/>
          <w:szCs w:val="24"/>
        </w:rPr>
        <w:t>ā</w:t>
      </w:r>
      <w:r w:rsidR="006D7AB4">
        <w:rPr>
          <w:rFonts w:ascii="Times New Roman" w:hAnsi="Times New Roman" w:cs="Times New Roman"/>
          <w:sz w:val="24"/>
          <w:szCs w:val="24"/>
        </w:rPr>
        <w:t>,</w:t>
      </w:r>
      <w:r w:rsidRPr="00FD601E">
        <w:rPr>
          <w:rFonts w:ascii="Times New Roman" w:hAnsi="Times New Roman" w:cs="Times New Roman"/>
          <w:sz w:val="24"/>
          <w:szCs w:val="24"/>
        </w:rPr>
        <w:t xml:space="preserve"> izveidojot jaunu sadaļu par Latviju kā ES dalībvalsti </w:t>
      </w:r>
      <w:r w:rsidR="00B167ED">
        <w:rPr>
          <w:rFonts w:ascii="Times New Roman" w:hAnsi="Times New Roman" w:cs="Times New Roman"/>
          <w:sz w:val="24"/>
          <w:szCs w:val="24"/>
        </w:rPr>
        <w:t>"</w:t>
      </w:r>
      <w:r w:rsidRPr="00FD601E">
        <w:rPr>
          <w:rFonts w:ascii="Times New Roman" w:hAnsi="Times New Roman" w:cs="Times New Roman"/>
          <w:i/>
          <w:sz w:val="24"/>
          <w:szCs w:val="24"/>
        </w:rPr>
        <w:t>Latvia - EU</w:t>
      </w:r>
      <w:r w:rsidR="00B167ED">
        <w:rPr>
          <w:rFonts w:ascii="Times New Roman" w:hAnsi="Times New Roman" w:cs="Times New Roman"/>
          <w:sz w:val="24"/>
          <w:szCs w:val="24"/>
        </w:rPr>
        <w:t>"</w:t>
      </w:r>
      <w:r w:rsidRPr="00FD601E">
        <w:rPr>
          <w:rFonts w:ascii="Times New Roman" w:hAnsi="Times New Roman" w:cs="Times New Roman"/>
          <w:sz w:val="24"/>
          <w:szCs w:val="24"/>
        </w:rPr>
        <w:t>, kurā pieejama infografika ar Latvijas un citu ES dalībvalstu statistikas datu salīdzinājumu parametros, kuros Latvija ir ES vadošajā desm</w:t>
      </w:r>
      <w:r w:rsidR="00565439">
        <w:rPr>
          <w:rFonts w:ascii="Times New Roman" w:hAnsi="Times New Roman" w:cs="Times New Roman"/>
          <w:sz w:val="24"/>
          <w:szCs w:val="24"/>
        </w:rPr>
        <w:t>itniekā, un ievietotas 11 video</w:t>
      </w:r>
      <w:r w:rsidRPr="00FD601E">
        <w:rPr>
          <w:rFonts w:ascii="Times New Roman" w:hAnsi="Times New Roman" w:cs="Times New Roman"/>
          <w:sz w:val="24"/>
          <w:szCs w:val="24"/>
        </w:rPr>
        <w:t xml:space="preserve">intervijas ar pasaulē atpazīstamām personām no Latvijas un Latvijas veiksmes stāstiem. Papildus 10 svešvalodu sadaļām izveidota arī sadaļa indonēziešu valodā. </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2012.gadā tika strādāts arī Latvijas oficiālās </w:t>
      </w:r>
      <w:r w:rsidRPr="00FD601E">
        <w:rPr>
          <w:rFonts w:ascii="Times New Roman" w:hAnsi="Times New Roman" w:cs="Times New Roman"/>
          <w:i/>
          <w:sz w:val="24"/>
          <w:szCs w:val="24"/>
        </w:rPr>
        <w:t>Facebook</w:t>
      </w:r>
      <w:r w:rsidRPr="00FD601E">
        <w:rPr>
          <w:rFonts w:ascii="Times New Roman" w:hAnsi="Times New Roman" w:cs="Times New Roman"/>
          <w:sz w:val="24"/>
          <w:szCs w:val="24"/>
        </w:rPr>
        <w:t xml:space="preserve"> lapas uzturēšan</w:t>
      </w:r>
      <w:r w:rsidR="00565439">
        <w:rPr>
          <w:rFonts w:ascii="Times New Roman" w:hAnsi="Times New Roman" w:cs="Times New Roman"/>
          <w:sz w:val="24"/>
          <w:szCs w:val="24"/>
        </w:rPr>
        <w:t>ā</w:t>
      </w:r>
      <w:r w:rsidRPr="00FD601E">
        <w:rPr>
          <w:rFonts w:ascii="Times New Roman" w:hAnsi="Times New Roman" w:cs="Times New Roman"/>
          <w:sz w:val="24"/>
          <w:szCs w:val="24"/>
        </w:rPr>
        <w:t xml:space="preserve"> un attīstīšan</w:t>
      </w:r>
      <w:r w:rsidR="00565439">
        <w:rPr>
          <w:rFonts w:ascii="Times New Roman" w:hAnsi="Times New Roman" w:cs="Times New Roman"/>
          <w:sz w:val="24"/>
          <w:szCs w:val="24"/>
        </w:rPr>
        <w:t>ā</w:t>
      </w:r>
      <w:r w:rsidRPr="00FD601E">
        <w:rPr>
          <w:rFonts w:ascii="Times New Roman" w:hAnsi="Times New Roman" w:cs="Times New Roman"/>
          <w:sz w:val="24"/>
          <w:szCs w:val="24"/>
        </w:rPr>
        <w:t xml:space="preserve">, sasniedzot </w:t>
      </w:r>
      <w:r w:rsidR="00565439">
        <w:rPr>
          <w:rFonts w:ascii="Times New Roman" w:hAnsi="Times New Roman" w:cs="Times New Roman"/>
          <w:sz w:val="24"/>
          <w:szCs w:val="24"/>
        </w:rPr>
        <w:t>divreiz</w:t>
      </w:r>
      <w:r w:rsidRPr="00FD601E">
        <w:rPr>
          <w:rFonts w:ascii="Times New Roman" w:hAnsi="Times New Roman" w:cs="Times New Roman"/>
          <w:sz w:val="24"/>
          <w:szCs w:val="24"/>
        </w:rPr>
        <w:t xml:space="preserve"> lielāku lapas sekotāju skaitu, </w:t>
      </w:r>
      <w:r w:rsidR="00565439">
        <w:rPr>
          <w:rFonts w:ascii="Times New Roman" w:hAnsi="Times New Roman" w:cs="Times New Roman"/>
          <w:sz w:val="24"/>
          <w:szCs w:val="24"/>
        </w:rPr>
        <w:t>ne</w:t>
      </w:r>
      <w:r w:rsidRPr="00FD601E">
        <w:rPr>
          <w:rFonts w:ascii="Times New Roman" w:hAnsi="Times New Roman" w:cs="Times New Roman"/>
          <w:sz w:val="24"/>
          <w:szCs w:val="24"/>
        </w:rPr>
        <w:t xml:space="preserve">kā sākotnēji tika plānots 2012.gadā – 33 000 sekotāji. </w:t>
      </w:r>
    </w:p>
    <w:p w:rsidR="00A60833" w:rsidRPr="00FD601E" w:rsidRDefault="00A60833" w:rsidP="00A608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Daļēji ir atjaunots informatīvo materiālu klāsts svešvalodās Latvijas valsts un pašvaldību institūciju reprezentācijas vajadzībām – informācija par Latviju kā eksportspējīgu, ekoloģiski pievilcīgu un izcilām kultūras vērtībām apveltītu valsti.</w:t>
      </w:r>
    </w:p>
    <w:p w:rsidR="00A60833" w:rsidRPr="00FD601E" w:rsidRDefault="00565439" w:rsidP="00A6083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Katru nedēļu </w:t>
      </w:r>
      <w:r w:rsidR="00A60833" w:rsidRPr="00FD601E">
        <w:rPr>
          <w:rFonts w:ascii="Times New Roman" w:hAnsi="Times New Roman" w:cs="Times New Roman"/>
          <w:sz w:val="24"/>
          <w:szCs w:val="24"/>
        </w:rPr>
        <w:t>sagatavota un izplatīta izzinoš</w:t>
      </w:r>
      <w:r w:rsidR="00A60833">
        <w:rPr>
          <w:rFonts w:ascii="Times New Roman" w:hAnsi="Times New Roman" w:cs="Times New Roman"/>
          <w:sz w:val="24"/>
          <w:szCs w:val="24"/>
        </w:rPr>
        <w:t>a un</w:t>
      </w:r>
      <w:r>
        <w:rPr>
          <w:rFonts w:ascii="Times New Roman" w:hAnsi="Times New Roman" w:cs="Times New Roman"/>
          <w:sz w:val="24"/>
          <w:szCs w:val="24"/>
        </w:rPr>
        <w:t xml:space="preserve"> operatīva</w:t>
      </w:r>
      <w:r w:rsidR="00A60833" w:rsidRPr="00FD601E">
        <w:rPr>
          <w:rFonts w:ascii="Times New Roman" w:hAnsi="Times New Roman" w:cs="Times New Roman"/>
          <w:sz w:val="24"/>
          <w:szCs w:val="24"/>
        </w:rPr>
        <w:t xml:space="preserve"> informācija par politiskajām, ekonomiskajām un sabiedrības aktualitātēm angļu valodā – </w:t>
      </w:r>
      <w:r w:rsidR="00A60833">
        <w:rPr>
          <w:rFonts w:ascii="Times New Roman" w:hAnsi="Times New Roman" w:cs="Times New Roman"/>
          <w:sz w:val="24"/>
          <w:szCs w:val="24"/>
        </w:rPr>
        <w:t>n</w:t>
      </w:r>
      <w:r w:rsidR="00A60833" w:rsidRPr="00FD601E">
        <w:rPr>
          <w:rFonts w:ascii="Times New Roman" w:hAnsi="Times New Roman" w:cs="Times New Roman"/>
          <w:sz w:val="24"/>
          <w:szCs w:val="24"/>
        </w:rPr>
        <w:t xml:space="preserve">ozīmīgāko notikumu apskats </w:t>
      </w:r>
      <w:r w:rsidR="00B167ED">
        <w:rPr>
          <w:rFonts w:ascii="Times New Roman" w:hAnsi="Times New Roman" w:cs="Times New Roman"/>
          <w:sz w:val="24"/>
          <w:szCs w:val="24"/>
        </w:rPr>
        <w:t>"</w:t>
      </w:r>
      <w:r w:rsidR="00A60833" w:rsidRPr="00FD601E">
        <w:rPr>
          <w:rFonts w:ascii="Times New Roman" w:hAnsi="Times New Roman" w:cs="Times New Roman"/>
          <w:i/>
          <w:sz w:val="24"/>
          <w:szCs w:val="24"/>
        </w:rPr>
        <w:t>Latvia in Review</w:t>
      </w:r>
      <w:r w:rsidR="00B167ED">
        <w:rPr>
          <w:rFonts w:ascii="Times New Roman" w:hAnsi="Times New Roman" w:cs="Times New Roman"/>
          <w:sz w:val="24"/>
          <w:szCs w:val="24"/>
        </w:rPr>
        <w:t>"</w:t>
      </w:r>
      <w:r w:rsidR="00A60833">
        <w:rPr>
          <w:rFonts w:ascii="Times New Roman" w:hAnsi="Times New Roman" w:cs="Times New Roman"/>
          <w:sz w:val="24"/>
          <w:szCs w:val="24"/>
        </w:rPr>
        <w:t xml:space="preserve"> angļu valodā</w:t>
      </w:r>
      <w:r w:rsidR="00A60833" w:rsidRPr="00FD601E">
        <w:rPr>
          <w:rFonts w:ascii="Times New Roman" w:hAnsi="Times New Roman" w:cs="Times New Roman"/>
          <w:sz w:val="24"/>
          <w:szCs w:val="24"/>
        </w:rPr>
        <w:t>.</w:t>
      </w:r>
      <w:r w:rsidR="00A60833">
        <w:rPr>
          <w:rFonts w:ascii="Times New Roman" w:hAnsi="Times New Roman" w:cs="Times New Roman"/>
          <w:sz w:val="24"/>
          <w:szCs w:val="24"/>
        </w:rPr>
        <w:t xml:space="preserve"> Uzsākta apskata gatavošana krievu valodā.</w:t>
      </w:r>
      <w:r w:rsidR="00A60833" w:rsidRPr="00FD601E">
        <w:rPr>
          <w:rFonts w:ascii="Times New Roman" w:hAnsi="Times New Roman" w:cs="Times New Roman"/>
          <w:sz w:val="24"/>
          <w:szCs w:val="24"/>
        </w:rPr>
        <w:t xml:space="preserve"> </w:t>
      </w:r>
    </w:p>
    <w:p w:rsidR="00A60833" w:rsidRDefault="00A60833" w:rsidP="00C46BCC">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color w:val="000000"/>
          <w:sz w:val="24"/>
          <w:szCs w:val="24"/>
        </w:rPr>
        <w:t xml:space="preserve">Jānorāda, ka ar valsts finansiālu atbalstu nodrošināta Latvijas kultūras popularizēšana ārvalstīs, tostarp </w:t>
      </w:r>
      <w:r w:rsidRPr="00FD601E">
        <w:rPr>
          <w:rFonts w:ascii="Times New Roman" w:hAnsi="Times New Roman" w:cs="Times New Roman"/>
          <w:sz w:val="24"/>
          <w:szCs w:val="24"/>
        </w:rPr>
        <w:t xml:space="preserve">VSIA </w:t>
      </w:r>
      <w:r w:rsidR="00B167ED">
        <w:rPr>
          <w:rFonts w:ascii="Times New Roman" w:hAnsi="Times New Roman" w:cs="Times New Roman"/>
          <w:sz w:val="24"/>
          <w:szCs w:val="24"/>
        </w:rPr>
        <w:t>"</w:t>
      </w:r>
      <w:r w:rsidRPr="00FD601E">
        <w:rPr>
          <w:rFonts w:ascii="Times New Roman" w:hAnsi="Times New Roman" w:cs="Times New Roman"/>
          <w:sz w:val="24"/>
          <w:szCs w:val="24"/>
        </w:rPr>
        <w:t xml:space="preserve">Valsts Akadēmiskais koris </w:t>
      </w:r>
      <w:r w:rsidR="00B167ED">
        <w:rPr>
          <w:rFonts w:ascii="Times New Roman" w:hAnsi="Times New Roman" w:cs="Times New Roman"/>
          <w:sz w:val="24"/>
          <w:szCs w:val="24"/>
        </w:rPr>
        <w:t>"</w:t>
      </w:r>
      <w:r w:rsidRPr="00FD601E">
        <w:rPr>
          <w:rFonts w:ascii="Times New Roman" w:hAnsi="Times New Roman" w:cs="Times New Roman"/>
          <w:sz w:val="24"/>
          <w:szCs w:val="24"/>
        </w:rPr>
        <w:t>Latvija</w:t>
      </w:r>
      <w:r w:rsidR="00B167ED">
        <w:rPr>
          <w:rFonts w:ascii="Times New Roman" w:hAnsi="Times New Roman" w:cs="Times New Roman"/>
          <w:sz w:val="24"/>
          <w:szCs w:val="24"/>
        </w:rPr>
        <w:t>""</w:t>
      </w:r>
      <w:r w:rsidRPr="00FD601E">
        <w:rPr>
          <w:rFonts w:ascii="Times New Roman" w:hAnsi="Times New Roman" w:cs="Times New Roman"/>
          <w:sz w:val="24"/>
          <w:szCs w:val="24"/>
        </w:rPr>
        <w:t xml:space="preserve"> koncerts Maskavas Filharmonijā saskaņā ar Latvijas Republikas Kultūras ministrijas un Krievijas Federācijas Kultūras ministrijas sadarbības programmu 2010.</w:t>
      </w:r>
      <w:r w:rsidR="00565439">
        <w:rPr>
          <w:rFonts w:ascii="Times New Roman" w:hAnsi="Times New Roman" w:cs="Times New Roman"/>
          <w:sz w:val="24"/>
          <w:szCs w:val="24"/>
        </w:rPr>
        <w:t>–</w:t>
      </w:r>
      <w:r w:rsidRPr="00FD601E">
        <w:rPr>
          <w:rFonts w:ascii="Times New Roman" w:hAnsi="Times New Roman" w:cs="Times New Roman"/>
          <w:sz w:val="24"/>
          <w:szCs w:val="24"/>
        </w:rPr>
        <w:t xml:space="preserve">2012. gadam; Liepājas Simfoniskā orķestra dalība mākslas festivālā </w:t>
      </w:r>
      <w:r w:rsidR="00B167ED">
        <w:rPr>
          <w:rFonts w:ascii="Times New Roman" w:hAnsi="Times New Roman" w:cs="Times New Roman"/>
          <w:sz w:val="24"/>
          <w:szCs w:val="24"/>
        </w:rPr>
        <w:t>"</w:t>
      </w:r>
      <w:r w:rsidRPr="00FD601E">
        <w:rPr>
          <w:rFonts w:ascii="Times New Roman" w:hAnsi="Times New Roman" w:cs="Times New Roman"/>
          <w:sz w:val="24"/>
          <w:szCs w:val="24"/>
        </w:rPr>
        <w:t>Tikšanās Pekinā</w:t>
      </w:r>
      <w:r w:rsidR="00B167ED">
        <w:rPr>
          <w:rFonts w:ascii="Times New Roman" w:hAnsi="Times New Roman" w:cs="Times New Roman"/>
          <w:sz w:val="24"/>
          <w:szCs w:val="24"/>
        </w:rPr>
        <w:t>"</w:t>
      </w:r>
      <w:r w:rsidRPr="00FD601E">
        <w:rPr>
          <w:rFonts w:ascii="Times New Roman" w:hAnsi="Times New Roman" w:cs="Times New Roman"/>
          <w:sz w:val="24"/>
          <w:szCs w:val="24"/>
        </w:rPr>
        <w:t xml:space="preserve">; </w:t>
      </w:r>
      <w:r w:rsidRPr="00FD601E">
        <w:rPr>
          <w:rFonts w:ascii="Times New Roman" w:hAnsi="Times New Roman" w:cs="Times New Roman"/>
          <w:color w:val="000000"/>
          <w:sz w:val="24"/>
          <w:szCs w:val="24"/>
        </w:rPr>
        <w:t>Latvijas literatūras popularizēšana Leipcigas, Boloņas, Gēteborgas un Frankfurtes grāmatu tirgos;</w:t>
      </w:r>
      <w:r w:rsidRPr="00FD601E">
        <w:rPr>
          <w:rFonts w:ascii="Times New Roman" w:hAnsi="Times New Roman" w:cs="Times New Roman"/>
          <w:sz w:val="24"/>
          <w:szCs w:val="24"/>
        </w:rPr>
        <w:t xml:space="preserve"> Latvijas dalība Starptautiskajā Venēcijas arhitektūras biennālē</w:t>
      </w:r>
      <w:r w:rsidR="00C46BCC">
        <w:rPr>
          <w:rFonts w:ascii="Times New Roman" w:hAnsi="Times New Roman" w:cs="Times New Roman"/>
          <w:sz w:val="24"/>
          <w:szCs w:val="24"/>
        </w:rPr>
        <w:t>; Latvijas Nacionāl</w:t>
      </w:r>
      <w:r w:rsidR="00565439">
        <w:rPr>
          <w:rFonts w:ascii="Times New Roman" w:hAnsi="Times New Roman" w:cs="Times New Roman"/>
          <w:sz w:val="24"/>
          <w:szCs w:val="24"/>
        </w:rPr>
        <w:t>ā</w:t>
      </w:r>
      <w:r w:rsidR="00C46BCC">
        <w:rPr>
          <w:rFonts w:ascii="Times New Roman" w:hAnsi="Times New Roman" w:cs="Times New Roman"/>
          <w:sz w:val="24"/>
          <w:szCs w:val="24"/>
        </w:rPr>
        <w:t xml:space="preserve"> teātr</w:t>
      </w:r>
      <w:r w:rsidR="00565439">
        <w:rPr>
          <w:rFonts w:ascii="Times New Roman" w:hAnsi="Times New Roman" w:cs="Times New Roman"/>
          <w:sz w:val="24"/>
          <w:szCs w:val="24"/>
        </w:rPr>
        <w:t>a dalība</w:t>
      </w:r>
      <w:r w:rsidR="00C46BCC">
        <w:rPr>
          <w:rFonts w:ascii="Times New Roman" w:hAnsi="Times New Roman" w:cs="Times New Roman"/>
          <w:sz w:val="24"/>
          <w:szCs w:val="24"/>
        </w:rPr>
        <w:t xml:space="preserve"> ar iestudējumu</w:t>
      </w:r>
      <w:r w:rsidR="00C46BCC" w:rsidRPr="00D3052D">
        <w:rPr>
          <w:rFonts w:ascii="Times New Roman" w:hAnsi="Times New Roman" w:cs="Times New Roman"/>
          <w:sz w:val="24"/>
          <w:szCs w:val="24"/>
        </w:rPr>
        <w:t xml:space="preserve"> </w:t>
      </w:r>
      <w:r w:rsidR="00B167ED">
        <w:rPr>
          <w:rFonts w:ascii="Times New Roman" w:hAnsi="Times New Roman" w:cs="Times New Roman"/>
          <w:sz w:val="24"/>
          <w:szCs w:val="24"/>
        </w:rPr>
        <w:t>"</w:t>
      </w:r>
      <w:r w:rsidR="00C46BCC" w:rsidRPr="00D3052D">
        <w:rPr>
          <w:rFonts w:ascii="Times New Roman" w:hAnsi="Times New Roman" w:cs="Times New Roman"/>
          <w:sz w:val="24"/>
          <w:szCs w:val="24"/>
        </w:rPr>
        <w:t xml:space="preserve">Izrāde </w:t>
      </w:r>
      <w:r w:rsidR="00B167ED">
        <w:rPr>
          <w:rFonts w:ascii="Times New Roman" w:hAnsi="Times New Roman" w:cs="Times New Roman"/>
          <w:sz w:val="24"/>
          <w:szCs w:val="24"/>
        </w:rPr>
        <w:t>"</w:t>
      </w:r>
      <w:r w:rsidR="00C46BCC" w:rsidRPr="00D3052D">
        <w:rPr>
          <w:rFonts w:ascii="Times New Roman" w:hAnsi="Times New Roman" w:cs="Times New Roman"/>
          <w:sz w:val="24"/>
          <w:szCs w:val="24"/>
        </w:rPr>
        <w:t>Gals</w:t>
      </w:r>
      <w:r w:rsidR="00B167ED">
        <w:rPr>
          <w:rFonts w:ascii="Times New Roman" w:hAnsi="Times New Roman" w:cs="Times New Roman"/>
          <w:sz w:val="24"/>
          <w:szCs w:val="24"/>
        </w:rPr>
        <w:t>""</w:t>
      </w:r>
      <w:r w:rsidR="00C46BCC" w:rsidRPr="00D3052D">
        <w:rPr>
          <w:rFonts w:ascii="Times New Roman" w:hAnsi="Times New Roman" w:cs="Times New Roman"/>
          <w:sz w:val="24"/>
          <w:szCs w:val="24"/>
        </w:rPr>
        <w:t xml:space="preserve"> Baltijas oriģināldramaturģijas festivālā Tartu</w:t>
      </w:r>
      <w:r w:rsidR="00C46BCC" w:rsidRPr="00E34B8C">
        <w:rPr>
          <w:rFonts w:ascii="Times New Roman" w:hAnsi="Times New Roman" w:cs="Times New Roman"/>
          <w:sz w:val="24"/>
          <w:szCs w:val="24"/>
        </w:rPr>
        <w:t xml:space="preserve"> </w:t>
      </w:r>
      <w:r w:rsidR="00C46BCC" w:rsidRPr="00FD601E">
        <w:rPr>
          <w:rFonts w:ascii="Times New Roman" w:hAnsi="Times New Roman" w:cs="Times New Roman"/>
          <w:sz w:val="24"/>
          <w:szCs w:val="24"/>
        </w:rPr>
        <w:t>u.c.</w:t>
      </w:r>
      <w:r w:rsidRPr="00FD601E">
        <w:rPr>
          <w:rFonts w:ascii="Times New Roman" w:hAnsi="Times New Roman" w:cs="Times New Roman"/>
          <w:sz w:val="24"/>
          <w:szCs w:val="24"/>
        </w:rPr>
        <w:t xml:space="preserve"> </w:t>
      </w:r>
    </w:p>
    <w:p w:rsidR="00C46BCC" w:rsidRDefault="00C46BCC" w:rsidP="008A5DA2">
      <w:pPr>
        <w:spacing w:after="0" w:line="240" w:lineRule="auto"/>
        <w:ind w:firstLine="567"/>
        <w:jc w:val="both"/>
      </w:pPr>
      <w:r w:rsidRPr="00D3052D">
        <w:rPr>
          <w:rFonts w:ascii="Times New Roman" w:hAnsi="Times New Roman" w:cs="Times New Roman"/>
          <w:sz w:val="24"/>
          <w:szCs w:val="24"/>
        </w:rPr>
        <w:t xml:space="preserve">Pasaules koru olimpiādē ASV, kurā piedalījās ap15000 dziedātāju no 64 pasaules valstīm, Latvijas Kultūras akadēmijas koris </w:t>
      </w:r>
      <w:r w:rsidR="00B167ED">
        <w:rPr>
          <w:rFonts w:ascii="Times New Roman" w:hAnsi="Times New Roman" w:cs="Times New Roman"/>
          <w:sz w:val="24"/>
          <w:szCs w:val="24"/>
        </w:rPr>
        <w:t>"</w:t>
      </w:r>
      <w:r w:rsidRPr="00D3052D">
        <w:rPr>
          <w:rFonts w:ascii="Times New Roman" w:hAnsi="Times New Roman" w:cs="Times New Roman"/>
          <w:sz w:val="24"/>
          <w:szCs w:val="24"/>
        </w:rPr>
        <w:t>Sōla</w:t>
      </w:r>
      <w:r w:rsidR="00B167ED">
        <w:rPr>
          <w:rFonts w:ascii="Times New Roman" w:hAnsi="Times New Roman" w:cs="Times New Roman"/>
          <w:sz w:val="24"/>
          <w:szCs w:val="24"/>
        </w:rPr>
        <w:t>"</w:t>
      </w:r>
      <w:r w:rsidRPr="00D3052D">
        <w:rPr>
          <w:rFonts w:ascii="Times New Roman" w:hAnsi="Times New Roman" w:cs="Times New Roman"/>
          <w:sz w:val="24"/>
          <w:szCs w:val="24"/>
        </w:rPr>
        <w:t xml:space="preserve"> ieguv</w:t>
      </w:r>
      <w:r w:rsidR="00565439">
        <w:rPr>
          <w:rFonts w:ascii="Times New Roman" w:hAnsi="Times New Roman" w:cs="Times New Roman"/>
          <w:sz w:val="24"/>
          <w:szCs w:val="24"/>
        </w:rPr>
        <w:t>is</w:t>
      </w:r>
      <w:r w:rsidRPr="00D3052D">
        <w:rPr>
          <w:rFonts w:ascii="Times New Roman" w:hAnsi="Times New Roman" w:cs="Times New Roman"/>
          <w:sz w:val="24"/>
          <w:szCs w:val="24"/>
        </w:rPr>
        <w:t xml:space="preserve"> trīs zelta medaļas – jaukto koru, folkloras un sakrālās mūzikas k</w:t>
      </w:r>
      <w:r w:rsidR="00565439">
        <w:rPr>
          <w:rFonts w:ascii="Times New Roman" w:hAnsi="Times New Roman" w:cs="Times New Roman"/>
          <w:sz w:val="24"/>
          <w:szCs w:val="24"/>
        </w:rPr>
        <w:t xml:space="preserve">ategorijās. Vokālais ansamblis </w:t>
      </w:r>
      <w:r w:rsidR="00B167ED">
        <w:rPr>
          <w:rFonts w:ascii="Times New Roman" w:hAnsi="Times New Roman" w:cs="Times New Roman"/>
          <w:sz w:val="24"/>
          <w:szCs w:val="24"/>
        </w:rPr>
        <w:t>"</w:t>
      </w:r>
      <w:r w:rsidRPr="00D3052D">
        <w:rPr>
          <w:rFonts w:ascii="Times New Roman" w:hAnsi="Times New Roman" w:cs="Times New Roman"/>
          <w:sz w:val="24"/>
          <w:szCs w:val="24"/>
        </w:rPr>
        <w:t>Latvian Voices</w:t>
      </w:r>
      <w:r w:rsidR="00B167ED">
        <w:rPr>
          <w:rFonts w:ascii="Times New Roman" w:hAnsi="Times New Roman" w:cs="Times New Roman"/>
          <w:sz w:val="24"/>
          <w:szCs w:val="24"/>
        </w:rPr>
        <w:t>"</w:t>
      </w:r>
      <w:r w:rsidRPr="00D3052D">
        <w:rPr>
          <w:rFonts w:ascii="Times New Roman" w:hAnsi="Times New Roman" w:cs="Times New Roman"/>
          <w:sz w:val="24"/>
          <w:szCs w:val="24"/>
        </w:rPr>
        <w:t xml:space="preserve"> sieviešu kamerkoru kategorijā ieguvis zelta medaļu un čempionu titulu, kas ir augstākais iespējamais Pasaules koru olimpiādes novērtējums. </w:t>
      </w:r>
      <w:hyperlink r:id="rId53" w:tgtFrame="_blank" w:tooltip="Latvijas Universitāte" w:history="1">
        <w:r w:rsidRPr="00D3052D">
          <w:rPr>
            <w:rFonts w:ascii="Times New Roman" w:hAnsi="Times New Roman" w:cs="Times New Roman"/>
            <w:sz w:val="24"/>
            <w:szCs w:val="24"/>
            <w:bdr w:val="none" w:sz="0" w:space="0" w:color="auto" w:frame="1"/>
          </w:rPr>
          <w:t>Latvijas Universitātes</w:t>
        </w:r>
      </w:hyperlink>
      <w:r w:rsidRPr="00D3052D">
        <w:rPr>
          <w:rFonts w:ascii="Times New Roman" w:hAnsi="Times New Roman" w:cs="Times New Roman"/>
          <w:sz w:val="24"/>
          <w:szCs w:val="24"/>
        </w:rPr>
        <w:t xml:space="preserve"> sieviešu koris </w:t>
      </w:r>
      <w:r w:rsidR="00B167ED">
        <w:rPr>
          <w:rFonts w:ascii="Times New Roman" w:hAnsi="Times New Roman" w:cs="Times New Roman"/>
          <w:sz w:val="24"/>
          <w:szCs w:val="24"/>
        </w:rPr>
        <w:t>"</w:t>
      </w:r>
      <w:r w:rsidRPr="00D3052D">
        <w:rPr>
          <w:rFonts w:ascii="Times New Roman" w:hAnsi="Times New Roman" w:cs="Times New Roman"/>
          <w:sz w:val="24"/>
          <w:szCs w:val="24"/>
        </w:rPr>
        <w:t>Minjona</w:t>
      </w:r>
      <w:r w:rsidR="00B167ED">
        <w:rPr>
          <w:rFonts w:ascii="Times New Roman" w:hAnsi="Times New Roman" w:cs="Times New Roman"/>
          <w:sz w:val="24"/>
          <w:szCs w:val="24"/>
        </w:rPr>
        <w:t>"</w:t>
      </w:r>
      <w:r w:rsidRPr="00D3052D">
        <w:rPr>
          <w:rFonts w:ascii="Times New Roman" w:hAnsi="Times New Roman" w:cs="Times New Roman"/>
          <w:sz w:val="24"/>
          <w:szCs w:val="24"/>
        </w:rPr>
        <w:t xml:space="preserve"> Ķīnā koru meistarsacīkstēs izcīnīj</w:t>
      </w:r>
      <w:r w:rsidR="00565439">
        <w:rPr>
          <w:rFonts w:ascii="Times New Roman" w:hAnsi="Times New Roman" w:cs="Times New Roman"/>
          <w:sz w:val="24"/>
          <w:szCs w:val="24"/>
        </w:rPr>
        <w:t>is</w:t>
      </w:r>
      <w:r w:rsidRPr="00D3052D">
        <w:rPr>
          <w:rFonts w:ascii="Times New Roman" w:hAnsi="Times New Roman" w:cs="Times New Roman"/>
          <w:sz w:val="24"/>
          <w:szCs w:val="24"/>
        </w:rPr>
        <w:t xml:space="preserve"> augstāko iespējamo apbalvojumu – Platīna medaļu.</w:t>
      </w:r>
    </w:p>
    <w:p w:rsidR="00C46BCC" w:rsidRPr="008A5DA2" w:rsidRDefault="00C46BCC" w:rsidP="00C46BCC">
      <w:pPr>
        <w:spacing w:after="0" w:line="240" w:lineRule="auto"/>
        <w:ind w:firstLine="567"/>
        <w:jc w:val="both"/>
        <w:rPr>
          <w:rFonts w:ascii="Times New Roman" w:hAnsi="Times New Roman" w:cs="Times New Roman"/>
          <w:sz w:val="24"/>
          <w:szCs w:val="24"/>
        </w:rPr>
      </w:pPr>
      <w:r w:rsidRPr="008A5DA2">
        <w:rPr>
          <w:rFonts w:ascii="Times New Roman" w:hAnsi="Times New Roman" w:cs="Times New Roman"/>
          <w:sz w:val="24"/>
          <w:szCs w:val="24"/>
        </w:rPr>
        <w:lastRenderedPageBreak/>
        <w:t xml:space="preserve">Eiropas Savienības Literatūras balvu par stāstu krājumu </w:t>
      </w:r>
      <w:r w:rsidR="00B167ED">
        <w:rPr>
          <w:rFonts w:ascii="Times New Roman" w:hAnsi="Times New Roman" w:cs="Times New Roman"/>
          <w:sz w:val="24"/>
          <w:szCs w:val="24"/>
        </w:rPr>
        <w:t>"</w:t>
      </w:r>
      <w:r w:rsidRPr="008A5DA2">
        <w:rPr>
          <w:rStyle w:val="Emphasis"/>
          <w:rFonts w:ascii="Times New Roman" w:hAnsi="Times New Roman" w:cs="Times New Roman"/>
          <w:sz w:val="24"/>
          <w:szCs w:val="24"/>
        </w:rPr>
        <w:t>Mierinājums Ādama kokam</w:t>
      </w:r>
      <w:r w:rsidR="00B167ED">
        <w:rPr>
          <w:rStyle w:val="Emphasis"/>
          <w:rFonts w:ascii="Times New Roman" w:hAnsi="Times New Roman" w:cs="Times New Roman"/>
          <w:sz w:val="24"/>
          <w:szCs w:val="24"/>
        </w:rPr>
        <w:t>"</w:t>
      </w:r>
      <w:r w:rsidRPr="008A5DA2">
        <w:rPr>
          <w:rFonts w:ascii="Times New Roman" w:hAnsi="Times New Roman" w:cs="Times New Roman"/>
          <w:sz w:val="24"/>
          <w:szCs w:val="24"/>
        </w:rPr>
        <w:t xml:space="preserve"> (</w:t>
      </w:r>
      <w:r w:rsidRPr="008A5DA2">
        <w:rPr>
          <w:rStyle w:val="Emphasis"/>
          <w:rFonts w:ascii="Times New Roman" w:hAnsi="Times New Roman" w:cs="Times New Roman"/>
          <w:sz w:val="24"/>
          <w:szCs w:val="24"/>
        </w:rPr>
        <w:t>Dienas Grāmata</w:t>
      </w:r>
      <w:r w:rsidRPr="008A5DA2">
        <w:rPr>
          <w:rFonts w:ascii="Times New Roman" w:hAnsi="Times New Roman" w:cs="Times New Roman"/>
          <w:sz w:val="24"/>
          <w:szCs w:val="24"/>
        </w:rPr>
        <w:t>) saņēma Latvijas autore Inga Žolude. Baltijas Asamblejas (BA) balv</w:t>
      </w:r>
      <w:r w:rsidR="00565439">
        <w:rPr>
          <w:rFonts w:ascii="Times New Roman" w:hAnsi="Times New Roman" w:cs="Times New Roman"/>
          <w:sz w:val="24"/>
          <w:szCs w:val="24"/>
        </w:rPr>
        <w:t>u</w:t>
      </w:r>
      <w:r w:rsidRPr="008A5DA2">
        <w:rPr>
          <w:rFonts w:ascii="Times New Roman" w:hAnsi="Times New Roman" w:cs="Times New Roman"/>
          <w:sz w:val="24"/>
          <w:szCs w:val="24"/>
        </w:rPr>
        <w:t xml:space="preserve"> literatūrā saņēma prozaiķis Aivars Kļavis par tetraloģiju </w:t>
      </w:r>
      <w:r w:rsidR="00B167ED">
        <w:rPr>
          <w:rFonts w:ascii="Times New Roman" w:hAnsi="Times New Roman" w:cs="Times New Roman"/>
          <w:sz w:val="24"/>
          <w:szCs w:val="24"/>
        </w:rPr>
        <w:t>"</w:t>
      </w:r>
      <w:r w:rsidRPr="008A5DA2">
        <w:rPr>
          <w:rFonts w:ascii="Times New Roman" w:hAnsi="Times New Roman" w:cs="Times New Roman"/>
          <w:sz w:val="24"/>
          <w:szCs w:val="24"/>
        </w:rPr>
        <w:t>Viņpus vārtiem</w:t>
      </w:r>
      <w:r w:rsidR="00B167ED">
        <w:rPr>
          <w:rFonts w:ascii="Times New Roman" w:hAnsi="Times New Roman" w:cs="Times New Roman"/>
          <w:sz w:val="24"/>
          <w:szCs w:val="24"/>
        </w:rPr>
        <w:t>"</w:t>
      </w:r>
      <w:r w:rsidRPr="008A5DA2">
        <w:rPr>
          <w:rFonts w:ascii="Times New Roman" w:hAnsi="Times New Roman" w:cs="Times New Roman"/>
          <w:sz w:val="24"/>
          <w:szCs w:val="24"/>
        </w:rPr>
        <w:t>.</w:t>
      </w:r>
    </w:p>
    <w:p w:rsidR="00C46BCC" w:rsidRPr="008A5DA2" w:rsidRDefault="00C46BCC" w:rsidP="00C46BCC">
      <w:pPr>
        <w:spacing w:after="0" w:line="240" w:lineRule="auto"/>
        <w:ind w:firstLine="567"/>
        <w:jc w:val="both"/>
        <w:rPr>
          <w:rFonts w:ascii="Times New Roman" w:hAnsi="Times New Roman" w:cs="Times New Roman"/>
          <w:sz w:val="24"/>
          <w:szCs w:val="24"/>
        </w:rPr>
      </w:pPr>
      <w:r w:rsidRPr="008A5DA2">
        <w:rPr>
          <w:rFonts w:ascii="Times New Roman" w:hAnsi="Times New Roman" w:cs="Times New Roman"/>
          <w:sz w:val="24"/>
          <w:szCs w:val="24"/>
        </w:rPr>
        <w:t xml:space="preserve">Prestižajai </w:t>
      </w:r>
      <w:r w:rsidR="00B167ED">
        <w:rPr>
          <w:rFonts w:ascii="Times New Roman" w:hAnsi="Times New Roman" w:cs="Times New Roman"/>
          <w:sz w:val="24"/>
          <w:szCs w:val="24"/>
        </w:rPr>
        <w:t>"</w:t>
      </w:r>
      <w:hyperlink r:id="rId54" w:tgtFrame="_blank" w:tooltip="Grammy" w:history="1">
        <w:r w:rsidRPr="008A5DA2">
          <w:rPr>
            <w:rFonts w:ascii="Times New Roman" w:hAnsi="Times New Roman" w:cs="Times New Roman"/>
            <w:sz w:val="24"/>
            <w:szCs w:val="24"/>
            <w:bdr w:val="none" w:sz="0" w:space="0" w:color="auto" w:frame="1"/>
          </w:rPr>
          <w:t>Grammy</w:t>
        </w:r>
      </w:hyperlink>
      <w:r w:rsidR="00B167ED">
        <w:rPr>
          <w:rFonts w:ascii="Times New Roman" w:hAnsi="Times New Roman" w:cs="Times New Roman"/>
          <w:sz w:val="24"/>
          <w:szCs w:val="24"/>
        </w:rPr>
        <w:t>"</w:t>
      </w:r>
      <w:r w:rsidRPr="008A5DA2">
        <w:rPr>
          <w:rFonts w:ascii="Times New Roman" w:hAnsi="Times New Roman" w:cs="Times New Roman"/>
          <w:sz w:val="24"/>
          <w:szCs w:val="24"/>
        </w:rPr>
        <w:t xml:space="preserve"> balvai izvirzī</w:t>
      </w:r>
      <w:r w:rsidR="00565439">
        <w:rPr>
          <w:rFonts w:ascii="Times New Roman" w:hAnsi="Times New Roman" w:cs="Times New Roman"/>
          <w:sz w:val="24"/>
          <w:szCs w:val="24"/>
        </w:rPr>
        <w:t>ts</w:t>
      </w:r>
      <w:r w:rsidRPr="008A5DA2">
        <w:rPr>
          <w:rFonts w:ascii="Times New Roman" w:hAnsi="Times New Roman" w:cs="Times New Roman"/>
          <w:sz w:val="24"/>
          <w:szCs w:val="24"/>
        </w:rPr>
        <w:t xml:space="preserve"> latviešu komponist</w:t>
      </w:r>
      <w:r w:rsidR="00565439">
        <w:rPr>
          <w:rFonts w:ascii="Times New Roman" w:hAnsi="Times New Roman" w:cs="Times New Roman"/>
          <w:sz w:val="24"/>
          <w:szCs w:val="24"/>
        </w:rPr>
        <w:t>s</w:t>
      </w:r>
      <w:r w:rsidRPr="008A5DA2">
        <w:rPr>
          <w:rFonts w:ascii="Times New Roman" w:hAnsi="Times New Roman" w:cs="Times New Roman"/>
          <w:sz w:val="24"/>
          <w:szCs w:val="24"/>
        </w:rPr>
        <w:t xml:space="preserve"> un mūziķi</w:t>
      </w:r>
      <w:r w:rsidR="00565439">
        <w:rPr>
          <w:rFonts w:ascii="Times New Roman" w:hAnsi="Times New Roman" w:cs="Times New Roman"/>
          <w:sz w:val="24"/>
          <w:szCs w:val="24"/>
        </w:rPr>
        <w:t>s</w:t>
      </w:r>
      <w:r w:rsidRPr="008A5DA2">
        <w:rPr>
          <w:rFonts w:ascii="Times New Roman" w:hAnsi="Times New Roman" w:cs="Times New Roman"/>
          <w:sz w:val="24"/>
          <w:szCs w:val="24"/>
        </w:rPr>
        <w:t xml:space="preserve"> Uģi Prauliņ</w:t>
      </w:r>
      <w:r w:rsidR="00565439">
        <w:rPr>
          <w:rFonts w:ascii="Times New Roman" w:hAnsi="Times New Roman" w:cs="Times New Roman"/>
          <w:sz w:val="24"/>
          <w:szCs w:val="24"/>
        </w:rPr>
        <w:t>š</w:t>
      </w:r>
      <w:r w:rsidRPr="008A5DA2">
        <w:rPr>
          <w:rFonts w:ascii="Times New Roman" w:hAnsi="Times New Roman" w:cs="Times New Roman"/>
          <w:sz w:val="24"/>
          <w:szCs w:val="24"/>
        </w:rPr>
        <w:t xml:space="preserve"> par kompozīciju </w:t>
      </w:r>
      <w:r w:rsidR="00B167ED">
        <w:rPr>
          <w:rFonts w:ascii="Times New Roman" w:hAnsi="Times New Roman" w:cs="Times New Roman"/>
          <w:sz w:val="24"/>
          <w:szCs w:val="24"/>
        </w:rPr>
        <w:t>"</w:t>
      </w:r>
      <w:r w:rsidRPr="008A5DA2">
        <w:rPr>
          <w:rFonts w:ascii="Times New Roman" w:hAnsi="Times New Roman" w:cs="Times New Roman"/>
          <w:sz w:val="24"/>
          <w:szCs w:val="24"/>
        </w:rPr>
        <w:t>The Nightingale</w:t>
      </w:r>
      <w:r w:rsidR="00B167ED">
        <w:rPr>
          <w:rFonts w:ascii="Times New Roman" w:hAnsi="Times New Roman" w:cs="Times New Roman"/>
          <w:sz w:val="24"/>
          <w:szCs w:val="24"/>
        </w:rPr>
        <w:t>"</w:t>
      </w:r>
      <w:r w:rsidRPr="008A5DA2">
        <w:rPr>
          <w:rFonts w:ascii="Times New Roman" w:hAnsi="Times New Roman" w:cs="Times New Roman"/>
          <w:sz w:val="24"/>
          <w:szCs w:val="24"/>
        </w:rPr>
        <w:t xml:space="preserve"> </w:t>
      </w:r>
      <w:r w:rsidR="00565439">
        <w:rPr>
          <w:rFonts w:ascii="Times New Roman" w:hAnsi="Times New Roman" w:cs="Times New Roman"/>
          <w:sz w:val="24"/>
          <w:szCs w:val="24"/>
        </w:rPr>
        <w:t>(</w:t>
      </w:r>
      <w:r w:rsidRPr="008A5DA2">
        <w:rPr>
          <w:rFonts w:ascii="Times New Roman" w:hAnsi="Times New Roman" w:cs="Times New Roman"/>
          <w:sz w:val="24"/>
          <w:szCs w:val="24"/>
        </w:rPr>
        <w:t xml:space="preserve">nominēts kategorijā </w:t>
      </w:r>
      <w:r w:rsidR="00B167ED">
        <w:rPr>
          <w:rFonts w:ascii="Times New Roman" w:hAnsi="Times New Roman" w:cs="Times New Roman"/>
          <w:sz w:val="24"/>
          <w:szCs w:val="24"/>
        </w:rPr>
        <w:t>"</w:t>
      </w:r>
      <w:r w:rsidRPr="008A5DA2">
        <w:rPr>
          <w:rFonts w:ascii="Times New Roman" w:hAnsi="Times New Roman" w:cs="Times New Roman"/>
          <w:sz w:val="24"/>
          <w:szCs w:val="24"/>
        </w:rPr>
        <w:t>Labākais mūsdienu klasiskās mūzikas skaņdarbs</w:t>
      </w:r>
      <w:r w:rsidR="00B167ED">
        <w:rPr>
          <w:rFonts w:ascii="Times New Roman" w:hAnsi="Times New Roman" w:cs="Times New Roman"/>
          <w:sz w:val="24"/>
          <w:szCs w:val="24"/>
        </w:rPr>
        <w:t>"</w:t>
      </w:r>
      <w:r w:rsidR="00565439">
        <w:rPr>
          <w:rFonts w:ascii="Times New Roman" w:hAnsi="Times New Roman" w:cs="Times New Roman"/>
          <w:sz w:val="24"/>
          <w:szCs w:val="24"/>
        </w:rPr>
        <w:t>)</w:t>
      </w:r>
      <w:r w:rsidRPr="008A5DA2">
        <w:rPr>
          <w:rFonts w:ascii="Times New Roman" w:hAnsi="Times New Roman" w:cs="Times New Roman"/>
          <w:sz w:val="24"/>
          <w:szCs w:val="24"/>
        </w:rPr>
        <w:t xml:space="preserve">. </w:t>
      </w:r>
    </w:p>
    <w:p w:rsidR="00C46BCC" w:rsidRPr="00C95E09" w:rsidRDefault="00C46BCC" w:rsidP="008A5DA2">
      <w:pPr>
        <w:spacing w:after="0" w:line="240" w:lineRule="auto"/>
        <w:ind w:firstLine="567"/>
        <w:jc w:val="both"/>
        <w:rPr>
          <w:rFonts w:ascii="Times New Roman" w:hAnsi="Times New Roman" w:cs="Times New Roman"/>
          <w:sz w:val="24"/>
          <w:szCs w:val="24"/>
        </w:rPr>
      </w:pPr>
      <w:r w:rsidRPr="00C95E09">
        <w:rPr>
          <w:rFonts w:ascii="Times New Roman" w:hAnsi="Times New Roman" w:cs="Times New Roman"/>
          <w:sz w:val="24"/>
          <w:szCs w:val="24"/>
        </w:rPr>
        <w:t>Starptautiskajā mūsdienu mākslas mesē «ArtVilnius'12» par labāko ārzemju jauno mākslinieku atz</w:t>
      </w:r>
      <w:r w:rsidR="00565439">
        <w:rPr>
          <w:rFonts w:ascii="Times New Roman" w:hAnsi="Times New Roman" w:cs="Times New Roman"/>
          <w:sz w:val="24"/>
          <w:szCs w:val="24"/>
        </w:rPr>
        <w:t>īts</w:t>
      </w:r>
      <w:r w:rsidRPr="00C95E09">
        <w:rPr>
          <w:rFonts w:ascii="Times New Roman" w:hAnsi="Times New Roman" w:cs="Times New Roman"/>
          <w:sz w:val="24"/>
          <w:szCs w:val="24"/>
        </w:rPr>
        <w:t xml:space="preserve"> Kristian</w:t>
      </w:r>
      <w:r w:rsidR="00565439">
        <w:rPr>
          <w:rFonts w:ascii="Times New Roman" w:hAnsi="Times New Roman" w:cs="Times New Roman"/>
          <w:sz w:val="24"/>
          <w:szCs w:val="24"/>
        </w:rPr>
        <w:t>s</w:t>
      </w:r>
      <w:r w:rsidRPr="00C95E09">
        <w:rPr>
          <w:rFonts w:ascii="Times New Roman" w:hAnsi="Times New Roman" w:cs="Times New Roman"/>
          <w:sz w:val="24"/>
          <w:szCs w:val="24"/>
        </w:rPr>
        <w:t xml:space="preserve"> Brekt</w:t>
      </w:r>
      <w:r w:rsidR="00565439">
        <w:rPr>
          <w:rFonts w:ascii="Times New Roman" w:hAnsi="Times New Roman" w:cs="Times New Roman"/>
          <w:sz w:val="24"/>
          <w:szCs w:val="24"/>
        </w:rPr>
        <w:t>e</w:t>
      </w:r>
      <w:r w:rsidRPr="00C95E09">
        <w:rPr>
          <w:rFonts w:ascii="Times New Roman" w:hAnsi="Times New Roman" w:cs="Times New Roman"/>
          <w:sz w:val="24"/>
          <w:szCs w:val="24"/>
        </w:rPr>
        <w:t>, bet par labāko ārvalstu mākslas galeriju – Latvijas galerij</w:t>
      </w:r>
      <w:r w:rsidR="00565439">
        <w:rPr>
          <w:rFonts w:ascii="Times New Roman" w:hAnsi="Times New Roman" w:cs="Times New Roman"/>
          <w:sz w:val="24"/>
          <w:szCs w:val="24"/>
        </w:rPr>
        <w:t>a</w:t>
      </w:r>
      <w:r w:rsidRPr="00C95E09">
        <w:rPr>
          <w:rFonts w:ascii="Times New Roman" w:hAnsi="Times New Roman" w:cs="Times New Roman"/>
          <w:sz w:val="24"/>
          <w:szCs w:val="24"/>
        </w:rPr>
        <w:t xml:space="preserve"> «Galerija 21».</w:t>
      </w:r>
      <w:r w:rsidRPr="00BC200E">
        <w:rPr>
          <w:rFonts w:ascii="Times New Roman" w:hAnsi="Times New Roman" w:cs="Times New Roman"/>
          <w:sz w:val="24"/>
          <w:szCs w:val="24"/>
        </w:rPr>
        <w:t xml:space="preserve"> </w:t>
      </w:r>
      <w:r w:rsidRPr="00C95E09">
        <w:rPr>
          <w:rFonts w:ascii="Times New Roman" w:hAnsi="Times New Roman" w:cs="Times New Roman"/>
          <w:sz w:val="24"/>
          <w:szCs w:val="24"/>
        </w:rPr>
        <w:t xml:space="preserve">Sudraba godalga festivālā FIAMP 2012 (Festival International de l’Audiovisuel et du Multimedia sur le Patriomoine) par digitālo programmu </w:t>
      </w:r>
      <w:r w:rsidR="00B167ED">
        <w:rPr>
          <w:rFonts w:ascii="Times New Roman" w:hAnsi="Times New Roman" w:cs="Times New Roman"/>
          <w:sz w:val="24"/>
          <w:szCs w:val="24"/>
        </w:rPr>
        <w:t>"</w:t>
      </w:r>
      <w:r w:rsidRPr="00C95E09">
        <w:rPr>
          <w:rFonts w:ascii="Times New Roman" w:hAnsi="Times New Roman" w:cs="Times New Roman"/>
          <w:sz w:val="24"/>
          <w:szCs w:val="24"/>
        </w:rPr>
        <w:t>Animācija</w:t>
      </w:r>
      <w:r w:rsidR="00B167ED">
        <w:rPr>
          <w:rFonts w:ascii="Times New Roman" w:hAnsi="Times New Roman" w:cs="Times New Roman"/>
          <w:sz w:val="24"/>
          <w:szCs w:val="24"/>
        </w:rPr>
        <w:t>"</w:t>
      </w:r>
      <w:r w:rsidRPr="00C95E09">
        <w:rPr>
          <w:rFonts w:ascii="Times New Roman" w:hAnsi="Times New Roman" w:cs="Times New Roman"/>
          <w:sz w:val="24"/>
          <w:szCs w:val="24"/>
        </w:rPr>
        <w:t xml:space="preserve"> Rīgas Kino muzeja digitālajai ekspozīcijai kategorijā </w:t>
      </w:r>
      <w:r w:rsidR="00B167ED">
        <w:rPr>
          <w:rFonts w:ascii="Times New Roman" w:hAnsi="Times New Roman" w:cs="Times New Roman"/>
          <w:sz w:val="24"/>
          <w:szCs w:val="24"/>
        </w:rPr>
        <w:t>"</w:t>
      </w:r>
      <w:r w:rsidRPr="00C95E09">
        <w:rPr>
          <w:rFonts w:ascii="Times New Roman" w:hAnsi="Times New Roman" w:cs="Times New Roman"/>
          <w:sz w:val="24"/>
          <w:szCs w:val="24"/>
        </w:rPr>
        <w:t>Interaktīvā multimediju māksla</w:t>
      </w:r>
      <w:r w:rsidR="00B167ED">
        <w:rPr>
          <w:rFonts w:ascii="Times New Roman" w:hAnsi="Times New Roman" w:cs="Times New Roman"/>
          <w:sz w:val="24"/>
          <w:szCs w:val="24"/>
        </w:rPr>
        <w:t>"</w:t>
      </w:r>
      <w:r w:rsidRPr="00C95E09">
        <w:rPr>
          <w:rFonts w:ascii="Times New Roman" w:hAnsi="Times New Roman" w:cs="Times New Roman"/>
          <w:sz w:val="24"/>
          <w:szCs w:val="24"/>
        </w:rPr>
        <w:t>.</w:t>
      </w:r>
    </w:p>
    <w:p w:rsidR="00A60833" w:rsidRPr="00FD601E" w:rsidRDefault="00A60833" w:rsidP="00A60833">
      <w:pPr>
        <w:pStyle w:val="NormalWeb"/>
        <w:spacing w:before="0" w:beforeAutospacing="0" w:after="0" w:afterAutospacing="0"/>
        <w:ind w:firstLine="720"/>
        <w:jc w:val="both"/>
      </w:pPr>
      <w:r w:rsidRPr="00FD601E">
        <w:t xml:space="preserve">Lai informētu starptautisko sabiedrību par valsts valodas politikas īstenošanas rezultātiem un valodas situāciju Latvijā dažādos vēstures laikposmos, </w:t>
      </w:r>
      <w:r w:rsidR="00AF1727">
        <w:t>līdztekus</w:t>
      </w:r>
      <w:r w:rsidRPr="00FD601E">
        <w:t xml:space="preserve"> pētīju</w:t>
      </w:r>
      <w:r w:rsidR="00AF1727">
        <w:t>mu publicēšanai latviešu valodā</w:t>
      </w:r>
      <w:r w:rsidRPr="00FD601E">
        <w:t xml:space="preserve"> tika sagatavoti pētījumi angļu valodā: </w:t>
      </w:r>
      <w:r w:rsidR="00B167ED">
        <w:t>"</w:t>
      </w:r>
      <w:r w:rsidRPr="00FD601E">
        <w:rPr>
          <w:i/>
        </w:rPr>
        <w:t>Language situation in Latvia: 2004–2010</w:t>
      </w:r>
      <w:r w:rsidRPr="00FD601E">
        <w:t>.</w:t>
      </w:r>
      <w:r w:rsidR="00B167ED">
        <w:t>"</w:t>
      </w:r>
      <w:r w:rsidRPr="00FD601E">
        <w:t xml:space="preserve">, </w:t>
      </w:r>
      <w:r w:rsidR="00B167ED">
        <w:t>"</w:t>
      </w:r>
      <w:r w:rsidRPr="00FD601E">
        <w:rPr>
          <w:i/>
        </w:rPr>
        <w:t>The influence of Migration on the Language Environment in Latvia</w:t>
      </w:r>
      <w:r w:rsidR="00B167ED">
        <w:t>"</w:t>
      </w:r>
      <w:r w:rsidRPr="00FD601E">
        <w:t xml:space="preserve">, </w:t>
      </w:r>
      <w:r w:rsidR="00B167ED">
        <w:t>"</w:t>
      </w:r>
      <w:r w:rsidRPr="00FD601E">
        <w:rPr>
          <w:i/>
        </w:rPr>
        <w:t>In defence of Latvian Language. Against Russification</w:t>
      </w:r>
      <w:r w:rsidR="00B167ED">
        <w:t>"</w:t>
      </w:r>
      <w:r w:rsidRPr="00FD601E">
        <w:t>.</w:t>
      </w:r>
    </w:p>
    <w:p w:rsidR="00A60833" w:rsidRPr="00FD601E" w:rsidRDefault="00A60833" w:rsidP="00A60833">
      <w:pPr>
        <w:spacing w:after="0" w:line="240" w:lineRule="auto"/>
        <w:ind w:firstLine="720"/>
        <w:jc w:val="both"/>
        <w:rPr>
          <w:rFonts w:ascii="Times New Roman" w:hAnsi="Times New Roman" w:cs="Times New Roman"/>
          <w:b/>
          <w:sz w:val="24"/>
          <w:szCs w:val="24"/>
        </w:rPr>
      </w:pPr>
      <w:r w:rsidRPr="00FD601E">
        <w:rPr>
          <w:rFonts w:ascii="Times New Roman" w:hAnsi="Times New Roman" w:cs="Times New Roman"/>
          <w:sz w:val="24"/>
          <w:szCs w:val="24"/>
        </w:rPr>
        <w:t xml:space="preserve">Papildus tam 2012.gadā </w:t>
      </w:r>
      <w:r w:rsidRPr="00FD601E">
        <w:rPr>
          <w:rStyle w:val="Strong"/>
          <w:rFonts w:ascii="Times New Roman" w:hAnsi="Times New Roman" w:cs="Times New Roman"/>
          <w:b w:val="0"/>
          <w:color w:val="031703"/>
          <w:sz w:val="24"/>
          <w:szCs w:val="24"/>
        </w:rPr>
        <w:t xml:space="preserve">4.Nemateriālās kultūras mantojuma konvencijas dalībvalstu Ģenerālā asamblejā </w:t>
      </w:r>
      <w:r w:rsidRPr="00FD601E">
        <w:rPr>
          <w:rFonts w:ascii="Times New Roman" w:hAnsi="Times New Roman" w:cs="Times New Roman"/>
          <w:sz w:val="24"/>
          <w:szCs w:val="24"/>
        </w:rPr>
        <w:t>Latvija uz 4 gadiem ievēlēta UNESCO</w:t>
      </w:r>
      <w:r w:rsidRPr="00FD601E">
        <w:rPr>
          <w:rFonts w:ascii="Times New Roman" w:hAnsi="Times New Roman" w:cs="Times New Roman"/>
          <w:b/>
          <w:sz w:val="24"/>
          <w:szCs w:val="24"/>
        </w:rPr>
        <w:t xml:space="preserve"> </w:t>
      </w:r>
      <w:r w:rsidRPr="00FD601E">
        <w:rPr>
          <w:rStyle w:val="Strong"/>
          <w:rFonts w:ascii="Times New Roman" w:hAnsi="Times New Roman" w:cs="Times New Roman"/>
          <w:b w:val="0"/>
          <w:color w:val="031703"/>
          <w:sz w:val="24"/>
          <w:szCs w:val="24"/>
        </w:rPr>
        <w:t xml:space="preserve">Nemateriāla kultūras mantojuma Starpvaldību komitejā. </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2013.gadā plānots turpināt nodrošināt izzinošu</w:t>
      </w:r>
      <w:r w:rsidR="000F4890">
        <w:rPr>
          <w:rFonts w:ascii="Times New Roman" w:hAnsi="Times New Roman" w:cs="Times New Roman"/>
          <w:sz w:val="24"/>
          <w:szCs w:val="24"/>
        </w:rPr>
        <w:t xml:space="preserve"> </w:t>
      </w:r>
      <w:r>
        <w:rPr>
          <w:rFonts w:ascii="Times New Roman" w:hAnsi="Times New Roman" w:cs="Times New Roman"/>
          <w:sz w:val="24"/>
          <w:szCs w:val="24"/>
        </w:rPr>
        <w:t>un</w:t>
      </w:r>
      <w:r w:rsidR="000F4890">
        <w:rPr>
          <w:rFonts w:ascii="Times New Roman" w:hAnsi="Times New Roman" w:cs="Times New Roman"/>
          <w:sz w:val="24"/>
          <w:szCs w:val="24"/>
        </w:rPr>
        <w:t xml:space="preserve"> </w:t>
      </w:r>
      <w:r w:rsidRPr="00FD601E">
        <w:rPr>
          <w:rFonts w:ascii="Times New Roman" w:hAnsi="Times New Roman" w:cs="Times New Roman"/>
          <w:sz w:val="24"/>
          <w:szCs w:val="24"/>
        </w:rPr>
        <w:t xml:space="preserve">operatīvu  drukātu, elektronisku un mutisku informācijas materiālu gatavošanu angļu valodā par politiskajām, ekonomiskajām un sabiedrības aktualitātēm valstī, nodrošināt Latvijas oficiālās </w:t>
      </w:r>
      <w:r w:rsidRPr="00FD601E">
        <w:rPr>
          <w:rFonts w:ascii="Times New Roman" w:hAnsi="Times New Roman" w:cs="Times New Roman"/>
          <w:i/>
          <w:sz w:val="24"/>
          <w:szCs w:val="24"/>
        </w:rPr>
        <w:t>Facebook</w:t>
      </w:r>
      <w:r w:rsidRPr="00FD601E">
        <w:rPr>
          <w:rFonts w:ascii="Times New Roman" w:hAnsi="Times New Roman" w:cs="Times New Roman"/>
          <w:sz w:val="24"/>
          <w:szCs w:val="24"/>
        </w:rPr>
        <w:t xml:space="preserve"> lapas uzturēšanu un attīstīšanu, </w:t>
      </w:r>
      <w:r>
        <w:rPr>
          <w:rFonts w:ascii="Times New Roman" w:hAnsi="Times New Roman" w:cs="Times New Roman"/>
          <w:sz w:val="24"/>
          <w:szCs w:val="24"/>
        </w:rPr>
        <w:t>palielinot sekotāju skaitu.</w:t>
      </w:r>
      <w:r w:rsidRPr="00FD601E">
        <w:rPr>
          <w:rFonts w:ascii="Times New Roman" w:hAnsi="Times New Roman" w:cs="Times New Roman"/>
          <w:sz w:val="24"/>
          <w:szCs w:val="24"/>
        </w:rPr>
        <w:t xml:space="preserve"> </w:t>
      </w:r>
    </w:p>
    <w:p w:rsidR="00A60833" w:rsidRPr="00FD601E" w:rsidRDefault="00A60833" w:rsidP="00A60833">
      <w:pPr>
        <w:spacing w:after="0" w:line="240" w:lineRule="auto"/>
        <w:ind w:firstLine="720"/>
        <w:jc w:val="both"/>
        <w:rPr>
          <w:rFonts w:ascii="Times New Roman" w:hAnsi="Times New Roman" w:cs="Times New Roman"/>
          <w:sz w:val="24"/>
          <w:szCs w:val="24"/>
        </w:rPr>
      </w:pPr>
      <w:r w:rsidRPr="00FD601E">
        <w:rPr>
          <w:rFonts w:ascii="Times New Roman" w:hAnsi="Times New Roman" w:cs="Times New Roman"/>
          <w:sz w:val="24"/>
          <w:szCs w:val="24"/>
        </w:rPr>
        <w:t xml:space="preserve">Papildus tam ir plānots attīstīt un popularizēt Latvijas informatīvo portālu ārvalstu auditorijām </w:t>
      </w:r>
      <w:hyperlink r:id="rId55" w:history="1">
        <w:r w:rsidRPr="00FD601E">
          <w:rPr>
            <w:rStyle w:val="Hyperlink"/>
            <w:rFonts w:ascii="Times New Roman" w:hAnsi="Times New Roman" w:cs="Times New Roman"/>
            <w:sz w:val="24"/>
            <w:szCs w:val="24"/>
          </w:rPr>
          <w:t>www.latvia.eu</w:t>
        </w:r>
      </w:hyperlink>
      <w:r w:rsidRPr="00FD601E">
        <w:rPr>
          <w:rFonts w:ascii="Times New Roman" w:hAnsi="Times New Roman" w:cs="Times New Roman"/>
          <w:sz w:val="24"/>
          <w:szCs w:val="24"/>
        </w:rPr>
        <w:t xml:space="preserve">, lai sasniegtu 220 000 </w:t>
      </w:r>
      <w:r>
        <w:rPr>
          <w:rFonts w:ascii="Times New Roman" w:hAnsi="Times New Roman" w:cs="Times New Roman"/>
          <w:sz w:val="24"/>
          <w:szCs w:val="24"/>
        </w:rPr>
        <w:t xml:space="preserve">apmeklētāju </w:t>
      </w:r>
      <w:r w:rsidRPr="00FD601E">
        <w:rPr>
          <w:rFonts w:ascii="Times New Roman" w:hAnsi="Times New Roman" w:cs="Times New Roman"/>
          <w:sz w:val="24"/>
          <w:szCs w:val="24"/>
        </w:rPr>
        <w:t>skaitu</w:t>
      </w:r>
      <w:r>
        <w:rPr>
          <w:rFonts w:ascii="Times New Roman" w:hAnsi="Times New Roman" w:cs="Times New Roman"/>
          <w:sz w:val="24"/>
          <w:szCs w:val="24"/>
        </w:rPr>
        <w:t xml:space="preserve">, </w:t>
      </w:r>
      <w:r w:rsidRPr="00FD601E">
        <w:rPr>
          <w:rFonts w:ascii="Times New Roman" w:hAnsi="Times New Roman" w:cs="Times New Roman"/>
          <w:sz w:val="24"/>
          <w:szCs w:val="24"/>
        </w:rPr>
        <w:t>pieejamo resursu robežās saturiski atjaunot, precizēt un modernizēt portālā izvietoto informāciju, kā arī uzturēt aktīvu komunikāciju LI Twitter kontā, pakāpeniski palielinot sekotāju skaitu.</w:t>
      </w:r>
    </w:p>
    <w:p w:rsidR="00FD601E" w:rsidRPr="00A03F5A" w:rsidRDefault="00FD601E" w:rsidP="00FD601E">
      <w:pPr>
        <w:spacing w:after="0" w:line="240" w:lineRule="auto"/>
        <w:ind w:firstLine="425"/>
        <w:jc w:val="both"/>
        <w:rPr>
          <w:rFonts w:ascii="Times New Roman" w:hAnsi="Times New Roman" w:cs="Times New Roman"/>
          <w:sz w:val="28"/>
          <w:szCs w:val="28"/>
        </w:rPr>
      </w:pPr>
    </w:p>
    <w:p w:rsidR="00FD601E" w:rsidRPr="00A03F5A" w:rsidRDefault="00FD601E" w:rsidP="00FD601E">
      <w:pPr>
        <w:spacing w:after="0" w:line="240" w:lineRule="auto"/>
        <w:ind w:firstLine="425"/>
        <w:jc w:val="both"/>
        <w:rPr>
          <w:rFonts w:ascii="Times New Roman" w:hAnsi="Times New Roman" w:cs="Times New Roman"/>
          <w:sz w:val="28"/>
          <w:szCs w:val="28"/>
        </w:rPr>
      </w:pPr>
    </w:p>
    <w:p w:rsidR="00FD601E" w:rsidRPr="00A03F5A" w:rsidRDefault="00FD601E" w:rsidP="00FD601E">
      <w:pPr>
        <w:spacing w:after="0" w:line="240" w:lineRule="auto"/>
        <w:ind w:firstLine="425"/>
        <w:jc w:val="both"/>
        <w:rPr>
          <w:rFonts w:ascii="Times New Roman" w:hAnsi="Times New Roman" w:cs="Times New Roman"/>
          <w:sz w:val="28"/>
          <w:szCs w:val="28"/>
        </w:rPr>
      </w:pPr>
    </w:p>
    <w:p w:rsidR="00FD601E" w:rsidRPr="00A03F5A" w:rsidRDefault="00FD601E" w:rsidP="00FD601E">
      <w:pPr>
        <w:autoSpaceDE w:val="0"/>
        <w:autoSpaceDN w:val="0"/>
        <w:adjustRightInd w:val="0"/>
        <w:spacing w:before="120" w:after="120"/>
        <w:jc w:val="both"/>
        <w:rPr>
          <w:rFonts w:ascii="Times New Roman" w:hAnsi="Times New Roman" w:cs="Times New Roman"/>
          <w:color w:val="000000"/>
          <w:sz w:val="28"/>
          <w:szCs w:val="28"/>
        </w:rPr>
      </w:pPr>
    </w:p>
    <w:p w:rsidR="006202E5" w:rsidRPr="006202E5" w:rsidRDefault="006202E5" w:rsidP="00871110">
      <w:pPr>
        <w:pStyle w:val="Heading1"/>
      </w:pPr>
    </w:p>
    <w:sectPr w:rsidR="006202E5" w:rsidRPr="006202E5" w:rsidSect="003210C7">
      <w:footerReference w:type="default" r:id="rId5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486" w:rsidRDefault="00405486" w:rsidP="00CA63EF">
      <w:pPr>
        <w:spacing w:after="0" w:line="240" w:lineRule="auto"/>
      </w:pPr>
      <w:r>
        <w:separator/>
      </w:r>
    </w:p>
  </w:endnote>
  <w:endnote w:type="continuationSeparator" w:id="0">
    <w:p w:rsidR="00405486" w:rsidRDefault="00405486" w:rsidP="00CA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9938"/>
      <w:docPartObj>
        <w:docPartGallery w:val="Page Numbers (Bottom of Page)"/>
        <w:docPartUnique/>
      </w:docPartObj>
    </w:sdtPr>
    <w:sdtEndPr/>
    <w:sdtContent>
      <w:p w:rsidR="00405486" w:rsidRDefault="00405486">
        <w:pPr>
          <w:pStyle w:val="Footer"/>
          <w:jc w:val="right"/>
        </w:pPr>
        <w:r>
          <w:fldChar w:fldCharType="begin"/>
        </w:r>
        <w:r>
          <w:instrText xml:space="preserve"> PAGE   \* MERGEFORMAT </w:instrText>
        </w:r>
        <w:r>
          <w:fldChar w:fldCharType="separate"/>
        </w:r>
        <w:r w:rsidR="00FB637A">
          <w:rPr>
            <w:noProof/>
          </w:rPr>
          <w:t>128</w:t>
        </w:r>
        <w:r>
          <w:rPr>
            <w:noProof/>
          </w:rPr>
          <w:fldChar w:fldCharType="end"/>
        </w:r>
      </w:p>
    </w:sdtContent>
  </w:sdt>
  <w:p w:rsidR="00405486" w:rsidRDefault="00405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486" w:rsidRDefault="00405486" w:rsidP="00CA63EF">
      <w:pPr>
        <w:spacing w:after="0" w:line="240" w:lineRule="auto"/>
      </w:pPr>
      <w:r>
        <w:separator/>
      </w:r>
    </w:p>
  </w:footnote>
  <w:footnote w:type="continuationSeparator" w:id="0">
    <w:p w:rsidR="00405486" w:rsidRDefault="00405486" w:rsidP="00CA63EF">
      <w:pPr>
        <w:spacing w:after="0" w:line="240" w:lineRule="auto"/>
      </w:pPr>
      <w:r>
        <w:continuationSeparator/>
      </w:r>
    </w:p>
  </w:footnote>
  <w:footnote w:id="1">
    <w:p w:rsidR="00405486" w:rsidRDefault="00405486" w:rsidP="00937643">
      <w:pPr>
        <w:pStyle w:val="FootnoteText"/>
        <w:rPr>
          <w:rFonts w:ascii="Calibri" w:eastAsia="Times New Roman" w:hAnsi="Calibri" w:cs="Times New Roman"/>
        </w:rPr>
      </w:pPr>
      <w:r w:rsidRPr="001F74AC">
        <w:rPr>
          <w:rStyle w:val="FootnoteReference"/>
          <w:rFonts w:ascii="Times New Roman" w:eastAsia="Times New Roman" w:hAnsi="Times New Roman" w:cs="Times New Roman"/>
        </w:rPr>
        <w:footnoteRef/>
      </w:r>
      <w:r w:rsidRPr="001F74AC">
        <w:rPr>
          <w:rFonts w:ascii="Times New Roman" w:eastAsia="Times New Roman" w:hAnsi="Times New Roman" w:cs="Times New Roman"/>
        </w:rPr>
        <w:t xml:space="preserve"> </w:t>
      </w:r>
      <w:r>
        <w:rPr>
          <w:rFonts w:ascii="Times New Roman" w:eastAsia="Times New Roman" w:hAnsi="Times New Roman" w:cs="Times New Roman"/>
        </w:rPr>
        <w:t xml:space="preserve">VM </w:t>
      </w:r>
      <w:r w:rsidRPr="001F74AC">
        <w:rPr>
          <w:rFonts w:ascii="Times New Roman" w:eastAsia="Times New Roman" w:hAnsi="Times New Roman" w:cs="Times New Roman"/>
        </w:rPr>
        <w:t>piešķirti līdzekļi 16 151 224 latu apmērā 2013.gadā un 2014.gadā, un turpmākajos gados ik gadu 16</w:t>
      </w:r>
      <w:r>
        <w:rPr>
          <w:rFonts w:ascii="Times New Roman" w:eastAsia="Times New Roman" w:hAnsi="Times New Roman" w:cs="Times New Roman"/>
        </w:rPr>
        <w:t> </w:t>
      </w:r>
      <w:r w:rsidRPr="001F74AC">
        <w:rPr>
          <w:rFonts w:ascii="Times New Roman" w:eastAsia="Times New Roman" w:hAnsi="Times New Roman" w:cs="Times New Roman"/>
        </w:rPr>
        <w:t>564 252 latu apmērā. Satiksmes ministrijai 2013.gadam piešķirts papildu finansējums ar braukšanas maksas atvieglojumiem saistīto zaudējumu segšanai sabiedriskā transporta pakalpojumu sniedzējiem 11,705 miljonu latu apmērā.</w:t>
      </w:r>
    </w:p>
  </w:footnote>
  <w:footnote w:id="2">
    <w:p w:rsidR="00405486" w:rsidRDefault="00405486" w:rsidP="00937643">
      <w:pPr>
        <w:pStyle w:val="FootnoteText"/>
        <w:rPr>
          <w:rFonts w:ascii="Calibri" w:eastAsia="Times New Roman" w:hAnsi="Calibri" w:cs="Times New Roman"/>
        </w:rPr>
      </w:pPr>
      <w:r w:rsidRPr="001F74AC">
        <w:rPr>
          <w:rStyle w:val="FootnoteReference"/>
          <w:rFonts w:ascii="Times New Roman" w:eastAsia="Times New Roman" w:hAnsi="Times New Roman" w:cs="Times New Roman"/>
        </w:rPr>
        <w:footnoteRef/>
      </w:r>
      <w:r w:rsidRPr="001F74AC">
        <w:rPr>
          <w:rFonts w:ascii="Times New Roman" w:eastAsia="Times New Roman" w:hAnsi="Times New Roman" w:cs="Times New Roman"/>
        </w:rPr>
        <w:t xml:space="preserve"> Rezultāti gaidāmi 2013.gada marta beigās/aprīļa sākumā</w:t>
      </w:r>
    </w:p>
  </w:footnote>
  <w:footnote w:id="3">
    <w:p w:rsidR="00405486" w:rsidRPr="001D2B27" w:rsidRDefault="00405486" w:rsidP="00871110">
      <w:pPr>
        <w:pStyle w:val="FootnoteText1"/>
        <w:jc w:val="both"/>
        <w:rPr>
          <w:rFonts w:ascii="Times New Roman" w:hAnsi="Times New Roman"/>
        </w:rPr>
      </w:pPr>
      <w:r w:rsidRPr="003C0A99">
        <w:rPr>
          <w:rStyle w:val="FootnoteReference"/>
        </w:rPr>
        <w:footnoteRef/>
      </w:r>
      <w:r w:rsidRPr="003C0A99">
        <w:rPr>
          <w:rFonts w:ascii="Times New Roman" w:hAnsi="Times New Roman"/>
        </w:rPr>
        <w:t xml:space="preserve"> Inflācijas sadalījums pēc izcelsmes atsevišķi atdala </w:t>
      </w:r>
      <w:r w:rsidRPr="003C0A99">
        <w:rPr>
          <w:rFonts w:ascii="Times New Roman" w:hAnsi="Times New Roman"/>
          <w:u w:val="single"/>
        </w:rPr>
        <w:t>pamatinflāciju</w:t>
      </w:r>
      <w:r w:rsidRPr="003C0A99">
        <w:rPr>
          <w:rFonts w:ascii="Times New Roman" w:hAnsi="Times New Roman"/>
        </w:rPr>
        <w:t xml:space="preserve"> jeb kopējo patēriņa cenu indeksu </w:t>
      </w:r>
      <w:r w:rsidRPr="003C0A99">
        <w:rPr>
          <w:rFonts w:ascii="Times New Roman" w:hAnsi="Times New Roman"/>
          <w:u w:val="single"/>
        </w:rPr>
        <w:t>bez energoresursiem un neapstrādātās pārtikas</w:t>
      </w:r>
      <w:r>
        <w:rPr>
          <w:rFonts w:ascii="Times New Roman" w:hAnsi="Times New Roman"/>
        </w:rPr>
        <w:t>. Š</w:t>
      </w:r>
      <w:r w:rsidRPr="003C0A99">
        <w:rPr>
          <w:rFonts w:ascii="Times New Roman" w:hAnsi="Times New Roman"/>
        </w:rPr>
        <w:t xml:space="preserve">īs lielās patēriņa grupas cenu līmeni regulē iekšējā tirgus pieprasījums. </w:t>
      </w:r>
      <w:r>
        <w:rPr>
          <w:rFonts w:ascii="Times New Roman" w:hAnsi="Times New Roman"/>
        </w:rPr>
        <w:t>Savukārt</w:t>
      </w:r>
      <w:r w:rsidRPr="001D2B27">
        <w:rPr>
          <w:rFonts w:ascii="Times New Roman" w:hAnsi="Times New Roman"/>
        </w:rPr>
        <w:t xml:space="preserve"> atsevišķi atdalītais </w:t>
      </w:r>
      <w:r w:rsidRPr="001D2B27">
        <w:rPr>
          <w:rFonts w:ascii="Times New Roman" w:hAnsi="Times New Roman"/>
          <w:u w:val="single"/>
        </w:rPr>
        <w:t>energoresursu un neapstrādātās pārtikas cenu indekss</w:t>
      </w:r>
      <w:r w:rsidRPr="001D2B27">
        <w:rPr>
          <w:rFonts w:ascii="Times New Roman" w:hAnsi="Times New Roman"/>
        </w:rPr>
        <w:t xml:space="preserve"> raksturo pasaules cenu svārstības un </w:t>
      </w:r>
      <w:r w:rsidRPr="001D2B27">
        <w:rPr>
          <w:rFonts w:ascii="Times New Roman" w:hAnsi="Times New Roman"/>
          <w:u w:val="single"/>
        </w:rPr>
        <w:t>importēto inflāciju</w:t>
      </w:r>
      <w:r w:rsidRPr="001D2B27">
        <w:rPr>
          <w:rFonts w:ascii="Times New Roman" w:hAnsi="Times New Roman"/>
        </w:rPr>
        <w:t xml:space="preserve">. Proporcionāli grupu īpatsvaram ir aprēķināta arī </w:t>
      </w:r>
      <w:r w:rsidRPr="001D2B27">
        <w:rPr>
          <w:rFonts w:ascii="Times New Roman" w:hAnsi="Times New Roman"/>
          <w:u w:val="single"/>
        </w:rPr>
        <w:t>nodokļu ietekme uz patēriņa cenām.</w:t>
      </w:r>
    </w:p>
  </w:footnote>
  <w:footnote w:id="4">
    <w:p w:rsidR="00405486" w:rsidRPr="00015292" w:rsidRDefault="00405486" w:rsidP="00871110">
      <w:pPr>
        <w:pStyle w:val="FootnoteText"/>
        <w:rPr>
          <w:rFonts w:ascii="Times New Roman" w:hAnsi="Times New Roman"/>
        </w:rPr>
      </w:pPr>
      <w:r w:rsidRPr="00015292">
        <w:rPr>
          <w:rStyle w:val="FootnoteReference"/>
          <w:rFonts w:ascii="Times New Roman" w:hAnsi="Times New Roman"/>
        </w:rPr>
        <w:footnoteRef/>
      </w:r>
      <w:r w:rsidRPr="00015292">
        <w:rPr>
          <w:rFonts w:ascii="Times New Roman" w:hAnsi="Times New Roman"/>
        </w:rPr>
        <w:t xml:space="preserve"> Valsts un atsevišķu valsts teritorijas daļu sasniedzamības uzlabošanu, pilnveidojot transporta infrastruktūru, kā arī veicinot videi draudzīgu transporta sistēmu attīstību.</w:t>
      </w:r>
    </w:p>
  </w:footnote>
  <w:footnote w:id="5">
    <w:p w:rsidR="00405486" w:rsidRPr="00AF5477" w:rsidRDefault="00405486" w:rsidP="00871110">
      <w:pPr>
        <w:pStyle w:val="FootnoteText"/>
      </w:pPr>
      <w:r>
        <w:rPr>
          <w:rStyle w:val="FootnoteReference"/>
        </w:rPr>
        <w:footnoteRef/>
      </w:r>
      <w:r>
        <w:t xml:space="preserve"> </w:t>
      </w:r>
      <w:r w:rsidRPr="00F32E23">
        <w:rPr>
          <w:rFonts w:ascii="Times New Roman" w:eastAsia="EUAlbertina-Bold-Identity-H" w:hAnsi="Times New Roman"/>
        </w:rPr>
        <w:t>Ņemot vērā ļoti svārstīgo Šveices franka kursu, informācija norādīta arī Šveices frankos.</w:t>
      </w:r>
    </w:p>
  </w:footnote>
  <w:footnote w:id="6">
    <w:p w:rsidR="00405486" w:rsidRPr="00447A10" w:rsidRDefault="00405486" w:rsidP="00871110">
      <w:pPr>
        <w:pStyle w:val="FootnoteText"/>
        <w:rPr>
          <w:rFonts w:ascii="Times New Roman" w:hAnsi="Times New Roman"/>
        </w:rPr>
      </w:pPr>
      <w:r w:rsidRPr="00447A10">
        <w:rPr>
          <w:rStyle w:val="FootnoteReference"/>
          <w:rFonts w:ascii="Times New Roman" w:hAnsi="Times New Roman"/>
        </w:rPr>
        <w:footnoteRef/>
      </w:r>
      <w:r w:rsidRPr="00447A10">
        <w:rPr>
          <w:rFonts w:ascii="Times New Roman" w:hAnsi="Times New Roman"/>
        </w:rPr>
        <w:t xml:space="preserve"> </w:t>
      </w:r>
      <w:r w:rsidRPr="00447A10">
        <w:rPr>
          <w:rStyle w:val="Emphasis"/>
          <w:rFonts w:ascii="Times New Roman" w:hAnsi="Times New Roman"/>
        </w:rPr>
        <w:t>TEU</w:t>
      </w:r>
      <w:r w:rsidRPr="00447A10">
        <w:rPr>
          <w:rStyle w:val="st"/>
          <w:rFonts w:ascii="Times New Roman" w:hAnsi="Times New Roman"/>
        </w:rPr>
        <w:t xml:space="preserve"> ir kravu pārvadājumu biznesā izmantojam</w:t>
      </w:r>
      <w:r w:rsidR="00C70E2B">
        <w:rPr>
          <w:rStyle w:val="st"/>
          <w:rFonts w:ascii="Times New Roman" w:hAnsi="Times New Roman"/>
        </w:rPr>
        <w:t>s nomināls</w:t>
      </w:r>
      <w:r w:rsidRPr="00447A10">
        <w:rPr>
          <w:rStyle w:val="st"/>
          <w:rFonts w:ascii="Times New Roman" w:hAnsi="Times New Roman"/>
        </w:rPr>
        <w:t>, kas apzīmē 20 pēdu (6,10 m) garu ISO konteineru.</w:t>
      </w:r>
      <w:r w:rsidRPr="00447A10">
        <w:rPr>
          <w:rFonts w:ascii="Times New Roman" w:hAnsi="Times New Roman"/>
          <w:bCs/>
        </w:rPr>
        <w:t xml:space="preserve"> Viens 20 pēdu ISO konteiners ir vienāds ar 1 TEU.</w:t>
      </w:r>
    </w:p>
  </w:footnote>
  <w:footnote w:id="7">
    <w:p w:rsidR="00405486" w:rsidRPr="00447A10" w:rsidRDefault="00405486" w:rsidP="00871110">
      <w:pPr>
        <w:pStyle w:val="EndnoteText"/>
        <w:jc w:val="both"/>
        <w:rPr>
          <w:rFonts w:ascii="Times New Roman" w:hAnsi="Times New Roman"/>
        </w:rPr>
      </w:pPr>
      <w:r w:rsidRPr="00447A10">
        <w:rPr>
          <w:rStyle w:val="FootnoteReference"/>
          <w:rFonts w:ascii="Times New Roman" w:hAnsi="Times New Roman"/>
        </w:rPr>
        <w:footnoteRef/>
      </w:r>
      <w:r w:rsidRPr="00447A10">
        <w:rPr>
          <w:rFonts w:ascii="Times New Roman" w:hAnsi="Times New Roman"/>
        </w:rPr>
        <w:t xml:space="preserve"> 2012.gadā pabeigti būvdarbi astoņos 3.2.1.1.aktivitātes „Valsts 1.šķiras autoceļu maršrutu sakārtošana” projektos</w:t>
      </w:r>
      <w:r w:rsidR="00C70E2B">
        <w:rPr>
          <w:rFonts w:ascii="Times New Roman" w:hAnsi="Times New Roman"/>
        </w:rPr>
        <w:t>,</w:t>
      </w:r>
      <w:r w:rsidRPr="00447A10">
        <w:rPr>
          <w:rFonts w:ascii="Times New Roman" w:hAnsi="Times New Roman"/>
        </w:rPr>
        <w:t xml:space="preserve"> P121 Tukums</w:t>
      </w:r>
      <w:r w:rsidR="00C70E2B">
        <w:rPr>
          <w:rFonts w:ascii="Times New Roman" w:hAnsi="Times New Roman"/>
        </w:rPr>
        <w:t>–</w:t>
      </w:r>
      <w:r w:rsidRPr="00447A10">
        <w:rPr>
          <w:rFonts w:ascii="Times New Roman" w:hAnsi="Times New Roman"/>
        </w:rPr>
        <w:t>Kuldīga 58,39 - 70,88 km; P76 Aizkraukle</w:t>
      </w:r>
      <w:r w:rsidR="00C70E2B">
        <w:rPr>
          <w:rFonts w:ascii="Times New Roman" w:hAnsi="Times New Roman"/>
        </w:rPr>
        <w:t>–Jēkabpils 24,32–</w:t>
      </w:r>
      <w:r w:rsidRPr="00447A10">
        <w:rPr>
          <w:rFonts w:ascii="Times New Roman" w:hAnsi="Times New Roman"/>
        </w:rPr>
        <w:t>33,45 km;</w:t>
      </w:r>
      <w:r w:rsidR="00C70E2B">
        <w:rPr>
          <w:rFonts w:ascii="Times New Roman" w:hAnsi="Times New Roman"/>
        </w:rPr>
        <w:t xml:space="preserve"> P32 Līgatne–Skrīveri 36,54–</w:t>
      </w:r>
      <w:r w:rsidRPr="00447A10">
        <w:rPr>
          <w:rFonts w:ascii="Times New Roman" w:hAnsi="Times New Roman"/>
        </w:rPr>
        <w:t>41,10 km; P4 Rīga</w:t>
      </w:r>
      <w:r w:rsidR="00C70E2B">
        <w:rPr>
          <w:rFonts w:ascii="Times New Roman" w:hAnsi="Times New Roman"/>
        </w:rPr>
        <w:t>–Ērgļi 61,63–</w:t>
      </w:r>
      <w:r w:rsidRPr="00447A10">
        <w:rPr>
          <w:rFonts w:ascii="Times New Roman" w:hAnsi="Times New Roman"/>
        </w:rPr>
        <w:t>69,10 km; P4 Rīga - Ērgļi</w:t>
      </w:r>
      <w:r w:rsidR="00C70E2B">
        <w:rPr>
          <w:rFonts w:ascii="Times New Roman" w:hAnsi="Times New Roman"/>
        </w:rPr>
        <w:t xml:space="preserve"> 45,00 – 51,40 km; P45 Viļaka–</w:t>
      </w:r>
      <w:r w:rsidRPr="00447A10">
        <w:rPr>
          <w:rFonts w:ascii="Times New Roman" w:hAnsi="Times New Roman"/>
        </w:rPr>
        <w:t>Kārsava km 42.30</w:t>
      </w:r>
      <w:r w:rsidR="00C70E2B">
        <w:rPr>
          <w:rFonts w:ascii="Times New Roman" w:hAnsi="Times New Roman"/>
        </w:rPr>
        <w:t>–49.50; P78 Pļaviņas–</w:t>
      </w:r>
      <w:r w:rsidRPr="00447A10">
        <w:rPr>
          <w:rFonts w:ascii="Times New Roman" w:hAnsi="Times New Roman"/>
        </w:rPr>
        <w:t>Ērgļi 16,31</w:t>
      </w:r>
      <w:r w:rsidR="00C70E2B">
        <w:rPr>
          <w:rFonts w:ascii="Times New Roman" w:hAnsi="Times New Roman"/>
        </w:rPr>
        <w:t>–</w:t>
      </w:r>
      <w:r w:rsidRPr="00447A10">
        <w:rPr>
          <w:rFonts w:ascii="Times New Roman" w:hAnsi="Times New Roman"/>
        </w:rPr>
        <w:t>28,80 km; P69 Skrudaliena</w:t>
      </w:r>
      <w:r w:rsidR="00C70E2B">
        <w:rPr>
          <w:rFonts w:ascii="Times New Roman" w:hAnsi="Times New Roman"/>
        </w:rPr>
        <w:t>–</w:t>
      </w:r>
      <w:r w:rsidRPr="00447A10">
        <w:rPr>
          <w:rFonts w:ascii="Times New Roman" w:hAnsi="Times New Roman"/>
        </w:rPr>
        <w:t>Kaplava</w:t>
      </w:r>
      <w:r w:rsidR="00C70E2B">
        <w:rPr>
          <w:rFonts w:ascii="Times New Roman" w:hAnsi="Times New Roman"/>
        </w:rPr>
        <w:t>–</w:t>
      </w:r>
      <w:r w:rsidRPr="00447A10">
        <w:rPr>
          <w:rFonts w:ascii="Times New Roman" w:hAnsi="Times New Roman"/>
        </w:rPr>
        <w:t>Krāslava posma 10,93</w:t>
      </w:r>
      <w:r w:rsidR="00C70E2B">
        <w:rPr>
          <w:rFonts w:ascii="Times New Roman" w:hAnsi="Times New Roman"/>
        </w:rPr>
        <w:t>–</w:t>
      </w:r>
      <w:r w:rsidRPr="00447A10">
        <w:rPr>
          <w:rFonts w:ascii="Times New Roman" w:hAnsi="Times New Roman"/>
        </w:rPr>
        <w:t>19,07 km;). 3.3.1.1.aktivitātes „TEN-T autoceļu tīkla uzlabojumi” ietvaros pabeigti būvdarbi se</w:t>
      </w:r>
      <w:r w:rsidR="00C70E2B">
        <w:rPr>
          <w:rFonts w:ascii="Times New Roman" w:hAnsi="Times New Roman"/>
        </w:rPr>
        <w:t>ptiņos projektos (A9 Rīga–Skulte – Liepāja 0,000–</w:t>
      </w:r>
      <w:r w:rsidRPr="00447A10">
        <w:rPr>
          <w:rFonts w:ascii="Times New Roman" w:hAnsi="Times New Roman"/>
        </w:rPr>
        <w:t>9,900 km; A8 Rīga</w:t>
      </w:r>
      <w:r w:rsidR="00C70E2B">
        <w:rPr>
          <w:rFonts w:ascii="Times New Roman" w:hAnsi="Times New Roman"/>
        </w:rPr>
        <w:t>–</w:t>
      </w:r>
      <w:r w:rsidRPr="00447A10">
        <w:rPr>
          <w:rFonts w:ascii="Times New Roman" w:hAnsi="Times New Roman"/>
        </w:rPr>
        <w:t>Jelgava</w:t>
      </w:r>
      <w:r w:rsidR="00C70E2B">
        <w:rPr>
          <w:rFonts w:ascii="Times New Roman" w:hAnsi="Times New Roman"/>
        </w:rPr>
        <w:t>–</w:t>
      </w:r>
      <w:r w:rsidRPr="00447A10">
        <w:rPr>
          <w:rFonts w:ascii="Times New Roman" w:hAnsi="Times New Roman"/>
        </w:rPr>
        <w:t>Lietuvas robeža (</w:t>
      </w:r>
      <w:r w:rsidR="00C70E2B">
        <w:rPr>
          <w:rFonts w:ascii="Times New Roman" w:hAnsi="Times New Roman"/>
        </w:rPr>
        <w:t>Meitene) labā brauktuve 18,93–29,95 km; A8 Rīga–Jelgava–</w:t>
      </w:r>
      <w:r w:rsidRPr="00447A10">
        <w:rPr>
          <w:rFonts w:ascii="Times New Roman" w:hAnsi="Times New Roman"/>
        </w:rPr>
        <w:t>Lietuvas robeža (Meitene) 9,93</w:t>
      </w:r>
      <w:r w:rsidR="00C70E2B">
        <w:rPr>
          <w:rFonts w:ascii="Times New Roman" w:hAnsi="Times New Roman"/>
        </w:rPr>
        <w:t>–</w:t>
      </w:r>
      <w:r w:rsidRPr="00447A10">
        <w:rPr>
          <w:rFonts w:ascii="Times New Roman" w:hAnsi="Times New Roman"/>
        </w:rPr>
        <w:t>19,20 km; A10 Rīga – Ventspils 126,52 – 136,40 km; A5 Rīgas apvedceļš (Salaspils</w:t>
      </w:r>
      <w:r w:rsidR="00C70E2B">
        <w:rPr>
          <w:rFonts w:ascii="Times New Roman" w:hAnsi="Times New Roman"/>
        </w:rPr>
        <w:t>–</w:t>
      </w:r>
      <w:r w:rsidRPr="00447A10">
        <w:rPr>
          <w:rFonts w:ascii="Times New Roman" w:hAnsi="Times New Roman"/>
        </w:rPr>
        <w:t>Babīte) 21,770</w:t>
      </w:r>
      <w:r w:rsidR="00C70E2B">
        <w:rPr>
          <w:rFonts w:ascii="Times New Roman" w:hAnsi="Times New Roman"/>
        </w:rPr>
        <w:t>–</w:t>
      </w:r>
      <w:r w:rsidRPr="00447A10">
        <w:rPr>
          <w:rFonts w:ascii="Times New Roman" w:hAnsi="Times New Roman"/>
        </w:rPr>
        <w:t>35.500 km; A7 Rīga</w:t>
      </w:r>
      <w:r w:rsidR="00C70E2B">
        <w:rPr>
          <w:rFonts w:ascii="Times New Roman" w:hAnsi="Times New Roman"/>
        </w:rPr>
        <w:t>–</w:t>
      </w:r>
      <w:r w:rsidRPr="00447A10">
        <w:rPr>
          <w:rFonts w:ascii="Times New Roman" w:hAnsi="Times New Roman"/>
        </w:rPr>
        <w:t>Bauska</w:t>
      </w:r>
      <w:r w:rsidR="00C70E2B">
        <w:rPr>
          <w:rFonts w:ascii="Times New Roman" w:hAnsi="Times New Roman"/>
        </w:rPr>
        <w:t>–</w:t>
      </w:r>
      <w:r w:rsidRPr="00447A10">
        <w:rPr>
          <w:rFonts w:ascii="Times New Roman" w:hAnsi="Times New Roman"/>
        </w:rPr>
        <w:t>Lie</w:t>
      </w:r>
      <w:r w:rsidR="00C70E2B">
        <w:rPr>
          <w:rFonts w:ascii="Times New Roman" w:hAnsi="Times New Roman"/>
        </w:rPr>
        <w:t>tuvas robeža (Grenctāle) 9.460–</w:t>
      </w:r>
      <w:r w:rsidRPr="00447A10">
        <w:rPr>
          <w:rFonts w:ascii="Times New Roman" w:hAnsi="Times New Roman"/>
        </w:rPr>
        <w:t>24.940 km; A10 Rīga</w:t>
      </w:r>
      <w:r w:rsidR="00C70E2B">
        <w:rPr>
          <w:rFonts w:ascii="Times New Roman" w:hAnsi="Times New Roman"/>
        </w:rPr>
        <w:t>–</w:t>
      </w:r>
      <w:r w:rsidRPr="00447A10">
        <w:rPr>
          <w:rFonts w:ascii="Times New Roman" w:hAnsi="Times New Roman"/>
        </w:rPr>
        <w:t>Ventspils 23.84</w:t>
      </w:r>
      <w:r w:rsidR="00C70E2B">
        <w:rPr>
          <w:rFonts w:ascii="Times New Roman" w:hAnsi="Times New Roman"/>
        </w:rPr>
        <w:t>–</w:t>
      </w:r>
      <w:r w:rsidRPr="00447A10">
        <w:rPr>
          <w:rFonts w:ascii="Times New Roman" w:hAnsi="Times New Roman"/>
        </w:rPr>
        <w:t>36.49 km. 3.2.1.2.aktivitātes „Tranzītielu sakārtošana pilsētu teritorijās” ietvaros pabeigti 16 (Valkas, Ventspils (2), Jelgavas, Ikšķiles, Dobeles, Balvu, Madonas, Ludzas, Tukuma, Krāslavas, Kārsavas, Smiltenes, Rēzeknes, Auces un Kuldīgas) tranzītielu projekti.</w:t>
      </w:r>
    </w:p>
    <w:p w:rsidR="00405486" w:rsidRDefault="00405486" w:rsidP="00871110">
      <w:pPr>
        <w:pStyle w:val="FootnoteText"/>
      </w:pPr>
    </w:p>
  </w:footnote>
  <w:footnote w:id="8">
    <w:p w:rsidR="00405486" w:rsidRPr="00103D25" w:rsidRDefault="00405486" w:rsidP="00F23CC8">
      <w:pPr>
        <w:pStyle w:val="FootnoteText"/>
        <w:rPr>
          <w:rFonts w:ascii="Times New Roman" w:hAnsi="Times New Roman" w:cs="Times New Roman"/>
        </w:rPr>
      </w:pPr>
      <w:r w:rsidRPr="00103D25">
        <w:rPr>
          <w:rStyle w:val="FootnoteReference"/>
          <w:rFonts w:ascii="Times New Roman" w:hAnsi="Times New Roman" w:cs="Times New Roman"/>
        </w:rPr>
        <w:footnoteRef/>
      </w:r>
      <w:r w:rsidRPr="00103D25">
        <w:rPr>
          <w:rFonts w:ascii="Times New Roman" w:hAnsi="Times New Roman" w:cs="Times New Roman"/>
        </w:rPr>
        <w:t xml:space="preserve"> Šeit un turpmāk tekstā summas norādītas </w:t>
      </w:r>
      <w:r w:rsidR="003C0EBF">
        <w:rPr>
          <w:rFonts w:ascii="Times New Roman" w:hAnsi="Times New Roman" w:cs="Times New Roman"/>
        </w:rPr>
        <w:t>esošajās</w:t>
      </w:r>
      <w:r w:rsidRPr="00103D25">
        <w:rPr>
          <w:rFonts w:ascii="Times New Roman" w:hAnsi="Times New Roman" w:cs="Times New Roman"/>
        </w:rPr>
        <w:t xml:space="preserve"> cenās</w:t>
      </w:r>
    </w:p>
  </w:footnote>
  <w:footnote w:id="9">
    <w:p w:rsidR="00405486" w:rsidRPr="00103D25" w:rsidRDefault="00405486" w:rsidP="00F23CC8">
      <w:pPr>
        <w:pStyle w:val="FootnoteText"/>
        <w:rPr>
          <w:rFonts w:ascii="Times New Roman" w:hAnsi="Times New Roman" w:cs="Times New Roman"/>
        </w:rPr>
      </w:pPr>
      <w:r w:rsidRPr="00103D25">
        <w:rPr>
          <w:rStyle w:val="FootnoteReference"/>
          <w:rFonts w:ascii="Times New Roman" w:hAnsi="Times New Roman" w:cs="Times New Roman"/>
        </w:rPr>
        <w:footnoteRef/>
      </w:r>
      <w:r w:rsidRPr="00103D25">
        <w:rPr>
          <w:rFonts w:ascii="Times New Roman" w:hAnsi="Times New Roman" w:cs="Times New Roman"/>
        </w:rPr>
        <w:t xml:space="preserve"> Saskaņā ar Eiropas Komisijas izmantoto metodoloģiju, paliekot aiz Bulgārijas, Lietuvas un Ungārijas</w:t>
      </w:r>
    </w:p>
  </w:footnote>
  <w:footnote w:id="10">
    <w:p w:rsidR="00405486" w:rsidRDefault="00405486" w:rsidP="00F23CC8">
      <w:pPr>
        <w:pStyle w:val="FootnoteText"/>
      </w:pPr>
      <w:r w:rsidRPr="00103D25">
        <w:rPr>
          <w:rStyle w:val="FootnoteReference"/>
          <w:rFonts w:ascii="Times New Roman" w:hAnsi="Times New Roman" w:cs="Times New Roman"/>
        </w:rPr>
        <w:footnoteRef/>
      </w:r>
      <w:r w:rsidRPr="00103D25">
        <w:rPr>
          <w:rFonts w:ascii="Times New Roman" w:hAnsi="Times New Roman" w:cs="Times New Roman"/>
        </w:rPr>
        <w:t xml:space="preserve"> Provizorisks vērtējums; paliekot aiz Igaunijas un Lietuvas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351"/>
    <w:multiLevelType w:val="multilevel"/>
    <w:tmpl w:val="DF5E98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D2469B"/>
    <w:multiLevelType w:val="hybridMultilevel"/>
    <w:tmpl w:val="73BC6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51595"/>
    <w:multiLevelType w:val="hybridMultilevel"/>
    <w:tmpl w:val="713A5D9C"/>
    <w:lvl w:ilvl="0" w:tplc="8B62CC30">
      <w:start w:val="1"/>
      <w:numFmt w:val="decimal"/>
      <w:lvlText w:val="%1."/>
      <w:lvlJc w:val="left"/>
      <w:pPr>
        <w:ind w:left="720" w:hanging="360"/>
      </w:pPr>
      <w:rPr>
        <w:rFonts w:ascii="Times New Roman" w:eastAsiaTheme="minorEastAsia" w:hAnsi="Times New Roman" w:cs="Times New Roman"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52917"/>
    <w:multiLevelType w:val="hybridMultilevel"/>
    <w:tmpl w:val="6CFED8CC"/>
    <w:lvl w:ilvl="0" w:tplc="6B02850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D3351B6"/>
    <w:multiLevelType w:val="hybridMultilevel"/>
    <w:tmpl w:val="191491A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DC4D0A"/>
    <w:multiLevelType w:val="hybridMultilevel"/>
    <w:tmpl w:val="A13E6B48"/>
    <w:lvl w:ilvl="0" w:tplc="A022D2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21E2F"/>
    <w:multiLevelType w:val="hybridMultilevel"/>
    <w:tmpl w:val="1B3AE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2BB0A1E"/>
    <w:multiLevelType w:val="hybridMultilevel"/>
    <w:tmpl w:val="98627418"/>
    <w:lvl w:ilvl="0" w:tplc="04260011">
      <w:start w:val="1"/>
      <w:numFmt w:val="decimal"/>
      <w:lvlText w:val="%1)"/>
      <w:lvlJc w:val="left"/>
      <w:pPr>
        <w:ind w:left="1517" w:hanging="360"/>
      </w:pPr>
    </w:lvl>
    <w:lvl w:ilvl="1" w:tplc="04260019" w:tentative="1">
      <w:start w:val="1"/>
      <w:numFmt w:val="lowerLetter"/>
      <w:lvlText w:val="%2."/>
      <w:lvlJc w:val="left"/>
      <w:pPr>
        <w:ind w:left="2237" w:hanging="360"/>
      </w:pPr>
    </w:lvl>
    <w:lvl w:ilvl="2" w:tplc="0426001B" w:tentative="1">
      <w:start w:val="1"/>
      <w:numFmt w:val="lowerRoman"/>
      <w:lvlText w:val="%3."/>
      <w:lvlJc w:val="right"/>
      <w:pPr>
        <w:ind w:left="2957" w:hanging="180"/>
      </w:pPr>
    </w:lvl>
    <w:lvl w:ilvl="3" w:tplc="0426000F" w:tentative="1">
      <w:start w:val="1"/>
      <w:numFmt w:val="decimal"/>
      <w:lvlText w:val="%4."/>
      <w:lvlJc w:val="left"/>
      <w:pPr>
        <w:ind w:left="3677" w:hanging="360"/>
      </w:pPr>
    </w:lvl>
    <w:lvl w:ilvl="4" w:tplc="04260019" w:tentative="1">
      <w:start w:val="1"/>
      <w:numFmt w:val="lowerLetter"/>
      <w:lvlText w:val="%5."/>
      <w:lvlJc w:val="left"/>
      <w:pPr>
        <w:ind w:left="4397" w:hanging="360"/>
      </w:pPr>
    </w:lvl>
    <w:lvl w:ilvl="5" w:tplc="0426001B" w:tentative="1">
      <w:start w:val="1"/>
      <w:numFmt w:val="lowerRoman"/>
      <w:lvlText w:val="%6."/>
      <w:lvlJc w:val="right"/>
      <w:pPr>
        <w:ind w:left="5117" w:hanging="180"/>
      </w:pPr>
    </w:lvl>
    <w:lvl w:ilvl="6" w:tplc="0426000F" w:tentative="1">
      <w:start w:val="1"/>
      <w:numFmt w:val="decimal"/>
      <w:lvlText w:val="%7."/>
      <w:lvlJc w:val="left"/>
      <w:pPr>
        <w:ind w:left="5837" w:hanging="360"/>
      </w:pPr>
    </w:lvl>
    <w:lvl w:ilvl="7" w:tplc="04260019" w:tentative="1">
      <w:start w:val="1"/>
      <w:numFmt w:val="lowerLetter"/>
      <w:lvlText w:val="%8."/>
      <w:lvlJc w:val="left"/>
      <w:pPr>
        <w:ind w:left="6557" w:hanging="360"/>
      </w:pPr>
    </w:lvl>
    <w:lvl w:ilvl="8" w:tplc="0426001B" w:tentative="1">
      <w:start w:val="1"/>
      <w:numFmt w:val="lowerRoman"/>
      <w:lvlText w:val="%9."/>
      <w:lvlJc w:val="right"/>
      <w:pPr>
        <w:ind w:left="7277" w:hanging="180"/>
      </w:pPr>
    </w:lvl>
  </w:abstractNum>
  <w:abstractNum w:abstractNumId="8">
    <w:nsid w:val="26F242E3"/>
    <w:multiLevelType w:val="multilevel"/>
    <w:tmpl w:val="9C42F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4"/>
        <w:szCs w:val="24"/>
      </w:rPr>
    </w:lvl>
    <w:lvl w:ilvl="2">
      <w:start w:val="1"/>
      <w:numFmt w:val="decimal"/>
      <w:isLgl/>
      <w:lvlText w:val="%1.%2.%3."/>
      <w:lvlJc w:val="left"/>
      <w:pPr>
        <w:ind w:left="1080" w:hanging="720"/>
      </w:pPr>
      <w:rPr>
        <w:rFonts w:asciiTheme="minorHAnsi" w:hAnsiTheme="minorHAnsi" w:cstheme="minorBidi" w:hint="default"/>
        <w:sz w:val="22"/>
      </w:rPr>
    </w:lvl>
    <w:lvl w:ilvl="3">
      <w:start w:val="1"/>
      <w:numFmt w:val="decimal"/>
      <w:isLgl/>
      <w:lvlText w:val="%1.%2.%3.%4."/>
      <w:lvlJc w:val="left"/>
      <w:pPr>
        <w:ind w:left="1080" w:hanging="720"/>
      </w:pPr>
      <w:rPr>
        <w:rFonts w:asciiTheme="minorHAnsi" w:hAnsiTheme="minorHAnsi" w:cstheme="minorBidi" w:hint="default"/>
        <w:sz w:val="22"/>
      </w:rPr>
    </w:lvl>
    <w:lvl w:ilvl="4">
      <w:start w:val="1"/>
      <w:numFmt w:val="decimal"/>
      <w:isLgl/>
      <w:lvlText w:val="%1.%2.%3.%4.%5."/>
      <w:lvlJc w:val="left"/>
      <w:pPr>
        <w:ind w:left="1440" w:hanging="1080"/>
      </w:pPr>
      <w:rPr>
        <w:rFonts w:asciiTheme="minorHAnsi" w:hAnsiTheme="minorHAnsi" w:cstheme="minorBidi" w:hint="default"/>
        <w:sz w:val="22"/>
      </w:rPr>
    </w:lvl>
    <w:lvl w:ilvl="5">
      <w:start w:val="1"/>
      <w:numFmt w:val="decimal"/>
      <w:isLgl/>
      <w:lvlText w:val="%1.%2.%3.%4.%5.%6."/>
      <w:lvlJc w:val="left"/>
      <w:pPr>
        <w:ind w:left="1440" w:hanging="1080"/>
      </w:pPr>
      <w:rPr>
        <w:rFonts w:asciiTheme="minorHAnsi" w:hAnsiTheme="minorHAnsi" w:cstheme="minorBidi" w:hint="default"/>
        <w:sz w:val="22"/>
      </w:rPr>
    </w:lvl>
    <w:lvl w:ilvl="6">
      <w:start w:val="1"/>
      <w:numFmt w:val="decimal"/>
      <w:isLgl/>
      <w:lvlText w:val="%1.%2.%3.%4.%5.%6.%7."/>
      <w:lvlJc w:val="left"/>
      <w:pPr>
        <w:ind w:left="1800" w:hanging="1440"/>
      </w:pPr>
      <w:rPr>
        <w:rFonts w:asciiTheme="minorHAnsi" w:hAnsiTheme="minorHAnsi" w:cstheme="minorBidi" w:hint="default"/>
        <w:sz w:val="22"/>
      </w:rPr>
    </w:lvl>
    <w:lvl w:ilvl="7">
      <w:start w:val="1"/>
      <w:numFmt w:val="decimal"/>
      <w:isLgl/>
      <w:lvlText w:val="%1.%2.%3.%4.%5.%6.%7.%8."/>
      <w:lvlJc w:val="left"/>
      <w:pPr>
        <w:ind w:left="1800" w:hanging="1440"/>
      </w:pPr>
      <w:rPr>
        <w:rFonts w:asciiTheme="minorHAnsi" w:hAnsiTheme="minorHAnsi" w:cstheme="minorBidi" w:hint="default"/>
        <w:sz w:val="22"/>
      </w:rPr>
    </w:lvl>
    <w:lvl w:ilvl="8">
      <w:start w:val="1"/>
      <w:numFmt w:val="decimal"/>
      <w:isLgl/>
      <w:lvlText w:val="%1.%2.%3.%4.%5.%6.%7.%8.%9."/>
      <w:lvlJc w:val="left"/>
      <w:pPr>
        <w:ind w:left="2160" w:hanging="1800"/>
      </w:pPr>
      <w:rPr>
        <w:rFonts w:asciiTheme="minorHAnsi" w:hAnsiTheme="minorHAnsi" w:cstheme="minorBidi" w:hint="default"/>
        <w:sz w:val="22"/>
      </w:rPr>
    </w:lvl>
  </w:abstractNum>
  <w:abstractNum w:abstractNumId="9">
    <w:nsid w:val="2BC263F8"/>
    <w:multiLevelType w:val="hybridMultilevel"/>
    <w:tmpl w:val="007049C0"/>
    <w:lvl w:ilvl="0" w:tplc="A022D2F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C04590A"/>
    <w:multiLevelType w:val="hybridMultilevel"/>
    <w:tmpl w:val="19DC7466"/>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nsid w:val="2F725BA9"/>
    <w:multiLevelType w:val="hybridMultilevel"/>
    <w:tmpl w:val="75EE974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1432168"/>
    <w:multiLevelType w:val="hybridMultilevel"/>
    <w:tmpl w:val="9A3EB5C8"/>
    <w:lvl w:ilvl="0" w:tplc="A022D2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534A"/>
    <w:multiLevelType w:val="hybridMultilevel"/>
    <w:tmpl w:val="1D164FDC"/>
    <w:lvl w:ilvl="0" w:tplc="A022D2F8">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3F932A83"/>
    <w:multiLevelType w:val="hybridMultilevel"/>
    <w:tmpl w:val="E92A846E"/>
    <w:lvl w:ilvl="0" w:tplc="D902CE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40AD688F"/>
    <w:multiLevelType w:val="hybridMultilevel"/>
    <w:tmpl w:val="E4A632A6"/>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nsid w:val="45D8416C"/>
    <w:multiLevelType w:val="hybridMultilevel"/>
    <w:tmpl w:val="346C9C60"/>
    <w:lvl w:ilvl="0" w:tplc="A022D2F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C04923"/>
    <w:multiLevelType w:val="hybridMultilevel"/>
    <w:tmpl w:val="2CF62CBA"/>
    <w:lvl w:ilvl="0" w:tplc="A022D2F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8A52FF4"/>
    <w:multiLevelType w:val="hybridMultilevel"/>
    <w:tmpl w:val="9A3A1EDE"/>
    <w:lvl w:ilvl="0" w:tplc="39B2B43A">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C5D44C1"/>
    <w:multiLevelType w:val="hybridMultilevel"/>
    <w:tmpl w:val="D95E8020"/>
    <w:lvl w:ilvl="0" w:tplc="A022D2F8">
      <w:start w:val="1"/>
      <w:numFmt w:val="bullet"/>
      <w:lvlText w:val="-"/>
      <w:lvlJc w:val="left"/>
      <w:pPr>
        <w:ind w:left="1996" w:hanging="360"/>
      </w:pPr>
      <w:rPr>
        <w:rFonts w:ascii="Times New Roman" w:hAnsi="Times New Roman" w:cs="Times New Roman" w:hint="default"/>
      </w:rPr>
    </w:lvl>
    <w:lvl w:ilvl="1" w:tplc="A022D2F8">
      <w:start w:val="1"/>
      <w:numFmt w:val="bullet"/>
      <w:lvlText w:val="-"/>
      <w:lvlJc w:val="left"/>
      <w:pPr>
        <w:ind w:left="2716" w:hanging="360"/>
      </w:pPr>
      <w:rPr>
        <w:rFonts w:ascii="Times New Roman" w:hAnsi="Times New Roman" w:cs="Times New Roman"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nsid w:val="50C0177A"/>
    <w:multiLevelType w:val="multilevel"/>
    <w:tmpl w:val="3682987C"/>
    <w:lvl w:ilvl="0">
      <w:start w:val="1"/>
      <w:numFmt w:val="decimal"/>
      <w:lvlText w:val="%1."/>
      <w:lvlJc w:val="left"/>
      <w:pPr>
        <w:ind w:left="7447" w:hanging="360"/>
      </w:pPr>
      <w:rPr>
        <w:rFonts w:hint="default"/>
        <w:i/>
      </w:rPr>
    </w:lvl>
    <w:lvl w:ilvl="1">
      <w:start w:val="2"/>
      <w:numFmt w:val="decimal"/>
      <w:isLgl/>
      <w:lvlText w:val="%1.%2."/>
      <w:lvlJc w:val="left"/>
      <w:pPr>
        <w:ind w:left="7807" w:hanging="720"/>
      </w:pPr>
      <w:rPr>
        <w:rFonts w:hint="default"/>
      </w:rPr>
    </w:lvl>
    <w:lvl w:ilvl="2">
      <w:start w:val="1"/>
      <w:numFmt w:val="decimal"/>
      <w:isLgl/>
      <w:lvlText w:val="%1.%2.%3."/>
      <w:lvlJc w:val="left"/>
      <w:pPr>
        <w:ind w:left="7807" w:hanging="720"/>
      </w:pPr>
      <w:rPr>
        <w:rFonts w:hint="default"/>
      </w:rPr>
    </w:lvl>
    <w:lvl w:ilvl="3">
      <w:start w:val="1"/>
      <w:numFmt w:val="decimal"/>
      <w:isLgl/>
      <w:lvlText w:val="%1.%2.%3.%4."/>
      <w:lvlJc w:val="left"/>
      <w:pPr>
        <w:ind w:left="8167" w:hanging="1080"/>
      </w:pPr>
      <w:rPr>
        <w:rFonts w:hint="default"/>
      </w:rPr>
    </w:lvl>
    <w:lvl w:ilvl="4">
      <w:start w:val="1"/>
      <w:numFmt w:val="decimal"/>
      <w:isLgl/>
      <w:lvlText w:val="%1.%2.%3.%4.%5."/>
      <w:lvlJc w:val="left"/>
      <w:pPr>
        <w:ind w:left="8167" w:hanging="1080"/>
      </w:pPr>
      <w:rPr>
        <w:rFonts w:hint="default"/>
      </w:rPr>
    </w:lvl>
    <w:lvl w:ilvl="5">
      <w:start w:val="1"/>
      <w:numFmt w:val="decimal"/>
      <w:isLgl/>
      <w:lvlText w:val="%1.%2.%3.%4.%5.%6."/>
      <w:lvlJc w:val="left"/>
      <w:pPr>
        <w:ind w:left="8527" w:hanging="1440"/>
      </w:pPr>
      <w:rPr>
        <w:rFonts w:hint="default"/>
      </w:rPr>
    </w:lvl>
    <w:lvl w:ilvl="6">
      <w:start w:val="1"/>
      <w:numFmt w:val="decimal"/>
      <w:isLgl/>
      <w:lvlText w:val="%1.%2.%3.%4.%5.%6.%7."/>
      <w:lvlJc w:val="left"/>
      <w:pPr>
        <w:ind w:left="8887" w:hanging="1800"/>
      </w:pPr>
      <w:rPr>
        <w:rFonts w:hint="default"/>
      </w:rPr>
    </w:lvl>
    <w:lvl w:ilvl="7">
      <w:start w:val="1"/>
      <w:numFmt w:val="decimal"/>
      <w:isLgl/>
      <w:lvlText w:val="%1.%2.%3.%4.%5.%6.%7.%8."/>
      <w:lvlJc w:val="left"/>
      <w:pPr>
        <w:ind w:left="8887" w:hanging="1800"/>
      </w:pPr>
      <w:rPr>
        <w:rFonts w:hint="default"/>
      </w:rPr>
    </w:lvl>
    <w:lvl w:ilvl="8">
      <w:start w:val="1"/>
      <w:numFmt w:val="decimal"/>
      <w:isLgl/>
      <w:lvlText w:val="%1.%2.%3.%4.%5.%6.%7.%8.%9."/>
      <w:lvlJc w:val="left"/>
      <w:pPr>
        <w:ind w:left="9247" w:hanging="2160"/>
      </w:pPr>
      <w:rPr>
        <w:rFonts w:hint="default"/>
      </w:rPr>
    </w:lvl>
  </w:abstractNum>
  <w:abstractNum w:abstractNumId="21">
    <w:nsid w:val="51D51178"/>
    <w:multiLevelType w:val="multilevel"/>
    <w:tmpl w:val="988E1C20"/>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55AD1DBA"/>
    <w:multiLevelType w:val="hybridMultilevel"/>
    <w:tmpl w:val="27AE92CE"/>
    <w:lvl w:ilvl="0" w:tplc="04260011">
      <w:start w:val="1"/>
      <w:numFmt w:val="decimal"/>
      <w:lvlText w:val="%1)"/>
      <w:lvlJc w:val="left"/>
      <w:pPr>
        <w:ind w:left="1353" w:hanging="360"/>
      </w:p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3">
    <w:nsid w:val="57477493"/>
    <w:multiLevelType w:val="hybridMultilevel"/>
    <w:tmpl w:val="ED3476D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nsid w:val="574947E6"/>
    <w:multiLevelType w:val="hybridMultilevel"/>
    <w:tmpl w:val="28A0D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8226A6B"/>
    <w:multiLevelType w:val="hybridMultilevel"/>
    <w:tmpl w:val="235CC1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4B546E"/>
    <w:multiLevelType w:val="hybridMultilevel"/>
    <w:tmpl w:val="773EEB8A"/>
    <w:lvl w:ilvl="0" w:tplc="A022D2F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B7A10CA"/>
    <w:multiLevelType w:val="hybridMultilevel"/>
    <w:tmpl w:val="A0183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D99008E"/>
    <w:multiLevelType w:val="hybridMultilevel"/>
    <w:tmpl w:val="C630D6EA"/>
    <w:lvl w:ilvl="0" w:tplc="04260011">
      <w:start w:val="1"/>
      <w:numFmt w:val="decimal"/>
      <w:lvlText w:val="%1)"/>
      <w:lvlJc w:val="left"/>
      <w:pPr>
        <w:ind w:left="1506" w:hanging="360"/>
      </w:p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29">
    <w:nsid w:val="5DCB79FB"/>
    <w:multiLevelType w:val="multilevel"/>
    <w:tmpl w:val="38464FCE"/>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F6D35B1"/>
    <w:multiLevelType w:val="hybridMultilevel"/>
    <w:tmpl w:val="FC04D594"/>
    <w:lvl w:ilvl="0" w:tplc="04260011">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31">
    <w:nsid w:val="63C13CDA"/>
    <w:multiLevelType w:val="hybridMultilevel"/>
    <w:tmpl w:val="6F687778"/>
    <w:lvl w:ilvl="0" w:tplc="04090011">
      <w:start w:val="1"/>
      <w:numFmt w:val="decimal"/>
      <w:lvlText w:val="%1)"/>
      <w:lvlJc w:val="left"/>
      <w:pPr>
        <w:ind w:left="1080" w:hanging="360"/>
      </w:pPr>
    </w:lvl>
    <w:lvl w:ilvl="1" w:tplc="A022D2F8">
      <w:start w:val="1"/>
      <w:numFmt w:val="bullet"/>
      <w:lvlText w:val="-"/>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0003DA"/>
    <w:multiLevelType w:val="hybridMultilevel"/>
    <w:tmpl w:val="DFD6D800"/>
    <w:lvl w:ilvl="0" w:tplc="A022D2F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8204E75"/>
    <w:multiLevelType w:val="hybridMultilevel"/>
    <w:tmpl w:val="2D0C9D8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nsid w:val="6A9D4A15"/>
    <w:multiLevelType w:val="hybridMultilevel"/>
    <w:tmpl w:val="4FC0E456"/>
    <w:lvl w:ilvl="0" w:tplc="0426000F">
      <w:start w:val="1"/>
      <w:numFmt w:val="decimal"/>
      <w:lvlText w:val="%1."/>
      <w:lvlJc w:val="left"/>
      <w:pPr>
        <w:ind w:left="720" w:hanging="360"/>
      </w:pPr>
      <w:rPr>
        <w:rFonts w:hint="default"/>
      </w:rPr>
    </w:lvl>
    <w:lvl w:ilvl="1" w:tplc="FDB46B1A">
      <w:numFmt w:val="bullet"/>
      <w:lvlText w:val="•"/>
      <w:lvlJc w:val="left"/>
      <w:pPr>
        <w:ind w:left="1440" w:hanging="360"/>
      </w:pPr>
      <w:rPr>
        <w:rFonts w:ascii="Times New Roman" w:eastAsiaTheme="minorEastAsia" w:hAnsi="Times New Roman" w:cs="Times New Roman" w:hint="default"/>
      </w:rPr>
    </w:lvl>
    <w:lvl w:ilvl="2" w:tplc="531E1362">
      <w:numFmt w:val="bullet"/>
      <w:lvlText w:val="-"/>
      <w:lvlJc w:val="left"/>
      <w:pPr>
        <w:ind w:left="2340" w:hanging="360"/>
      </w:pPr>
      <w:rPr>
        <w:rFonts w:ascii="Times New Roman" w:eastAsiaTheme="minorEastAsia"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B823B0A"/>
    <w:multiLevelType w:val="hybridMultilevel"/>
    <w:tmpl w:val="8EE8CCD0"/>
    <w:lvl w:ilvl="0" w:tplc="C0B694E2">
      <w:start w:val="1"/>
      <w:numFmt w:val="decimal"/>
      <w:lvlText w:val="%1)"/>
      <w:lvlJc w:val="left"/>
      <w:pPr>
        <w:ind w:left="720" w:hanging="360"/>
      </w:pPr>
      <w:rPr>
        <w:rFonts w:ascii="Times New Roman" w:eastAsiaTheme="minorEastAsia"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6D0E7C0B"/>
    <w:multiLevelType w:val="hybridMultilevel"/>
    <w:tmpl w:val="EAD0AA42"/>
    <w:lvl w:ilvl="0" w:tplc="A022D2F8">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D00E46"/>
    <w:multiLevelType w:val="multilevel"/>
    <w:tmpl w:val="0C56AF78"/>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6FBF3E88"/>
    <w:multiLevelType w:val="hybridMultilevel"/>
    <w:tmpl w:val="5F886868"/>
    <w:lvl w:ilvl="0" w:tplc="A022D2F8">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nsid w:val="71011370"/>
    <w:multiLevelType w:val="hybridMultilevel"/>
    <w:tmpl w:val="ADB2F41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5F51AD8"/>
    <w:multiLevelType w:val="hybridMultilevel"/>
    <w:tmpl w:val="0F04666A"/>
    <w:lvl w:ilvl="0" w:tplc="A022D2F8">
      <w:start w:val="1"/>
      <w:numFmt w:val="bullet"/>
      <w:lvlText w:val="-"/>
      <w:lvlJc w:val="left"/>
      <w:pPr>
        <w:ind w:left="1429" w:hanging="360"/>
      </w:pPr>
      <w:rPr>
        <w:rFonts w:ascii="Times New Roman" w:hAnsi="Times New Roman" w:cs="Times New Roman" w:hint="default"/>
      </w:rPr>
    </w:lvl>
    <w:lvl w:ilvl="1" w:tplc="7F787E88">
      <w:numFmt w:val="bullet"/>
      <w:lvlText w:val="•"/>
      <w:lvlJc w:val="left"/>
      <w:pPr>
        <w:ind w:left="2149" w:hanging="360"/>
      </w:pPr>
      <w:rPr>
        <w:rFonts w:ascii="Times New Roman" w:eastAsiaTheme="minorEastAsia"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78A8215F"/>
    <w:multiLevelType w:val="hybridMultilevel"/>
    <w:tmpl w:val="E522CA70"/>
    <w:lvl w:ilvl="0" w:tplc="A022D2F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9C3754D"/>
    <w:multiLevelType w:val="hybridMultilevel"/>
    <w:tmpl w:val="8C5C1C64"/>
    <w:lvl w:ilvl="0" w:tplc="C09CC8BC">
      <w:start w:val="1"/>
      <w:numFmt w:val="decimal"/>
      <w:lvlText w:val="%1)"/>
      <w:lvlJc w:val="left"/>
      <w:pPr>
        <w:ind w:left="1669" w:hanging="9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nsid w:val="7E252F3F"/>
    <w:multiLevelType w:val="hybridMultilevel"/>
    <w:tmpl w:val="F89E829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8"/>
  </w:num>
  <w:num w:numId="3">
    <w:abstractNumId w:val="8"/>
  </w:num>
  <w:num w:numId="4">
    <w:abstractNumId w:val="40"/>
  </w:num>
  <w:num w:numId="5">
    <w:abstractNumId w:val="19"/>
  </w:num>
  <w:num w:numId="6">
    <w:abstractNumId w:val="14"/>
  </w:num>
  <w:num w:numId="7">
    <w:abstractNumId w:val="42"/>
  </w:num>
  <w:num w:numId="8">
    <w:abstractNumId w:val="4"/>
  </w:num>
  <w:num w:numId="9">
    <w:abstractNumId w:val="3"/>
  </w:num>
  <w:num w:numId="10">
    <w:abstractNumId w:val="2"/>
  </w:num>
  <w:num w:numId="11">
    <w:abstractNumId w:val="21"/>
  </w:num>
  <w:num w:numId="12">
    <w:abstractNumId w:val="31"/>
  </w:num>
  <w:num w:numId="13">
    <w:abstractNumId w:val="13"/>
  </w:num>
  <w:num w:numId="14">
    <w:abstractNumId w:val="12"/>
  </w:num>
  <w:num w:numId="15">
    <w:abstractNumId w:val="20"/>
  </w:num>
  <w:num w:numId="16">
    <w:abstractNumId w:val="35"/>
  </w:num>
  <w:num w:numId="17">
    <w:abstractNumId w:val="24"/>
  </w:num>
  <w:num w:numId="18">
    <w:abstractNumId w:val="34"/>
  </w:num>
  <w:num w:numId="19">
    <w:abstractNumId w:val="39"/>
  </w:num>
  <w:num w:numId="20">
    <w:abstractNumId w:val="22"/>
  </w:num>
  <w:num w:numId="21">
    <w:abstractNumId w:val="10"/>
  </w:num>
  <w:num w:numId="22">
    <w:abstractNumId w:val="15"/>
  </w:num>
  <w:num w:numId="23">
    <w:abstractNumId w:val="30"/>
  </w:num>
  <w:num w:numId="24">
    <w:abstractNumId w:val="33"/>
  </w:num>
  <w:num w:numId="25">
    <w:abstractNumId w:val="23"/>
  </w:num>
  <w:num w:numId="26">
    <w:abstractNumId w:val="11"/>
  </w:num>
  <w:num w:numId="27">
    <w:abstractNumId w:val="28"/>
  </w:num>
  <w:num w:numId="28">
    <w:abstractNumId w:val="7"/>
  </w:num>
  <w:num w:numId="29">
    <w:abstractNumId w:val="37"/>
  </w:num>
  <w:num w:numId="30">
    <w:abstractNumId w:val="26"/>
  </w:num>
  <w:num w:numId="31">
    <w:abstractNumId w:val="32"/>
  </w:num>
  <w:num w:numId="32">
    <w:abstractNumId w:val="36"/>
  </w:num>
  <w:num w:numId="33">
    <w:abstractNumId w:val="38"/>
  </w:num>
  <w:num w:numId="34">
    <w:abstractNumId w:val="16"/>
  </w:num>
  <w:num w:numId="35">
    <w:abstractNumId w:val="5"/>
  </w:num>
  <w:num w:numId="36">
    <w:abstractNumId w:val="17"/>
  </w:num>
  <w:num w:numId="37">
    <w:abstractNumId w:val="41"/>
  </w:num>
  <w:num w:numId="38">
    <w:abstractNumId w:val="43"/>
  </w:num>
  <w:num w:numId="39">
    <w:abstractNumId w:val="1"/>
  </w:num>
  <w:num w:numId="40">
    <w:abstractNumId w:val="0"/>
  </w:num>
  <w:num w:numId="41">
    <w:abstractNumId w:val="25"/>
  </w:num>
  <w:num w:numId="42">
    <w:abstractNumId w:val="27"/>
  </w:num>
  <w:num w:numId="43">
    <w:abstractNumId w:val="9"/>
  </w:num>
  <w:num w:numId="44">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3EF"/>
    <w:rsid w:val="00002678"/>
    <w:rsid w:val="00003F7D"/>
    <w:rsid w:val="00010AD6"/>
    <w:rsid w:val="00022E35"/>
    <w:rsid w:val="00044502"/>
    <w:rsid w:val="0008034C"/>
    <w:rsid w:val="00096F30"/>
    <w:rsid w:val="000974BF"/>
    <w:rsid w:val="000A3D59"/>
    <w:rsid w:val="000A571D"/>
    <w:rsid w:val="000B3A5C"/>
    <w:rsid w:val="000C467F"/>
    <w:rsid w:val="000C5DB0"/>
    <w:rsid w:val="000D0D97"/>
    <w:rsid w:val="000D3211"/>
    <w:rsid w:val="000F4890"/>
    <w:rsid w:val="000F68FA"/>
    <w:rsid w:val="00103D25"/>
    <w:rsid w:val="00111406"/>
    <w:rsid w:val="00112A7B"/>
    <w:rsid w:val="00123282"/>
    <w:rsid w:val="00147D8E"/>
    <w:rsid w:val="001901F1"/>
    <w:rsid w:val="001A6ABB"/>
    <w:rsid w:val="001E1576"/>
    <w:rsid w:val="001E67CC"/>
    <w:rsid w:val="001E6C10"/>
    <w:rsid w:val="001E79B2"/>
    <w:rsid w:val="001F5AB4"/>
    <w:rsid w:val="00204569"/>
    <w:rsid w:val="0021469D"/>
    <w:rsid w:val="0024291E"/>
    <w:rsid w:val="00254170"/>
    <w:rsid w:val="002549E8"/>
    <w:rsid w:val="00254FF9"/>
    <w:rsid w:val="002662BD"/>
    <w:rsid w:val="002730B9"/>
    <w:rsid w:val="00290CDD"/>
    <w:rsid w:val="002A4398"/>
    <w:rsid w:val="002A4D20"/>
    <w:rsid w:val="002B5B34"/>
    <w:rsid w:val="002C5FED"/>
    <w:rsid w:val="002C6A08"/>
    <w:rsid w:val="002F25A0"/>
    <w:rsid w:val="002F79C3"/>
    <w:rsid w:val="00303BCB"/>
    <w:rsid w:val="003040CC"/>
    <w:rsid w:val="003210C7"/>
    <w:rsid w:val="00322205"/>
    <w:rsid w:val="00331E03"/>
    <w:rsid w:val="00336045"/>
    <w:rsid w:val="003445F7"/>
    <w:rsid w:val="00344A1C"/>
    <w:rsid w:val="00344B99"/>
    <w:rsid w:val="003514F4"/>
    <w:rsid w:val="0035420F"/>
    <w:rsid w:val="00373E60"/>
    <w:rsid w:val="00390D47"/>
    <w:rsid w:val="003A552F"/>
    <w:rsid w:val="003C0EBF"/>
    <w:rsid w:val="003C30B7"/>
    <w:rsid w:val="003C407D"/>
    <w:rsid w:val="003C49ED"/>
    <w:rsid w:val="003D6E5D"/>
    <w:rsid w:val="003E12B2"/>
    <w:rsid w:val="00405486"/>
    <w:rsid w:val="0040648B"/>
    <w:rsid w:val="00413776"/>
    <w:rsid w:val="00423220"/>
    <w:rsid w:val="00432495"/>
    <w:rsid w:val="00447F70"/>
    <w:rsid w:val="00461B87"/>
    <w:rsid w:val="00463FDA"/>
    <w:rsid w:val="0046528D"/>
    <w:rsid w:val="004660B4"/>
    <w:rsid w:val="00470071"/>
    <w:rsid w:val="00481904"/>
    <w:rsid w:val="00492641"/>
    <w:rsid w:val="004967A8"/>
    <w:rsid w:val="004B04B8"/>
    <w:rsid w:val="004C2D0A"/>
    <w:rsid w:val="00500649"/>
    <w:rsid w:val="0052636A"/>
    <w:rsid w:val="00526724"/>
    <w:rsid w:val="00543EE6"/>
    <w:rsid w:val="00547E94"/>
    <w:rsid w:val="00564305"/>
    <w:rsid w:val="00565439"/>
    <w:rsid w:val="00565723"/>
    <w:rsid w:val="005700D5"/>
    <w:rsid w:val="005725CB"/>
    <w:rsid w:val="00583FA8"/>
    <w:rsid w:val="005A5A00"/>
    <w:rsid w:val="005D1DC4"/>
    <w:rsid w:val="005F513B"/>
    <w:rsid w:val="00600A51"/>
    <w:rsid w:val="00612564"/>
    <w:rsid w:val="00612A25"/>
    <w:rsid w:val="006139BB"/>
    <w:rsid w:val="006202E5"/>
    <w:rsid w:val="0062485B"/>
    <w:rsid w:val="00632392"/>
    <w:rsid w:val="0069106E"/>
    <w:rsid w:val="006A0FF3"/>
    <w:rsid w:val="006A29DF"/>
    <w:rsid w:val="006D6885"/>
    <w:rsid w:val="006D7283"/>
    <w:rsid w:val="006D7AB4"/>
    <w:rsid w:val="0071117A"/>
    <w:rsid w:val="00731352"/>
    <w:rsid w:val="007A1749"/>
    <w:rsid w:val="007A174B"/>
    <w:rsid w:val="007A1ED3"/>
    <w:rsid w:val="007A457D"/>
    <w:rsid w:val="007B3B40"/>
    <w:rsid w:val="007E13C9"/>
    <w:rsid w:val="007E2526"/>
    <w:rsid w:val="007E5177"/>
    <w:rsid w:val="007F1313"/>
    <w:rsid w:val="007F6C57"/>
    <w:rsid w:val="0080154F"/>
    <w:rsid w:val="008303C9"/>
    <w:rsid w:val="00834F42"/>
    <w:rsid w:val="008413F7"/>
    <w:rsid w:val="008467EC"/>
    <w:rsid w:val="00850138"/>
    <w:rsid w:val="00851BD3"/>
    <w:rsid w:val="008526C3"/>
    <w:rsid w:val="00854AA2"/>
    <w:rsid w:val="008570F6"/>
    <w:rsid w:val="008632B8"/>
    <w:rsid w:val="00871110"/>
    <w:rsid w:val="0087152E"/>
    <w:rsid w:val="00874D4A"/>
    <w:rsid w:val="008A5DA2"/>
    <w:rsid w:val="008C4205"/>
    <w:rsid w:val="008F4D5D"/>
    <w:rsid w:val="008F65B9"/>
    <w:rsid w:val="0091124F"/>
    <w:rsid w:val="00915CCB"/>
    <w:rsid w:val="00921485"/>
    <w:rsid w:val="00921598"/>
    <w:rsid w:val="00925CF1"/>
    <w:rsid w:val="00931D8E"/>
    <w:rsid w:val="00937643"/>
    <w:rsid w:val="009411BE"/>
    <w:rsid w:val="0094324A"/>
    <w:rsid w:val="009454ED"/>
    <w:rsid w:val="00971EEA"/>
    <w:rsid w:val="009749E5"/>
    <w:rsid w:val="009824F2"/>
    <w:rsid w:val="00982F76"/>
    <w:rsid w:val="00992492"/>
    <w:rsid w:val="00997041"/>
    <w:rsid w:val="009A7775"/>
    <w:rsid w:val="009C43F7"/>
    <w:rsid w:val="009C5275"/>
    <w:rsid w:val="009C61F8"/>
    <w:rsid w:val="009D4262"/>
    <w:rsid w:val="009D46CE"/>
    <w:rsid w:val="009E07C5"/>
    <w:rsid w:val="009E5D34"/>
    <w:rsid w:val="009F77DC"/>
    <w:rsid w:val="00A000E3"/>
    <w:rsid w:val="00A03F5A"/>
    <w:rsid w:val="00A31A81"/>
    <w:rsid w:val="00A32DD5"/>
    <w:rsid w:val="00A33435"/>
    <w:rsid w:val="00A41B70"/>
    <w:rsid w:val="00A57B39"/>
    <w:rsid w:val="00A60833"/>
    <w:rsid w:val="00A744DF"/>
    <w:rsid w:val="00A770C5"/>
    <w:rsid w:val="00A80BE8"/>
    <w:rsid w:val="00A81FA2"/>
    <w:rsid w:val="00A87B95"/>
    <w:rsid w:val="00A935EF"/>
    <w:rsid w:val="00AE18C6"/>
    <w:rsid w:val="00AE7C1C"/>
    <w:rsid w:val="00AF1727"/>
    <w:rsid w:val="00AF473A"/>
    <w:rsid w:val="00B05125"/>
    <w:rsid w:val="00B07F36"/>
    <w:rsid w:val="00B1348A"/>
    <w:rsid w:val="00B167ED"/>
    <w:rsid w:val="00B17161"/>
    <w:rsid w:val="00B21D72"/>
    <w:rsid w:val="00B246BE"/>
    <w:rsid w:val="00B24A96"/>
    <w:rsid w:val="00B400AB"/>
    <w:rsid w:val="00B526CD"/>
    <w:rsid w:val="00B81DAF"/>
    <w:rsid w:val="00B849CA"/>
    <w:rsid w:val="00B90837"/>
    <w:rsid w:val="00BC66E5"/>
    <w:rsid w:val="00BC6E02"/>
    <w:rsid w:val="00BE00A7"/>
    <w:rsid w:val="00BE31C3"/>
    <w:rsid w:val="00BE4403"/>
    <w:rsid w:val="00BE63A0"/>
    <w:rsid w:val="00C10AE0"/>
    <w:rsid w:val="00C15931"/>
    <w:rsid w:val="00C33CBB"/>
    <w:rsid w:val="00C46BCC"/>
    <w:rsid w:val="00C51438"/>
    <w:rsid w:val="00C6359E"/>
    <w:rsid w:val="00C65317"/>
    <w:rsid w:val="00C70E2B"/>
    <w:rsid w:val="00C85214"/>
    <w:rsid w:val="00C9503B"/>
    <w:rsid w:val="00CA24BF"/>
    <w:rsid w:val="00CA50F4"/>
    <w:rsid w:val="00CA63EF"/>
    <w:rsid w:val="00CD440D"/>
    <w:rsid w:val="00D0006E"/>
    <w:rsid w:val="00D11AC9"/>
    <w:rsid w:val="00D30DBD"/>
    <w:rsid w:val="00D31410"/>
    <w:rsid w:val="00D705FB"/>
    <w:rsid w:val="00D81A65"/>
    <w:rsid w:val="00D85B41"/>
    <w:rsid w:val="00D93112"/>
    <w:rsid w:val="00D9386E"/>
    <w:rsid w:val="00DA7568"/>
    <w:rsid w:val="00DD2D63"/>
    <w:rsid w:val="00DE0AA1"/>
    <w:rsid w:val="00DE2297"/>
    <w:rsid w:val="00E170A2"/>
    <w:rsid w:val="00E628AD"/>
    <w:rsid w:val="00E92E4A"/>
    <w:rsid w:val="00EB3356"/>
    <w:rsid w:val="00EE6B14"/>
    <w:rsid w:val="00EE6B47"/>
    <w:rsid w:val="00EF3EFB"/>
    <w:rsid w:val="00F23CC8"/>
    <w:rsid w:val="00F25962"/>
    <w:rsid w:val="00F3424B"/>
    <w:rsid w:val="00F67458"/>
    <w:rsid w:val="00F7065A"/>
    <w:rsid w:val="00FA08D7"/>
    <w:rsid w:val="00FA1778"/>
    <w:rsid w:val="00FA76CC"/>
    <w:rsid w:val="00FB637A"/>
    <w:rsid w:val="00FC122B"/>
    <w:rsid w:val="00FC6245"/>
    <w:rsid w:val="00FD6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DF"/>
  </w:style>
  <w:style w:type="paragraph" w:styleId="Heading1">
    <w:name w:val="heading 1"/>
    <w:basedOn w:val="Normal"/>
    <w:link w:val="Heading1Char"/>
    <w:autoRedefine/>
    <w:uiPriority w:val="9"/>
    <w:qFormat/>
    <w:rsid w:val="00CA24BF"/>
    <w:pPr>
      <w:spacing w:before="100" w:beforeAutospacing="1" w:after="100" w:afterAutospacing="1" w:line="240" w:lineRule="auto"/>
      <w:jc w:val="center"/>
      <w:outlineLvl w:val="0"/>
    </w:pPr>
    <w:rPr>
      <w:rFonts w:ascii="Times New Roman" w:eastAsia="Calibri" w:hAnsi="Times New Roman" w:cs="Times New Roman"/>
      <w:b/>
      <w:bCs/>
      <w:kern w:val="36"/>
      <w:sz w:val="32"/>
      <w:szCs w:val="24"/>
    </w:rPr>
  </w:style>
  <w:style w:type="paragraph" w:styleId="Heading2">
    <w:name w:val="heading 2"/>
    <w:basedOn w:val="Normal"/>
    <w:next w:val="Normal"/>
    <w:link w:val="Heading2Char"/>
    <w:uiPriority w:val="9"/>
    <w:unhideWhenUsed/>
    <w:qFormat/>
    <w:rsid w:val="00CA63EF"/>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FD601E"/>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1124F"/>
    <w:pPr>
      <w:keepNext/>
      <w:keepLines/>
      <w:spacing w:before="200" w:after="0"/>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4BF"/>
    <w:rPr>
      <w:rFonts w:ascii="Times New Roman" w:eastAsia="Calibri" w:hAnsi="Times New Roman" w:cs="Times New Roman"/>
      <w:b/>
      <w:bCs/>
      <w:kern w:val="36"/>
      <w:sz w:val="32"/>
      <w:szCs w:val="24"/>
    </w:rPr>
  </w:style>
  <w:style w:type="character" w:customStyle="1" w:styleId="Heading2Char">
    <w:name w:val="Heading 2 Char"/>
    <w:basedOn w:val="DefaultParagraphFont"/>
    <w:link w:val="Heading2"/>
    <w:uiPriority w:val="9"/>
    <w:rsid w:val="00CA63EF"/>
    <w:rPr>
      <w:rFonts w:ascii="Times New Roman" w:eastAsiaTheme="majorEastAsia" w:hAnsi="Times New Roman" w:cstheme="majorBidi"/>
      <w:b/>
      <w:bCs/>
      <w:sz w:val="28"/>
      <w:szCs w:val="26"/>
      <w:lang w:val="lv-LV" w:eastAsia="lv-LV"/>
    </w:rPr>
  </w:style>
  <w:style w:type="character" w:customStyle="1" w:styleId="Heading3Char">
    <w:name w:val="Heading 3 Char"/>
    <w:basedOn w:val="DefaultParagraphFont"/>
    <w:link w:val="Heading3"/>
    <w:uiPriority w:val="9"/>
    <w:rsid w:val="00FD601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1124F"/>
    <w:rPr>
      <w:rFonts w:ascii="Times New Roman" w:eastAsiaTheme="majorEastAsia" w:hAnsi="Times New Roman" w:cstheme="majorBidi"/>
      <w:b/>
      <w:bCs/>
      <w:i/>
      <w:iCs/>
      <w:sz w:val="24"/>
    </w:rPr>
  </w:style>
  <w:style w:type="paragraph" w:styleId="ListParagraph">
    <w:name w:val="List Paragraph"/>
    <w:basedOn w:val="Normal"/>
    <w:link w:val="ListParagraphChar"/>
    <w:uiPriority w:val="34"/>
    <w:qFormat/>
    <w:rsid w:val="00CA63EF"/>
    <w:pPr>
      <w:ind w:left="720"/>
      <w:contextualSpacing/>
    </w:pPr>
  </w:style>
  <w:style w:type="character" w:customStyle="1" w:styleId="ListParagraphChar">
    <w:name w:val="List Paragraph Char"/>
    <w:basedOn w:val="DefaultParagraphFont"/>
    <w:link w:val="ListParagraph"/>
    <w:uiPriority w:val="34"/>
    <w:locked/>
    <w:rsid w:val="00CA63EF"/>
    <w:rPr>
      <w:rFonts w:eastAsiaTheme="minorEastAsia"/>
      <w:lang w:val="lv-LV" w:eastAsia="lv-LV"/>
    </w:rPr>
  </w:style>
  <w:style w:type="character" w:styleId="Hyperlink">
    <w:name w:val="Hyperlink"/>
    <w:basedOn w:val="DefaultParagraphFont"/>
    <w:uiPriority w:val="99"/>
    <w:unhideWhenUsed/>
    <w:rsid w:val="00CA63EF"/>
    <w:rPr>
      <w:color w:val="0000FF"/>
      <w:u w:val="single"/>
    </w:rPr>
  </w:style>
  <w:style w:type="paragraph" w:styleId="Header">
    <w:name w:val="header"/>
    <w:basedOn w:val="Normal"/>
    <w:link w:val="HeaderChar"/>
    <w:uiPriority w:val="99"/>
    <w:unhideWhenUsed/>
    <w:rsid w:val="00CA63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3EF"/>
    <w:rPr>
      <w:rFonts w:eastAsiaTheme="minorEastAsia"/>
      <w:lang w:val="lv-LV" w:eastAsia="lv-LV"/>
    </w:rPr>
  </w:style>
  <w:style w:type="paragraph" w:styleId="Footer">
    <w:name w:val="footer"/>
    <w:basedOn w:val="Normal"/>
    <w:link w:val="FooterChar"/>
    <w:uiPriority w:val="99"/>
    <w:unhideWhenUsed/>
    <w:rsid w:val="00CA6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3EF"/>
    <w:rPr>
      <w:rFonts w:eastAsiaTheme="minorEastAsia"/>
      <w:lang w:val="lv-LV" w:eastAsia="lv-LV"/>
    </w:rPr>
  </w:style>
  <w:style w:type="paragraph" w:styleId="NormalWeb">
    <w:name w:val="Normal (Web)"/>
    <w:basedOn w:val="Normal"/>
    <w:uiPriority w:val="99"/>
    <w:unhideWhenUsed/>
    <w:rsid w:val="00CA6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A63EF"/>
  </w:style>
  <w:style w:type="character" w:styleId="Emphasis">
    <w:name w:val="Emphasis"/>
    <w:uiPriority w:val="20"/>
    <w:qFormat/>
    <w:rsid w:val="00CA63EF"/>
    <w:rPr>
      <w:i/>
      <w:iCs/>
    </w:rPr>
  </w:style>
  <w:style w:type="paragraph" w:customStyle="1" w:styleId="FootnoteText1">
    <w:name w:val="Footnote Text1"/>
    <w:basedOn w:val="Normal"/>
    <w:next w:val="FootnoteText"/>
    <w:link w:val="FootnoteTextChar"/>
    <w:uiPriority w:val="99"/>
    <w:semiHidden/>
    <w:unhideWhenUsed/>
    <w:rsid w:val="00CA63EF"/>
    <w:pPr>
      <w:spacing w:after="0" w:line="240" w:lineRule="auto"/>
    </w:pPr>
    <w:rPr>
      <w:rFonts w:ascii="Calibri" w:eastAsia="Times New Roman" w:hAnsi="Calibri" w:cs="Times New Roman"/>
      <w:sz w:val="20"/>
      <w:szCs w:val="20"/>
    </w:rPr>
  </w:style>
  <w:style w:type="paragraph" w:styleId="FootnoteText">
    <w:name w:val="footnote text"/>
    <w:aliases w:val="Char, Char,Footnote,Fußnote,Vēres teksts Char Char Char Char Char Char Char Char Char Char Char Char1,Char Char Char Char Char Char Char Char Char Char Char Char Char Char Char Char Char Char Char1,-E Fußnotentext"/>
    <w:basedOn w:val="Normal"/>
    <w:link w:val="FootnoteTextChar1"/>
    <w:uiPriority w:val="99"/>
    <w:unhideWhenUsed/>
    <w:rsid w:val="00CA63EF"/>
    <w:pPr>
      <w:spacing w:after="0" w:line="240" w:lineRule="auto"/>
    </w:pPr>
    <w:rPr>
      <w:sz w:val="20"/>
      <w:szCs w:val="20"/>
    </w:rPr>
  </w:style>
  <w:style w:type="character" w:customStyle="1" w:styleId="FootnoteTextChar1">
    <w:name w:val="Footnote Text Char1"/>
    <w:aliases w:val="Char Char1, Char Char1,Footnote Char1,Fußnote Char1,Vēres teksts Char Char Char Char Char Char Char Char Char Char Char Char1 Char1,Char Char Char Char Char Char Char Char Char Char Char Char Char Char Char Char Char Char Char1 Char"/>
    <w:basedOn w:val="DefaultParagraphFont"/>
    <w:link w:val="FootnoteText"/>
    <w:uiPriority w:val="99"/>
    <w:rsid w:val="00CA63EF"/>
    <w:rPr>
      <w:rFonts w:eastAsiaTheme="minorEastAsia"/>
      <w:sz w:val="20"/>
      <w:szCs w:val="20"/>
      <w:lang w:val="lv-LV" w:eastAsia="lv-LV"/>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1"/>
    <w:uiPriority w:val="99"/>
    <w:rsid w:val="00CA63EF"/>
    <w:rPr>
      <w:rFonts w:ascii="Calibri" w:eastAsia="Times New Roman" w:hAnsi="Calibri" w:cs="Times New Roman"/>
      <w:sz w:val="20"/>
      <w:szCs w:val="20"/>
      <w:lang w:val="lv-LV" w:eastAsia="lv-LV"/>
    </w:rPr>
  </w:style>
  <w:style w:type="character" w:styleId="FootnoteReference">
    <w:name w:val="footnote reference"/>
    <w:aliases w:val="Footnote Reference Number,Footnote symbol"/>
    <w:uiPriority w:val="99"/>
    <w:unhideWhenUsed/>
    <w:rsid w:val="00CA63EF"/>
    <w:rPr>
      <w:vertAlign w:val="superscript"/>
    </w:rPr>
  </w:style>
  <w:style w:type="paragraph" w:styleId="BodyText">
    <w:name w:val="Body Text"/>
    <w:basedOn w:val="Normal"/>
    <w:link w:val="BodyTextChar"/>
    <w:rsid w:val="00CA63E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A63EF"/>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CA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EF"/>
    <w:rPr>
      <w:rFonts w:ascii="Tahoma" w:eastAsiaTheme="minorEastAsia" w:hAnsi="Tahoma" w:cs="Tahoma"/>
      <w:sz w:val="16"/>
      <w:szCs w:val="16"/>
      <w:lang w:val="lv-LV" w:eastAsia="lv-LV"/>
    </w:rPr>
  </w:style>
  <w:style w:type="character" w:customStyle="1" w:styleId="Bodytext0">
    <w:name w:val="Body text_"/>
    <w:link w:val="BodyText2"/>
    <w:rsid w:val="00CA63EF"/>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0"/>
    <w:rsid w:val="00CA63EF"/>
    <w:pPr>
      <w:shd w:val="clear" w:color="auto" w:fill="FFFFFF"/>
      <w:spacing w:before="240" w:after="240" w:line="0" w:lineRule="atLeast"/>
      <w:ind w:hanging="420"/>
    </w:pPr>
    <w:rPr>
      <w:rFonts w:ascii="Times New Roman" w:eastAsia="Times New Roman" w:hAnsi="Times New Roman" w:cs="Times New Roman"/>
      <w:sz w:val="23"/>
      <w:szCs w:val="23"/>
      <w:lang w:val="en-US" w:eastAsia="en-US"/>
    </w:rPr>
  </w:style>
  <w:style w:type="character" w:styleId="Strong">
    <w:name w:val="Strong"/>
    <w:uiPriority w:val="22"/>
    <w:qFormat/>
    <w:rsid w:val="00CA63EF"/>
    <w:rPr>
      <w:b/>
      <w:bCs/>
    </w:rPr>
  </w:style>
  <w:style w:type="paragraph" w:customStyle="1" w:styleId="tv20687921">
    <w:name w:val="tv20687921"/>
    <w:basedOn w:val="Normal"/>
    <w:rsid w:val="00CA63EF"/>
    <w:pPr>
      <w:spacing w:before="480" w:after="240" w:line="360" w:lineRule="auto"/>
      <w:ind w:firstLine="300"/>
      <w:jc w:val="right"/>
    </w:pPr>
    <w:rPr>
      <w:rFonts w:ascii="Verdana" w:eastAsia="Calibri" w:hAnsi="Verdana" w:cs="Times New Roman"/>
      <w:sz w:val="18"/>
      <w:szCs w:val="18"/>
    </w:rPr>
  </w:style>
  <w:style w:type="paragraph" w:customStyle="1" w:styleId="Default">
    <w:name w:val="Default"/>
    <w:basedOn w:val="Normal"/>
    <w:rsid w:val="00CA63EF"/>
    <w:pPr>
      <w:autoSpaceDE w:val="0"/>
      <w:autoSpaceDN w:val="0"/>
      <w:spacing w:after="0" w:line="240" w:lineRule="auto"/>
    </w:pPr>
    <w:rPr>
      <w:rFonts w:ascii="EUAlbertina" w:eastAsia="Calibri" w:hAnsi="EUAlbertina" w:cs="Times New Roman"/>
      <w:color w:val="000000"/>
      <w:sz w:val="24"/>
      <w:szCs w:val="24"/>
      <w:lang w:eastAsia="en-US"/>
    </w:rPr>
  </w:style>
  <w:style w:type="paragraph" w:styleId="NoSpacing">
    <w:name w:val="No Spacing"/>
    <w:link w:val="NoSpacingChar"/>
    <w:uiPriority w:val="1"/>
    <w:qFormat/>
    <w:rsid w:val="00CA63EF"/>
    <w:pPr>
      <w:spacing w:after="0" w:line="240" w:lineRule="atLeast"/>
    </w:pPr>
    <w:rPr>
      <w:rFonts w:ascii="Calibri" w:eastAsia="Calibri" w:hAnsi="Calibri" w:cs="Times New Roman"/>
    </w:rPr>
  </w:style>
  <w:style w:type="character" w:customStyle="1" w:styleId="NoSpacingChar">
    <w:name w:val="No Spacing Char"/>
    <w:basedOn w:val="DefaultParagraphFont"/>
    <w:link w:val="NoSpacing"/>
    <w:uiPriority w:val="1"/>
    <w:rsid w:val="00CA63EF"/>
    <w:rPr>
      <w:rFonts w:ascii="Calibri" w:eastAsia="Calibri" w:hAnsi="Calibri" w:cs="Times New Roman"/>
      <w:lang w:val="lv-LV"/>
    </w:rPr>
  </w:style>
  <w:style w:type="character" w:customStyle="1" w:styleId="st">
    <w:name w:val="st"/>
    <w:rsid w:val="00CA63EF"/>
  </w:style>
  <w:style w:type="paragraph" w:styleId="EndnoteText">
    <w:name w:val="endnote text"/>
    <w:basedOn w:val="Normal"/>
    <w:link w:val="EndnoteTextChar"/>
    <w:uiPriority w:val="99"/>
    <w:semiHidden/>
    <w:unhideWhenUsed/>
    <w:rsid w:val="00CA63EF"/>
    <w:pPr>
      <w:spacing w:after="0" w:line="240" w:lineRule="atLeast"/>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semiHidden/>
    <w:rsid w:val="00CA63EF"/>
    <w:rPr>
      <w:rFonts w:ascii="Calibri" w:eastAsia="Calibri" w:hAnsi="Calibri" w:cs="Times New Roman"/>
      <w:sz w:val="20"/>
      <w:szCs w:val="20"/>
      <w:lang w:val="lv-LV"/>
    </w:rPr>
  </w:style>
  <w:style w:type="paragraph" w:customStyle="1" w:styleId="naisf">
    <w:name w:val="naisf"/>
    <w:basedOn w:val="Normal"/>
    <w:uiPriority w:val="99"/>
    <w:rsid w:val="00CA63E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lab">
    <w:name w:val="naislab"/>
    <w:basedOn w:val="Normal"/>
    <w:rsid w:val="00CA63E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63EF"/>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CA63EF"/>
    <w:rPr>
      <w:rFonts w:eastAsiaTheme="minorEastAsia"/>
      <w:sz w:val="16"/>
      <w:szCs w:val="16"/>
    </w:rPr>
  </w:style>
  <w:style w:type="paragraph" w:styleId="BodyText20">
    <w:name w:val="Body Text 2"/>
    <w:basedOn w:val="Normal"/>
    <w:link w:val="BodyText2Char"/>
    <w:uiPriority w:val="99"/>
    <w:unhideWhenUsed/>
    <w:rsid w:val="00CA63EF"/>
    <w:pPr>
      <w:spacing w:after="120" w:line="480" w:lineRule="auto"/>
    </w:pPr>
    <w:rPr>
      <w:lang w:val="en-US" w:eastAsia="en-US"/>
    </w:rPr>
  </w:style>
  <w:style w:type="character" w:customStyle="1" w:styleId="BodyText2Char">
    <w:name w:val="Body Text 2 Char"/>
    <w:basedOn w:val="DefaultParagraphFont"/>
    <w:link w:val="BodyText20"/>
    <w:uiPriority w:val="99"/>
    <w:rsid w:val="00CA63EF"/>
    <w:rPr>
      <w:rFonts w:eastAsiaTheme="minorEastAsia"/>
    </w:rPr>
  </w:style>
  <w:style w:type="table" w:styleId="LightShading-Accent6">
    <w:name w:val="Light Shading Accent 6"/>
    <w:basedOn w:val="TableNormal"/>
    <w:uiPriority w:val="60"/>
    <w:rsid w:val="00CA63EF"/>
    <w:pPr>
      <w:spacing w:after="0" w:line="240" w:lineRule="auto"/>
    </w:pPr>
    <w:rPr>
      <w:rFonts w:ascii="Times New Roman" w:eastAsia="Times New Roman" w:hAnsi="Times New Roman" w:cs="Times New Roman"/>
      <w:color w:val="E36C0A" w:themeColor="accent6" w:themeShade="BF"/>
      <w:sz w:val="24"/>
      <w:szCs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v2131">
    <w:name w:val="tv2131"/>
    <w:basedOn w:val="Normal"/>
    <w:rsid w:val="00CA63EF"/>
    <w:pPr>
      <w:spacing w:before="240" w:after="0" w:line="360" w:lineRule="auto"/>
      <w:ind w:firstLine="300"/>
      <w:jc w:val="both"/>
    </w:pPr>
    <w:rPr>
      <w:rFonts w:ascii="Verdana" w:eastAsiaTheme="minorHAnsi" w:hAnsi="Verdana" w:cs="Times New Roman"/>
      <w:sz w:val="18"/>
      <w:szCs w:val="18"/>
    </w:rPr>
  </w:style>
  <w:style w:type="character" w:customStyle="1" w:styleId="tvdoctopindex1">
    <w:name w:val="tv_doc_top_index1"/>
    <w:basedOn w:val="DefaultParagraphFont"/>
    <w:rsid w:val="00CA63EF"/>
    <w:rPr>
      <w:color w:val="666666"/>
      <w:sz w:val="18"/>
      <w:szCs w:val="18"/>
    </w:rPr>
  </w:style>
  <w:style w:type="paragraph" w:customStyle="1" w:styleId="Parasts1">
    <w:name w:val="Parasts1"/>
    <w:uiPriority w:val="99"/>
    <w:rsid w:val="00CA63EF"/>
    <w:rPr>
      <w:rFonts w:ascii="Calibri" w:eastAsia="Calibri" w:hAnsi="Calibri" w:cs="Calibri"/>
      <w:color w:val="000000"/>
    </w:rPr>
  </w:style>
  <w:style w:type="paragraph" w:styleId="CommentText">
    <w:name w:val="annotation text"/>
    <w:basedOn w:val="Normal"/>
    <w:link w:val="CommentTextChar"/>
    <w:uiPriority w:val="99"/>
    <w:unhideWhenUsed/>
    <w:rsid w:val="00CA63EF"/>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CA63EF"/>
    <w:rPr>
      <w:rFonts w:ascii="Calibri" w:eastAsia="Calibri" w:hAnsi="Calibri" w:cs="Times New Roman"/>
      <w:sz w:val="20"/>
      <w:szCs w:val="20"/>
      <w:lang w:val="lv-LV"/>
    </w:rPr>
  </w:style>
  <w:style w:type="paragraph" w:customStyle="1" w:styleId="Normal1">
    <w:name w:val="Normal1"/>
    <w:basedOn w:val="Normal"/>
    <w:rsid w:val="00CA63EF"/>
    <w:rPr>
      <w:rFonts w:ascii="Calibri" w:eastAsia="Calibri" w:hAnsi="Calibri" w:cs="Times New Roman"/>
      <w:szCs w:val="20"/>
      <w:lang w:val="en-US" w:eastAsia="en-US"/>
    </w:rPr>
  </w:style>
  <w:style w:type="paragraph" w:styleId="PlainText">
    <w:name w:val="Plain Text"/>
    <w:basedOn w:val="Normal"/>
    <w:link w:val="PlainTextChar"/>
    <w:uiPriority w:val="99"/>
    <w:unhideWhenUsed/>
    <w:rsid w:val="00CA63EF"/>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CA63EF"/>
    <w:rPr>
      <w:rFonts w:ascii="Calibri" w:hAnsi="Calibri" w:cs="Consolas"/>
      <w:szCs w:val="21"/>
      <w:lang w:val="lv-LV"/>
    </w:rPr>
  </w:style>
  <w:style w:type="character" w:customStyle="1" w:styleId="c3">
    <w:name w:val="c3"/>
    <w:basedOn w:val="DefaultParagraphFont"/>
    <w:rsid w:val="00CA63EF"/>
  </w:style>
  <w:style w:type="table" w:styleId="TableGrid">
    <w:name w:val="Table Grid"/>
    <w:basedOn w:val="TableNormal"/>
    <w:uiPriority w:val="59"/>
    <w:rsid w:val="003C30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0B7"/>
    <w:rPr>
      <w:sz w:val="16"/>
      <w:szCs w:val="16"/>
    </w:rPr>
  </w:style>
  <w:style w:type="paragraph" w:styleId="CommentSubject">
    <w:name w:val="annotation subject"/>
    <w:basedOn w:val="CommentText"/>
    <w:next w:val="CommentText"/>
    <w:link w:val="CommentSubjectChar"/>
    <w:uiPriority w:val="99"/>
    <w:semiHidden/>
    <w:unhideWhenUsed/>
    <w:rsid w:val="003C30B7"/>
    <w:pPr>
      <w:spacing w:line="240" w:lineRule="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3C30B7"/>
    <w:rPr>
      <w:rFonts w:ascii="Calibri" w:eastAsiaTheme="minorEastAsia" w:hAnsi="Calibri" w:cs="Times New Roman"/>
      <w:b/>
      <w:bCs/>
      <w:sz w:val="20"/>
      <w:szCs w:val="20"/>
      <w:lang w:val="lv-LV" w:eastAsia="lv-LV"/>
    </w:rPr>
  </w:style>
  <w:style w:type="paragraph" w:styleId="BodyTextIndent2">
    <w:name w:val="Body Text Indent 2"/>
    <w:basedOn w:val="Normal"/>
    <w:link w:val="BodyTextIndent2Char"/>
    <w:uiPriority w:val="99"/>
    <w:unhideWhenUsed/>
    <w:rsid w:val="00EE6B47"/>
    <w:pPr>
      <w:spacing w:after="120" w:line="480" w:lineRule="auto"/>
      <w:ind w:left="283"/>
    </w:pPr>
  </w:style>
  <w:style w:type="character" w:customStyle="1" w:styleId="BodyTextIndent2Char">
    <w:name w:val="Body Text Indent 2 Char"/>
    <w:basedOn w:val="DefaultParagraphFont"/>
    <w:link w:val="BodyTextIndent2"/>
    <w:uiPriority w:val="99"/>
    <w:rsid w:val="00EE6B47"/>
    <w:rPr>
      <w:rFonts w:eastAsiaTheme="minorEastAsia"/>
      <w:lang w:val="lv-LV" w:eastAsia="lv-LV"/>
    </w:rPr>
  </w:style>
  <w:style w:type="paragraph" w:styleId="TOCHeading">
    <w:name w:val="TOC Heading"/>
    <w:basedOn w:val="Heading1"/>
    <w:next w:val="Normal"/>
    <w:uiPriority w:val="39"/>
    <w:unhideWhenUsed/>
    <w:qFormat/>
    <w:rsid w:val="00254FF9"/>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254FF9"/>
    <w:pPr>
      <w:spacing w:after="100"/>
    </w:pPr>
  </w:style>
  <w:style w:type="paragraph" w:styleId="TOC2">
    <w:name w:val="toc 2"/>
    <w:basedOn w:val="Normal"/>
    <w:next w:val="Normal"/>
    <w:autoRedefine/>
    <w:uiPriority w:val="39"/>
    <w:unhideWhenUsed/>
    <w:qFormat/>
    <w:rsid w:val="00254FF9"/>
    <w:pPr>
      <w:spacing w:after="100"/>
      <w:ind w:left="220"/>
    </w:pPr>
  </w:style>
  <w:style w:type="paragraph" w:styleId="TOC3">
    <w:name w:val="toc 3"/>
    <w:basedOn w:val="Normal"/>
    <w:next w:val="Normal"/>
    <w:autoRedefine/>
    <w:uiPriority w:val="39"/>
    <w:unhideWhenUsed/>
    <w:qFormat/>
    <w:rsid w:val="00254FF9"/>
    <w:pPr>
      <w:spacing w:after="100"/>
      <w:ind w:left="440"/>
    </w:pPr>
  </w:style>
  <w:style w:type="paragraph" w:customStyle="1" w:styleId="ColorfulList-Accent11">
    <w:name w:val="Colorful List - Accent 11"/>
    <w:basedOn w:val="Normal"/>
    <w:link w:val="ColorfulList-Accent1Char"/>
    <w:uiPriority w:val="34"/>
    <w:qFormat/>
    <w:rsid w:val="006202E5"/>
    <w:pPr>
      <w:ind w:left="720"/>
      <w:contextualSpacing/>
    </w:pPr>
    <w:rPr>
      <w:rFonts w:ascii="Calibri" w:eastAsia="Calibri" w:hAnsi="Calibri" w:cs="Times New Roman"/>
      <w:lang w:eastAsia="en-US"/>
    </w:rPr>
  </w:style>
  <w:style w:type="character" w:customStyle="1" w:styleId="ColorfulList-Accent1Char">
    <w:name w:val="Colorful List - Accent 1 Char"/>
    <w:link w:val="ColorfulList-Accent11"/>
    <w:uiPriority w:val="34"/>
    <w:locked/>
    <w:rsid w:val="006202E5"/>
    <w:rPr>
      <w:rFonts w:ascii="Calibri" w:eastAsia="Calibri" w:hAnsi="Calibri" w:cs="Times New Roman"/>
      <w:lang w:eastAsia="en-US"/>
    </w:rPr>
  </w:style>
  <w:style w:type="paragraph" w:styleId="TOC4">
    <w:name w:val="toc 4"/>
    <w:basedOn w:val="Normal"/>
    <w:next w:val="Normal"/>
    <w:autoRedefine/>
    <w:uiPriority w:val="39"/>
    <w:unhideWhenUsed/>
    <w:rsid w:val="002F79C3"/>
    <w:pPr>
      <w:spacing w:after="100"/>
      <w:ind w:left="660"/>
    </w:pPr>
    <w:rPr>
      <w:lang w:val="en-US" w:eastAsia="en-US"/>
    </w:rPr>
  </w:style>
  <w:style w:type="paragraph" w:styleId="TOC5">
    <w:name w:val="toc 5"/>
    <w:basedOn w:val="Normal"/>
    <w:next w:val="Normal"/>
    <w:autoRedefine/>
    <w:uiPriority w:val="39"/>
    <w:unhideWhenUsed/>
    <w:rsid w:val="002F79C3"/>
    <w:pPr>
      <w:spacing w:after="100"/>
      <w:ind w:left="880"/>
    </w:pPr>
    <w:rPr>
      <w:lang w:val="en-US" w:eastAsia="en-US"/>
    </w:rPr>
  </w:style>
  <w:style w:type="paragraph" w:styleId="TOC6">
    <w:name w:val="toc 6"/>
    <w:basedOn w:val="Normal"/>
    <w:next w:val="Normal"/>
    <w:autoRedefine/>
    <w:uiPriority w:val="39"/>
    <w:unhideWhenUsed/>
    <w:rsid w:val="002F79C3"/>
    <w:pPr>
      <w:spacing w:after="100"/>
      <w:ind w:left="1100"/>
    </w:pPr>
    <w:rPr>
      <w:lang w:val="en-US" w:eastAsia="en-US"/>
    </w:rPr>
  </w:style>
  <w:style w:type="paragraph" w:styleId="TOC7">
    <w:name w:val="toc 7"/>
    <w:basedOn w:val="Normal"/>
    <w:next w:val="Normal"/>
    <w:autoRedefine/>
    <w:uiPriority w:val="39"/>
    <w:unhideWhenUsed/>
    <w:rsid w:val="002F79C3"/>
    <w:pPr>
      <w:spacing w:after="100"/>
      <w:ind w:left="1320"/>
    </w:pPr>
    <w:rPr>
      <w:lang w:val="en-US" w:eastAsia="en-US"/>
    </w:rPr>
  </w:style>
  <w:style w:type="paragraph" w:styleId="TOC8">
    <w:name w:val="toc 8"/>
    <w:basedOn w:val="Normal"/>
    <w:next w:val="Normal"/>
    <w:autoRedefine/>
    <w:uiPriority w:val="39"/>
    <w:unhideWhenUsed/>
    <w:rsid w:val="002F79C3"/>
    <w:pPr>
      <w:spacing w:after="100"/>
      <w:ind w:left="1540"/>
    </w:pPr>
    <w:rPr>
      <w:lang w:val="en-US" w:eastAsia="en-US"/>
    </w:rPr>
  </w:style>
  <w:style w:type="paragraph" w:styleId="TOC9">
    <w:name w:val="toc 9"/>
    <w:basedOn w:val="Normal"/>
    <w:next w:val="Normal"/>
    <w:autoRedefine/>
    <w:uiPriority w:val="39"/>
    <w:unhideWhenUsed/>
    <w:rsid w:val="002F79C3"/>
    <w:pPr>
      <w:spacing w:after="100"/>
      <w:ind w:left="1760"/>
    </w:pPr>
    <w:rPr>
      <w:lang w:val="en-US" w:eastAsia="en-US"/>
    </w:rPr>
  </w:style>
  <w:style w:type="character" w:customStyle="1" w:styleId="normalchar1">
    <w:name w:val="normal__char1"/>
    <w:uiPriority w:val="99"/>
    <w:rsid w:val="00FB637A"/>
    <w:rPr>
      <w:rFonts w:ascii="Arial" w:hAnsi="Arial" w:cs="Arial" w:hint="default"/>
      <w:sz w:val="22"/>
    </w:rPr>
  </w:style>
  <w:style w:type="paragraph" w:customStyle="1" w:styleId="NoSpacing1">
    <w:name w:val="No Spacing1"/>
    <w:uiPriority w:val="1"/>
    <w:qFormat/>
    <w:rsid w:val="00FB637A"/>
    <w:pPr>
      <w:spacing w:after="0" w:line="240" w:lineRule="auto"/>
    </w:pPr>
    <w:rPr>
      <w:rFonts w:ascii="Calibri" w:eastAsia="Calibri" w:hAnsi="Calibri" w:cs="Times New Roman"/>
      <w:lang w:eastAsia="en-US"/>
    </w:rPr>
  </w:style>
  <w:style w:type="character" w:customStyle="1" w:styleId="googqs-tidbit">
    <w:name w:val="goog_qs-tidbit"/>
    <w:basedOn w:val="DefaultParagraphFont"/>
    <w:rsid w:val="00FB637A"/>
  </w:style>
  <w:style w:type="character" w:customStyle="1" w:styleId="hps">
    <w:name w:val="hps"/>
    <w:basedOn w:val="DefaultParagraphFont"/>
    <w:rsid w:val="00FB6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9DF"/>
  </w:style>
  <w:style w:type="paragraph" w:styleId="Heading1">
    <w:name w:val="heading 1"/>
    <w:basedOn w:val="Normal"/>
    <w:link w:val="Heading1Char"/>
    <w:autoRedefine/>
    <w:uiPriority w:val="9"/>
    <w:qFormat/>
    <w:rsid w:val="00CA24BF"/>
    <w:pPr>
      <w:spacing w:before="100" w:beforeAutospacing="1" w:after="100" w:afterAutospacing="1" w:line="240" w:lineRule="auto"/>
      <w:jc w:val="center"/>
      <w:outlineLvl w:val="0"/>
    </w:pPr>
    <w:rPr>
      <w:rFonts w:ascii="Times New Roman" w:eastAsia="Calibri" w:hAnsi="Times New Roman" w:cs="Times New Roman"/>
      <w:b/>
      <w:bCs/>
      <w:kern w:val="36"/>
      <w:sz w:val="32"/>
      <w:szCs w:val="24"/>
    </w:rPr>
  </w:style>
  <w:style w:type="paragraph" w:styleId="Heading2">
    <w:name w:val="heading 2"/>
    <w:basedOn w:val="Normal"/>
    <w:next w:val="Normal"/>
    <w:link w:val="Heading2Char"/>
    <w:uiPriority w:val="9"/>
    <w:unhideWhenUsed/>
    <w:qFormat/>
    <w:rsid w:val="00CA63EF"/>
    <w:pPr>
      <w:keepNext/>
      <w:keepLines/>
      <w:spacing w:before="200" w:after="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FD601E"/>
    <w:pPr>
      <w:keepNext/>
      <w:keepLines/>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91124F"/>
    <w:pPr>
      <w:keepNext/>
      <w:keepLines/>
      <w:spacing w:before="200" w:after="0"/>
      <w:outlineLvl w:val="3"/>
    </w:pPr>
    <w:rPr>
      <w:rFonts w:ascii="Times New Roman" w:eastAsiaTheme="majorEastAsia" w:hAnsi="Times New Roman"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4BF"/>
    <w:rPr>
      <w:rFonts w:ascii="Times New Roman" w:eastAsia="Calibri" w:hAnsi="Times New Roman" w:cs="Times New Roman"/>
      <w:b/>
      <w:bCs/>
      <w:kern w:val="36"/>
      <w:sz w:val="32"/>
      <w:szCs w:val="24"/>
    </w:rPr>
  </w:style>
  <w:style w:type="character" w:customStyle="1" w:styleId="Heading2Char">
    <w:name w:val="Heading 2 Char"/>
    <w:basedOn w:val="DefaultParagraphFont"/>
    <w:link w:val="Heading2"/>
    <w:uiPriority w:val="9"/>
    <w:rsid w:val="00CA63EF"/>
    <w:rPr>
      <w:rFonts w:ascii="Times New Roman" w:eastAsiaTheme="majorEastAsia" w:hAnsi="Times New Roman" w:cstheme="majorBidi"/>
      <w:b/>
      <w:bCs/>
      <w:sz w:val="28"/>
      <w:szCs w:val="26"/>
      <w:lang w:val="lv-LV" w:eastAsia="lv-LV"/>
    </w:rPr>
  </w:style>
  <w:style w:type="character" w:customStyle="1" w:styleId="Heading3Char">
    <w:name w:val="Heading 3 Char"/>
    <w:basedOn w:val="DefaultParagraphFont"/>
    <w:link w:val="Heading3"/>
    <w:uiPriority w:val="9"/>
    <w:rsid w:val="00FD601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91124F"/>
    <w:rPr>
      <w:rFonts w:ascii="Times New Roman" w:eastAsiaTheme="majorEastAsia" w:hAnsi="Times New Roman" w:cstheme="majorBidi"/>
      <w:b/>
      <w:bCs/>
      <w:i/>
      <w:iCs/>
      <w:sz w:val="24"/>
    </w:rPr>
  </w:style>
  <w:style w:type="paragraph" w:styleId="ListParagraph">
    <w:name w:val="List Paragraph"/>
    <w:basedOn w:val="Normal"/>
    <w:link w:val="ListParagraphChar"/>
    <w:uiPriority w:val="34"/>
    <w:qFormat/>
    <w:rsid w:val="00CA63EF"/>
    <w:pPr>
      <w:ind w:left="720"/>
      <w:contextualSpacing/>
    </w:pPr>
  </w:style>
  <w:style w:type="character" w:customStyle="1" w:styleId="ListParagraphChar">
    <w:name w:val="List Paragraph Char"/>
    <w:basedOn w:val="DefaultParagraphFont"/>
    <w:link w:val="ListParagraph"/>
    <w:uiPriority w:val="34"/>
    <w:locked/>
    <w:rsid w:val="00CA63EF"/>
    <w:rPr>
      <w:rFonts w:eastAsiaTheme="minorEastAsia"/>
      <w:lang w:val="lv-LV" w:eastAsia="lv-LV"/>
    </w:rPr>
  </w:style>
  <w:style w:type="character" w:styleId="Hyperlink">
    <w:name w:val="Hyperlink"/>
    <w:basedOn w:val="DefaultParagraphFont"/>
    <w:uiPriority w:val="99"/>
    <w:unhideWhenUsed/>
    <w:rsid w:val="00CA63EF"/>
    <w:rPr>
      <w:color w:val="0000FF"/>
      <w:u w:val="single"/>
    </w:rPr>
  </w:style>
  <w:style w:type="paragraph" w:styleId="Header">
    <w:name w:val="header"/>
    <w:basedOn w:val="Normal"/>
    <w:link w:val="HeaderChar"/>
    <w:uiPriority w:val="99"/>
    <w:unhideWhenUsed/>
    <w:rsid w:val="00CA63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63EF"/>
    <w:rPr>
      <w:rFonts w:eastAsiaTheme="minorEastAsia"/>
      <w:lang w:val="lv-LV" w:eastAsia="lv-LV"/>
    </w:rPr>
  </w:style>
  <w:style w:type="paragraph" w:styleId="Footer">
    <w:name w:val="footer"/>
    <w:basedOn w:val="Normal"/>
    <w:link w:val="FooterChar"/>
    <w:uiPriority w:val="99"/>
    <w:unhideWhenUsed/>
    <w:rsid w:val="00CA63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63EF"/>
    <w:rPr>
      <w:rFonts w:eastAsiaTheme="minorEastAsia"/>
      <w:lang w:val="lv-LV" w:eastAsia="lv-LV"/>
    </w:rPr>
  </w:style>
  <w:style w:type="paragraph" w:styleId="NormalWeb">
    <w:name w:val="Normal (Web)"/>
    <w:basedOn w:val="Normal"/>
    <w:uiPriority w:val="99"/>
    <w:unhideWhenUsed/>
    <w:rsid w:val="00CA63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CA63EF"/>
  </w:style>
  <w:style w:type="character" w:styleId="Emphasis">
    <w:name w:val="Emphasis"/>
    <w:uiPriority w:val="20"/>
    <w:qFormat/>
    <w:rsid w:val="00CA63EF"/>
    <w:rPr>
      <w:i/>
      <w:iCs/>
    </w:rPr>
  </w:style>
  <w:style w:type="paragraph" w:customStyle="1" w:styleId="FootnoteText1">
    <w:name w:val="Footnote Text1"/>
    <w:basedOn w:val="Normal"/>
    <w:next w:val="FootnoteText"/>
    <w:link w:val="FootnoteTextChar"/>
    <w:uiPriority w:val="99"/>
    <w:semiHidden/>
    <w:unhideWhenUsed/>
    <w:rsid w:val="00CA63EF"/>
    <w:pPr>
      <w:spacing w:after="0" w:line="240" w:lineRule="auto"/>
    </w:pPr>
    <w:rPr>
      <w:rFonts w:ascii="Calibri" w:eastAsia="Times New Roman" w:hAnsi="Calibri" w:cs="Times New Roman"/>
      <w:sz w:val="20"/>
      <w:szCs w:val="20"/>
    </w:rPr>
  </w:style>
  <w:style w:type="paragraph" w:styleId="FootnoteText">
    <w:name w:val="footnote text"/>
    <w:aliases w:val="Char, Char,Footnote,Fußnote,Vēres teksts Char Char Char Char Char Char Char Char Char Char Char Char1,Char Char Char Char Char Char Char Char Char Char Char Char Char Char Char Char Char Char Char1,-E Fußnotentext"/>
    <w:basedOn w:val="Normal"/>
    <w:link w:val="FootnoteTextChar1"/>
    <w:uiPriority w:val="99"/>
    <w:unhideWhenUsed/>
    <w:rsid w:val="00CA63EF"/>
    <w:pPr>
      <w:spacing w:after="0" w:line="240" w:lineRule="auto"/>
    </w:pPr>
    <w:rPr>
      <w:sz w:val="20"/>
      <w:szCs w:val="20"/>
    </w:rPr>
  </w:style>
  <w:style w:type="character" w:customStyle="1" w:styleId="FootnoteTextChar1">
    <w:name w:val="Footnote Text Char1"/>
    <w:aliases w:val="Char Char1, Char Char1,Footnote Char1,Fußnote Char1,Vēres teksts Char Char Char Char Char Char Char Char Char Char Char Char1 Char1,Char Char Char Char Char Char Char Char Char Char Char Char Char Char Char Char Char Char Char1 Char"/>
    <w:basedOn w:val="DefaultParagraphFont"/>
    <w:link w:val="FootnoteText"/>
    <w:uiPriority w:val="99"/>
    <w:rsid w:val="00CA63EF"/>
    <w:rPr>
      <w:rFonts w:eastAsiaTheme="minorEastAsia"/>
      <w:sz w:val="20"/>
      <w:szCs w:val="20"/>
      <w:lang w:val="lv-LV" w:eastAsia="lv-LV"/>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
    <w:link w:val="FootnoteText1"/>
    <w:uiPriority w:val="99"/>
    <w:rsid w:val="00CA63EF"/>
    <w:rPr>
      <w:rFonts w:ascii="Calibri" w:eastAsia="Times New Roman" w:hAnsi="Calibri" w:cs="Times New Roman"/>
      <w:sz w:val="20"/>
      <w:szCs w:val="20"/>
      <w:lang w:val="lv-LV" w:eastAsia="lv-LV"/>
    </w:rPr>
  </w:style>
  <w:style w:type="character" w:styleId="FootnoteReference">
    <w:name w:val="footnote reference"/>
    <w:aliases w:val="Footnote Reference Number,Footnote symbol"/>
    <w:uiPriority w:val="99"/>
    <w:unhideWhenUsed/>
    <w:rsid w:val="00CA63EF"/>
    <w:rPr>
      <w:vertAlign w:val="superscript"/>
    </w:rPr>
  </w:style>
  <w:style w:type="paragraph" w:styleId="BodyText">
    <w:name w:val="Body Text"/>
    <w:basedOn w:val="Normal"/>
    <w:link w:val="BodyTextChar"/>
    <w:rsid w:val="00CA63EF"/>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CA63EF"/>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CA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3EF"/>
    <w:rPr>
      <w:rFonts w:ascii="Tahoma" w:eastAsiaTheme="minorEastAsia" w:hAnsi="Tahoma" w:cs="Tahoma"/>
      <w:sz w:val="16"/>
      <w:szCs w:val="16"/>
      <w:lang w:val="lv-LV" w:eastAsia="lv-LV"/>
    </w:rPr>
  </w:style>
  <w:style w:type="character" w:customStyle="1" w:styleId="Bodytext0">
    <w:name w:val="Body text_"/>
    <w:link w:val="BodyText2"/>
    <w:rsid w:val="00CA63EF"/>
    <w:rPr>
      <w:rFonts w:ascii="Times New Roman" w:eastAsia="Times New Roman" w:hAnsi="Times New Roman" w:cs="Times New Roman"/>
      <w:sz w:val="23"/>
      <w:szCs w:val="23"/>
      <w:shd w:val="clear" w:color="auto" w:fill="FFFFFF"/>
    </w:rPr>
  </w:style>
  <w:style w:type="paragraph" w:customStyle="1" w:styleId="BodyText2">
    <w:name w:val="Body Text2"/>
    <w:basedOn w:val="Normal"/>
    <w:link w:val="Bodytext0"/>
    <w:rsid w:val="00CA63EF"/>
    <w:pPr>
      <w:shd w:val="clear" w:color="auto" w:fill="FFFFFF"/>
      <w:spacing w:before="240" w:after="240" w:line="0" w:lineRule="atLeast"/>
      <w:ind w:hanging="420"/>
    </w:pPr>
    <w:rPr>
      <w:rFonts w:ascii="Times New Roman" w:eastAsia="Times New Roman" w:hAnsi="Times New Roman" w:cs="Times New Roman"/>
      <w:sz w:val="23"/>
      <w:szCs w:val="23"/>
      <w:lang w:val="en-US" w:eastAsia="en-US"/>
    </w:rPr>
  </w:style>
  <w:style w:type="character" w:styleId="Strong">
    <w:name w:val="Strong"/>
    <w:uiPriority w:val="22"/>
    <w:qFormat/>
    <w:rsid w:val="00CA63EF"/>
    <w:rPr>
      <w:b/>
      <w:bCs/>
    </w:rPr>
  </w:style>
  <w:style w:type="paragraph" w:customStyle="1" w:styleId="tv20687921">
    <w:name w:val="tv20687921"/>
    <w:basedOn w:val="Normal"/>
    <w:rsid w:val="00CA63EF"/>
    <w:pPr>
      <w:spacing w:before="480" w:after="240" w:line="360" w:lineRule="auto"/>
      <w:ind w:firstLine="300"/>
      <w:jc w:val="right"/>
    </w:pPr>
    <w:rPr>
      <w:rFonts w:ascii="Verdana" w:eastAsia="Calibri" w:hAnsi="Verdana" w:cs="Times New Roman"/>
      <w:sz w:val="18"/>
      <w:szCs w:val="18"/>
    </w:rPr>
  </w:style>
  <w:style w:type="paragraph" w:customStyle="1" w:styleId="Default">
    <w:name w:val="Default"/>
    <w:basedOn w:val="Normal"/>
    <w:rsid w:val="00CA63EF"/>
    <w:pPr>
      <w:autoSpaceDE w:val="0"/>
      <w:autoSpaceDN w:val="0"/>
      <w:spacing w:after="0" w:line="240" w:lineRule="auto"/>
    </w:pPr>
    <w:rPr>
      <w:rFonts w:ascii="EUAlbertina" w:eastAsia="Calibri" w:hAnsi="EUAlbertina" w:cs="Times New Roman"/>
      <w:color w:val="000000"/>
      <w:sz w:val="24"/>
      <w:szCs w:val="24"/>
      <w:lang w:eastAsia="en-US"/>
    </w:rPr>
  </w:style>
  <w:style w:type="paragraph" w:styleId="NoSpacing">
    <w:name w:val="No Spacing"/>
    <w:link w:val="NoSpacingChar"/>
    <w:uiPriority w:val="1"/>
    <w:qFormat/>
    <w:rsid w:val="00CA63EF"/>
    <w:pPr>
      <w:spacing w:after="0" w:line="240" w:lineRule="atLeast"/>
    </w:pPr>
    <w:rPr>
      <w:rFonts w:ascii="Calibri" w:eastAsia="Calibri" w:hAnsi="Calibri" w:cs="Times New Roman"/>
    </w:rPr>
  </w:style>
  <w:style w:type="character" w:customStyle="1" w:styleId="NoSpacingChar">
    <w:name w:val="No Spacing Char"/>
    <w:basedOn w:val="DefaultParagraphFont"/>
    <w:link w:val="NoSpacing"/>
    <w:uiPriority w:val="1"/>
    <w:rsid w:val="00CA63EF"/>
    <w:rPr>
      <w:rFonts w:ascii="Calibri" w:eastAsia="Calibri" w:hAnsi="Calibri" w:cs="Times New Roman"/>
      <w:lang w:val="lv-LV"/>
    </w:rPr>
  </w:style>
  <w:style w:type="character" w:customStyle="1" w:styleId="st">
    <w:name w:val="st"/>
    <w:rsid w:val="00CA63EF"/>
  </w:style>
  <w:style w:type="paragraph" w:styleId="EndnoteText">
    <w:name w:val="endnote text"/>
    <w:basedOn w:val="Normal"/>
    <w:link w:val="EndnoteTextChar"/>
    <w:uiPriority w:val="99"/>
    <w:semiHidden/>
    <w:unhideWhenUsed/>
    <w:rsid w:val="00CA63EF"/>
    <w:pPr>
      <w:spacing w:after="0" w:line="240" w:lineRule="atLeast"/>
    </w:pPr>
    <w:rPr>
      <w:rFonts w:ascii="Calibri" w:eastAsia="Calibri" w:hAnsi="Calibri" w:cs="Times New Roman"/>
      <w:sz w:val="20"/>
      <w:szCs w:val="20"/>
      <w:lang w:eastAsia="en-US"/>
    </w:rPr>
  </w:style>
  <w:style w:type="character" w:customStyle="1" w:styleId="EndnoteTextChar">
    <w:name w:val="Endnote Text Char"/>
    <w:basedOn w:val="DefaultParagraphFont"/>
    <w:link w:val="EndnoteText"/>
    <w:uiPriority w:val="99"/>
    <w:semiHidden/>
    <w:rsid w:val="00CA63EF"/>
    <w:rPr>
      <w:rFonts w:ascii="Calibri" w:eastAsia="Calibri" w:hAnsi="Calibri" w:cs="Times New Roman"/>
      <w:sz w:val="20"/>
      <w:szCs w:val="20"/>
      <w:lang w:val="lv-LV"/>
    </w:rPr>
  </w:style>
  <w:style w:type="paragraph" w:customStyle="1" w:styleId="naisf">
    <w:name w:val="naisf"/>
    <w:basedOn w:val="Normal"/>
    <w:uiPriority w:val="99"/>
    <w:rsid w:val="00CA63E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lab">
    <w:name w:val="naislab"/>
    <w:basedOn w:val="Normal"/>
    <w:rsid w:val="00CA63E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63EF"/>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CA63EF"/>
    <w:rPr>
      <w:rFonts w:eastAsiaTheme="minorEastAsia"/>
      <w:sz w:val="16"/>
      <w:szCs w:val="16"/>
    </w:rPr>
  </w:style>
  <w:style w:type="paragraph" w:styleId="BodyText20">
    <w:name w:val="Body Text 2"/>
    <w:basedOn w:val="Normal"/>
    <w:link w:val="BodyText2Char"/>
    <w:uiPriority w:val="99"/>
    <w:unhideWhenUsed/>
    <w:rsid w:val="00CA63EF"/>
    <w:pPr>
      <w:spacing w:after="120" w:line="480" w:lineRule="auto"/>
    </w:pPr>
    <w:rPr>
      <w:lang w:val="en-US" w:eastAsia="en-US"/>
    </w:rPr>
  </w:style>
  <w:style w:type="character" w:customStyle="1" w:styleId="BodyText2Char">
    <w:name w:val="Body Text 2 Char"/>
    <w:basedOn w:val="DefaultParagraphFont"/>
    <w:link w:val="BodyText20"/>
    <w:uiPriority w:val="99"/>
    <w:rsid w:val="00CA63EF"/>
    <w:rPr>
      <w:rFonts w:eastAsiaTheme="minorEastAsia"/>
    </w:rPr>
  </w:style>
  <w:style w:type="table" w:styleId="LightShading-Accent6">
    <w:name w:val="Light Shading Accent 6"/>
    <w:basedOn w:val="TableNormal"/>
    <w:uiPriority w:val="60"/>
    <w:rsid w:val="00CA63EF"/>
    <w:pPr>
      <w:spacing w:after="0" w:line="240" w:lineRule="auto"/>
    </w:pPr>
    <w:rPr>
      <w:rFonts w:ascii="Times New Roman" w:eastAsia="Times New Roman" w:hAnsi="Times New Roman" w:cs="Times New Roman"/>
      <w:color w:val="E36C0A" w:themeColor="accent6" w:themeShade="BF"/>
      <w:sz w:val="24"/>
      <w:szCs w:val="24"/>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v2131">
    <w:name w:val="tv2131"/>
    <w:basedOn w:val="Normal"/>
    <w:rsid w:val="00CA63EF"/>
    <w:pPr>
      <w:spacing w:before="240" w:after="0" w:line="360" w:lineRule="auto"/>
      <w:ind w:firstLine="300"/>
      <w:jc w:val="both"/>
    </w:pPr>
    <w:rPr>
      <w:rFonts w:ascii="Verdana" w:eastAsiaTheme="minorHAnsi" w:hAnsi="Verdana" w:cs="Times New Roman"/>
      <w:sz w:val="18"/>
      <w:szCs w:val="18"/>
    </w:rPr>
  </w:style>
  <w:style w:type="character" w:customStyle="1" w:styleId="tvdoctopindex1">
    <w:name w:val="tv_doc_top_index1"/>
    <w:basedOn w:val="DefaultParagraphFont"/>
    <w:rsid w:val="00CA63EF"/>
    <w:rPr>
      <w:color w:val="666666"/>
      <w:sz w:val="18"/>
      <w:szCs w:val="18"/>
    </w:rPr>
  </w:style>
  <w:style w:type="paragraph" w:customStyle="1" w:styleId="Parasts1">
    <w:name w:val="Parasts1"/>
    <w:uiPriority w:val="99"/>
    <w:rsid w:val="00CA63EF"/>
    <w:rPr>
      <w:rFonts w:ascii="Calibri" w:eastAsia="Calibri" w:hAnsi="Calibri" w:cs="Calibri"/>
      <w:color w:val="000000"/>
    </w:rPr>
  </w:style>
  <w:style w:type="paragraph" w:styleId="CommentText">
    <w:name w:val="annotation text"/>
    <w:basedOn w:val="Normal"/>
    <w:link w:val="CommentTextChar"/>
    <w:uiPriority w:val="99"/>
    <w:unhideWhenUsed/>
    <w:rsid w:val="00CA63EF"/>
    <w:rPr>
      <w:rFonts w:ascii="Calibri" w:eastAsia="Calibri" w:hAnsi="Calibri" w:cs="Times New Roman"/>
      <w:sz w:val="20"/>
      <w:szCs w:val="20"/>
      <w:lang w:eastAsia="en-US"/>
    </w:rPr>
  </w:style>
  <w:style w:type="character" w:customStyle="1" w:styleId="CommentTextChar">
    <w:name w:val="Comment Text Char"/>
    <w:basedOn w:val="DefaultParagraphFont"/>
    <w:link w:val="CommentText"/>
    <w:uiPriority w:val="99"/>
    <w:rsid w:val="00CA63EF"/>
    <w:rPr>
      <w:rFonts w:ascii="Calibri" w:eastAsia="Calibri" w:hAnsi="Calibri" w:cs="Times New Roman"/>
      <w:sz w:val="20"/>
      <w:szCs w:val="20"/>
      <w:lang w:val="lv-LV"/>
    </w:rPr>
  </w:style>
  <w:style w:type="paragraph" w:customStyle="1" w:styleId="Normal1">
    <w:name w:val="Normal1"/>
    <w:basedOn w:val="Normal"/>
    <w:rsid w:val="00CA63EF"/>
    <w:rPr>
      <w:rFonts w:ascii="Calibri" w:eastAsia="Calibri" w:hAnsi="Calibri" w:cs="Times New Roman"/>
      <w:szCs w:val="20"/>
      <w:lang w:val="en-US" w:eastAsia="en-US"/>
    </w:rPr>
  </w:style>
  <w:style w:type="paragraph" w:styleId="PlainText">
    <w:name w:val="Plain Text"/>
    <w:basedOn w:val="Normal"/>
    <w:link w:val="PlainTextChar"/>
    <w:uiPriority w:val="99"/>
    <w:unhideWhenUsed/>
    <w:rsid w:val="00CA63EF"/>
    <w:pPr>
      <w:spacing w:after="0" w:line="240" w:lineRule="auto"/>
    </w:pPr>
    <w:rPr>
      <w:rFonts w:ascii="Calibri" w:eastAsiaTheme="minorHAnsi" w:hAnsi="Calibri" w:cs="Consolas"/>
      <w:szCs w:val="21"/>
      <w:lang w:eastAsia="en-US"/>
    </w:rPr>
  </w:style>
  <w:style w:type="character" w:customStyle="1" w:styleId="PlainTextChar">
    <w:name w:val="Plain Text Char"/>
    <w:basedOn w:val="DefaultParagraphFont"/>
    <w:link w:val="PlainText"/>
    <w:uiPriority w:val="99"/>
    <w:rsid w:val="00CA63EF"/>
    <w:rPr>
      <w:rFonts w:ascii="Calibri" w:hAnsi="Calibri" w:cs="Consolas"/>
      <w:szCs w:val="21"/>
      <w:lang w:val="lv-LV"/>
    </w:rPr>
  </w:style>
  <w:style w:type="character" w:customStyle="1" w:styleId="c3">
    <w:name w:val="c3"/>
    <w:basedOn w:val="DefaultParagraphFont"/>
    <w:rsid w:val="00CA63EF"/>
  </w:style>
  <w:style w:type="table" w:styleId="TableGrid">
    <w:name w:val="Table Grid"/>
    <w:basedOn w:val="TableNormal"/>
    <w:uiPriority w:val="59"/>
    <w:rsid w:val="003C30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30B7"/>
    <w:rPr>
      <w:sz w:val="16"/>
      <w:szCs w:val="16"/>
    </w:rPr>
  </w:style>
  <w:style w:type="paragraph" w:styleId="CommentSubject">
    <w:name w:val="annotation subject"/>
    <w:basedOn w:val="CommentText"/>
    <w:next w:val="CommentText"/>
    <w:link w:val="CommentSubjectChar"/>
    <w:uiPriority w:val="99"/>
    <w:semiHidden/>
    <w:unhideWhenUsed/>
    <w:rsid w:val="003C30B7"/>
    <w:pPr>
      <w:spacing w:line="240" w:lineRule="auto"/>
    </w:pPr>
    <w:rPr>
      <w:rFonts w:asciiTheme="minorHAnsi" w:eastAsiaTheme="minorEastAsia" w:hAnsiTheme="minorHAnsi" w:cstheme="minorBidi"/>
      <w:b/>
      <w:bCs/>
      <w:lang w:eastAsia="lv-LV"/>
    </w:rPr>
  </w:style>
  <w:style w:type="character" w:customStyle="1" w:styleId="CommentSubjectChar">
    <w:name w:val="Comment Subject Char"/>
    <w:basedOn w:val="CommentTextChar"/>
    <w:link w:val="CommentSubject"/>
    <w:uiPriority w:val="99"/>
    <w:semiHidden/>
    <w:rsid w:val="003C30B7"/>
    <w:rPr>
      <w:rFonts w:ascii="Calibri" w:eastAsiaTheme="minorEastAsia" w:hAnsi="Calibri" w:cs="Times New Roman"/>
      <w:b/>
      <w:bCs/>
      <w:sz w:val="20"/>
      <w:szCs w:val="20"/>
      <w:lang w:val="lv-LV" w:eastAsia="lv-LV"/>
    </w:rPr>
  </w:style>
  <w:style w:type="paragraph" w:styleId="BodyTextIndent2">
    <w:name w:val="Body Text Indent 2"/>
    <w:basedOn w:val="Normal"/>
    <w:link w:val="BodyTextIndent2Char"/>
    <w:uiPriority w:val="99"/>
    <w:unhideWhenUsed/>
    <w:rsid w:val="00EE6B47"/>
    <w:pPr>
      <w:spacing w:after="120" w:line="480" w:lineRule="auto"/>
      <w:ind w:left="283"/>
    </w:pPr>
  </w:style>
  <w:style w:type="character" w:customStyle="1" w:styleId="BodyTextIndent2Char">
    <w:name w:val="Body Text Indent 2 Char"/>
    <w:basedOn w:val="DefaultParagraphFont"/>
    <w:link w:val="BodyTextIndent2"/>
    <w:uiPriority w:val="99"/>
    <w:rsid w:val="00EE6B47"/>
    <w:rPr>
      <w:rFonts w:eastAsiaTheme="minorEastAsia"/>
      <w:lang w:val="lv-LV" w:eastAsia="lv-LV"/>
    </w:rPr>
  </w:style>
  <w:style w:type="paragraph" w:styleId="TOCHeading">
    <w:name w:val="TOC Heading"/>
    <w:basedOn w:val="Heading1"/>
    <w:next w:val="Normal"/>
    <w:uiPriority w:val="39"/>
    <w:unhideWhenUsed/>
    <w:qFormat/>
    <w:rsid w:val="00254FF9"/>
    <w:pPr>
      <w:keepNext/>
      <w:keepLines/>
      <w:spacing w:before="480" w:beforeAutospacing="0" w:after="0" w:afterAutospacing="0" w:line="276" w:lineRule="auto"/>
      <w:jc w:val="left"/>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qFormat/>
    <w:rsid w:val="00254FF9"/>
    <w:pPr>
      <w:spacing w:after="100"/>
    </w:pPr>
  </w:style>
  <w:style w:type="paragraph" w:styleId="TOC2">
    <w:name w:val="toc 2"/>
    <w:basedOn w:val="Normal"/>
    <w:next w:val="Normal"/>
    <w:autoRedefine/>
    <w:uiPriority w:val="39"/>
    <w:unhideWhenUsed/>
    <w:qFormat/>
    <w:rsid w:val="00254FF9"/>
    <w:pPr>
      <w:spacing w:after="100"/>
      <w:ind w:left="220"/>
    </w:pPr>
  </w:style>
  <w:style w:type="paragraph" w:styleId="TOC3">
    <w:name w:val="toc 3"/>
    <w:basedOn w:val="Normal"/>
    <w:next w:val="Normal"/>
    <w:autoRedefine/>
    <w:uiPriority w:val="39"/>
    <w:unhideWhenUsed/>
    <w:qFormat/>
    <w:rsid w:val="00254FF9"/>
    <w:pPr>
      <w:spacing w:after="100"/>
      <w:ind w:left="440"/>
    </w:pPr>
  </w:style>
  <w:style w:type="paragraph" w:customStyle="1" w:styleId="ColorfulList-Accent11">
    <w:name w:val="Colorful List - Accent 11"/>
    <w:basedOn w:val="Normal"/>
    <w:link w:val="ColorfulList-Accent1Char"/>
    <w:uiPriority w:val="34"/>
    <w:qFormat/>
    <w:rsid w:val="006202E5"/>
    <w:pPr>
      <w:ind w:left="720"/>
      <w:contextualSpacing/>
    </w:pPr>
    <w:rPr>
      <w:rFonts w:ascii="Calibri" w:eastAsia="Calibri" w:hAnsi="Calibri" w:cs="Times New Roman"/>
      <w:lang w:eastAsia="en-US"/>
    </w:rPr>
  </w:style>
  <w:style w:type="character" w:customStyle="1" w:styleId="ColorfulList-Accent1Char">
    <w:name w:val="Colorful List - Accent 1 Char"/>
    <w:link w:val="ColorfulList-Accent11"/>
    <w:uiPriority w:val="34"/>
    <w:locked/>
    <w:rsid w:val="006202E5"/>
    <w:rPr>
      <w:rFonts w:ascii="Calibri" w:eastAsia="Calibri" w:hAnsi="Calibri" w:cs="Times New Roman"/>
      <w:lang w:eastAsia="en-US"/>
    </w:rPr>
  </w:style>
  <w:style w:type="paragraph" w:styleId="TOC4">
    <w:name w:val="toc 4"/>
    <w:basedOn w:val="Normal"/>
    <w:next w:val="Normal"/>
    <w:autoRedefine/>
    <w:uiPriority w:val="39"/>
    <w:unhideWhenUsed/>
    <w:rsid w:val="002F79C3"/>
    <w:pPr>
      <w:spacing w:after="100"/>
      <w:ind w:left="660"/>
    </w:pPr>
    <w:rPr>
      <w:lang w:val="en-US" w:eastAsia="en-US"/>
    </w:rPr>
  </w:style>
  <w:style w:type="paragraph" w:styleId="TOC5">
    <w:name w:val="toc 5"/>
    <w:basedOn w:val="Normal"/>
    <w:next w:val="Normal"/>
    <w:autoRedefine/>
    <w:uiPriority w:val="39"/>
    <w:unhideWhenUsed/>
    <w:rsid w:val="002F79C3"/>
    <w:pPr>
      <w:spacing w:after="100"/>
      <w:ind w:left="880"/>
    </w:pPr>
    <w:rPr>
      <w:lang w:val="en-US" w:eastAsia="en-US"/>
    </w:rPr>
  </w:style>
  <w:style w:type="paragraph" w:styleId="TOC6">
    <w:name w:val="toc 6"/>
    <w:basedOn w:val="Normal"/>
    <w:next w:val="Normal"/>
    <w:autoRedefine/>
    <w:uiPriority w:val="39"/>
    <w:unhideWhenUsed/>
    <w:rsid w:val="002F79C3"/>
    <w:pPr>
      <w:spacing w:after="100"/>
      <w:ind w:left="1100"/>
    </w:pPr>
    <w:rPr>
      <w:lang w:val="en-US" w:eastAsia="en-US"/>
    </w:rPr>
  </w:style>
  <w:style w:type="paragraph" w:styleId="TOC7">
    <w:name w:val="toc 7"/>
    <w:basedOn w:val="Normal"/>
    <w:next w:val="Normal"/>
    <w:autoRedefine/>
    <w:uiPriority w:val="39"/>
    <w:unhideWhenUsed/>
    <w:rsid w:val="002F79C3"/>
    <w:pPr>
      <w:spacing w:after="100"/>
      <w:ind w:left="1320"/>
    </w:pPr>
    <w:rPr>
      <w:lang w:val="en-US" w:eastAsia="en-US"/>
    </w:rPr>
  </w:style>
  <w:style w:type="paragraph" w:styleId="TOC8">
    <w:name w:val="toc 8"/>
    <w:basedOn w:val="Normal"/>
    <w:next w:val="Normal"/>
    <w:autoRedefine/>
    <w:uiPriority w:val="39"/>
    <w:unhideWhenUsed/>
    <w:rsid w:val="002F79C3"/>
    <w:pPr>
      <w:spacing w:after="100"/>
      <w:ind w:left="1540"/>
    </w:pPr>
    <w:rPr>
      <w:lang w:val="en-US" w:eastAsia="en-US"/>
    </w:rPr>
  </w:style>
  <w:style w:type="paragraph" w:styleId="TOC9">
    <w:name w:val="toc 9"/>
    <w:basedOn w:val="Normal"/>
    <w:next w:val="Normal"/>
    <w:autoRedefine/>
    <w:uiPriority w:val="39"/>
    <w:unhideWhenUsed/>
    <w:rsid w:val="002F79C3"/>
    <w:pPr>
      <w:spacing w:after="100"/>
      <w:ind w:left="1760"/>
    </w:pPr>
    <w:rPr>
      <w:lang w:val="en-US" w:eastAsia="en-US"/>
    </w:rPr>
  </w:style>
  <w:style w:type="character" w:customStyle="1" w:styleId="normalchar1">
    <w:name w:val="normal__char1"/>
    <w:uiPriority w:val="99"/>
    <w:rsid w:val="00FB637A"/>
    <w:rPr>
      <w:rFonts w:ascii="Arial" w:hAnsi="Arial" w:cs="Arial" w:hint="default"/>
      <w:sz w:val="22"/>
    </w:rPr>
  </w:style>
  <w:style w:type="paragraph" w:customStyle="1" w:styleId="NoSpacing1">
    <w:name w:val="No Spacing1"/>
    <w:uiPriority w:val="1"/>
    <w:qFormat/>
    <w:rsid w:val="00FB637A"/>
    <w:pPr>
      <w:spacing w:after="0" w:line="240" w:lineRule="auto"/>
    </w:pPr>
    <w:rPr>
      <w:rFonts w:ascii="Calibri" w:eastAsia="Calibri" w:hAnsi="Calibri" w:cs="Times New Roman"/>
      <w:lang w:eastAsia="en-US"/>
    </w:rPr>
  </w:style>
  <w:style w:type="character" w:customStyle="1" w:styleId="googqs-tidbit">
    <w:name w:val="goog_qs-tidbit"/>
    <w:basedOn w:val="DefaultParagraphFont"/>
    <w:rsid w:val="00FB637A"/>
  </w:style>
  <w:style w:type="character" w:customStyle="1" w:styleId="hps">
    <w:name w:val="hps"/>
    <w:basedOn w:val="DefaultParagraphFont"/>
    <w:rsid w:val="00FB6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751">
      <w:bodyDiv w:val="1"/>
      <w:marLeft w:val="0"/>
      <w:marRight w:val="0"/>
      <w:marTop w:val="0"/>
      <w:marBottom w:val="0"/>
      <w:divBdr>
        <w:top w:val="none" w:sz="0" w:space="0" w:color="auto"/>
        <w:left w:val="none" w:sz="0" w:space="0" w:color="auto"/>
        <w:bottom w:val="none" w:sz="0" w:space="0" w:color="auto"/>
        <w:right w:val="none" w:sz="0" w:space="0" w:color="auto"/>
      </w:divBdr>
    </w:div>
    <w:div w:id="481043433">
      <w:bodyDiv w:val="1"/>
      <w:marLeft w:val="0"/>
      <w:marRight w:val="0"/>
      <w:marTop w:val="0"/>
      <w:marBottom w:val="0"/>
      <w:divBdr>
        <w:top w:val="none" w:sz="0" w:space="0" w:color="auto"/>
        <w:left w:val="none" w:sz="0" w:space="0" w:color="auto"/>
        <w:bottom w:val="none" w:sz="0" w:space="0" w:color="auto"/>
        <w:right w:val="none" w:sz="0" w:space="0" w:color="auto"/>
      </w:divBdr>
    </w:div>
    <w:div w:id="748120063">
      <w:bodyDiv w:val="1"/>
      <w:marLeft w:val="0"/>
      <w:marRight w:val="0"/>
      <w:marTop w:val="0"/>
      <w:marBottom w:val="0"/>
      <w:divBdr>
        <w:top w:val="none" w:sz="0" w:space="0" w:color="auto"/>
        <w:left w:val="none" w:sz="0" w:space="0" w:color="auto"/>
        <w:bottom w:val="none" w:sz="0" w:space="0" w:color="auto"/>
        <w:right w:val="none" w:sz="0" w:space="0" w:color="auto"/>
      </w:divBdr>
    </w:div>
    <w:div w:id="1205757227">
      <w:bodyDiv w:val="1"/>
      <w:marLeft w:val="0"/>
      <w:marRight w:val="0"/>
      <w:marTop w:val="0"/>
      <w:marBottom w:val="0"/>
      <w:divBdr>
        <w:top w:val="none" w:sz="0" w:space="0" w:color="auto"/>
        <w:left w:val="none" w:sz="0" w:space="0" w:color="auto"/>
        <w:bottom w:val="none" w:sz="0" w:space="0" w:color="auto"/>
        <w:right w:val="none" w:sz="0" w:space="0" w:color="auto"/>
      </w:divBdr>
    </w:div>
    <w:div w:id="1571689694">
      <w:bodyDiv w:val="1"/>
      <w:marLeft w:val="0"/>
      <w:marRight w:val="0"/>
      <w:marTop w:val="0"/>
      <w:marBottom w:val="0"/>
      <w:divBdr>
        <w:top w:val="none" w:sz="0" w:space="0" w:color="auto"/>
        <w:left w:val="none" w:sz="0" w:space="0" w:color="auto"/>
        <w:bottom w:val="none" w:sz="0" w:space="0" w:color="auto"/>
        <w:right w:val="none" w:sz="0" w:space="0" w:color="auto"/>
      </w:divBdr>
    </w:div>
    <w:div w:id="1675453861">
      <w:bodyDiv w:val="1"/>
      <w:marLeft w:val="0"/>
      <w:marRight w:val="0"/>
      <w:marTop w:val="0"/>
      <w:marBottom w:val="0"/>
      <w:divBdr>
        <w:top w:val="none" w:sz="0" w:space="0" w:color="auto"/>
        <w:left w:val="none" w:sz="0" w:space="0" w:color="auto"/>
        <w:bottom w:val="none" w:sz="0" w:space="0" w:color="auto"/>
        <w:right w:val="none" w:sz="0" w:space="0" w:color="auto"/>
      </w:divBdr>
    </w:div>
    <w:div w:id="16916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chart" Target="charts/chart3.xml"/><Relationship Id="rId26" Type="http://schemas.openxmlformats.org/officeDocument/2006/relationships/hyperlink" Target="http://ozols.daba.gov.lv" TargetMode="External"/><Relationship Id="rId39" Type="http://schemas.openxmlformats.org/officeDocument/2006/relationships/hyperlink" Target="https://www.latvija.lv/LV/LDV/EServiceDescription.aspx?catid=14_VISI_E_PAKALPOJUMI&amp;srvid=URN%3aIVIS%3a100001%3aEP-EP15-v1-1" TargetMode="External"/><Relationship Id="rId21" Type="http://schemas.openxmlformats.org/officeDocument/2006/relationships/chart" Target="charts/chart6.xml"/><Relationship Id="rId34" Type="http://schemas.openxmlformats.org/officeDocument/2006/relationships/image" Target="media/image10.emf"/><Relationship Id="rId42" Type="http://schemas.openxmlformats.org/officeDocument/2006/relationships/hyperlink" Target="https://www.latvija.lv/LV/LDV/EServiceDescription.aspx?catid=14_VISI_E_PAKALPOJUMI&amp;srvid=URN%3aIVIS%3a100001%3aEP-EP01-v1-1" TargetMode="External"/><Relationship Id="rId47" Type="http://schemas.openxmlformats.org/officeDocument/2006/relationships/hyperlink" Target="https://www.latvija.lv/LV/LDV/EServiceDescription.aspx?catid=3_GIMENE&amp;srvid=URN%3aIVIS%3a100001%3aEP-EP36-v1-0" TargetMode="External"/><Relationship Id="rId50" Type="http://schemas.openxmlformats.org/officeDocument/2006/relationships/image" Target="media/image11.png"/><Relationship Id="rId55" Type="http://schemas.openxmlformats.org/officeDocument/2006/relationships/hyperlink" Target="http://www.latvia.eu"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chart" Target="charts/chart7.xml"/><Relationship Id="rId33" Type="http://schemas.openxmlformats.org/officeDocument/2006/relationships/image" Target="media/image9.emf"/><Relationship Id="rId38" Type="http://schemas.openxmlformats.org/officeDocument/2006/relationships/hyperlink" Target="https://www.latvija.lv/LV/LDV/EServiceDescription.aspx?catid=14_VISI_E_PAKALPOJUMI&amp;srvid=URN%3aIVIS%3a100001%3aEP-EP42-v1-0" TargetMode="External"/><Relationship Id="rId46" Type="http://schemas.openxmlformats.org/officeDocument/2006/relationships/hyperlink" Target="https://www.latvija.lv/LV/LDV/EServiceDescription.aspx?catid=14_VISI_E_PAKALPOJUMI&amp;srvid=URN%3aIVIS%3a100001%3aEP-EP61-v1-0"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chart" Target="charts/chart8.xml"/><Relationship Id="rId41" Type="http://schemas.openxmlformats.org/officeDocument/2006/relationships/hyperlink" Target="https://www.latvija.lv/LV/LDV/EServiceDescription.aspx?catid=14_VISI_E_PAKALPOJUMI&amp;srvid=URN%3aIVIS%3a100001%3aEP-EP01-v1-1" TargetMode="External"/><Relationship Id="rId54" Type="http://schemas.openxmlformats.org/officeDocument/2006/relationships/hyperlink" Target="http://www.delfi.lv/temas/gramm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8.png"/><Relationship Id="rId32" Type="http://schemas.openxmlformats.org/officeDocument/2006/relationships/chart" Target="charts/chart11.xml"/><Relationship Id="rId37" Type="http://schemas.openxmlformats.org/officeDocument/2006/relationships/hyperlink" Target="https://www.latvija.lv/LV/LDV/EServiceDescription.aspx?catid=14_VISI_E_PAKALPOJUMI&amp;srvid=URN%3aIVIS%3a100001%3aEP-EP42-v1-0" TargetMode="External"/><Relationship Id="rId40" Type="http://schemas.openxmlformats.org/officeDocument/2006/relationships/hyperlink" Target="https://www.latvija.lv/LV/LDV/EServiceDescription.aspx?catid=14_VISI_E_PAKALPOJUMI&amp;srvid=URN%3aIVIS%3a100001%3aEP-EP15-v1-1" TargetMode="External"/><Relationship Id="rId45" Type="http://schemas.openxmlformats.org/officeDocument/2006/relationships/hyperlink" Target="https://www.latvija.lv/LV/LDV/EServiceDescription.aspx?catid=14_VISI_E_PAKALPOJUMI&amp;srvid=URN%3aIVIS%3a100001%3aEP-EP61-v1-0" TargetMode="External"/><Relationship Id="rId53" Type="http://schemas.openxmlformats.org/officeDocument/2006/relationships/hyperlink" Target="http://www.delfi.lv/temas/latvijas-universitate"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www.tiesas.lv" TargetMode="External"/><Relationship Id="rId36" Type="http://schemas.openxmlformats.org/officeDocument/2006/relationships/hyperlink" Target="http://www.latvija.lv" TargetMode="External"/><Relationship Id="rId49" Type="http://schemas.openxmlformats.org/officeDocument/2006/relationships/hyperlink" Target="http://www.latvija.lv"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hart" Target="charts/chart4.xml"/><Relationship Id="rId31" Type="http://schemas.openxmlformats.org/officeDocument/2006/relationships/chart" Target="charts/chart10.xml"/><Relationship Id="rId44" Type="http://schemas.openxmlformats.org/officeDocument/2006/relationships/hyperlink" Target="https://www.latvija.lv/LV/LDV/EServiceDescription.aspx?catid=14_VISI_E_PAKALPOJUMI&amp;srvid=URN%3aIVIS%3a100001%3aEP-EP29-v1-1" TargetMode="External"/><Relationship Id="rId52" Type="http://schemas.openxmlformats.org/officeDocument/2006/relationships/hyperlink" Target="http://www.latvia.eu" TargetMode="External"/><Relationship Id="rId4" Type="http://schemas.microsoft.com/office/2007/relationships/stylesWithEffects" Target="stylesWithEffects.xml"/><Relationship Id="rId9" Type="http://schemas.openxmlformats.org/officeDocument/2006/relationships/hyperlink" Target="http://www.studyinlatvia.lv" TargetMode="External"/><Relationship Id="rId14" Type="http://schemas.openxmlformats.org/officeDocument/2006/relationships/image" Target="media/image3.emf"/><Relationship Id="rId22" Type="http://schemas.openxmlformats.org/officeDocument/2006/relationships/hyperlink" Target="http://www.latvija.lv/" TargetMode="External"/><Relationship Id="rId27" Type="http://schemas.openxmlformats.org/officeDocument/2006/relationships/hyperlink" Target="http://www.vestnesis.lv" TargetMode="External"/><Relationship Id="rId30" Type="http://schemas.openxmlformats.org/officeDocument/2006/relationships/chart" Target="charts/chart9.xml"/><Relationship Id="rId35" Type="http://schemas.openxmlformats.org/officeDocument/2006/relationships/hyperlink" Target="http://www.latvija.lv" TargetMode="External"/><Relationship Id="rId43" Type="http://schemas.openxmlformats.org/officeDocument/2006/relationships/hyperlink" Target="https://www.latvija.lv/LV/LDV/EServiceDescription.aspx?catid=14_VISI_E_PAKALPOJUMI&amp;srvid=URN%3aIVIS%3a100001%3aEP-EP29-v1-1" TargetMode="External"/><Relationship Id="rId48" Type="http://schemas.openxmlformats.org/officeDocument/2006/relationships/hyperlink" Target="https://www.latvija.lv/LV/LDV/EServiceDescription.aspx?catid=3_GIMENE&amp;srvid=URN%3aIVIS%3a100001%3aEP-EP36-v1-0"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reinis:Documents:Ekonomika:Makror&#257;d&#299;t&#257;ji:&#256;R&#274;J&#256;%20TIRDZNIEC&#298;BA:Eksports-preces-grupas.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filex\FUD\VADO&#352;&#256;%20IEST&#256;DE\ES%20FONDU%20UZRAUDZ&#298;BAS%20DEPARTAMENTS\INFO%20APKOPOJUMI\ES%20fondu%20apguves%20statuss\Apguves%20grafiki\2012.12.31_Apguves%20grafiks.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filex\FUD\VADO&#352;&#256;%20IEST&#256;DE\ES%20FONDU%20UZRAUDZ&#298;BAS%20DEPARTAMENTS\INFO%20APKOPOJUMI\NMS%20grafiki\2013.01.15_EK%20kop&#275;jie%20maks&#257;jumi%20vis&#257;m%20ES%20DV.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fud-tenis\Documents\Outlook%20Files\Copy%20of%20EU-10_per_07%2001%202013.xlsx"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dvaldman\Desktop\laika_zimoga_lietojums.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77090694424004E-2"/>
          <c:y val="2.8006088280060883E-2"/>
          <c:w val="0.89430015479897651"/>
          <c:h val="0.83663060695889957"/>
        </c:manualLayout>
      </c:layout>
      <c:lineChart>
        <c:grouping val="standard"/>
        <c:varyColors val="0"/>
        <c:ser>
          <c:idx val="1"/>
          <c:order val="0"/>
          <c:tx>
            <c:strRef>
              <c:f>Sheet1!$C$9</c:f>
              <c:strCache>
                <c:ptCount val="1"/>
                <c:pt idx="0">
                  <c:v>PCI</c:v>
                </c:pt>
              </c:strCache>
            </c:strRef>
          </c:tx>
          <c:spPr>
            <a:ln>
              <a:solidFill>
                <a:srgbClr val="002060"/>
              </a:solidFill>
            </a:ln>
          </c:spPr>
          <c:marker>
            <c:symbol val="none"/>
          </c:marker>
          <c:cat>
            <c:multiLvlStrRef>
              <c:f>Sheet1!$A$10:$B$57</c:f>
              <c:multiLvlStrCache>
                <c:ptCount val="48"/>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lvl>
                <c:lvl>
                  <c:pt idx="0">
                    <c:v>2009</c:v>
                  </c:pt>
                  <c:pt idx="12">
                    <c:v>2010</c:v>
                  </c:pt>
                  <c:pt idx="24">
                    <c:v>2011</c:v>
                  </c:pt>
                  <c:pt idx="36">
                    <c:v>2012</c:v>
                  </c:pt>
                </c:lvl>
              </c:multiLvlStrCache>
            </c:multiLvlStrRef>
          </c:cat>
          <c:val>
            <c:numRef>
              <c:f>Sheet1!$C$10:$C$57</c:f>
              <c:numCache>
                <c:formatCode>General</c:formatCode>
                <c:ptCount val="48"/>
                <c:pt idx="0">
                  <c:v>102.19674178350444</c:v>
                </c:pt>
                <c:pt idx="1">
                  <c:v>103.29795084293582</c:v>
                </c:pt>
                <c:pt idx="2">
                  <c:v>103.54203326332522</c:v>
                </c:pt>
                <c:pt idx="3">
                  <c:v>103.14468978827286</c:v>
                </c:pt>
                <c:pt idx="4">
                  <c:v>102.61679059998865</c:v>
                </c:pt>
                <c:pt idx="5">
                  <c:v>102.05483339955724</c:v>
                </c:pt>
                <c:pt idx="6">
                  <c:v>101.44178918090482</c:v>
                </c:pt>
                <c:pt idx="7">
                  <c:v>100.39734347505249</c:v>
                </c:pt>
                <c:pt idx="8">
                  <c:v>100.17029006073678</c:v>
                </c:pt>
                <c:pt idx="9">
                  <c:v>99.977294658568425</c:v>
                </c:pt>
                <c:pt idx="10">
                  <c:v>99.307487086337062</c:v>
                </c:pt>
                <c:pt idx="11">
                  <c:v>98.830674916274049</c:v>
                </c:pt>
                <c:pt idx="12">
                  <c:v>99.006641312368643</c:v>
                </c:pt>
                <c:pt idx="13">
                  <c:v>98.983935970937196</c:v>
                </c:pt>
                <c:pt idx="14">
                  <c:v>99.460748141000153</c:v>
                </c:pt>
                <c:pt idx="15">
                  <c:v>100.32922745075778</c:v>
                </c:pt>
                <c:pt idx="16">
                  <c:v>100.24975875574729</c:v>
                </c:pt>
                <c:pt idx="17">
                  <c:v>100.65277856615748</c:v>
                </c:pt>
                <c:pt idx="18">
                  <c:v>100.85145030368381</c:v>
                </c:pt>
                <c:pt idx="19">
                  <c:v>100.14190838394732</c:v>
                </c:pt>
                <c:pt idx="20">
                  <c:v>100.59033887722069</c:v>
                </c:pt>
                <c:pt idx="21">
                  <c:v>100.97065334619968</c:v>
                </c:pt>
                <c:pt idx="22">
                  <c:v>101.20338309587332</c:v>
                </c:pt>
                <c:pt idx="23">
                  <c:v>101.34529147982063</c:v>
                </c:pt>
                <c:pt idx="24">
                  <c:v>102.65084861213585</c:v>
                </c:pt>
                <c:pt idx="25">
                  <c:v>102.93466538003081</c:v>
                </c:pt>
                <c:pt idx="26">
                  <c:v>103.66691264119886</c:v>
                </c:pt>
                <c:pt idx="27">
                  <c:v>104.85326673099847</c:v>
                </c:pt>
                <c:pt idx="28">
                  <c:v>105.22790486461942</c:v>
                </c:pt>
                <c:pt idx="29">
                  <c:v>105.49469262644047</c:v>
                </c:pt>
                <c:pt idx="30">
                  <c:v>105.20519952318784</c:v>
                </c:pt>
                <c:pt idx="31">
                  <c:v>104.83623772492471</c:v>
                </c:pt>
                <c:pt idx="32">
                  <c:v>105.23358119997732</c:v>
                </c:pt>
                <c:pt idx="33">
                  <c:v>105.44928194357735</c:v>
                </c:pt>
                <c:pt idx="34">
                  <c:v>105.40954759607195</c:v>
                </c:pt>
                <c:pt idx="35">
                  <c:v>105.42657660214567</c:v>
                </c:pt>
                <c:pt idx="36">
                  <c:v>106.31208491797695</c:v>
                </c:pt>
                <c:pt idx="37">
                  <c:v>106.45966963728229</c:v>
                </c:pt>
                <c:pt idx="38">
                  <c:v>107.07839019129244</c:v>
                </c:pt>
                <c:pt idx="39">
                  <c:v>107.74252142816609</c:v>
                </c:pt>
                <c:pt idx="40">
                  <c:v>107.57223136742904</c:v>
                </c:pt>
                <c:pt idx="41">
                  <c:v>107.5041153431345</c:v>
                </c:pt>
                <c:pt idx="42">
                  <c:v>106.97053981949247</c:v>
                </c:pt>
                <c:pt idx="43">
                  <c:v>106.65834137480827</c:v>
                </c:pt>
                <c:pt idx="44">
                  <c:v>107.15218255094506</c:v>
                </c:pt>
                <c:pt idx="45">
                  <c:v>107.14082988022936</c:v>
                </c:pt>
                <c:pt idx="46">
                  <c:v>107.06136118521894</c:v>
                </c:pt>
                <c:pt idx="47">
                  <c:v>107.06136118521894</c:v>
                </c:pt>
              </c:numCache>
            </c:numRef>
          </c:val>
          <c:smooth val="0"/>
        </c:ser>
        <c:dLbls>
          <c:showLegendKey val="0"/>
          <c:showVal val="0"/>
          <c:showCatName val="0"/>
          <c:showSerName val="0"/>
          <c:showPercent val="0"/>
          <c:showBubbleSize val="0"/>
        </c:dLbls>
        <c:marker val="1"/>
        <c:smooth val="0"/>
        <c:axId val="42881408"/>
        <c:axId val="42884096"/>
      </c:lineChart>
      <c:catAx>
        <c:axId val="42881408"/>
        <c:scaling>
          <c:orientation val="minMax"/>
        </c:scaling>
        <c:delete val="0"/>
        <c:axPos val="b"/>
        <c:numFmt formatCode="#,##0" sourceLinked="0"/>
        <c:majorTickMark val="out"/>
        <c:minorTickMark val="none"/>
        <c:tickLblPos val="low"/>
        <c:spPr>
          <a:ln w="3170">
            <a:solidFill>
              <a:sysClr val="window" lastClr="FFFFFF">
                <a:lumMod val="50000"/>
              </a:sysClr>
            </a:solidFill>
            <a:prstDash val="solid"/>
          </a:ln>
        </c:spPr>
        <c:txPr>
          <a:bodyPr rot="0" vert="horz"/>
          <a:lstStyle/>
          <a:p>
            <a:pPr>
              <a:defRPr sz="699">
                <a:latin typeface="Arial Narrow" pitchFamily="34" charset="0"/>
              </a:defRPr>
            </a:pPr>
            <a:endParaRPr lang="lv-LV"/>
          </a:p>
        </c:txPr>
        <c:crossAx val="42884096"/>
        <c:crosses val="autoZero"/>
        <c:auto val="1"/>
        <c:lblAlgn val="ctr"/>
        <c:lblOffset val="0"/>
        <c:tickLblSkip val="2"/>
        <c:tickMarkSkip val="1"/>
        <c:noMultiLvlLbl val="1"/>
      </c:catAx>
      <c:valAx>
        <c:axId val="42884096"/>
        <c:scaling>
          <c:orientation val="minMax"/>
          <c:min val="97"/>
        </c:scaling>
        <c:delete val="0"/>
        <c:axPos val="l"/>
        <c:numFmt formatCode="0" sourceLinked="0"/>
        <c:majorTickMark val="out"/>
        <c:minorTickMark val="none"/>
        <c:tickLblPos val="nextTo"/>
        <c:spPr>
          <a:ln w="3170">
            <a:solidFill>
              <a:sysClr val="window" lastClr="FFFFFF">
                <a:lumMod val="50000"/>
              </a:sysClr>
            </a:solidFill>
          </a:ln>
        </c:spPr>
        <c:txPr>
          <a:bodyPr rot="0" vert="horz"/>
          <a:lstStyle/>
          <a:p>
            <a:pPr>
              <a:defRPr sz="799">
                <a:latin typeface="Arial Narrow" pitchFamily="34" charset="0"/>
              </a:defRPr>
            </a:pPr>
            <a:endParaRPr lang="lv-LV"/>
          </a:p>
        </c:txPr>
        <c:crossAx val="42881408"/>
        <c:crosses val="autoZero"/>
        <c:crossBetween val="between"/>
      </c:valAx>
      <c:spPr>
        <a:noFill/>
        <a:ln w="25371">
          <a:noFill/>
        </a:ln>
      </c:spPr>
    </c:plotArea>
    <c:plotVisOnly val="1"/>
    <c:dispBlanksAs val="gap"/>
    <c:showDLblsOverMax val="0"/>
  </c:chart>
  <c:spPr>
    <a:noFill/>
    <a:ln>
      <a:noFill/>
    </a:ln>
  </c:spPr>
  <c:txPr>
    <a:bodyPr/>
    <a:lstStyle/>
    <a:p>
      <a:pPr>
        <a:defRPr sz="899" b="0" i="0" u="none" strike="noStrike" baseline="0">
          <a:solidFill>
            <a:srgbClr val="000000"/>
          </a:solidFill>
          <a:latin typeface="Garamond" pitchFamily="18" charset="0"/>
          <a:ea typeface="Arial"/>
          <a:cs typeface="Arial"/>
        </a:defRPr>
      </a:pPr>
      <a:endParaRPr lang="lv-LV"/>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6234309623431047E-2"/>
          <c:y val="4.5267489711934172E-2"/>
          <c:w val="0.88284518828451963"/>
          <c:h val="0.81069958847736623"/>
        </c:manualLayout>
      </c:layout>
      <c:bar3DChart>
        <c:barDir val="col"/>
        <c:grouping val="clustered"/>
        <c:varyColors val="0"/>
        <c:ser>
          <c:idx val="0"/>
          <c:order val="0"/>
          <c:tx>
            <c:strRef>
              <c:f>Sheet1!$A$2</c:f>
              <c:strCache>
                <c:ptCount val="1"/>
              </c:strCache>
            </c:strRef>
          </c:tx>
          <c:spPr>
            <a:solidFill>
              <a:srgbClr val="FFCC00"/>
            </a:solidFill>
            <a:ln w="12691">
              <a:solidFill>
                <a:srgbClr val="000000"/>
              </a:solidFill>
              <a:prstDash val="solid"/>
            </a:ln>
          </c:spPr>
          <c:invertIfNegative val="0"/>
          <c:dLbls>
            <c:dLbl>
              <c:idx val="0"/>
              <c:layout>
                <c:manualLayout>
                  <c:x val="2.2353496978219752E-2"/>
                  <c:y val="-4.3340005556714759E-2"/>
                </c:manualLayout>
              </c:layout>
              <c:showLegendKey val="0"/>
              <c:showVal val="1"/>
              <c:showCatName val="0"/>
              <c:showSerName val="0"/>
              <c:showPercent val="0"/>
              <c:showBubbleSize val="0"/>
            </c:dLbl>
            <c:dLbl>
              <c:idx val="1"/>
              <c:layout>
                <c:manualLayout>
                  <c:x val="3.1832439885576443E-2"/>
                  <c:y val="-5.7039197374651997E-2"/>
                </c:manualLayout>
              </c:layout>
              <c:showLegendKey val="0"/>
              <c:showVal val="1"/>
              <c:showCatName val="0"/>
              <c:showSerName val="0"/>
              <c:showPercent val="0"/>
              <c:showBubbleSize val="0"/>
            </c:dLbl>
            <c:dLbl>
              <c:idx val="2"/>
              <c:layout>
                <c:manualLayout>
                  <c:x val="3.0851131746907432E-2"/>
                  <c:y val="-3.5999666952219116E-2"/>
                </c:manualLayout>
              </c:layout>
              <c:showLegendKey val="0"/>
              <c:showVal val="1"/>
              <c:showCatName val="0"/>
              <c:showSerName val="0"/>
              <c:showPercent val="0"/>
              <c:showBubbleSize val="0"/>
            </c:dLbl>
            <c:dLbl>
              <c:idx val="3"/>
              <c:layout>
                <c:manualLayout>
                  <c:x val="3.1195408395615732E-2"/>
                  <c:y val="-5.1756483889539892E-2"/>
                </c:manualLayout>
              </c:layout>
              <c:spPr>
                <a:noFill/>
                <a:ln w="25383">
                  <a:noFill/>
                </a:ln>
              </c:spPr>
              <c:txPr>
                <a:bodyPr/>
                <a:lstStyle/>
                <a:p>
                  <a:pPr>
                    <a:defRPr sz="999"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dLbl>
            <c:dLbl>
              <c:idx val="4"/>
              <c:layout>
                <c:manualLayout>
                  <c:xMode val="edge"/>
                  <c:yMode val="edge"/>
                  <c:x val="0.92677824267783104"/>
                  <c:y val="0.75308641975308765"/>
                </c:manualLayout>
              </c:layout>
              <c:showLegendKey val="0"/>
              <c:showVal val="1"/>
              <c:showCatName val="0"/>
              <c:showSerName val="0"/>
              <c:showPercent val="0"/>
              <c:showBubbleSize val="0"/>
            </c:dLbl>
            <c:spPr>
              <a:noFill/>
              <a:ln w="25383">
                <a:noFill/>
              </a:ln>
            </c:spPr>
            <c:txPr>
              <a:bodyPr/>
              <a:lstStyle/>
              <a:p>
                <a:pPr>
                  <a:defRPr sz="899"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Sheet1!$B$1:$E$1</c:f>
              <c:strCache>
                <c:ptCount val="4"/>
                <c:pt idx="0">
                  <c:v>2009.</c:v>
                </c:pt>
                <c:pt idx="1">
                  <c:v>2010.</c:v>
                </c:pt>
                <c:pt idx="2">
                  <c:v>2011.</c:v>
                </c:pt>
                <c:pt idx="3">
                  <c:v>2012.</c:v>
                </c:pt>
              </c:strCache>
            </c:strRef>
          </c:cat>
          <c:val>
            <c:numRef>
              <c:f>Sheet1!$B$2:$E$2</c:f>
              <c:numCache>
                <c:formatCode>General</c:formatCode>
                <c:ptCount val="4"/>
                <c:pt idx="0">
                  <c:v>17775</c:v>
                </c:pt>
                <c:pt idx="1">
                  <c:v>17849</c:v>
                </c:pt>
                <c:pt idx="2">
                  <c:v>15987</c:v>
                </c:pt>
                <c:pt idx="3">
                  <c:v>15623</c:v>
                </c:pt>
              </c:numCache>
            </c:numRef>
          </c:val>
        </c:ser>
        <c:dLbls>
          <c:showLegendKey val="0"/>
          <c:showVal val="0"/>
          <c:showCatName val="0"/>
          <c:showSerName val="0"/>
          <c:showPercent val="0"/>
          <c:showBubbleSize val="0"/>
        </c:dLbls>
        <c:gapWidth val="150"/>
        <c:gapDepth val="0"/>
        <c:shape val="box"/>
        <c:axId val="42609664"/>
        <c:axId val="42652416"/>
        <c:axId val="0"/>
      </c:bar3DChart>
      <c:catAx>
        <c:axId val="4260966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899" b="1" i="0" u="none" strike="noStrike" baseline="0">
                <a:solidFill>
                  <a:srgbClr val="000000"/>
                </a:solidFill>
                <a:latin typeface="Arial"/>
                <a:ea typeface="Arial"/>
                <a:cs typeface="Arial"/>
              </a:defRPr>
            </a:pPr>
            <a:endParaRPr lang="lv-LV"/>
          </a:p>
        </c:txPr>
        <c:crossAx val="42652416"/>
        <c:crosses val="autoZero"/>
        <c:auto val="1"/>
        <c:lblAlgn val="ctr"/>
        <c:lblOffset val="100"/>
        <c:tickLblSkip val="1"/>
        <c:tickMarkSkip val="1"/>
        <c:noMultiLvlLbl val="0"/>
      </c:catAx>
      <c:valAx>
        <c:axId val="42652416"/>
        <c:scaling>
          <c:orientation val="minMax"/>
          <c:min val="0"/>
        </c:scaling>
        <c:delete val="0"/>
        <c:axPos val="l"/>
        <c:majorGridlines>
          <c:spPr>
            <a:ln w="12691">
              <a:solidFill>
                <a:srgbClr val="FFFFFF"/>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899" b="1" i="0" u="none" strike="noStrike" baseline="0">
                <a:solidFill>
                  <a:srgbClr val="000000"/>
                </a:solidFill>
                <a:latin typeface="Times New Roman"/>
                <a:ea typeface="Times New Roman"/>
                <a:cs typeface="Times New Roman"/>
              </a:defRPr>
            </a:pPr>
            <a:endParaRPr lang="lv-LV"/>
          </a:p>
        </c:txPr>
        <c:crossAx val="42609664"/>
        <c:crosses val="autoZero"/>
        <c:crossBetween val="between"/>
        <c:majorUnit val="4000"/>
      </c:valAx>
      <c:spPr>
        <a:noFill/>
        <a:ln w="12691">
          <a:solidFill>
            <a:srgbClr val="000000"/>
          </a:solidFill>
          <a:prstDash val="solid"/>
        </a:ln>
      </c:spPr>
    </c:plotArea>
    <c:plotVisOnly val="1"/>
    <c:dispBlanksAs val="gap"/>
    <c:showDLblsOverMax val="0"/>
  </c:chart>
  <c:spPr>
    <a:noFill/>
    <a:ln>
      <a:noFill/>
    </a:ln>
  </c:spPr>
  <c:txPr>
    <a:bodyPr/>
    <a:lstStyle/>
    <a:p>
      <a:pPr>
        <a:defRPr sz="1074" b="1" i="0" u="none" strike="noStrike" baseline="0">
          <a:solidFill>
            <a:srgbClr val="000000"/>
          </a:solidFill>
          <a:latin typeface="Arial"/>
          <a:ea typeface="Arial"/>
          <a:cs typeface="Arial"/>
        </a:defRPr>
      </a:pPr>
      <a:endParaRPr lang="lv-LV"/>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9.4650205761318107E-2"/>
          <c:y val="3.7878787878788012E-2"/>
          <c:w val="0.88477366255144063"/>
          <c:h val="0.57413376713327502"/>
        </c:manualLayout>
      </c:layout>
      <c:bar3DChart>
        <c:barDir val="col"/>
        <c:grouping val="clustered"/>
        <c:varyColors val="0"/>
        <c:ser>
          <c:idx val="0"/>
          <c:order val="0"/>
          <c:tx>
            <c:strRef>
              <c:f>Sheet1!$A$2</c:f>
              <c:strCache>
                <c:ptCount val="1"/>
              </c:strCache>
            </c:strRef>
          </c:tx>
          <c:spPr>
            <a:solidFill>
              <a:srgbClr val="FFCC00"/>
            </a:solidFill>
            <a:ln w="12691">
              <a:solidFill>
                <a:srgbClr val="000000"/>
              </a:solidFill>
              <a:prstDash val="solid"/>
            </a:ln>
          </c:spPr>
          <c:invertIfNegative val="0"/>
          <c:dLbls>
            <c:dLbl>
              <c:idx val="0"/>
              <c:layout>
                <c:manualLayout>
                  <c:x val="2.2888067902290091E-2"/>
                  <c:y val="-4.2567101334924334E-2"/>
                </c:manualLayout>
              </c:layout>
              <c:showLegendKey val="0"/>
              <c:showVal val="1"/>
              <c:showCatName val="0"/>
              <c:showSerName val="0"/>
              <c:showPercent val="0"/>
              <c:showBubbleSize val="0"/>
            </c:dLbl>
            <c:dLbl>
              <c:idx val="1"/>
              <c:layout>
                <c:manualLayout>
                  <c:x val="3.3265087815817648E-2"/>
                  <c:y val="-5.9184255837799182E-2"/>
                </c:manualLayout>
              </c:layout>
              <c:showLegendKey val="0"/>
              <c:showVal val="1"/>
              <c:showCatName val="0"/>
              <c:showSerName val="0"/>
              <c:showPercent val="0"/>
              <c:showBubbleSize val="0"/>
            </c:dLbl>
            <c:dLbl>
              <c:idx val="2"/>
              <c:layout>
                <c:manualLayout>
                  <c:x val="2.9239027073211819E-2"/>
                  <c:y val="-3.546346313424413E-2"/>
                </c:manualLayout>
              </c:layout>
              <c:showLegendKey val="0"/>
              <c:showVal val="1"/>
              <c:showCatName val="0"/>
              <c:showSerName val="0"/>
              <c:showPercent val="0"/>
              <c:showBubbleSize val="0"/>
            </c:dLbl>
            <c:dLbl>
              <c:idx val="3"/>
              <c:layout>
                <c:manualLayout>
                  <c:x val="3.4071961000895212E-2"/>
                  <c:y val="-5.6154061740356628E-2"/>
                </c:manualLayout>
              </c:layout>
              <c:spPr>
                <a:noFill/>
                <a:ln w="25381">
                  <a:noFill/>
                </a:ln>
              </c:spPr>
              <c:txPr>
                <a:bodyPr/>
                <a:lstStyle/>
                <a:p>
                  <a:pPr>
                    <a:defRPr sz="1024"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dLbl>
            <c:dLbl>
              <c:idx val="4"/>
              <c:layout>
                <c:manualLayout>
                  <c:xMode val="edge"/>
                  <c:yMode val="edge"/>
                  <c:x val="0.84362139917695478"/>
                  <c:y val="0.23484848484848758"/>
                </c:manualLayout>
              </c:layout>
              <c:showLegendKey val="0"/>
              <c:showVal val="1"/>
              <c:showCatName val="0"/>
              <c:showSerName val="0"/>
              <c:showPercent val="0"/>
              <c:showBubbleSize val="0"/>
            </c:dLbl>
            <c:spPr>
              <a:noFill/>
              <a:ln w="25381">
                <a:noFill/>
              </a:ln>
            </c:spPr>
            <c:txPr>
              <a:bodyPr/>
              <a:lstStyle/>
              <a:p>
                <a:pPr>
                  <a:defRPr sz="924"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Sheet1!$B$1:$E$1</c:f>
              <c:strCache>
                <c:ptCount val="4"/>
                <c:pt idx="0">
                  <c:v>2009.</c:v>
                </c:pt>
                <c:pt idx="1">
                  <c:v>2010.</c:v>
                </c:pt>
                <c:pt idx="2">
                  <c:v>2011.</c:v>
                </c:pt>
                <c:pt idx="3">
                  <c:v>2012.</c:v>
                </c:pt>
              </c:strCache>
            </c:strRef>
          </c:cat>
          <c:val>
            <c:numRef>
              <c:f>Sheet1!$B$2:$E$2</c:f>
              <c:numCache>
                <c:formatCode>General</c:formatCode>
                <c:ptCount val="4"/>
                <c:pt idx="0">
                  <c:v>8997</c:v>
                </c:pt>
                <c:pt idx="1">
                  <c:v>8086</c:v>
                </c:pt>
                <c:pt idx="2">
                  <c:v>8812</c:v>
                </c:pt>
                <c:pt idx="3">
                  <c:v>7987</c:v>
                </c:pt>
              </c:numCache>
            </c:numRef>
          </c:val>
        </c:ser>
        <c:dLbls>
          <c:showLegendKey val="0"/>
          <c:showVal val="0"/>
          <c:showCatName val="0"/>
          <c:showSerName val="0"/>
          <c:showPercent val="0"/>
          <c:showBubbleSize val="0"/>
        </c:dLbls>
        <c:gapWidth val="150"/>
        <c:gapDepth val="0"/>
        <c:shape val="box"/>
        <c:axId val="42804736"/>
        <c:axId val="42806272"/>
        <c:axId val="0"/>
      </c:bar3DChart>
      <c:catAx>
        <c:axId val="42804736"/>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924" b="1" i="0" u="none" strike="noStrike" baseline="0">
                <a:solidFill>
                  <a:srgbClr val="000000"/>
                </a:solidFill>
                <a:latin typeface="Arial"/>
                <a:ea typeface="Arial"/>
                <a:cs typeface="Arial"/>
              </a:defRPr>
            </a:pPr>
            <a:endParaRPr lang="lv-LV"/>
          </a:p>
        </c:txPr>
        <c:crossAx val="42806272"/>
        <c:crosses val="autoZero"/>
        <c:auto val="1"/>
        <c:lblAlgn val="ctr"/>
        <c:lblOffset val="100"/>
        <c:tickLblSkip val="1"/>
        <c:tickMarkSkip val="1"/>
        <c:noMultiLvlLbl val="0"/>
      </c:catAx>
      <c:valAx>
        <c:axId val="42806272"/>
        <c:scaling>
          <c:orientation val="minMax"/>
          <c:min val="0"/>
        </c:scaling>
        <c:delete val="0"/>
        <c:axPos val="l"/>
        <c:majorGridlines>
          <c:spPr>
            <a:ln w="12691">
              <a:solidFill>
                <a:srgbClr val="FFFFFF"/>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924" b="1" i="0" u="none" strike="noStrike" baseline="0">
                <a:solidFill>
                  <a:srgbClr val="000000"/>
                </a:solidFill>
                <a:latin typeface="Times New Roman"/>
                <a:ea typeface="Times New Roman"/>
                <a:cs typeface="Times New Roman"/>
              </a:defRPr>
            </a:pPr>
            <a:endParaRPr lang="lv-LV"/>
          </a:p>
        </c:txPr>
        <c:crossAx val="42804736"/>
        <c:crosses val="autoZero"/>
        <c:crossBetween val="between"/>
        <c:majorUnit val="4000"/>
      </c:valAx>
      <c:spPr>
        <a:noFill/>
        <a:ln w="12691">
          <a:solidFill>
            <a:srgbClr val="000000"/>
          </a:solidFill>
          <a:prstDash val="solid"/>
        </a:ln>
      </c:spPr>
    </c:plotArea>
    <c:plotVisOnly val="1"/>
    <c:dispBlanksAs val="gap"/>
    <c:showDLblsOverMax val="0"/>
  </c:chart>
  <c:spPr>
    <a:noFill/>
    <a:ln>
      <a:noFill/>
    </a:ln>
  </c:spPr>
  <c:txPr>
    <a:bodyPr/>
    <a:lstStyle/>
    <a:p>
      <a:pPr>
        <a:defRPr sz="1149" b="1" i="0" u="none" strike="noStrike" baseline="0">
          <a:solidFill>
            <a:srgbClr val="000000"/>
          </a:solidFill>
          <a:latin typeface="Arial"/>
          <a:ea typeface="Arial"/>
          <a:cs typeface="Arial"/>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077090694423983E-2"/>
          <c:y val="2.8006088280060883E-2"/>
          <c:w val="0.90207436936198759"/>
          <c:h val="0.88035751037728216"/>
        </c:manualLayout>
      </c:layout>
      <c:barChart>
        <c:barDir val="col"/>
        <c:grouping val="clustered"/>
        <c:varyColors val="0"/>
        <c:ser>
          <c:idx val="1"/>
          <c:order val="0"/>
          <c:tx>
            <c:strRef>
              <c:f>Sheet1!$A$3</c:f>
              <c:strCache>
                <c:ptCount val="1"/>
                <c:pt idx="0">
                  <c:v>12-mēnešu inflācija</c:v>
                </c:pt>
              </c:strCache>
            </c:strRef>
          </c:tx>
          <c:spPr>
            <a:solidFill>
              <a:srgbClr val="EEECE1">
                <a:lumMod val="50000"/>
              </a:srgbClr>
            </a:solidFill>
            <a:ln w="25361">
              <a:noFill/>
              <a:prstDash val="solid"/>
            </a:ln>
          </c:spPr>
          <c:invertIfNegative val="0"/>
          <c:cat>
            <c:multiLvlStrRef>
              <c:f>Sheet1!$B$1:$CG$2</c:f>
              <c:multiLvlStrCache>
                <c:ptCount val="6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lvl>
                <c:lvl>
                  <c:pt idx="0">
                    <c:v>2008</c:v>
                  </c:pt>
                  <c:pt idx="12">
                    <c:v>2009</c:v>
                  </c:pt>
                  <c:pt idx="24">
                    <c:v>2010</c:v>
                  </c:pt>
                  <c:pt idx="36">
                    <c:v>2011</c:v>
                  </c:pt>
                  <c:pt idx="48">
                    <c:v>2012</c:v>
                  </c:pt>
                </c:lvl>
              </c:multiLvlStrCache>
            </c:multiLvlStrRef>
          </c:cat>
          <c:val>
            <c:numRef>
              <c:f>Sheet1!$B$3:$CG$3</c:f>
              <c:numCache>
                <c:formatCode>0.0</c:formatCode>
                <c:ptCount val="60"/>
                <c:pt idx="0">
                  <c:v>15.754537108961257</c:v>
                </c:pt>
                <c:pt idx="1">
                  <c:v>16.671350288042731</c:v>
                </c:pt>
                <c:pt idx="2">
                  <c:v>16.760202314141178</c:v>
                </c:pt>
                <c:pt idx="3">
                  <c:v>17.503261690585727</c:v>
                </c:pt>
                <c:pt idx="4">
                  <c:v>17.905659089357613</c:v>
                </c:pt>
                <c:pt idx="5">
                  <c:v>17.69881556683589</c:v>
                </c:pt>
                <c:pt idx="6">
                  <c:v>16.667781419303054</c:v>
                </c:pt>
                <c:pt idx="7">
                  <c:v>15.741419526824401</c:v>
                </c:pt>
                <c:pt idx="8">
                  <c:v>14.879277628737825</c:v>
                </c:pt>
                <c:pt idx="9">
                  <c:v>13.782502882028961</c:v>
                </c:pt>
                <c:pt idx="10">
                  <c:v>11.797398004294546</c:v>
                </c:pt>
                <c:pt idx="11">
                  <c:v>10.534571464424641</c:v>
                </c:pt>
                <c:pt idx="12">
                  <c:v>9.8340653977549977</c:v>
                </c:pt>
                <c:pt idx="13">
                  <c:v>9.5802974649244437</c:v>
                </c:pt>
                <c:pt idx="14">
                  <c:v>8.2423451222406889</c:v>
                </c:pt>
                <c:pt idx="15">
                  <c:v>6.1886395511921535</c:v>
                </c:pt>
                <c:pt idx="16">
                  <c:v>4.6665122742010245</c:v>
                </c:pt>
                <c:pt idx="17">
                  <c:v>3.3870040253019056</c:v>
                </c:pt>
                <c:pt idx="18">
                  <c:v>2.4537063578512885</c:v>
                </c:pt>
                <c:pt idx="19">
                  <c:v>1.8425749985604796</c:v>
                </c:pt>
                <c:pt idx="20">
                  <c:v>0.51261605057810367</c:v>
                </c:pt>
                <c:pt idx="21">
                  <c:v>-0.86119554204661664</c:v>
                </c:pt>
                <c:pt idx="22">
                  <c:v>-1.1693593944187071</c:v>
                </c:pt>
                <c:pt idx="23">
                  <c:v>-1.1693250837259512</c:v>
                </c:pt>
                <c:pt idx="24">
                  <c:v>-3.1215285492112792</c:v>
                </c:pt>
                <c:pt idx="25">
                  <c:v>-4.1762831080338643</c:v>
                </c:pt>
                <c:pt idx="26">
                  <c:v>-3.9416698645907617</c:v>
                </c:pt>
                <c:pt idx="27">
                  <c:v>-2.7296241263551781</c:v>
                </c:pt>
                <c:pt idx="28">
                  <c:v>-2.3066710919349589</c:v>
                </c:pt>
                <c:pt idx="29">
                  <c:v>-1.3738250180766438</c:v>
                </c:pt>
                <c:pt idx="30">
                  <c:v>-0.58194840803535897</c:v>
                </c:pt>
                <c:pt idx="31">
                  <c:v>-0.25442415333294888</c:v>
                </c:pt>
                <c:pt idx="32">
                  <c:v>0.41933473111576847</c:v>
                </c:pt>
                <c:pt idx="33">
                  <c:v>0.99358428433542656</c:v>
                </c:pt>
                <c:pt idx="34">
                  <c:v>1.9091168905401616</c:v>
                </c:pt>
                <c:pt idx="35">
                  <c:v>2.5443685026707215</c:v>
                </c:pt>
                <c:pt idx="36">
                  <c:v>3.6807705538355755</c:v>
                </c:pt>
                <c:pt idx="37">
                  <c:v>3.9912834040600957</c:v>
                </c:pt>
                <c:pt idx="38">
                  <c:v>4.228969295742508</c:v>
                </c:pt>
                <c:pt idx="39">
                  <c:v>4.5091937765205063</c:v>
                </c:pt>
                <c:pt idx="40">
                  <c:v>4.9657437291206694</c:v>
                </c:pt>
                <c:pt idx="41">
                  <c:v>4.8105120685765757</c:v>
                </c:pt>
                <c:pt idx="42">
                  <c:v>4.3169921765069921</c:v>
                </c:pt>
                <c:pt idx="43">
                  <c:v>4.6876771341117802</c:v>
                </c:pt>
                <c:pt idx="44">
                  <c:v>4.615992325489529</c:v>
                </c:pt>
                <c:pt idx="45">
                  <c:v>4.435574544636836</c:v>
                </c:pt>
                <c:pt idx="46">
                  <c:v>4.1561500925458565</c:v>
                </c:pt>
                <c:pt idx="47">
                  <c:v>4.0271087711437108</c:v>
                </c:pt>
                <c:pt idx="48">
                  <c:v>3.5666887856668827</c:v>
                </c:pt>
                <c:pt idx="49">
                  <c:v>3.4245064519686821</c:v>
                </c:pt>
                <c:pt idx="50" formatCode="General">
                  <c:v>3.2908065487597895</c:v>
                </c:pt>
                <c:pt idx="51" formatCode="General">
                  <c:v>2.7555218709397882</c:v>
                </c:pt>
                <c:pt idx="52" formatCode="General">
                  <c:v>2.2278562951774776</c:v>
                </c:pt>
                <c:pt idx="53" formatCode="General">
                  <c:v>1.9047619047618993</c:v>
                </c:pt>
                <c:pt idx="54" formatCode="General">
                  <c:v>1.6779971943455365</c:v>
                </c:pt>
                <c:pt idx="55" formatCode="General">
                  <c:v>1.7380475391196213</c:v>
                </c:pt>
                <c:pt idx="56" formatCode="General">
                  <c:v>1.8231835589837728</c:v>
                </c:pt>
                <c:pt idx="57" formatCode="General">
                  <c:v>1.6041341443720825</c:v>
                </c:pt>
                <c:pt idx="58" formatCode="General">
                  <c:v>1.5670436187398864</c:v>
                </c:pt>
                <c:pt idx="59" formatCode="General">
                  <c:v>1.5506380229365122</c:v>
                </c:pt>
              </c:numCache>
            </c:numRef>
          </c:val>
        </c:ser>
        <c:dLbls>
          <c:showLegendKey val="0"/>
          <c:showVal val="0"/>
          <c:showCatName val="0"/>
          <c:showSerName val="0"/>
          <c:showPercent val="0"/>
          <c:showBubbleSize val="0"/>
        </c:dLbls>
        <c:gapWidth val="0"/>
        <c:axId val="141891456"/>
        <c:axId val="144795520"/>
      </c:barChart>
      <c:lineChart>
        <c:grouping val="standard"/>
        <c:varyColors val="0"/>
        <c:ser>
          <c:idx val="0"/>
          <c:order val="1"/>
          <c:tx>
            <c:strRef>
              <c:f>Sheet1!$A$4</c:f>
              <c:strCache>
                <c:ptCount val="1"/>
                <c:pt idx="0">
                  <c:v>Gada vidējā inflācija</c:v>
                </c:pt>
              </c:strCache>
            </c:strRef>
          </c:tx>
          <c:spPr>
            <a:ln w="25367">
              <a:solidFill>
                <a:srgbClr val="002060"/>
              </a:solidFill>
            </a:ln>
          </c:spPr>
          <c:marker>
            <c:symbol val="none"/>
          </c:marker>
          <c:cat>
            <c:multiLvlStrRef>
              <c:f>Sheet1!$B$1:$CG$2</c:f>
              <c:multiLvlStrCache>
                <c:ptCount val="60"/>
                <c:lvl>
                  <c:pt idx="0">
                    <c:v>I</c:v>
                  </c:pt>
                  <c:pt idx="1">
                    <c:v>II</c:v>
                  </c:pt>
                  <c:pt idx="2">
                    <c:v>III</c:v>
                  </c:pt>
                  <c:pt idx="3">
                    <c:v>IV</c:v>
                  </c:pt>
                  <c:pt idx="4">
                    <c:v>V</c:v>
                  </c:pt>
                  <c:pt idx="5">
                    <c:v>VI</c:v>
                  </c:pt>
                  <c:pt idx="6">
                    <c:v>VII</c:v>
                  </c:pt>
                  <c:pt idx="7">
                    <c:v>VIII</c:v>
                  </c:pt>
                  <c:pt idx="8">
                    <c:v>IX</c:v>
                  </c:pt>
                  <c:pt idx="9">
                    <c:v>X</c:v>
                  </c:pt>
                  <c:pt idx="10">
                    <c:v>XI</c:v>
                  </c:pt>
                  <c:pt idx="11">
                    <c:v>XII</c:v>
                  </c:pt>
                  <c:pt idx="12">
                    <c:v>I</c:v>
                  </c:pt>
                  <c:pt idx="13">
                    <c:v>II</c:v>
                  </c:pt>
                  <c:pt idx="14">
                    <c:v>III</c:v>
                  </c:pt>
                  <c:pt idx="15">
                    <c:v>IV</c:v>
                  </c:pt>
                  <c:pt idx="16">
                    <c:v>V</c:v>
                  </c:pt>
                  <c:pt idx="17">
                    <c:v>VI</c:v>
                  </c:pt>
                  <c:pt idx="18">
                    <c:v>VII</c:v>
                  </c:pt>
                  <c:pt idx="19">
                    <c:v>VIII</c:v>
                  </c:pt>
                  <c:pt idx="20">
                    <c:v>IX</c:v>
                  </c:pt>
                  <c:pt idx="21">
                    <c:v>X</c:v>
                  </c:pt>
                  <c:pt idx="22">
                    <c:v>XI</c:v>
                  </c:pt>
                  <c:pt idx="23">
                    <c:v>XII</c:v>
                  </c:pt>
                  <c:pt idx="24">
                    <c:v>I</c:v>
                  </c:pt>
                  <c:pt idx="25">
                    <c:v>II</c:v>
                  </c:pt>
                  <c:pt idx="26">
                    <c:v>III</c:v>
                  </c:pt>
                  <c:pt idx="27">
                    <c:v>IV</c:v>
                  </c:pt>
                  <c:pt idx="28">
                    <c:v>V</c:v>
                  </c:pt>
                  <c:pt idx="29">
                    <c:v>VI</c:v>
                  </c:pt>
                  <c:pt idx="30">
                    <c:v>VII</c:v>
                  </c:pt>
                  <c:pt idx="31">
                    <c:v>VIII</c:v>
                  </c:pt>
                  <c:pt idx="32">
                    <c:v>IX</c:v>
                  </c:pt>
                  <c:pt idx="33">
                    <c:v>X</c:v>
                  </c:pt>
                  <c:pt idx="34">
                    <c:v>XI</c:v>
                  </c:pt>
                  <c:pt idx="35">
                    <c:v>XII</c:v>
                  </c:pt>
                  <c:pt idx="36">
                    <c:v>I</c:v>
                  </c:pt>
                  <c:pt idx="37">
                    <c:v>II</c:v>
                  </c:pt>
                  <c:pt idx="38">
                    <c:v>III</c:v>
                  </c:pt>
                  <c:pt idx="39">
                    <c:v>IV</c:v>
                  </c:pt>
                  <c:pt idx="40">
                    <c:v>V</c:v>
                  </c:pt>
                  <c:pt idx="41">
                    <c:v>VI</c:v>
                  </c:pt>
                  <c:pt idx="42">
                    <c:v>VII</c:v>
                  </c:pt>
                  <c:pt idx="43">
                    <c:v>VIII</c:v>
                  </c:pt>
                  <c:pt idx="44">
                    <c:v>IX</c:v>
                  </c:pt>
                  <c:pt idx="45">
                    <c:v>X</c:v>
                  </c:pt>
                  <c:pt idx="46">
                    <c:v>XI</c:v>
                  </c:pt>
                  <c:pt idx="47">
                    <c:v>XII</c:v>
                  </c:pt>
                  <c:pt idx="48">
                    <c:v>I</c:v>
                  </c:pt>
                  <c:pt idx="49">
                    <c:v>II</c:v>
                  </c:pt>
                  <c:pt idx="50">
                    <c:v>III</c:v>
                  </c:pt>
                  <c:pt idx="51">
                    <c:v>IV</c:v>
                  </c:pt>
                  <c:pt idx="52">
                    <c:v>V</c:v>
                  </c:pt>
                  <c:pt idx="53">
                    <c:v>VI</c:v>
                  </c:pt>
                  <c:pt idx="54">
                    <c:v>VII</c:v>
                  </c:pt>
                  <c:pt idx="55">
                    <c:v>VIII</c:v>
                  </c:pt>
                  <c:pt idx="56">
                    <c:v>IX</c:v>
                  </c:pt>
                  <c:pt idx="57">
                    <c:v>X</c:v>
                  </c:pt>
                  <c:pt idx="58">
                    <c:v>XI</c:v>
                  </c:pt>
                  <c:pt idx="59">
                    <c:v>XII</c:v>
                  </c:pt>
                </c:lvl>
                <c:lvl>
                  <c:pt idx="0">
                    <c:v>2008</c:v>
                  </c:pt>
                  <c:pt idx="12">
                    <c:v>2009</c:v>
                  </c:pt>
                  <c:pt idx="24">
                    <c:v>2010</c:v>
                  </c:pt>
                  <c:pt idx="36">
                    <c:v>2011</c:v>
                  </c:pt>
                  <c:pt idx="48">
                    <c:v>2012</c:v>
                  </c:pt>
                </c:lvl>
              </c:multiLvlStrCache>
            </c:multiLvlStrRef>
          </c:cat>
          <c:val>
            <c:numRef>
              <c:f>Sheet1!$B$4:$CG$4</c:f>
              <c:numCache>
                <c:formatCode>General</c:formatCode>
                <c:ptCount val="60"/>
                <c:pt idx="0">
                  <c:v>10.821626171987003</c:v>
                </c:pt>
                <c:pt idx="1">
                  <c:v>11.61081395771933</c:v>
                </c:pt>
                <c:pt idx="2">
                  <c:v>12.30545918859017</c:v>
                </c:pt>
                <c:pt idx="3">
                  <c:v>13.034637833700122</c:v>
                </c:pt>
                <c:pt idx="4">
                  <c:v>13.850239422060104</c:v>
                </c:pt>
                <c:pt idx="5">
                  <c:v>14.59027708135466</c:v>
                </c:pt>
                <c:pt idx="6">
                  <c:v>15.182455257041509</c:v>
                </c:pt>
                <c:pt idx="7">
                  <c:v>15.633094444379921</c:v>
                </c:pt>
                <c:pt idx="8">
                  <c:v>15.902341321914498</c:v>
                </c:pt>
                <c:pt idx="9">
                  <c:v>15.92659254533857</c:v>
                </c:pt>
                <c:pt idx="10">
                  <c:v>15.73348358923792</c:v>
                </c:pt>
                <c:pt idx="11">
                  <c:v>15.401805617476597</c:v>
                </c:pt>
                <c:pt idx="12">
                  <c:v>14.871938834486524</c:v>
                </c:pt>
                <c:pt idx="13">
                  <c:v>14.255286779248454</c:v>
                </c:pt>
                <c:pt idx="14">
                  <c:v>13.517963349297162</c:v>
                </c:pt>
                <c:pt idx="15">
                  <c:v>12.547351490910625</c:v>
                </c:pt>
                <c:pt idx="16">
                  <c:v>11.427453231403444</c:v>
                </c:pt>
                <c:pt idx="17">
                  <c:v>10.230630630630628</c:v>
                </c:pt>
                <c:pt idx="18">
                  <c:v>9.0519563692551799</c:v>
                </c:pt>
                <c:pt idx="19">
                  <c:v>7.9189770170363261</c:v>
                </c:pt>
                <c:pt idx="20">
                  <c:v>6.7450267655851288</c:v>
                </c:pt>
                <c:pt idx="21">
                  <c:v>5.5411978578096637</c:v>
                </c:pt>
                <c:pt idx="22">
                  <c:v>4.4805694310558124</c:v>
                </c:pt>
                <c:pt idx="23">
                  <c:v>3.5339511389483249</c:v>
                </c:pt>
                <c:pt idx="24">
                  <c:v>2.4649119024002202</c:v>
                </c:pt>
                <c:pt idx="25">
                  <c:v>1.3282290279627205</c:v>
                </c:pt>
                <c:pt idx="26">
                  <c:v>0.32361847979629543</c:v>
                </c:pt>
                <c:pt idx="27">
                  <c:v>-0.40897296077619688</c:v>
                </c:pt>
                <c:pt idx="28">
                  <c:v>-0.98017177592328153</c:v>
                </c:pt>
                <c:pt idx="29">
                  <c:v>-1.3679053628054874</c:v>
                </c:pt>
                <c:pt idx="30">
                  <c:v>-1.6131362706302919</c:v>
                </c:pt>
                <c:pt idx="31">
                  <c:v>-1.7806032456683312</c:v>
                </c:pt>
                <c:pt idx="32">
                  <c:v>-1.7873009522657526</c:v>
                </c:pt>
                <c:pt idx="33">
                  <c:v>-1.6358794830732535</c:v>
                </c:pt>
                <c:pt idx="34">
                  <c:v>-1.3853616711944436</c:v>
                </c:pt>
                <c:pt idx="35">
                  <c:v>-1.0839805032766641</c:v>
                </c:pt>
                <c:pt idx="36">
                  <c:v>-0.52377322489979861</c:v>
                </c:pt>
                <c:pt idx="37">
                  <c:v>0.15769243404841432</c:v>
                </c:pt>
                <c:pt idx="38">
                  <c:v>0.84575755577948564</c:v>
                </c:pt>
                <c:pt idx="39">
                  <c:v>1.4580520914952628</c:v>
                </c:pt>
                <c:pt idx="40">
                  <c:v>2.0729186865366667</c:v>
                </c:pt>
                <c:pt idx="41">
                  <c:v>2.5961911796736667</c:v>
                </c:pt>
                <c:pt idx="42">
                  <c:v>3.0100904827324801</c:v>
                </c:pt>
                <c:pt idx="43">
                  <c:v>3.4239143310668396</c:v>
                </c:pt>
                <c:pt idx="44">
                  <c:v>3.7751220875430542</c:v>
                </c:pt>
                <c:pt idx="45">
                  <c:v>4.0625857809497541</c:v>
                </c:pt>
                <c:pt idx="46">
                  <c:v>4.2484926380251977</c:v>
                </c:pt>
                <c:pt idx="47">
                  <c:v>4.3697629567456318</c:v>
                </c:pt>
                <c:pt idx="48">
                  <c:v>4.3579847023924057</c:v>
                </c:pt>
                <c:pt idx="49">
                  <c:v>4.3086280334943803</c:v>
                </c:pt>
                <c:pt idx="50">
                  <c:v>4.2283446182582285</c:v>
                </c:pt>
                <c:pt idx="51">
                  <c:v>4.078679860616802</c:v>
                </c:pt>
                <c:pt idx="52">
                  <c:v>3.8471161687300848</c:v>
                </c:pt>
                <c:pt idx="53">
                  <c:v>3.6016743816833241</c:v>
                </c:pt>
                <c:pt idx="54">
                  <c:v>3.3792608671657973</c:v>
                </c:pt>
                <c:pt idx="55">
                  <c:v>3.134635384453258</c:v>
                </c:pt>
                <c:pt idx="56">
                  <c:v>2.9038427305798216</c:v>
                </c:pt>
                <c:pt idx="57">
                  <c:v>2.6701170649178207</c:v>
                </c:pt>
                <c:pt idx="58">
                  <c:v>2.4571773056717632</c:v>
                </c:pt>
                <c:pt idx="59">
                  <c:v>2.2544705382717893</c:v>
                </c:pt>
              </c:numCache>
            </c:numRef>
          </c:val>
          <c:smooth val="0"/>
        </c:ser>
        <c:dLbls>
          <c:showLegendKey val="0"/>
          <c:showVal val="0"/>
          <c:showCatName val="0"/>
          <c:showSerName val="0"/>
          <c:showPercent val="0"/>
          <c:showBubbleSize val="0"/>
        </c:dLbls>
        <c:marker val="1"/>
        <c:smooth val="0"/>
        <c:axId val="141891456"/>
        <c:axId val="144795520"/>
      </c:lineChart>
      <c:catAx>
        <c:axId val="141891456"/>
        <c:scaling>
          <c:orientation val="minMax"/>
        </c:scaling>
        <c:delete val="0"/>
        <c:axPos val="b"/>
        <c:numFmt formatCode="#,##0" sourceLinked="0"/>
        <c:majorTickMark val="out"/>
        <c:minorTickMark val="none"/>
        <c:tickLblPos val="low"/>
        <c:spPr>
          <a:ln w="3170">
            <a:solidFill>
              <a:sysClr val="window" lastClr="FFFFFF">
                <a:lumMod val="50000"/>
              </a:sysClr>
            </a:solidFill>
            <a:prstDash val="solid"/>
          </a:ln>
        </c:spPr>
        <c:txPr>
          <a:bodyPr rot="0" vert="horz"/>
          <a:lstStyle/>
          <a:p>
            <a:pPr>
              <a:defRPr sz="599">
                <a:latin typeface="Arial Narrow" pitchFamily="34" charset="0"/>
              </a:defRPr>
            </a:pPr>
            <a:endParaRPr lang="lv-LV"/>
          </a:p>
        </c:txPr>
        <c:crossAx val="144795520"/>
        <c:crosses val="autoZero"/>
        <c:auto val="1"/>
        <c:lblAlgn val="ctr"/>
        <c:lblOffset val="0"/>
        <c:tickLblSkip val="3"/>
        <c:tickMarkSkip val="1"/>
        <c:noMultiLvlLbl val="1"/>
      </c:catAx>
      <c:valAx>
        <c:axId val="144795520"/>
        <c:scaling>
          <c:orientation val="minMax"/>
          <c:min val="-5"/>
        </c:scaling>
        <c:delete val="0"/>
        <c:axPos val="l"/>
        <c:numFmt formatCode="0" sourceLinked="0"/>
        <c:majorTickMark val="out"/>
        <c:minorTickMark val="none"/>
        <c:tickLblPos val="nextTo"/>
        <c:spPr>
          <a:ln w="3170">
            <a:solidFill>
              <a:sysClr val="window" lastClr="FFFFFF">
                <a:lumMod val="50000"/>
              </a:sysClr>
            </a:solidFill>
          </a:ln>
        </c:spPr>
        <c:txPr>
          <a:bodyPr rot="0" vert="horz"/>
          <a:lstStyle/>
          <a:p>
            <a:pPr>
              <a:defRPr sz="799">
                <a:latin typeface="Arial Narrow" pitchFamily="34" charset="0"/>
              </a:defRPr>
            </a:pPr>
            <a:endParaRPr lang="lv-LV"/>
          </a:p>
        </c:txPr>
        <c:crossAx val="141891456"/>
        <c:crosses val="autoZero"/>
        <c:crossBetween val="between"/>
      </c:valAx>
      <c:spPr>
        <a:noFill/>
        <a:ln w="25367">
          <a:noFill/>
        </a:ln>
      </c:spPr>
    </c:plotArea>
    <c:legend>
      <c:legendPos val="r"/>
      <c:layout>
        <c:manualLayout>
          <c:xMode val="edge"/>
          <c:yMode val="edge"/>
          <c:x val="0.35601766502736704"/>
          <c:y val="7.1089735404696028E-2"/>
          <c:w val="0.58251269785815929"/>
          <c:h val="0.2119537490246152"/>
        </c:manualLayout>
      </c:layout>
      <c:overlay val="0"/>
      <c:txPr>
        <a:bodyPr/>
        <a:lstStyle/>
        <a:p>
          <a:pPr>
            <a:defRPr sz="899">
              <a:latin typeface="Arial" pitchFamily="34" charset="0"/>
              <a:cs typeface="Arial" pitchFamily="34" charset="0"/>
            </a:defRPr>
          </a:pPr>
          <a:endParaRPr lang="lv-LV"/>
        </a:p>
      </c:txPr>
    </c:legend>
    <c:plotVisOnly val="1"/>
    <c:dispBlanksAs val="gap"/>
    <c:showDLblsOverMax val="0"/>
  </c:chart>
  <c:spPr>
    <a:noFill/>
    <a:ln>
      <a:noFill/>
    </a:ln>
  </c:spPr>
  <c:txPr>
    <a:bodyPr/>
    <a:lstStyle/>
    <a:p>
      <a:pPr>
        <a:defRPr sz="899" b="0" i="0" u="none" strike="noStrike" baseline="0">
          <a:solidFill>
            <a:srgbClr val="000000"/>
          </a:solidFill>
          <a:latin typeface="Garamond" pitchFamily="18" charset="0"/>
          <a:ea typeface="Arial"/>
          <a:cs typeface="Arial"/>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6582303708494703E-2"/>
          <c:y val="3.5499672199166082E-2"/>
          <c:w val="0.81337014438734756"/>
          <c:h val="0.61211735249751564"/>
        </c:manualLayout>
      </c:layout>
      <c:barChart>
        <c:barDir val="col"/>
        <c:grouping val="stacked"/>
        <c:varyColors val="0"/>
        <c:ser>
          <c:idx val="0"/>
          <c:order val="0"/>
          <c:tx>
            <c:strRef>
              <c:f>'Prezentacijam pa grupam (LV)'!$A$56</c:f>
              <c:strCache>
                <c:ptCount val="1"/>
                <c:pt idx="0">
                  <c:v>Lauksaimniecības preces un pārtika</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(LV)'!$J$56:$X$56</c:f>
              <c:numCache>
                <c:formatCode>0.0</c:formatCode>
                <c:ptCount val="15"/>
                <c:pt idx="0">
                  <c:v>-18934</c:v>
                </c:pt>
                <c:pt idx="1">
                  <c:v>-7265</c:v>
                </c:pt>
                <c:pt idx="2">
                  <c:v>-25578</c:v>
                </c:pt>
                <c:pt idx="3">
                  <c:v>-27915</c:v>
                </c:pt>
                <c:pt idx="4">
                  <c:v>26002</c:v>
                </c:pt>
                <c:pt idx="5">
                  <c:v>22244</c:v>
                </c:pt>
                <c:pt idx="6">
                  <c:v>65995</c:v>
                </c:pt>
                <c:pt idx="7">
                  <c:v>55184</c:v>
                </c:pt>
                <c:pt idx="8">
                  <c:v>34583</c:v>
                </c:pt>
                <c:pt idx="9">
                  <c:v>31514</c:v>
                </c:pt>
                <c:pt idx="10">
                  <c:v>34386.69</c:v>
                </c:pt>
                <c:pt idx="11">
                  <c:v>42637.880000000012</c:v>
                </c:pt>
                <c:pt idx="12">
                  <c:v>48446.13</c:v>
                </c:pt>
                <c:pt idx="13">
                  <c:v>55275</c:v>
                </c:pt>
                <c:pt idx="14">
                  <c:v>104299.10000000009</c:v>
                </c:pt>
              </c:numCache>
            </c:numRef>
          </c:val>
        </c:ser>
        <c:ser>
          <c:idx val="1"/>
          <c:order val="1"/>
          <c:tx>
            <c:strRef>
              <c:f>'Prezentacijam pa grupam (LV)'!$A$57</c:f>
              <c:strCache>
                <c:ptCount val="1"/>
                <c:pt idx="0">
                  <c:v>Minerālprodukti</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(LV)'!$J$57:$X$57</c:f>
              <c:numCache>
                <c:formatCode>0.0</c:formatCode>
                <c:ptCount val="15"/>
                <c:pt idx="0">
                  <c:v>-2367</c:v>
                </c:pt>
                <c:pt idx="1">
                  <c:v>10979</c:v>
                </c:pt>
                <c:pt idx="2">
                  <c:v>-1162</c:v>
                </c:pt>
                <c:pt idx="3">
                  <c:v>22412</c:v>
                </c:pt>
                <c:pt idx="4">
                  <c:v>27701</c:v>
                </c:pt>
                <c:pt idx="5">
                  <c:v>23725</c:v>
                </c:pt>
                <c:pt idx="6">
                  <c:v>30951</c:v>
                </c:pt>
                <c:pt idx="7">
                  <c:v>14231</c:v>
                </c:pt>
                <c:pt idx="8">
                  <c:v>34933</c:v>
                </c:pt>
                <c:pt idx="9">
                  <c:v>74243</c:v>
                </c:pt>
                <c:pt idx="10">
                  <c:v>74834.28</c:v>
                </c:pt>
                <c:pt idx="11">
                  <c:v>81524.590000000011</c:v>
                </c:pt>
                <c:pt idx="12">
                  <c:v>40350.28</c:v>
                </c:pt>
                <c:pt idx="13">
                  <c:v>-2778.0899999999947</c:v>
                </c:pt>
                <c:pt idx="14">
                  <c:v>29093.129999999896</c:v>
                </c:pt>
              </c:numCache>
            </c:numRef>
          </c:val>
        </c:ser>
        <c:ser>
          <c:idx val="2"/>
          <c:order val="2"/>
          <c:tx>
            <c:strRef>
              <c:f>'Prezentacijam pa grupam (LV)'!$A$58</c:f>
              <c:strCache>
                <c:ptCount val="1"/>
                <c:pt idx="0">
                  <c:v>Ķīmiskās rūpniecības ražojumi</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(LV)'!$J$58:$X$58</c:f>
              <c:numCache>
                <c:formatCode>0.0</c:formatCode>
                <c:ptCount val="15"/>
                <c:pt idx="0">
                  <c:v>-12992</c:v>
                </c:pt>
                <c:pt idx="1">
                  <c:v>-3061</c:v>
                </c:pt>
                <c:pt idx="2">
                  <c:v>-36016</c:v>
                </c:pt>
                <c:pt idx="3">
                  <c:v>-12364</c:v>
                </c:pt>
                <c:pt idx="4">
                  <c:v>-2275</c:v>
                </c:pt>
                <c:pt idx="5">
                  <c:v>9911</c:v>
                </c:pt>
                <c:pt idx="6">
                  <c:v>23019</c:v>
                </c:pt>
                <c:pt idx="7">
                  <c:v>10872</c:v>
                </c:pt>
                <c:pt idx="8">
                  <c:v>20755</c:v>
                </c:pt>
                <c:pt idx="9">
                  <c:v>27800</c:v>
                </c:pt>
                <c:pt idx="10">
                  <c:v>28719.449999999972</c:v>
                </c:pt>
                <c:pt idx="11">
                  <c:v>17756.300000000017</c:v>
                </c:pt>
                <c:pt idx="12">
                  <c:v>2849.1499999999937</c:v>
                </c:pt>
                <c:pt idx="13">
                  <c:v>-11212.649999999991</c:v>
                </c:pt>
                <c:pt idx="14">
                  <c:v>-3640.3699999999949</c:v>
                </c:pt>
              </c:numCache>
            </c:numRef>
          </c:val>
        </c:ser>
        <c:ser>
          <c:idx val="3"/>
          <c:order val="3"/>
          <c:tx>
            <c:strRef>
              <c:f>'Prezentacijam pa grupam (LV)'!$A$59</c:f>
              <c:strCache>
                <c:ptCount val="1"/>
                <c:pt idx="0">
                  <c:v>Koksne un koksnes izstrādājumi</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(LV)'!$J$59:$X$59</c:f>
              <c:numCache>
                <c:formatCode>0.0</c:formatCode>
                <c:ptCount val="15"/>
                <c:pt idx="0">
                  <c:v>-84631</c:v>
                </c:pt>
                <c:pt idx="1">
                  <c:v>-59254</c:v>
                </c:pt>
                <c:pt idx="2">
                  <c:v>-22066</c:v>
                </c:pt>
                <c:pt idx="3">
                  <c:v>26359</c:v>
                </c:pt>
                <c:pt idx="4">
                  <c:v>53008</c:v>
                </c:pt>
                <c:pt idx="5">
                  <c:v>94147</c:v>
                </c:pt>
                <c:pt idx="6">
                  <c:v>92288</c:v>
                </c:pt>
                <c:pt idx="7">
                  <c:v>55436</c:v>
                </c:pt>
                <c:pt idx="8">
                  <c:v>54832</c:v>
                </c:pt>
                <c:pt idx="9">
                  <c:v>39152</c:v>
                </c:pt>
                <c:pt idx="10">
                  <c:v>7290.1200000000044</c:v>
                </c:pt>
                <c:pt idx="11">
                  <c:v>18463.760000000009</c:v>
                </c:pt>
                <c:pt idx="12">
                  <c:v>21042.309999999896</c:v>
                </c:pt>
                <c:pt idx="13">
                  <c:v>984.25</c:v>
                </c:pt>
                <c:pt idx="14">
                  <c:v>4742.67</c:v>
                </c:pt>
              </c:numCache>
            </c:numRef>
          </c:val>
        </c:ser>
        <c:ser>
          <c:idx val="4"/>
          <c:order val="4"/>
          <c:tx>
            <c:strRef>
              <c:f>'Prezentacijam pa grupam (LV)'!$A$60</c:f>
              <c:strCache>
                <c:ptCount val="1"/>
                <c:pt idx="0">
                  <c:v>Metāli un to izstrādājumi</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(LV)'!$J$60:$X$60</c:f>
              <c:numCache>
                <c:formatCode>0.0</c:formatCode>
                <c:ptCount val="15"/>
                <c:pt idx="0">
                  <c:v>-39242</c:v>
                </c:pt>
                <c:pt idx="1">
                  <c:v>-126676</c:v>
                </c:pt>
                <c:pt idx="2">
                  <c:v>-127964</c:v>
                </c:pt>
                <c:pt idx="3">
                  <c:v>2803</c:v>
                </c:pt>
                <c:pt idx="4">
                  <c:v>-1069</c:v>
                </c:pt>
                <c:pt idx="5">
                  <c:v>42628</c:v>
                </c:pt>
                <c:pt idx="6">
                  <c:v>88654</c:v>
                </c:pt>
                <c:pt idx="7">
                  <c:v>71979</c:v>
                </c:pt>
                <c:pt idx="8">
                  <c:v>105759</c:v>
                </c:pt>
                <c:pt idx="9">
                  <c:v>67688</c:v>
                </c:pt>
                <c:pt idx="10">
                  <c:v>27798.359999999797</c:v>
                </c:pt>
                <c:pt idx="11">
                  <c:v>16775.099999999897</c:v>
                </c:pt>
                <c:pt idx="12">
                  <c:v>28970.639999999708</c:v>
                </c:pt>
                <c:pt idx="13">
                  <c:v>21768.780000000035</c:v>
                </c:pt>
                <c:pt idx="14">
                  <c:v>43495.650000000023</c:v>
                </c:pt>
              </c:numCache>
            </c:numRef>
          </c:val>
        </c:ser>
        <c:ser>
          <c:idx val="5"/>
          <c:order val="5"/>
          <c:tx>
            <c:strRef>
              <c:f>'Prezentacijam pa grupam (LV)'!$A$61</c:f>
              <c:strCache>
                <c:ptCount val="1"/>
                <c:pt idx="0">
                  <c:v>Mehānismi un ierīces</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(LV)'!$J$61:$X$61</c:f>
              <c:numCache>
                <c:formatCode>0.0</c:formatCode>
                <c:ptCount val="15"/>
                <c:pt idx="0">
                  <c:v>-20245</c:v>
                </c:pt>
                <c:pt idx="1">
                  <c:v>-16788</c:v>
                </c:pt>
                <c:pt idx="2">
                  <c:v>-5573</c:v>
                </c:pt>
                <c:pt idx="3">
                  <c:v>-1629</c:v>
                </c:pt>
                <c:pt idx="4">
                  <c:v>4276</c:v>
                </c:pt>
                <c:pt idx="5">
                  <c:v>21465</c:v>
                </c:pt>
                <c:pt idx="6">
                  <c:v>22080</c:v>
                </c:pt>
                <c:pt idx="7">
                  <c:v>51850</c:v>
                </c:pt>
                <c:pt idx="8">
                  <c:v>44227</c:v>
                </c:pt>
                <c:pt idx="9">
                  <c:v>46544</c:v>
                </c:pt>
                <c:pt idx="10">
                  <c:v>33401.590000000004</c:v>
                </c:pt>
                <c:pt idx="11">
                  <c:v>29865.940000000021</c:v>
                </c:pt>
                <c:pt idx="12">
                  <c:v>26321.72</c:v>
                </c:pt>
                <c:pt idx="13">
                  <c:v>30738.64000000001</c:v>
                </c:pt>
                <c:pt idx="14">
                  <c:v>56571.229999999996</c:v>
                </c:pt>
              </c:numCache>
            </c:numRef>
          </c:val>
        </c:ser>
        <c:ser>
          <c:idx val="6"/>
          <c:order val="6"/>
          <c:tx>
            <c:strRef>
              <c:f>'Prezentacijam pa grupam (LV)'!$A$62</c:f>
              <c:strCache>
                <c:ptCount val="1"/>
                <c:pt idx="0">
                  <c:v>Satiksmes līdzekļi</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(LV)'!$J$62:$X$62</c:f>
              <c:numCache>
                <c:formatCode>0.0</c:formatCode>
                <c:ptCount val="15"/>
                <c:pt idx="0">
                  <c:v>-24464</c:v>
                </c:pt>
                <c:pt idx="1">
                  <c:v>-28138</c:v>
                </c:pt>
                <c:pt idx="2">
                  <c:v>-10274</c:v>
                </c:pt>
                <c:pt idx="3">
                  <c:v>-8948</c:v>
                </c:pt>
                <c:pt idx="4">
                  <c:v>-581</c:v>
                </c:pt>
                <c:pt idx="5">
                  <c:v>11193</c:v>
                </c:pt>
                <c:pt idx="6">
                  <c:v>4044</c:v>
                </c:pt>
                <c:pt idx="7">
                  <c:v>13806</c:v>
                </c:pt>
                <c:pt idx="8">
                  <c:v>27708</c:v>
                </c:pt>
                <c:pt idx="9">
                  <c:v>29283</c:v>
                </c:pt>
                <c:pt idx="10">
                  <c:v>30010.909999999982</c:v>
                </c:pt>
                <c:pt idx="11">
                  <c:v>31628.569999999982</c:v>
                </c:pt>
                <c:pt idx="12">
                  <c:v>-1120.8099999999979</c:v>
                </c:pt>
                <c:pt idx="13">
                  <c:v>-13173.78</c:v>
                </c:pt>
                <c:pt idx="14">
                  <c:v>-12622.349999999904</c:v>
                </c:pt>
              </c:numCache>
            </c:numRef>
          </c:val>
        </c:ser>
        <c:ser>
          <c:idx val="7"/>
          <c:order val="7"/>
          <c:tx>
            <c:strRef>
              <c:f>'Prezentacijam pa grupam (LV)'!$A$63</c:f>
              <c:strCache>
                <c:ptCount val="1"/>
                <c:pt idx="0">
                  <c:v>Citas preces</c:v>
                </c:pt>
              </c:strCache>
            </c:strRef>
          </c:tx>
          <c:invertIfNegative val="0"/>
          <c:cat>
            <c:multiLvlStrRef>
              <c:f>'Prezentacijam pa grupam (LV)'!$J$38:$Y$39</c:f>
              <c:multiLvlStrCache>
                <c:ptCount val="16"/>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lvl>
                <c:lvl>
                  <c:pt idx="0">
                    <c:v>2009</c:v>
                  </c:pt>
                  <c:pt idx="4">
                    <c:v>2010</c:v>
                  </c:pt>
                  <c:pt idx="8">
                    <c:v>2011</c:v>
                  </c:pt>
                  <c:pt idx="12">
                    <c:v>2012</c:v>
                  </c:pt>
                </c:lvl>
              </c:multiLvlStrCache>
            </c:multiLvlStrRef>
          </c:cat>
          <c:val>
            <c:numRef>
              <c:f>'Prezentacijam pa grupam (LV)'!$J$63:$X$63</c:f>
              <c:numCache>
                <c:formatCode>0.0</c:formatCode>
                <c:ptCount val="15"/>
                <c:pt idx="0">
                  <c:v>-52240</c:v>
                </c:pt>
                <c:pt idx="1">
                  <c:v>-53755</c:v>
                </c:pt>
                <c:pt idx="2">
                  <c:v>-42563</c:v>
                </c:pt>
                <c:pt idx="3">
                  <c:v>-17162</c:v>
                </c:pt>
                <c:pt idx="4">
                  <c:v>14344</c:v>
                </c:pt>
                <c:pt idx="5">
                  <c:v>43914</c:v>
                </c:pt>
                <c:pt idx="6">
                  <c:v>50855</c:v>
                </c:pt>
                <c:pt idx="7">
                  <c:v>50786</c:v>
                </c:pt>
                <c:pt idx="8">
                  <c:v>64988</c:v>
                </c:pt>
                <c:pt idx="9">
                  <c:v>49902</c:v>
                </c:pt>
                <c:pt idx="10">
                  <c:v>43910.289999999994</c:v>
                </c:pt>
                <c:pt idx="11">
                  <c:v>30736.709999999952</c:v>
                </c:pt>
                <c:pt idx="12">
                  <c:v>22375.040000000001</c:v>
                </c:pt>
                <c:pt idx="13">
                  <c:v>29431.039999999892</c:v>
                </c:pt>
                <c:pt idx="14">
                  <c:v>43461.810000000019</c:v>
                </c:pt>
              </c:numCache>
            </c:numRef>
          </c:val>
        </c:ser>
        <c:dLbls>
          <c:showLegendKey val="0"/>
          <c:showVal val="0"/>
          <c:showCatName val="0"/>
          <c:showSerName val="0"/>
          <c:showPercent val="0"/>
          <c:showBubbleSize val="0"/>
        </c:dLbls>
        <c:gapWidth val="64"/>
        <c:overlap val="100"/>
        <c:axId val="178360704"/>
        <c:axId val="178363008"/>
      </c:barChart>
      <c:lineChart>
        <c:grouping val="standard"/>
        <c:varyColors val="0"/>
        <c:ser>
          <c:idx val="8"/>
          <c:order val="8"/>
          <c:tx>
            <c:strRef>
              <c:f>'Prezentacijam pa grupam (LV)'!$A$64</c:f>
              <c:strCache>
                <c:ptCount val="1"/>
                <c:pt idx="0">
                  <c:v>Eksporta gada pieaugums (%, labā ass)</c:v>
                </c:pt>
              </c:strCache>
            </c:strRef>
          </c:tx>
          <c:spPr>
            <a:ln>
              <a:solidFill>
                <a:srgbClr val="FF0000"/>
              </a:solidFill>
            </a:ln>
          </c:spPr>
          <c:marker>
            <c:symbol val="none"/>
          </c:marker>
          <c:val>
            <c:numRef>
              <c:f>'Prezentacijam pa grupam (LV)'!$J$64:$X$64</c:f>
              <c:numCache>
                <c:formatCode>0.0%</c:formatCode>
                <c:ptCount val="15"/>
                <c:pt idx="0">
                  <c:v>-0.23743687491507301</c:v>
                </c:pt>
                <c:pt idx="1">
                  <c:v>-0.24938435110079313</c:v>
                </c:pt>
                <c:pt idx="2">
                  <c:v>-0.22919934552142177</c:v>
                </c:pt>
                <c:pt idx="3">
                  <c:v>-1.5924495193308803E-2</c:v>
                </c:pt>
                <c:pt idx="4">
                  <c:v>0.14817554150357787</c:v>
                </c:pt>
                <c:pt idx="5">
                  <c:v>0.31500401320731686</c:v>
                </c:pt>
                <c:pt idx="6">
                  <c:v>0.41433232898701661</c:v>
                </c:pt>
                <c:pt idx="7">
                  <c:v>0.31898317127199477</c:v>
                </c:pt>
                <c:pt idx="8">
                  <c:v>0.41221053526726592</c:v>
                </c:pt>
                <c:pt idx="9">
                  <c:v>0.32576240874451395</c:v>
                </c:pt>
                <c:pt idx="10">
                  <c:v>0.21734003296323459</c:v>
                </c:pt>
                <c:pt idx="11">
                  <c:v>0.20098800811446413</c:v>
                </c:pt>
                <c:pt idx="12">
                  <c:v>0.14243898143060613</c:v>
                </c:pt>
                <c:pt idx="13">
                  <c:v>7.4517369101717024E-2</c:v>
                </c:pt>
                <c:pt idx="14">
                  <c:v>0.16901567649649782</c:v>
                </c:pt>
              </c:numCache>
            </c:numRef>
          </c:val>
          <c:smooth val="1"/>
        </c:ser>
        <c:dLbls>
          <c:showLegendKey val="0"/>
          <c:showVal val="0"/>
          <c:showCatName val="0"/>
          <c:showSerName val="0"/>
          <c:showPercent val="0"/>
          <c:showBubbleSize val="0"/>
        </c:dLbls>
        <c:marker val="1"/>
        <c:smooth val="0"/>
        <c:axId val="179501312"/>
        <c:axId val="179499392"/>
      </c:lineChart>
      <c:catAx>
        <c:axId val="178360704"/>
        <c:scaling>
          <c:orientation val="minMax"/>
        </c:scaling>
        <c:delete val="0"/>
        <c:axPos val="b"/>
        <c:numFmt formatCode="General" sourceLinked="0"/>
        <c:majorTickMark val="out"/>
        <c:minorTickMark val="none"/>
        <c:tickLblPos val="low"/>
        <c:txPr>
          <a:bodyPr/>
          <a:lstStyle/>
          <a:p>
            <a:pPr>
              <a:defRPr sz="900" b="0"/>
            </a:pPr>
            <a:endParaRPr lang="lv-LV"/>
          </a:p>
        </c:txPr>
        <c:crossAx val="178363008"/>
        <c:crosses val="autoZero"/>
        <c:auto val="1"/>
        <c:lblAlgn val="ctr"/>
        <c:lblOffset val="100"/>
        <c:noMultiLvlLbl val="0"/>
      </c:catAx>
      <c:valAx>
        <c:axId val="178363008"/>
        <c:scaling>
          <c:orientation val="minMax"/>
        </c:scaling>
        <c:delete val="0"/>
        <c:axPos val="l"/>
        <c:majorGridlines/>
        <c:numFmt formatCode="0" sourceLinked="0"/>
        <c:majorTickMark val="out"/>
        <c:minorTickMark val="none"/>
        <c:tickLblPos val="nextTo"/>
        <c:txPr>
          <a:bodyPr/>
          <a:lstStyle/>
          <a:p>
            <a:pPr>
              <a:defRPr sz="900" b="0"/>
            </a:pPr>
            <a:endParaRPr lang="lv-LV"/>
          </a:p>
        </c:txPr>
        <c:crossAx val="178360704"/>
        <c:crosses val="autoZero"/>
        <c:crossBetween val="between"/>
      </c:valAx>
      <c:valAx>
        <c:axId val="179499392"/>
        <c:scaling>
          <c:orientation val="minMax"/>
        </c:scaling>
        <c:delete val="0"/>
        <c:axPos val="r"/>
        <c:numFmt formatCode="0%" sourceLinked="0"/>
        <c:majorTickMark val="out"/>
        <c:minorTickMark val="none"/>
        <c:tickLblPos val="nextTo"/>
        <c:txPr>
          <a:bodyPr/>
          <a:lstStyle/>
          <a:p>
            <a:pPr>
              <a:defRPr b="0" baseline="-25000"/>
            </a:pPr>
            <a:endParaRPr lang="lv-LV"/>
          </a:p>
        </c:txPr>
        <c:crossAx val="179501312"/>
        <c:crosses val="max"/>
        <c:crossBetween val="between"/>
      </c:valAx>
      <c:catAx>
        <c:axId val="179501312"/>
        <c:scaling>
          <c:orientation val="minMax"/>
        </c:scaling>
        <c:delete val="1"/>
        <c:axPos val="b"/>
        <c:majorTickMark val="out"/>
        <c:minorTickMark val="none"/>
        <c:tickLblPos val="none"/>
        <c:crossAx val="179499392"/>
        <c:crosses val="autoZero"/>
        <c:auto val="1"/>
        <c:lblAlgn val="ctr"/>
        <c:lblOffset val="100"/>
        <c:noMultiLvlLbl val="0"/>
      </c:catAx>
    </c:plotArea>
    <c:legend>
      <c:legendPos val="b"/>
      <c:layout>
        <c:manualLayout>
          <c:xMode val="edge"/>
          <c:yMode val="edge"/>
          <c:x val="0.12113438344523823"/>
          <c:y val="0.78765827811962763"/>
          <c:w val="0.81331252074267968"/>
          <c:h val="0.17110077362450515"/>
        </c:manualLayout>
      </c:layout>
      <c:overlay val="0"/>
      <c:txPr>
        <a:bodyPr/>
        <a:lstStyle/>
        <a:p>
          <a:pPr>
            <a:defRPr sz="900"/>
          </a:pPr>
          <a:endParaRPr lang="lv-LV"/>
        </a:p>
      </c:txPr>
    </c:legend>
    <c:plotVisOnly val="1"/>
    <c:dispBlanksAs val="gap"/>
    <c:showDLblsOverMax val="0"/>
  </c:chart>
  <c:spPr>
    <a:ln>
      <a:noFill/>
    </a:ln>
  </c:spPr>
  <c:txPr>
    <a:bodyPr/>
    <a:lstStyle/>
    <a:p>
      <a:pPr>
        <a:defRPr sz="1000">
          <a:latin typeface="Calibri"/>
          <a:cs typeface="Calibri"/>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1511312026177443E-2"/>
          <c:y val="1.3101762437369901E-3"/>
          <c:w val="0.85092804225756113"/>
          <c:h val="0.94269211651746065"/>
        </c:manualLayout>
      </c:layout>
      <c:bar3DChart>
        <c:barDir val="bar"/>
        <c:grouping val="clustered"/>
        <c:varyColors val="0"/>
        <c:ser>
          <c:idx val="9"/>
          <c:order val="0"/>
          <c:tx>
            <c:strRef>
              <c:f>[1]Sheet1!$J$3</c:f>
              <c:strCache>
                <c:ptCount val="1"/>
                <c:pt idx="0">
                  <c:v>Saņemtie maksājumi no EK</c:v>
                </c:pt>
              </c:strCache>
            </c:strRef>
          </c:tx>
          <c:spPr>
            <a:solidFill>
              <a:srgbClr val="92D050"/>
            </a:solidFill>
          </c:spPr>
          <c:invertIfNegative val="0"/>
          <c:dLbls>
            <c:dLbl>
              <c:idx val="0"/>
              <c:layout/>
              <c:tx>
                <c:rich>
                  <a:bodyPr/>
                  <a:lstStyle/>
                  <a:p>
                    <a:r>
                      <a:rPr lang="lv-LV" sz="1100" b="1" i="0" u="none" strike="noStrike" kern="1200" baseline="0">
                        <a:solidFill>
                          <a:sysClr val="windowText" lastClr="000000"/>
                        </a:solidFill>
                        <a:latin typeface="+mn-lt"/>
                        <a:ea typeface="+mn-ea"/>
                        <a:cs typeface="+mn-cs"/>
                      </a:rPr>
                      <a:t>325,0 (79,3%)</a:t>
                    </a:r>
                    <a:endParaRPr lang="en-US"/>
                  </a:p>
                </c:rich>
              </c:tx>
              <c:showLegendKey val="0"/>
              <c:showVal val="1"/>
              <c:showCatName val="0"/>
              <c:showSerName val="0"/>
              <c:showPercent val="0"/>
              <c:showBubbleSize val="0"/>
            </c:dLbl>
            <c:dLbl>
              <c:idx val="1"/>
              <c:layout/>
              <c:tx>
                <c:rich>
                  <a:bodyPr/>
                  <a:lstStyle/>
                  <a:p>
                    <a:r>
                      <a:rPr lang="lv-LV" sz="1100" b="1" i="0" u="none" strike="noStrike" kern="1200" baseline="0">
                        <a:solidFill>
                          <a:sysClr val="windowText" lastClr="000000"/>
                        </a:solidFill>
                        <a:latin typeface="+mn-lt"/>
                        <a:ea typeface="+mn-ea"/>
                        <a:cs typeface="+mn-cs"/>
                      </a:rPr>
                      <a:t>498,5 (46,1%)</a:t>
                    </a:r>
                    <a:endParaRPr lang="en-US"/>
                  </a:p>
                </c:rich>
              </c:tx>
              <c:showLegendKey val="0"/>
              <c:showVal val="1"/>
              <c:showCatName val="0"/>
              <c:showSerName val="0"/>
              <c:showPercent val="0"/>
              <c:showBubbleSize val="0"/>
            </c:dLbl>
            <c:dLbl>
              <c:idx val="2"/>
              <c:layout/>
              <c:tx>
                <c:rich>
                  <a:bodyPr/>
                  <a:lstStyle/>
                  <a:p>
                    <a:r>
                      <a:rPr lang="lv-LV" sz="1100" b="1" i="0" u="none" strike="noStrike" kern="1200" baseline="0">
                        <a:solidFill>
                          <a:sysClr val="windowText" lastClr="000000"/>
                        </a:solidFill>
                        <a:latin typeface="+mn-lt"/>
                        <a:ea typeface="+mn-ea"/>
                        <a:cs typeface="+mn-cs"/>
                      </a:rPr>
                      <a:t>838,5 (49,6%)</a:t>
                    </a:r>
                    <a:endParaRPr lang="en-US"/>
                  </a:p>
                </c:rich>
              </c:tx>
              <c:showLegendKey val="0"/>
              <c:showVal val="1"/>
              <c:showCatName val="0"/>
              <c:showSerName val="0"/>
              <c:showPercent val="0"/>
              <c:showBubbleSize val="0"/>
            </c:dLbl>
            <c:dLbl>
              <c:idx val="3"/>
              <c:layout/>
              <c:tx>
                <c:rich>
                  <a:bodyPr/>
                  <a:lstStyle/>
                  <a:p>
                    <a:r>
                      <a:rPr lang="lv-LV" sz="1100" b="1" i="0" u="none" strike="noStrike" kern="1200" baseline="0">
                        <a:solidFill>
                          <a:sysClr val="windowText" lastClr="000000"/>
                        </a:solidFill>
                        <a:latin typeface="+mn-lt"/>
                        <a:ea typeface="+mn-ea"/>
                        <a:cs typeface="+mn-cs"/>
                      </a:rPr>
                      <a:t>1 662,0 (52,2%)</a:t>
                    </a:r>
                    <a:endParaRPr lang="en-US"/>
                  </a:p>
                </c:rich>
              </c:tx>
              <c:showLegendKey val="0"/>
              <c:showVal val="1"/>
              <c:showCatName val="0"/>
              <c:showSerName val="0"/>
              <c:showPercent val="0"/>
              <c:showBubbleSize val="0"/>
            </c:dLbl>
            <c:numFmt formatCode="#,##0.0" sourceLinked="0"/>
            <c:txPr>
              <a:bodyPr/>
              <a:lstStyle/>
              <a:p>
                <a:pPr algn="ctr">
                  <a:defRPr lang="lv-LV" sz="11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dLbls>
          <c:cat>
            <c:strRef>
              <c:f>[1]Sheet1!$B$4:$B$7</c:f>
              <c:strCache>
                <c:ptCount val="4"/>
                <c:pt idx="0">
                  <c:v>ESF</c:v>
                </c:pt>
                <c:pt idx="1">
                  <c:v>KF</c:v>
                </c:pt>
                <c:pt idx="2">
                  <c:v>ERAF</c:v>
                </c:pt>
                <c:pt idx="3">
                  <c:v>Kopā</c:v>
                </c:pt>
              </c:strCache>
            </c:strRef>
          </c:cat>
          <c:val>
            <c:numRef>
              <c:f>[1]Sheet1!$J$4:$J$7</c:f>
              <c:numCache>
                <c:formatCode>General</c:formatCode>
                <c:ptCount val="4"/>
                <c:pt idx="0">
                  <c:v>246050044.63774598</c:v>
                </c:pt>
                <c:pt idx="1">
                  <c:v>359134136.62522894</c:v>
                </c:pt>
                <c:pt idx="2">
                  <c:v>593881473.84819889</c:v>
                </c:pt>
                <c:pt idx="3">
                  <c:v>1199065655.1111739</c:v>
                </c:pt>
              </c:numCache>
            </c:numRef>
          </c:val>
        </c:ser>
        <c:ser>
          <c:idx val="5"/>
          <c:order val="1"/>
          <c:tx>
            <c:strRef>
              <c:f>[1]Sheet1!$H$3</c:f>
              <c:strCache>
                <c:ptCount val="1"/>
                <c:pt idx="0">
                  <c:v>Veiktie maksājumi finansējuma saņēmējiem</c:v>
                </c:pt>
              </c:strCache>
            </c:strRef>
          </c:tx>
          <c:invertIfNegative val="0"/>
          <c:dLbls>
            <c:dLbl>
              <c:idx val="0"/>
              <c:layout/>
              <c:tx>
                <c:rich>
                  <a:bodyPr/>
                  <a:lstStyle/>
                  <a:p>
                    <a:r>
                      <a:rPr lang="lv-LV" sz="1100" b="1" i="0" u="none" strike="noStrike" kern="1200" baseline="0">
                        <a:solidFill>
                          <a:sysClr val="windowText" lastClr="000000"/>
                        </a:solidFill>
                        <a:latin typeface="+mn-lt"/>
                        <a:ea typeface="+mn-ea"/>
                        <a:cs typeface="+mn-cs"/>
                      </a:rPr>
                      <a:t>317,6 (77,5%)</a:t>
                    </a:r>
                    <a:endParaRPr lang="en-US"/>
                  </a:p>
                </c:rich>
              </c:tx>
              <c:showLegendKey val="0"/>
              <c:showVal val="1"/>
              <c:showCatName val="0"/>
              <c:showSerName val="0"/>
              <c:showPercent val="0"/>
              <c:showBubbleSize val="0"/>
            </c:dLbl>
            <c:dLbl>
              <c:idx val="1"/>
              <c:layout/>
              <c:tx>
                <c:rich>
                  <a:bodyPr/>
                  <a:lstStyle/>
                  <a:p>
                    <a:r>
                      <a:rPr lang="lv-LV" sz="1100" b="1" i="0" u="none" strike="noStrike" kern="1200" baseline="0">
                        <a:solidFill>
                          <a:sysClr val="windowText" lastClr="000000"/>
                        </a:solidFill>
                        <a:latin typeface="+mn-lt"/>
                        <a:ea typeface="+mn-ea"/>
                        <a:cs typeface="+mn-cs"/>
                      </a:rPr>
                      <a:t>536,5 (49,6%)</a:t>
                    </a:r>
                    <a:endParaRPr lang="en-US"/>
                  </a:p>
                </c:rich>
              </c:tx>
              <c:showLegendKey val="0"/>
              <c:showVal val="1"/>
              <c:showCatName val="0"/>
              <c:showSerName val="0"/>
              <c:showPercent val="0"/>
              <c:showBubbleSize val="0"/>
            </c:dLbl>
            <c:dLbl>
              <c:idx val="2"/>
              <c:layout/>
              <c:tx>
                <c:rich>
                  <a:bodyPr/>
                  <a:lstStyle/>
                  <a:p>
                    <a:r>
                      <a:rPr lang="lv-LV" sz="1100" b="1" i="0" u="none" strike="noStrike" kern="1200" baseline="0">
                        <a:solidFill>
                          <a:sysClr val="windowText" lastClr="000000"/>
                        </a:solidFill>
                        <a:latin typeface="+mn-lt"/>
                        <a:ea typeface="+mn-ea"/>
                        <a:cs typeface="+mn-cs"/>
                      </a:rPr>
                      <a:t>934,0 (55,2%)</a:t>
                    </a:r>
                    <a:endParaRPr lang="en-US"/>
                  </a:p>
                </c:rich>
              </c:tx>
              <c:showLegendKey val="0"/>
              <c:showVal val="1"/>
              <c:showCatName val="0"/>
              <c:showSerName val="0"/>
              <c:showPercent val="0"/>
              <c:showBubbleSize val="0"/>
            </c:dLbl>
            <c:dLbl>
              <c:idx val="3"/>
              <c:layout/>
              <c:tx>
                <c:rich>
                  <a:bodyPr/>
                  <a:lstStyle/>
                  <a:p>
                    <a:pPr algn="ctr">
                      <a:defRPr lang="en-US" sz="1100" b="1" i="0" u="none" strike="noStrike" kern="1200" baseline="0">
                        <a:solidFill>
                          <a:sysClr val="windowText" lastClr="000000"/>
                        </a:solidFill>
                        <a:latin typeface="+mn-lt"/>
                        <a:ea typeface="+mn-ea"/>
                        <a:cs typeface="+mn-cs"/>
                      </a:defRPr>
                    </a:pPr>
                    <a:r>
                      <a:rPr lang="lv-LV" sz="1100" b="1" i="0" u="none" strike="noStrike" kern="1200" baseline="0">
                        <a:solidFill>
                          <a:sysClr val="windowText" lastClr="000000"/>
                        </a:solidFill>
                        <a:latin typeface="+mn-lt"/>
                        <a:ea typeface="+mn-ea"/>
                        <a:cs typeface="+mn-cs"/>
                      </a:rPr>
                      <a:t>1 788,1 (56,2%)</a:t>
                    </a:r>
                    <a:endParaRPr lang="en-US" sz="1100" b="1" i="0" u="none" strike="noStrike" kern="1200" baseline="0">
                      <a:solidFill>
                        <a:sysClr val="windowText" lastClr="000000"/>
                      </a:solidFill>
                      <a:latin typeface="+mn-lt"/>
                      <a:ea typeface="+mn-ea"/>
                      <a:cs typeface="+mn-cs"/>
                    </a:endParaRPr>
                  </a:p>
                </c:rich>
              </c:tx>
              <c:numFmt formatCode="#,##0.0" sourceLinked="0"/>
              <c:spPr/>
              <c:showLegendKey val="0"/>
              <c:showVal val="1"/>
              <c:showCatName val="0"/>
              <c:showSerName val="0"/>
              <c:showPercent val="0"/>
              <c:showBubbleSize val="0"/>
            </c:dLbl>
            <c:numFmt formatCode="#,##0.0" sourceLinked="0"/>
            <c:txPr>
              <a:bodyPr/>
              <a:lstStyle/>
              <a:p>
                <a:pPr algn="ctr">
                  <a:defRPr lang="lv-LV" sz="11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dLbls>
          <c:cat>
            <c:strRef>
              <c:f>[1]Sheet1!$B$4:$B$7</c:f>
              <c:strCache>
                <c:ptCount val="4"/>
                <c:pt idx="0">
                  <c:v>ESF</c:v>
                </c:pt>
                <c:pt idx="1">
                  <c:v>KF</c:v>
                </c:pt>
                <c:pt idx="2">
                  <c:v>ERAF</c:v>
                </c:pt>
                <c:pt idx="3">
                  <c:v>Kopā</c:v>
                </c:pt>
              </c:strCache>
            </c:strRef>
          </c:cat>
          <c:val>
            <c:numRef>
              <c:f>[1]Sheet1!$H$4:$H$7</c:f>
              <c:numCache>
                <c:formatCode>General</c:formatCode>
                <c:ptCount val="4"/>
                <c:pt idx="0">
                  <c:v>278749974.06999999</c:v>
                </c:pt>
                <c:pt idx="1">
                  <c:v>480884333.55000007</c:v>
                </c:pt>
                <c:pt idx="2">
                  <c:v>803385705.19999993</c:v>
                </c:pt>
                <c:pt idx="3">
                  <c:v>1563020012.8200002</c:v>
                </c:pt>
              </c:numCache>
            </c:numRef>
          </c:val>
        </c:ser>
        <c:ser>
          <c:idx val="3"/>
          <c:order val="2"/>
          <c:tx>
            <c:strRef>
              <c:f>[1]Sheet1!$F$3</c:f>
              <c:strCache>
                <c:ptCount val="1"/>
                <c:pt idx="0">
                  <c:v>Noslēgti līgumi</c:v>
                </c:pt>
              </c:strCache>
            </c:strRef>
          </c:tx>
          <c:spPr>
            <a:solidFill>
              <a:schemeClr val="accent2"/>
            </a:solidFill>
          </c:spPr>
          <c:invertIfNegative val="0"/>
          <c:dLbls>
            <c:dLbl>
              <c:idx val="0"/>
              <c:layout/>
              <c:tx>
                <c:rich>
                  <a:bodyPr/>
                  <a:lstStyle/>
                  <a:p>
                    <a:r>
                      <a:rPr lang="lv-LV" sz="1100" b="1" i="0" u="none" strike="noStrike" kern="1200" baseline="0">
                        <a:solidFill>
                          <a:sysClr val="windowText" lastClr="000000"/>
                        </a:solidFill>
                        <a:latin typeface="+mn-lt"/>
                        <a:ea typeface="+mn-ea"/>
                        <a:cs typeface="+mn-cs"/>
                      </a:rPr>
                      <a:t>423,5 (103,3%)*</a:t>
                    </a:r>
                    <a:endParaRPr lang="en-US"/>
                  </a:p>
                </c:rich>
              </c:tx>
              <c:showLegendKey val="0"/>
              <c:showVal val="1"/>
              <c:showCatName val="0"/>
              <c:showSerName val="0"/>
              <c:showPercent val="0"/>
              <c:showBubbleSize val="0"/>
            </c:dLbl>
            <c:dLbl>
              <c:idx val="1"/>
              <c:layout/>
              <c:tx>
                <c:rich>
                  <a:bodyPr/>
                  <a:lstStyle/>
                  <a:p>
                    <a:r>
                      <a:rPr lang="lv-LV" sz="1100" b="1" i="0" u="none" strike="noStrike" kern="1200" baseline="0">
                        <a:solidFill>
                          <a:sysClr val="windowText" lastClr="000000"/>
                        </a:solidFill>
                        <a:latin typeface="+mn-lt"/>
                        <a:ea typeface="+mn-ea"/>
                        <a:cs typeface="+mn-cs"/>
                      </a:rPr>
                      <a:t>1 026,8 (94,9%)</a:t>
                    </a:r>
                    <a:endParaRPr lang="en-US"/>
                  </a:p>
                </c:rich>
              </c:tx>
              <c:showLegendKey val="0"/>
              <c:showVal val="1"/>
              <c:showCatName val="0"/>
              <c:showSerName val="0"/>
              <c:showPercent val="0"/>
              <c:showBubbleSize val="0"/>
            </c:dLbl>
            <c:dLbl>
              <c:idx val="2"/>
              <c:layout/>
              <c:tx>
                <c:rich>
                  <a:bodyPr/>
                  <a:lstStyle/>
                  <a:p>
                    <a:r>
                      <a:rPr lang="lv-LV" sz="1100" b="1" i="0" u="none" strike="noStrike" kern="1200" baseline="0">
                        <a:solidFill>
                          <a:sysClr val="windowText" lastClr="000000"/>
                        </a:solidFill>
                        <a:latin typeface="+mn-lt"/>
                        <a:ea typeface="+mn-ea"/>
                        <a:cs typeface="+mn-cs"/>
                      </a:rPr>
                      <a:t>1 539,3 (91,0%)</a:t>
                    </a:r>
                    <a:endParaRPr lang="en-US"/>
                  </a:p>
                </c:rich>
              </c:tx>
              <c:showLegendKey val="0"/>
              <c:showVal val="1"/>
              <c:showCatName val="0"/>
              <c:showSerName val="0"/>
              <c:showPercent val="0"/>
              <c:showBubbleSize val="0"/>
            </c:dLbl>
            <c:dLbl>
              <c:idx val="3"/>
              <c:layout/>
              <c:tx>
                <c:rich>
                  <a:bodyPr/>
                  <a:lstStyle/>
                  <a:p>
                    <a:r>
                      <a:rPr lang="lv-LV" sz="1100" b="1" i="0" u="none" strike="noStrike" kern="1200" baseline="0">
                        <a:solidFill>
                          <a:sysClr val="windowText" lastClr="000000"/>
                        </a:solidFill>
                        <a:latin typeface="+mn-lt"/>
                        <a:ea typeface="+mn-ea"/>
                        <a:cs typeface="+mn-cs"/>
                      </a:rPr>
                      <a:t>2 989,5 (93,9%)</a:t>
                    </a:r>
                    <a:endParaRPr lang="en-US"/>
                  </a:p>
                </c:rich>
              </c:tx>
              <c:showLegendKey val="0"/>
              <c:showVal val="1"/>
              <c:showCatName val="0"/>
              <c:showSerName val="0"/>
              <c:showPercent val="0"/>
              <c:showBubbleSize val="0"/>
            </c:dLbl>
            <c:numFmt formatCode="#,##0.0" sourceLinked="0"/>
            <c:txPr>
              <a:bodyPr/>
              <a:lstStyle/>
              <a:p>
                <a:pPr algn="ctr">
                  <a:defRPr lang="lv-LV" sz="11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dLbls>
          <c:cat>
            <c:strRef>
              <c:f>[1]Sheet1!$B$4:$B$7</c:f>
              <c:strCache>
                <c:ptCount val="4"/>
                <c:pt idx="0">
                  <c:v>ESF</c:v>
                </c:pt>
                <c:pt idx="1">
                  <c:v>KF</c:v>
                </c:pt>
                <c:pt idx="2">
                  <c:v>ERAF</c:v>
                </c:pt>
                <c:pt idx="3">
                  <c:v>Kopā</c:v>
                </c:pt>
              </c:strCache>
            </c:strRef>
          </c:cat>
          <c:val>
            <c:numRef>
              <c:f>[1]Sheet1!$F$4:$F$7</c:f>
              <c:numCache>
                <c:formatCode>General</c:formatCode>
                <c:ptCount val="4"/>
                <c:pt idx="0">
                  <c:v>401232146.41999799</c:v>
                </c:pt>
                <c:pt idx="1">
                  <c:v>964654169.42000008</c:v>
                </c:pt>
                <c:pt idx="2">
                  <c:v>1411433107.74</c:v>
                </c:pt>
                <c:pt idx="3">
                  <c:v>2777319423.5799999</c:v>
                </c:pt>
              </c:numCache>
            </c:numRef>
          </c:val>
        </c:ser>
        <c:ser>
          <c:idx val="1"/>
          <c:order val="3"/>
          <c:tx>
            <c:strRef>
              <c:f>[1]Sheet1!$D$3</c:f>
              <c:strCache>
                <c:ptCount val="1"/>
                <c:pt idx="0">
                  <c:v>Apstiprināti projekti</c:v>
                </c:pt>
              </c:strCache>
            </c:strRef>
          </c:tx>
          <c:spPr>
            <a:solidFill>
              <a:schemeClr val="accent4">
                <a:lumMod val="75000"/>
              </a:schemeClr>
            </a:solidFill>
          </c:spPr>
          <c:invertIfNegative val="0"/>
          <c:dLbls>
            <c:dLbl>
              <c:idx val="0"/>
              <c:layout/>
              <c:tx>
                <c:rich>
                  <a:bodyPr/>
                  <a:lstStyle/>
                  <a:p>
                    <a:r>
                      <a:rPr lang="lv-LV" sz="1100" b="1" i="0" u="none" strike="noStrike" kern="1200" baseline="0">
                        <a:solidFill>
                          <a:sysClr val="windowText" lastClr="000000"/>
                        </a:solidFill>
                        <a:latin typeface="+mn-lt"/>
                        <a:ea typeface="+mn-ea"/>
                        <a:cs typeface="+mn-cs"/>
                      </a:rPr>
                      <a:t>423,5 (103,3%)*</a:t>
                    </a:r>
                    <a:endParaRPr lang="en-US"/>
                  </a:p>
                </c:rich>
              </c:tx>
              <c:showLegendKey val="0"/>
              <c:showVal val="1"/>
              <c:showCatName val="0"/>
              <c:showSerName val="0"/>
              <c:showPercent val="0"/>
              <c:showBubbleSize val="0"/>
            </c:dLbl>
            <c:dLbl>
              <c:idx val="1"/>
              <c:layout/>
              <c:tx>
                <c:rich>
                  <a:bodyPr/>
                  <a:lstStyle/>
                  <a:p>
                    <a:r>
                      <a:rPr lang="lv-LV" sz="1100" b="1" i="0" u="none" strike="noStrike" kern="1200" baseline="0">
                        <a:solidFill>
                          <a:sysClr val="windowText" lastClr="000000"/>
                        </a:solidFill>
                        <a:latin typeface="+mn-lt"/>
                        <a:ea typeface="+mn-ea"/>
                        <a:cs typeface="+mn-cs"/>
                      </a:rPr>
                      <a:t>1 047,0 (96,7%)</a:t>
                    </a:r>
                    <a:endParaRPr lang="en-US"/>
                  </a:p>
                </c:rich>
              </c:tx>
              <c:showLegendKey val="0"/>
              <c:showVal val="1"/>
              <c:showCatName val="0"/>
              <c:showSerName val="0"/>
              <c:showPercent val="0"/>
              <c:showBubbleSize val="0"/>
            </c:dLbl>
            <c:dLbl>
              <c:idx val="2"/>
              <c:layout/>
              <c:tx>
                <c:rich>
                  <a:bodyPr/>
                  <a:lstStyle/>
                  <a:p>
                    <a:r>
                      <a:rPr lang="lv-LV" sz="1100" b="1" i="0" u="none" strike="noStrike" kern="1200" baseline="0">
                        <a:solidFill>
                          <a:sysClr val="windowText" lastClr="000000"/>
                        </a:solidFill>
                        <a:latin typeface="+mn-lt"/>
                        <a:ea typeface="+mn-ea"/>
                        <a:cs typeface="+mn-cs"/>
                      </a:rPr>
                      <a:t>1 566,2 (92,6%)</a:t>
                    </a:r>
                    <a:endParaRPr lang="en-US"/>
                  </a:p>
                </c:rich>
              </c:tx>
              <c:showLegendKey val="0"/>
              <c:showVal val="1"/>
              <c:showCatName val="0"/>
              <c:showSerName val="0"/>
              <c:showPercent val="0"/>
              <c:showBubbleSize val="0"/>
            </c:dLbl>
            <c:dLbl>
              <c:idx val="3"/>
              <c:layout/>
              <c:tx>
                <c:rich>
                  <a:bodyPr/>
                  <a:lstStyle/>
                  <a:p>
                    <a:pPr algn="ctr">
                      <a:defRPr lang="en-US" sz="1100" b="1" i="0" u="none" strike="noStrike" kern="1200" baseline="0">
                        <a:solidFill>
                          <a:sysClr val="windowText" lastClr="000000"/>
                        </a:solidFill>
                        <a:latin typeface="+mn-lt"/>
                        <a:ea typeface="+mn-ea"/>
                        <a:cs typeface="+mn-cs"/>
                      </a:defRPr>
                    </a:pPr>
                    <a:r>
                      <a:rPr lang="lv-LV" sz="1100" b="1" i="0" u="none" strike="noStrike" kern="1200" baseline="0">
                        <a:solidFill>
                          <a:sysClr val="windowText" lastClr="000000"/>
                        </a:solidFill>
                        <a:latin typeface="+mn-lt"/>
                        <a:ea typeface="+mn-ea"/>
                        <a:cs typeface="+mn-cs"/>
                      </a:rPr>
                      <a:t>3 036,4 (95,4%)</a:t>
                    </a:r>
                    <a:endParaRPr lang="en-US" sz="1100" b="1" i="0" u="none" strike="noStrike" kern="1200" baseline="0">
                      <a:solidFill>
                        <a:sysClr val="windowText" lastClr="000000"/>
                      </a:solidFill>
                      <a:latin typeface="+mn-lt"/>
                      <a:ea typeface="+mn-ea"/>
                      <a:cs typeface="+mn-cs"/>
                    </a:endParaRPr>
                  </a:p>
                </c:rich>
              </c:tx>
              <c:numFmt formatCode="#,##0.0" sourceLinked="0"/>
              <c:spPr/>
              <c:showLegendKey val="0"/>
              <c:showVal val="1"/>
              <c:showCatName val="0"/>
              <c:showSerName val="0"/>
              <c:showPercent val="0"/>
              <c:showBubbleSize val="0"/>
            </c:dLbl>
            <c:numFmt formatCode="#,##0.0" sourceLinked="0"/>
            <c:txPr>
              <a:bodyPr/>
              <a:lstStyle/>
              <a:p>
                <a:pPr algn="ctr">
                  <a:defRPr lang="lv-LV" sz="1100" b="1"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dLbls>
          <c:cat>
            <c:strRef>
              <c:f>[1]Sheet1!$B$4:$B$7</c:f>
              <c:strCache>
                <c:ptCount val="4"/>
                <c:pt idx="0">
                  <c:v>ESF</c:v>
                </c:pt>
                <c:pt idx="1">
                  <c:v>KF</c:v>
                </c:pt>
                <c:pt idx="2">
                  <c:v>ERAF</c:v>
                </c:pt>
                <c:pt idx="3">
                  <c:v>Kopā</c:v>
                </c:pt>
              </c:strCache>
            </c:strRef>
          </c:cat>
          <c:val>
            <c:numRef>
              <c:f>[1]Sheet1!$D$4:$D$7</c:f>
              <c:numCache>
                <c:formatCode>General</c:formatCode>
                <c:ptCount val="4"/>
                <c:pt idx="0">
                  <c:v>401359199.98999774</c:v>
                </c:pt>
                <c:pt idx="1">
                  <c:v>1007496767.9599983</c:v>
                </c:pt>
                <c:pt idx="2">
                  <c:v>1473297856.96</c:v>
                </c:pt>
                <c:pt idx="3">
                  <c:v>2882153824.9099998</c:v>
                </c:pt>
              </c:numCache>
            </c:numRef>
          </c:val>
        </c:ser>
        <c:ser>
          <c:idx val="0"/>
          <c:order val="4"/>
          <c:tx>
            <c:strRef>
              <c:f>[1]Sheet1!$C$3</c:f>
              <c:strCache>
                <c:ptCount val="1"/>
                <c:pt idx="0">
                  <c:v>ES fondu finansējums</c:v>
                </c:pt>
              </c:strCache>
            </c:strRef>
          </c:tx>
          <c:invertIfNegative val="0"/>
          <c:dLbls>
            <c:dLbl>
              <c:idx val="0"/>
              <c:layout/>
              <c:tx>
                <c:rich>
                  <a:bodyPr/>
                  <a:lstStyle/>
                  <a:p>
                    <a:r>
                      <a:rPr lang="lv-LV" sz="1100" b="1"/>
                      <a:t>409,8 (100%)</a:t>
                    </a:r>
                    <a:endParaRPr lang="en-US"/>
                  </a:p>
                </c:rich>
              </c:tx>
              <c:showLegendKey val="0"/>
              <c:showVal val="1"/>
              <c:showCatName val="0"/>
              <c:showSerName val="0"/>
              <c:showPercent val="0"/>
              <c:showBubbleSize val="0"/>
            </c:dLbl>
            <c:dLbl>
              <c:idx val="1"/>
              <c:layout/>
              <c:tx>
                <c:rich>
                  <a:bodyPr/>
                  <a:lstStyle/>
                  <a:p>
                    <a:r>
                      <a:rPr lang="en-US" sz="1100" b="1"/>
                      <a:t>1 082,2</a:t>
                    </a:r>
                    <a:r>
                      <a:rPr lang="lv-LV" sz="1100" b="1"/>
                      <a:t> (100%)</a:t>
                    </a:r>
                    <a:endParaRPr lang="en-US"/>
                  </a:p>
                </c:rich>
              </c:tx>
              <c:showLegendKey val="0"/>
              <c:showVal val="1"/>
              <c:showCatName val="0"/>
              <c:showSerName val="0"/>
              <c:showPercent val="0"/>
              <c:showBubbleSize val="0"/>
            </c:dLbl>
            <c:dLbl>
              <c:idx val="2"/>
              <c:layout/>
              <c:tx>
                <c:rich>
                  <a:bodyPr/>
                  <a:lstStyle/>
                  <a:p>
                    <a:r>
                      <a:rPr lang="en-US" sz="1100" b="1"/>
                      <a:t>1 </a:t>
                    </a:r>
                    <a:r>
                      <a:rPr lang="lv-LV" sz="1100" b="1"/>
                      <a:t>692,0 (100%)</a:t>
                    </a:r>
                    <a:endParaRPr lang="en-US"/>
                  </a:p>
                </c:rich>
              </c:tx>
              <c:showLegendKey val="0"/>
              <c:showVal val="1"/>
              <c:showCatName val="0"/>
              <c:showSerName val="0"/>
              <c:showPercent val="0"/>
              <c:showBubbleSize val="0"/>
            </c:dLbl>
            <c:dLbl>
              <c:idx val="3"/>
              <c:layout/>
              <c:tx>
                <c:rich>
                  <a:bodyPr/>
                  <a:lstStyle/>
                  <a:p>
                    <a:r>
                      <a:rPr lang="en-US" sz="1100" b="1"/>
                      <a:t>3 184,0</a:t>
                    </a:r>
                    <a:r>
                      <a:rPr lang="lv-LV" sz="1100" b="1"/>
                      <a:t> (100%)</a:t>
                    </a:r>
                    <a:endParaRPr lang="en-US"/>
                  </a:p>
                </c:rich>
              </c:tx>
              <c:showLegendKey val="0"/>
              <c:showVal val="1"/>
              <c:showCatName val="0"/>
              <c:showSerName val="0"/>
              <c:showPercent val="0"/>
              <c:showBubbleSize val="0"/>
            </c:dLbl>
            <c:numFmt formatCode="#,##0.0" sourceLinked="0"/>
            <c:txPr>
              <a:bodyPr/>
              <a:lstStyle/>
              <a:p>
                <a:pPr>
                  <a:defRPr sz="1100" b="1"/>
                </a:pPr>
                <a:endParaRPr lang="lv-LV"/>
              </a:p>
            </c:txPr>
            <c:showLegendKey val="0"/>
            <c:showVal val="1"/>
            <c:showCatName val="0"/>
            <c:showSerName val="0"/>
            <c:showPercent val="0"/>
            <c:showBubbleSize val="0"/>
            <c:showLeaderLines val="0"/>
          </c:dLbls>
          <c:cat>
            <c:strRef>
              <c:f>[1]Sheet1!$B$4:$B$7</c:f>
              <c:strCache>
                <c:ptCount val="4"/>
                <c:pt idx="0">
                  <c:v>ESF</c:v>
                </c:pt>
                <c:pt idx="1">
                  <c:v>KF</c:v>
                </c:pt>
                <c:pt idx="2">
                  <c:v>ERAF</c:v>
                </c:pt>
                <c:pt idx="3">
                  <c:v>Kopā</c:v>
                </c:pt>
              </c:strCache>
            </c:strRef>
          </c:cat>
          <c:val>
            <c:numRef>
              <c:f>[1]Sheet1!$C$4:$C$7</c:f>
              <c:numCache>
                <c:formatCode>General</c:formatCode>
                <c:ptCount val="4"/>
                <c:pt idx="0">
                  <c:v>409807622.37605202</c:v>
                </c:pt>
                <c:pt idx="1">
                  <c:v>1082161120.5546119</c:v>
                </c:pt>
                <c:pt idx="2">
                  <c:v>1692047973.9251661</c:v>
                </c:pt>
                <c:pt idx="3">
                  <c:v>3184016716.8558464</c:v>
                </c:pt>
              </c:numCache>
            </c:numRef>
          </c:val>
        </c:ser>
        <c:dLbls>
          <c:showLegendKey val="0"/>
          <c:showVal val="1"/>
          <c:showCatName val="0"/>
          <c:showSerName val="0"/>
          <c:showPercent val="0"/>
          <c:showBubbleSize val="0"/>
        </c:dLbls>
        <c:gapWidth val="150"/>
        <c:shape val="box"/>
        <c:axId val="187096064"/>
        <c:axId val="187107968"/>
        <c:axId val="0"/>
      </c:bar3DChart>
      <c:catAx>
        <c:axId val="187096064"/>
        <c:scaling>
          <c:orientation val="minMax"/>
        </c:scaling>
        <c:delete val="0"/>
        <c:axPos val="l"/>
        <c:majorTickMark val="out"/>
        <c:minorTickMark val="none"/>
        <c:tickLblPos val="nextTo"/>
        <c:txPr>
          <a:bodyPr/>
          <a:lstStyle/>
          <a:p>
            <a:pPr>
              <a:defRPr sz="1200" b="1"/>
            </a:pPr>
            <a:endParaRPr lang="lv-LV"/>
          </a:p>
        </c:txPr>
        <c:crossAx val="187107968"/>
        <c:crosses val="autoZero"/>
        <c:auto val="1"/>
        <c:lblAlgn val="ctr"/>
        <c:lblOffset val="100"/>
        <c:noMultiLvlLbl val="0"/>
      </c:catAx>
      <c:valAx>
        <c:axId val="187107968"/>
        <c:scaling>
          <c:orientation val="minMax"/>
        </c:scaling>
        <c:delete val="0"/>
        <c:axPos val="b"/>
        <c:majorGridlines/>
        <c:numFmt formatCode="#,##0" sourceLinked="0"/>
        <c:majorTickMark val="out"/>
        <c:minorTickMark val="none"/>
        <c:tickLblPos val="nextTo"/>
        <c:crossAx val="187096064"/>
        <c:crosses val="autoZero"/>
        <c:crossBetween val="between"/>
        <c:dispUnits>
          <c:builtInUnit val="millions"/>
        </c:dispUnits>
      </c:valAx>
    </c:plotArea>
    <c:legend>
      <c:legendPos val="r"/>
      <c:layout>
        <c:manualLayout>
          <c:xMode val="edge"/>
          <c:yMode val="edge"/>
          <c:x val="0.65592155147273679"/>
          <c:y val="0.19856087205659809"/>
          <c:w val="0.34177748614756492"/>
          <c:h val="0.70779293593828285"/>
        </c:manualLayout>
      </c:layout>
      <c:overlay val="0"/>
      <c:txPr>
        <a:bodyPr/>
        <a:lstStyle/>
        <a:p>
          <a:pPr>
            <a:defRPr sz="1200" b="1"/>
          </a:pPr>
          <a:endParaRPr lang="lv-LV"/>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bar"/>
        <c:grouping val="clustered"/>
        <c:varyColors val="0"/>
        <c:ser>
          <c:idx val="0"/>
          <c:order val="0"/>
          <c:invertIfNegative val="0"/>
          <c:dPt>
            <c:idx val="26"/>
            <c:invertIfNegative val="0"/>
            <c:bubble3D val="0"/>
            <c:spPr>
              <a:solidFill>
                <a:schemeClr val="accent2"/>
              </a:solidFill>
            </c:spPr>
          </c:dPt>
          <c:dLbls>
            <c:dLbl>
              <c:idx val="26"/>
              <c:spPr/>
              <c:txPr>
                <a:bodyPr/>
                <a:lstStyle/>
                <a:p>
                  <a:pPr>
                    <a:defRPr b="1">
                      <a:solidFill>
                        <a:srgbClr val="C00000"/>
                      </a:solidFill>
                    </a:defRPr>
                  </a:pPr>
                  <a:endParaRPr lang="lv-LV"/>
                </a:p>
              </c:txPr>
              <c:showLegendKey val="0"/>
              <c:showVal val="1"/>
              <c:showCatName val="0"/>
              <c:showSerName val="0"/>
              <c:showPercent val="0"/>
              <c:showBubbleSize val="0"/>
            </c:dLbl>
            <c:txPr>
              <a:bodyPr/>
              <a:lstStyle/>
              <a:p>
                <a:pPr>
                  <a:defRPr b="1"/>
                </a:pPr>
                <a:endParaRPr lang="lv-LV"/>
              </a:p>
            </c:txPr>
            <c:showLegendKey val="0"/>
            <c:showVal val="1"/>
            <c:showCatName val="0"/>
            <c:showSerName val="0"/>
            <c:showPercent val="0"/>
            <c:showBubbleSize val="0"/>
            <c:showLeaderLines val="0"/>
          </c:dLbls>
          <c:cat>
            <c:strRef>
              <c:f>ESF!$C$95:$C$121</c:f>
              <c:strCache>
                <c:ptCount val="27"/>
                <c:pt idx="0">
                  <c:v>Rumānija</c:v>
                </c:pt>
                <c:pt idx="1">
                  <c:v>Čehija</c:v>
                </c:pt>
                <c:pt idx="2">
                  <c:v>Malta</c:v>
                </c:pt>
                <c:pt idx="3">
                  <c:v>Bulgārija</c:v>
                </c:pt>
                <c:pt idx="4">
                  <c:v>Dānija</c:v>
                </c:pt>
                <c:pt idx="5">
                  <c:v>Slovākija</c:v>
                </c:pt>
                <c:pt idx="6">
                  <c:v>Grieķija</c:v>
                </c:pt>
                <c:pt idx="7">
                  <c:v>Nīderlande</c:v>
                </c:pt>
                <c:pt idx="8">
                  <c:v>Francija</c:v>
                </c:pt>
                <c:pt idx="9">
                  <c:v>Kipra</c:v>
                </c:pt>
                <c:pt idx="10">
                  <c:v>Ungārija</c:v>
                </c:pt>
                <c:pt idx="11">
                  <c:v>Zviedrija</c:v>
                </c:pt>
                <c:pt idx="12">
                  <c:v>Itālija</c:v>
                </c:pt>
                <c:pt idx="13">
                  <c:v>Slovēnija</c:v>
                </c:pt>
                <c:pt idx="14">
                  <c:v>Luksemburga</c:v>
                </c:pt>
                <c:pt idx="15">
                  <c:v>Beļģija</c:v>
                </c:pt>
                <c:pt idx="16">
                  <c:v>Spānija</c:v>
                </c:pt>
                <c:pt idx="17">
                  <c:v>Vācija</c:v>
                </c:pt>
                <c:pt idx="18">
                  <c:v>Polija</c:v>
                </c:pt>
                <c:pt idx="19">
                  <c:v>Lielbritānija</c:v>
                </c:pt>
                <c:pt idx="20">
                  <c:v>Somija</c:v>
                </c:pt>
                <c:pt idx="21">
                  <c:v>Lietuva</c:v>
                </c:pt>
                <c:pt idx="22">
                  <c:v>Portugāle</c:v>
                </c:pt>
                <c:pt idx="23">
                  <c:v>Austrija</c:v>
                </c:pt>
                <c:pt idx="24">
                  <c:v>Īrija</c:v>
                </c:pt>
                <c:pt idx="25">
                  <c:v>Igaunija</c:v>
                </c:pt>
                <c:pt idx="26">
                  <c:v>Latvija</c:v>
                </c:pt>
              </c:strCache>
            </c:strRef>
          </c:cat>
          <c:val>
            <c:numRef>
              <c:f>ESF!$D$95:$D$121</c:f>
              <c:numCache>
                <c:formatCode>0.0%</c:formatCode>
                <c:ptCount val="27"/>
                <c:pt idx="0">
                  <c:v>0.21687970194955417</c:v>
                </c:pt>
                <c:pt idx="1">
                  <c:v>0.29368693317684147</c:v>
                </c:pt>
                <c:pt idx="2">
                  <c:v>0.3094015883035735</c:v>
                </c:pt>
                <c:pt idx="3">
                  <c:v>0.31461613055894788</c:v>
                </c:pt>
                <c:pt idx="4">
                  <c:v>0.39717591914888861</c:v>
                </c:pt>
                <c:pt idx="5">
                  <c:v>0.39829980549200888</c:v>
                </c:pt>
                <c:pt idx="6">
                  <c:v>0.39835525327073701</c:v>
                </c:pt>
                <c:pt idx="7">
                  <c:v>0.42607253604755507</c:v>
                </c:pt>
                <c:pt idx="8">
                  <c:v>0.42732885460158837</c:v>
                </c:pt>
                <c:pt idx="9">
                  <c:v>0.42830013886547347</c:v>
                </c:pt>
                <c:pt idx="10">
                  <c:v>0.43852555693397882</c:v>
                </c:pt>
                <c:pt idx="11">
                  <c:v>0.44754005313949602</c:v>
                </c:pt>
                <c:pt idx="12">
                  <c:v>0.4558954067899823</c:v>
                </c:pt>
                <c:pt idx="13">
                  <c:v>0.50402724096488261</c:v>
                </c:pt>
                <c:pt idx="14">
                  <c:v>0.50456324964844657</c:v>
                </c:pt>
                <c:pt idx="15">
                  <c:v>0.50485888940803192</c:v>
                </c:pt>
                <c:pt idx="16">
                  <c:v>0.53463722391442015</c:v>
                </c:pt>
                <c:pt idx="17">
                  <c:v>0.55927304817816192</c:v>
                </c:pt>
                <c:pt idx="18">
                  <c:v>0.56786497847747175</c:v>
                </c:pt>
                <c:pt idx="19">
                  <c:v>0.57199862793544565</c:v>
                </c:pt>
                <c:pt idx="20">
                  <c:v>0.58610871337330062</c:v>
                </c:pt>
                <c:pt idx="21">
                  <c:v>0.61638967729908511</c:v>
                </c:pt>
                <c:pt idx="22">
                  <c:v>0.65567219799254695</c:v>
                </c:pt>
                <c:pt idx="23">
                  <c:v>0.68443891290475567</c:v>
                </c:pt>
                <c:pt idx="24">
                  <c:v>0.69984092177380564</c:v>
                </c:pt>
                <c:pt idx="25">
                  <c:v>0.73488199956533762</c:v>
                </c:pt>
                <c:pt idx="26">
                  <c:v>0.79295065500328565</c:v>
                </c:pt>
              </c:numCache>
            </c:numRef>
          </c:val>
        </c:ser>
        <c:dLbls>
          <c:showLegendKey val="0"/>
          <c:showVal val="0"/>
          <c:showCatName val="0"/>
          <c:showSerName val="0"/>
          <c:showPercent val="0"/>
          <c:showBubbleSize val="0"/>
        </c:dLbls>
        <c:gapWidth val="150"/>
        <c:shape val="box"/>
        <c:axId val="35681792"/>
        <c:axId val="35683328"/>
        <c:axId val="0"/>
      </c:bar3DChart>
      <c:catAx>
        <c:axId val="35681792"/>
        <c:scaling>
          <c:orientation val="minMax"/>
        </c:scaling>
        <c:delete val="0"/>
        <c:axPos val="l"/>
        <c:numFmt formatCode="General" sourceLinked="1"/>
        <c:majorTickMark val="out"/>
        <c:minorTickMark val="none"/>
        <c:tickLblPos val="nextTo"/>
        <c:txPr>
          <a:bodyPr/>
          <a:lstStyle/>
          <a:p>
            <a:pPr>
              <a:defRPr b="1"/>
            </a:pPr>
            <a:endParaRPr lang="lv-LV"/>
          </a:p>
        </c:txPr>
        <c:crossAx val="35683328"/>
        <c:crosses val="autoZero"/>
        <c:auto val="1"/>
        <c:lblAlgn val="ctr"/>
        <c:lblOffset val="100"/>
        <c:noMultiLvlLbl val="0"/>
      </c:catAx>
      <c:valAx>
        <c:axId val="35683328"/>
        <c:scaling>
          <c:orientation val="minMax"/>
        </c:scaling>
        <c:delete val="0"/>
        <c:axPos val="b"/>
        <c:majorGridlines/>
        <c:numFmt formatCode="0.0%" sourceLinked="1"/>
        <c:majorTickMark val="out"/>
        <c:minorTickMark val="none"/>
        <c:tickLblPos val="nextTo"/>
        <c:crossAx val="35681792"/>
        <c:crosses val="autoZero"/>
        <c:crossBetween val="between"/>
      </c:valAx>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c:f>
              <c:strCache>
                <c:ptCount val="1"/>
                <c:pt idx="0">
                  <c:v>Actuals in % (of Commitments)</c:v>
                </c:pt>
              </c:strCache>
            </c:strRef>
          </c:tx>
          <c:spPr>
            <a:solidFill>
              <a:schemeClr val="accent1"/>
            </a:solidFill>
          </c:spPr>
          <c:invertIfNegative val="0"/>
          <c:dPt>
            <c:idx val="9"/>
            <c:invertIfNegative val="0"/>
            <c:bubble3D val="0"/>
            <c:spPr>
              <a:solidFill>
                <a:srgbClr val="FF0000"/>
              </a:solidFill>
            </c:spPr>
          </c:dPt>
          <c:cat>
            <c:strRef>
              <c:f>Sheet1!$A$2:$A$11</c:f>
              <c:strCache>
                <c:ptCount val="10"/>
                <c:pt idx="0">
                  <c:v>Kipra </c:v>
                </c:pt>
                <c:pt idx="1">
                  <c:v>Lietuva</c:v>
                </c:pt>
                <c:pt idx="2">
                  <c:v>Slovākija</c:v>
                </c:pt>
                <c:pt idx="3">
                  <c:v>Čehija</c:v>
                </c:pt>
                <c:pt idx="4">
                  <c:v>Ungārija</c:v>
                </c:pt>
                <c:pt idx="5">
                  <c:v>Polija</c:v>
                </c:pt>
                <c:pt idx="6">
                  <c:v>Slovēnija</c:v>
                </c:pt>
                <c:pt idx="7">
                  <c:v>Malta</c:v>
                </c:pt>
                <c:pt idx="8">
                  <c:v>Igaunija</c:v>
                </c:pt>
                <c:pt idx="9">
                  <c:v>Latvija</c:v>
                </c:pt>
              </c:strCache>
            </c:strRef>
          </c:cat>
          <c:val>
            <c:numRef>
              <c:f>Sheet1!$B$2:$B$11</c:f>
              <c:numCache>
                <c:formatCode>0%</c:formatCode>
                <c:ptCount val="10"/>
                <c:pt idx="0">
                  <c:v>3.0000000000000002E-2</c:v>
                </c:pt>
                <c:pt idx="1">
                  <c:v>0.05</c:v>
                </c:pt>
                <c:pt idx="2">
                  <c:v>0.05</c:v>
                </c:pt>
                <c:pt idx="3">
                  <c:v>0.13</c:v>
                </c:pt>
                <c:pt idx="4">
                  <c:v>0.17</c:v>
                </c:pt>
                <c:pt idx="5">
                  <c:v>0.18000000000000024</c:v>
                </c:pt>
                <c:pt idx="6">
                  <c:v>0.25</c:v>
                </c:pt>
                <c:pt idx="7">
                  <c:v>0.30000000000000032</c:v>
                </c:pt>
                <c:pt idx="8">
                  <c:v>0.35000000000000031</c:v>
                </c:pt>
                <c:pt idx="9">
                  <c:v>0.56000000000000005</c:v>
                </c:pt>
              </c:numCache>
            </c:numRef>
          </c:val>
        </c:ser>
        <c:dLbls>
          <c:showLegendKey val="0"/>
          <c:showVal val="0"/>
          <c:showCatName val="0"/>
          <c:showSerName val="0"/>
          <c:showPercent val="0"/>
          <c:showBubbleSize val="0"/>
        </c:dLbls>
        <c:gapWidth val="150"/>
        <c:axId val="35690752"/>
        <c:axId val="35717120"/>
      </c:barChart>
      <c:catAx>
        <c:axId val="35690752"/>
        <c:scaling>
          <c:orientation val="minMax"/>
        </c:scaling>
        <c:delete val="0"/>
        <c:axPos val="l"/>
        <c:majorTickMark val="out"/>
        <c:minorTickMark val="none"/>
        <c:tickLblPos val="nextTo"/>
        <c:crossAx val="35717120"/>
        <c:crosses val="autoZero"/>
        <c:auto val="1"/>
        <c:lblAlgn val="ctr"/>
        <c:lblOffset val="100"/>
        <c:noMultiLvlLbl val="0"/>
      </c:catAx>
      <c:valAx>
        <c:axId val="35717120"/>
        <c:scaling>
          <c:orientation val="minMax"/>
        </c:scaling>
        <c:delete val="0"/>
        <c:axPos val="b"/>
        <c:majorGridlines/>
        <c:numFmt formatCode="0%" sourceLinked="1"/>
        <c:majorTickMark val="out"/>
        <c:minorTickMark val="none"/>
        <c:tickLblPos val="nextTo"/>
        <c:crossAx val="3569075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400" b="1" i="0" baseline="0">
                <a:effectLst/>
              </a:rPr>
              <a:t>Elektroniskā paraksta lietojums pa gadiem</a:t>
            </a:r>
            <a:endParaRPr lang="lv-LV" sz="1400">
              <a:effectLst/>
            </a:endParaRPr>
          </a:p>
        </c:rich>
      </c:tx>
      <c:layout>
        <c:manualLayout>
          <c:xMode val="edge"/>
          <c:yMode val="edge"/>
          <c:x val="0.20144668357133588"/>
          <c:y val="3.5624569793986607E-2"/>
        </c:manualLayout>
      </c:layout>
      <c:overlay val="0"/>
    </c:title>
    <c:autoTitleDeleted val="0"/>
    <c:plotArea>
      <c:layout>
        <c:manualLayout>
          <c:layoutTarget val="inner"/>
          <c:xMode val="edge"/>
          <c:yMode val="edge"/>
          <c:x val="0.14240507436570429"/>
          <c:y val="0.14008340754065193"/>
          <c:w val="0.80748425196850393"/>
          <c:h val="0.626702628708524"/>
        </c:manualLayout>
      </c:layout>
      <c:barChart>
        <c:barDir val="col"/>
        <c:grouping val="clustered"/>
        <c:varyColors val="0"/>
        <c:ser>
          <c:idx val="1"/>
          <c:order val="0"/>
          <c:tx>
            <c:strRef>
              <c:f>Sheet1!$C$3</c:f>
              <c:strCache>
                <c:ptCount val="1"/>
                <c:pt idx="0">
                  <c:v>Lietojumu skaits</c:v>
                </c:pt>
              </c:strCache>
            </c:strRef>
          </c:tx>
          <c:invertIfNegative val="0"/>
          <c:dLbls>
            <c:dLbl>
              <c:idx val="0"/>
              <c:layout/>
              <c:dLblPos val="outEnd"/>
              <c:showLegendKey val="0"/>
              <c:showVal val="1"/>
              <c:showCatName val="0"/>
              <c:showSerName val="0"/>
              <c:showPercent val="0"/>
              <c:showBubbleSize val="0"/>
            </c:dLbl>
            <c:dLbl>
              <c:idx val="1"/>
              <c:layout/>
              <c:dLblPos val="outEnd"/>
              <c:showLegendKey val="0"/>
              <c:showVal val="1"/>
              <c:showCatName val="0"/>
              <c:showSerName val="0"/>
              <c:showPercent val="0"/>
              <c:showBubbleSize val="0"/>
            </c:dLbl>
            <c:dLbl>
              <c:idx val="2"/>
              <c:layout/>
              <c:dLblPos val="outEnd"/>
              <c:showLegendKey val="0"/>
              <c:showVal val="1"/>
              <c:showCatName val="0"/>
              <c:showSerName val="0"/>
              <c:showPercent val="0"/>
              <c:showBubbleSize val="0"/>
            </c:dLbl>
            <c:dLbl>
              <c:idx val="3"/>
              <c:layout/>
              <c:dLblPos val="outEnd"/>
              <c:showLegendKey val="0"/>
              <c:showVal val="1"/>
              <c:showCatName val="0"/>
              <c:showSerName val="0"/>
              <c:showPercent val="0"/>
              <c:showBubbleSize val="0"/>
            </c:dLbl>
            <c:dLbl>
              <c:idx val="4"/>
              <c:layout/>
              <c:dLblPos val="outEnd"/>
              <c:showLegendKey val="0"/>
              <c:showVal val="1"/>
              <c:showCatName val="0"/>
              <c:showSerName val="0"/>
              <c:showPercent val="0"/>
              <c:showBubbleSize val="0"/>
            </c:dLbl>
            <c:dLbl>
              <c:idx val="5"/>
              <c:layout/>
              <c:dLblPos val="outEnd"/>
              <c:showLegendKey val="0"/>
              <c:showVal val="1"/>
              <c:showCatName val="0"/>
              <c:showSerName val="0"/>
              <c:showPercent val="0"/>
              <c:showBubbleSize val="0"/>
            </c:dLbl>
            <c:showLegendKey val="0"/>
            <c:showVal val="0"/>
            <c:showCatName val="0"/>
            <c:showSerName val="0"/>
            <c:showPercent val="0"/>
            <c:showBubbleSize val="0"/>
          </c:dLbls>
          <c:cat>
            <c:numRef>
              <c:f>Sheet1!$B$4:$B$9</c:f>
              <c:numCache>
                <c:formatCode>General</c:formatCode>
                <c:ptCount val="6"/>
                <c:pt idx="0">
                  <c:v>2007</c:v>
                </c:pt>
                <c:pt idx="1">
                  <c:v>2008</c:v>
                </c:pt>
                <c:pt idx="2">
                  <c:v>2009</c:v>
                </c:pt>
                <c:pt idx="3">
                  <c:v>2010</c:v>
                </c:pt>
                <c:pt idx="4">
                  <c:v>2011</c:v>
                </c:pt>
                <c:pt idx="5">
                  <c:v>2012</c:v>
                </c:pt>
              </c:numCache>
            </c:numRef>
          </c:cat>
          <c:val>
            <c:numRef>
              <c:f>Sheet1!$C$4:$C$9</c:f>
              <c:numCache>
                <c:formatCode>General</c:formatCode>
                <c:ptCount val="6"/>
                <c:pt idx="0">
                  <c:v>7569</c:v>
                </c:pt>
                <c:pt idx="1">
                  <c:v>81289</c:v>
                </c:pt>
                <c:pt idx="2">
                  <c:v>315864</c:v>
                </c:pt>
                <c:pt idx="3">
                  <c:v>633505</c:v>
                </c:pt>
                <c:pt idx="4">
                  <c:v>803585</c:v>
                </c:pt>
                <c:pt idx="5">
                  <c:v>1413486</c:v>
                </c:pt>
              </c:numCache>
            </c:numRef>
          </c:val>
        </c:ser>
        <c:dLbls>
          <c:showLegendKey val="0"/>
          <c:showVal val="0"/>
          <c:showCatName val="0"/>
          <c:showSerName val="0"/>
          <c:showPercent val="0"/>
          <c:showBubbleSize val="0"/>
        </c:dLbls>
        <c:gapWidth val="150"/>
        <c:axId val="35742080"/>
        <c:axId val="35743616"/>
      </c:barChart>
      <c:catAx>
        <c:axId val="35742080"/>
        <c:scaling>
          <c:orientation val="minMax"/>
        </c:scaling>
        <c:delete val="0"/>
        <c:axPos val="b"/>
        <c:numFmt formatCode="General" sourceLinked="1"/>
        <c:majorTickMark val="out"/>
        <c:minorTickMark val="none"/>
        <c:tickLblPos val="nextTo"/>
        <c:crossAx val="35743616"/>
        <c:crosses val="autoZero"/>
        <c:auto val="1"/>
        <c:lblAlgn val="ctr"/>
        <c:lblOffset val="100"/>
        <c:noMultiLvlLbl val="0"/>
      </c:catAx>
      <c:valAx>
        <c:axId val="35743616"/>
        <c:scaling>
          <c:orientation val="minMax"/>
          <c:max val="1600000"/>
        </c:scaling>
        <c:delete val="0"/>
        <c:axPos val="l"/>
        <c:majorGridlines/>
        <c:numFmt formatCode="General" sourceLinked="1"/>
        <c:majorTickMark val="out"/>
        <c:minorTickMark val="none"/>
        <c:tickLblPos val="nextTo"/>
        <c:crossAx val="35742080"/>
        <c:crosses val="autoZero"/>
        <c:crossBetween val="between"/>
      </c:valAx>
    </c:plotArea>
    <c:legend>
      <c:legendPos val="r"/>
      <c:layout>
        <c:manualLayout>
          <c:xMode val="edge"/>
          <c:yMode val="edge"/>
          <c:x val="0.39433377077865628"/>
          <c:y val="0.85104788947570265"/>
          <c:w val="0.18766066106143606"/>
          <c:h val="5.6597551932165834E-2"/>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8.9405401342363244E-2"/>
          <c:y val="3.2840774714487091E-2"/>
          <c:w val="0.91059459865763659"/>
          <c:h val="0.69475203063601465"/>
        </c:manualLayout>
      </c:layout>
      <c:bar3DChart>
        <c:barDir val="col"/>
        <c:grouping val="clustered"/>
        <c:varyColors val="0"/>
        <c:ser>
          <c:idx val="0"/>
          <c:order val="0"/>
          <c:tx>
            <c:strRef>
              <c:f>Sheet1!$A$2</c:f>
              <c:strCache>
                <c:ptCount val="1"/>
              </c:strCache>
            </c:strRef>
          </c:tx>
          <c:spPr>
            <a:solidFill>
              <a:srgbClr val="FFCC00"/>
            </a:solidFill>
            <a:ln w="12703">
              <a:solidFill>
                <a:srgbClr val="000000"/>
              </a:solidFill>
              <a:prstDash val="solid"/>
            </a:ln>
          </c:spPr>
          <c:invertIfNegative val="0"/>
          <c:dLbls>
            <c:dLbl>
              <c:idx val="0"/>
              <c:layout>
                <c:manualLayout>
                  <c:x val="1.8552708445975504E-2"/>
                  <c:y val="-4.3329366056148511E-2"/>
                </c:manualLayout>
              </c:layout>
              <c:showLegendKey val="0"/>
              <c:showVal val="1"/>
              <c:showCatName val="0"/>
              <c:showSerName val="0"/>
              <c:showPercent val="0"/>
              <c:showBubbleSize val="0"/>
            </c:dLbl>
            <c:dLbl>
              <c:idx val="1"/>
              <c:layout>
                <c:manualLayout>
                  <c:x val="2.8467572726109783E-2"/>
                  <c:y val="-5.5755355201057746E-2"/>
                </c:manualLayout>
              </c:layout>
              <c:showLegendKey val="0"/>
              <c:showVal val="1"/>
              <c:showCatName val="0"/>
              <c:showSerName val="0"/>
              <c:showPercent val="0"/>
              <c:showBubbleSize val="0"/>
            </c:dLbl>
            <c:dLbl>
              <c:idx val="2"/>
              <c:layout>
                <c:manualLayout>
                  <c:x val="2.7900041428648409E-2"/>
                  <c:y val="-3.7030566609061212E-2"/>
                </c:manualLayout>
              </c:layout>
              <c:showLegendKey val="0"/>
              <c:showVal val="1"/>
              <c:showCatName val="0"/>
              <c:showSerName val="0"/>
              <c:showPercent val="0"/>
              <c:showBubbleSize val="0"/>
            </c:dLbl>
            <c:dLbl>
              <c:idx val="3"/>
              <c:layout>
                <c:manualLayout>
                  <c:x val="2.8653924353163801E-2"/>
                  <c:y val="-5.0016761652208648E-2"/>
                </c:manualLayout>
              </c:layout>
              <c:spPr>
                <a:noFill/>
                <a:ln w="25407">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dLbl>
            <c:dLbl>
              <c:idx val="4"/>
              <c:layout>
                <c:manualLayout>
                  <c:xMode val="edge"/>
                  <c:yMode val="edge"/>
                  <c:x val="0.82599580712789433"/>
                  <c:y val="0.16872427983539276"/>
                </c:manualLayout>
              </c:layout>
              <c:showLegendKey val="0"/>
              <c:showVal val="1"/>
              <c:showCatName val="0"/>
              <c:showSerName val="0"/>
              <c:showPercent val="0"/>
              <c:showBubbleSize val="0"/>
            </c:dLbl>
            <c:spPr>
              <a:noFill/>
              <a:ln w="25407">
                <a:noFill/>
              </a:ln>
            </c:spPr>
            <c:txPr>
              <a:bodyPr/>
              <a:lstStyle/>
              <a:p>
                <a:pPr>
                  <a:defRPr sz="9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Sheet1!$B$1:$E$1</c:f>
              <c:strCache>
                <c:ptCount val="4"/>
                <c:pt idx="0">
                  <c:v>2009.</c:v>
                </c:pt>
                <c:pt idx="1">
                  <c:v>2010.</c:v>
                </c:pt>
                <c:pt idx="2">
                  <c:v>2011.</c:v>
                </c:pt>
                <c:pt idx="3">
                  <c:v>2012.</c:v>
                </c:pt>
              </c:strCache>
            </c:strRef>
          </c:cat>
          <c:val>
            <c:numRef>
              <c:f>Sheet1!$B$2:$E$2</c:f>
              <c:numCache>
                <c:formatCode>General</c:formatCode>
                <c:ptCount val="4"/>
                <c:pt idx="0">
                  <c:v>54645</c:v>
                </c:pt>
                <c:pt idx="1">
                  <c:v>49346</c:v>
                </c:pt>
                <c:pt idx="2">
                  <c:v>49528</c:v>
                </c:pt>
                <c:pt idx="3">
                  <c:v>45018</c:v>
                </c:pt>
              </c:numCache>
            </c:numRef>
          </c:val>
        </c:ser>
        <c:dLbls>
          <c:showLegendKey val="0"/>
          <c:showVal val="0"/>
          <c:showCatName val="0"/>
          <c:showSerName val="0"/>
          <c:showPercent val="0"/>
          <c:showBubbleSize val="0"/>
        </c:dLbls>
        <c:gapWidth val="150"/>
        <c:gapDepth val="0"/>
        <c:shape val="box"/>
        <c:axId val="35847168"/>
        <c:axId val="35873536"/>
        <c:axId val="0"/>
      </c:bar3DChart>
      <c:catAx>
        <c:axId val="3584716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lv-LV"/>
          </a:p>
        </c:txPr>
        <c:crossAx val="35873536"/>
        <c:crosses val="autoZero"/>
        <c:auto val="1"/>
        <c:lblAlgn val="ctr"/>
        <c:lblOffset val="100"/>
        <c:tickLblSkip val="1"/>
        <c:tickMarkSkip val="1"/>
        <c:noMultiLvlLbl val="0"/>
      </c:catAx>
      <c:valAx>
        <c:axId val="35873536"/>
        <c:scaling>
          <c:orientation val="minMax"/>
          <c:max val="60000"/>
          <c:min val="0"/>
        </c:scaling>
        <c:delete val="0"/>
        <c:axPos val="l"/>
        <c:majorGridlines>
          <c:spPr>
            <a:ln w="12703">
              <a:solidFill>
                <a:srgbClr val="FFFFFF"/>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v-LV"/>
          </a:p>
        </c:txPr>
        <c:crossAx val="35847168"/>
        <c:crosses val="autoZero"/>
        <c:crossBetween val="between"/>
        <c:minorUnit val="120"/>
      </c:valAx>
      <c:spPr>
        <a:noFill/>
        <a:ln w="12703">
          <a:solidFill>
            <a:srgbClr val="000000"/>
          </a:solidFill>
          <a:prstDash val="solid"/>
        </a:ln>
      </c:spPr>
    </c:plotArea>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lv-LV"/>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manualLayout>
          <c:layoutTarget val="inner"/>
          <c:xMode val="edge"/>
          <c:yMode val="edge"/>
          <c:x val="0.14036842931387589"/>
          <c:y val="6.2486355872182632E-2"/>
          <c:w val="0.85780590825327874"/>
          <c:h val="0.65523029819233791"/>
        </c:manualLayout>
      </c:layout>
      <c:bar3DChart>
        <c:barDir val="col"/>
        <c:grouping val="clustered"/>
        <c:varyColors val="0"/>
        <c:ser>
          <c:idx val="0"/>
          <c:order val="0"/>
          <c:tx>
            <c:strRef>
              <c:f>Sheet1!$A$2</c:f>
              <c:strCache>
                <c:ptCount val="1"/>
              </c:strCache>
            </c:strRef>
          </c:tx>
          <c:spPr>
            <a:solidFill>
              <a:srgbClr val="FFCC00"/>
            </a:solidFill>
            <a:ln w="12700">
              <a:solidFill>
                <a:srgbClr val="000000"/>
              </a:solidFill>
              <a:prstDash val="solid"/>
            </a:ln>
          </c:spPr>
          <c:invertIfNegative val="0"/>
          <c:dLbls>
            <c:dLbl>
              <c:idx val="0"/>
              <c:layout>
                <c:manualLayout>
                  <c:x val="2.8468263259996778E-2"/>
                  <c:y val="-6.1402854946162093E-2"/>
                </c:manualLayout>
              </c:layout>
              <c:showLegendKey val="0"/>
              <c:showVal val="1"/>
              <c:showCatName val="0"/>
              <c:showSerName val="0"/>
              <c:showPercent val="0"/>
              <c:showBubbleSize val="0"/>
            </c:dLbl>
            <c:dLbl>
              <c:idx val="1"/>
              <c:layout>
                <c:manualLayout>
                  <c:x val="2.7682864459131491E-2"/>
                  <c:y val="-6.1354964926904933E-2"/>
                </c:manualLayout>
              </c:layout>
              <c:showLegendKey val="0"/>
              <c:showVal val="1"/>
              <c:showCatName val="0"/>
              <c:showSerName val="0"/>
              <c:showPercent val="0"/>
              <c:showBubbleSize val="0"/>
            </c:dLbl>
            <c:dLbl>
              <c:idx val="2"/>
              <c:layout>
                <c:manualLayout>
                  <c:x val="2.8993901716966242E-2"/>
                  <c:y val="-3.5825328996409882E-2"/>
                </c:manualLayout>
              </c:layout>
              <c:showLegendKey val="0"/>
              <c:showVal val="1"/>
              <c:showCatName val="0"/>
              <c:showSerName val="0"/>
              <c:showPercent val="0"/>
              <c:showBubbleSize val="0"/>
            </c:dLbl>
            <c:dLbl>
              <c:idx val="3"/>
              <c:layout>
                <c:manualLayout>
                  <c:x val="3.0600739771661611E-2"/>
                  <c:y val="-4.0210951592483453E-2"/>
                </c:manualLayout>
              </c:layout>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dLbl>
            <c:dLbl>
              <c:idx val="4"/>
              <c:layout>
                <c:manualLayout>
                  <c:xMode val="edge"/>
                  <c:yMode val="edge"/>
                  <c:x val="0.82389937106919175"/>
                  <c:y val="0.29338842975207208"/>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lv-LV"/>
              </a:p>
            </c:txPr>
            <c:showLegendKey val="0"/>
            <c:showVal val="1"/>
            <c:showCatName val="0"/>
            <c:showSerName val="0"/>
            <c:showPercent val="0"/>
            <c:showBubbleSize val="0"/>
            <c:showLeaderLines val="0"/>
          </c:dLbls>
          <c:cat>
            <c:strRef>
              <c:f>Sheet1!$B$1:$E$1</c:f>
              <c:strCache>
                <c:ptCount val="4"/>
                <c:pt idx="0">
                  <c:v>2009.</c:v>
                </c:pt>
                <c:pt idx="1">
                  <c:v>2010.</c:v>
                </c:pt>
                <c:pt idx="2">
                  <c:v>2011.</c:v>
                </c:pt>
                <c:pt idx="3">
                  <c:v>2012.</c:v>
                </c:pt>
              </c:strCache>
            </c:strRef>
          </c:cat>
          <c:val>
            <c:numRef>
              <c:f>Sheet1!$B$2:$E$2</c:f>
              <c:numCache>
                <c:formatCode>General</c:formatCode>
                <c:ptCount val="4"/>
                <c:pt idx="0">
                  <c:v>25.1</c:v>
                </c:pt>
                <c:pt idx="1">
                  <c:v>22.9</c:v>
                </c:pt>
                <c:pt idx="2">
                  <c:v>23.6</c:v>
                </c:pt>
                <c:pt idx="3">
                  <c:v>22.6</c:v>
                </c:pt>
              </c:numCache>
            </c:numRef>
          </c:val>
        </c:ser>
        <c:dLbls>
          <c:showLegendKey val="0"/>
          <c:showVal val="0"/>
          <c:showCatName val="0"/>
          <c:showSerName val="0"/>
          <c:showPercent val="0"/>
          <c:showBubbleSize val="0"/>
        </c:dLbls>
        <c:gapWidth val="150"/>
        <c:gapDepth val="0"/>
        <c:shape val="box"/>
        <c:axId val="42525824"/>
        <c:axId val="42527360"/>
        <c:axId val="0"/>
      </c:bar3DChart>
      <c:catAx>
        <c:axId val="4252582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lv-LV"/>
          </a:p>
        </c:txPr>
        <c:crossAx val="42527360"/>
        <c:crosses val="autoZero"/>
        <c:auto val="1"/>
        <c:lblAlgn val="ctr"/>
        <c:lblOffset val="100"/>
        <c:tickLblSkip val="1"/>
        <c:tickMarkSkip val="1"/>
        <c:noMultiLvlLbl val="0"/>
      </c:catAx>
      <c:valAx>
        <c:axId val="42527360"/>
        <c:scaling>
          <c:orientation val="minMax"/>
          <c:max val="40"/>
          <c:min val="0"/>
        </c:scaling>
        <c:delete val="0"/>
        <c:axPos val="l"/>
        <c:majorGridlines>
          <c:spPr>
            <a:ln w="12700">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lv-LV"/>
          </a:p>
        </c:txPr>
        <c:crossAx val="42525824"/>
        <c:crosses val="autoZero"/>
        <c:crossBetween val="between"/>
        <c:majorUnit val="10"/>
        <c:minorUnit val="10"/>
      </c:valAx>
      <c:spPr>
        <a:noFill/>
        <a:ln w="12700">
          <a:solidFill>
            <a:srgbClr val="000000"/>
          </a:solidFill>
          <a:prstDash val="solid"/>
        </a:ln>
      </c:spPr>
    </c:plotArea>
    <c:plotVisOnly val="1"/>
    <c:dispBlanksAs val="gap"/>
    <c:showDLblsOverMax val="0"/>
  </c:chart>
  <c:spPr>
    <a:noFill/>
    <a:ln>
      <a:noFill/>
    </a:ln>
  </c:spPr>
  <c:txPr>
    <a:bodyPr/>
    <a:lstStyle/>
    <a:p>
      <a:pPr>
        <a:defRPr sz="1075" b="1" i="0" u="none" strike="noStrike" baseline="0">
          <a:solidFill>
            <a:srgbClr val="000000"/>
          </a:solidFill>
          <a:latin typeface="Arial"/>
          <a:ea typeface="Arial"/>
          <a:cs typeface="Arial"/>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5D9BC-50B1-471F-87BF-E67D4B47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133</Pages>
  <Words>40995</Words>
  <Characters>326322</Characters>
  <Application>Microsoft Office Word</Application>
  <DocSecurity>0</DocSecurity>
  <Lines>13052</Lines>
  <Paragraphs>5830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Gita Sniega</cp:lastModifiedBy>
  <cp:revision>5</cp:revision>
  <cp:lastPrinted>2013-02-18T06:30:00Z</cp:lastPrinted>
  <dcterms:created xsi:type="dcterms:W3CDTF">2013-02-18T08:33:00Z</dcterms:created>
  <dcterms:modified xsi:type="dcterms:W3CDTF">2013-02-18T08:56:00Z</dcterms:modified>
</cp:coreProperties>
</file>