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437" w:rsidRDefault="00446437" w:rsidP="00446437">
      <w:pPr>
        <w:pStyle w:val="Footer"/>
        <w:jc w:val="center"/>
        <w:rPr>
          <w:b/>
          <w:bCs/>
          <w:color w:val="000000"/>
          <w:sz w:val="28"/>
          <w:szCs w:val="28"/>
        </w:rPr>
      </w:pPr>
      <w:bookmarkStart w:id="0" w:name="_GoBack"/>
      <w:bookmarkEnd w:id="0"/>
      <w:r>
        <w:rPr>
          <w:b/>
          <w:bCs/>
          <w:color w:val="000000"/>
          <w:sz w:val="28"/>
          <w:szCs w:val="28"/>
        </w:rPr>
        <w:t>Ministru kabineta noteikumu projekta</w:t>
      </w:r>
    </w:p>
    <w:p w:rsidR="00446437" w:rsidRDefault="00446437" w:rsidP="00446437">
      <w:pPr>
        <w:jc w:val="center"/>
        <w:rPr>
          <w:b/>
          <w:bCs/>
          <w:color w:val="000000"/>
          <w:sz w:val="28"/>
          <w:szCs w:val="28"/>
        </w:rPr>
      </w:pPr>
      <w:r>
        <w:rPr>
          <w:b/>
          <w:color w:val="000000"/>
          <w:sz w:val="28"/>
          <w:szCs w:val="28"/>
        </w:rPr>
        <w:t>„Grozījumi Ministru kabineta 2010.gada 2.februāra noteikumos Nr.97 „</w:t>
      </w:r>
      <w:r>
        <w:rPr>
          <w:b/>
          <w:sz w:val="28"/>
          <w:szCs w:val="28"/>
        </w:rPr>
        <w:t xml:space="preserve">Civilās aviācijas personāla veselības pārbaudes veikšanas, </w:t>
      </w:r>
      <w:r>
        <w:rPr>
          <w:b/>
          <w:sz w:val="28"/>
          <w:szCs w:val="28"/>
        </w:rPr>
        <w:br/>
        <w:t>veselības apliecības izsniegšanas, aviācijas medicīnas centru un aviācijas medicīnas ekspertu sertificēšanas kārtība”</w:t>
      </w:r>
      <w:r>
        <w:rPr>
          <w:b/>
          <w:color w:val="000000"/>
          <w:sz w:val="28"/>
          <w:szCs w:val="28"/>
        </w:rPr>
        <w:t>” sākotnējās ietekmes novērtējuma ziņojums (</w:t>
      </w:r>
      <w:r>
        <w:rPr>
          <w:b/>
          <w:bCs/>
          <w:color w:val="000000"/>
          <w:sz w:val="28"/>
          <w:szCs w:val="28"/>
        </w:rPr>
        <w:t>anotācija)</w:t>
      </w:r>
    </w:p>
    <w:p w:rsidR="00446437" w:rsidRDefault="00446437" w:rsidP="00446437">
      <w:pPr>
        <w:jc w:val="center"/>
        <w:outlineLvl w:val="3"/>
        <w:rPr>
          <w:b/>
          <w:bCs/>
          <w:color w:val="000000"/>
          <w:sz w:val="28"/>
          <w:szCs w:val="28"/>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79"/>
        <w:gridCol w:w="1863"/>
        <w:gridCol w:w="6989"/>
      </w:tblGrid>
      <w:tr w:rsidR="00446437" w:rsidTr="00446437">
        <w:tc>
          <w:tcPr>
            <w:tcW w:w="0" w:type="auto"/>
            <w:gridSpan w:val="3"/>
            <w:tcBorders>
              <w:top w:val="single" w:sz="6" w:space="0" w:color="auto"/>
              <w:left w:val="single" w:sz="6" w:space="0" w:color="auto"/>
              <w:bottom w:val="outset" w:sz="6" w:space="0" w:color="000000"/>
              <w:right w:val="single" w:sz="6" w:space="0" w:color="auto"/>
            </w:tcBorders>
            <w:vAlign w:val="center"/>
            <w:hideMark/>
          </w:tcPr>
          <w:p w:rsidR="00446437" w:rsidRDefault="00446437">
            <w:pPr>
              <w:jc w:val="center"/>
              <w:rPr>
                <w:b/>
                <w:bCs/>
                <w:color w:val="000000"/>
                <w:sz w:val="28"/>
                <w:szCs w:val="28"/>
              </w:rPr>
            </w:pPr>
            <w:r>
              <w:rPr>
                <w:b/>
                <w:bCs/>
                <w:color w:val="000000"/>
                <w:sz w:val="28"/>
                <w:szCs w:val="28"/>
              </w:rPr>
              <w:t>I. Tiesību akta projekta izstrādes nepieciešamība</w:t>
            </w:r>
          </w:p>
        </w:tc>
      </w:tr>
      <w:tr w:rsidR="00446437" w:rsidTr="00446437">
        <w:tc>
          <w:tcPr>
            <w:tcW w:w="153" w:type="pct"/>
            <w:tcBorders>
              <w:top w:val="outset" w:sz="6" w:space="0" w:color="000000"/>
              <w:left w:val="outset" w:sz="6" w:space="0" w:color="000000"/>
              <w:bottom w:val="outset" w:sz="6" w:space="0" w:color="000000"/>
              <w:right w:val="outset" w:sz="6" w:space="0" w:color="000000"/>
            </w:tcBorders>
            <w:hideMark/>
          </w:tcPr>
          <w:p w:rsidR="00446437" w:rsidRDefault="00446437">
            <w:pPr>
              <w:rPr>
                <w:color w:val="000000"/>
                <w:sz w:val="28"/>
                <w:szCs w:val="28"/>
              </w:rPr>
            </w:pPr>
            <w:r>
              <w:rPr>
                <w:color w:val="000000"/>
                <w:sz w:val="28"/>
                <w:szCs w:val="28"/>
              </w:rPr>
              <w:t>1.</w:t>
            </w:r>
          </w:p>
        </w:tc>
        <w:tc>
          <w:tcPr>
            <w:tcW w:w="1020" w:type="pct"/>
            <w:tcBorders>
              <w:top w:val="outset" w:sz="6" w:space="0" w:color="000000"/>
              <w:left w:val="outset" w:sz="6" w:space="0" w:color="000000"/>
              <w:bottom w:val="outset" w:sz="6" w:space="0" w:color="000000"/>
              <w:right w:val="outset" w:sz="6" w:space="0" w:color="000000"/>
            </w:tcBorders>
            <w:hideMark/>
          </w:tcPr>
          <w:p w:rsidR="00446437" w:rsidRDefault="00446437">
            <w:pPr>
              <w:rPr>
                <w:color w:val="000000"/>
                <w:sz w:val="28"/>
                <w:szCs w:val="28"/>
              </w:rPr>
            </w:pPr>
            <w:r>
              <w:rPr>
                <w:color w:val="000000"/>
                <w:sz w:val="28"/>
                <w:szCs w:val="28"/>
              </w:rPr>
              <w:t>Pamatojums</w:t>
            </w:r>
          </w:p>
        </w:tc>
        <w:tc>
          <w:tcPr>
            <w:tcW w:w="3827" w:type="pct"/>
            <w:tcBorders>
              <w:top w:val="outset" w:sz="6" w:space="0" w:color="000000"/>
              <w:left w:val="outset" w:sz="6" w:space="0" w:color="000000"/>
              <w:bottom w:val="outset" w:sz="6" w:space="0" w:color="000000"/>
              <w:right w:val="outset" w:sz="6" w:space="0" w:color="000000"/>
            </w:tcBorders>
          </w:tcPr>
          <w:p w:rsidR="00446437" w:rsidRPr="0075485A" w:rsidRDefault="00446437" w:rsidP="0075485A">
            <w:pPr>
              <w:pStyle w:val="naiskr"/>
              <w:spacing w:before="0" w:after="0"/>
              <w:ind w:hanging="5"/>
              <w:rPr>
                <w:sz w:val="28"/>
                <w:szCs w:val="28"/>
              </w:rPr>
            </w:pPr>
            <w:r>
              <w:rPr>
                <w:sz w:val="28"/>
                <w:szCs w:val="28"/>
              </w:rPr>
              <w:t>Likuma „Par aviāciju” 30.</w:t>
            </w:r>
            <w:r>
              <w:rPr>
                <w:sz w:val="28"/>
                <w:szCs w:val="28"/>
                <w:vertAlign w:val="superscript"/>
              </w:rPr>
              <w:t>1</w:t>
            </w:r>
            <w:r>
              <w:rPr>
                <w:sz w:val="28"/>
                <w:szCs w:val="28"/>
              </w:rPr>
              <w:t xml:space="preserve"> panta otrā un trešā daļa.</w:t>
            </w:r>
          </w:p>
        </w:tc>
      </w:tr>
      <w:tr w:rsidR="00446437" w:rsidTr="00446437">
        <w:tc>
          <w:tcPr>
            <w:tcW w:w="153" w:type="pct"/>
            <w:tcBorders>
              <w:top w:val="outset" w:sz="6" w:space="0" w:color="000000"/>
              <w:left w:val="outset" w:sz="6" w:space="0" w:color="000000"/>
              <w:bottom w:val="outset" w:sz="6" w:space="0" w:color="000000"/>
              <w:right w:val="outset" w:sz="6" w:space="0" w:color="000000"/>
            </w:tcBorders>
            <w:hideMark/>
          </w:tcPr>
          <w:p w:rsidR="00446437" w:rsidRDefault="00446437">
            <w:pPr>
              <w:rPr>
                <w:color w:val="000000"/>
                <w:sz w:val="28"/>
                <w:szCs w:val="28"/>
              </w:rPr>
            </w:pPr>
            <w:r>
              <w:rPr>
                <w:color w:val="000000"/>
                <w:sz w:val="28"/>
                <w:szCs w:val="28"/>
              </w:rPr>
              <w:t>2.</w:t>
            </w:r>
          </w:p>
        </w:tc>
        <w:tc>
          <w:tcPr>
            <w:tcW w:w="1020" w:type="pct"/>
            <w:tcBorders>
              <w:top w:val="outset" w:sz="6" w:space="0" w:color="000000"/>
              <w:left w:val="outset" w:sz="6" w:space="0" w:color="000000"/>
              <w:bottom w:val="outset" w:sz="6" w:space="0" w:color="000000"/>
              <w:right w:val="outset" w:sz="6" w:space="0" w:color="000000"/>
            </w:tcBorders>
            <w:hideMark/>
          </w:tcPr>
          <w:p w:rsidR="00446437" w:rsidRDefault="00446437">
            <w:pPr>
              <w:rPr>
                <w:color w:val="000000"/>
                <w:sz w:val="28"/>
                <w:szCs w:val="28"/>
              </w:rPr>
            </w:pPr>
            <w:r>
              <w:rPr>
                <w:color w:val="000000"/>
                <w:sz w:val="28"/>
                <w:szCs w:val="28"/>
              </w:rPr>
              <w:t>Pašreizējā situācija un problēmas</w:t>
            </w:r>
          </w:p>
        </w:tc>
        <w:tc>
          <w:tcPr>
            <w:tcW w:w="3827" w:type="pct"/>
            <w:tcBorders>
              <w:top w:val="outset" w:sz="6" w:space="0" w:color="000000"/>
              <w:left w:val="outset" w:sz="6" w:space="0" w:color="000000"/>
              <w:bottom w:val="outset" w:sz="6" w:space="0" w:color="000000"/>
              <w:right w:val="outset" w:sz="6" w:space="0" w:color="000000"/>
            </w:tcBorders>
            <w:hideMark/>
          </w:tcPr>
          <w:p w:rsidR="00446437" w:rsidRDefault="00446437">
            <w:pPr>
              <w:ind w:left="34" w:firstLine="360"/>
              <w:jc w:val="both"/>
              <w:rPr>
                <w:sz w:val="28"/>
                <w:szCs w:val="28"/>
              </w:rPr>
            </w:pPr>
            <w:r>
              <w:rPr>
                <w:color w:val="000000"/>
                <w:sz w:val="28"/>
                <w:szCs w:val="28"/>
              </w:rPr>
              <w:t>Šobrīd ir spēkā Ministru kabineta 2010.gada 2.februāra noteikumi Nr.97 „</w:t>
            </w:r>
            <w:r>
              <w:rPr>
                <w:sz w:val="28"/>
                <w:szCs w:val="28"/>
              </w:rPr>
              <w:t>Civilās aviācijas personāla veselības pārbaudes veikšanas, veselības apliecības izsniegšanas, aviācijas medicīnas centru un aviācijas medicīnas ekspertu sertificēšanas kārtība” (turpmāk – noteikumi Nr.97), kuri nosaka kārtību, kādā sertificē aviācijas medicīnas ekspertus, aviācijas medicīnas centrus un kādā veic civilās aviācijas personāla veselības stāvokļa pārbaudes un izsniedz civilās aviācijas personāla veselības apliecības Latvijas Republikā. Noteikumu Nr.97 ietvaros ar terminu „Civilās aviācijas personāls” tiek aptverts personu loks - gaisa kuģu lidojumu apkalpes locekļi (komercpilots, privātpilots, amatierpilots utt.), gaisa kuģa salona apkalpes locekļi un gaisa satiksmes vadības dispečeri.</w:t>
            </w:r>
          </w:p>
          <w:p w:rsidR="00446437" w:rsidRDefault="00446437">
            <w:pPr>
              <w:ind w:left="34" w:firstLine="360"/>
              <w:jc w:val="both"/>
              <w:rPr>
                <w:sz w:val="28"/>
                <w:szCs w:val="28"/>
              </w:rPr>
            </w:pPr>
            <w:r>
              <w:rPr>
                <w:sz w:val="28"/>
                <w:szCs w:val="28"/>
              </w:rPr>
              <w:t>2011.gada 3.novembrī tika pieņemta Komisijas Regula (ES) Nr. 1178/2011, ar ko nosaka tehniskās prasības un administratīvās procedūras attiecībā uz civilās aviācijas gaisa kuģa apkalpi atbilstīgi Eiropas Parlamenta un Padomes Regulai (EK) Nr. 216/2008 (turpmāk – regula Nr.1178/2011), kura ir grozīta ar Komisijas 2012.gada 30.marta Regulu (ES) Nr. 290/2012, ar kuru groza Regulu (ES) Nr. 1178/2011, ar ko nosaka tehniskās prasības un administratīvās procedūras attiecībā uz civilās aviācijas gaisa kuģu apkalpi atbilstīgi Eiropas Parlamenta un Padomes Regulai (EK) Nr. 216/2008. Regulā Nr.1178/2011 ir noteiktas prasības attiecībā uz gaisa kuģu apkalpes locekļu (dažādu pilotu un salona apkalpes locekļu) veselības pārbaudes veikšanu, veselības apliecīb</w:t>
            </w:r>
            <w:r w:rsidR="00B91364">
              <w:rPr>
                <w:sz w:val="28"/>
                <w:szCs w:val="28"/>
              </w:rPr>
              <w:t>u</w:t>
            </w:r>
            <w:r>
              <w:rPr>
                <w:sz w:val="28"/>
                <w:szCs w:val="28"/>
              </w:rPr>
              <w:t xml:space="preserve"> izsniegšanu un to derīguma uzturēšanu, kā arī ir noteiktas prasības aviācijas medicīnas ekspertu un aviācijas medicīnas centru sertifikācijai.</w:t>
            </w:r>
          </w:p>
          <w:p w:rsidR="00446437" w:rsidRDefault="00446437">
            <w:pPr>
              <w:ind w:left="34" w:firstLine="360"/>
              <w:jc w:val="both"/>
              <w:rPr>
                <w:sz w:val="28"/>
                <w:szCs w:val="28"/>
              </w:rPr>
            </w:pPr>
            <w:r>
              <w:rPr>
                <w:sz w:val="28"/>
                <w:szCs w:val="28"/>
              </w:rPr>
              <w:t xml:space="preserve">Ar regulas Nr.1178/2011 spēkā stāšanos un jo īpaši ar tās </w:t>
            </w:r>
            <w:r>
              <w:rPr>
                <w:sz w:val="28"/>
                <w:szCs w:val="28"/>
              </w:rPr>
              <w:lastRenderedPageBreak/>
              <w:t xml:space="preserve">grozījumu spēkā stāšanos tika konstatēts, ka vairākas tiesību normas dublējas ar noteikumu Nr.97 tiesību normām. Turklāt regulā Nr.1178/2011 ir noteikts sīkāks sadalījums attiecībā uz civilās aviācijas personāla veselības apliecībām, nekā tas šobrīd ir noteikts noteikumos Nr.97. Piemēram, regulā Nr.1178/2011 ir noteikts, ka dalībvalsts izsniedz pirmās klases, otrās klases, LAPL un gaisa kuģa salona apkalpes locekļu veselības apliecības, savukārt noteikumos Nr.97 nav atsevišķi izdalītas amatierpilotu veselības apliecības un gaisa kuģa salona apkalpes locekļu veselības apliecības, bet tās ir klasificētas kā otrās klases veselības apliecības. </w:t>
            </w:r>
          </w:p>
          <w:p w:rsidR="00446437" w:rsidRDefault="00446437">
            <w:pPr>
              <w:ind w:left="34" w:firstLine="360"/>
              <w:jc w:val="both"/>
              <w:rPr>
                <w:sz w:val="28"/>
                <w:szCs w:val="28"/>
              </w:rPr>
            </w:pPr>
            <w:r>
              <w:rPr>
                <w:sz w:val="28"/>
                <w:szCs w:val="28"/>
              </w:rPr>
              <w:t>Lai novērstu regulas Nr.1178/2011 tiesību normu dublēšanos ar noteikumu Nr.97 tiesību no</w:t>
            </w:r>
            <w:r w:rsidR="006C40D6">
              <w:rPr>
                <w:sz w:val="28"/>
                <w:szCs w:val="28"/>
              </w:rPr>
              <w:t>rmām, kā arī, lai izpildītu visu</w:t>
            </w:r>
            <w:r>
              <w:rPr>
                <w:sz w:val="28"/>
                <w:szCs w:val="28"/>
              </w:rPr>
              <w:t>s Latvijas Republikas</w:t>
            </w:r>
            <w:r w:rsidR="00142E3C">
              <w:rPr>
                <w:sz w:val="28"/>
                <w:szCs w:val="28"/>
              </w:rPr>
              <w:t xml:space="preserve"> pienākumus </w:t>
            </w:r>
            <w:r>
              <w:rPr>
                <w:sz w:val="28"/>
                <w:szCs w:val="28"/>
              </w:rPr>
              <w:t xml:space="preserve">  pret Eiropas Savienību, nepieciešams veikt grozījumus noteikumos Nr.97. Lai nodrošinātu terminu vienveidību, noteikumos Nr.97 turpmāk tiks lietots regulā Nr.1178/2011 lietotais termins „LAPL veselības apliecība”, kas tiek izsniegta amatierpilotiem.</w:t>
            </w:r>
          </w:p>
          <w:p w:rsidR="00446437" w:rsidRDefault="00446437">
            <w:pPr>
              <w:ind w:left="34" w:firstLine="360"/>
              <w:jc w:val="both"/>
              <w:rPr>
                <w:sz w:val="28"/>
                <w:szCs w:val="28"/>
              </w:rPr>
            </w:pPr>
            <w:r>
              <w:rPr>
                <w:sz w:val="28"/>
                <w:szCs w:val="28"/>
              </w:rPr>
              <w:t xml:space="preserve">2011.gada 10.augustā tika pieņemta Komisijas Regula (ES) Nr. 805/2011, ar ko nosaka sīki izstrādātus noteikumus gaisa satiksmes vadības dispečeru licencēm un noteiktiem sertifikātiem atbilstīgi Eiropas Parlamenta un Padomes Regulai (EK) Nr. 216/2008 (turpmāk – regula Nr.805/2011). Regulas Nr.805/2011 III. nodaļas prasības attiecas uz gaisa satiksmes vadības dispečeru veselības apliecību saņemšanu. Saskaņā ar regulas Nr.805/2011 15.panta pirmo punktu gaisa satiksmes vadības dispečeru veselības apliecību izsniegšanu, to atkārtotu apstiprināšanu un atjaunošanu veic kompetentā iestāde tās noteiktajā veidā un formā. Šīs regulas izpratnē kompetentā iestāde ir Civilās aviācijas aģentūra.  Noteikumos Nr.97 jau ir noteikts, kāda veida veselības apliecības un kādā kārtībā tās izsniedz gaisa satiksmes vadības dispečeriem. Lai novērstu tiesību normu dublēšanos, noteikumu Nr.97 tiesību normas, kas attiecas uz gaisa satiksmes vadības dispečeriem, ir jāsaskaņo ar regulā Nr.805/2011 noteiktajām prasībām, kas attiecas uz veselības apliecības izsniegšanu. </w:t>
            </w:r>
          </w:p>
          <w:p w:rsidR="00446437" w:rsidRDefault="00EF2163" w:rsidP="00727B84">
            <w:pPr>
              <w:ind w:left="34" w:firstLine="360"/>
              <w:jc w:val="both"/>
              <w:rPr>
                <w:sz w:val="28"/>
                <w:szCs w:val="28"/>
              </w:rPr>
            </w:pPr>
            <w:r>
              <w:rPr>
                <w:sz w:val="28"/>
                <w:szCs w:val="28"/>
              </w:rPr>
              <w:t>S</w:t>
            </w:r>
            <w:r w:rsidR="00516B42">
              <w:rPr>
                <w:sz w:val="28"/>
                <w:szCs w:val="28"/>
              </w:rPr>
              <w:t xml:space="preserve">askaņā ar </w:t>
            </w:r>
            <w:r w:rsidR="008066B6" w:rsidRPr="008066B6">
              <w:rPr>
                <w:sz w:val="28"/>
                <w:szCs w:val="28"/>
              </w:rPr>
              <w:t xml:space="preserve">Eiropas Parlamenta un </w:t>
            </w:r>
            <w:r w:rsidR="006C40D6">
              <w:rPr>
                <w:sz w:val="28"/>
                <w:szCs w:val="28"/>
              </w:rPr>
              <w:t>Padomes 2008. gada 20. februāra</w:t>
            </w:r>
            <w:r w:rsidR="008066B6" w:rsidRPr="008066B6">
              <w:rPr>
                <w:sz w:val="28"/>
                <w:szCs w:val="28"/>
              </w:rPr>
              <w:t xml:space="preserve"> Regula</w:t>
            </w:r>
            <w:r w:rsidR="00DD50B1">
              <w:rPr>
                <w:sz w:val="28"/>
                <w:szCs w:val="28"/>
              </w:rPr>
              <w:t>s (EK) Nr.</w:t>
            </w:r>
            <w:r w:rsidR="008066B6">
              <w:rPr>
                <w:sz w:val="28"/>
                <w:szCs w:val="28"/>
              </w:rPr>
              <w:t>216/2008</w:t>
            </w:r>
            <w:r w:rsidR="008066B6" w:rsidRPr="008066B6">
              <w:rPr>
                <w:sz w:val="28"/>
                <w:szCs w:val="28"/>
              </w:rPr>
              <w:t xml:space="preserve"> par kopīgiem noteikumiem civilās aviācijas jomā un par Eiropas Aviācijas </w:t>
            </w:r>
            <w:r w:rsidR="008066B6" w:rsidRPr="008066B6">
              <w:rPr>
                <w:sz w:val="28"/>
                <w:szCs w:val="28"/>
              </w:rPr>
              <w:lastRenderedPageBreak/>
              <w:t>drošības aģentūras izveidi, un ar ko atceļ Padomes Direktīvu 91/670/EEK, Regulu (EK) Nr. 1592/2002 un Direktīvu 2004/36/EK</w:t>
            </w:r>
            <w:r w:rsidR="008066B6">
              <w:rPr>
                <w:sz w:val="28"/>
                <w:szCs w:val="28"/>
              </w:rPr>
              <w:t xml:space="preserve"> </w:t>
            </w:r>
            <w:r w:rsidR="008066B6" w:rsidRPr="008066B6">
              <w:rPr>
                <w:sz w:val="28"/>
                <w:szCs w:val="28"/>
              </w:rPr>
              <w:t>18.panta (c) punktu</w:t>
            </w:r>
            <w:r w:rsidR="008066B6">
              <w:rPr>
                <w:sz w:val="28"/>
                <w:szCs w:val="28"/>
              </w:rPr>
              <w:t xml:space="preserve"> </w:t>
            </w:r>
            <w:r>
              <w:rPr>
                <w:sz w:val="28"/>
                <w:szCs w:val="28"/>
              </w:rPr>
              <w:t xml:space="preserve">Eiropas Aviācijas drošības aģentūra </w:t>
            </w:r>
            <w:r w:rsidR="00446437">
              <w:rPr>
                <w:sz w:val="28"/>
                <w:szCs w:val="28"/>
              </w:rPr>
              <w:t>ir izstrādājusi dokumentus regulas Nr.1178/2011 prasību piemērošanai „Attiecīgie līdzekļi atbilstības panākšanai un vadlīnijas”. Dalībvalstīm jāievēro šajos dokumentos noteiktais vai jāizstrādā dokumenti, kuri nodrošina līdzvērtīgu regulas Nr1178/2011 prasību piemērošanu. Ņemot vērā to, ka citi dokumenti regulas Nr1178/2011 piemērošanai nav izstrādāti, projektā iekļautas dokumentu „Attiecīgie līdzekļi atbilstības panākšanai un vadlīnijas. MED daļa”</w:t>
            </w:r>
            <w:r w:rsidR="008066B6">
              <w:rPr>
                <w:sz w:val="28"/>
                <w:szCs w:val="28"/>
              </w:rPr>
              <w:t xml:space="preserve"> (</w:t>
            </w:r>
            <w:r w:rsidR="008066B6" w:rsidRPr="008066B6">
              <w:rPr>
                <w:sz w:val="28"/>
                <w:szCs w:val="28"/>
              </w:rPr>
              <w:t xml:space="preserve">Eiropas aviācijas drošības aģentūras izpilddirektora </w:t>
            </w:r>
            <w:r w:rsidR="008066B6">
              <w:rPr>
                <w:sz w:val="28"/>
                <w:szCs w:val="28"/>
              </w:rPr>
              <w:t>2011.gada 15.decembra</w:t>
            </w:r>
            <w:r w:rsidR="008066B6" w:rsidRPr="008066B6">
              <w:rPr>
                <w:sz w:val="28"/>
                <w:szCs w:val="28"/>
              </w:rPr>
              <w:t xml:space="preserve"> </w:t>
            </w:r>
            <w:r w:rsidR="008066B6">
              <w:rPr>
                <w:sz w:val="28"/>
                <w:szCs w:val="28"/>
              </w:rPr>
              <w:t>lēmums Nr.2011/015/R)</w:t>
            </w:r>
            <w:r w:rsidR="00446437">
              <w:rPr>
                <w:sz w:val="28"/>
                <w:szCs w:val="28"/>
              </w:rPr>
              <w:t xml:space="preserve"> un „Attiecīgie līdzekļi atbilstības panākšanai un vadlīnijas. ARA daļa”</w:t>
            </w:r>
            <w:r w:rsidR="00516B42">
              <w:rPr>
                <w:sz w:val="28"/>
                <w:szCs w:val="28"/>
              </w:rPr>
              <w:t xml:space="preserve"> (</w:t>
            </w:r>
            <w:r w:rsidR="008066B6" w:rsidRPr="008066B6">
              <w:rPr>
                <w:sz w:val="28"/>
                <w:szCs w:val="28"/>
              </w:rPr>
              <w:t>Eiropas aviācijas drošības aģentūras izpilddirektora 2012.gada 19.aprīļa lēmums Nr.2011/006/R</w:t>
            </w:r>
            <w:r w:rsidR="00516B42">
              <w:rPr>
                <w:sz w:val="28"/>
                <w:szCs w:val="28"/>
              </w:rPr>
              <w:t>)</w:t>
            </w:r>
            <w:r w:rsidR="00F764A8">
              <w:rPr>
                <w:sz w:val="28"/>
                <w:szCs w:val="28"/>
              </w:rPr>
              <w:t xml:space="preserve">, </w:t>
            </w:r>
            <w:r w:rsidR="00F764A8" w:rsidRPr="0058367D">
              <w:rPr>
                <w:sz w:val="28"/>
                <w:szCs w:val="28"/>
              </w:rPr>
              <w:t>kuri</w:t>
            </w:r>
            <w:r w:rsidR="00B94DFA" w:rsidRPr="0058367D">
              <w:rPr>
                <w:sz w:val="28"/>
                <w:szCs w:val="28"/>
              </w:rPr>
              <w:t xml:space="preserve"> </w:t>
            </w:r>
            <w:r w:rsidR="00727B84" w:rsidRPr="0058367D">
              <w:rPr>
                <w:sz w:val="28"/>
                <w:szCs w:val="28"/>
              </w:rPr>
              <w:t xml:space="preserve">tulkoti latviešu valodā un </w:t>
            </w:r>
            <w:r w:rsidR="00B94DFA" w:rsidRPr="0058367D">
              <w:rPr>
                <w:sz w:val="28"/>
                <w:szCs w:val="28"/>
              </w:rPr>
              <w:t>publicēti Civilās aviācijas aģentūras mājaslapā,</w:t>
            </w:r>
            <w:r w:rsidR="00446437" w:rsidRPr="0058367D">
              <w:rPr>
                <w:sz w:val="28"/>
                <w:szCs w:val="28"/>
              </w:rPr>
              <w:t xml:space="preserve"> prasības</w:t>
            </w:r>
            <w:r w:rsidR="00727B84" w:rsidRPr="0058367D">
              <w:rPr>
                <w:sz w:val="28"/>
                <w:szCs w:val="28"/>
              </w:rPr>
              <w:t>. Publicējot  minēto dokumentu tulkojumus, tiks nodrošināts, ka Civilās aviācijas aģentūras mājaslapā pieejamas šo dokumentu aktuālās versijas.</w:t>
            </w:r>
          </w:p>
        </w:tc>
      </w:tr>
      <w:tr w:rsidR="00446437" w:rsidTr="00446437">
        <w:tc>
          <w:tcPr>
            <w:tcW w:w="153" w:type="pct"/>
            <w:tcBorders>
              <w:top w:val="outset" w:sz="6" w:space="0" w:color="000000"/>
              <w:left w:val="outset" w:sz="6" w:space="0" w:color="000000"/>
              <w:bottom w:val="outset" w:sz="6" w:space="0" w:color="000000"/>
              <w:right w:val="outset" w:sz="6" w:space="0" w:color="000000"/>
            </w:tcBorders>
            <w:hideMark/>
          </w:tcPr>
          <w:p w:rsidR="00446437" w:rsidRDefault="00446437">
            <w:pPr>
              <w:rPr>
                <w:color w:val="000000"/>
                <w:sz w:val="28"/>
                <w:szCs w:val="28"/>
              </w:rPr>
            </w:pPr>
            <w:r>
              <w:rPr>
                <w:color w:val="000000"/>
                <w:sz w:val="28"/>
                <w:szCs w:val="28"/>
              </w:rPr>
              <w:lastRenderedPageBreak/>
              <w:t>3.</w:t>
            </w:r>
          </w:p>
        </w:tc>
        <w:tc>
          <w:tcPr>
            <w:tcW w:w="1020" w:type="pct"/>
            <w:tcBorders>
              <w:top w:val="outset" w:sz="6" w:space="0" w:color="000000"/>
              <w:left w:val="outset" w:sz="6" w:space="0" w:color="000000"/>
              <w:bottom w:val="outset" w:sz="6" w:space="0" w:color="000000"/>
              <w:right w:val="outset" w:sz="6" w:space="0" w:color="000000"/>
            </w:tcBorders>
            <w:hideMark/>
          </w:tcPr>
          <w:p w:rsidR="00446437" w:rsidRDefault="00446437">
            <w:pPr>
              <w:rPr>
                <w:color w:val="000000"/>
                <w:sz w:val="28"/>
                <w:szCs w:val="28"/>
              </w:rPr>
            </w:pPr>
            <w:r>
              <w:rPr>
                <w:color w:val="000000"/>
                <w:sz w:val="28"/>
                <w:szCs w:val="28"/>
              </w:rPr>
              <w:t>Saistītie politikas ietekmes novērtējumi un pētījumi</w:t>
            </w:r>
          </w:p>
        </w:tc>
        <w:tc>
          <w:tcPr>
            <w:tcW w:w="3827" w:type="pct"/>
            <w:tcBorders>
              <w:top w:val="outset" w:sz="6" w:space="0" w:color="000000"/>
              <w:left w:val="outset" w:sz="6" w:space="0" w:color="000000"/>
              <w:bottom w:val="outset" w:sz="6" w:space="0" w:color="000000"/>
              <w:right w:val="outset" w:sz="6" w:space="0" w:color="000000"/>
            </w:tcBorders>
          </w:tcPr>
          <w:p w:rsidR="00446437" w:rsidRDefault="00446437">
            <w:pPr>
              <w:rPr>
                <w:color w:val="000000"/>
                <w:sz w:val="28"/>
                <w:szCs w:val="28"/>
              </w:rPr>
            </w:pPr>
            <w:r>
              <w:rPr>
                <w:color w:val="000000"/>
                <w:sz w:val="28"/>
                <w:szCs w:val="28"/>
              </w:rPr>
              <w:t xml:space="preserve">Projekts šo jomu neskar. </w:t>
            </w:r>
          </w:p>
          <w:p w:rsidR="00446437" w:rsidRDefault="00446437">
            <w:pPr>
              <w:rPr>
                <w:color w:val="000000"/>
                <w:sz w:val="28"/>
                <w:szCs w:val="28"/>
              </w:rPr>
            </w:pPr>
          </w:p>
        </w:tc>
      </w:tr>
      <w:tr w:rsidR="00446437" w:rsidTr="00446437">
        <w:tc>
          <w:tcPr>
            <w:tcW w:w="153" w:type="pct"/>
            <w:tcBorders>
              <w:top w:val="outset" w:sz="6" w:space="0" w:color="000000"/>
              <w:left w:val="outset" w:sz="6" w:space="0" w:color="000000"/>
              <w:bottom w:val="outset" w:sz="6" w:space="0" w:color="000000"/>
              <w:right w:val="outset" w:sz="6" w:space="0" w:color="000000"/>
            </w:tcBorders>
            <w:hideMark/>
          </w:tcPr>
          <w:p w:rsidR="00446437" w:rsidRDefault="00446437">
            <w:pPr>
              <w:rPr>
                <w:color w:val="000000"/>
                <w:sz w:val="28"/>
                <w:szCs w:val="28"/>
              </w:rPr>
            </w:pPr>
            <w:r>
              <w:rPr>
                <w:color w:val="000000"/>
                <w:sz w:val="28"/>
                <w:szCs w:val="28"/>
              </w:rPr>
              <w:t>4.</w:t>
            </w:r>
          </w:p>
        </w:tc>
        <w:tc>
          <w:tcPr>
            <w:tcW w:w="1020" w:type="pct"/>
            <w:tcBorders>
              <w:top w:val="outset" w:sz="6" w:space="0" w:color="000000"/>
              <w:left w:val="outset" w:sz="6" w:space="0" w:color="000000"/>
              <w:bottom w:val="outset" w:sz="6" w:space="0" w:color="000000"/>
              <w:right w:val="outset" w:sz="6" w:space="0" w:color="000000"/>
            </w:tcBorders>
            <w:hideMark/>
          </w:tcPr>
          <w:p w:rsidR="00446437" w:rsidRDefault="00446437">
            <w:pPr>
              <w:rPr>
                <w:color w:val="000000"/>
                <w:sz w:val="28"/>
                <w:szCs w:val="28"/>
              </w:rPr>
            </w:pPr>
            <w:r>
              <w:rPr>
                <w:color w:val="000000"/>
                <w:sz w:val="28"/>
                <w:szCs w:val="28"/>
              </w:rPr>
              <w:t>Tiesiskā regulējuma mērķis un būtība</w:t>
            </w:r>
          </w:p>
        </w:tc>
        <w:tc>
          <w:tcPr>
            <w:tcW w:w="3827" w:type="pct"/>
            <w:tcBorders>
              <w:top w:val="outset" w:sz="6" w:space="0" w:color="000000"/>
              <w:left w:val="outset" w:sz="6" w:space="0" w:color="000000"/>
              <w:bottom w:val="outset" w:sz="6" w:space="0" w:color="000000"/>
              <w:right w:val="outset" w:sz="6" w:space="0" w:color="000000"/>
            </w:tcBorders>
            <w:hideMark/>
          </w:tcPr>
          <w:p w:rsidR="00446437" w:rsidRDefault="00446437">
            <w:pPr>
              <w:ind w:left="34" w:firstLine="360"/>
              <w:jc w:val="both"/>
              <w:rPr>
                <w:sz w:val="28"/>
                <w:szCs w:val="28"/>
              </w:rPr>
            </w:pPr>
            <w:r>
              <w:rPr>
                <w:sz w:val="28"/>
                <w:szCs w:val="28"/>
              </w:rPr>
              <w:t>Noteikumu projekta mērķis ir izpildīt regulas Nr.1178/2011 un regulas Nr.805/2011 prasības un izslēgt no noteikumiem Nr.97 tiesību normas, kuras dublējas ar regulas Nr.1178/2011 un regulas Nr.805/2011 tiesību normām.</w:t>
            </w:r>
          </w:p>
          <w:p w:rsidR="00446437" w:rsidRDefault="00446437">
            <w:pPr>
              <w:ind w:left="34" w:firstLine="360"/>
              <w:jc w:val="both"/>
              <w:rPr>
                <w:sz w:val="28"/>
                <w:szCs w:val="28"/>
              </w:rPr>
            </w:pPr>
            <w:r>
              <w:rPr>
                <w:sz w:val="28"/>
                <w:szCs w:val="28"/>
              </w:rPr>
              <w:t>Noteikumu projekts paredz:</w:t>
            </w:r>
          </w:p>
          <w:p w:rsidR="00446437" w:rsidRDefault="00727B84">
            <w:pPr>
              <w:ind w:left="34" w:firstLine="360"/>
              <w:jc w:val="both"/>
              <w:rPr>
                <w:sz w:val="28"/>
                <w:szCs w:val="28"/>
              </w:rPr>
            </w:pPr>
            <w:r>
              <w:rPr>
                <w:sz w:val="28"/>
                <w:szCs w:val="28"/>
              </w:rPr>
              <w:t>1</w:t>
            </w:r>
            <w:r w:rsidR="00446437">
              <w:rPr>
                <w:sz w:val="28"/>
                <w:szCs w:val="28"/>
              </w:rPr>
              <w:t>) precizēt tiesību normas, kas nosaka, kuras veselības apliecības un kādos gadījumos izsniedz Civilās aviācijas aģentūra;</w:t>
            </w:r>
          </w:p>
          <w:p w:rsidR="00BE0052" w:rsidRPr="004E0EAA" w:rsidRDefault="00727B84">
            <w:pPr>
              <w:ind w:left="34" w:firstLine="360"/>
              <w:jc w:val="both"/>
              <w:rPr>
                <w:sz w:val="28"/>
                <w:szCs w:val="28"/>
              </w:rPr>
            </w:pPr>
            <w:r>
              <w:rPr>
                <w:sz w:val="28"/>
                <w:szCs w:val="28"/>
              </w:rPr>
              <w:t>2</w:t>
            </w:r>
            <w:r w:rsidR="00BE0052">
              <w:rPr>
                <w:sz w:val="28"/>
                <w:szCs w:val="28"/>
              </w:rPr>
              <w:t xml:space="preserve">) </w:t>
            </w:r>
            <w:r w:rsidR="00BE0052" w:rsidRPr="004E0EAA">
              <w:rPr>
                <w:sz w:val="28"/>
                <w:szCs w:val="28"/>
              </w:rPr>
              <w:t xml:space="preserve">papildināt noteikumus ar normu, kas nosaka, ka Civilās aviācijas aģentūra savā mājaslapā </w:t>
            </w:r>
            <w:hyperlink r:id="rId8" w:history="1">
              <w:r w:rsidR="00BE0052" w:rsidRPr="004E0EAA">
                <w:rPr>
                  <w:rStyle w:val="Hyperlink"/>
                  <w:sz w:val="28"/>
                  <w:szCs w:val="28"/>
                  <w:u w:val="none"/>
                </w:rPr>
                <w:t>www.caa.lv</w:t>
              </w:r>
            </w:hyperlink>
            <w:r w:rsidR="00BE0052" w:rsidRPr="004E0EAA">
              <w:rPr>
                <w:sz w:val="28"/>
                <w:szCs w:val="28"/>
              </w:rPr>
              <w:t xml:space="preserve"> publicē Eiropas aviācijas drošības aģentūras izstrādātos dokumentus regulas Nr.1178/2011 prasību piemērošanai „Attiecīgie līdzekļi atbilstības panākšanai un vadlīnijas”, kas tulkoti latviešu valodā.</w:t>
            </w:r>
          </w:p>
          <w:p w:rsidR="00446437" w:rsidRPr="00910247" w:rsidRDefault="00727B84">
            <w:pPr>
              <w:ind w:left="34" w:firstLine="360"/>
              <w:jc w:val="both"/>
              <w:rPr>
                <w:sz w:val="28"/>
                <w:szCs w:val="28"/>
              </w:rPr>
            </w:pPr>
            <w:r>
              <w:rPr>
                <w:sz w:val="28"/>
                <w:szCs w:val="28"/>
              </w:rPr>
              <w:t>3</w:t>
            </w:r>
            <w:r w:rsidR="00446437" w:rsidRPr="00910247">
              <w:rPr>
                <w:sz w:val="28"/>
                <w:szCs w:val="28"/>
              </w:rPr>
              <w:t xml:space="preserve">) precizēt terminu lietojumu noteikumu Nr.97 tekstā, jo </w:t>
            </w:r>
            <w:r w:rsidR="0008711B" w:rsidRPr="00910247">
              <w:rPr>
                <w:sz w:val="28"/>
                <w:szCs w:val="28"/>
              </w:rPr>
              <w:lastRenderedPageBreak/>
              <w:t xml:space="preserve">ekspertiem, kuri saņems aviācijas medicīnas eksperta sertifikātus </w:t>
            </w:r>
            <w:r w:rsidR="00446437" w:rsidRPr="00910247">
              <w:rPr>
                <w:sz w:val="28"/>
                <w:szCs w:val="28"/>
              </w:rPr>
              <w:t>saskaņā ar regulas Nr.1178/2011 pra</w:t>
            </w:r>
            <w:r w:rsidR="0008711B" w:rsidRPr="00910247">
              <w:rPr>
                <w:sz w:val="28"/>
                <w:szCs w:val="28"/>
              </w:rPr>
              <w:t>sībām, kā arī ekspertiem, kuri saņems aviācijas medicīnas ekspertu sertifikātus trešās klases veselības apliecību pretendentu pārbaužu veikšanai,</w:t>
            </w:r>
            <w:r w:rsidR="00446437" w:rsidRPr="00910247">
              <w:rPr>
                <w:sz w:val="28"/>
                <w:szCs w:val="28"/>
              </w:rPr>
              <w:t xml:space="preserve"> apliecinājuma vietā tiks izsniegts sertifikāts;</w:t>
            </w:r>
          </w:p>
          <w:p w:rsidR="00446437" w:rsidRDefault="00727B84">
            <w:pPr>
              <w:ind w:left="34" w:firstLine="360"/>
              <w:jc w:val="both"/>
              <w:rPr>
                <w:sz w:val="28"/>
                <w:szCs w:val="28"/>
              </w:rPr>
            </w:pPr>
            <w:r>
              <w:rPr>
                <w:sz w:val="28"/>
                <w:szCs w:val="28"/>
              </w:rPr>
              <w:t>4</w:t>
            </w:r>
            <w:r w:rsidR="00446437" w:rsidRPr="00910247">
              <w:rPr>
                <w:sz w:val="28"/>
                <w:szCs w:val="28"/>
              </w:rPr>
              <w:t>) precizēt noteikumu</w:t>
            </w:r>
            <w:r w:rsidR="00E10841">
              <w:rPr>
                <w:sz w:val="28"/>
                <w:szCs w:val="28"/>
              </w:rPr>
              <w:t xml:space="preserve"> Nr.97</w:t>
            </w:r>
            <w:r w:rsidR="00446437">
              <w:rPr>
                <w:sz w:val="28"/>
                <w:szCs w:val="28"/>
              </w:rPr>
              <w:t xml:space="preserve"> 12.punktu, kurš nosaka nosacījumus, kurus jāizpilda personām, kuras vēlas saņemt attiecīgu aviācijas medicīnas eksperta sertifikātu</w:t>
            </w:r>
            <w:r w:rsidR="00A10A2E">
              <w:rPr>
                <w:sz w:val="28"/>
                <w:szCs w:val="28"/>
              </w:rPr>
              <w:t>,</w:t>
            </w:r>
            <w:r w:rsidR="00A10A2E">
              <w:t xml:space="preserve"> </w:t>
            </w:r>
            <w:r w:rsidR="00A10A2E" w:rsidRPr="00A10A2E">
              <w:rPr>
                <w:sz w:val="28"/>
                <w:szCs w:val="28"/>
              </w:rPr>
              <w:t>attiecīgi svītrojot noteikumu Nr.97 13.punktu</w:t>
            </w:r>
            <w:r w:rsidR="00446437">
              <w:rPr>
                <w:sz w:val="28"/>
                <w:szCs w:val="28"/>
              </w:rPr>
              <w:t>;</w:t>
            </w:r>
          </w:p>
          <w:p w:rsidR="00446437" w:rsidRDefault="00727B84">
            <w:pPr>
              <w:ind w:left="34" w:firstLine="360"/>
              <w:jc w:val="both"/>
              <w:rPr>
                <w:sz w:val="28"/>
                <w:szCs w:val="28"/>
              </w:rPr>
            </w:pPr>
            <w:r>
              <w:rPr>
                <w:sz w:val="28"/>
                <w:szCs w:val="28"/>
              </w:rPr>
              <w:t>5</w:t>
            </w:r>
            <w:r w:rsidR="00446437">
              <w:rPr>
                <w:sz w:val="28"/>
                <w:szCs w:val="28"/>
              </w:rPr>
              <w:t>)</w:t>
            </w:r>
            <w:r w:rsidR="00A10A2E">
              <w:rPr>
                <w:sz w:val="28"/>
                <w:szCs w:val="28"/>
              </w:rPr>
              <w:t xml:space="preserve"> precizēt noteikumu Nr.97</w:t>
            </w:r>
            <w:r w:rsidR="00446437">
              <w:rPr>
                <w:sz w:val="28"/>
                <w:szCs w:val="28"/>
              </w:rPr>
              <w:t xml:space="preserve"> 26. punktu, kas regulē aviācijas medicīnas ekspertu un aviācijas medicīnas centru sertifikātu derīguma termiņu, jo sertifikātu</w:t>
            </w:r>
            <w:r w:rsidR="002E673E">
              <w:rPr>
                <w:sz w:val="28"/>
                <w:szCs w:val="28"/>
              </w:rPr>
              <w:t xml:space="preserve">, kurus saņem atbilstoši </w:t>
            </w:r>
            <w:r w:rsidR="00446437">
              <w:rPr>
                <w:sz w:val="28"/>
                <w:szCs w:val="28"/>
              </w:rPr>
              <w:t xml:space="preserve"> </w:t>
            </w:r>
            <w:r w:rsidR="002E673E" w:rsidRPr="002E673E">
              <w:rPr>
                <w:sz w:val="28"/>
                <w:szCs w:val="28"/>
              </w:rPr>
              <w:t xml:space="preserve">regulas Nr.1178/2011 </w:t>
            </w:r>
            <w:r w:rsidR="002E673E">
              <w:rPr>
                <w:sz w:val="28"/>
                <w:szCs w:val="28"/>
              </w:rPr>
              <w:t xml:space="preserve"> prasībām</w:t>
            </w:r>
            <w:r w:rsidR="005421B3">
              <w:rPr>
                <w:sz w:val="28"/>
                <w:szCs w:val="28"/>
              </w:rPr>
              <w:t xml:space="preserve"> - </w:t>
            </w:r>
            <w:r w:rsidR="00446437">
              <w:rPr>
                <w:sz w:val="28"/>
                <w:szCs w:val="28"/>
              </w:rPr>
              <w:t>derīguma termiņi ir noteikti regulas Nr.1178/2011 IV pielikuma MED.D.030 un VII pielikuma ORA.AeMC.135.punktā;</w:t>
            </w:r>
          </w:p>
          <w:p w:rsidR="00446437" w:rsidRDefault="00727B84">
            <w:pPr>
              <w:ind w:left="34" w:firstLine="360"/>
              <w:jc w:val="both"/>
              <w:rPr>
                <w:sz w:val="28"/>
                <w:szCs w:val="28"/>
              </w:rPr>
            </w:pPr>
            <w:r>
              <w:rPr>
                <w:sz w:val="28"/>
                <w:szCs w:val="28"/>
              </w:rPr>
              <w:t>6</w:t>
            </w:r>
            <w:r w:rsidR="00446437">
              <w:rPr>
                <w:sz w:val="28"/>
                <w:szCs w:val="28"/>
              </w:rPr>
              <w:t>) precizēt noteikumu Nr.97 14.punktu, jo regulas Nr.1178/2011 IV pielikuma MED.D.030 punktā ir noteikti nosacījumi, kas jāievēro aviācijas medicīnas ekspertam</w:t>
            </w:r>
            <w:r w:rsidR="00142E3C">
              <w:rPr>
                <w:sz w:val="28"/>
                <w:szCs w:val="28"/>
              </w:rPr>
              <w:t>,</w:t>
            </w:r>
            <w:r w:rsidR="00446437">
              <w:rPr>
                <w:sz w:val="28"/>
                <w:szCs w:val="28"/>
              </w:rPr>
              <w:t xml:space="preserve"> lai uzturētu spēkā aviācijas medicīnas eksperta sertifikātu;</w:t>
            </w:r>
          </w:p>
          <w:p w:rsidR="00446437" w:rsidRDefault="00727B84">
            <w:pPr>
              <w:ind w:left="34" w:firstLine="360"/>
              <w:jc w:val="both"/>
              <w:rPr>
                <w:sz w:val="28"/>
                <w:szCs w:val="28"/>
              </w:rPr>
            </w:pPr>
            <w:r>
              <w:rPr>
                <w:sz w:val="28"/>
                <w:szCs w:val="28"/>
              </w:rPr>
              <w:t>7</w:t>
            </w:r>
            <w:r w:rsidR="00446437">
              <w:rPr>
                <w:sz w:val="28"/>
                <w:szCs w:val="28"/>
              </w:rPr>
              <w:t>) precizēt noteikumu Nr.97 17.punktu, nosakot, kādos gadījumos Civilās aviācijas aģentūra pieņem lēmumu anulēt aviācijas medicīnas eksperta sertifikātu;</w:t>
            </w:r>
          </w:p>
          <w:p w:rsidR="005421B3" w:rsidRPr="006B699D" w:rsidRDefault="00727B84">
            <w:pPr>
              <w:ind w:left="34" w:firstLine="360"/>
              <w:jc w:val="both"/>
              <w:rPr>
                <w:sz w:val="28"/>
                <w:szCs w:val="28"/>
              </w:rPr>
            </w:pPr>
            <w:r>
              <w:rPr>
                <w:sz w:val="28"/>
                <w:szCs w:val="28"/>
              </w:rPr>
              <w:t>8</w:t>
            </w:r>
            <w:r w:rsidR="00446437">
              <w:rPr>
                <w:sz w:val="28"/>
                <w:szCs w:val="28"/>
              </w:rPr>
              <w:t xml:space="preserve">) </w:t>
            </w:r>
            <w:r w:rsidR="005421B3" w:rsidRPr="006B699D">
              <w:rPr>
                <w:sz w:val="28"/>
                <w:szCs w:val="28"/>
              </w:rPr>
              <w:t xml:space="preserve">precizēt noteikumu </w:t>
            </w:r>
            <w:r w:rsidR="00A10A2E" w:rsidRPr="006B699D">
              <w:rPr>
                <w:sz w:val="28"/>
                <w:szCs w:val="28"/>
              </w:rPr>
              <w:t xml:space="preserve">Nr.97 </w:t>
            </w:r>
            <w:r w:rsidR="005421B3" w:rsidRPr="006B699D">
              <w:rPr>
                <w:sz w:val="28"/>
                <w:szCs w:val="28"/>
              </w:rPr>
              <w:t xml:space="preserve">19.punktu, </w:t>
            </w:r>
            <w:r w:rsidR="00A10A2E" w:rsidRPr="006B699D">
              <w:rPr>
                <w:sz w:val="28"/>
                <w:szCs w:val="28"/>
              </w:rPr>
              <w:t>to papildinot</w:t>
            </w:r>
            <w:r w:rsidR="005421B3" w:rsidRPr="006B699D">
              <w:rPr>
                <w:sz w:val="28"/>
                <w:szCs w:val="28"/>
              </w:rPr>
              <w:t xml:space="preserve"> </w:t>
            </w:r>
            <w:r w:rsidR="00A10A2E" w:rsidRPr="006B699D">
              <w:rPr>
                <w:sz w:val="28"/>
                <w:szCs w:val="28"/>
              </w:rPr>
              <w:t>ar</w:t>
            </w:r>
            <w:r w:rsidR="005421B3" w:rsidRPr="006B699D">
              <w:rPr>
                <w:sz w:val="28"/>
                <w:szCs w:val="28"/>
              </w:rPr>
              <w:t xml:space="preserve"> jomu, </w:t>
            </w:r>
            <w:r w:rsidR="00A452EE" w:rsidRPr="006B699D">
              <w:rPr>
                <w:sz w:val="28"/>
                <w:szCs w:val="28"/>
              </w:rPr>
              <w:t xml:space="preserve">kas nosaka aviācijas medicīnas centru </w:t>
            </w:r>
            <w:r w:rsidR="0058367D">
              <w:rPr>
                <w:sz w:val="28"/>
                <w:szCs w:val="28"/>
              </w:rPr>
              <w:t>atbilstību prasībām</w:t>
            </w:r>
            <w:r w:rsidR="00A452EE" w:rsidRPr="006B699D">
              <w:rPr>
                <w:sz w:val="28"/>
                <w:szCs w:val="28"/>
              </w:rPr>
              <w:t>.</w:t>
            </w:r>
          </w:p>
          <w:p w:rsidR="00446437" w:rsidRDefault="00727B84">
            <w:pPr>
              <w:ind w:left="34" w:firstLine="360"/>
              <w:jc w:val="both"/>
              <w:rPr>
                <w:sz w:val="28"/>
                <w:szCs w:val="28"/>
              </w:rPr>
            </w:pPr>
            <w:r w:rsidRPr="006B699D">
              <w:rPr>
                <w:sz w:val="28"/>
                <w:szCs w:val="28"/>
              </w:rPr>
              <w:t>9</w:t>
            </w:r>
            <w:r w:rsidR="005421B3" w:rsidRPr="006B699D">
              <w:rPr>
                <w:sz w:val="28"/>
                <w:szCs w:val="28"/>
              </w:rPr>
              <w:t xml:space="preserve">) </w:t>
            </w:r>
            <w:r w:rsidR="00446437" w:rsidRPr="006B699D">
              <w:rPr>
                <w:sz w:val="28"/>
                <w:szCs w:val="28"/>
              </w:rPr>
              <w:t xml:space="preserve">precizēt noteikumu </w:t>
            </w:r>
            <w:r w:rsidR="001D7299" w:rsidRPr="006B699D">
              <w:rPr>
                <w:sz w:val="28"/>
                <w:szCs w:val="28"/>
              </w:rPr>
              <w:t xml:space="preserve">Nr.97 </w:t>
            </w:r>
            <w:r w:rsidR="00446437" w:rsidRPr="006B699D">
              <w:rPr>
                <w:sz w:val="28"/>
                <w:szCs w:val="28"/>
              </w:rPr>
              <w:t>20.punktu, kā arī precizēt 21.punktu, nosakot, ka ārstniecības iestādē, kura vē</w:t>
            </w:r>
            <w:r w:rsidR="00446437">
              <w:rPr>
                <w:sz w:val="28"/>
                <w:szCs w:val="28"/>
              </w:rPr>
              <w:t>las kļūt par aviācijas medicīnas centru, jāatrodas vēdera dobuma ultraskaņas diagnostikas ierīcei vai arī ārstniecības iestāde šī aprīkojuma izmantošanu nodrošina sadarbībā ar citu ārstniecības iestādi;</w:t>
            </w:r>
          </w:p>
          <w:p w:rsidR="00446437" w:rsidRDefault="00BE0052">
            <w:pPr>
              <w:ind w:left="34" w:firstLine="360"/>
              <w:jc w:val="both"/>
              <w:rPr>
                <w:sz w:val="28"/>
                <w:szCs w:val="28"/>
              </w:rPr>
            </w:pPr>
            <w:r>
              <w:rPr>
                <w:sz w:val="28"/>
                <w:szCs w:val="28"/>
              </w:rPr>
              <w:t>1</w:t>
            </w:r>
            <w:r w:rsidR="00727B84">
              <w:rPr>
                <w:sz w:val="28"/>
                <w:szCs w:val="28"/>
              </w:rPr>
              <w:t>0</w:t>
            </w:r>
            <w:r w:rsidR="00446437">
              <w:rPr>
                <w:sz w:val="28"/>
                <w:szCs w:val="28"/>
              </w:rPr>
              <w:t>) precizēt noteikumu Nr.97 26. un 27.punktu, kā arī 28.2.apakšpunktu paredzot, ka, lai saņemtu aviācijas medicīnas centra sertifikātu un to uzturētu, ārstniecības iestādei jāatbilst regulas Nr.1178/2011 prasībām;</w:t>
            </w:r>
          </w:p>
          <w:p w:rsidR="00446437" w:rsidRDefault="00446437">
            <w:pPr>
              <w:ind w:left="34" w:firstLine="360"/>
              <w:jc w:val="both"/>
              <w:rPr>
                <w:sz w:val="28"/>
                <w:szCs w:val="28"/>
              </w:rPr>
            </w:pPr>
            <w:r>
              <w:rPr>
                <w:sz w:val="28"/>
                <w:szCs w:val="28"/>
              </w:rPr>
              <w:t>1</w:t>
            </w:r>
            <w:r w:rsidR="00727B84">
              <w:rPr>
                <w:sz w:val="28"/>
                <w:szCs w:val="28"/>
              </w:rPr>
              <w:t>1</w:t>
            </w:r>
            <w:r>
              <w:rPr>
                <w:sz w:val="28"/>
                <w:szCs w:val="28"/>
              </w:rPr>
              <w:t xml:space="preserve">) precizēt noteikumu Nr.97 31. un 32.punktu, jo regula Nr.1178/2011 nosaka prasības, kuras jāievēro pirmās klases, otrās klases un LAPL veselības apliecības pretendentiem, ierodoties uz veselības pārbaudi, bet, savukārt, </w:t>
            </w:r>
            <w:r w:rsidRPr="00044F2B">
              <w:rPr>
                <w:sz w:val="28"/>
                <w:szCs w:val="28"/>
              </w:rPr>
              <w:t xml:space="preserve">prasības trešās klases un gaisa kuģa salona apkalpes veselības </w:t>
            </w:r>
            <w:r w:rsidRPr="00044F2B">
              <w:rPr>
                <w:sz w:val="28"/>
                <w:szCs w:val="28"/>
              </w:rPr>
              <w:lastRenderedPageBreak/>
              <w:t>apliecības pretendentiem jānosaka ar nacionālo normatīvo aktu</w:t>
            </w:r>
            <w:r>
              <w:rPr>
                <w:sz w:val="28"/>
                <w:szCs w:val="28"/>
              </w:rPr>
              <w:t>;</w:t>
            </w:r>
          </w:p>
          <w:p w:rsidR="00446437" w:rsidRDefault="00446437">
            <w:pPr>
              <w:ind w:left="34" w:firstLine="360"/>
              <w:jc w:val="both"/>
              <w:rPr>
                <w:sz w:val="28"/>
                <w:szCs w:val="28"/>
              </w:rPr>
            </w:pPr>
            <w:r>
              <w:rPr>
                <w:sz w:val="28"/>
                <w:szCs w:val="28"/>
              </w:rPr>
              <w:t>1</w:t>
            </w:r>
            <w:r w:rsidR="00727B84">
              <w:rPr>
                <w:sz w:val="28"/>
                <w:szCs w:val="28"/>
              </w:rPr>
              <w:t>2</w:t>
            </w:r>
            <w:r>
              <w:rPr>
                <w:sz w:val="28"/>
                <w:szCs w:val="28"/>
              </w:rPr>
              <w:t>) precizēt noteikumu Nr.97 34.punktu, jo saskaņā ar regulas Nr.1178/2011 prasībām LAPL veselības apliecības vairs nav klasificējamas kā otrās klases veselības apliecības, kā arī punkts ir jāpapildina ar jaunu veselības apliecības kategoriju, tas ir</w:t>
            </w:r>
            <w:r w:rsidR="00044F2B">
              <w:rPr>
                <w:sz w:val="28"/>
                <w:szCs w:val="28"/>
              </w:rPr>
              <w:t>,</w:t>
            </w:r>
            <w:r>
              <w:rPr>
                <w:sz w:val="28"/>
                <w:szCs w:val="28"/>
              </w:rPr>
              <w:t xml:space="preserve"> gaisa kuģa salona apkalpes veselības apliecīb</w:t>
            </w:r>
            <w:r w:rsidR="00044F2B">
              <w:rPr>
                <w:sz w:val="28"/>
                <w:szCs w:val="28"/>
              </w:rPr>
              <w:t>u</w:t>
            </w:r>
            <w:r>
              <w:rPr>
                <w:sz w:val="28"/>
                <w:szCs w:val="28"/>
              </w:rPr>
              <w:t>;</w:t>
            </w:r>
          </w:p>
          <w:p w:rsidR="00446437" w:rsidRDefault="00446437">
            <w:pPr>
              <w:ind w:left="34" w:firstLine="360"/>
              <w:jc w:val="both"/>
              <w:rPr>
                <w:sz w:val="28"/>
                <w:szCs w:val="28"/>
              </w:rPr>
            </w:pPr>
            <w:r>
              <w:rPr>
                <w:sz w:val="28"/>
                <w:szCs w:val="28"/>
              </w:rPr>
              <w:t>1</w:t>
            </w:r>
            <w:r w:rsidR="00727B84">
              <w:rPr>
                <w:sz w:val="28"/>
                <w:szCs w:val="28"/>
              </w:rPr>
              <w:t>3</w:t>
            </w:r>
            <w:r>
              <w:rPr>
                <w:sz w:val="28"/>
                <w:szCs w:val="28"/>
              </w:rPr>
              <w:t>) precizēt noteikumu Nr.97 35., 36., 37., 38., 39. un 40. punktu, jo regula Nr.1178/2011 nosaka prasības pirmās klases, otrās klases un LAPL veselības apliecības pretendentiem, bet trešās klases un gaisa kuģa salona apkalpes veselības apliecības pretendentiem prasības attiecībā uz to</w:t>
            </w:r>
            <w:r w:rsidR="00044F2B">
              <w:rPr>
                <w:sz w:val="28"/>
                <w:szCs w:val="28"/>
              </w:rPr>
              <w:t>,</w:t>
            </w:r>
            <w:r>
              <w:rPr>
                <w:sz w:val="28"/>
                <w:szCs w:val="28"/>
              </w:rPr>
              <w:t xml:space="preserve"> kā tiek veiktas veselības pārbaudes un kādi ierobežojumi ir piemērojami, ir jānosaka nacionālajā normatīvajā aktā. Ņemot vērā minēto, noteikumu projekts paredz p</w:t>
            </w:r>
            <w:r w:rsidR="004B56E2">
              <w:rPr>
                <w:sz w:val="28"/>
                <w:szCs w:val="28"/>
              </w:rPr>
              <w:t xml:space="preserve">apildināt noteikumus Nr.97 ar jaunu </w:t>
            </w:r>
            <w:r>
              <w:rPr>
                <w:sz w:val="28"/>
                <w:szCs w:val="28"/>
              </w:rPr>
              <w:t>40</w:t>
            </w:r>
            <w:r>
              <w:rPr>
                <w:sz w:val="28"/>
                <w:szCs w:val="28"/>
                <w:vertAlign w:val="superscript"/>
              </w:rPr>
              <w:t>1</w:t>
            </w:r>
            <w:r>
              <w:rPr>
                <w:sz w:val="28"/>
                <w:szCs w:val="28"/>
              </w:rPr>
              <w:t>.punktu, kā arī svītrot 41.punktu;</w:t>
            </w:r>
          </w:p>
          <w:p w:rsidR="00446437" w:rsidRDefault="00446437">
            <w:pPr>
              <w:ind w:left="34" w:firstLine="360"/>
              <w:jc w:val="both"/>
              <w:rPr>
                <w:sz w:val="28"/>
                <w:szCs w:val="28"/>
              </w:rPr>
            </w:pPr>
            <w:r>
              <w:rPr>
                <w:sz w:val="28"/>
                <w:szCs w:val="28"/>
              </w:rPr>
              <w:t>1</w:t>
            </w:r>
            <w:r w:rsidR="00727B84">
              <w:rPr>
                <w:sz w:val="28"/>
                <w:szCs w:val="28"/>
              </w:rPr>
              <w:t>4</w:t>
            </w:r>
            <w:r>
              <w:rPr>
                <w:sz w:val="28"/>
                <w:szCs w:val="28"/>
              </w:rPr>
              <w:t>) precizēt noteikumu Nr.97 42. punktu un svītrot 43.punktu, jo pirmās klases, otrās klases, LAPL un gaisa kuģa salona apkalpes veselības apliecības derīguma termiņš ir noteikts regulā Nr.1178/2011, savukārt trešās klases veselības apliecības derīguma termiņš ir noteikts regulā 805/2011;</w:t>
            </w:r>
          </w:p>
          <w:p w:rsidR="00446437" w:rsidRDefault="00446437">
            <w:pPr>
              <w:ind w:left="34" w:firstLine="360"/>
              <w:jc w:val="both"/>
              <w:rPr>
                <w:sz w:val="28"/>
                <w:szCs w:val="28"/>
              </w:rPr>
            </w:pPr>
            <w:r>
              <w:rPr>
                <w:sz w:val="28"/>
                <w:szCs w:val="28"/>
              </w:rPr>
              <w:t>1</w:t>
            </w:r>
            <w:r w:rsidR="00727B84">
              <w:rPr>
                <w:sz w:val="28"/>
                <w:szCs w:val="28"/>
              </w:rPr>
              <w:t>5</w:t>
            </w:r>
            <w:r>
              <w:rPr>
                <w:sz w:val="28"/>
                <w:szCs w:val="28"/>
              </w:rPr>
              <w:t xml:space="preserve">) precizēt noteikumu </w:t>
            </w:r>
            <w:r w:rsidR="0042568F">
              <w:rPr>
                <w:sz w:val="28"/>
                <w:szCs w:val="28"/>
              </w:rPr>
              <w:t>Nr.97 46.punktu</w:t>
            </w:r>
            <w:r>
              <w:rPr>
                <w:sz w:val="28"/>
                <w:szCs w:val="28"/>
              </w:rPr>
              <w:t>, jo regula Nr.1178/2011 nosaka prasības veselības apliecības atjaunošanai pirmās, otrās klases un LAPL veselības apliecību turētājiem, taču trešās klases un gaisa kuģa salona apkalpes locekļu veselības apliecību atjaunošanas termiņš nosakāms nacionālajos normatīvajos aktos</w:t>
            </w:r>
            <w:r w:rsidR="00CD2757">
              <w:rPr>
                <w:sz w:val="28"/>
                <w:szCs w:val="28"/>
              </w:rPr>
              <w:t>;</w:t>
            </w:r>
          </w:p>
          <w:p w:rsidR="00446437" w:rsidRDefault="00446437">
            <w:pPr>
              <w:ind w:left="34" w:firstLine="360"/>
              <w:jc w:val="both"/>
              <w:rPr>
                <w:sz w:val="28"/>
                <w:szCs w:val="28"/>
              </w:rPr>
            </w:pPr>
            <w:r>
              <w:rPr>
                <w:sz w:val="28"/>
                <w:szCs w:val="28"/>
              </w:rPr>
              <w:t>1</w:t>
            </w:r>
            <w:r w:rsidR="00727B84">
              <w:rPr>
                <w:sz w:val="28"/>
                <w:szCs w:val="28"/>
              </w:rPr>
              <w:t>6</w:t>
            </w:r>
            <w:r>
              <w:rPr>
                <w:sz w:val="28"/>
                <w:szCs w:val="28"/>
              </w:rPr>
              <w:t>) papildināt noteikumus Nr.97 ar 51.punktu, lai izslēgtu tiesību normu dublēšanos ar regulas Nr1178/2011 prasībām</w:t>
            </w:r>
            <w:r w:rsidRPr="00307000">
              <w:rPr>
                <w:sz w:val="28"/>
                <w:szCs w:val="28"/>
              </w:rPr>
              <w:t>;</w:t>
            </w:r>
          </w:p>
          <w:p w:rsidR="00446437" w:rsidRDefault="00446437">
            <w:pPr>
              <w:ind w:left="34" w:firstLine="360"/>
              <w:jc w:val="both"/>
              <w:rPr>
                <w:sz w:val="28"/>
                <w:szCs w:val="28"/>
              </w:rPr>
            </w:pPr>
            <w:r>
              <w:rPr>
                <w:sz w:val="28"/>
                <w:szCs w:val="28"/>
              </w:rPr>
              <w:t>1</w:t>
            </w:r>
            <w:r w:rsidR="00727B84">
              <w:rPr>
                <w:sz w:val="28"/>
                <w:szCs w:val="28"/>
              </w:rPr>
              <w:t>7</w:t>
            </w:r>
            <w:r>
              <w:rPr>
                <w:sz w:val="28"/>
                <w:szCs w:val="28"/>
              </w:rPr>
              <w:t>) precizēt noteikumu Nr.97 1.pielikumu atbilstoši regulas Nr.1178/2011 prasībām;</w:t>
            </w:r>
          </w:p>
          <w:p w:rsidR="009D64CA" w:rsidRDefault="00727B84">
            <w:pPr>
              <w:ind w:left="34" w:firstLine="360"/>
              <w:jc w:val="both"/>
              <w:rPr>
                <w:sz w:val="28"/>
                <w:szCs w:val="28"/>
              </w:rPr>
            </w:pPr>
            <w:r>
              <w:rPr>
                <w:sz w:val="28"/>
                <w:szCs w:val="28"/>
              </w:rPr>
              <w:t>18</w:t>
            </w:r>
            <w:r w:rsidR="00446437">
              <w:rPr>
                <w:sz w:val="28"/>
                <w:szCs w:val="28"/>
              </w:rPr>
              <w:t xml:space="preserve">) </w:t>
            </w:r>
            <w:r w:rsidR="009D64CA">
              <w:rPr>
                <w:sz w:val="28"/>
                <w:szCs w:val="28"/>
              </w:rPr>
              <w:t>precizēt noteikumu Nr.97 2.pielikumu, aizstājot vārdu „apliecinājums” ar vārdu „sertifikāts”.</w:t>
            </w:r>
          </w:p>
          <w:p w:rsidR="00446437" w:rsidRDefault="00727B84">
            <w:pPr>
              <w:ind w:left="34" w:firstLine="360"/>
              <w:jc w:val="both"/>
              <w:rPr>
                <w:sz w:val="28"/>
                <w:szCs w:val="28"/>
              </w:rPr>
            </w:pPr>
            <w:r>
              <w:rPr>
                <w:sz w:val="28"/>
                <w:szCs w:val="28"/>
              </w:rPr>
              <w:t>19</w:t>
            </w:r>
            <w:r w:rsidR="009D64CA">
              <w:rPr>
                <w:sz w:val="28"/>
                <w:szCs w:val="28"/>
              </w:rPr>
              <w:t xml:space="preserve">) </w:t>
            </w:r>
            <w:r w:rsidR="00CD2757">
              <w:rPr>
                <w:sz w:val="28"/>
                <w:szCs w:val="28"/>
              </w:rPr>
              <w:t>svītrot noteikumu Nr.97</w:t>
            </w:r>
            <w:r w:rsidR="00446437">
              <w:rPr>
                <w:sz w:val="28"/>
                <w:szCs w:val="28"/>
              </w:rPr>
              <w:t xml:space="preserve"> 4.pielikumu, jo regulas Nr.1178/2011 ARA daļas VI pielikuma V papildinājums un ARA daļas VI pielikuma VII papildinājums nosaka aviācijas medicīnas eksperta un aviācijas medicīnas centra sertifikāta formu;</w:t>
            </w:r>
          </w:p>
          <w:p w:rsidR="0014270D" w:rsidRPr="004E0EAA" w:rsidRDefault="0038635C">
            <w:pPr>
              <w:ind w:left="34" w:firstLine="360"/>
              <w:jc w:val="both"/>
              <w:rPr>
                <w:sz w:val="28"/>
                <w:szCs w:val="28"/>
              </w:rPr>
            </w:pPr>
            <w:r>
              <w:rPr>
                <w:sz w:val="28"/>
                <w:szCs w:val="28"/>
              </w:rPr>
              <w:lastRenderedPageBreak/>
              <w:t>2</w:t>
            </w:r>
            <w:r w:rsidR="00727B84">
              <w:rPr>
                <w:sz w:val="28"/>
                <w:szCs w:val="28"/>
              </w:rPr>
              <w:t>0</w:t>
            </w:r>
            <w:r w:rsidR="00446437">
              <w:rPr>
                <w:sz w:val="28"/>
                <w:szCs w:val="28"/>
              </w:rPr>
              <w:t xml:space="preserve">) </w:t>
            </w:r>
            <w:r w:rsidR="0014270D" w:rsidRPr="004E0EAA">
              <w:rPr>
                <w:sz w:val="28"/>
                <w:szCs w:val="28"/>
              </w:rPr>
              <w:t xml:space="preserve">svītrot noteikumu Nr.97 5.pielikumu, jo </w:t>
            </w:r>
            <w:r w:rsidR="009D38C3" w:rsidRPr="004E0EAA">
              <w:rPr>
                <w:sz w:val="28"/>
                <w:szCs w:val="28"/>
              </w:rPr>
              <w:t xml:space="preserve">iesnieguma paraugu nosaka </w:t>
            </w:r>
            <w:r w:rsidR="0014270D" w:rsidRPr="004E0EAA">
              <w:rPr>
                <w:sz w:val="28"/>
                <w:szCs w:val="28"/>
              </w:rPr>
              <w:t xml:space="preserve">regulas </w:t>
            </w:r>
            <w:r w:rsidR="009D38C3" w:rsidRPr="004E0EAA">
              <w:rPr>
                <w:sz w:val="28"/>
                <w:szCs w:val="28"/>
              </w:rPr>
              <w:t xml:space="preserve">Nr.1178/2011 </w:t>
            </w:r>
            <w:r w:rsidR="0014270D" w:rsidRPr="004E0EAA">
              <w:rPr>
                <w:sz w:val="28"/>
                <w:szCs w:val="28"/>
              </w:rPr>
              <w:t>ARA daļas vadlīnij</w:t>
            </w:r>
            <w:r w:rsidR="00FA48D7" w:rsidRPr="004E0EAA">
              <w:rPr>
                <w:sz w:val="28"/>
                <w:szCs w:val="28"/>
              </w:rPr>
              <w:t>u AMC1 ARA.MED.135(a) punkts;</w:t>
            </w:r>
            <w:r w:rsidR="0014270D" w:rsidRPr="004E0EAA">
              <w:rPr>
                <w:sz w:val="28"/>
                <w:szCs w:val="28"/>
              </w:rPr>
              <w:t xml:space="preserve"> </w:t>
            </w:r>
          </w:p>
          <w:p w:rsidR="00446437" w:rsidRPr="00727B84" w:rsidRDefault="0014270D">
            <w:pPr>
              <w:ind w:left="34" w:firstLine="360"/>
              <w:jc w:val="both"/>
              <w:rPr>
                <w:sz w:val="28"/>
                <w:szCs w:val="28"/>
              </w:rPr>
            </w:pPr>
            <w:r w:rsidRPr="00727B84">
              <w:rPr>
                <w:sz w:val="28"/>
                <w:szCs w:val="28"/>
              </w:rPr>
              <w:t>2</w:t>
            </w:r>
            <w:r w:rsidR="00727B84">
              <w:rPr>
                <w:sz w:val="28"/>
                <w:szCs w:val="28"/>
              </w:rPr>
              <w:t>1</w:t>
            </w:r>
            <w:r w:rsidRPr="00727B84">
              <w:rPr>
                <w:sz w:val="28"/>
                <w:szCs w:val="28"/>
              </w:rPr>
              <w:t>)</w:t>
            </w:r>
            <w:r w:rsidR="00727B84">
              <w:rPr>
                <w:sz w:val="28"/>
                <w:szCs w:val="28"/>
              </w:rPr>
              <w:t xml:space="preserve"> </w:t>
            </w:r>
            <w:r w:rsidR="00446437" w:rsidRPr="00727B84">
              <w:rPr>
                <w:sz w:val="28"/>
                <w:szCs w:val="28"/>
              </w:rPr>
              <w:t>precizēt noteikumu Nr.97</w:t>
            </w:r>
            <w:r w:rsidR="00FA48D7" w:rsidRPr="00727B84">
              <w:rPr>
                <w:sz w:val="28"/>
                <w:szCs w:val="28"/>
              </w:rPr>
              <w:t xml:space="preserve"> </w:t>
            </w:r>
            <w:r w:rsidR="00446437" w:rsidRPr="00727B84">
              <w:rPr>
                <w:sz w:val="28"/>
                <w:szCs w:val="28"/>
              </w:rPr>
              <w:t>6.pielikum</w:t>
            </w:r>
            <w:r w:rsidR="00044F2B" w:rsidRPr="00727B84">
              <w:rPr>
                <w:sz w:val="28"/>
                <w:szCs w:val="28"/>
              </w:rPr>
              <w:t>u</w:t>
            </w:r>
            <w:r w:rsidR="009D38C3" w:rsidRPr="00727B84">
              <w:rPr>
                <w:sz w:val="28"/>
                <w:szCs w:val="28"/>
              </w:rPr>
              <w:t xml:space="preserve">, </w:t>
            </w:r>
            <w:r w:rsidR="009D38C3" w:rsidRPr="004E0EAA">
              <w:rPr>
                <w:sz w:val="28"/>
                <w:szCs w:val="28"/>
              </w:rPr>
              <w:t>no</w:t>
            </w:r>
            <w:r w:rsidR="00FA48D7" w:rsidRPr="004E0EAA">
              <w:rPr>
                <w:sz w:val="28"/>
                <w:szCs w:val="28"/>
              </w:rPr>
              <w:t>sakot iesnieguma paraugu gaisa k</w:t>
            </w:r>
            <w:r w:rsidR="009D38C3" w:rsidRPr="004E0EAA">
              <w:rPr>
                <w:sz w:val="28"/>
                <w:szCs w:val="28"/>
              </w:rPr>
              <w:t>uģa salona apkalpes un 3.klases veselības apliecību pretendentiem</w:t>
            </w:r>
            <w:r w:rsidR="009D38C3" w:rsidRPr="00727B84">
              <w:rPr>
                <w:sz w:val="28"/>
                <w:szCs w:val="28"/>
              </w:rPr>
              <w:t>;</w:t>
            </w:r>
            <w:r w:rsidR="00446437" w:rsidRPr="00727B84">
              <w:rPr>
                <w:sz w:val="28"/>
                <w:szCs w:val="28"/>
              </w:rPr>
              <w:t xml:space="preserve"> </w:t>
            </w:r>
          </w:p>
          <w:p w:rsidR="00446437" w:rsidRPr="004E0EAA" w:rsidRDefault="0038635C">
            <w:pPr>
              <w:ind w:left="34" w:firstLine="360"/>
              <w:jc w:val="both"/>
              <w:rPr>
                <w:sz w:val="28"/>
                <w:szCs w:val="28"/>
              </w:rPr>
            </w:pPr>
            <w:r w:rsidRPr="00727B84">
              <w:rPr>
                <w:sz w:val="28"/>
                <w:szCs w:val="28"/>
              </w:rPr>
              <w:t>2</w:t>
            </w:r>
            <w:r w:rsidR="00727B84">
              <w:rPr>
                <w:sz w:val="28"/>
                <w:szCs w:val="28"/>
              </w:rPr>
              <w:t>2</w:t>
            </w:r>
            <w:r w:rsidR="00446437" w:rsidRPr="00727B84">
              <w:rPr>
                <w:sz w:val="28"/>
                <w:szCs w:val="28"/>
              </w:rPr>
              <w:t>) precizēt noteikumu Nr.97 7.pielikum</w:t>
            </w:r>
            <w:r w:rsidR="00044F2B" w:rsidRPr="001D0DE4">
              <w:rPr>
                <w:sz w:val="28"/>
                <w:szCs w:val="28"/>
              </w:rPr>
              <w:t>u</w:t>
            </w:r>
            <w:r w:rsidR="0014270D" w:rsidRPr="001809D9">
              <w:rPr>
                <w:sz w:val="28"/>
                <w:szCs w:val="28"/>
              </w:rPr>
              <w:t xml:space="preserve"> un</w:t>
            </w:r>
            <w:r w:rsidR="00446437" w:rsidRPr="001809D9">
              <w:rPr>
                <w:sz w:val="28"/>
                <w:szCs w:val="28"/>
              </w:rPr>
              <w:t xml:space="preserve"> 8.pielikum</w:t>
            </w:r>
            <w:r w:rsidR="00044F2B" w:rsidRPr="001809D9">
              <w:rPr>
                <w:sz w:val="28"/>
                <w:szCs w:val="28"/>
              </w:rPr>
              <w:t>u</w:t>
            </w:r>
            <w:r w:rsidR="00446437" w:rsidRPr="004E0EAA">
              <w:rPr>
                <w:sz w:val="28"/>
                <w:szCs w:val="28"/>
              </w:rPr>
              <w:t>, lai atsevišķi noteiktu prasības trešās klases veselības apliecības pretendentiem un prasības personām, kuru veselības pārbaudes veicamas atbilstoši regulas Nr.1178/2011 prasībām;</w:t>
            </w:r>
          </w:p>
          <w:p w:rsidR="00446437" w:rsidRPr="00727B84" w:rsidRDefault="0038635C">
            <w:pPr>
              <w:ind w:left="34" w:firstLine="360"/>
              <w:jc w:val="both"/>
              <w:rPr>
                <w:sz w:val="28"/>
                <w:szCs w:val="28"/>
              </w:rPr>
            </w:pPr>
            <w:r w:rsidRPr="004E0EAA">
              <w:rPr>
                <w:sz w:val="28"/>
                <w:szCs w:val="28"/>
              </w:rPr>
              <w:t>2</w:t>
            </w:r>
            <w:r w:rsidR="00727B84">
              <w:rPr>
                <w:sz w:val="28"/>
                <w:szCs w:val="28"/>
              </w:rPr>
              <w:t>3</w:t>
            </w:r>
            <w:r w:rsidR="00446437" w:rsidRPr="001D0DE4">
              <w:rPr>
                <w:sz w:val="28"/>
                <w:szCs w:val="28"/>
              </w:rPr>
              <w:t>) precizēt noteikumu Nr.97 9.pi</w:t>
            </w:r>
            <w:r w:rsidR="00446437" w:rsidRPr="001809D9">
              <w:rPr>
                <w:sz w:val="28"/>
                <w:szCs w:val="28"/>
              </w:rPr>
              <w:t>elikum</w:t>
            </w:r>
            <w:r w:rsidR="00044F2B" w:rsidRPr="001809D9">
              <w:rPr>
                <w:sz w:val="28"/>
                <w:szCs w:val="28"/>
              </w:rPr>
              <w:t>u</w:t>
            </w:r>
            <w:r w:rsidR="0014270D" w:rsidRPr="001809D9">
              <w:rPr>
                <w:sz w:val="28"/>
                <w:szCs w:val="28"/>
              </w:rPr>
              <w:t xml:space="preserve">, </w:t>
            </w:r>
            <w:r w:rsidR="0014270D" w:rsidRPr="004E0EAA">
              <w:rPr>
                <w:sz w:val="28"/>
                <w:szCs w:val="28"/>
              </w:rPr>
              <w:t>lai novērstu dublēšanos</w:t>
            </w:r>
            <w:r w:rsidR="00FC4D38" w:rsidRPr="004E0EAA">
              <w:rPr>
                <w:sz w:val="28"/>
                <w:szCs w:val="28"/>
              </w:rPr>
              <w:t xml:space="preserve"> </w:t>
            </w:r>
            <w:r w:rsidR="0014270D" w:rsidRPr="00727B84">
              <w:rPr>
                <w:sz w:val="28"/>
                <w:szCs w:val="28"/>
              </w:rPr>
              <w:t>ar</w:t>
            </w:r>
            <w:r w:rsidR="00446437" w:rsidRPr="00727B84">
              <w:rPr>
                <w:sz w:val="28"/>
                <w:szCs w:val="28"/>
              </w:rPr>
              <w:t xml:space="preserve"> regulas Nr.1</w:t>
            </w:r>
            <w:r w:rsidR="00FA48D7" w:rsidRPr="00727B84">
              <w:rPr>
                <w:sz w:val="28"/>
                <w:szCs w:val="28"/>
              </w:rPr>
              <w:t>178/2011 prasībām.</w:t>
            </w:r>
          </w:p>
          <w:p w:rsidR="00446437" w:rsidRDefault="00446437" w:rsidP="00044F2B">
            <w:pPr>
              <w:ind w:left="34" w:firstLine="360"/>
              <w:jc w:val="both"/>
              <w:rPr>
                <w:sz w:val="28"/>
                <w:szCs w:val="28"/>
              </w:rPr>
            </w:pPr>
          </w:p>
        </w:tc>
      </w:tr>
      <w:tr w:rsidR="00446437" w:rsidTr="00446437">
        <w:tc>
          <w:tcPr>
            <w:tcW w:w="153" w:type="pct"/>
            <w:tcBorders>
              <w:top w:val="outset" w:sz="6" w:space="0" w:color="000000"/>
              <w:left w:val="outset" w:sz="6" w:space="0" w:color="000000"/>
              <w:bottom w:val="outset" w:sz="6" w:space="0" w:color="000000"/>
              <w:right w:val="outset" w:sz="6" w:space="0" w:color="000000"/>
            </w:tcBorders>
            <w:hideMark/>
          </w:tcPr>
          <w:p w:rsidR="00446437" w:rsidRDefault="00446437">
            <w:pPr>
              <w:rPr>
                <w:color w:val="000000"/>
                <w:sz w:val="28"/>
                <w:szCs w:val="28"/>
              </w:rPr>
            </w:pPr>
            <w:r>
              <w:rPr>
                <w:color w:val="000000"/>
                <w:sz w:val="28"/>
                <w:szCs w:val="28"/>
              </w:rPr>
              <w:lastRenderedPageBreak/>
              <w:t>5.</w:t>
            </w:r>
          </w:p>
        </w:tc>
        <w:tc>
          <w:tcPr>
            <w:tcW w:w="1020" w:type="pct"/>
            <w:tcBorders>
              <w:top w:val="outset" w:sz="6" w:space="0" w:color="000000"/>
              <w:left w:val="outset" w:sz="6" w:space="0" w:color="000000"/>
              <w:bottom w:val="outset" w:sz="6" w:space="0" w:color="000000"/>
              <w:right w:val="outset" w:sz="6" w:space="0" w:color="000000"/>
            </w:tcBorders>
            <w:hideMark/>
          </w:tcPr>
          <w:p w:rsidR="00446437" w:rsidRDefault="00446437">
            <w:pPr>
              <w:rPr>
                <w:color w:val="000000"/>
                <w:sz w:val="28"/>
                <w:szCs w:val="28"/>
              </w:rPr>
            </w:pPr>
            <w:r>
              <w:rPr>
                <w:color w:val="000000"/>
                <w:sz w:val="28"/>
                <w:szCs w:val="28"/>
              </w:rPr>
              <w:t>Projekta izstrādē iesaistītās institūcijas</w:t>
            </w:r>
          </w:p>
        </w:tc>
        <w:tc>
          <w:tcPr>
            <w:tcW w:w="3827" w:type="pct"/>
            <w:tcBorders>
              <w:top w:val="outset" w:sz="6" w:space="0" w:color="000000"/>
              <w:left w:val="outset" w:sz="6" w:space="0" w:color="000000"/>
              <w:bottom w:val="outset" w:sz="6" w:space="0" w:color="000000"/>
              <w:right w:val="outset" w:sz="6" w:space="0" w:color="000000"/>
            </w:tcBorders>
            <w:hideMark/>
          </w:tcPr>
          <w:p w:rsidR="00446437" w:rsidRDefault="00446437" w:rsidP="00044F2B">
            <w:pPr>
              <w:rPr>
                <w:color w:val="000000"/>
                <w:sz w:val="28"/>
                <w:szCs w:val="28"/>
              </w:rPr>
            </w:pPr>
            <w:r>
              <w:rPr>
                <w:sz w:val="28"/>
                <w:szCs w:val="28"/>
              </w:rPr>
              <w:t xml:space="preserve">Satiksmes ministrija un </w:t>
            </w:r>
            <w:r w:rsidR="00044F2B">
              <w:rPr>
                <w:sz w:val="28"/>
                <w:szCs w:val="28"/>
              </w:rPr>
              <w:t>v</w:t>
            </w:r>
            <w:r>
              <w:rPr>
                <w:sz w:val="28"/>
                <w:szCs w:val="28"/>
              </w:rPr>
              <w:t>alsts aģentūra „Civilās aviācijas aģentūra”.</w:t>
            </w:r>
          </w:p>
        </w:tc>
      </w:tr>
      <w:tr w:rsidR="00446437" w:rsidTr="00446437">
        <w:tc>
          <w:tcPr>
            <w:tcW w:w="153" w:type="pct"/>
            <w:tcBorders>
              <w:top w:val="outset" w:sz="6" w:space="0" w:color="000000"/>
              <w:left w:val="outset" w:sz="6" w:space="0" w:color="000000"/>
              <w:bottom w:val="outset" w:sz="6" w:space="0" w:color="000000"/>
              <w:right w:val="outset" w:sz="6" w:space="0" w:color="000000"/>
            </w:tcBorders>
            <w:hideMark/>
          </w:tcPr>
          <w:p w:rsidR="00446437" w:rsidRDefault="00446437">
            <w:pPr>
              <w:rPr>
                <w:color w:val="000000"/>
                <w:sz w:val="28"/>
                <w:szCs w:val="28"/>
              </w:rPr>
            </w:pPr>
            <w:r>
              <w:rPr>
                <w:color w:val="000000"/>
                <w:sz w:val="28"/>
                <w:szCs w:val="28"/>
              </w:rPr>
              <w:t>6.</w:t>
            </w:r>
          </w:p>
        </w:tc>
        <w:tc>
          <w:tcPr>
            <w:tcW w:w="1020" w:type="pct"/>
            <w:tcBorders>
              <w:top w:val="outset" w:sz="6" w:space="0" w:color="000000"/>
              <w:left w:val="outset" w:sz="6" w:space="0" w:color="000000"/>
              <w:bottom w:val="outset" w:sz="6" w:space="0" w:color="000000"/>
              <w:right w:val="outset" w:sz="6" w:space="0" w:color="000000"/>
            </w:tcBorders>
            <w:hideMark/>
          </w:tcPr>
          <w:p w:rsidR="00446437" w:rsidRDefault="00446437">
            <w:pPr>
              <w:rPr>
                <w:color w:val="000000"/>
                <w:sz w:val="28"/>
                <w:szCs w:val="28"/>
              </w:rPr>
            </w:pPr>
            <w:r>
              <w:rPr>
                <w:color w:val="000000"/>
                <w:sz w:val="28"/>
                <w:szCs w:val="28"/>
              </w:rPr>
              <w:t>Iemesli, kādēļ netika nodrošināta sabiedrības līdzdalība</w:t>
            </w:r>
          </w:p>
        </w:tc>
        <w:tc>
          <w:tcPr>
            <w:tcW w:w="3827" w:type="pct"/>
            <w:tcBorders>
              <w:top w:val="outset" w:sz="6" w:space="0" w:color="000000"/>
              <w:left w:val="outset" w:sz="6" w:space="0" w:color="000000"/>
              <w:bottom w:val="outset" w:sz="6" w:space="0" w:color="000000"/>
              <w:right w:val="outset" w:sz="6" w:space="0" w:color="000000"/>
            </w:tcBorders>
            <w:hideMark/>
          </w:tcPr>
          <w:p w:rsidR="00446437" w:rsidRDefault="00446437">
            <w:pPr>
              <w:rPr>
                <w:color w:val="000000"/>
                <w:sz w:val="28"/>
                <w:szCs w:val="28"/>
              </w:rPr>
            </w:pPr>
            <w:r>
              <w:rPr>
                <w:color w:val="000000"/>
                <w:sz w:val="28"/>
                <w:szCs w:val="28"/>
              </w:rPr>
              <w:t>Projekts šo jomu neskar</w:t>
            </w:r>
          </w:p>
        </w:tc>
      </w:tr>
      <w:tr w:rsidR="00446437" w:rsidTr="00446437">
        <w:tc>
          <w:tcPr>
            <w:tcW w:w="153" w:type="pct"/>
            <w:tcBorders>
              <w:top w:val="outset" w:sz="6" w:space="0" w:color="000000"/>
              <w:left w:val="outset" w:sz="6" w:space="0" w:color="000000"/>
              <w:bottom w:val="outset" w:sz="6" w:space="0" w:color="000000"/>
              <w:right w:val="outset" w:sz="6" w:space="0" w:color="000000"/>
            </w:tcBorders>
            <w:hideMark/>
          </w:tcPr>
          <w:p w:rsidR="00446437" w:rsidRDefault="00446437">
            <w:pPr>
              <w:rPr>
                <w:color w:val="000000"/>
                <w:sz w:val="28"/>
                <w:szCs w:val="28"/>
              </w:rPr>
            </w:pPr>
            <w:r>
              <w:rPr>
                <w:color w:val="000000"/>
                <w:sz w:val="28"/>
                <w:szCs w:val="28"/>
              </w:rPr>
              <w:t>7.</w:t>
            </w:r>
          </w:p>
        </w:tc>
        <w:tc>
          <w:tcPr>
            <w:tcW w:w="1020" w:type="pct"/>
            <w:tcBorders>
              <w:top w:val="outset" w:sz="6" w:space="0" w:color="000000"/>
              <w:left w:val="outset" w:sz="6" w:space="0" w:color="000000"/>
              <w:bottom w:val="outset" w:sz="6" w:space="0" w:color="000000"/>
              <w:right w:val="outset" w:sz="6" w:space="0" w:color="000000"/>
            </w:tcBorders>
            <w:hideMark/>
          </w:tcPr>
          <w:p w:rsidR="00446437" w:rsidRDefault="00446437">
            <w:pPr>
              <w:rPr>
                <w:color w:val="000000"/>
                <w:sz w:val="28"/>
                <w:szCs w:val="28"/>
              </w:rPr>
            </w:pPr>
            <w:r>
              <w:rPr>
                <w:color w:val="000000"/>
                <w:sz w:val="28"/>
                <w:szCs w:val="28"/>
              </w:rPr>
              <w:t>Cita informācija</w:t>
            </w:r>
          </w:p>
        </w:tc>
        <w:tc>
          <w:tcPr>
            <w:tcW w:w="3827" w:type="pct"/>
            <w:tcBorders>
              <w:top w:val="outset" w:sz="6" w:space="0" w:color="000000"/>
              <w:left w:val="outset" w:sz="6" w:space="0" w:color="000000"/>
              <w:bottom w:val="outset" w:sz="6" w:space="0" w:color="000000"/>
              <w:right w:val="outset" w:sz="6" w:space="0" w:color="000000"/>
            </w:tcBorders>
          </w:tcPr>
          <w:p w:rsidR="00446437" w:rsidRDefault="00515542">
            <w:pPr>
              <w:rPr>
                <w:color w:val="000000"/>
                <w:sz w:val="28"/>
                <w:szCs w:val="28"/>
              </w:rPr>
            </w:pPr>
            <w:r>
              <w:rPr>
                <w:color w:val="000000"/>
                <w:sz w:val="28"/>
                <w:szCs w:val="28"/>
              </w:rPr>
              <w:t>Nav</w:t>
            </w:r>
          </w:p>
        </w:tc>
      </w:tr>
    </w:tbl>
    <w:p w:rsidR="00446437" w:rsidRDefault="00446437" w:rsidP="00446437">
      <w:pPr>
        <w:rPr>
          <w:color w:val="000000"/>
          <w:sz w:val="28"/>
          <w:szCs w:val="28"/>
        </w:rPr>
      </w:pPr>
      <w:r>
        <w:rPr>
          <w:color w:val="000000"/>
          <w:sz w:val="28"/>
          <w:szCs w:val="28"/>
        </w:rPr>
        <w:t>  </w:t>
      </w:r>
    </w:p>
    <w:tbl>
      <w:tblPr>
        <w:tblW w:w="5050"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312"/>
        <w:gridCol w:w="2021"/>
        <w:gridCol w:w="6889"/>
      </w:tblGrid>
      <w:tr w:rsidR="00446437" w:rsidTr="00446437">
        <w:tc>
          <w:tcPr>
            <w:tcW w:w="9292" w:type="dxa"/>
            <w:gridSpan w:val="3"/>
            <w:tcBorders>
              <w:top w:val="single" w:sz="6" w:space="0" w:color="auto"/>
              <w:left w:val="single" w:sz="6" w:space="0" w:color="auto"/>
              <w:bottom w:val="outset" w:sz="6" w:space="0" w:color="000000"/>
              <w:right w:val="single" w:sz="6" w:space="0" w:color="auto"/>
            </w:tcBorders>
            <w:vAlign w:val="center"/>
            <w:hideMark/>
          </w:tcPr>
          <w:p w:rsidR="00446437" w:rsidRDefault="00446437">
            <w:pPr>
              <w:jc w:val="center"/>
              <w:rPr>
                <w:b/>
                <w:bCs/>
                <w:color w:val="000000"/>
                <w:sz w:val="28"/>
                <w:szCs w:val="28"/>
              </w:rPr>
            </w:pPr>
            <w:r>
              <w:rPr>
                <w:b/>
                <w:bCs/>
                <w:color w:val="000000"/>
                <w:sz w:val="28"/>
                <w:szCs w:val="28"/>
              </w:rPr>
              <w:t>II. Tiesību akta projekta ietekme uz sabiedrību</w:t>
            </w:r>
          </w:p>
        </w:tc>
      </w:tr>
      <w:tr w:rsidR="00446437" w:rsidTr="00446437">
        <w:tc>
          <w:tcPr>
            <w:tcW w:w="314" w:type="dxa"/>
            <w:tcBorders>
              <w:top w:val="outset" w:sz="6" w:space="0" w:color="000000"/>
              <w:left w:val="outset" w:sz="6" w:space="0" w:color="000000"/>
              <w:bottom w:val="outset" w:sz="6" w:space="0" w:color="000000"/>
              <w:right w:val="outset" w:sz="6" w:space="0" w:color="000000"/>
            </w:tcBorders>
            <w:hideMark/>
          </w:tcPr>
          <w:p w:rsidR="00446437" w:rsidRDefault="00446437">
            <w:pPr>
              <w:rPr>
                <w:color w:val="000000"/>
                <w:sz w:val="28"/>
                <w:szCs w:val="28"/>
              </w:rPr>
            </w:pPr>
            <w:r>
              <w:rPr>
                <w:color w:val="000000"/>
                <w:sz w:val="28"/>
                <w:szCs w:val="28"/>
              </w:rPr>
              <w:t>1.</w:t>
            </w:r>
          </w:p>
        </w:tc>
        <w:tc>
          <w:tcPr>
            <w:tcW w:w="2036" w:type="dxa"/>
            <w:tcBorders>
              <w:top w:val="outset" w:sz="6" w:space="0" w:color="000000"/>
              <w:left w:val="outset" w:sz="6" w:space="0" w:color="000000"/>
              <w:bottom w:val="outset" w:sz="6" w:space="0" w:color="000000"/>
              <w:right w:val="outset" w:sz="6" w:space="0" w:color="000000"/>
            </w:tcBorders>
            <w:hideMark/>
          </w:tcPr>
          <w:p w:rsidR="00446437" w:rsidRDefault="00446437">
            <w:pPr>
              <w:rPr>
                <w:color w:val="000000"/>
                <w:sz w:val="28"/>
                <w:szCs w:val="28"/>
              </w:rPr>
            </w:pPr>
            <w:r>
              <w:rPr>
                <w:color w:val="000000"/>
                <w:sz w:val="28"/>
                <w:szCs w:val="28"/>
              </w:rPr>
              <w:t>Sabiedrības mērķgrupa</w:t>
            </w:r>
          </w:p>
        </w:tc>
        <w:tc>
          <w:tcPr>
            <w:tcW w:w="6942" w:type="dxa"/>
            <w:tcBorders>
              <w:top w:val="outset" w:sz="6" w:space="0" w:color="000000"/>
              <w:left w:val="outset" w:sz="6" w:space="0" w:color="000000"/>
              <w:bottom w:val="outset" w:sz="6" w:space="0" w:color="000000"/>
              <w:right w:val="outset" w:sz="6" w:space="0" w:color="000000"/>
            </w:tcBorders>
            <w:hideMark/>
          </w:tcPr>
          <w:p w:rsidR="00446437" w:rsidRDefault="00446437">
            <w:pPr>
              <w:jc w:val="both"/>
              <w:rPr>
                <w:color w:val="000000"/>
                <w:sz w:val="28"/>
                <w:szCs w:val="28"/>
              </w:rPr>
            </w:pPr>
            <w:r>
              <w:rPr>
                <w:color w:val="000000"/>
                <w:sz w:val="28"/>
                <w:szCs w:val="28"/>
              </w:rPr>
              <w:t>Noteikumu projekts attiecas uz personām, kuras vēlas kļūt par aviācijas medicīnas ekspertiem, iestādēm, kuras vēlas saņemt aviācijas medicīnas centra sertifikātu, kā arī personām, kuras vēlas saņemt pirmās, otrās un trešās klases,  LAPL vai gaisa kuģa salona apkalpes veselības apliecības.</w:t>
            </w:r>
          </w:p>
          <w:p w:rsidR="00446437" w:rsidRDefault="00446437">
            <w:pPr>
              <w:jc w:val="both"/>
              <w:rPr>
                <w:sz w:val="28"/>
                <w:szCs w:val="28"/>
              </w:rPr>
            </w:pPr>
            <w:r>
              <w:rPr>
                <w:sz w:val="28"/>
                <w:szCs w:val="28"/>
              </w:rPr>
              <w:t>Šobrīd Latvijā darbojas viens aviācijas medicīnas centrs un četri aviācijas medicīnas eksperti, kā arī aptuveni 1400 gaisa kuģu apkalpes locekļi, kuriem nepieciešamas veselības apliecības.</w:t>
            </w:r>
          </w:p>
        </w:tc>
      </w:tr>
      <w:tr w:rsidR="00446437" w:rsidTr="00446437">
        <w:tc>
          <w:tcPr>
            <w:tcW w:w="314" w:type="dxa"/>
            <w:tcBorders>
              <w:top w:val="outset" w:sz="6" w:space="0" w:color="000000"/>
              <w:left w:val="outset" w:sz="6" w:space="0" w:color="000000"/>
              <w:bottom w:val="outset" w:sz="6" w:space="0" w:color="000000"/>
              <w:right w:val="outset" w:sz="6" w:space="0" w:color="000000"/>
            </w:tcBorders>
            <w:hideMark/>
          </w:tcPr>
          <w:p w:rsidR="00446437" w:rsidRDefault="00446437">
            <w:pPr>
              <w:rPr>
                <w:color w:val="000000"/>
                <w:sz w:val="28"/>
                <w:szCs w:val="28"/>
              </w:rPr>
            </w:pPr>
            <w:r>
              <w:rPr>
                <w:color w:val="000000"/>
                <w:sz w:val="28"/>
                <w:szCs w:val="28"/>
              </w:rPr>
              <w:t>2.</w:t>
            </w:r>
          </w:p>
        </w:tc>
        <w:tc>
          <w:tcPr>
            <w:tcW w:w="2036" w:type="dxa"/>
            <w:tcBorders>
              <w:top w:val="outset" w:sz="6" w:space="0" w:color="000000"/>
              <w:left w:val="outset" w:sz="6" w:space="0" w:color="000000"/>
              <w:bottom w:val="outset" w:sz="6" w:space="0" w:color="000000"/>
              <w:right w:val="outset" w:sz="6" w:space="0" w:color="000000"/>
            </w:tcBorders>
            <w:hideMark/>
          </w:tcPr>
          <w:p w:rsidR="00446437" w:rsidRDefault="00446437">
            <w:pPr>
              <w:rPr>
                <w:color w:val="000000"/>
                <w:sz w:val="28"/>
                <w:szCs w:val="28"/>
              </w:rPr>
            </w:pPr>
            <w:r>
              <w:rPr>
                <w:color w:val="000000"/>
                <w:sz w:val="28"/>
                <w:szCs w:val="28"/>
              </w:rPr>
              <w:t xml:space="preserve">Citas sabiedrības grupas (bez mērķgrupas), kuras tiesiskais </w:t>
            </w:r>
            <w:r>
              <w:rPr>
                <w:color w:val="000000"/>
                <w:sz w:val="28"/>
                <w:szCs w:val="28"/>
              </w:rPr>
              <w:lastRenderedPageBreak/>
              <w:t>regulējums arī ietekmē vai varētu ietekmēt</w:t>
            </w:r>
          </w:p>
        </w:tc>
        <w:tc>
          <w:tcPr>
            <w:tcW w:w="6942" w:type="dxa"/>
            <w:tcBorders>
              <w:top w:val="outset" w:sz="6" w:space="0" w:color="000000"/>
              <w:left w:val="outset" w:sz="6" w:space="0" w:color="000000"/>
              <w:bottom w:val="outset" w:sz="6" w:space="0" w:color="000000"/>
              <w:right w:val="outset" w:sz="6" w:space="0" w:color="000000"/>
            </w:tcBorders>
            <w:hideMark/>
          </w:tcPr>
          <w:p w:rsidR="00446437" w:rsidRDefault="00446437">
            <w:pPr>
              <w:rPr>
                <w:color w:val="000000"/>
                <w:sz w:val="28"/>
                <w:szCs w:val="28"/>
              </w:rPr>
            </w:pPr>
            <w:r>
              <w:rPr>
                <w:sz w:val="28"/>
                <w:szCs w:val="28"/>
              </w:rPr>
              <w:lastRenderedPageBreak/>
              <w:t>Jebkura fiziska persona, kas pretendē uz civilās aviācijas gaisa kuģa lidojuma apkalpes vai civilās aviācijas gaisa kuģa salona apkalpes apliecību, kuras saņemšanai nepieciešama atbilstoša veselības apliecība.</w:t>
            </w:r>
            <w:r w:rsidR="00FA48D7">
              <w:rPr>
                <w:sz w:val="28"/>
                <w:szCs w:val="28"/>
              </w:rPr>
              <w:t xml:space="preserve"> Šo personu skaitlisko </w:t>
            </w:r>
            <w:r w:rsidR="00FA48D7">
              <w:rPr>
                <w:sz w:val="28"/>
                <w:szCs w:val="28"/>
              </w:rPr>
              <w:lastRenderedPageBreak/>
              <w:t>daudzumu nav iespējams paredzēt.</w:t>
            </w:r>
          </w:p>
        </w:tc>
      </w:tr>
      <w:tr w:rsidR="00446437" w:rsidTr="00446437">
        <w:tc>
          <w:tcPr>
            <w:tcW w:w="314" w:type="dxa"/>
            <w:tcBorders>
              <w:top w:val="outset" w:sz="6" w:space="0" w:color="000000"/>
              <w:left w:val="outset" w:sz="6" w:space="0" w:color="000000"/>
              <w:bottom w:val="outset" w:sz="6" w:space="0" w:color="000000"/>
              <w:right w:val="outset" w:sz="6" w:space="0" w:color="000000"/>
            </w:tcBorders>
            <w:hideMark/>
          </w:tcPr>
          <w:p w:rsidR="00446437" w:rsidRDefault="00446437">
            <w:pPr>
              <w:rPr>
                <w:color w:val="000000"/>
                <w:sz w:val="28"/>
                <w:szCs w:val="28"/>
              </w:rPr>
            </w:pPr>
            <w:r>
              <w:rPr>
                <w:color w:val="000000"/>
                <w:sz w:val="28"/>
                <w:szCs w:val="28"/>
              </w:rPr>
              <w:lastRenderedPageBreak/>
              <w:t>3.</w:t>
            </w:r>
          </w:p>
        </w:tc>
        <w:tc>
          <w:tcPr>
            <w:tcW w:w="2036" w:type="dxa"/>
            <w:tcBorders>
              <w:top w:val="outset" w:sz="6" w:space="0" w:color="000000"/>
              <w:left w:val="outset" w:sz="6" w:space="0" w:color="000000"/>
              <w:bottom w:val="outset" w:sz="6" w:space="0" w:color="000000"/>
              <w:right w:val="outset" w:sz="6" w:space="0" w:color="000000"/>
            </w:tcBorders>
            <w:hideMark/>
          </w:tcPr>
          <w:p w:rsidR="00446437" w:rsidRDefault="00446437">
            <w:pPr>
              <w:rPr>
                <w:color w:val="000000"/>
                <w:sz w:val="28"/>
                <w:szCs w:val="28"/>
              </w:rPr>
            </w:pPr>
            <w:r>
              <w:rPr>
                <w:color w:val="000000"/>
                <w:sz w:val="28"/>
                <w:szCs w:val="28"/>
              </w:rPr>
              <w:t>Tiesiskā regulējuma finansiālā ietekme</w:t>
            </w:r>
          </w:p>
        </w:tc>
        <w:tc>
          <w:tcPr>
            <w:tcW w:w="6942" w:type="dxa"/>
            <w:tcBorders>
              <w:top w:val="outset" w:sz="6" w:space="0" w:color="000000"/>
              <w:left w:val="outset" w:sz="6" w:space="0" w:color="000000"/>
              <w:bottom w:val="outset" w:sz="6" w:space="0" w:color="000000"/>
              <w:right w:val="outset" w:sz="6" w:space="0" w:color="000000"/>
            </w:tcBorders>
            <w:hideMark/>
          </w:tcPr>
          <w:p w:rsidR="00446437" w:rsidRDefault="00446437">
            <w:pPr>
              <w:pStyle w:val="BodyText2"/>
            </w:pPr>
            <w:r>
              <w:t>Projekts šo jomu neskar.</w:t>
            </w:r>
          </w:p>
        </w:tc>
      </w:tr>
      <w:tr w:rsidR="00446437" w:rsidTr="00446437">
        <w:tc>
          <w:tcPr>
            <w:tcW w:w="314" w:type="dxa"/>
            <w:tcBorders>
              <w:top w:val="outset" w:sz="6" w:space="0" w:color="000000"/>
              <w:left w:val="outset" w:sz="6" w:space="0" w:color="000000"/>
              <w:bottom w:val="outset" w:sz="6" w:space="0" w:color="000000"/>
              <w:right w:val="outset" w:sz="6" w:space="0" w:color="000000"/>
            </w:tcBorders>
            <w:hideMark/>
          </w:tcPr>
          <w:p w:rsidR="00446437" w:rsidRDefault="00446437">
            <w:pPr>
              <w:rPr>
                <w:color w:val="000000"/>
                <w:sz w:val="28"/>
                <w:szCs w:val="28"/>
              </w:rPr>
            </w:pPr>
            <w:r>
              <w:rPr>
                <w:color w:val="000000"/>
                <w:sz w:val="28"/>
                <w:szCs w:val="28"/>
              </w:rPr>
              <w:t>4.</w:t>
            </w:r>
          </w:p>
        </w:tc>
        <w:tc>
          <w:tcPr>
            <w:tcW w:w="2036" w:type="dxa"/>
            <w:tcBorders>
              <w:top w:val="outset" w:sz="6" w:space="0" w:color="000000"/>
              <w:left w:val="outset" w:sz="6" w:space="0" w:color="000000"/>
              <w:bottom w:val="outset" w:sz="6" w:space="0" w:color="000000"/>
              <w:right w:val="outset" w:sz="6" w:space="0" w:color="000000"/>
            </w:tcBorders>
            <w:hideMark/>
          </w:tcPr>
          <w:p w:rsidR="00446437" w:rsidRDefault="00446437">
            <w:pPr>
              <w:rPr>
                <w:color w:val="000000"/>
                <w:sz w:val="28"/>
                <w:szCs w:val="28"/>
              </w:rPr>
            </w:pPr>
            <w:r>
              <w:rPr>
                <w:color w:val="000000"/>
                <w:sz w:val="28"/>
                <w:szCs w:val="28"/>
              </w:rPr>
              <w:t>Tiesiskā regulējuma nefinansiālā ietekme</w:t>
            </w:r>
          </w:p>
        </w:tc>
        <w:tc>
          <w:tcPr>
            <w:tcW w:w="6942" w:type="dxa"/>
            <w:tcBorders>
              <w:top w:val="outset" w:sz="6" w:space="0" w:color="000000"/>
              <w:left w:val="outset" w:sz="6" w:space="0" w:color="000000"/>
              <w:bottom w:val="outset" w:sz="6" w:space="0" w:color="000000"/>
              <w:right w:val="outset" w:sz="6" w:space="0" w:color="000000"/>
            </w:tcBorders>
            <w:hideMark/>
          </w:tcPr>
          <w:p w:rsidR="00446437" w:rsidRDefault="00446437">
            <w:pPr>
              <w:jc w:val="both"/>
              <w:rPr>
                <w:color w:val="000000"/>
                <w:sz w:val="28"/>
                <w:szCs w:val="28"/>
                <w:highlight w:val="cyan"/>
              </w:rPr>
            </w:pPr>
            <w:r>
              <w:rPr>
                <w:sz w:val="28"/>
                <w:szCs w:val="28"/>
              </w:rPr>
              <w:t>Projekts šo jomu neskar.</w:t>
            </w:r>
          </w:p>
        </w:tc>
      </w:tr>
      <w:tr w:rsidR="00446437" w:rsidTr="00446437">
        <w:tc>
          <w:tcPr>
            <w:tcW w:w="314" w:type="dxa"/>
            <w:tcBorders>
              <w:top w:val="outset" w:sz="6" w:space="0" w:color="000000"/>
              <w:left w:val="outset" w:sz="6" w:space="0" w:color="000000"/>
              <w:bottom w:val="outset" w:sz="6" w:space="0" w:color="000000"/>
              <w:right w:val="outset" w:sz="6" w:space="0" w:color="000000"/>
            </w:tcBorders>
            <w:hideMark/>
          </w:tcPr>
          <w:p w:rsidR="00446437" w:rsidRDefault="00446437">
            <w:pPr>
              <w:rPr>
                <w:color w:val="000000"/>
                <w:sz w:val="28"/>
                <w:szCs w:val="28"/>
              </w:rPr>
            </w:pPr>
            <w:r>
              <w:rPr>
                <w:color w:val="000000"/>
                <w:sz w:val="28"/>
                <w:szCs w:val="28"/>
              </w:rPr>
              <w:t>5.</w:t>
            </w:r>
          </w:p>
        </w:tc>
        <w:tc>
          <w:tcPr>
            <w:tcW w:w="2036" w:type="dxa"/>
            <w:tcBorders>
              <w:top w:val="outset" w:sz="6" w:space="0" w:color="000000"/>
              <w:left w:val="outset" w:sz="6" w:space="0" w:color="000000"/>
              <w:bottom w:val="outset" w:sz="6" w:space="0" w:color="000000"/>
              <w:right w:val="outset" w:sz="6" w:space="0" w:color="000000"/>
            </w:tcBorders>
            <w:hideMark/>
          </w:tcPr>
          <w:p w:rsidR="00446437" w:rsidRDefault="00446437">
            <w:pPr>
              <w:rPr>
                <w:color w:val="000000"/>
                <w:sz w:val="28"/>
                <w:szCs w:val="28"/>
              </w:rPr>
            </w:pPr>
            <w:r>
              <w:rPr>
                <w:color w:val="000000"/>
                <w:sz w:val="28"/>
                <w:szCs w:val="28"/>
              </w:rPr>
              <w:t>Administratīvās procedūras raksturojums</w:t>
            </w:r>
          </w:p>
        </w:tc>
        <w:tc>
          <w:tcPr>
            <w:tcW w:w="6942" w:type="dxa"/>
            <w:tcBorders>
              <w:top w:val="outset" w:sz="6" w:space="0" w:color="000000"/>
              <w:left w:val="outset" w:sz="6" w:space="0" w:color="000000"/>
              <w:bottom w:val="outset" w:sz="6" w:space="0" w:color="000000"/>
              <w:right w:val="outset" w:sz="6" w:space="0" w:color="000000"/>
            </w:tcBorders>
            <w:hideMark/>
          </w:tcPr>
          <w:p w:rsidR="00446437" w:rsidRDefault="00446437">
            <w:pPr>
              <w:jc w:val="both"/>
              <w:rPr>
                <w:sz w:val="28"/>
                <w:szCs w:val="28"/>
              </w:rPr>
            </w:pPr>
            <w:r>
              <w:rPr>
                <w:sz w:val="28"/>
                <w:szCs w:val="28"/>
              </w:rPr>
              <w:t>Ar šo noteikumu projekta spēkā stāšanos pirmās klases, otrās klases, LAPL un gaisa kuģ</w:t>
            </w:r>
            <w:r w:rsidR="008F3B88">
              <w:rPr>
                <w:sz w:val="28"/>
                <w:szCs w:val="28"/>
              </w:rPr>
              <w:t>u</w:t>
            </w:r>
            <w:r>
              <w:rPr>
                <w:sz w:val="28"/>
                <w:szCs w:val="28"/>
              </w:rPr>
              <w:t xml:space="preserve"> salona apkalpes locekļu veselības apliecības varēs izsniegt regulas Nr.1178/2011 IV pielikuma MED.A.</w:t>
            </w:r>
            <w:r w:rsidR="00FA48D7">
              <w:rPr>
                <w:sz w:val="28"/>
                <w:szCs w:val="28"/>
              </w:rPr>
              <w:t>0</w:t>
            </w:r>
            <w:r>
              <w:rPr>
                <w:sz w:val="28"/>
                <w:szCs w:val="28"/>
              </w:rPr>
              <w:t>40 un MED.C.030 punktā noteiktās personas, kuras būs veikušas veselības pārbaudes</w:t>
            </w:r>
            <w:r w:rsidR="00B30A19">
              <w:rPr>
                <w:sz w:val="28"/>
                <w:szCs w:val="28"/>
              </w:rPr>
              <w:t>,</w:t>
            </w:r>
            <w:r>
              <w:rPr>
                <w:sz w:val="28"/>
                <w:szCs w:val="28"/>
              </w:rPr>
              <w:t xml:space="preserve"> tas ir</w:t>
            </w:r>
            <w:r w:rsidR="00B30A19">
              <w:rPr>
                <w:sz w:val="28"/>
                <w:szCs w:val="28"/>
              </w:rPr>
              <w:t>,</w:t>
            </w:r>
            <w:r>
              <w:rPr>
                <w:sz w:val="28"/>
                <w:szCs w:val="28"/>
              </w:rPr>
              <w:t xml:space="preserve"> aviācijas medicīnas centrs vai aviācijas medicīnas eksperts. Regulas Nr.1178/2011 MED.A.040 f) apakšpunktā noteiktajos gadījumos veselības apliecības izsniegs Civilās aviācijas aģentūra. </w:t>
            </w:r>
          </w:p>
          <w:p w:rsidR="00446437" w:rsidRDefault="00446437">
            <w:pPr>
              <w:jc w:val="both"/>
              <w:rPr>
                <w:sz w:val="28"/>
                <w:szCs w:val="28"/>
                <w:highlight w:val="cyan"/>
              </w:rPr>
            </w:pPr>
            <w:r>
              <w:rPr>
                <w:sz w:val="28"/>
                <w:szCs w:val="28"/>
              </w:rPr>
              <w:t>Trešās klases veselības apliecības izsniegs tikai Civilās aviācijas aģentūra.</w:t>
            </w:r>
          </w:p>
        </w:tc>
      </w:tr>
      <w:tr w:rsidR="00446437" w:rsidTr="00446437">
        <w:tc>
          <w:tcPr>
            <w:tcW w:w="314" w:type="dxa"/>
            <w:tcBorders>
              <w:top w:val="outset" w:sz="6" w:space="0" w:color="000000"/>
              <w:left w:val="outset" w:sz="6" w:space="0" w:color="000000"/>
              <w:bottom w:val="outset" w:sz="6" w:space="0" w:color="000000"/>
              <w:right w:val="outset" w:sz="6" w:space="0" w:color="000000"/>
            </w:tcBorders>
            <w:hideMark/>
          </w:tcPr>
          <w:p w:rsidR="00446437" w:rsidRDefault="00446437">
            <w:pPr>
              <w:rPr>
                <w:color w:val="000000"/>
                <w:sz w:val="28"/>
                <w:szCs w:val="28"/>
              </w:rPr>
            </w:pPr>
            <w:r>
              <w:rPr>
                <w:color w:val="000000"/>
                <w:sz w:val="28"/>
                <w:szCs w:val="28"/>
              </w:rPr>
              <w:t>6.</w:t>
            </w:r>
          </w:p>
        </w:tc>
        <w:tc>
          <w:tcPr>
            <w:tcW w:w="2036" w:type="dxa"/>
            <w:tcBorders>
              <w:top w:val="outset" w:sz="6" w:space="0" w:color="000000"/>
              <w:left w:val="outset" w:sz="6" w:space="0" w:color="000000"/>
              <w:bottom w:val="outset" w:sz="6" w:space="0" w:color="000000"/>
              <w:right w:val="outset" w:sz="6" w:space="0" w:color="000000"/>
            </w:tcBorders>
          </w:tcPr>
          <w:p w:rsidR="00446437" w:rsidRDefault="00446437">
            <w:pPr>
              <w:rPr>
                <w:color w:val="000000"/>
                <w:sz w:val="28"/>
                <w:szCs w:val="28"/>
              </w:rPr>
            </w:pPr>
            <w:r>
              <w:rPr>
                <w:color w:val="000000"/>
                <w:sz w:val="28"/>
                <w:szCs w:val="28"/>
              </w:rPr>
              <w:t>Administratīvo izmaksu monetārs novērtējums</w:t>
            </w:r>
          </w:p>
          <w:p w:rsidR="00446437" w:rsidRDefault="00446437">
            <w:pPr>
              <w:rPr>
                <w:color w:val="000000"/>
                <w:sz w:val="28"/>
                <w:szCs w:val="28"/>
              </w:rPr>
            </w:pPr>
          </w:p>
        </w:tc>
        <w:tc>
          <w:tcPr>
            <w:tcW w:w="6942" w:type="dxa"/>
            <w:tcBorders>
              <w:top w:val="outset" w:sz="6" w:space="0" w:color="000000"/>
              <w:left w:val="outset" w:sz="6" w:space="0" w:color="000000"/>
              <w:bottom w:val="outset" w:sz="6" w:space="0" w:color="000000"/>
              <w:right w:val="outset" w:sz="6" w:space="0" w:color="000000"/>
            </w:tcBorders>
            <w:hideMark/>
          </w:tcPr>
          <w:p w:rsidR="00446437" w:rsidRDefault="00446437">
            <w:pPr>
              <w:rPr>
                <w:color w:val="000000"/>
                <w:sz w:val="28"/>
                <w:szCs w:val="28"/>
              </w:rPr>
            </w:pPr>
            <w:r>
              <w:rPr>
                <w:color w:val="000000"/>
                <w:sz w:val="28"/>
                <w:szCs w:val="28"/>
              </w:rPr>
              <w:t>Projekts šo jomu neskar.</w:t>
            </w:r>
          </w:p>
        </w:tc>
      </w:tr>
      <w:tr w:rsidR="00446437" w:rsidTr="00446437">
        <w:trPr>
          <w:trHeight w:val="397"/>
        </w:trPr>
        <w:tc>
          <w:tcPr>
            <w:tcW w:w="314" w:type="dxa"/>
            <w:tcBorders>
              <w:top w:val="outset" w:sz="6" w:space="0" w:color="000000"/>
              <w:left w:val="outset" w:sz="6" w:space="0" w:color="000000"/>
              <w:bottom w:val="outset" w:sz="6" w:space="0" w:color="000000"/>
              <w:right w:val="outset" w:sz="6" w:space="0" w:color="000000"/>
            </w:tcBorders>
            <w:hideMark/>
          </w:tcPr>
          <w:p w:rsidR="00446437" w:rsidRDefault="00446437">
            <w:pPr>
              <w:rPr>
                <w:sz w:val="28"/>
                <w:szCs w:val="28"/>
              </w:rPr>
            </w:pPr>
            <w:r>
              <w:rPr>
                <w:sz w:val="28"/>
                <w:szCs w:val="28"/>
              </w:rPr>
              <w:t>7.</w:t>
            </w:r>
          </w:p>
        </w:tc>
        <w:tc>
          <w:tcPr>
            <w:tcW w:w="2036" w:type="dxa"/>
            <w:tcBorders>
              <w:top w:val="outset" w:sz="6" w:space="0" w:color="000000"/>
              <w:left w:val="outset" w:sz="6" w:space="0" w:color="000000"/>
              <w:bottom w:val="outset" w:sz="6" w:space="0" w:color="000000"/>
              <w:right w:val="outset" w:sz="6" w:space="0" w:color="000000"/>
            </w:tcBorders>
            <w:hideMark/>
          </w:tcPr>
          <w:p w:rsidR="00446437" w:rsidRDefault="00446437">
            <w:pPr>
              <w:rPr>
                <w:sz w:val="28"/>
                <w:szCs w:val="28"/>
              </w:rPr>
            </w:pPr>
            <w:r>
              <w:rPr>
                <w:sz w:val="28"/>
                <w:szCs w:val="28"/>
              </w:rPr>
              <w:t>Cita informācija</w:t>
            </w:r>
          </w:p>
        </w:tc>
        <w:tc>
          <w:tcPr>
            <w:tcW w:w="6942" w:type="dxa"/>
            <w:tcBorders>
              <w:top w:val="outset" w:sz="6" w:space="0" w:color="000000"/>
              <w:left w:val="outset" w:sz="6" w:space="0" w:color="000000"/>
              <w:bottom w:val="outset" w:sz="6" w:space="0" w:color="000000"/>
              <w:right w:val="outset" w:sz="6" w:space="0" w:color="000000"/>
            </w:tcBorders>
            <w:hideMark/>
          </w:tcPr>
          <w:p w:rsidR="00446437" w:rsidRDefault="00446437">
            <w:pPr>
              <w:jc w:val="both"/>
              <w:rPr>
                <w:sz w:val="28"/>
                <w:szCs w:val="28"/>
              </w:rPr>
            </w:pPr>
            <w:r>
              <w:rPr>
                <w:sz w:val="28"/>
                <w:szCs w:val="28"/>
              </w:rPr>
              <w:t>Nav</w:t>
            </w:r>
          </w:p>
        </w:tc>
      </w:tr>
    </w:tbl>
    <w:p w:rsidR="00446437" w:rsidRDefault="00446437" w:rsidP="00446437">
      <w:pPr>
        <w:rPr>
          <w:color w:val="000000"/>
          <w:sz w:val="28"/>
          <w:szCs w:val="28"/>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70"/>
        <w:gridCol w:w="2100"/>
        <w:gridCol w:w="6761"/>
      </w:tblGrid>
      <w:tr w:rsidR="00446437" w:rsidTr="00446437">
        <w:tc>
          <w:tcPr>
            <w:tcW w:w="0" w:type="auto"/>
            <w:gridSpan w:val="3"/>
            <w:tcBorders>
              <w:top w:val="single" w:sz="6" w:space="0" w:color="auto"/>
              <w:left w:val="single" w:sz="6" w:space="0" w:color="auto"/>
              <w:bottom w:val="outset" w:sz="6" w:space="0" w:color="000000"/>
              <w:right w:val="single" w:sz="6" w:space="0" w:color="auto"/>
            </w:tcBorders>
            <w:hideMark/>
          </w:tcPr>
          <w:p w:rsidR="00446437" w:rsidRDefault="00446437">
            <w:pPr>
              <w:jc w:val="center"/>
              <w:rPr>
                <w:b/>
                <w:bCs/>
                <w:color w:val="000000"/>
                <w:sz w:val="28"/>
                <w:szCs w:val="28"/>
              </w:rPr>
            </w:pPr>
            <w:r>
              <w:rPr>
                <w:b/>
                <w:bCs/>
                <w:color w:val="000000"/>
                <w:sz w:val="28"/>
                <w:szCs w:val="28"/>
              </w:rPr>
              <w:t>V. Tiesību akta projekta atbilstība Latvijas Republikas starptautiskajām saistībām</w:t>
            </w:r>
          </w:p>
        </w:tc>
      </w:tr>
      <w:tr w:rsidR="00446437" w:rsidTr="00446437">
        <w:tc>
          <w:tcPr>
            <w:tcW w:w="0" w:type="auto"/>
            <w:tcBorders>
              <w:top w:val="outset" w:sz="6" w:space="0" w:color="000000"/>
              <w:left w:val="outset" w:sz="6" w:space="0" w:color="000000"/>
              <w:bottom w:val="outset" w:sz="6" w:space="0" w:color="000000"/>
              <w:right w:val="outset" w:sz="6" w:space="0" w:color="000000"/>
            </w:tcBorders>
            <w:hideMark/>
          </w:tcPr>
          <w:p w:rsidR="00446437" w:rsidRDefault="00446437">
            <w:pPr>
              <w:rPr>
                <w:color w:val="000000"/>
                <w:sz w:val="28"/>
                <w:szCs w:val="28"/>
              </w:rPr>
            </w:pPr>
            <w:r>
              <w:rPr>
                <w:color w:val="000000"/>
                <w:sz w:val="28"/>
                <w:szCs w:val="28"/>
              </w:rPr>
              <w:t>1.</w:t>
            </w:r>
          </w:p>
        </w:tc>
        <w:tc>
          <w:tcPr>
            <w:tcW w:w="1150" w:type="pct"/>
            <w:tcBorders>
              <w:top w:val="outset" w:sz="6" w:space="0" w:color="000000"/>
              <w:left w:val="outset" w:sz="6" w:space="0" w:color="000000"/>
              <w:bottom w:val="outset" w:sz="6" w:space="0" w:color="000000"/>
              <w:right w:val="outset" w:sz="6" w:space="0" w:color="000000"/>
            </w:tcBorders>
            <w:hideMark/>
          </w:tcPr>
          <w:p w:rsidR="00446437" w:rsidRDefault="00446437">
            <w:pPr>
              <w:rPr>
                <w:color w:val="000000"/>
                <w:sz w:val="28"/>
                <w:szCs w:val="28"/>
              </w:rPr>
            </w:pPr>
            <w:r>
              <w:rPr>
                <w:color w:val="000000"/>
                <w:sz w:val="28"/>
                <w:szCs w:val="28"/>
              </w:rPr>
              <w:t>Saistības pret Eiropas Savienību</w:t>
            </w:r>
          </w:p>
        </w:tc>
        <w:tc>
          <w:tcPr>
            <w:tcW w:w="3702" w:type="pct"/>
            <w:tcBorders>
              <w:top w:val="outset" w:sz="6" w:space="0" w:color="000000"/>
              <w:left w:val="outset" w:sz="6" w:space="0" w:color="000000"/>
              <w:bottom w:val="outset" w:sz="6" w:space="0" w:color="000000"/>
              <w:right w:val="outset" w:sz="6" w:space="0" w:color="000000"/>
            </w:tcBorders>
            <w:hideMark/>
          </w:tcPr>
          <w:p w:rsidR="00446437" w:rsidRDefault="00446437">
            <w:pPr>
              <w:pStyle w:val="naiskr"/>
              <w:spacing w:before="0" w:after="0"/>
              <w:jc w:val="both"/>
              <w:rPr>
                <w:szCs w:val="28"/>
              </w:rPr>
            </w:pPr>
            <w:r>
              <w:rPr>
                <w:sz w:val="28"/>
                <w:szCs w:val="28"/>
              </w:rPr>
              <w:t>Normatīvajā aktā ietverta atsauce uz:</w:t>
            </w:r>
          </w:p>
          <w:p w:rsidR="00446437" w:rsidRDefault="00446437">
            <w:pPr>
              <w:jc w:val="both"/>
              <w:rPr>
                <w:noProof/>
                <w:sz w:val="28"/>
                <w:szCs w:val="28"/>
              </w:rPr>
            </w:pPr>
            <w:r>
              <w:rPr>
                <w:sz w:val="28"/>
                <w:szCs w:val="28"/>
              </w:rPr>
              <w:t xml:space="preserve">Komisijas 2011.gada 3.novembra Regulu (ES) Nr. 1178/2011, ar ko nosaka tehniskās prasības un administratīvās procedūras attiecībā uz civilās aviācijas gaisa kuģa apkalpi atbilstīgi Eiropas Parlamenta un Padomes Regulai (EK) Nr. 216/2008 </w:t>
            </w:r>
            <w:r>
              <w:rPr>
                <w:noProof/>
                <w:sz w:val="28"/>
                <w:szCs w:val="28"/>
              </w:rPr>
              <w:t xml:space="preserve">(publicēta “Eiropas Savienības Oficiālajā Vēstnesī” </w:t>
            </w:r>
            <w:r>
              <w:rPr>
                <w:rStyle w:val="Emphasis"/>
                <w:i w:val="0"/>
                <w:sz w:val="28"/>
                <w:szCs w:val="28"/>
              </w:rPr>
              <w:t>L 311, 25.11.2011</w:t>
            </w:r>
            <w:r>
              <w:rPr>
                <w:noProof/>
                <w:sz w:val="28"/>
                <w:szCs w:val="28"/>
              </w:rPr>
              <w:t>);</w:t>
            </w:r>
          </w:p>
          <w:p w:rsidR="00446437" w:rsidRDefault="00446437">
            <w:pPr>
              <w:jc w:val="both"/>
              <w:rPr>
                <w:noProof/>
                <w:sz w:val="28"/>
                <w:szCs w:val="28"/>
              </w:rPr>
            </w:pPr>
            <w:r>
              <w:rPr>
                <w:sz w:val="28"/>
                <w:szCs w:val="28"/>
              </w:rPr>
              <w:t xml:space="preserve">Komisijas 2011.gada 10.marta Regulu (ES) Nr. 805/2011, ar ko nosaka sīki izstrādātus noteikumus gaisa satiksmes </w:t>
            </w:r>
            <w:r>
              <w:rPr>
                <w:sz w:val="28"/>
                <w:szCs w:val="28"/>
              </w:rPr>
              <w:lastRenderedPageBreak/>
              <w:t xml:space="preserve">vadības dispečeru licencēm un noteiktiem sertifikātiem atbilstīgi Eiropas Parlamenta un Padomes Regulai (EK) Nr. 216/2008 </w:t>
            </w:r>
            <w:r>
              <w:rPr>
                <w:noProof/>
                <w:sz w:val="28"/>
                <w:szCs w:val="28"/>
              </w:rPr>
              <w:t>(publicēta “Eiropas Savienības Oficiālajā Vēstnesī”</w:t>
            </w:r>
            <w:r>
              <w:rPr>
                <w:i/>
                <w:noProof/>
                <w:sz w:val="28"/>
                <w:szCs w:val="28"/>
              </w:rPr>
              <w:t xml:space="preserve"> </w:t>
            </w:r>
            <w:r>
              <w:rPr>
                <w:rStyle w:val="Emphasis"/>
                <w:i w:val="0"/>
                <w:sz w:val="28"/>
                <w:szCs w:val="28"/>
              </w:rPr>
              <w:t>L 206</w:t>
            </w:r>
            <w:r>
              <w:rPr>
                <w:rStyle w:val="Emphasis"/>
                <w:sz w:val="28"/>
                <w:szCs w:val="28"/>
              </w:rPr>
              <w:t xml:space="preserve">, </w:t>
            </w:r>
            <w:r>
              <w:rPr>
                <w:iCs/>
                <w:sz w:val="28"/>
                <w:szCs w:val="28"/>
              </w:rPr>
              <w:t>11.</w:t>
            </w:r>
            <w:r w:rsidR="00022E35">
              <w:rPr>
                <w:iCs/>
                <w:sz w:val="28"/>
                <w:szCs w:val="28"/>
              </w:rPr>
              <w:t>0</w:t>
            </w:r>
            <w:r>
              <w:rPr>
                <w:iCs/>
                <w:sz w:val="28"/>
                <w:szCs w:val="28"/>
              </w:rPr>
              <w:t>8.2011</w:t>
            </w:r>
            <w:r>
              <w:rPr>
                <w:noProof/>
                <w:sz w:val="28"/>
                <w:szCs w:val="28"/>
              </w:rPr>
              <w:t>).</w:t>
            </w:r>
          </w:p>
        </w:tc>
      </w:tr>
      <w:tr w:rsidR="00446437" w:rsidTr="00446437">
        <w:tc>
          <w:tcPr>
            <w:tcW w:w="0" w:type="auto"/>
            <w:tcBorders>
              <w:top w:val="outset" w:sz="6" w:space="0" w:color="000000"/>
              <w:left w:val="outset" w:sz="6" w:space="0" w:color="000000"/>
              <w:bottom w:val="outset" w:sz="6" w:space="0" w:color="000000"/>
              <w:right w:val="outset" w:sz="6" w:space="0" w:color="000000"/>
            </w:tcBorders>
            <w:hideMark/>
          </w:tcPr>
          <w:p w:rsidR="00446437" w:rsidRDefault="00446437">
            <w:pPr>
              <w:rPr>
                <w:color w:val="000000"/>
                <w:sz w:val="28"/>
                <w:szCs w:val="28"/>
              </w:rPr>
            </w:pPr>
            <w:r>
              <w:rPr>
                <w:color w:val="000000"/>
                <w:sz w:val="28"/>
                <w:szCs w:val="28"/>
              </w:rPr>
              <w:lastRenderedPageBreak/>
              <w:t>2.</w:t>
            </w:r>
          </w:p>
        </w:tc>
        <w:tc>
          <w:tcPr>
            <w:tcW w:w="1150" w:type="pct"/>
            <w:tcBorders>
              <w:top w:val="outset" w:sz="6" w:space="0" w:color="000000"/>
              <w:left w:val="outset" w:sz="6" w:space="0" w:color="000000"/>
              <w:bottom w:val="outset" w:sz="6" w:space="0" w:color="000000"/>
              <w:right w:val="outset" w:sz="6" w:space="0" w:color="000000"/>
            </w:tcBorders>
            <w:hideMark/>
          </w:tcPr>
          <w:p w:rsidR="00446437" w:rsidRDefault="00446437">
            <w:pPr>
              <w:rPr>
                <w:color w:val="000000"/>
                <w:sz w:val="28"/>
                <w:szCs w:val="28"/>
              </w:rPr>
            </w:pPr>
            <w:r>
              <w:rPr>
                <w:color w:val="000000"/>
                <w:sz w:val="28"/>
                <w:szCs w:val="28"/>
              </w:rPr>
              <w:t>Citas starptautiskās saistības</w:t>
            </w:r>
          </w:p>
        </w:tc>
        <w:tc>
          <w:tcPr>
            <w:tcW w:w="3702" w:type="pct"/>
            <w:tcBorders>
              <w:top w:val="outset" w:sz="6" w:space="0" w:color="000000"/>
              <w:left w:val="outset" w:sz="6" w:space="0" w:color="000000"/>
              <w:bottom w:val="outset" w:sz="6" w:space="0" w:color="000000"/>
              <w:right w:val="outset" w:sz="6" w:space="0" w:color="000000"/>
            </w:tcBorders>
            <w:hideMark/>
          </w:tcPr>
          <w:p w:rsidR="00446437" w:rsidRDefault="00446437">
            <w:pPr>
              <w:jc w:val="both"/>
              <w:rPr>
                <w:color w:val="000000"/>
                <w:sz w:val="28"/>
                <w:szCs w:val="28"/>
              </w:rPr>
            </w:pPr>
            <w:r>
              <w:rPr>
                <w:color w:val="000000"/>
                <w:sz w:val="28"/>
                <w:szCs w:val="28"/>
              </w:rPr>
              <w:t>Nav</w:t>
            </w:r>
          </w:p>
        </w:tc>
      </w:tr>
      <w:tr w:rsidR="00446437" w:rsidTr="00446437">
        <w:tc>
          <w:tcPr>
            <w:tcW w:w="0" w:type="auto"/>
            <w:tcBorders>
              <w:top w:val="outset" w:sz="6" w:space="0" w:color="000000"/>
              <w:left w:val="outset" w:sz="6" w:space="0" w:color="000000"/>
              <w:bottom w:val="outset" w:sz="6" w:space="0" w:color="000000"/>
              <w:right w:val="outset" w:sz="6" w:space="0" w:color="000000"/>
            </w:tcBorders>
            <w:hideMark/>
          </w:tcPr>
          <w:p w:rsidR="00446437" w:rsidRDefault="00446437">
            <w:pPr>
              <w:rPr>
                <w:color w:val="000000"/>
                <w:sz w:val="28"/>
                <w:szCs w:val="28"/>
              </w:rPr>
            </w:pPr>
            <w:r>
              <w:rPr>
                <w:color w:val="000000"/>
                <w:sz w:val="28"/>
                <w:szCs w:val="28"/>
              </w:rPr>
              <w:t>3.</w:t>
            </w:r>
          </w:p>
        </w:tc>
        <w:tc>
          <w:tcPr>
            <w:tcW w:w="1150" w:type="pct"/>
            <w:tcBorders>
              <w:top w:val="outset" w:sz="6" w:space="0" w:color="000000"/>
              <w:left w:val="outset" w:sz="6" w:space="0" w:color="000000"/>
              <w:bottom w:val="outset" w:sz="6" w:space="0" w:color="000000"/>
              <w:right w:val="outset" w:sz="6" w:space="0" w:color="000000"/>
            </w:tcBorders>
            <w:hideMark/>
          </w:tcPr>
          <w:p w:rsidR="00446437" w:rsidRDefault="00446437">
            <w:pPr>
              <w:rPr>
                <w:color w:val="000000"/>
                <w:sz w:val="28"/>
                <w:szCs w:val="28"/>
              </w:rPr>
            </w:pPr>
            <w:r>
              <w:rPr>
                <w:color w:val="000000"/>
                <w:sz w:val="28"/>
                <w:szCs w:val="28"/>
              </w:rPr>
              <w:t>Cita informācija</w:t>
            </w:r>
          </w:p>
        </w:tc>
        <w:tc>
          <w:tcPr>
            <w:tcW w:w="3702" w:type="pct"/>
            <w:tcBorders>
              <w:top w:val="outset" w:sz="6" w:space="0" w:color="000000"/>
              <w:left w:val="outset" w:sz="6" w:space="0" w:color="000000"/>
              <w:bottom w:val="outset" w:sz="6" w:space="0" w:color="000000"/>
              <w:right w:val="outset" w:sz="6" w:space="0" w:color="000000"/>
            </w:tcBorders>
            <w:hideMark/>
          </w:tcPr>
          <w:p w:rsidR="00446437" w:rsidRDefault="00446437">
            <w:pPr>
              <w:rPr>
                <w:color w:val="000000"/>
                <w:sz w:val="28"/>
                <w:szCs w:val="28"/>
              </w:rPr>
            </w:pPr>
            <w:r>
              <w:rPr>
                <w:color w:val="000000"/>
                <w:sz w:val="28"/>
                <w:szCs w:val="28"/>
              </w:rPr>
              <w:t>Normatīvā akta izstrādē izmantota regulas Nr.1178/2011 konsolidētā versija.</w:t>
            </w:r>
          </w:p>
          <w:p w:rsidR="003B76B5" w:rsidRPr="003B76B5" w:rsidRDefault="003B76B5" w:rsidP="003B76B5">
            <w:pPr>
              <w:rPr>
                <w:color w:val="000000"/>
                <w:sz w:val="28"/>
                <w:szCs w:val="28"/>
              </w:rPr>
            </w:pPr>
            <w:r w:rsidRPr="003B76B5">
              <w:rPr>
                <w:color w:val="000000"/>
                <w:sz w:val="28"/>
                <w:szCs w:val="28"/>
              </w:rPr>
              <w:t>Noteikumu projektā izmantotas atsauces uz  Eiropas Aviācijas drošības aģentūras izstrādāt</w:t>
            </w:r>
            <w:r w:rsidR="00FA48D7">
              <w:rPr>
                <w:color w:val="000000"/>
                <w:sz w:val="28"/>
                <w:szCs w:val="28"/>
              </w:rPr>
              <w:t>ajiem dokumentiem regulas Nr.1178/2011</w:t>
            </w:r>
            <w:r w:rsidRPr="003B76B5">
              <w:rPr>
                <w:color w:val="000000"/>
                <w:sz w:val="28"/>
                <w:szCs w:val="28"/>
              </w:rPr>
              <w:t xml:space="preserve"> prasību piemērošanai (http://easa.europa.eu/agency-measures/acceptable-means-of-compliance-and-guidance-material.php): </w:t>
            </w:r>
          </w:p>
          <w:p w:rsidR="003B76B5" w:rsidRPr="003B76B5" w:rsidRDefault="003B76B5" w:rsidP="003B76B5">
            <w:pPr>
              <w:rPr>
                <w:color w:val="000000"/>
                <w:sz w:val="28"/>
                <w:szCs w:val="28"/>
              </w:rPr>
            </w:pPr>
            <w:r w:rsidRPr="003B76B5">
              <w:rPr>
                <w:color w:val="000000"/>
                <w:sz w:val="28"/>
                <w:szCs w:val="28"/>
              </w:rPr>
              <w:t>1) „Attiecīgie līdzekļi atbilstības panākšanai un vadlīnijas. MED daļa”, Eiropas aviācijas drošības aģentūras izpilddirektora 2011.gada 15.decembra lēmums Nr.2011/015/R un 2013.gada 8.augusta lēmums Nr.2013/016/R;</w:t>
            </w:r>
          </w:p>
          <w:p w:rsidR="003B76B5" w:rsidRDefault="003B76B5" w:rsidP="003B76B5">
            <w:pPr>
              <w:rPr>
                <w:color w:val="000000"/>
                <w:sz w:val="28"/>
                <w:szCs w:val="28"/>
              </w:rPr>
            </w:pPr>
            <w:r w:rsidRPr="003B76B5">
              <w:rPr>
                <w:color w:val="000000"/>
                <w:sz w:val="28"/>
                <w:szCs w:val="28"/>
              </w:rPr>
              <w:t>2) „Attiecīgie līdzekļi atbilstības panākšanai un vadlīnijas. ARA daļa”, Eiropas aviācijas drošības aģentūras izpilddirektora 2012.gada 19.aprīļa lēmums</w:t>
            </w:r>
            <w:r w:rsidR="00711AE2">
              <w:rPr>
                <w:color w:val="000000"/>
                <w:sz w:val="28"/>
                <w:szCs w:val="28"/>
              </w:rPr>
              <w:t xml:space="preserve"> 2012/006/R </w:t>
            </w:r>
            <w:r w:rsidRPr="003B76B5">
              <w:rPr>
                <w:color w:val="000000"/>
                <w:sz w:val="28"/>
                <w:szCs w:val="28"/>
              </w:rPr>
              <w:t>un 2013.gada</w:t>
            </w:r>
            <w:r w:rsidR="00F47127">
              <w:rPr>
                <w:color w:val="000000"/>
                <w:sz w:val="28"/>
                <w:szCs w:val="28"/>
              </w:rPr>
              <w:t xml:space="preserve"> 16.aprīļa lēmums Nr.2013/006/R;</w:t>
            </w:r>
          </w:p>
          <w:p w:rsidR="00F47127" w:rsidRDefault="00F47127" w:rsidP="003B76B5">
            <w:pPr>
              <w:rPr>
                <w:color w:val="000000"/>
                <w:sz w:val="28"/>
                <w:szCs w:val="28"/>
              </w:rPr>
            </w:pPr>
            <w:r>
              <w:rPr>
                <w:color w:val="000000"/>
                <w:sz w:val="28"/>
                <w:szCs w:val="28"/>
              </w:rPr>
              <w:t xml:space="preserve">3) </w:t>
            </w:r>
            <w:r w:rsidRPr="00F47127">
              <w:rPr>
                <w:color w:val="000000"/>
                <w:sz w:val="28"/>
                <w:szCs w:val="28"/>
              </w:rPr>
              <w:t>„Attiecīgie līdzekļi atbilst</w:t>
            </w:r>
            <w:r w:rsidR="00711AE2">
              <w:rPr>
                <w:color w:val="000000"/>
                <w:sz w:val="28"/>
                <w:szCs w:val="28"/>
              </w:rPr>
              <w:t>ības panākšanai un vadlīnijas. O</w:t>
            </w:r>
            <w:r w:rsidRPr="00F47127">
              <w:rPr>
                <w:color w:val="000000"/>
                <w:sz w:val="28"/>
                <w:szCs w:val="28"/>
              </w:rPr>
              <w:t xml:space="preserve">RA daļa”, Eiropas aviācijas drošības aģentūras izpilddirektora 2012.gada 19.aprīļa lēmums </w:t>
            </w:r>
            <w:r w:rsidR="00711AE2">
              <w:rPr>
                <w:color w:val="000000"/>
                <w:sz w:val="28"/>
                <w:szCs w:val="28"/>
              </w:rPr>
              <w:t xml:space="preserve">2012/007/R </w:t>
            </w:r>
            <w:r w:rsidRPr="00F47127">
              <w:rPr>
                <w:color w:val="000000"/>
                <w:sz w:val="28"/>
                <w:szCs w:val="28"/>
              </w:rPr>
              <w:t>un 2013.g</w:t>
            </w:r>
            <w:r w:rsidR="00711AE2">
              <w:rPr>
                <w:color w:val="000000"/>
                <w:sz w:val="28"/>
                <w:szCs w:val="28"/>
              </w:rPr>
              <w:t>ada 16.aprīļa lēmums Nr.2013/008</w:t>
            </w:r>
            <w:r w:rsidR="0011024B">
              <w:rPr>
                <w:color w:val="000000"/>
                <w:sz w:val="28"/>
                <w:szCs w:val="28"/>
              </w:rPr>
              <w:t>/R.</w:t>
            </w:r>
          </w:p>
        </w:tc>
      </w:tr>
    </w:tbl>
    <w:p w:rsidR="00446437" w:rsidRDefault="00446437" w:rsidP="00446437">
      <w:pPr>
        <w:rPr>
          <w:color w:val="000000"/>
          <w:sz w:val="28"/>
          <w:szCs w:val="28"/>
        </w:rPr>
      </w:pPr>
      <w:r>
        <w:rPr>
          <w:color w:val="000000"/>
          <w:sz w:val="28"/>
          <w:szCs w:val="28"/>
        </w:rPr>
        <w:t> </w:t>
      </w:r>
    </w:p>
    <w:tbl>
      <w:tblPr>
        <w:tblW w:w="9076" w:type="dxa"/>
        <w:tblCellSpacing w:w="0" w:type="dxa"/>
        <w:tblInd w:w="-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52"/>
        <w:gridCol w:w="620"/>
        <w:gridCol w:w="1528"/>
        <w:gridCol w:w="2014"/>
        <w:gridCol w:w="2762"/>
      </w:tblGrid>
      <w:tr w:rsidR="00446437" w:rsidTr="00446437">
        <w:trPr>
          <w:trHeight w:val="523"/>
          <w:tblCellSpacing w:w="0" w:type="dxa"/>
        </w:trPr>
        <w:tc>
          <w:tcPr>
            <w:tcW w:w="9076" w:type="dxa"/>
            <w:gridSpan w:val="5"/>
            <w:tcBorders>
              <w:top w:val="single" w:sz="4" w:space="0" w:color="auto"/>
              <w:left w:val="single" w:sz="4" w:space="0" w:color="auto"/>
              <w:bottom w:val="single" w:sz="4" w:space="0" w:color="auto"/>
              <w:right w:val="single" w:sz="4" w:space="0" w:color="auto"/>
            </w:tcBorders>
            <w:vAlign w:val="center"/>
            <w:hideMark/>
          </w:tcPr>
          <w:p w:rsidR="00446437" w:rsidRDefault="00446437">
            <w:pPr>
              <w:pStyle w:val="naisnod"/>
              <w:spacing w:before="0" w:after="0"/>
              <w:rPr>
                <w:sz w:val="28"/>
                <w:szCs w:val="28"/>
              </w:rPr>
            </w:pPr>
            <w:r>
              <w:rPr>
                <w:sz w:val="28"/>
                <w:szCs w:val="28"/>
              </w:rPr>
              <w:t> 1.tabula</w:t>
            </w:r>
          </w:p>
          <w:p w:rsidR="00446437" w:rsidRDefault="00446437">
            <w:pPr>
              <w:pStyle w:val="naisnod"/>
              <w:spacing w:before="0" w:after="0"/>
              <w:rPr>
                <w:sz w:val="28"/>
                <w:szCs w:val="28"/>
              </w:rPr>
            </w:pPr>
            <w:r>
              <w:rPr>
                <w:sz w:val="28"/>
                <w:szCs w:val="28"/>
              </w:rPr>
              <w:t>Tiesību akta projekta atbilstība ES tiesību aktiem</w:t>
            </w:r>
          </w:p>
        </w:tc>
      </w:tr>
      <w:tr w:rsidR="00446437" w:rsidTr="00446437">
        <w:trPr>
          <w:trHeight w:val="1252"/>
          <w:tblCellSpacing w:w="0" w:type="dxa"/>
        </w:trPr>
        <w:tc>
          <w:tcPr>
            <w:tcW w:w="2152" w:type="dxa"/>
            <w:tcBorders>
              <w:top w:val="single" w:sz="4" w:space="0" w:color="auto"/>
              <w:left w:val="single" w:sz="4" w:space="0" w:color="auto"/>
              <w:bottom w:val="single" w:sz="4" w:space="0" w:color="auto"/>
              <w:right w:val="single" w:sz="4" w:space="0" w:color="auto"/>
            </w:tcBorders>
            <w:vAlign w:val="center"/>
            <w:hideMark/>
          </w:tcPr>
          <w:p w:rsidR="00446437" w:rsidRDefault="00446437">
            <w:pPr>
              <w:pStyle w:val="naisc"/>
              <w:rPr>
                <w:sz w:val="28"/>
                <w:szCs w:val="28"/>
                <w:lang w:val="lv-LV"/>
              </w:rPr>
            </w:pPr>
            <w:r>
              <w:rPr>
                <w:sz w:val="28"/>
                <w:szCs w:val="28"/>
                <w:lang w:val="lv-LV"/>
              </w:rPr>
              <w:t>Attiecīgā ES tiesību akta datums, numurs un nosaukums</w:t>
            </w:r>
          </w:p>
        </w:tc>
        <w:tc>
          <w:tcPr>
            <w:tcW w:w="6924" w:type="dxa"/>
            <w:gridSpan w:val="4"/>
            <w:tcBorders>
              <w:top w:val="single" w:sz="4" w:space="0" w:color="auto"/>
              <w:left w:val="single" w:sz="4" w:space="0" w:color="auto"/>
              <w:bottom w:val="single" w:sz="4" w:space="0" w:color="auto"/>
              <w:right w:val="single" w:sz="4" w:space="0" w:color="auto"/>
            </w:tcBorders>
            <w:vAlign w:val="center"/>
            <w:hideMark/>
          </w:tcPr>
          <w:p w:rsidR="00446437" w:rsidRDefault="00446437">
            <w:pPr>
              <w:jc w:val="both"/>
              <w:rPr>
                <w:noProof/>
                <w:sz w:val="28"/>
                <w:szCs w:val="28"/>
              </w:rPr>
            </w:pPr>
            <w:r>
              <w:rPr>
                <w:sz w:val="28"/>
                <w:szCs w:val="28"/>
              </w:rPr>
              <w:t xml:space="preserve">Komisijas 2011.gada 3.novembra Regula (ES) Nr. 1178/2011, ar ko nosaka tehniskās prasības un administratīvās procedūras attiecībā uz civilās aviācijas gaisa kuģa apkalpi atbilstīgi Eiropas Parlamenta un Padomes Regulai (EK) Nr. 216/2008 </w:t>
            </w:r>
            <w:r>
              <w:rPr>
                <w:noProof/>
                <w:sz w:val="28"/>
                <w:szCs w:val="28"/>
              </w:rPr>
              <w:t xml:space="preserve">(publicēta “Eiropas Savienības Oficiālajā Vēstnesī” </w:t>
            </w:r>
            <w:r>
              <w:rPr>
                <w:rStyle w:val="Emphasis"/>
                <w:i w:val="0"/>
                <w:sz w:val="28"/>
                <w:szCs w:val="28"/>
              </w:rPr>
              <w:t>L 311, 25.11.2011</w:t>
            </w:r>
            <w:r>
              <w:rPr>
                <w:noProof/>
                <w:sz w:val="28"/>
                <w:szCs w:val="28"/>
              </w:rPr>
              <w:t>);</w:t>
            </w:r>
          </w:p>
          <w:p w:rsidR="00446437" w:rsidRDefault="00446437">
            <w:pPr>
              <w:jc w:val="both"/>
              <w:rPr>
                <w:sz w:val="28"/>
                <w:szCs w:val="28"/>
              </w:rPr>
            </w:pPr>
            <w:r>
              <w:rPr>
                <w:sz w:val="28"/>
                <w:szCs w:val="28"/>
              </w:rPr>
              <w:t xml:space="preserve">Komisijas 2011.gada 10.marta Regula (ES) Nr. 805/2011, ar ko nosaka sīki izstrādātus noteikumus gaisa satiksmes vadības dispečeru licencēm un noteiktiem sertifikātiem atbilstīgi Eiropas Parlamenta un Padomes Regulai (EK) Nr. 216/2008 </w:t>
            </w:r>
            <w:r>
              <w:rPr>
                <w:noProof/>
                <w:sz w:val="28"/>
                <w:szCs w:val="28"/>
              </w:rPr>
              <w:t xml:space="preserve">(publicēta “Eiropas Savienības Oficiālajā </w:t>
            </w:r>
            <w:r>
              <w:rPr>
                <w:noProof/>
                <w:sz w:val="28"/>
                <w:szCs w:val="28"/>
              </w:rPr>
              <w:lastRenderedPageBreak/>
              <w:t>Vēstnesī”</w:t>
            </w:r>
            <w:r>
              <w:rPr>
                <w:i/>
                <w:noProof/>
                <w:sz w:val="28"/>
                <w:szCs w:val="28"/>
              </w:rPr>
              <w:t xml:space="preserve"> </w:t>
            </w:r>
            <w:r>
              <w:rPr>
                <w:rStyle w:val="Emphasis"/>
                <w:i w:val="0"/>
                <w:sz w:val="28"/>
                <w:szCs w:val="28"/>
              </w:rPr>
              <w:t>L 206</w:t>
            </w:r>
            <w:r>
              <w:rPr>
                <w:rStyle w:val="Emphasis"/>
                <w:sz w:val="28"/>
                <w:szCs w:val="28"/>
              </w:rPr>
              <w:t xml:space="preserve">, </w:t>
            </w:r>
            <w:r>
              <w:rPr>
                <w:iCs/>
                <w:sz w:val="28"/>
                <w:szCs w:val="28"/>
              </w:rPr>
              <w:t>11.</w:t>
            </w:r>
            <w:r w:rsidR="000B6AAA">
              <w:rPr>
                <w:iCs/>
                <w:sz w:val="28"/>
                <w:szCs w:val="28"/>
              </w:rPr>
              <w:t>0</w:t>
            </w:r>
            <w:r>
              <w:rPr>
                <w:iCs/>
                <w:sz w:val="28"/>
                <w:szCs w:val="28"/>
              </w:rPr>
              <w:t>8.2011</w:t>
            </w:r>
            <w:r>
              <w:rPr>
                <w:noProof/>
                <w:sz w:val="28"/>
                <w:szCs w:val="28"/>
              </w:rPr>
              <w:t>).</w:t>
            </w:r>
          </w:p>
        </w:tc>
      </w:tr>
      <w:tr w:rsidR="00446437" w:rsidTr="00446437">
        <w:trPr>
          <w:trHeight w:val="163"/>
          <w:tblCellSpacing w:w="0" w:type="dxa"/>
        </w:trPr>
        <w:tc>
          <w:tcPr>
            <w:tcW w:w="9076" w:type="dxa"/>
            <w:gridSpan w:val="5"/>
            <w:tcBorders>
              <w:top w:val="single" w:sz="4" w:space="0" w:color="auto"/>
              <w:left w:val="single" w:sz="4" w:space="0" w:color="auto"/>
              <w:bottom w:val="single" w:sz="4" w:space="0" w:color="auto"/>
              <w:right w:val="single" w:sz="4" w:space="0" w:color="auto"/>
            </w:tcBorders>
            <w:vAlign w:val="center"/>
          </w:tcPr>
          <w:p w:rsidR="00446437" w:rsidRDefault="00446437" w:rsidP="0075485A">
            <w:pPr>
              <w:pStyle w:val="naiskr"/>
              <w:spacing w:line="163" w:lineRule="atLeast"/>
            </w:pPr>
          </w:p>
        </w:tc>
      </w:tr>
      <w:tr w:rsidR="00446437" w:rsidTr="00446437">
        <w:trPr>
          <w:trHeight w:val="165"/>
          <w:tblCellSpacing w:w="0" w:type="dxa"/>
        </w:trPr>
        <w:tc>
          <w:tcPr>
            <w:tcW w:w="2152" w:type="dxa"/>
            <w:tcBorders>
              <w:top w:val="single" w:sz="4" w:space="0" w:color="auto"/>
              <w:left w:val="single" w:sz="4" w:space="0" w:color="auto"/>
              <w:bottom w:val="single" w:sz="4" w:space="0" w:color="auto"/>
              <w:right w:val="single" w:sz="4" w:space="0" w:color="auto"/>
            </w:tcBorders>
            <w:vAlign w:val="center"/>
            <w:hideMark/>
          </w:tcPr>
          <w:p w:rsidR="00446437" w:rsidRDefault="00446437">
            <w:pPr>
              <w:pStyle w:val="naisc"/>
              <w:spacing w:line="165" w:lineRule="atLeast"/>
              <w:rPr>
                <w:sz w:val="28"/>
                <w:szCs w:val="28"/>
                <w:lang w:val="lv-LV"/>
              </w:rPr>
            </w:pPr>
            <w:r>
              <w:rPr>
                <w:sz w:val="28"/>
                <w:szCs w:val="28"/>
                <w:lang w:val="lv-LV"/>
              </w:rPr>
              <w:t>A</w:t>
            </w:r>
          </w:p>
        </w:tc>
        <w:tc>
          <w:tcPr>
            <w:tcW w:w="2148" w:type="dxa"/>
            <w:gridSpan w:val="2"/>
            <w:tcBorders>
              <w:top w:val="single" w:sz="4" w:space="0" w:color="auto"/>
              <w:left w:val="single" w:sz="4" w:space="0" w:color="auto"/>
              <w:bottom w:val="single" w:sz="4" w:space="0" w:color="auto"/>
              <w:right w:val="single" w:sz="4" w:space="0" w:color="auto"/>
            </w:tcBorders>
            <w:vAlign w:val="center"/>
            <w:hideMark/>
          </w:tcPr>
          <w:p w:rsidR="00446437" w:rsidRDefault="00446437">
            <w:pPr>
              <w:pStyle w:val="naisc"/>
              <w:spacing w:line="165" w:lineRule="atLeast"/>
              <w:rPr>
                <w:sz w:val="28"/>
                <w:szCs w:val="28"/>
                <w:lang w:val="lv-LV"/>
              </w:rPr>
            </w:pPr>
            <w:r>
              <w:rPr>
                <w:sz w:val="28"/>
                <w:szCs w:val="28"/>
                <w:lang w:val="lv-LV"/>
              </w:rPr>
              <w:t>B</w:t>
            </w:r>
          </w:p>
        </w:tc>
        <w:tc>
          <w:tcPr>
            <w:tcW w:w="2014" w:type="dxa"/>
            <w:tcBorders>
              <w:top w:val="single" w:sz="4" w:space="0" w:color="auto"/>
              <w:left w:val="single" w:sz="4" w:space="0" w:color="auto"/>
              <w:bottom w:val="single" w:sz="4" w:space="0" w:color="auto"/>
              <w:right w:val="single" w:sz="4" w:space="0" w:color="auto"/>
            </w:tcBorders>
            <w:vAlign w:val="center"/>
            <w:hideMark/>
          </w:tcPr>
          <w:p w:rsidR="00446437" w:rsidRDefault="00446437">
            <w:pPr>
              <w:pStyle w:val="naisc"/>
              <w:spacing w:line="165" w:lineRule="atLeast"/>
              <w:rPr>
                <w:sz w:val="28"/>
                <w:szCs w:val="28"/>
                <w:lang w:val="lv-LV"/>
              </w:rPr>
            </w:pPr>
            <w:r>
              <w:rPr>
                <w:sz w:val="28"/>
                <w:szCs w:val="28"/>
                <w:lang w:val="lv-LV"/>
              </w:rPr>
              <w:t>C</w:t>
            </w:r>
          </w:p>
        </w:tc>
        <w:tc>
          <w:tcPr>
            <w:tcW w:w="2762" w:type="dxa"/>
            <w:tcBorders>
              <w:top w:val="single" w:sz="4" w:space="0" w:color="auto"/>
              <w:left w:val="single" w:sz="4" w:space="0" w:color="auto"/>
              <w:bottom w:val="single" w:sz="4" w:space="0" w:color="auto"/>
              <w:right w:val="single" w:sz="4" w:space="0" w:color="auto"/>
            </w:tcBorders>
            <w:vAlign w:val="center"/>
            <w:hideMark/>
          </w:tcPr>
          <w:p w:rsidR="00446437" w:rsidRDefault="00446437">
            <w:pPr>
              <w:pStyle w:val="naisc"/>
              <w:spacing w:line="165" w:lineRule="atLeast"/>
              <w:rPr>
                <w:sz w:val="28"/>
                <w:szCs w:val="28"/>
                <w:lang w:val="lv-LV"/>
              </w:rPr>
            </w:pPr>
            <w:r>
              <w:rPr>
                <w:sz w:val="28"/>
                <w:szCs w:val="28"/>
                <w:lang w:val="lv-LV"/>
              </w:rPr>
              <w:t>D</w:t>
            </w:r>
          </w:p>
        </w:tc>
      </w:tr>
      <w:tr w:rsidR="00446437" w:rsidTr="00446437">
        <w:trPr>
          <w:trHeight w:val="191"/>
          <w:tblCellSpacing w:w="0" w:type="dxa"/>
        </w:trPr>
        <w:tc>
          <w:tcPr>
            <w:tcW w:w="2152" w:type="dxa"/>
            <w:tcBorders>
              <w:top w:val="single" w:sz="4" w:space="0" w:color="auto"/>
              <w:left w:val="single" w:sz="4" w:space="0" w:color="auto"/>
              <w:bottom w:val="single" w:sz="4" w:space="0" w:color="auto"/>
              <w:right w:val="single" w:sz="4" w:space="0" w:color="auto"/>
            </w:tcBorders>
            <w:hideMark/>
          </w:tcPr>
          <w:p w:rsidR="00446437" w:rsidRDefault="00446437">
            <w:pPr>
              <w:pStyle w:val="naisf"/>
              <w:spacing w:before="0" w:after="0"/>
              <w:rPr>
                <w:sz w:val="28"/>
                <w:szCs w:val="28"/>
              </w:rPr>
            </w:pPr>
            <w:r>
              <w:rPr>
                <w:sz w:val="28"/>
                <w:szCs w:val="28"/>
              </w:rPr>
              <w:t>Attiecīgā ES tiesību akta panta numurs (uzskaitot katru tiesību akta</w:t>
            </w:r>
            <w:r>
              <w:rPr>
                <w:sz w:val="28"/>
                <w:szCs w:val="28"/>
              </w:rPr>
              <w:br/>
              <w:t>vienību - pantu, daļu, punktu, apakšpunktu).</w:t>
            </w:r>
          </w:p>
        </w:tc>
        <w:tc>
          <w:tcPr>
            <w:tcW w:w="2148" w:type="dxa"/>
            <w:gridSpan w:val="2"/>
            <w:tcBorders>
              <w:top w:val="single" w:sz="4" w:space="0" w:color="auto"/>
              <w:left w:val="single" w:sz="4" w:space="0" w:color="auto"/>
              <w:bottom w:val="single" w:sz="4" w:space="0" w:color="auto"/>
              <w:right w:val="single" w:sz="4" w:space="0" w:color="auto"/>
            </w:tcBorders>
            <w:hideMark/>
          </w:tcPr>
          <w:p w:rsidR="00446437" w:rsidRDefault="00446437">
            <w:pPr>
              <w:pStyle w:val="naisf"/>
              <w:spacing w:before="0" w:after="0"/>
              <w:rPr>
                <w:sz w:val="28"/>
                <w:szCs w:val="28"/>
              </w:rPr>
            </w:pPr>
            <w:r>
              <w:rPr>
                <w:sz w:val="28"/>
                <w:szCs w:val="28"/>
              </w:rPr>
              <w:t>Projekta vienība, kas pārņem vai ievieš katru šīs tabulas A ailē minēto ES tiesību akta vienību, vai tiesību akts, kur attiecīgā ES tiesību akta vienība pārņemta vai ieviesta.</w:t>
            </w:r>
          </w:p>
        </w:tc>
        <w:tc>
          <w:tcPr>
            <w:tcW w:w="2014" w:type="dxa"/>
            <w:tcBorders>
              <w:top w:val="single" w:sz="4" w:space="0" w:color="auto"/>
              <w:left w:val="single" w:sz="4" w:space="0" w:color="auto"/>
              <w:bottom w:val="single" w:sz="4" w:space="0" w:color="auto"/>
              <w:right w:val="single" w:sz="4" w:space="0" w:color="auto"/>
            </w:tcBorders>
          </w:tcPr>
          <w:p w:rsidR="00446437" w:rsidRDefault="00446437">
            <w:pPr>
              <w:pStyle w:val="NormalWeb"/>
              <w:rPr>
                <w:rFonts w:ascii="Times New Roman" w:hAnsi="Times New Roman"/>
                <w:sz w:val="28"/>
                <w:szCs w:val="28"/>
              </w:rPr>
            </w:pPr>
            <w:r>
              <w:rPr>
                <w:rFonts w:ascii="Times New Roman" w:hAnsi="Times New Roman"/>
                <w:sz w:val="28"/>
                <w:szCs w:val="28"/>
              </w:rPr>
              <w:t>Informācija par to, vai šīs tabulas A ailē minētās ES tiesību akta vienības tiek pārņemtas vai ieviestas pilnībā vai daļēji.</w:t>
            </w:r>
          </w:p>
          <w:p w:rsidR="00446437" w:rsidRDefault="00446437">
            <w:pPr>
              <w:pStyle w:val="NormalWeb"/>
              <w:rPr>
                <w:rFonts w:ascii="Times New Roman" w:hAnsi="Times New Roman"/>
                <w:sz w:val="28"/>
                <w:szCs w:val="28"/>
              </w:rPr>
            </w:pPr>
            <w:r>
              <w:rPr>
                <w:rFonts w:ascii="Times New Roman" w:hAnsi="Times New Roman"/>
                <w:sz w:val="28"/>
                <w:szCs w:val="28"/>
              </w:rPr>
              <w:t>Ja attiecīgā ES tiesību akta vienība tiek pārņemta vai ieviesta daļēji,- sniedz attiecīgu skaidrojumu, kā arī precīzi norāda, kad un kādā veidā ES tiesību akta vienība tiks pārņemta vai ieviesta pilnībā.</w:t>
            </w:r>
          </w:p>
          <w:p w:rsidR="00446437" w:rsidRPr="0075485A" w:rsidRDefault="00446437" w:rsidP="0075485A">
            <w:pPr>
              <w:pStyle w:val="NormalWeb"/>
              <w:rPr>
                <w:rFonts w:ascii="Times New Roman" w:hAnsi="Times New Roman"/>
                <w:sz w:val="28"/>
                <w:szCs w:val="28"/>
              </w:rPr>
            </w:pPr>
            <w:r>
              <w:rPr>
                <w:rFonts w:ascii="Times New Roman" w:hAnsi="Times New Roman"/>
                <w:sz w:val="28"/>
                <w:szCs w:val="28"/>
              </w:rPr>
              <w:t>Norāda institūciju, kas ir atbildīga par šo saistību izpildi pilnībā.</w:t>
            </w:r>
          </w:p>
        </w:tc>
        <w:tc>
          <w:tcPr>
            <w:tcW w:w="2762" w:type="dxa"/>
            <w:tcBorders>
              <w:top w:val="single" w:sz="4" w:space="0" w:color="auto"/>
              <w:left w:val="single" w:sz="4" w:space="0" w:color="auto"/>
              <w:bottom w:val="single" w:sz="4" w:space="0" w:color="auto"/>
              <w:right w:val="single" w:sz="4" w:space="0" w:color="auto"/>
            </w:tcBorders>
            <w:hideMark/>
          </w:tcPr>
          <w:p w:rsidR="00446437" w:rsidRDefault="00446437">
            <w:pPr>
              <w:pStyle w:val="NormalWeb"/>
              <w:rPr>
                <w:rFonts w:ascii="Times New Roman" w:hAnsi="Times New Roman"/>
                <w:sz w:val="28"/>
                <w:szCs w:val="28"/>
              </w:rPr>
            </w:pPr>
            <w:r>
              <w:rPr>
                <w:rFonts w:ascii="Times New Roman" w:hAnsi="Times New Roman"/>
                <w:sz w:val="28"/>
                <w:szCs w:val="28"/>
              </w:rPr>
              <w:t>Informācija par to, vai šīs tabulas B ailē minētās projekta vienības paredz stingrākas prasības nekā šīs tabulas A ailē minētās ES tiesību akta vienības.</w:t>
            </w:r>
          </w:p>
          <w:p w:rsidR="00446437" w:rsidRDefault="00446437">
            <w:pPr>
              <w:pStyle w:val="NormalWeb"/>
              <w:rPr>
                <w:rFonts w:ascii="Times New Roman" w:hAnsi="Times New Roman"/>
                <w:sz w:val="28"/>
                <w:szCs w:val="28"/>
              </w:rPr>
            </w:pPr>
            <w:r>
              <w:rPr>
                <w:rFonts w:ascii="Times New Roman" w:hAnsi="Times New Roman"/>
                <w:sz w:val="28"/>
                <w:szCs w:val="28"/>
              </w:rPr>
              <w:t>Ja projekts satur stingrākas prasības nekā attiecīgais ES tiesību akts,- norāda pamatojumu un samērīgumu.</w:t>
            </w:r>
          </w:p>
          <w:p w:rsidR="00446437" w:rsidRDefault="00446437">
            <w:pPr>
              <w:pStyle w:val="NormalWeb"/>
              <w:rPr>
                <w:rFonts w:ascii="Times New Roman" w:hAnsi="Times New Roman"/>
                <w:sz w:val="28"/>
                <w:szCs w:val="28"/>
              </w:rPr>
            </w:pPr>
            <w:r>
              <w:rPr>
                <w:rFonts w:ascii="Times New Roman" w:hAnsi="Times New Roman"/>
                <w:sz w:val="28"/>
                <w:szCs w:val="28"/>
              </w:rPr>
              <w:t>Norāda iespējamās alternatīvas (t.sk. alternatīvas, kas neparedz tiesiskā regulējuma izstrādi) - kādos gadījumos būtu iespējams izvairīties no stingrāku prasību noteikšanas, nekā paredzēts attiecīgajos ES tiesību aktos.</w:t>
            </w:r>
          </w:p>
        </w:tc>
      </w:tr>
      <w:tr w:rsidR="00FC4D38" w:rsidRPr="00FC4D38" w:rsidTr="00446437">
        <w:trPr>
          <w:trHeight w:val="191"/>
          <w:tblCellSpacing w:w="0" w:type="dxa"/>
        </w:trPr>
        <w:tc>
          <w:tcPr>
            <w:tcW w:w="2152" w:type="dxa"/>
            <w:tcBorders>
              <w:top w:val="single" w:sz="4" w:space="0" w:color="auto"/>
              <w:left w:val="single" w:sz="4" w:space="0" w:color="auto"/>
              <w:bottom w:val="single" w:sz="4" w:space="0" w:color="auto"/>
              <w:right w:val="single" w:sz="4" w:space="0" w:color="auto"/>
            </w:tcBorders>
            <w:hideMark/>
          </w:tcPr>
          <w:p w:rsidR="00446437" w:rsidRPr="00FC4D38" w:rsidRDefault="00446437">
            <w:pPr>
              <w:spacing w:before="63" w:after="63"/>
              <w:jc w:val="center"/>
              <w:rPr>
                <w:bCs/>
              </w:rPr>
            </w:pPr>
            <w:r w:rsidRPr="00FC4D38">
              <w:rPr>
                <w:bCs/>
                <w:sz w:val="28"/>
                <w:szCs w:val="28"/>
              </w:rPr>
              <w:t>Regulas nr.805/2011 15.panta 2.punkts</w:t>
            </w:r>
          </w:p>
        </w:tc>
        <w:tc>
          <w:tcPr>
            <w:tcW w:w="2148" w:type="dxa"/>
            <w:gridSpan w:val="2"/>
            <w:tcBorders>
              <w:top w:val="single" w:sz="4" w:space="0" w:color="auto"/>
              <w:left w:val="single" w:sz="4" w:space="0" w:color="auto"/>
              <w:bottom w:val="single" w:sz="4" w:space="0" w:color="auto"/>
              <w:right w:val="single" w:sz="4" w:space="0" w:color="auto"/>
            </w:tcBorders>
            <w:hideMark/>
          </w:tcPr>
          <w:p w:rsidR="00446437" w:rsidRPr="00FC4D38" w:rsidRDefault="001809D9">
            <w:pPr>
              <w:spacing w:before="63" w:after="63"/>
              <w:jc w:val="center"/>
              <w:rPr>
                <w:sz w:val="28"/>
                <w:szCs w:val="28"/>
              </w:rPr>
            </w:pPr>
            <w:r>
              <w:rPr>
                <w:sz w:val="28"/>
                <w:szCs w:val="28"/>
              </w:rPr>
              <w:t>2</w:t>
            </w:r>
            <w:r w:rsidR="00446437" w:rsidRPr="00FC4D38">
              <w:rPr>
                <w:sz w:val="28"/>
                <w:szCs w:val="28"/>
              </w:rPr>
              <w:t>.punkts</w:t>
            </w:r>
          </w:p>
        </w:tc>
        <w:tc>
          <w:tcPr>
            <w:tcW w:w="2014" w:type="dxa"/>
            <w:tcBorders>
              <w:top w:val="single" w:sz="4" w:space="0" w:color="auto"/>
              <w:left w:val="single" w:sz="4" w:space="0" w:color="auto"/>
              <w:bottom w:val="single" w:sz="4" w:space="0" w:color="auto"/>
              <w:right w:val="single" w:sz="4" w:space="0" w:color="auto"/>
            </w:tcBorders>
            <w:hideMark/>
          </w:tcPr>
          <w:p w:rsidR="00446437" w:rsidRPr="00FC4D38" w:rsidRDefault="00446437">
            <w:pPr>
              <w:spacing w:before="63" w:after="63"/>
              <w:rPr>
                <w:sz w:val="28"/>
                <w:szCs w:val="28"/>
              </w:rPr>
            </w:pPr>
            <w:r w:rsidRPr="00FC4D38">
              <w:rPr>
                <w:iCs/>
                <w:sz w:val="28"/>
                <w:szCs w:val="28"/>
              </w:rPr>
              <w:t>Ieviests pilnībā</w:t>
            </w:r>
          </w:p>
        </w:tc>
        <w:tc>
          <w:tcPr>
            <w:tcW w:w="2762" w:type="dxa"/>
            <w:tcBorders>
              <w:top w:val="single" w:sz="4" w:space="0" w:color="auto"/>
              <w:left w:val="single" w:sz="4" w:space="0" w:color="auto"/>
              <w:bottom w:val="single" w:sz="4" w:space="0" w:color="auto"/>
              <w:right w:val="single" w:sz="4" w:space="0" w:color="auto"/>
            </w:tcBorders>
            <w:hideMark/>
          </w:tcPr>
          <w:p w:rsidR="00446437" w:rsidRPr="00FC4D38" w:rsidRDefault="00446437">
            <w:pPr>
              <w:spacing w:before="63" w:after="63"/>
              <w:rPr>
                <w:sz w:val="28"/>
                <w:szCs w:val="28"/>
              </w:rPr>
            </w:pPr>
            <w:r w:rsidRPr="00FC4D38">
              <w:rPr>
                <w:sz w:val="28"/>
                <w:szCs w:val="28"/>
              </w:rPr>
              <w:t>Projekts stingrākas prasības neparedz</w:t>
            </w:r>
            <w:r w:rsidR="00D536C0" w:rsidRPr="00FC4D38">
              <w:rPr>
                <w:sz w:val="28"/>
                <w:szCs w:val="28"/>
              </w:rPr>
              <w:t>.</w:t>
            </w:r>
          </w:p>
        </w:tc>
      </w:tr>
      <w:tr w:rsidR="00FC4D38" w:rsidRPr="00FC4D38" w:rsidTr="00446437">
        <w:trPr>
          <w:trHeight w:val="191"/>
          <w:tblCellSpacing w:w="0" w:type="dxa"/>
        </w:trPr>
        <w:tc>
          <w:tcPr>
            <w:tcW w:w="2152" w:type="dxa"/>
            <w:tcBorders>
              <w:top w:val="single" w:sz="4" w:space="0" w:color="auto"/>
              <w:left w:val="single" w:sz="4" w:space="0" w:color="auto"/>
              <w:bottom w:val="single" w:sz="4" w:space="0" w:color="auto"/>
              <w:right w:val="single" w:sz="4" w:space="0" w:color="auto"/>
            </w:tcBorders>
            <w:hideMark/>
          </w:tcPr>
          <w:p w:rsidR="00446437" w:rsidRPr="00FC4D38" w:rsidRDefault="00446437">
            <w:pPr>
              <w:spacing w:before="63" w:after="63"/>
              <w:jc w:val="center"/>
              <w:rPr>
                <w:bCs/>
              </w:rPr>
            </w:pPr>
            <w:r w:rsidRPr="00FC4D38">
              <w:rPr>
                <w:bCs/>
                <w:sz w:val="28"/>
                <w:szCs w:val="28"/>
              </w:rPr>
              <w:t xml:space="preserve">Regulas nr.1178/2011 </w:t>
            </w:r>
            <w:r w:rsidRPr="00FC4D38">
              <w:rPr>
                <w:bCs/>
                <w:sz w:val="28"/>
                <w:szCs w:val="28"/>
              </w:rPr>
              <w:lastRenderedPageBreak/>
              <w:t xml:space="preserve">MED.A.040 </w:t>
            </w:r>
            <w:r w:rsidR="00AC2427" w:rsidRPr="00FC4D38">
              <w:rPr>
                <w:bCs/>
                <w:sz w:val="28"/>
                <w:szCs w:val="28"/>
                <w:u w:val="single"/>
              </w:rPr>
              <w:t>f) apakš</w:t>
            </w:r>
            <w:r w:rsidRPr="00FC4D38">
              <w:rPr>
                <w:bCs/>
                <w:sz w:val="28"/>
                <w:szCs w:val="28"/>
                <w:u w:val="single"/>
              </w:rPr>
              <w:t>punkts</w:t>
            </w:r>
          </w:p>
        </w:tc>
        <w:tc>
          <w:tcPr>
            <w:tcW w:w="2148" w:type="dxa"/>
            <w:gridSpan w:val="2"/>
            <w:tcBorders>
              <w:top w:val="single" w:sz="4" w:space="0" w:color="auto"/>
              <w:left w:val="single" w:sz="4" w:space="0" w:color="auto"/>
              <w:bottom w:val="single" w:sz="4" w:space="0" w:color="auto"/>
              <w:right w:val="single" w:sz="4" w:space="0" w:color="auto"/>
            </w:tcBorders>
            <w:hideMark/>
          </w:tcPr>
          <w:p w:rsidR="00446437" w:rsidRPr="00FC4D38" w:rsidRDefault="001809D9">
            <w:pPr>
              <w:spacing w:before="63" w:after="63"/>
              <w:jc w:val="center"/>
              <w:rPr>
                <w:sz w:val="28"/>
                <w:szCs w:val="28"/>
              </w:rPr>
            </w:pPr>
            <w:r>
              <w:rPr>
                <w:sz w:val="28"/>
                <w:szCs w:val="28"/>
              </w:rPr>
              <w:lastRenderedPageBreak/>
              <w:t>2</w:t>
            </w:r>
            <w:r w:rsidR="00446437" w:rsidRPr="00FC4D38">
              <w:rPr>
                <w:sz w:val="28"/>
                <w:szCs w:val="28"/>
              </w:rPr>
              <w:t>.punkts</w:t>
            </w:r>
          </w:p>
        </w:tc>
        <w:tc>
          <w:tcPr>
            <w:tcW w:w="2014" w:type="dxa"/>
            <w:tcBorders>
              <w:top w:val="single" w:sz="4" w:space="0" w:color="auto"/>
              <w:left w:val="single" w:sz="4" w:space="0" w:color="auto"/>
              <w:bottom w:val="single" w:sz="4" w:space="0" w:color="auto"/>
              <w:right w:val="single" w:sz="4" w:space="0" w:color="auto"/>
            </w:tcBorders>
            <w:hideMark/>
          </w:tcPr>
          <w:p w:rsidR="00446437" w:rsidRPr="00FC4D38" w:rsidRDefault="00446437">
            <w:r w:rsidRPr="00FC4D38">
              <w:rPr>
                <w:iCs/>
                <w:sz w:val="28"/>
                <w:szCs w:val="28"/>
              </w:rPr>
              <w:t>Ieviests pilnībā</w:t>
            </w:r>
          </w:p>
        </w:tc>
        <w:tc>
          <w:tcPr>
            <w:tcW w:w="2762" w:type="dxa"/>
            <w:tcBorders>
              <w:top w:val="single" w:sz="4" w:space="0" w:color="auto"/>
              <w:left w:val="single" w:sz="4" w:space="0" w:color="auto"/>
              <w:bottom w:val="single" w:sz="4" w:space="0" w:color="auto"/>
              <w:right w:val="single" w:sz="4" w:space="0" w:color="auto"/>
            </w:tcBorders>
            <w:hideMark/>
          </w:tcPr>
          <w:p w:rsidR="00446437" w:rsidRPr="00FC4D38" w:rsidRDefault="00446437">
            <w:r w:rsidRPr="00FC4D38">
              <w:rPr>
                <w:sz w:val="28"/>
                <w:szCs w:val="28"/>
              </w:rPr>
              <w:t>Projekts stingrākas prasības neparedz</w:t>
            </w:r>
            <w:r w:rsidR="00D536C0" w:rsidRPr="00FC4D38">
              <w:rPr>
                <w:sz w:val="28"/>
                <w:szCs w:val="28"/>
              </w:rPr>
              <w:t>.</w:t>
            </w:r>
          </w:p>
        </w:tc>
      </w:tr>
      <w:tr w:rsidR="00FC4D38" w:rsidRPr="00FC4D38" w:rsidTr="00446437">
        <w:trPr>
          <w:trHeight w:val="191"/>
          <w:tblCellSpacing w:w="0" w:type="dxa"/>
        </w:trPr>
        <w:tc>
          <w:tcPr>
            <w:tcW w:w="2152" w:type="dxa"/>
            <w:tcBorders>
              <w:top w:val="single" w:sz="4" w:space="0" w:color="auto"/>
              <w:left w:val="single" w:sz="4" w:space="0" w:color="auto"/>
              <w:bottom w:val="single" w:sz="4" w:space="0" w:color="auto"/>
              <w:right w:val="single" w:sz="4" w:space="0" w:color="auto"/>
            </w:tcBorders>
            <w:hideMark/>
          </w:tcPr>
          <w:p w:rsidR="00446437" w:rsidRPr="00FC4D38" w:rsidRDefault="00446437">
            <w:pPr>
              <w:spacing w:before="63" w:after="63"/>
              <w:jc w:val="center"/>
              <w:rPr>
                <w:bCs/>
                <w:sz w:val="28"/>
                <w:szCs w:val="28"/>
              </w:rPr>
            </w:pPr>
            <w:r w:rsidRPr="00FC4D38">
              <w:rPr>
                <w:bCs/>
                <w:sz w:val="28"/>
                <w:szCs w:val="28"/>
              </w:rPr>
              <w:lastRenderedPageBreak/>
              <w:t>Regulas nr.1178/2011 MED.D.010 punkts</w:t>
            </w:r>
          </w:p>
        </w:tc>
        <w:tc>
          <w:tcPr>
            <w:tcW w:w="2148" w:type="dxa"/>
            <w:gridSpan w:val="2"/>
            <w:tcBorders>
              <w:top w:val="single" w:sz="4" w:space="0" w:color="auto"/>
              <w:left w:val="single" w:sz="4" w:space="0" w:color="auto"/>
              <w:bottom w:val="single" w:sz="4" w:space="0" w:color="auto"/>
              <w:right w:val="single" w:sz="4" w:space="0" w:color="auto"/>
            </w:tcBorders>
            <w:hideMark/>
          </w:tcPr>
          <w:p w:rsidR="00446437" w:rsidRPr="00FC4D38" w:rsidRDefault="001809D9">
            <w:pPr>
              <w:spacing w:before="63" w:after="63"/>
              <w:jc w:val="center"/>
              <w:rPr>
                <w:sz w:val="28"/>
                <w:szCs w:val="28"/>
              </w:rPr>
            </w:pPr>
            <w:r>
              <w:rPr>
                <w:sz w:val="28"/>
                <w:szCs w:val="28"/>
              </w:rPr>
              <w:t>4</w:t>
            </w:r>
            <w:r w:rsidR="00446437" w:rsidRPr="00FC4D38">
              <w:rPr>
                <w:sz w:val="28"/>
                <w:szCs w:val="28"/>
              </w:rPr>
              <w:t>.punkts</w:t>
            </w:r>
          </w:p>
        </w:tc>
        <w:tc>
          <w:tcPr>
            <w:tcW w:w="2014" w:type="dxa"/>
            <w:tcBorders>
              <w:top w:val="single" w:sz="4" w:space="0" w:color="auto"/>
              <w:left w:val="single" w:sz="4" w:space="0" w:color="auto"/>
              <w:bottom w:val="single" w:sz="4" w:space="0" w:color="auto"/>
              <w:right w:val="single" w:sz="4" w:space="0" w:color="auto"/>
            </w:tcBorders>
            <w:hideMark/>
          </w:tcPr>
          <w:p w:rsidR="00446437" w:rsidRPr="00FC4D38" w:rsidRDefault="00446437">
            <w:r w:rsidRPr="00FC4D38">
              <w:rPr>
                <w:iCs/>
                <w:sz w:val="28"/>
                <w:szCs w:val="28"/>
              </w:rPr>
              <w:t>Ieviests pilnībā</w:t>
            </w:r>
          </w:p>
        </w:tc>
        <w:tc>
          <w:tcPr>
            <w:tcW w:w="2762" w:type="dxa"/>
            <w:tcBorders>
              <w:top w:val="single" w:sz="4" w:space="0" w:color="auto"/>
              <w:left w:val="single" w:sz="4" w:space="0" w:color="auto"/>
              <w:bottom w:val="single" w:sz="4" w:space="0" w:color="auto"/>
              <w:right w:val="single" w:sz="4" w:space="0" w:color="auto"/>
            </w:tcBorders>
            <w:hideMark/>
          </w:tcPr>
          <w:p w:rsidR="00446437" w:rsidRPr="00FC4D38" w:rsidRDefault="00345DC1" w:rsidP="00A95C42">
            <w:r w:rsidRPr="00FC4D38">
              <w:rPr>
                <w:sz w:val="28"/>
                <w:szCs w:val="28"/>
              </w:rPr>
              <w:t>Projekts stingrākas prasības neparedz.</w:t>
            </w:r>
          </w:p>
        </w:tc>
      </w:tr>
      <w:tr w:rsidR="00FC4D38" w:rsidRPr="00FC4D38" w:rsidTr="00446437">
        <w:trPr>
          <w:trHeight w:val="191"/>
          <w:tblCellSpacing w:w="0" w:type="dxa"/>
        </w:trPr>
        <w:tc>
          <w:tcPr>
            <w:tcW w:w="2152" w:type="dxa"/>
            <w:tcBorders>
              <w:top w:val="single" w:sz="4" w:space="0" w:color="auto"/>
              <w:left w:val="single" w:sz="4" w:space="0" w:color="auto"/>
              <w:bottom w:val="single" w:sz="4" w:space="0" w:color="auto"/>
              <w:right w:val="single" w:sz="4" w:space="0" w:color="auto"/>
            </w:tcBorders>
            <w:hideMark/>
          </w:tcPr>
          <w:p w:rsidR="00446437" w:rsidRPr="00FC4D38" w:rsidRDefault="00446437">
            <w:pPr>
              <w:spacing w:before="63" w:after="63"/>
              <w:jc w:val="center"/>
              <w:rPr>
                <w:bCs/>
                <w:sz w:val="28"/>
                <w:szCs w:val="28"/>
              </w:rPr>
            </w:pPr>
            <w:r w:rsidRPr="00FC4D38">
              <w:rPr>
                <w:bCs/>
                <w:sz w:val="28"/>
                <w:szCs w:val="28"/>
              </w:rPr>
              <w:t>Regulas nr.1178/2011 MED.D.015 punkts</w:t>
            </w:r>
          </w:p>
        </w:tc>
        <w:tc>
          <w:tcPr>
            <w:tcW w:w="2148" w:type="dxa"/>
            <w:gridSpan w:val="2"/>
            <w:tcBorders>
              <w:top w:val="single" w:sz="4" w:space="0" w:color="auto"/>
              <w:left w:val="single" w:sz="4" w:space="0" w:color="auto"/>
              <w:bottom w:val="single" w:sz="4" w:space="0" w:color="auto"/>
              <w:right w:val="single" w:sz="4" w:space="0" w:color="auto"/>
            </w:tcBorders>
            <w:hideMark/>
          </w:tcPr>
          <w:p w:rsidR="00446437" w:rsidRPr="00FC4D38" w:rsidRDefault="001809D9">
            <w:pPr>
              <w:spacing w:before="63" w:after="63"/>
              <w:jc w:val="center"/>
              <w:rPr>
                <w:sz w:val="28"/>
                <w:szCs w:val="28"/>
              </w:rPr>
            </w:pPr>
            <w:r>
              <w:rPr>
                <w:sz w:val="28"/>
                <w:szCs w:val="28"/>
              </w:rPr>
              <w:t>4</w:t>
            </w:r>
            <w:r w:rsidR="00446437" w:rsidRPr="00FC4D38">
              <w:rPr>
                <w:sz w:val="28"/>
                <w:szCs w:val="28"/>
              </w:rPr>
              <w:t>.punkts</w:t>
            </w:r>
          </w:p>
        </w:tc>
        <w:tc>
          <w:tcPr>
            <w:tcW w:w="2014" w:type="dxa"/>
            <w:tcBorders>
              <w:top w:val="single" w:sz="4" w:space="0" w:color="auto"/>
              <w:left w:val="single" w:sz="4" w:space="0" w:color="auto"/>
              <w:bottom w:val="single" w:sz="4" w:space="0" w:color="auto"/>
              <w:right w:val="single" w:sz="4" w:space="0" w:color="auto"/>
            </w:tcBorders>
            <w:hideMark/>
          </w:tcPr>
          <w:p w:rsidR="00446437" w:rsidRPr="00FC4D38" w:rsidRDefault="00446437">
            <w:r w:rsidRPr="00FC4D38">
              <w:rPr>
                <w:iCs/>
                <w:sz w:val="28"/>
                <w:szCs w:val="28"/>
              </w:rPr>
              <w:t>Ieviests pilnībā</w:t>
            </w:r>
          </w:p>
        </w:tc>
        <w:tc>
          <w:tcPr>
            <w:tcW w:w="2762" w:type="dxa"/>
            <w:tcBorders>
              <w:top w:val="single" w:sz="4" w:space="0" w:color="auto"/>
              <w:left w:val="single" w:sz="4" w:space="0" w:color="auto"/>
              <w:bottom w:val="single" w:sz="4" w:space="0" w:color="auto"/>
              <w:right w:val="single" w:sz="4" w:space="0" w:color="auto"/>
            </w:tcBorders>
            <w:hideMark/>
          </w:tcPr>
          <w:p w:rsidR="00446437" w:rsidRPr="00FC4D38" w:rsidRDefault="00382A9C">
            <w:pPr>
              <w:rPr>
                <w:highlight w:val="yellow"/>
              </w:rPr>
            </w:pPr>
            <w:r w:rsidRPr="00FC4D38">
              <w:rPr>
                <w:sz w:val="28"/>
                <w:szCs w:val="28"/>
              </w:rPr>
              <w:t>Projekts stingrākas prasības neparedz</w:t>
            </w:r>
            <w:r w:rsidR="00395CDE" w:rsidRPr="00FC4D38">
              <w:rPr>
                <w:sz w:val="28"/>
                <w:szCs w:val="28"/>
              </w:rPr>
              <w:t>.</w:t>
            </w:r>
          </w:p>
        </w:tc>
      </w:tr>
      <w:tr w:rsidR="00FC4D38" w:rsidRPr="00FC4D38" w:rsidTr="00446437">
        <w:trPr>
          <w:trHeight w:val="191"/>
          <w:tblCellSpacing w:w="0" w:type="dxa"/>
        </w:trPr>
        <w:tc>
          <w:tcPr>
            <w:tcW w:w="2152" w:type="dxa"/>
            <w:tcBorders>
              <w:top w:val="single" w:sz="4" w:space="0" w:color="auto"/>
              <w:left w:val="single" w:sz="4" w:space="0" w:color="auto"/>
              <w:bottom w:val="single" w:sz="4" w:space="0" w:color="auto"/>
              <w:right w:val="single" w:sz="4" w:space="0" w:color="auto"/>
            </w:tcBorders>
            <w:hideMark/>
          </w:tcPr>
          <w:p w:rsidR="00446437" w:rsidRPr="00FC4D38" w:rsidRDefault="00446437">
            <w:pPr>
              <w:spacing w:before="63" w:after="63"/>
              <w:jc w:val="center"/>
              <w:rPr>
                <w:bCs/>
              </w:rPr>
            </w:pPr>
            <w:r w:rsidRPr="00FC4D38">
              <w:rPr>
                <w:bCs/>
                <w:sz w:val="28"/>
                <w:szCs w:val="28"/>
              </w:rPr>
              <w:t>Regulas nr.1178/2011 ARA.MED.200 punkts</w:t>
            </w:r>
          </w:p>
        </w:tc>
        <w:tc>
          <w:tcPr>
            <w:tcW w:w="2148" w:type="dxa"/>
            <w:gridSpan w:val="2"/>
            <w:tcBorders>
              <w:top w:val="single" w:sz="4" w:space="0" w:color="auto"/>
              <w:left w:val="single" w:sz="4" w:space="0" w:color="auto"/>
              <w:bottom w:val="single" w:sz="4" w:space="0" w:color="auto"/>
              <w:right w:val="single" w:sz="4" w:space="0" w:color="auto"/>
            </w:tcBorders>
            <w:hideMark/>
          </w:tcPr>
          <w:p w:rsidR="00446437" w:rsidRPr="00FC4D38" w:rsidRDefault="001809D9">
            <w:pPr>
              <w:spacing w:before="63" w:after="63"/>
              <w:jc w:val="center"/>
              <w:rPr>
                <w:sz w:val="28"/>
                <w:szCs w:val="28"/>
              </w:rPr>
            </w:pPr>
            <w:r>
              <w:rPr>
                <w:sz w:val="28"/>
                <w:szCs w:val="28"/>
              </w:rPr>
              <w:t>4</w:t>
            </w:r>
            <w:r w:rsidR="00446437" w:rsidRPr="00FC4D38">
              <w:rPr>
                <w:sz w:val="28"/>
                <w:szCs w:val="28"/>
              </w:rPr>
              <w:t>.punkts</w:t>
            </w:r>
          </w:p>
        </w:tc>
        <w:tc>
          <w:tcPr>
            <w:tcW w:w="2014" w:type="dxa"/>
            <w:tcBorders>
              <w:top w:val="single" w:sz="4" w:space="0" w:color="auto"/>
              <w:left w:val="single" w:sz="4" w:space="0" w:color="auto"/>
              <w:bottom w:val="single" w:sz="4" w:space="0" w:color="auto"/>
              <w:right w:val="single" w:sz="4" w:space="0" w:color="auto"/>
            </w:tcBorders>
            <w:hideMark/>
          </w:tcPr>
          <w:p w:rsidR="00446437" w:rsidRPr="00FC4D38" w:rsidRDefault="00446437">
            <w:r w:rsidRPr="00FC4D38">
              <w:rPr>
                <w:iCs/>
                <w:sz w:val="28"/>
                <w:szCs w:val="28"/>
              </w:rPr>
              <w:t>Ieviests pilnībā</w:t>
            </w:r>
          </w:p>
        </w:tc>
        <w:tc>
          <w:tcPr>
            <w:tcW w:w="2762" w:type="dxa"/>
            <w:tcBorders>
              <w:top w:val="single" w:sz="4" w:space="0" w:color="auto"/>
              <w:left w:val="single" w:sz="4" w:space="0" w:color="auto"/>
              <w:bottom w:val="single" w:sz="4" w:space="0" w:color="auto"/>
              <w:right w:val="single" w:sz="4" w:space="0" w:color="auto"/>
            </w:tcBorders>
            <w:hideMark/>
          </w:tcPr>
          <w:p w:rsidR="00446437" w:rsidRPr="00FC4D38" w:rsidRDefault="00446437">
            <w:r w:rsidRPr="00FC4D38">
              <w:rPr>
                <w:sz w:val="28"/>
                <w:szCs w:val="28"/>
              </w:rPr>
              <w:t>Projekts stingrākas prasības neparedz</w:t>
            </w:r>
            <w:r w:rsidR="00D536C0" w:rsidRPr="00FC4D38">
              <w:rPr>
                <w:sz w:val="28"/>
                <w:szCs w:val="28"/>
              </w:rPr>
              <w:t>.</w:t>
            </w:r>
          </w:p>
        </w:tc>
      </w:tr>
      <w:tr w:rsidR="00FC4D38" w:rsidRPr="00FC4D38" w:rsidTr="00446437">
        <w:trPr>
          <w:trHeight w:val="191"/>
          <w:tblCellSpacing w:w="0" w:type="dxa"/>
        </w:trPr>
        <w:tc>
          <w:tcPr>
            <w:tcW w:w="2152" w:type="dxa"/>
            <w:tcBorders>
              <w:top w:val="single" w:sz="4" w:space="0" w:color="auto"/>
              <w:left w:val="single" w:sz="4" w:space="0" w:color="auto"/>
              <w:bottom w:val="single" w:sz="4" w:space="0" w:color="auto"/>
              <w:right w:val="single" w:sz="4" w:space="0" w:color="auto"/>
            </w:tcBorders>
            <w:hideMark/>
          </w:tcPr>
          <w:p w:rsidR="00446437" w:rsidRPr="00FC4D38" w:rsidRDefault="00446437" w:rsidP="00562F80">
            <w:pPr>
              <w:spacing w:before="63" w:after="63"/>
              <w:jc w:val="center"/>
              <w:rPr>
                <w:sz w:val="28"/>
                <w:szCs w:val="28"/>
              </w:rPr>
            </w:pPr>
            <w:r w:rsidRPr="00FC4D38">
              <w:rPr>
                <w:bCs/>
                <w:sz w:val="28"/>
                <w:szCs w:val="28"/>
              </w:rPr>
              <w:t>Regulas nr.1178/2011 MED.D.030 punkts</w:t>
            </w:r>
          </w:p>
        </w:tc>
        <w:tc>
          <w:tcPr>
            <w:tcW w:w="2148" w:type="dxa"/>
            <w:gridSpan w:val="2"/>
            <w:tcBorders>
              <w:top w:val="single" w:sz="4" w:space="0" w:color="auto"/>
              <w:left w:val="single" w:sz="4" w:space="0" w:color="auto"/>
              <w:bottom w:val="single" w:sz="4" w:space="0" w:color="auto"/>
              <w:right w:val="single" w:sz="4" w:space="0" w:color="auto"/>
            </w:tcBorders>
            <w:hideMark/>
          </w:tcPr>
          <w:p w:rsidR="00446437" w:rsidRPr="00FC4D38" w:rsidRDefault="001809D9">
            <w:pPr>
              <w:jc w:val="center"/>
            </w:pPr>
            <w:r>
              <w:rPr>
                <w:sz w:val="28"/>
                <w:szCs w:val="28"/>
              </w:rPr>
              <w:t>5</w:t>
            </w:r>
            <w:r w:rsidR="00446437" w:rsidRPr="00FC4D38">
              <w:rPr>
                <w:sz w:val="28"/>
                <w:szCs w:val="28"/>
              </w:rPr>
              <w:t>.punkts</w:t>
            </w:r>
          </w:p>
        </w:tc>
        <w:tc>
          <w:tcPr>
            <w:tcW w:w="2014" w:type="dxa"/>
            <w:tcBorders>
              <w:top w:val="single" w:sz="4" w:space="0" w:color="auto"/>
              <w:left w:val="single" w:sz="4" w:space="0" w:color="auto"/>
              <w:bottom w:val="single" w:sz="4" w:space="0" w:color="auto"/>
              <w:right w:val="single" w:sz="4" w:space="0" w:color="auto"/>
            </w:tcBorders>
            <w:hideMark/>
          </w:tcPr>
          <w:p w:rsidR="00446437" w:rsidRPr="00FC4D38" w:rsidRDefault="00446437">
            <w:r w:rsidRPr="00FC4D38">
              <w:rPr>
                <w:iCs/>
                <w:sz w:val="28"/>
                <w:szCs w:val="28"/>
              </w:rPr>
              <w:t>Ieviests pilnībā</w:t>
            </w:r>
          </w:p>
        </w:tc>
        <w:tc>
          <w:tcPr>
            <w:tcW w:w="2762" w:type="dxa"/>
            <w:tcBorders>
              <w:top w:val="single" w:sz="4" w:space="0" w:color="auto"/>
              <w:left w:val="single" w:sz="4" w:space="0" w:color="auto"/>
              <w:bottom w:val="single" w:sz="4" w:space="0" w:color="auto"/>
              <w:right w:val="single" w:sz="4" w:space="0" w:color="auto"/>
            </w:tcBorders>
            <w:hideMark/>
          </w:tcPr>
          <w:p w:rsidR="00446437" w:rsidRPr="00FC4D38" w:rsidRDefault="00D536C0" w:rsidP="00E25A37">
            <w:r w:rsidRPr="00FC4D38">
              <w:rPr>
                <w:sz w:val="28"/>
                <w:szCs w:val="28"/>
              </w:rPr>
              <w:t>Projekts stingrākas prasības neparedz.</w:t>
            </w:r>
          </w:p>
        </w:tc>
      </w:tr>
      <w:tr w:rsidR="00B216DE" w:rsidTr="00446437">
        <w:trPr>
          <w:trHeight w:val="191"/>
          <w:tblCellSpacing w:w="0" w:type="dxa"/>
        </w:trPr>
        <w:tc>
          <w:tcPr>
            <w:tcW w:w="2152" w:type="dxa"/>
            <w:tcBorders>
              <w:top w:val="single" w:sz="4" w:space="0" w:color="auto"/>
              <w:left w:val="single" w:sz="4" w:space="0" w:color="auto"/>
              <w:bottom w:val="single" w:sz="4" w:space="0" w:color="auto"/>
              <w:right w:val="single" w:sz="4" w:space="0" w:color="auto"/>
            </w:tcBorders>
          </w:tcPr>
          <w:p w:rsidR="007D7A77" w:rsidRPr="007D603A" w:rsidRDefault="00B216DE">
            <w:pPr>
              <w:spacing w:before="63" w:after="63"/>
              <w:jc w:val="center"/>
              <w:rPr>
                <w:sz w:val="28"/>
                <w:szCs w:val="28"/>
                <w:u w:val="single"/>
              </w:rPr>
            </w:pPr>
            <w:r w:rsidRPr="007D603A">
              <w:rPr>
                <w:sz w:val="28"/>
                <w:szCs w:val="28"/>
                <w:u w:val="single"/>
              </w:rPr>
              <w:t>Regulas Nr.1178/2011 ORA.AeMC</w:t>
            </w:r>
            <w:r w:rsidR="007D7A77" w:rsidRPr="007D603A">
              <w:rPr>
                <w:sz w:val="28"/>
                <w:szCs w:val="28"/>
                <w:u w:val="single"/>
              </w:rPr>
              <w:t>.200, ORA.AeMC.210,</w:t>
            </w:r>
            <w:r w:rsidR="007D7A77" w:rsidRPr="007D603A">
              <w:rPr>
                <w:u w:val="single"/>
              </w:rPr>
              <w:t xml:space="preserve"> </w:t>
            </w:r>
            <w:r w:rsidR="007D7A77" w:rsidRPr="007D603A">
              <w:rPr>
                <w:sz w:val="28"/>
                <w:szCs w:val="28"/>
                <w:u w:val="single"/>
              </w:rPr>
              <w:t>ORA.AeMC.215,</w:t>
            </w:r>
          </w:p>
          <w:p w:rsidR="00B216DE" w:rsidRPr="007D603A" w:rsidRDefault="007D7A77">
            <w:pPr>
              <w:spacing w:before="63" w:after="63"/>
              <w:jc w:val="center"/>
              <w:rPr>
                <w:sz w:val="28"/>
                <w:szCs w:val="28"/>
                <w:u w:val="single"/>
              </w:rPr>
            </w:pPr>
            <w:r w:rsidRPr="007D603A">
              <w:rPr>
                <w:sz w:val="28"/>
                <w:szCs w:val="28"/>
                <w:u w:val="single"/>
              </w:rPr>
              <w:t xml:space="preserve">ORA.AeMC.220 punkts   </w:t>
            </w:r>
          </w:p>
        </w:tc>
        <w:tc>
          <w:tcPr>
            <w:tcW w:w="2148" w:type="dxa"/>
            <w:gridSpan w:val="2"/>
            <w:tcBorders>
              <w:top w:val="single" w:sz="4" w:space="0" w:color="auto"/>
              <w:left w:val="single" w:sz="4" w:space="0" w:color="auto"/>
              <w:bottom w:val="single" w:sz="4" w:space="0" w:color="auto"/>
              <w:right w:val="single" w:sz="4" w:space="0" w:color="auto"/>
            </w:tcBorders>
          </w:tcPr>
          <w:p w:rsidR="00B216DE" w:rsidRPr="007D603A" w:rsidRDefault="008E41F1">
            <w:pPr>
              <w:jc w:val="center"/>
              <w:rPr>
                <w:sz w:val="28"/>
                <w:szCs w:val="28"/>
                <w:u w:val="single"/>
              </w:rPr>
            </w:pPr>
            <w:r>
              <w:rPr>
                <w:sz w:val="28"/>
                <w:szCs w:val="28"/>
                <w:u w:val="single"/>
              </w:rPr>
              <w:t>1</w:t>
            </w:r>
            <w:r w:rsidR="001809D9">
              <w:rPr>
                <w:sz w:val="28"/>
                <w:szCs w:val="28"/>
                <w:u w:val="single"/>
              </w:rPr>
              <w:t>2</w:t>
            </w:r>
            <w:r w:rsidR="00B216DE" w:rsidRPr="007D603A">
              <w:rPr>
                <w:sz w:val="28"/>
                <w:szCs w:val="28"/>
                <w:u w:val="single"/>
              </w:rPr>
              <w:t>.punkts</w:t>
            </w:r>
          </w:p>
        </w:tc>
        <w:tc>
          <w:tcPr>
            <w:tcW w:w="2014" w:type="dxa"/>
            <w:tcBorders>
              <w:top w:val="single" w:sz="4" w:space="0" w:color="auto"/>
              <w:left w:val="single" w:sz="4" w:space="0" w:color="auto"/>
              <w:bottom w:val="single" w:sz="4" w:space="0" w:color="auto"/>
              <w:right w:val="single" w:sz="4" w:space="0" w:color="auto"/>
            </w:tcBorders>
          </w:tcPr>
          <w:p w:rsidR="00B216DE" w:rsidRPr="007D603A" w:rsidRDefault="00B216DE">
            <w:pPr>
              <w:rPr>
                <w:iCs/>
                <w:sz w:val="28"/>
                <w:szCs w:val="28"/>
                <w:u w:val="single"/>
              </w:rPr>
            </w:pPr>
            <w:r w:rsidRPr="007D603A">
              <w:rPr>
                <w:iCs/>
                <w:sz w:val="28"/>
                <w:szCs w:val="28"/>
                <w:u w:val="single"/>
              </w:rPr>
              <w:t>Ieviests pilnībā</w:t>
            </w:r>
          </w:p>
        </w:tc>
        <w:tc>
          <w:tcPr>
            <w:tcW w:w="2762" w:type="dxa"/>
            <w:tcBorders>
              <w:top w:val="single" w:sz="4" w:space="0" w:color="auto"/>
              <w:left w:val="single" w:sz="4" w:space="0" w:color="auto"/>
              <w:bottom w:val="single" w:sz="4" w:space="0" w:color="auto"/>
              <w:right w:val="single" w:sz="4" w:space="0" w:color="auto"/>
            </w:tcBorders>
          </w:tcPr>
          <w:p w:rsidR="00B216DE" w:rsidRPr="007D603A" w:rsidRDefault="00B216DE">
            <w:pPr>
              <w:rPr>
                <w:sz w:val="28"/>
                <w:szCs w:val="28"/>
                <w:u w:val="single"/>
              </w:rPr>
            </w:pPr>
            <w:r w:rsidRPr="007D603A">
              <w:rPr>
                <w:sz w:val="28"/>
                <w:szCs w:val="28"/>
                <w:u w:val="single"/>
              </w:rPr>
              <w:t>Projekts stingrākas prasības neparedz</w:t>
            </w:r>
          </w:p>
        </w:tc>
      </w:tr>
      <w:tr w:rsidR="00446437" w:rsidTr="00446437">
        <w:trPr>
          <w:trHeight w:val="191"/>
          <w:tblCellSpacing w:w="0" w:type="dxa"/>
        </w:trPr>
        <w:tc>
          <w:tcPr>
            <w:tcW w:w="2152" w:type="dxa"/>
            <w:tcBorders>
              <w:top w:val="single" w:sz="4" w:space="0" w:color="auto"/>
              <w:left w:val="single" w:sz="4" w:space="0" w:color="auto"/>
              <w:bottom w:val="single" w:sz="4" w:space="0" w:color="auto"/>
              <w:right w:val="single" w:sz="4" w:space="0" w:color="auto"/>
            </w:tcBorders>
            <w:hideMark/>
          </w:tcPr>
          <w:p w:rsidR="00446437" w:rsidRDefault="00446437">
            <w:pPr>
              <w:spacing w:before="63" w:after="63"/>
              <w:jc w:val="center"/>
              <w:rPr>
                <w:sz w:val="28"/>
                <w:szCs w:val="28"/>
              </w:rPr>
            </w:pPr>
            <w:r>
              <w:rPr>
                <w:sz w:val="28"/>
                <w:szCs w:val="28"/>
              </w:rPr>
              <w:t>Regulas Nr.1178/2011 ORA.AeMC.135 punkts</w:t>
            </w:r>
          </w:p>
        </w:tc>
        <w:tc>
          <w:tcPr>
            <w:tcW w:w="2148" w:type="dxa"/>
            <w:gridSpan w:val="2"/>
            <w:tcBorders>
              <w:top w:val="single" w:sz="4" w:space="0" w:color="auto"/>
              <w:left w:val="single" w:sz="4" w:space="0" w:color="auto"/>
              <w:bottom w:val="single" w:sz="4" w:space="0" w:color="auto"/>
              <w:right w:val="single" w:sz="4" w:space="0" w:color="auto"/>
            </w:tcBorders>
            <w:hideMark/>
          </w:tcPr>
          <w:p w:rsidR="00446437" w:rsidRDefault="00446437">
            <w:pPr>
              <w:jc w:val="center"/>
            </w:pPr>
            <w:r>
              <w:rPr>
                <w:sz w:val="28"/>
                <w:szCs w:val="28"/>
              </w:rPr>
              <w:t>1</w:t>
            </w:r>
            <w:r w:rsidR="001809D9">
              <w:rPr>
                <w:sz w:val="28"/>
                <w:szCs w:val="28"/>
              </w:rPr>
              <w:t>3</w:t>
            </w:r>
            <w:r>
              <w:rPr>
                <w:sz w:val="28"/>
                <w:szCs w:val="28"/>
              </w:rPr>
              <w:t>.punkts</w:t>
            </w:r>
          </w:p>
        </w:tc>
        <w:tc>
          <w:tcPr>
            <w:tcW w:w="2014" w:type="dxa"/>
            <w:tcBorders>
              <w:top w:val="single" w:sz="4" w:space="0" w:color="auto"/>
              <w:left w:val="single" w:sz="4" w:space="0" w:color="auto"/>
              <w:bottom w:val="single" w:sz="4" w:space="0" w:color="auto"/>
              <w:right w:val="single" w:sz="4" w:space="0" w:color="auto"/>
            </w:tcBorders>
            <w:hideMark/>
          </w:tcPr>
          <w:p w:rsidR="00446437" w:rsidRDefault="00446437">
            <w:r>
              <w:rPr>
                <w:iCs/>
                <w:sz w:val="28"/>
                <w:szCs w:val="28"/>
              </w:rPr>
              <w:t>Ieviests pilnībā</w:t>
            </w:r>
          </w:p>
        </w:tc>
        <w:tc>
          <w:tcPr>
            <w:tcW w:w="2762" w:type="dxa"/>
            <w:tcBorders>
              <w:top w:val="single" w:sz="4" w:space="0" w:color="auto"/>
              <w:left w:val="single" w:sz="4" w:space="0" w:color="auto"/>
              <w:bottom w:val="single" w:sz="4" w:space="0" w:color="auto"/>
              <w:right w:val="single" w:sz="4" w:space="0" w:color="auto"/>
            </w:tcBorders>
            <w:hideMark/>
          </w:tcPr>
          <w:p w:rsidR="00446437" w:rsidRDefault="00446437">
            <w:r>
              <w:rPr>
                <w:sz w:val="28"/>
                <w:szCs w:val="28"/>
              </w:rPr>
              <w:t>Projekts stingrākas prasības neparedz</w:t>
            </w:r>
          </w:p>
        </w:tc>
      </w:tr>
      <w:tr w:rsidR="00446437" w:rsidTr="00446437">
        <w:trPr>
          <w:trHeight w:val="191"/>
          <w:tblCellSpacing w:w="0" w:type="dxa"/>
        </w:trPr>
        <w:tc>
          <w:tcPr>
            <w:tcW w:w="2152" w:type="dxa"/>
            <w:tcBorders>
              <w:top w:val="single" w:sz="4" w:space="0" w:color="auto"/>
              <w:left w:val="single" w:sz="4" w:space="0" w:color="auto"/>
              <w:bottom w:val="single" w:sz="4" w:space="0" w:color="auto"/>
              <w:right w:val="single" w:sz="4" w:space="0" w:color="auto"/>
            </w:tcBorders>
            <w:hideMark/>
          </w:tcPr>
          <w:p w:rsidR="00446437" w:rsidRDefault="00446437" w:rsidP="00B51C3E">
            <w:pPr>
              <w:spacing w:before="63" w:after="63"/>
              <w:jc w:val="center"/>
              <w:rPr>
                <w:sz w:val="28"/>
                <w:szCs w:val="28"/>
              </w:rPr>
            </w:pPr>
            <w:r>
              <w:rPr>
                <w:bCs/>
                <w:sz w:val="28"/>
                <w:szCs w:val="28"/>
              </w:rPr>
              <w:t xml:space="preserve">Regulas nr.1178/2011 </w:t>
            </w:r>
            <w:r>
              <w:rPr>
                <w:sz w:val="28"/>
                <w:szCs w:val="28"/>
              </w:rPr>
              <w:t>ARA daļas VI pielikuma V papildinājums</w:t>
            </w:r>
          </w:p>
        </w:tc>
        <w:tc>
          <w:tcPr>
            <w:tcW w:w="2148" w:type="dxa"/>
            <w:gridSpan w:val="2"/>
            <w:tcBorders>
              <w:top w:val="single" w:sz="4" w:space="0" w:color="auto"/>
              <w:left w:val="single" w:sz="4" w:space="0" w:color="auto"/>
              <w:bottom w:val="single" w:sz="4" w:space="0" w:color="auto"/>
              <w:right w:val="single" w:sz="4" w:space="0" w:color="auto"/>
            </w:tcBorders>
            <w:hideMark/>
          </w:tcPr>
          <w:p w:rsidR="00446437" w:rsidRDefault="00446437">
            <w:pPr>
              <w:jc w:val="center"/>
            </w:pPr>
            <w:r>
              <w:rPr>
                <w:sz w:val="28"/>
                <w:szCs w:val="28"/>
              </w:rPr>
              <w:t>1</w:t>
            </w:r>
            <w:r w:rsidR="001809D9">
              <w:rPr>
                <w:sz w:val="28"/>
                <w:szCs w:val="28"/>
              </w:rPr>
              <w:t>3</w:t>
            </w:r>
            <w:r>
              <w:rPr>
                <w:sz w:val="28"/>
                <w:szCs w:val="28"/>
              </w:rPr>
              <w:t>.punkts</w:t>
            </w:r>
          </w:p>
        </w:tc>
        <w:tc>
          <w:tcPr>
            <w:tcW w:w="2014" w:type="dxa"/>
            <w:tcBorders>
              <w:top w:val="single" w:sz="4" w:space="0" w:color="auto"/>
              <w:left w:val="single" w:sz="4" w:space="0" w:color="auto"/>
              <w:bottom w:val="single" w:sz="4" w:space="0" w:color="auto"/>
              <w:right w:val="single" w:sz="4" w:space="0" w:color="auto"/>
            </w:tcBorders>
            <w:hideMark/>
          </w:tcPr>
          <w:p w:rsidR="00446437" w:rsidRDefault="00446437">
            <w:r>
              <w:rPr>
                <w:iCs/>
                <w:sz w:val="28"/>
                <w:szCs w:val="28"/>
              </w:rPr>
              <w:t>Ieviests pilnībā</w:t>
            </w:r>
          </w:p>
        </w:tc>
        <w:tc>
          <w:tcPr>
            <w:tcW w:w="2762" w:type="dxa"/>
            <w:tcBorders>
              <w:top w:val="single" w:sz="4" w:space="0" w:color="auto"/>
              <w:left w:val="single" w:sz="4" w:space="0" w:color="auto"/>
              <w:bottom w:val="single" w:sz="4" w:space="0" w:color="auto"/>
              <w:right w:val="single" w:sz="4" w:space="0" w:color="auto"/>
            </w:tcBorders>
            <w:hideMark/>
          </w:tcPr>
          <w:p w:rsidR="00446437" w:rsidRDefault="00446437">
            <w:r>
              <w:rPr>
                <w:sz w:val="28"/>
                <w:szCs w:val="28"/>
              </w:rPr>
              <w:t>Projekts stingrākas prasības neparedz</w:t>
            </w:r>
          </w:p>
        </w:tc>
      </w:tr>
      <w:tr w:rsidR="00665555" w:rsidRPr="00665555" w:rsidTr="00446437">
        <w:trPr>
          <w:trHeight w:val="191"/>
          <w:tblCellSpacing w:w="0" w:type="dxa"/>
        </w:trPr>
        <w:tc>
          <w:tcPr>
            <w:tcW w:w="2152" w:type="dxa"/>
            <w:tcBorders>
              <w:top w:val="single" w:sz="4" w:space="0" w:color="auto"/>
              <w:left w:val="single" w:sz="4" w:space="0" w:color="auto"/>
              <w:bottom w:val="single" w:sz="4" w:space="0" w:color="auto"/>
              <w:right w:val="single" w:sz="4" w:space="0" w:color="auto"/>
            </w:tcBorders>
            <w:hideMark/>
          </w:tcPr>
          <w:p w:rsidR="00446437" w:rsidRPr="00665555" w:rsidRDefault="00446437">
            <w:pPr>
              <w:spacing w:before="63" w:after="63"/>
              <w:jc w:val="center"/>
              <w:rPr>
                <w:sz w:val="28"/>
                <w:szCs w:val="28"/>
              </w:rPr>
            </w:pPr>
            <w:r w:rsidRPr="00665555">
              <w:rPr>
                <w:bCs/>
                <w:sz w:val="28"/>
                <w:szCs w:val="28"/>
              </w:rPr>
              <w:t xml:space="preserve">Regulas nr.1178/2011 MED.A.035 punkta </w:t>
            </w:r>
            <w:r w:rsidRPr="00665555">
              <w:rPr>
                <w:bCs/>
                <w:sz w:val="28"/>
                <w:szCs w:val="28"/>
              </w:rPr>
              <w:lastRenderedPageBreak/>
              <w:t>b)apakšpunkts</w:t>
            </w:r>
          </w:p>
        </w:tc>
        <w:tc>
          <w:tcPr>
            <w:tcW w:w="2148" w:type="dxa"/>
            <w:gridSpan w:val="2"/>
            <w:tcBorders>
              <w:top w:val="single" w:sz="4" w:space="0" w:color="auto"/>
              <w:left w:val="single" w:sz="4" w:space="0" w:color="auto"/>
              <w:bottom w:val="single" w:sz="4" w:space="0" w:color="auto"/>
              <w:right w:val="single" w:sz="4" w:space="0" w:color="auto"/>
            </w:tcBorders>
          </w:tcPr>
          <w:p w:rsidR="00446437" w:rsidRPr="00665555" w:rsidRDefault="00446437">
            <w:pPr>
              <w:jc w:val="center"/>
              <w:rPr>
                <w:sz w:val="28"/>
                <w:szCs w:val="28"/>
              </w:rPr>
            </w:pPr>
            <w:r w:rsidRPr="00665555">
              <w:rPr>
                <w:sz w:val="28"/>
                <w:szCs w:val="28"/>
              </w:rPr>
              <w:lastRenderedPageBreak/>
              <w:t>1</w:t>
            </w:r>
            <w:r w:rsidR="001809D9">
              <w:rPr>
                <w:sz w:val="28"/>
                <w:szCs w:val="28"/>
              </w:rPr>
              <w:t>6</w:t>
            </w:r>
            <w:r w:rsidRPr="00665555">
              <w:rPr>
                <w:sz w:val="28"/>
                <w:szCs w:val="28"/>
              </w:rPr>
              <w:t>.punkts</w:t>
            </w:r>
          </w:p>
          <w:p w:rsidR="00446437" w:rsidRPr="00665555" w:rsidRDefault="00446437">
            <w:pPr>
              <w:jc w:val="center"/>
              <w:rPr>
                <w:sz w:val="28"/>
                <w:szCs w:val="28"/>
              </w:rPr>
            </w:pPr>
          </w:p>
        </w:tc>
        <w:tc>
          <w:tcPr>
            <w:tcW w:w="2014" w:type="dxa"/>
            <w:tcBorders>
              <w:top w:val="single" w:sz="4" w:space="0" w:color="auto"/>
              <w:left w:val="single" w:sz="4" w:space="0" w:color="auto"/>
              <w:bottom w:val="single" w:sz="4" w:space="0" w:color="auto"/>
              <w:right w:val="single" w:sz="4" w:space="0" w:color="auto"/>
            </w:tcBorders>
            <w:hideMark/>
          </w:tcPr>
          <w:p w:rsidR="00446437" w:rsidRPr="00665555" w:rsidRDefault="00446437">
            <w:r w:rsidRPr="00665555">
              <w:rPr>
                <w:iCs/>
                <w:sz w:val="28"/>
                <w:szCs w:val="28"/>
              </w:rPr>
              <w:t>Ieviests pilnībā</w:t>
            </w:r>
          </w:p>
        </w:tc>
        <w:tc>
          <w:tcPr>
            <w:tcW w:w="2762" w:type="dxa"/>
            <w:tcBorders>
              <w:top w:val="single" w:sz="4" w:space="0" w:color="auto"/>
              <w:left w:val="single" w:sz="4" w:space="0" w:color="auto"/>
              <w:bottom w:val="single" w:sz="4" w:space="0" w:color="auto"/>
              <w:right w:val="single" w:sz="4" w:space="0" w:color="auto"/>
            </w:tcBorders>
            <w:hideMark/>
          </w:tcPr>
          <w:p w:rsidR="00446437" w:rsidRPr="00665555" w:rsidRDefault="00446437" w:rsidP="00B90C3C">
            <w:r w:rsidRPr="00665555">
              <w:rPr>
                <w:sz w:val="28"/>
                <w:szCs w:val="28"/>
              </w:rPr>
              <w:t xml:space="preserve">Projekts paredz stingrākas prasības, nosakot, ka ierodoties uz pirmreizējo veselības </w:t>
            </w:r>
            <w:r w:rsidRPr="00665555">
              <w:rPr>
                <w:sz w:val="28"/>
                <w:szCs w:val="28"/>
              </w:rPr>
              <w:lastRenderedPageBreak/>
              <w:t xml:space="preserve">pārbaudi, pretendents iesniedz psihiatra un narkologa atzinumu par veselības stāvokli, jo </w:t>
            </w:r>
            <w:r w:rsidR="00B90C3C" w:rsidRPr="006B699D">
              <w:rPr>
                <w:sz w:val="28"/>
                <w:szCs w:val="28"/>
              </w:rPr>
              <w:t xml:space="preserve">aviācijas medicīnas centram, aviācijas medicīnas ekspertam vai Civilās aviācijas aģentūrai </w:t>
            </w:r>
            <w:r w:rsidRPr="006B699D">
              <w:rPr>
                <w:sz w:val="28"/>
                <w:szCs w:val="28"/>
              </w:rPr>
              <w:t xml:space="preserve"> nav</w:t>
            </w:r>
            <w:r w:rsidRPr="00665555">
              <w:rPr>
                <w:sz w:val="28"/>
                <w:szCs w:val="28"/>
              </w:rPr>
              <w:t xml:space="preserve"> iespējas pārliecināties par to, vai persona nav griezusies pēc medicīniskās palīdzības pie psihiatra vai narkologa. </w:t>
            </w:r>
          </w:p>
        </w:tc>
      </w:tr>
      <w:tr w:rsidR="00665555" w:rsidRPr="00665555" w:rsidTr="00446437">
        <w:trPr>
          <w:trHeight w:val="191"/>
          <w:tblCellSpacing w:w="0" w:type="dxa"/>
        </w:trPr>
        <w:tc>
          <w:tcPr>
            <w:tcW w:w="2152" w:type="dxa"/>
            <w:tcBorders>
              <w:top w:val="single" w:sz="4" w:space="0" w:color="auto"/>
              <w:left w:val="single" w:sz="4" w:space="0" w:color="auto"/>
              <w:bottom w:val="single" w:sz="4" w:space="0" w:color="auto"/>
              <w:right w:val="single" w:sz="4" w:space="0" w:color="auto"/>
            </w:tcBorders>
            <w:hideMark/>
          </w:tcPr>
          <w:p w:rsidR="00446437" w:rsidRPr="00665555" w:rsidRDefault="00446437">
            <w:pPr>
              <w:spacing w:before="63" w:after="63"/>
              <w:jc w:val="center"/>
              <w:rPr>
                <w:bCs/>
                <w:sz w:val="28"/>
                <w:szCs w:val="28"/>
              </w:rPr>
            </w:pPr>
            <w:r w:rsidRPr="00665555">
              <w:rPr>
                <w:bCs/>
                <w:sz w:val="28"/>
                <w:szCs w:val="28"/>
              </w:rPr>
              <w:lastRenderedPageBreak/>
              <w:t xml:space="preserve">Regulas nr.1178/2011 ARA daļas VI pielikuma VI papildinājums  </w:t>
            </w:r>
          </w:p>
        </w:tc>
        <w:tc>
          <w:tcPr>
            <w:tcW w:w="2148" w:type="dxa"/>
            <w:gridSpan w:val="2"/>
            <w:tcBorders>
              <w:top w:val="single" w:sz="4" w:space="0" w:color="auto"/>
              <w:left w:val="single" w:sz="4" w:space="0" w:color="auto"/>
              <w:bottom w:val="single" w:sz="4" w:space="0" w:color="auto"/>
              <w:right w:val="single" w:sz="4" w:space="0" w:color="auto"/>
            </w:tcBorders>
            <w:hideMark/>
          </w:tcPr>
          <w:p w:rsidR="00446437" w:rsidRPr="00665555" w:rsidRDefault="00881E50">
            <w:pPr>
              <w:jc w:val="center"/>
              <w:rPr>
                <w:sz w:val="28"/>
                <w:szCs w:val="28"/>
              </w:rPr>
            </w:pPr>
            <w:r>
              <w:rPr>
                <w:sz w:val="28"/>
                <w:szCs w:val="28"/>
              </w:rPr>
              <w:t>2</w:t>
            </w:r>
            <w:r w:rsidR="001809D9">
              <w:rPr>
                <w:sz w:val="28"/>
                <w:szCs w:val="28"/>
              </w:rPr>
              <w:t>4</w:t>
            </w:r>
            <w:r w:rsidR="00446437" w:rsidRPr="00665555">
              <w:rPr>
                <w:sz w:val="28"/>
                <w:szCs w:val="28"/>
              </w:rPr>
              <w:t>.punkts</w:t>
            </w:r>
          </w:p>
          <w:p w:rsidR="00446437" w:rsidRPr="00665555" w:rsidRDefault="00446437">
            <w:pPr>
              <w:jc w:val="center"/>
              <w:rPr>
                <w:sz w:val="28"/>
                <w:szCs w:val="28"/>
              </w:rPr>
            </w:pPr>
            <w:r w:rsidRPr="00665555">
              <w:rPr>
                <w:sz w:val="28"/>
                <w:szCs w:val="28"/>
              </w:rPr>
              <w:t>(noteikumu nr.97 40</w:t>
            </w:r>
            <w:r w:rsidRPr="00665555">
              <w:rPr>
                <w:sz w:val="28"/>
                <w:szCs w:val="28"/>
                <w:vertAlign w:val="superscript"/>
              </w:rPr>
              <w:t>1</w:t>
            </w:r>
            <w:r w:rsidRPr="00665555">
              <w:rPr>
                <w:sz w:val="28"/>
                <w:szCs w:val="28"/>
              </w:rPr>
              <w:t>.1.apakšpunkts)</w:t>
            </w:r>
          </w:p>
        </w:tc>
        <w:tc>
          <w:tcPr>
            <w:tcW w:w="2014" w:type="dxa"/>
            <w:tcBorders>
              <w:top w:val="single" w:sz="4" w:space="0" w:color="auto"/>
              <w:left w:val="single" w:sz="4" w:space="0" w:color="auto"/>
              <w:bottom w:val="single" w:sz="4" w:space="0" w:color="auto"/>
              <w:right w:val="single" w:sz="4" w:space="0" w:color="auto"/>
            </w:tcBorders>
            <w:hideMark/>
          </w:tcPr>
          <w:p w:rsidR="00446437" w:rsidRPr="00665555" w:rsidRDefault="00446437">
            <w:r w:rsidRPr="00665555">
              <w:rPr>
                <w:iCs/>
                <w:sz w:val="28"/>
                <w:szCs w:val="28"/>
              </w:rPr>
              <w:t>Ieviests pilnībā</w:t>
            </w:r>
          </w:p>
        </w:tc>
        <w:tc>
          <w:tcPr>
            <w:tcW w:w="2762" w:type="dxa"/>
            <w:tcBorders>
              <w:top w:val="single" w:sz="4" w:space="0" w:color="auto"/>
              <w:left w:val="single" w:sz="4" w:space="0" w:color="auto"/>
              <w:bottom w:val="single" w:sz="4" w:space="0" w:color="auto"/>
              <w:right w:val="single" w:sz="4" w:space="0" w:color="auto"/>
            </w:tcBorders>
            <w:hideMark/>
          </w:tcPr>
          <w:p w:rsidR="00446437" w:rsidRPr="00665555" w:rsidRDefault="00446437">
            <w:r w:rsidRPr="00665555">
              <w:rPr>
                <w:sz w:val="28"/>
                <w:szCs w:val="28"/>
              </w:rPr>
              <w:t>Projekts stingrākas prasības neparedz</w:t>
            </w:r>
          </w:p>
        </w:tc>
      </w:tr>
      <w:tr w:rsidR="00665555" w:rsidRPr="00665555" w:rsidTr="00446437">
        <w:trPr>
          <w:trHeight w:val="191"/>
          <w:tblCellSpacing w:w="0" w:type="dxa"/>
        </w:trPr>
        <w:tc>
          <w:tcPr>
            <w:tcW w:w="2152" w:type="dxa"/>
            <w:tcBorders>
              <w:top w:val="single" w:sz="4" w:space="0" w:color="auto"/>
              <w:left w:val="single" w:sz="4" w:space="0" w:color="auto"/>
              <w:bottom w:val="single" w:sz="4" w:space="0" w:color="auto"/>
              <w:right w:val="single" w:sz="4" w:space="0" w:color="auto"/>
            </w:tcBorders>
            <w:hideMark/>
          </w:tcPr>
          <w:p w:rsidR="00446437" w:rsidRPr="00665555" w:rsidRDefault="00446437">
            <w:pPr>
              <w:spacing w:before="63" w:after="63"/>
              <w:jc w:val="center"/>
              <w:rPr>
                <w:bCs/>
                <w:sz w:val="28"/>
                <w:szCs w:val="28"/>
              </w:rPr>
            </w:pPr>
            <w:r w:rsidRPr="00665555">
              <w:rPr>
                <w:bCs/>
                <w:sz w:val="28"/>
                <w:szCs w:val="28"/>
              </w:rPr>
              <w:t>Regulas nr.1178/2011 MED.A.045 punkts</w:t>
            </w:r>
          </w:p>
        </w:tc>
        <w:tc>
          <w:tcPr>
            <w:tcW w:w="2148" w:type="dxa"/>
            <w:gridSpan w:val="2"/>
            <w:tcBorders>
              <w:top w:val="single" w:sz="4" w:space="0" w:color="auto"/>
              <w:left w:val="single" w:sz="4" w:space="0" w:color="auto"/>
              <w:bottom w:val="single" w:sz="4" w:space="0" w:color="auto"/>
              <w:right w:val="single" w:sz="4" w:space="0" w:color="auto"/>
            </w:tcBorders>
            <w:hideMark/>
          </w:tcPr>
          <w:p w:rsidR="00446437" w:rsidRPr="00665555" w:rsidRDefault="00881E50">
            <w:pPr>
              <w:jc w:val="center"/>
              <w:rPr>
                <w:sz w:val="28"/>
                <w:szCs w:val="28"/>
              </w:rPr>
            </w:pPr>
            <w:r>
              <w:rPr>
                <w:sz w:val="28"/>
                <w:szCs w:val="28"/>
              </w:rPr>
              <w:t>2</w:t>
            </w:r>
            <w:r w:rsidR="001809D9">
              <w:rPr>
                <w:sz w:val="28"/>
                <w:szCs w:val="28"/>
              </w:rPr>
              <w:t>6</w:t>
            </w:r>
            <w:r w:rsidR="00446437" w:rsidRPr="00665555">
              <w:rPr>
                <w:sz w:val="28"/>
                <w:szCs w:val="28"/>
              </w:rPr>
              <w:t>.punkts</w:t>
            </w:r>
          </w:p>
          <w:p w:rsidR="00446437" w:rsidRPr="00665555" w:rsidRDefault="00446437">
            <w:pPr>
              <w:jc w:val="center"/>
              <w:rPr>
                <w:sz w:val="28"/>
                <w:szCs w:val="28"/>
              </w:rPr>
            </w:pPr>
            <w:r w:rsidRPr="00665555">
              <w:rPr>
                <w:sz w:val="28"/>
                <w:szCs w:val="28"/>
              </w:rPr>
              <w:t>(noteikumu nr.97 42.1.apakšpunkts)</w:t>
            </w:r>
          </w:p>
          <w:p w:rsidR="00446437" w:rsidRPr="00665555" w:rsidRDefault="00446437">
            <w:pPr>
              <w:jc w:val="center"/>
              <w:rPr>
                <w:sz w:val="28"/>
                <w:szCs w:val="28"/>
              </w:rPr>
            </w:pPr>
          </w:p>
        </w:tc>
        <w:tc>
          <w:tcPr>
            <w:tcW w:w="2014" w:type="dxa"/>
            <w:tcBorders>
              <w:top w:val="single" w:sz="4" w:space="0" w:color="auto"/>
              <w:left w:val="single" w:sz="4" w:space="0" w:color="auto"/>
              <w:bottom w:val="single" w:sz="4" w:space="0" w:color="auto"/>
              <w:right w:val="single" w:sz="4" w:space="0" w:color="auto"/>
            </w:tcBorders>
            <w:hideMark/>
          </w:tcPr>
          <w:p w:rsidR="00446437" w:rsidRPr="00665555" w:rsidRDefault="00446437">
            <w:r w:rsidRPr="00665555">
              <w:rPr>
                <w:iCs/>
                <w:sz w:val="28"/>
                <w:szCs w:val="28"/>
              </w:rPr>
              <w:t>Ieviests pilnībā</w:t>
            </w:r>
          </w:p>
        </w:tc>
        <w:tc>
          <w:tcPr>
            <w:tcW w:w="2762" w:type="dxa"/>
            <w:tcBorders>
              <w:top w:val="single" w:sz="4" w:space="0" w:color="auto"/>
              <w:left w:val="single" w:sz="4" w:space="0" w:color="auto"/>
              <w:bottom w:val="single" w:sz="4" w:space="0" w:color="auto"/>
              <w:right w:val="single" w:sz="4" w:space="0" w:color="auto"/>
            </w:tcBorders>
            <w:hideMark/>
          </w:tcPr>
          <w:p w:rsidR="00446437" w:rsidRPr="00665555" w:rsidRDefault="00446437">
            <w:r w:rsidRPr="00665555">
              <w:rPr>
                <w:sz w:val="28"/>
                <w:szCs w:val="28"/>
              </w:rPr>
              <w:t>Projekts stingrākas prasības neparedz</w:t>
            </w:r>
          </w:p>
        </w:tc>
      </w:tr>
      <w:tr w:rsidR="00665555" w:rsidRPr="00665555" w:rsidTr="00446437">
        <w:trPr>
          <w:trHeight w:val="191"/>
          <w:tblCellSpacing w:w="0" w:type="dxa"/>
        </w:trPr>
        <w:tc>
          <w:tcPr>
            <w:tcW w:w="2152" w:type="dxa"/>
            <w:tcBorders>
              <w:top w:val="single" w:sz="4" w:space="0" w:color="auto"/>
              <w:left w:val="single" w:sz="4" w:space="0" w:color="auto"/>
              <w:bottom w:val="single" w:sz="4" w:space="0" w:color="auto"/>
              <w:right w:val="single" w:sz="4" w:space="0" w:color="auto"/>
            </w:tcBorders>
            <w:hideMark/>
          </w:tcPr>
          <w:p w:rsidR="00446437" w:rsidRPr="00665555" w:rsidRDefault="00446437">
            <w:pPr>
              <w:spacing w:before="63" w:after="63"/>
              <w:jc w:val="center"/>
              <w:rPr>
                <w:bCs/>
                <w:sz w:val="28"/>
                <w:szCs w:val="28"/>
              </w:rPr>
            </w:pPr>
            <w:r w:rsidRPr="00665555">
              <w:rPr>
                <w:bCs/>
                <w:sz w:val="28"/>
                <w:szCs w:val="28"/>
              </w:rPr>
              <w:t>Regulas nr.805/2011 16.pants</w:t>
            </w:r>
          </w:p>
        </w:tc>
        <w:tc>
          <w:tcPr>
            <w:tcW w:w="2148" w:type="dxa"/>
            <w:gridSpan w:val="2"/>
            <w:tcBorders>
              <w:top w:val="single" w:sz="4" w:space="0" w:color="auto"/>
              <w:left w:val="single" w:sz="4" w:space="0" w:color="auto"/>
              <w:bottom w:val="single" w:sz="4" w:space="0" w:color="auto"/>
              <w:right w:val="single" w:sz="4" w:space="0" w:color="auto"/>
            </w:tcBorders>
            <w:hideMark/>
          </w:tcPr>
          <w:p w:rsidR="00446437" w:rsidRPr="00665555" w:rsidRDefault="00881E50">
            <w:pPr>
              <w:jc w:val="center"/>
              <w:rPr>
                <w:sz w:val="28"/>
                <w:szCs w:val="28"/>
              </w:rPr>
            </w:pPr>
            <w:r>
              <w:rPr>
                <w:sz w:val="28"/>
                <w:szCs w:val="28"/>
              </w:rPr>
              <w:t>2</w:t>
            </w:r>
            <w:r w:rsidR="001809D9">
              <w:rPr>
                <w:sz w:val="28"/>
                <w:szCs w:val="28"/>
              </w:rPr>
              <w:t>6</w:t>
            </w:r>
            <w:r w:rsidR="00446437" w:rsidRPr="00665555">
              <w:rPr>
                <w:sz w:val="28"/>
                <w:szCs w:val="28"/>
              </w:rPr>
              <w:t>.punkts</w:t>
            </w:r>
          </w:p>
          <w:p w:rsidR="00446437" w:rsidRPr="00665555" w:rsidRDefault="00446437">
            <w:pPr>
              <w:jc w:val="center"/>
              <w:rPr>
                <w:sz w:val="28"/>
                <w:szCs w:val="28"/>
              </w:rPr>
            </w:pPr>
            <w:r w:rsidRPr="00665555">
              <w:rPr>
                <w:sz w:val="28"/>
                <w:szCs w:val="28"/>
              </w:rPr>
              <w:t>(noteikumu nr.97 42.2.apakšpunkts)</w:t>
            </w:r>
          </w:p>
        </w:tc>
        <w:tc>
          <w:tcPr>
            <w:tcW w:w="2014" w:type="dxa"/>
            <w:tcBorders>
              <w:top w:val="single" w:sz="4" w:space="0" w:color="auto"/>
              <w:left w:val="single" w:sz="4" w:space="0" w:color="auto"/>
              <w:bottom w:val="single" w:sz="4" w:space="0" w:color="auto"/>
              <w:right w:val="single" w:sz="4" w:space="0" w:color="auto"/>
            </w:tcBorders>
            <w:hideMark/>
          </w:tcPr>
          <w:p w:rsidR="00446437" w:rsidRPr="00665555" w:rsidRDefault="00446437">
            <w:r w:rsidRPr="00665555">
              <w:rPr>
                <w:iCs/>
                <w:sz w:val="28"/>
                <w:szCs w:val="28"/>
              </w:rPr>
              <w:t>Ieviests pilnībā</w:t>
            </w:r>
          </w:p>
        </w:tc>
        <w:tc>
          <w:tcPr>
            <w:tcW w:w="2762" w:type="dxa"/>
            <w:tcBorders>
              <w:top w:val="single" w:sz="4" w:space="0" w:color="auto"/>
              <w:left w:val="single" w:sz="4" w:space="0" w:color="auto"/>
              <w:bottom w:val="single" w:sz="4" w:space="0" w:color="auto"/>
              <w:right w:val="single" w:sz="4" w:space="0" w:color="auto"/>
            </w:tcBorders>
            <w:hideMark/>
          </w:tcPr>
          <w:p w:rsidR="00446437" w:rsidRPr="00665555" w:rsidRDefault="00446437">
            <w:r w:rsidRPr="00665555">
              <w:rPr>
                <w:sz w:val="28"/>
                <w:szCs w:val="28"/>
              </w:rPr>
              <w:t>Projekts stingrākas prasības neparedz</w:t>
            </w:r>
          </w:p>
        </w:tc>
      </w:tr>
      <w:tr w:rsidR="0002073D" w:rsidRPr="004E0EAA" w:rsidTr="00446437">
        <w:trPr>
          <w:trHeight w:val="191"/>
          <w:tblCellSpacing w:w="0" w:type="dxa"/>
        </w:trPr>
        <w:tc>
          <w:tcPr>
            <w:tcW w:w="2152" w:type="dxa"/>
            <w:tcBorders>
              <w:top w:val="single" w:sz="4" w:space="0" w:color="auto"/>
              <w:left w:val="single" w:sz="4" w:space="0" w:color="auto"/>
              <w:bottom w:val="single" w:sz="4" w:space="0" w:color="auto"/>
              <w:right w:val="single" w:sz="4" w:space="0" w:color="auto"/>
            </w:tcBorders>
          </w:tcPr>
          <w:p w:rsidR="0002073D" w:rsidRPr="004E0EAA" w:rsidRDefault="007D7A77">
            <w:pPr>
              <w:spacing w:before="63" w:after="63"/>
              <w:jc w:val="center"/>
              <w:rPr>
                <w:bCs/>
                <w:sz w:val="28"/>
                <w:szCs w:val="28"/>
              </w:rPr>
            </w:pPr>
            <w:r w:rsidRPr="004E0EAA">
              <w:rPr>
                <w:bCs/>
                <w:sz w:val="28"/>
                <w:szCs w:val="28"/>
              </w:rPr>
              <w:t>Regulas nr.1178/2011 MED.A.020 punkts</w:t>
            </w:r>
          </w:p>
        </w:tc>
        <w:tc>
          <w:tcPr>
            <w:tcW w:w="2148" w:type="dxa"/>
            <w:gridSpan w:val="2"/>
            <w:tcBorders>
              <w:top w:val="single" w:sz="4" w:space="0" w:color="auto"/>
              <w:left w:val="single" w:sz="4" w:space="0" w:color="auto"/>
              <w:bottom w:val="single" w:sz="4" w:space="0" w:color="auto"/>
              <w:right w:val="single" w:sz="4" w:space="0" w:color="auto"/>
            </w:tcBorders>
          </w:tcPr>
          <w:p w:rsidR="0002073D" w:rsidRPr="004E0EAA" w:rsidRDefault="00881E50" w:rsidP="001809D9">
            <w:pPr>
              <w:jc w:val="center"/>
              <w:rPr>
                <w:sz w:val="28"/>
                <w:szCs w:val="28"/>
              </w:rPr>
            </w:pPr>
            <w:r w:rsidRPr="004E0EAA">
              <w:rPr>
                <w:sz w:val="28"/>
                <w:szCs w:val="28"/>
              </w:rPr>
              <w:t>3</w:t>
            </w:r>
            <w:r w:rsidR="001809D9" w:rsidRPr="004E0EAA">
              <w:rPr>
                <w:sz w:val="28"/>
                <w:szCs w:val="28"/>
              </w:rPr>
              <w:t>0</w:t>
            </w:r>
            <w:r w:rsidR="005A74F2" w:rsidRPr="004E0EAA">
              <w:rPr>
                <w:sz w:val="28"/>
                <w:szCs w:val="28"/>
              </w:rPr>
              <w:t>.punkts</w:t>
            </w:r>
          </w:p>
        </w:tc>
        <w:tc>
          <w:tcPr>
            <w:tcW w:w="2014" w:type="dxa"/>
            <w:tcBorders>
              <w:top w:val="single" w:sz="4" w:space="0" w:color="auto"/>
              <w:left w:val="single" w:sz="4" w:space="0" w:color="auto"/>
              <w:bottom w:val="single" w:sz="4" w:space="0" w:color="auto"/>
              <w:right w:val="single" w:sz="4" w:space="0" w:color="auto"/>
            </w:tcBorders>
          </w:tcPr>
          <w:p w:rsidR="0002073D" w:rsidRPr="004E0EAA" w:rsidRDefault="00192ED7">
            <w:pPr>
              <w:rPr>
                <w:iCs/>
                <w:sz w:val="28"/>
                <w:szCs w:val="28"/>
              </w:rPr>
            </w:pPr>
            <w:r w:rsidRPr="004E0EAA">
              <w:rPr>
                <w:iCs/>
                <w:sz w:val="28"/>
                <w:szCs w:val="28"/>
              </w:rPr>
              <w:t>Ieviests pilnībā</w:t>
            </w:r>
          </w:p>
        </w:tc>
        <w:tc>
          <w:tcPr>
            <w:tcW w:w="2762" w:type="dxa"/>
            <w:tcBorders>
              <w:top w:val="single" w:sz="4" w:space="0" w:color="auto"/>
              <w:left w:val="single" w:sz="4" w:space="0" w:color="auto"/>
              <w:bottom w:val="single" w:sz="4" w:space="0" w:color="auto"/>
              <w:right w:val="single" w:sz="4" w:space="0" w:color="auto"/>
            </w:tcBorders>
          </w:tcPr>
          <w:p w:rsidR="0002073D" w:rsidRPr="004E0EAA" w:rsidRDefault="00192ED7">
            <w:pPr>
              <w:rPr>
                <w:sz w:val="28"/>
                <w:szCs w:val="28"/>
              </w:rPr>
            </w:pPr>
            <w:r w:rsidRPr="004E0EAA">
              <w:rPr>
                <w:sz w:val="28"/>
                <w:szCs w:val="28"/>
              </w:rPr>
              <w:t>Projekts stingrākas prasības neparedz</w:t>
            </w:r>
          </w:p>
        </w:tc>
      </w:tr>
      <w:tr w:rsidR="00446437" w:rsidTr="00446437">
        <w:trPr>
          <w:trHeight w:val="281"/>
          <w:tblCellSpacing w:w="0" w:type="dxa"/>
        </w:trPr>
        <w:tc>
          <w:tcPr>
            <w:tcW w:w="2772" w:type="dxa"/>
            <w:gridSpan w:val="2"/>
            <w:tcBorders>
              <w:top w:val="single" w:sz="4" w:space="0" w:color="auto"/>
              <w:left w:val="single" w:sz="4" w:space="0" w:color="auto"/>
              <w:bottom w:val="single" w:sz="4" w:space="0" w:color="auto"/>
              <w:right w:val="single" w:sz="4" w:space="0" w:color="auto"/>
            </w:tcBorders>
            <w:vAlign w:val="center"/>
          </w:tcPr>
          <w:p w:rsidR="00446437" w:rsidRDefault="00446437">
            <w:pPr>
              <w:pStyle w:val="naiskr"/>
              <w:rPr>
                <w:sz w:val="28"/>
                <w:szCs w:val="28"/>
              </w:rPr>
            </w:pPr>
            <w:r>
              <w:rPr>
                <w:sz w:val="28"/>
                <w:szCs w:val="28"/>
              </w:rPr>
              <w:t> Kā ir izmantota ES tiesību aktā paredzētā rīcības brīvība dalībvalstij pārņemt vai ieviest noteiktas ES tiesību akta normas.</w:t>
            </w:r>
          </w:p>
          <w:p w:rsidR="00446437" w:rsidRDefault="00446437">
            <w:pPr>
              <w:pStyle w:val="naiskr"/>
              <w:rPr>
                <w:sz w:val="28"/>
                <w:szCs w:val="28"/>
              </w:rPr>
            </w:pPr>
          </w:p>
        </w:tc>
        <w:tc>
          <w:tcPr>
            <w:tcW w:w="6304" w:type="dxa"/>
            <w:gridSpan w:val="3"/>
            <w:tcBorders>
              <w:top w:val="single" w:sz="4" w:space="0" w:color="auto"/>
              <w:left w:val="single" w:sz="4" w:space="0" w:color="auto"/>
              <w:bottom w:val="single" w:sz="4" w:space="0" w:color="auto"/>
              <w:right w:val="single" w:sz="4" w:space="0" w:color="auto"/>
            </w:tcBorders>
            <w:hideMark/>
          </w:tcPr>
          <w:p w:rsidR="00446437" w:rsidRDefault="00446437">
            <w:pPr>
              <w:pStyle w:val="naiskr"/>
              <w:ind w:firstLine="209"/>
              <w:jc w:val="both"/>
              <w:rPr>
                <w:iCs/>
                <w:sz w:val="28"/>
                <w:szCs w:val="28"/>
              </w:rPr>
            </w:pPr>
            <w:r>
              <w:rPr>
                <w:iCs/>
                <w:sz w:val="28"/>
                <w:szCs w:val="28"/>
              </w:rPr>
              <w:t>Regulas Nr.1178/2011 IV pielikuma MED.A.040 punktā paredzētā rīcības brīvība noteikt, ka LAPL veselības apliecības var izdot terapeiti, netiek izmantota, jo Latvijas Republikā šobrīd nav terapeitu, kuri būtu kvalificēti veikt veselības pārbaudes civilās aviācijas gaisa kuģu lidojumu apkalpes locekļiem.</w:t>
            </w:r>
          </w:p>
          <w:p w:rsidR="00446437" w:rsidRDefault="00446437" w:rsidP="009E346D">
            <w:pPr>
              <w:pStyle w:val="naiskr"/>
              <w:ind w:firstLine="209"/>
              <w:jc w:val="both"/>
              <w:rPr>
                <w:iCs/>
                <w:sz w:val="28"/>
                <w:szCs w:val="28"/>
              </w:rPr>
            </w:pPr>
            <w:r>
              <w:rPr>
                <w:iCs/>
                <w:sz w:val="28"/>
                <w:szCs w:val="28"/>
              </w:rPr>
              <w:t xml:space="preserve">Regulas </w:t>
            </w:r>
            <w:r w:rsidR="00B30A19">
              <w:rPr>
                <w:iCs/>
                <w:sz w:val="28"/>
                <w:szCs w:val="28"/>
              </w:rPr>
              <w:t>N</w:t>
            </w:r>
            <w:r>
              <w:rPr>
                <w:iCs/>
                <w:sz w:val="28"/>
                <w:szCs w:val="28"/>
              </w:rPr>
              <w:t xml:space="preserve">r.1178/2011 12.panta 5.punktā paredzētā rīcības brīvība dalībvalstij izmantota, nosakot termiņus regulas </w:t>
            </w:r>
            <w:r w:rsidR="009E346D">
              <w:rPr>
                <w:iCs/>
                <w:sz w:val="28"/>
                <w:szCs w:val="28"/>
              </w:rPr>
              <w:t>N</w:t>
            </w:r>
            <w:r>
              <w:rPr>
                <w:iCs/>
                <w:sz w:val="28"/>
                <w:szCs w:val="28"/>
              </w:rPr>
              <w:t xml:space="preserve">r.1178/2011 12.panta 5.punktā noteikto </w:t>
            </w:r>
            <w:r>
              <w:rPr>
                <w:iCs/>
                <w:sz w:val="28"/>
                <w:szCs w:val="28"/>
              </w:rPr>
              <w:lastRenderedPageBreak/>
              <w:t xml:space="preserve">prasību piemērošanai Latvijas Republikā, nosūtot attiecīgu informāciju Eiropas Komisijai un Eiropas aviācijas drošības aģentūrai. Ar noteikumu Nr.97 spēkā stāšanos tiks ieviestas regulas </w:t>
            </w:r>
            <w:r w:rsidR="00B51C3E">
              <w:rPr>
                <w:iCs/>
                <w:sz w:val="28"/>
                <w:szCs w:val="28"/>
              </w:rPr>
              <w:t xml:space="preserve">Nr.1178/2011 </w:t>
            </w:r>
            <w:r>
              <w:rPr>
                <w:iCs/>
                <w:sz w:val="28"/>
                <w:szCs w:val="28"/>
              </w:rPr>
              <w:t>12.panta 5.daļā minētie IV pielikuma B apakšiedaļas 3.iedaļas noteikumi, nosūtot attiecīgu informāciju Eiropas Komisijai un Eiropas aviācijas drošības aģentūrai.</w:t>
            </w:r>
          </w:p>
        </w:tc>
      </w:tr>
      <w:tr w:rsidR="00446437" w:rsidTr="00446437">
        <w:trPr>
          <w:trHeight w:val="913"/>
          <w:tblCellSpacing w:w="0" w:type="dxa"/>
        </w:trPr>
        <w:tc>
          <w:tcPr>
            <w:tcW w:w="2772" w:type="dxa"/>
            <w:gridSpan w:val="2"/>
            <w:tcBorders>
              <w:top w:val="single" w:sz="4" w:space="0" w:color="auto"/>
              <w:left w:val="single" w:sz="4" w:space="0" w:color="auto"/>
              <w:bottom w:val="single" w:sz="4" w:space="0" w:color="auto"/>
              <w:right w:val="single" w:sz="4" w:space="0" w:color="auto"/>
            </w:tcBorders>
            <w:vAlign w:val="center"/>
            <w:hideMark/>
          </w:tcPr>
          <w:p w:rsidR="00446437" w:rsidRDefault="00446437">
            <w:pPr>
              <w:pStyle w:val="naiskr"/>
              <w:rPr>
                <w:sz w:val="28"/>
                <w:szCs w:val="28"/>
              </w:rPr>
            </w:pPr>
            <w:r>
              <w:rPr>
                <w:sz w:val="28"/>
                <w:szCs w:val="28"/>
              </w:rPr>
              <w:lastRenderedPageBreak/>
              <w:t> 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304" w:type="dxa"/>
            <w:gridSpan w:val="3"/>
            <w:tcBorders>
              <w:top w:val="single" w:sz="4" w:space="0" w:color="auto"/>
              <w:left w:val="single" w:sz="4" w:space="0" w:color="auto"/>
              <w:bottom w:val="single" w:sz="4" w:space="0" w:color="auto"/>
              <w:right w:val="single" w:sz="4" w:space="0" w:color="auto"/>
            </w:tcBorders>
            <w:hideMark/>
          </w:tcPr>
          <w:p w:rsidR="00446437" w:rsidRDefault="00446437">
            <w:pPr>
              <w:pStyle w:val="naiskr"/>
              <w:ind w:firstLine="209"/>
              <w:jc w:val="both"/>
              <w:rPr>
                <w:iCs/>
                <w:sz w:val="28"/>
                <w:szCs w:val="28"/>
              </w:rPr>
            </w:pPr>
            <w:r>
              <w:rPr>
                <w:iCs/>
                <w:sz w:val="28"/>
                <w:szCs w:val="28"/>
              </w:rPr>
              <w:t>Projekts šo jomu neskar.</w:t>
            </w:r>
          </w:p>
        </w:tc>
      </w:tr>
      <w:tr w:rsidR="00446437" w:rsidTr="00446437">
        <w:trPr>
          <w:trHeight w:val="120"/>
          <w:tblCellSpacing w:w="0" w:type="dxa"/>
        </w:trPr>
        <w:tc>
          <w:tcPr>
            <w:tcW w:w="2772" w:type="dxa"/>
            <w:gridSpan w:val="2"/>
            <w:tcBorders>
              <w:top w:val="single" w:sz="4" w:space="0" w:color="auto"/>
              <w:left w:val="single" w:sz="4" w:space="0" w:color="auto"/>
              <w:bottom w:val="single" w:sz="4" w:space="0" w:color="auto"/>
              <w:right w:val="single" w:sz="4" w:space="0" w:color="auto"/>
            </w:tcBorders>
            <w:hideMark/>
          </w:tcPr>
          <w:p w:rsidR="00446437" w:rsidRDefault="00446437">
            <w:pPr>
              <w:pStyle w:val="naiskr"/>
              <w:rPr>
                <w:sz w:val="28"/>
                <w:szCs w:val="28"/>
              </w:rPr>
            </w:pPr>
            <w:r>
              <w:rPr>
                <w:sz w:val="28"/>
                <w:szCs w:val="28"/>
              </w:rPr>
              <w:t> Cita informācija</w:t>
            </w:r>
          </w:p>
        </w:tc>
        <w:tc>
          <w:tcPr>
            <w:tcW w:w="6304" w:type="dxa"/>
            <w:gridSpan w:val="3"/>
            <w:tcBorders>
              <w:top w:val="single" w:sz="4" w:space="0" w:color="auto"/>
              <w:left w:val="single" w:sz="4" w:space="0" w:color="auto"/>
              <w:bottom w:val="single" w:sz="4" w:space="0" w:color="auto"/>
              <w:right w:val="single" w:sz="4" w:space="0" w:color="auto"/>
            </w:tcBorders>
            <w:hideMark/>
          </w:tcPr>
          <w:p w:rsidR="00446437" w:rsidRDefault="00446437">
            <w:pPr>
              <w:pStyle w:val="naiskr"/>
              <w:ind w:firstLine="209"/>
              <w:rPr>
                <w:iCs/>
                <w:sz w:val="28"/>
                <w:szCs w:val="28"/>
              </w:rPr>
            </w:pPr>
            <w:r>
              <w:rPr>
                <w:iCs/>
                <w:sz w:val="28"/>
                <w:szCs w:val="28"/>
              </w:rPr>
              <w:t>Nav</w:t>
            </w:r>
          </w:p>
        </w:tc>
      </w:tr>
    </w:tbl>
    <w:p w:rsidR="00446437" w:rsidRDefault="00446437" w:rsidP="00446437">
      <w:pPr>
        <w:tabs>
          <w:tab w:val="left" w:pos="1200"/>
        </w:tabs>
        <w:rPr>
          <w:color w:val="000000"/>
          <w:sz w:val="28"/>
          <w:szCs w:val="28"/>
        </w:rPr>
      </w:pPr>
      <w:r>
        <w:rPr>
          <w:color w:val="000000"/>
          <w:sz w:val="28"/>
          <w:szCs w:val="28"/>
        </w:rPr>
        <w:t> </w:t>
      </w:r>
      <w:r>
        <w:rPr>
          <w:color w:val="000000"/>
          <w:sz w:val="28"/>
          <w:szCs w:val="28"/>
        </w:rPr>
        <w:tab/>
      </w:r>
    </w:p>
    <w:tbl>
      <w:tblPr>
        <w:tblW w:w="922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5"/>
        <w:gridCol w:w="1559"/>
        <w:gridCol w:w="2576"/>
        <w:gridCol w:w="2739"/>
      </w:tblGrid>
      <w:tr w:rsidR="00446437" w:rsidTr="00446437">
        <w:trPr>
          <w:trHeight w:val="792"/>
          <w:tblCellSpacing w:w="0" w:type="dxa"/>
        </w:trPr>
        <w:tc>
          <w:tcPr>
            <w:tcW w:w="9229" w:type="dxa"/>
            <w:gridSpan w:val="4"/>
            <w:tcBorders>
              <w:top w:val="single" w:sz="4" w:space="0" w:color="auto"/>
              <w:left w:val="single" w:sz="4" w:space="0" w:color="auto"/>
              <w:bottom w:val="single" w:sz="4" w:space="0" w:color="auto"/>
              <w:right w:val="single" w:sz="4" w:space="0" w:color="auto"/>
            </w:tcBorders>
            <w:vAlign w:val="center"/>
            <w:hideMark/>
          </w:tcPr>
          <w:p w:rsidR="00446437" w:rsidRDefault="00446437">
            <w:pPr>
              <w:spacing w:before="100" w:beforeAutospacing="1" w:after="100" w:afterAutospacing="1"/>
              <w:jc w:val="center"/>
              <w:rPr>
                <w:b/>
                <w:sz w:val="28"/>
                <w:szCs w:val="28"/>
              </w:rPr>
            </w:pPr>
            <w:r>
              <w:rPr>
                <w:b/>
                <w:sz w:val="28"/>
                <w:szCs w:val="28"/>
              </w:rPr>
              <w:t>2.tabula</w:t>
            </w:r>
          </w:p>
          <w:p w:rsidR="00446437" w:rsidRDefault="00446437">
            <w:pPr>
              <w:spacing w:before="100" w:beforeAutospacing="1" w:after="100" w:afterAutospacing="1"/>
              <w:jc w:val="center"/>
              <w:rPr>
                <w:b/>
                <w:sz w:val="28"/>
                <w:szCs w:val="28"/>
              </w:rPr>
            </w:pPr>
            <w:r>
              <w:rPr>
                <w:b/>
                <w:sz w:val="28"/>
                <w:szCs w:val="28"/>
              </w:rPr>
              <w:t>Ar tiesību akta projektu uzņemtās saistības, kas izriet no starptautiskajiem tiesību aktiem vai starptautiskas institūcijas vai organizācijas dokumentiem</w:t>
            </w:r>
          </w:p>
          <w:p w:rsidR="00446437" w:rsidRDefault="00446437">
            <w:pPr>
              <w:spacing w:before="100" w:beforeAutospacing="1" w:after="100" w:afterAutospacing="1"/>
              <w:jc w:val="center"/>
            </w:pPr>
            <w:r>
              <w:rPr>
                <w:b/>
                <w:sz w:val="28"/>
                <w:szCs w:val="28"/>
              </w:rPr>
              <w:t>Pasākumi šo saistību izpildei</w:t>
            </w:r>
          </w:p>
        </w:tc>
      </w:tr>
      <w:tr w:rsidR="00446437" w:rsidTr="00446437">
        <w:trPr>
          <w:trHeight w:val="518"/>
          <w:tblCellSpacing w:w="0" w:type="dxa"/>
        </w:trPr>
        <w:tc>
          <w:tcPr>
            <w:tcW w:w="2355" w:type="dxa"/>
            <w:tcBorders>
              <w:top w:val="single" w:sz="4" w:space="0" w:color="auto"/>
              <w:left w:val="single" w:sz="4" w:space="0" w:color="auto"/>
              <w:bottom w:val="single" w:sz="4" w:space="0" w:color="auto"/>
              <w:right w:val="single" w:sz="4" w:space="0" w:color="auto"/>
            </w:tcBorders>
            <w:vAlign w:val="center"/>
            <w:hideMark/>
          </w:tcPr>
          <w:p w:rsidR="00446437" w:rsidRDefault="00446437">
            <w:pPr>
              <w:spacing w:before="100" w:beforeAutospacing="1" w:after="100" w:afterAutospacing="1"/>
              <w:rPr>
                <w:sz w:val="28"/>
                <w:szCs w:val="28"/>
              </w:rPr>
            </w:pPr>
            <w:r>
              <w:rPr>
                <w:sz w:val="28"/>
                <w:szCs w:val="28"/>
              </w:rPr>
              <w:t> Attiecīgā starptautiskā tiesību akta vai starptautiskas institūcijas vai organizācijas dokumenta (turpmāk – starptautiskais dokuments) datums, numurs un nosaukums</w:t>
            </w:r>
          </w:p>
        </w:tc>
        <w:tc>
          <w:tcPr>
            <w:tcW w:w="6874" w:type="dxa"/>
            <w:gridSpan w:val="3"/>
            <w:tcBorders>
              <w:top w:val="single" w:sz="4" w:space="0" w:color="auto"/>
              <w:left w:val="single" w:sz="4" w:space="0" w:color="auto"/>
              <w:bottom w:val="single" w:sz="4" w:space="0" w:color="auto"/>
              <w:right w:val="single" w:sz="4" w:space="0" w:color="auto"/>
            </w:tcBorders>
          </w:tcPr>
          <w:p w:rsidR="00446437" w:rsidRDefault="00B51C3E">
            <w:pPr>
              <w:spacing w:before="100" w:beforeAutospacing="1" w:after="100" w:afterAutospacing="1"/>
              <w:rPr>
                <w:sz w:val="28"/>
                <w:szCs w:val="28"/>
              </w:rPr>
            </w:pPr>
            <w:r w:rsidRPr="00B51C3E">
              <w:rPr>
                <w:sz w:val="28"/>
                <w:szCs w:val="28"/>
              </w:rPr>
              <w:t>Projekts šo jomu neskar.</w:t>
            </w:r>
          </w:p>
        </w:tc>
      </w:tr>
      <w:tr w:rsidR="00446437" w:rsidTr="00446437">
        <w:trPr>
          <w:trHeight w:val="341"/>
          <w:tblCellSpacing w:w="0" w:type="dxa"/>
        </w:trPr>
        <w:tc>
          <w:tcPr>
            <w:tcW w:w="3914" w:type="dxa"/>
            <w:gridSpan w:val="2"/>
            <w:tcBorders>
              <w:top w:val="single" w:sz="4" w:space="0" w:color="auto"/>
              <w:left w:val="single" w:sz="4" w:space="0" w:color="auto"/>
              <w:bottom w:val="single" w:sz="4" w:space="0" w:color="auto"/>
              <w:right w:val="single" w:sz="4" w:space="0" w:color="auto"/>
            </w:tcBorders>
            <w:vAlign w:val="center"/>
            <w:hideMark/>
          </w:tcPr>
          <w:p w:rsidR="00446437" w:rsidRDefault="00446437">
            <w:pPr>
              <w:spacing w:before="100" w:beforeAutospacing="1" w:after="100" w:afterAutospacing="1"/>
              <w:rPr>
                <w:sz w:val="28"/>
                <w:szCs w:val="28"/>
              </w:rPr>
            </w:pPr>
            <w:r>
              <w:rPr>
                <w:sz w:val="28"/>
                <w:szCs w:val="28"/>
              </w:rPr>
              <w:t> A</w:t>
            </w:r>
          </w:p>
        </w:tc>
        <w:tc>
          <w:tcPr>
            <w:tcW w:w="2576" w:type="dxa"/>
            <w:tcBorders>
              <w:top w:val="single" w:sz="4" w:space="0" w:color="auto"/>
              <w:left w:val="single" w:sz="4" w:space="0" w:color="auto"/>
              <w:bottom w:val="single" w:sz="4" w:space="0" w:color="auto"/>
              <w:right w:val="single" w:sz="4" w:space="0" w:color="auto"/>
            </w:tcBorders>
            <w:vAlign w:val="center"/>
            <w:hideMark/>
          </w:tcPr>
          <w:p w:rsidR="00446437" w:rsidRDefault="00446437">
            <w:pPr>
              <w:spacing w:before="100" w:beforeAutospacing="1" w:after="100" w:afterAutospacing="1"/>
              <w:rPr>
                <w:sz w:val="28"/>
                <w:szCs w:val="28"/>
              </w:rPr>
            </w:pPr>
            <w:r>
              <w:rPr>
                <w:sz w:val="28"/>
                <w:szCs w:val="28"/>
              </w:rPr>
              <w:t> B</w:t>
            </w:r>
          </w:p>
        </w:tc>
        <w:tc>
          <w:tcPr>
            <w:tcW w:w="2739" w:type="dxa"/>
            <w:tcBorders>
              <w:top w:val="single" w:sz="4" w:space="0" w:color="auto"/>
              <w:left w:val="single" w:sz="4" w:space="0" w:color="auto"/>
              <w:bottom w:val="single" w:sz="4" w:space="0" w:color="auto"/>
              <w:right w:val="single" w:sz="4" w:space="0" w:color="auto"/>
            </w:tcBorders>
            <w:vAlign w:val="center"/>
            <w:hideMark/>
          </w:tcPr>
          <w:p w:rsidR="00446437" w:rsidRDefault="00446437">
            <w:pPr>
              <w:spacing w:before="100" w:beforeAutospacing="1" w:after="100" w:afterAutospacing="1"/>
              <w:rPr>
                <w:sz w:val="28"/>
                <w:szCs w:val="28"/>
              </w:rPr>
            </w:pPr>
            <w:r>
              <w:rPr>
                <w:sz w:val="28"/>
                <w:szCs w:val="28"/>
              </w:rPr>
              <w:t> C</w:t>
            </w:r>
          </w:p>
        </w:tc>
      </w:tr>
      <w:tr w:rsidR="00446437" w:rsidTr="00446437">
        <w:trPr>
          <w:trHeight w:val="341"/>
          <w:tblCellSpacing w:w="0" w:type="dxa"/>
        </w:trPr>
        <w:tc>
          <w:tcPr>
            <w:tcW w:w="3914" w:type="dxa"/>
            <w:gridSpan w:val="2"/>
            <w:tcBorders>
              <w:top w:val="single" w:sz="4" w:space="0" w:color="auto"/>
              <w:left w:val="single" w:sz="4" w:space="0" w:color="auto"/>
              <w:bottom w:val="single" w:sz="4" w:space="0" w:color="auto"/>
              <w:right w:val="single" w:sz="4" w:space="0" w:color="auto"/>
            </w:tcBorders>
            <w:vAlign w:val="center"/>
            <w:hideMark/>
          </w:tcPr>
          <w:p w:rsidR="00446437" w:rsidRDefault="00446437">
            <w:pPr>
              <w:spacing w:after="120"/>
              <w:ind w:left="57"/>
              <w:rPr>
                <w:sz w:val="28"/>
                <w:szCs w:val="28"/>
              </w:rPr>
            </w:pPr>
            <w:r>
              <w:rPr>
                <w:sz w:val="28"/>
                <w:szCs w:val="28"/>
              </w:rPr>
              <w:lastRenderedPageBreak/>
              <w:t>Starptautiskās saistības (pēc būtības), kas izriet no norādītā starptautiskā dokumenta.</w:t>
            </w:r>
          </w:p>
          <w:p w:rsidR="00446437" w:rsidRDefault="00446437">
            <w:pPr>
              <w:spacing w:before="100" w:beforeAutospacing="1" w:after="100" w:afterAutospacing="1"/>
              <w:rPr>
                <w:sz w:val="28"/>
                <w:szCs w:val="28"/>
              </w:rPr>
            </w:pPr>
            <w:r>
              <w:rPr>
                <w:sz w:val="28"/>
                <w:szCs w:val="28"/>
              </w:rPr>
              <w:t>Konkrēti veicamie pasākumi vai uzdevumi, kas nepieciešami šo starptautisko saistību izpildei</w:t>
            </w:r>
          </w:p>
        </w:tc>
        <w:tc>
          <w:tcPr>
            <w:tcW w:w="2576" w:type="dxa"/>
            <w:tcBorders>
              <w:top w:val="single" w:sz="4" w:space="0" w:color="auto"/>
              <w:left w:val="single" w:sz="4" w:space="0" w:color="auto"/>
              <w:bottom w:val="single" w:sz="4" w:space="0" w:color="auto"/>
              <w:right w:val="single" w:sz="4" w:space="0" w:color="auto"/>
            </w:tcBorders>
            <w:vAlign w:val="center"/>
            <w:hideMark/>
          </w:tcPr>
          <w:p w:rsidR="00446437" w:rsidRDefault="00446437">
            <w:pPr>
              <w:spacing w:before="100" w:beforeAutospacing="1" w:after="100" w:afterAutospacing="1"/>
              <w:rPr>
                <w:sz w:val="28"/>
                <w:szCs w:val="28"/>
              </w:rPr>
            </w:pPr>
            <w:r>
              <w:rPr>
                <w:sz w:val="28"/>
                <w:szCs w:val="28"/>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2739" w:type="dxa"/>
            <w:tcBorders>
              <w:top w:val="single" w:sz="4" w:space="0" w:color="auto"/>
              <w:left w:val="single" w:sz="4" w:space="0" w:color="auto"/>
              <w:bottom w:val="single" w:sz="4" w:space="0" w:color="auto"/>
              <w:right w:val="single" w:sz="4" w:space="0" w:color="auto"/>
            </w:tcBorders>
            <w:vAlign w:val="center"/>
            <w:hideMark/>
          </w:tcPr>
          <w:p w:rsidR="00446437" w:rsidRDefault="00446437">
            <w:pPr>
              <w:spacing w:after="120"/>
              <w:rPr>
                <w:sz w:val="28"/>
                <w:szCs w:val="28"/>
              </w:rPr>
            </w:pPr>
            <w:r>
              <w:rPr>
                <w:sz w:val="28"/>
                <w:szCs w:val="28"/>
              </w:rPr>
              <w:t>Informācija par to, vai starptautiskās saistības, kas minētas šīs tabulas A ailē, tiek izpildītas pilnībā vai daļēji.</w:t>
            </w:r>
          </w:p>
          <w:p w:rsidR="00446437" w:rsidRDefault="00446437">
            <w:pPr>
              <w:spacing w:after="120"/>
              <w:ind w:left="57"/>
              <w:rPr>
                <w:sz w:val="28"/>
                <w:szCs w:val="28"/>
              </w:rPr>
            </w:pPr>
            <w:r>
              <w:rPr>
                <w:sz w:val="28"/>
                <w:szCs w:val="28"/>
              </w:rPr>
              <w:t>Ja attiecīgās starptautiskās saistības tiek izpildītas daļēji, sniedz attiecīgu skaidrojumu, kā arī precīzi norāda, kad un kādā veidā starptautiskās saistības tiks izpildītas pilnībā.</w:t>
            </w:r>
          </w:p>
          <w:p w:rsidR="00446437" w:rsidRDefault="00446437">
            <w:pPr>
              <w:spacing w:before="100" w:beforeAutospacing="1" w:after="100" w:afterAutospacing="1"/>
              <w:rPr>
                <w:sz w:val="28"/>
                <w:szCs w:val="28"/>
              </w:rPr>
            </w:pPr>
            <w:r>
              <w:rPr>
                <w:sz w:val="28"/>
                <w:szCs w:val="28"/>
              </w:rPr>
              <w:t>Norāda institūciju, kas ir atbildīga par šo saistību izpildi pilnībā</w:t>
            </w:r>
          </w:p>
        </w:tc>
      </w:tr>
      <w:tr w:rsidR="00446437" w:rsidTr="00446437">
        <w:trPr>
          <w:trHeight w:val="161"/>
          <w:tblCellSpacing w:w="0" w:type="dxa"/>
        </w:trPr>
        <w:tc>
          <w:tcPr>
            <w:tcW w:w="3914" w:type="dxa"/>
            <w:gridSpan w:val="2"/>
            <w:tcBorders>
              <w:top w:val="single" w:sz="4" w:space="0" w:color="auto"/>
              <w:left w:val="single" w:sz="4" w:space="0" w:color="auto"/>
              <w:bottom w:val="single" w:sz="4" w:space="0" w:color="auto"/>
              <w:right w:val="single" w:sz="4" w:space="0" w:color="auto"/>
            </w:tcBorders>
            <w:vAlign w:val="center"/>
            <w:hideMark/>
          </w:tcPr>
          <w:p w:rsidR="00446437" w:rsidRDefault="00446437">
            <w:pPr>
              <w:spacing w:before="100" w:beforeAutospacing="1" w:after="100" w:afterAutospacing="1" w:line="161" w:lineRule="atLeast"/>
              <w:rPr>
                <w:sz w:val="28"/>
                <w:szCs w:val="28"/>
              </w:rPr>
            </w:pPr>
            <w:r>
              <w:rPr>
                <w:sz w:val="28"/>
                <w:szCs w:val="28"/>
              </w:rPr>
              <w:t> Vai starptautiskajā dokumentā paredzētās saistības nav pretrunā ar jau esošajām Latvijas Republikas starptautiskajām saistībām</w:t>
            </w:r>
          </w:p>
        </w:tc>
        <w:tc>
          <w:tcPr>
            <w:tcW w:w="5315" w:type="dxa"/>
            <w:gridSpan w:val="2"/>
            <w:tcBorders>
              <w:top w:val="single" w:sz="4" w:space="0" w:color="auto"/>
              <w:left w:val="single" w:sz="4" w:space="0" w:color="auto"/>
              <w:bottom w:val="single" w:sz="4" w:space="0" w:color="auto"/>
              <w:right w:val="single" w:sz="4" w:space="0" w:color="auto"/>
            </w:tcBorders>
            <w:hideMark/>
          </w:tcPr>
          <w:p w:rsidR="00446437" w:rsidRDefault="00446437">
            <w:pPr>
              <w:spacing w:before="100" w:beforeAutospacing="1" w:after="100" w:afterAutospacing="1" w:line="161" w:lineRule="atLeast"/>
              <w:rPr>
                <w:sz w:val="28"/>
                <w:szCs w:val="28"/>
              </w:rPr>
            </w:pPr>
            <w:r>
              <w:rPr>
                <w:sz w:val="28"/>
                <w:szCs w:val="28"/>
              </w:rPr>
              <w:t> Projektā iekļautās prasības nav pretrunā ar jau esošajām Latvijas Republikas starptautiskajām saistībām</w:t>
            </w:r>
          </w:p>
        </w:tc>
      </w:tr>
      <w:tr w:rsidR="00446437" w:rsidTr="0075485A">
        <w:trPr>
          <w:trHeight w:val="408"/>
          <w:tblCellSpacing w:w="0" w:type="dxa"/>
        </w:trPr>
        <w:tc>
          <w:tcPr>
            <w:tcW w:w="3914" w:type="dxa"/>
            <w:gridSpan w:val="2"/>
            <w:tcBorders>
              <w:top w:val="single" w:sz="4" w:space="0" w:color="auto"/>
              <w:left w:val="single" w:sz="4" w:space="0" w:color="auto"/>
              <w:bottom w:val="single" w:sz="4" w:space="0" w:color="auto"/>
              <w:right w:val="single" w:sz="4" w:space="0" w:color="auto"/>
            </w:tcBorders>
            <w:hideMark/>
          </w:tcPr>
          <w:p w:rsidR="00446437" w:rsidRDefault="00446437">
            <w:pPr>
              <w:spacing w:before="100" w:beforeAutospacing="1" w:after="100" w:afterAutospacing="1"/>
              <w:rPr>
                <w:sz w:val="28"/>
                <w:szCs w:val="28"/>
              </w:rPr>
            </w:pPr>
            <w:r>
              <w:rPr>
                <w:sz w:val="28"/>
                <w:szCs w:val="28"/>
              </w:rPr>
              <w:t> Cita informācija</w:t>
            </w:r>
          </w:p>
        </w:tc>
        <w:tc>
          <w:tcPr>
            <w:tcW w:w="5315" w:type="dxa"/>
            <w:gridSpan w:val="2"/>
            <w:tcBorders>
              <w:top w:val="single" w:sz="4" w:space="0" w:color="auto"/>
              <w:left w:val="single" w:sz="4" w:space="0" w:color="auto"/>
              <w:bottom w:val="single" w:sz="4" w:space="0" w:color="auto"/>
              <w:right w:val="single" w:sz="4" w:space="0" w:color="auto"/>
            </w:tcBorders>
            <w:hideMark/>
          </w:tcPr>
          <w:p w:rsidR="00446437" w:rsidRDefault="003B76B5" w:rsidP="003C702A">
            <w:pPr>
              <w:spacing w:before="100" w:beforeAutospacing="1" w:after="100" w:afterAutospacing="1"/>
              <w:rPr>
                <w:sz w:val="28"/>
                <w:szCs w:val="28"/>
              </w:rPr>
            </w:pPr>
            <w:r>
              <w:rPr>
                <w:sz w:val="28"/>
                <w:szCs w:val="28"/>
              </w:rPr>
              <w:t>Nav</w:t>
            </w:r>
          </w:p>
        </w:tc>
      </w:tr>
    </w:tbl>
    <w:p w:rsidR="00446437" w:rsidRDefault="00446437" w:rsidP="00446437">
      <w:pPr>
        <w:tabs>
          <w:tab w:val="left" w:pos="1200"/>
        </w:tabs>
        <w:rPr>
          <w:color w:val="000000"/>
          <w:sz w:val="28"/>
          <w:szCs w:val="28"/>
        </w:rPr>
      </w:pPr>
    </w:p>
    <w:tbl>
      <w:tblPr>
        <w:tblW w:w="9635" w:type="dxa"/>
        <w:jc w:val="center"/>
        <w:tblInd w:w="1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9"/>
        <w:gridCol w:w="4019"/>
        <w:gridCol w:w="5257"/>
      </w:tblGrid>
      <w:tr w:rsidR="00446437" w:rsidTr="0075485A">
        <w:trPr>
          <w:jc w:val="center"/>
        </w:trPr>
        <w:tc>
          <w:tcPr>
            <w:tcW w:w="9635" w:type="dxa"/>
            <w:gridSpan w:val="3"/>
            <w:tcBorders>
              <w:top w:val="single" w:sz="4" w:space="0" w:color="auto"/>
              <w:left w:val="single" w:sz="4" w:space="0" w:color="auto"/>
              <w:bottom w:val="single" w:sz="4" w:space="0" w:color="auto"/>
              <w:right w:val="single" w:sz="4" w:space="0" w:color="auto"/>
            </w:tcBorders>
            <w:hideMark/>
          </w:tcPr>
          <w:p w:rsidR="00446437" w:rsidRDefault="00446437">
            <w:pPr>
              <w:pStyle w:val="naisnod"/>
              <w:spacing w:before="0" w:after="0"/>
              <w:ind w:left="57" w:right="57"/>
              <w:rPr>
                <w:color w:val="000000"/>
                <w:sz w:val="28"/>
                <w:szCs w:val="28"/>
              </w:rPr>
            </w:pPr>
            <w:r>
              <w:rPr>
                <w:color w:val="000000"/>
                <w:sz w:val="28"/>
                <w:szCs w:val="28"/>
              </w:rPr>
              <w:t>VI. Sabiedrības līdzdalība un šīs līdzdalības rezultāti</w:t>
            </w:r>
          </w:p>
        </w:tc>
      </w:tr>
      <w:tr w:rsidR="00446437" w:rsidTr="0075485A">
        <w:trPr>
          <w:trHeight w:val="553"/>
          <w:jc w:val="center"/>
        </w:trPr>
        <w:tc>
          <w:tcPr>
            <w:tcW w:w="359" w:type="dxa"/>
            <w:tcBorders>
              <w:top w:val="single" w:sz="4" w:space="0" w:color="auto"/>
              <w:left w:val="single" w:sz="4" w:space="0" w:color="auto"/>
              <w:bottom w:val="single" w:sz="4" w:space="0" w:color="auto"/>
              <w:right w:val="single" w:sz="4" w:space="0" w:color="auto"/>
            </w:tcBorders>
            <w:hideMark/>
          </w:tcPr>
          <w:p w:rsidR="00446437" w:rsidRDefault="00446437">
            <w:pPr>
              <w:pStyle w:val="naiskr"/>
              <w:spacing w:before="0" w:after="0"/>
              <w:ind w:left="57" w:right="57"/>
              <w:rPr>
                <w:bCs/>
                <w:color w:val="000000"/>
                <w:sz w:val="28"/>
                <w:szCs w:val="28"/>
              </w:rPr>
            </w:pPr>
            <w:r>
              <w:rPr>
                <w:bCs/>
                <w:color w:val="000000"/>
                <w:sz w:val="28"/>
                <w:szCs w:val="28"/>
              </w:rPr>
              <w:t>1.</w:t>
            </w:r>
          </w:p>
        </w:tc>
        <w:tc>
          <w:tcPr>
            <w:tcW w:w="4019" w:type="dxa"/>
            <w:tcBorders>
              <w:top w:val="single" w:sz="4" w:space="0" w:color="auto"/>
              <w:left w:val="single" w:sz="4" w:space="0" w:color="auto"/>
              <w:bottom w:val="single" w:sz="4" w:space="0" w:color="auto"/>
              <w:right w:val="single" w:sz="4" w:space="0" w:color="auto"/>
            </w:tcBorders>
            <w:hideMark/>
          </w:tcPr>
          <w:p w:rsidR="00446437" w:rsidRDefault="00446437">
            <w:pPr>
              <w:pStyle w:val="naiskr"/>
              <w:tabs>
                <w:tab w:val="left" w:pos="170"/>
              </w:tabs>
              <w:spacing w:before="0" w:after="0"/>
              <w:ind w:left="57" w:right="57"/>
              <w:rPr>
                <w:color w:val="000000"/>
                <w:sz w:val="28"/>
                <w:szCs w:val="28"/>
              </w:rPr>
            </w:pPr>
            <w:r>
              <w:rPr>
                <w:color w:val="000000"/>
                <w:sz w:val="28"/>
                <w:szCs w:val="28"/>
              </w:rPr>
              <w:t>Sabiedrības informēšana par projekta izstrādes uzsākšanu</w:t>
            </w:r>
          </w:p>
        </w:tc>
        <w:tc>
          <w:tcPr>
            <w:tcW w:w="5257" w:type="dxa"/>
            <w:tcBorders>
              <w:top w:val="single" w:sz="4" w:space="0" w:color="auto"/>
              <w:left w:val="single" w:sz="4" w:space="0" w:color="auto"/>
              <w:bottom w:val="single" w:sz="4" w:space="0" w:color="auto"/>
              <w:right w:val="single" w:sz="4" w:space="0" w:color="auto"/>
            </w:tcBorders>
            <w:hideMark/>
          </w:tcPr>
          <w:p w:rsidR="00446437" w:rsidRDefault="00446437">
            <w:pPr>
              <w:rPr>
                <w:color w:val="000000"/>
                <w:sz w:val="28"/>
                <w:szCs w:val="28"/>
              </w:rPr>
            </w:pPr>
            <w:r>
              <w:rPr>
                <w:sz w:val="28"/>
                <w:szCs w:val="28"/>
              </w:rPr>
              <w:t>Projekta izstrādā tika iesaistīts aviācijas medicīnas centrs un aviācijas medicīnas eksperti, kuri šobrīd darbojas aviācijas medicīnas jomā.</w:t>
            </w:r>
          </w:p>
        </w:tc>
      </w:tr>
      <w:tr w:rsidR="00446437" w:rsidTr="0075485A">
        <w:trPr>
          <w:trHeight w:val="339"/>
          <w:jc w:val="center"/>
        </w:trPr>
        <w:tc>
          <w:tcPr>
            <w:tcW w:w="359" w:type="dxa"/>
            <w:tcBorders>
              <w:top w:val="single" w:sz="4" w:space="0" w:color="auto"/>
              <w:left w:val="single" w:sz="4" w:space="0" w:color="auto"/>
              <w:bottom w:val="single" w:sz="4" w:space="0" w:color="auto"/>
              <w:right w:val="single" w:sz="4" w:space="0" w:color="auto"/>
            </w:tcBorders>
            <w:hideMark/>
          </w:tcPr>
          <w:p w:rsidR="00446437" w:rsidRDefault="00446437">
            <w:pPr>
              <w:pStyle w:val="naiskr"/>
              <w:spacing w:before="0" w:after="0"/>
              <w:ind w:left="57" w:right="57"/>
              <w:rPr>
                <w:bCs/>
                <w:color w:val="000000"/>
                <w:sz w:val="28"/>
                <w:szCs w:val="28"/>
              </w:rPr>
            </w:pPr>
            <w:r>
              <w:rPr>
                <w:bCs/>
                <w:color w:val="000000"/>
                <w:sz w:val="28"/>
                <w:szCs w:val="28"/>
              </w:rPr>
              <w:t>2.</w:t>
            </w:r>
          </w:p>
        </w:tc>
        <w:tc>
          <w:tcPr>
            <w:tcW w:w="4019" w:type="dxa"/>
            <w:tcBorders>
              <w:top w:val="single" w:sz="4" w:space="0" w:color="auto"/>
              <w:left w:val="single" w:sz="4" w:space="0" w:color="auto"/>
              <w:bottom w:val="single" w:sz="4" w:space="0" w:color="auto"/>
              <w:right w:val="single" w:sz="4" w:space="0" w:color="auto"/>
            </w:tcBorders>
            <w:hideMark/>
          </w:tcPr>
          <w:p w:rsidR="00446437" w:rsidRDefault="00446437">
            <w:pPr>
              <w:pStyle w:val="naiskr"/>
              <w:spacing w:before="0" w:after="0"/>
              <w:ind w:left="57" w:right="57"/>
              <w:rPr>
                <w:color w:val="000000"/>
                <w:sz w:val="28"/>
                <w:szCs w:val="28"/>
              </w:rPr>
            </w:pPr>
            <w:r>
              <w:rPr>
                <w:color w:val="000000"/>
                <w:sz w:val="28"/>
                <w:szCs w:val="28"/>
              </w:rPr>
              <w:t xml:space="preserve">Sabiedrības līdzdalība projekta izstrādē </w:t>
            </w:r>
          </w:p>
        </w:tc>
        <w:tc>
          <w:tcPr>
            <w:tcW w:w="5257" w:type="dxa"/>
            <w:tcBorders>
              <w:top w:val="single" w:sz="4" w:space="0" w:color="auto"/>
              <w:left w:val="single" w:sz="4" w:space="0" w:color="auto"/>
              <w:bottom w:val="single" w:sz="4" w:space="0" w:color="auto"/>
              <w:right w:val="single" w:sz="4" w:space="0" w:color="auto"/>
            </w:tcBorders>
            <w:hideMark/>
          </w:tcPr>
          <w:p w:rsidR="00446437" w:rsidRDefault="00446437">
            <w:pPr>
              <w:pStyle w:val="naiskr"/>
              <w:spacing w:before="0" w:after="0"/>
              <w:ind w:right="57"/>
              <w:jc w:val="both"/>
              <w:rPr>
                <w:color w:val="000000"/>
                <w:sz w:val="28"/>
                <w:szCs w:val="28"/>
              </w:rPr>
            </w:pPr>
            <w:r>
              <w:rPr>
                <w:sz w:val="28"/>
                <w:szCs w:val="28"/>
              </w:rPr>
              <w:t>Projekta izstrādes gaitā notikušas konsultācijas ar aviācijas medicīnas centru un aviācijas medicīnas ekspertiem.</w:t>
            </w:r>
          </w:p>
        </w:tc>
      </w:tr>
      <w:tr w:rsidR="00446437" w:rsidTr="0075485A">
        <w:trPr>
          <w:trHeight w:val="375"/>
          <w:jc w:val="center"/>
        </w:trPr>
        <w:tc>
          <w:tcPr>
            <w:tcW w:w="359" w:type="dxa"/>
            <w:tcBorders>
              <w:top w:val="single" w:sz="4" w:space="0" w:color="auto"/>
              <w:left w:val="single" w:sz="4" w:space="0" w:color="auto"/>
              <w:bottom w:val="single" w:sz="4" w:space="0" w:color="auto"/>
              <w:right w:val="single" w:sz="4" w:space="0" w:color="auto"/>
            </w:tcBorders>
            <w:hideMark/>
          </w:tcPr>
          <w:p w:rsidR="00446437" w:rsidRDefault="00446437">
            <w:pPr>
              <w:pStyle w:val="naiskr"/>
              <w:spacing w:before="0" w:after="0"/>
              <w:ind w:left="57" w:right="57"/>
              <w:rPr>
                <w:bCs/>
                <w:color w:val="000000"/>
                <w:sz w:val="28"/>
                <w:szCs w:val="28"/>
              </w:rPr>
            </w:pPr>
            <w:r>
              <w:rPr>
                <w:bCs/>
                <w:color w:val="000000"/>
                <w:sz w:val="28"/>
                <w:szCs w:val="28"/>
              </w:rPr>
              <w:t>3.</w:t>
            </w:r>
          </w:p>
        </w:tc>
        <w:tc>
          <w:tcPr>
            <w:tcW w:w="4019" w:type="dxa"/>
            <w:tcBorders>
              <w:top w:val="single" w:sz="4" w:space="0" w:color="auto"/>
              <w:left w:val="single" w:sz="4" w:space="0" w:color="auto"/>
              <w:bottom w:val="single" w:sz="4" w:space="0" w:color="auto"/>
              <w:right w:val="single" w:sz="4" w:space="0" w:color="auto"/>
            </w:tcBorders>
            <w:hideMark/>
          </w:tcPr>
          <w:p w:rsidR="00446437" w:rsidRDefault="00446437">
            <w:pPr>
              <w:pStyle w:val="naiskr"/>
              <w:spacing w:before="0" w:after="0"/>
              <w:ind w:left="57" w:right="57"/>
              <w:rPr>
                <w:color w:val="000000"/>
                <w:sz w:val="28"/>
                <w:szCs w:val="28"/>
              </w:rPr>
            </w:pPr>
            <w:r>
              <w:rPr>
                <w:color w:val="000000"/>
                <w:sz w:val="28"/>
                <w:szCs w:val="28"/>
              </w:rPr>
              <w:t xml:space="preserve">Sabiedrības līdzdalības rezultāti </w:t>
            </w:r>
          </w:p>
        </w:tc>
        <w:tc>
          <w:tcPr>
            <w:tcW w:w="5257" w:type="dxa"/>
            <w:tcBorders>
              <w:top w:val="single" w:sz="4" w:space="0" w:color="auto"/>
              <w:left w:val="single" w:sz="4" w:space="0" w:color="auto"/>
              <w:bottom w:val="single" w:sz="4" w:space="0" w:color="auto"/>
              <w:right w:val="single" w:sz="4" w:space="0" w:color="auto"/>
            </w:tcBorders>
            <w:hideMark/>
          </w:tcPr>
          <w:p w:rsidR="00446437" w:rsidRDefault="00446437">
            <w:pPr>
              <w:pStyle w:val="naiskr"/>
              <w:spacing w:before="0" w:after="0"/>
              <w:ind w:left="57" w:right="57"/>
              <w:jc w:val="both"/>
              <w:rPr>
                <w:color w:val="000000"/>
                <w:sz w:val="28"/>
                <w:szCs w:val="28"/>
              </w:rPr>
            </w:pPr>
            <w:r>
              <w:rPr>
                <w:sz w:val="28"/>
                <w:szCs w:val="28"/>
              </w:rPr>
              <w:t>Projekts saskaņots ar aviācijas medicīnas centru un aviācijas medicīnas ekspertiem.</w:t>
            </w:r>
          </w:p>
        </w:tc>
      </w:tr>
      <w:tr w:rsidR="00446437" w:rsidTr="0075485A">
        <w:trPr>
          <w:trHeight w:val="397"/>
          <w:jc w:val="center"/>
        </w:trPr>
        <w:tc>
          <w:tcPr>
            <w:tcW w:w="359" w:type="dxa"/>
            <w:tcBorders>
              <w:top w:val="single" w:sz="4" w:space="0" w:color="auto"/>
              <w:left w:val="single" w:sz="4" w:space="0" w:color="auto"/>
              <w:bottom w:val="single" w:sz="4" w:space="0" w:color="auto"/>
              <w:right w:val="single" w:sz="4" w:space="0" w:color="auto"/>
            </w:tcBorders>
            <w:hideMark/>
          </w:tcPr>
          <w:p w:rsidR="00446437" w:rsidRDefault="00446437">
            <w:pPr>
              <w:pStyle w:val="naiskr"/>
              <w:spacing w:before="0" w:after="0"/>
              <w:ind w:left="57" w:right="57"/>
              <w:rPr>
                <w:bCs/>
                <w:color w:val="000000"/>
                <w:sz w:val="28"/>
                <w:szCs w:val="28"/>
              </w:rPr>
            </w:pPr>
            <w:r>
              <w:rPr>
                <w:bCs/>
                <w:color w:val="000000"/>
                <w:sz w:val="28"/>
                <w:szCs w:val="28"/>
              </w:rPr>
              <w:t>4.</w:t>
            </w:r>
          </w:p>
        </w:tc>
        <w:tc>
          <w:tcPr>
            <w:tcW w:w="4019" w:type="dxa"/>
            <w:tcBorders>
              <w:top w:val="single" w:sz="4" w:space="0" w:color="auto"/>
              <w:left w:val="single" w:sz="4" w:space="0" w:color="auto"/>
              <w:bottom w:val="single" w:sz="4" w:space="0" w:color="auto"/>
              <w:right w:val="single" w:sz="4" w:space="0" w:color="auto"/>
            </w:tcBorders>
            <w:hideMark/>
          </w:tcPr>
          <w:p w:rsidR="00446437" w:rsidRDefault="00446437">
            <w:pPr>
              <w:pStyle w:val="naiskr"/>
              <w:spacing w:before="0" w:after="0"/>
              <w:ind w:left="57" w:right="57"/>
              <w:rPr>
                <w:color w:val="000000"/>
                <w:sz w:val="28"/>
                <w:szCs w:val="28"/>
              </w:rPr>
            </w:pPr>
            <w:r>
              <w:rPr>
                <w:color w:val="000000"/>
                <w:sz w:val="28"/>
                <w:szCs w:val="28"/>
              </w:rPr>
              <w:t>Saeimas un ekspertu līdzdalība</w:t>
            </w:r>
          </w:p>
        </w:tc>
        <w:tc>
          <w:tcPr>
            <w:tcW w:w="5257" w:type="dxa"/>
            <w:tcBorders>
              <w:top w:val="single" w:sz="4" w:space="0" w:color="auto"/>
              <w:left w:val="single" w:sz="4" w:space="0" w:color="auto"/>
              <w:bottom w:val="single" w:sz="4" w:space="0" w:color="auto"/>
              <w:right w:val="single" w:sz="4" w:space="0" w:color="auto"/>
            </w:tcBorders>
            <w:hideMark/>
          </w:tcPr>
          <w:p w:rsidR="00446437" w:rsidRDefault="00446437">
            <w:pPr>
              <w:pStyle w:val="naiskr"/>
              <w:spacing w:before="0" w:after="0"/>
              <w:ind w:left="57" w:right="57"/>
              <w:jc w:val="both"/>
              <w:rPr>
                <w:color w:val="000000"/>
                <w:sz w:val="28"/>
                <w:szCs w:val="28"/>
              </w:rPr>
            </w:pPr>
            <w:r>
              <w:rPr>
                <w:color w:val="000000"/>
                <w:sz w:val="28"/>
                <w:szCs w:val="28"/>
              </w:rPr>
              <w:t>Projekts šo jomu neskar</w:t>
            </w:r>
          </w:p>
        </w:tc>
      </w:tr>
      <w:tr w:rsidR="00446437" w:rsidTr="0075485A">
        <w:trPr>
          <w:trHeight w:val="476"/>
          <w:jc w:val="center"/>
        </w:trPr>
        <w:tc>
          <w:tcPr>
            <w:tcW w:w="359" w:type="dxa"/>
            <w:tcBorders>
              <w:top w:val="single" w:sz="4" w:space="0" w:color="auto"/>
              <w:left w:val="single" w:sz="4" w:space="0" w:color="auto"/>
              <w:bottom w:val="single" w:sz="4" w:space="0" w:color="auto"/>
              <w:right w:val="single" w:sz="4" w:space="0" w:color="auto"/>
            </w:tcBorders>
            <w:hideMark/>
          </w:tcPr>
          <w:p w:rsidR="00446437" w:rsidRDefault="00446437">
            <w:pPr>
              <w:pStyle w:val="naiskr"/>
              <w:spacing w:before="0" w:after="0"/>
              <w:ind w:left="57" w:right="57"/>
              <w:rPr>
                <w:bCs/>
                <w:color w:val="000000"/>
                <w:sz w:val="28"/>
                <w:szCs w:val="28"/>
              </w:rPr>
            </w:pPr>
            <w:r>
              <w:rPr>
                <w:bCs/>
                <w:color w:val="000000"/>
                <w:sz w:val="28"/>
                <w:szCs w:val="28"/>
              </w:rPr>
              <w:t>5.</w:t>
            </w:r>
          </w:p>
        </w:tc>
        <w:tc>
          <w:tcPr>
            <w:tcW w:w="4019" w:type="dxa"/>
            <w:tcBorders>
              <w:top w:val="single" w:sz="4" w:space="0" w:color="auto"/>
              <w:left w:val="single" w:sz="4" w:space="0" w:color="auto"/>
              <w:bottom w:val="single" w:sz="4" w:space="0" w:color="auto"/>
              <w:right w:val="single" w:sz="4" w:space="0" w:color="auto"/>
            </w:tcBorders>
          </w:tcPr>
          <w:p w:rsidR="00446437" w:rsidRDefault="00446437" w:rsidP="0075485A">
            <w:pPr>
              <w:pStyle w:val="naiskr"/>
              <w:spacing w:before="0" w:after="0"/>
              <w:ind w:left="57" w:right="57"/>
              <w:rPr>
                <w:color w:val="000000"/>
                <w:sz w:val="28"/>
                <w:szCs w:val="28"/>
              </w:rPr>
            </w:pPr>
            <w:r>
              <w:rPr>
                <w:color w:val="000000"/>
                <w:sz w:val="28"/>
                <w:szCs w:val="28"/>
              </w:rPr>
              <w:t>Cita informācija</w:t>
            </w:r>
          </w:p>
        </w:tc>
        <w:tc>
          <w:tcPr>
            <w:tcW w:w="5257" w:type="dxa"/>
            <w:tcBorders>
              <w:top w:val="single" w:sz="4" w:space="0" w:color="auto"/>
              <w:left w:val="single" w:sz="4" w:space="0" w:color="auto"/>
              <w:bottom w:val="single" w:sz="4" w:space="0" w:color="auto"/>
              <w:right w:val="single" w:sz="4" w:space="0" w:color="auto"/>
            </w:tcBorders>
            <w:hideMark/>
          </w:tcPr>
          <w:p w:rsidR="00446437" w:rsidRDefault="00446437">
            <w:pPr>
              <w:pStyle w:val="naiskr"/>
              <w:spacing w:before="0" w:after="0"/>
              <w:ind w:left="57" w:right="57"/>
              <w:jc w:val="both"/>
              <w:rPr>
                <w:color w:val="000000"/>
                <w:sz w:val="28"/>
                <w:szCs w:val="28"/>
              </w:rPr>
            </w:pPr>
            <w:r>
              <w:rPr>
                <w:iCs/>
                <w:color w:val="000000"/>
                <w:sz w:val="28"/>
                <w:szCs w:val="28"/>
              </w:rPr>
              <w:t>Nav</w:t>
            </w:r>
          </w:p>
        </w:tc>
      </w:tr>
    </w:tbl>
    <w:p w:rsidR="00446437" w:rsidRDefault="00446437" w:rsidP="00446437">
      <w:pPr>
        <w:rPr>
          <w:color w:val="000000"/>
          <w:sz w:val="28"/>
          <w:szCs w:val="28"/>
        </w:rPr>
      </w:pPr>
    </w:p>
    <w:tbl>
      <w:tblPr>
        <w:tblW w:w="5507" w:type="pct"/>
        <w:tblInd w:w="-39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726"/>
        <w:gridCol w:w="3888"/>
        <w:gridCol w:w="5443"/>
      </w:tblGrid>
      <w:tr w:rsidR="00446437" w:rsidTr="00DE34FF">
        <w:tc>
          <w:tcPr>
            <w:tcW w:w="5000" w:type="pct"/>
            <w:gridSpan w:val="3"/>
            <w:tcBorders>
              <w:top w:val="outset" w:sz="6" w:space="0" w:color="000000"/>
              <w:left w:val="outset" w:sz="6" w:space="0" w:color="000000"/>
              <w:bottom w:val="outset" w:sz="6" w:space="0" w:color="000000"/>
              <w:right w:val="outset" w:sz="6" w:space="0" w:color="000000"/>
            </w:tcBorders>
            <w:hideMark/>
          </w:tcPr>
          <w:p w:rsidR="00446437" w:rsidRDefault="00446437">
            <w:pPr>
              <w:jc w:val="center"/>
              <w:rPr>
                <w:b/>
                <w:bCs/>
                <w:color w:val="000000"/>
                <w:sz w:val="28"/>
                <w:szCs w:val="28"/>
              </w:rPr>
            </w:pPr>
            <w:r>
              <w:rPr>
                <w:b/>
                <w:bCs/>
                <w:color w:val="000000"/>
                <w:sz w:val="28"/>
                <w:szCs w:val="28"/>
              </w:rPr>
              <w:t>VII. Tiesību akta projekta izpildes nodrošināšana un tās ietekme uz institūcijām</w:t>
            </w:r>
          </w:p>
        </w:tc>
      </w:tr>
      <w:tr w:rsidR="00446437" w:rsidTr="00DE34FF">
        <w:tc>
          <w:tcPr>
            <w:tcW w:w="361" w:type="pct"/>
            <w:tcBorders>
              <w:top w:val="outset" w:sz="6" w:space="0" w:color="000000"/>
              <w:left w:val="outset" w:sz="6" w:space="0" w:color="000000"/>
              <w:bottom w:val="outset" w:sz="6" w:space="0" w:color="000000"/>
              <w:right w:val="outset" w:sz="6" w:space="0" w:color="000000"/>
            </w:tcBorders>
            <w:hideMark/>
          </w:tcPr>
          <w:p w:rsidR="00446437" w:rsidRDefault="00446437">
            <w:pPr>
              <w:rPr>
                <w:color w:val="000000"/>
                <w:sz w:val="28"/>
                <w:szCs w:val="28"/>
              </w:rPr>
            </w:pPr>
            <w:r>
              <w:rPr>
                <w:color w:val="000000"/>
                <w:sz w:val="28"/>
                <w:szCs w:val="28"/>
              </w:rPr>
              <w:t>1.</w:t>
            </w:r>
          </w:p>
        </w:tc>
        <w:tc>
          <w:tcPr>
            <w:tcW w:w="1933" w:type="pct"/>
            <w:tcBorders>
              <w:top w:val="outset" w:sz="6" w:space="0" w:color="000000"/>
              <w:left w:val="outset" w:sz="6" w:space="0" w:color="000000"/>
              <w:bottom w:val="outset" w:sz="6" w:space="0" w:color="000000"/>
              <w:right w:val="outset" w:sz="6" w:space="0" w:color="000000"/>
            </w:tcBorders>
            <w:hideMark/>
          </w:tcPr>
          <w:p w:rsidR="00446437" w:rsidRDefault="00446437">
            <w:pPr>
              <w:rPr>
                <w:color w:val="000000"/>
                <w:sz w:val="28"/>
                <w:szCs w:val="28"/>
              </w:rPr>
            </w:pPr>
            <w:r>
              <w:rPr>
                <w:color w:val="000000"/>
                <w:sz w:val="28"/>
                <w:szCs w:val="28"/>
              </w:rPr>
              <w:t xml:space="preserve">Projekta izpildē iesaistītās </w:t>
            </w:r>
            <w:r>
              <w:rPr>
                <w:color w:val="000000"/>
                <w:sz w:val="28"/>
                <w:szCs w:val="28"/>
              </w:rPr>
              <w:lastRenderedPageBreak/>
              <w:t>institūcijas</w:t>
            </w:r>
          </w:p>
        </w:tc>
        <w:tc>
          <w:tcPr>
            <w:tcW w:w="2705" w:type="pct"/>
            <w:tcBorders>
              <w:top w:val="outset" w:sz="6" w:space="0" w:color="000000"/>
              <w:left w:val="outset" w:sz="6" w:space="0" w:color="000000"/>
              <w:bottom w:val="outset" w:sz="6" w:space="0" w:color="000000"/>
              <w:right w:val="outset" w:sz="6" w:space="0" w:color="000000"/>
            </w:tcBorders>
            <w:hideMark/>
          </w:tcPr>
          <w:p w:rsidR="00446437" w:rsidRDefault="00446437">
            <w:pPr>
              <w:jc w:val="both"/>
              <w:rPr>
                <w:color w:val="000000"/>
                <w:sz w:val="28"/>
                <w:szCs w:val="28"/>
              </w:rPr>
            </w:pPr>
            <w:r>
              <w:rPr>
                <w:color w:val="000000"/>
                <w:sz w:val="28"/>
                <w:szCs w:val="28"/>
              </w:rPr>
              <w:lastRenderedPageBreak/>
              <w:t xml:space="preserve">Projekta izpildi nodrošinās valsts aģentūra </w:t>
            </w:r>
            <w:r>
              <w:rPr>
                <w:color w:val="000000"/>
                <w:sz w:val="28"/>
                <w:szCs w:val="28"/>
              </w:rPr>
              <w:lastRenderedPageBreak/>
              <w:t>„Civilās aviācijas aģentūra”.</w:t>
            </w:r>
          </w:p>
        </w:tc>
      </w:tr>
      <w:tr w:rsidR="00446437" w:rsidTr="00DE34FF">
        <w:tc>
          <w:tcPr>
            <w:tcW w:w="361" w:type="pct"/>
            <w:tcBorders>
              <w:top w:val="outset" w:sz="6" w:space="0" w:color="000000"/>
              <w:left w:val="outset" w:sz="6" w:space="0" w:color="000000"/>
              <w:bottom w:val="outset" w:sz="6" w:space="0" w:color="000000"/>
              <w:right w:val="outset" w:sz="6" w:space="0" w:color="000000"/>
            </w:tcBorders>
            <w:hideMark/>
          </w:tcPr>
          <w:p w:rsidR="00446437" w:rsidRDefault="00446437">
            <w:pPr>
              <w:rPr>
                <w:color w:val="000000"/>
                <w:sz w:val="28"/>
                <w:szCs w:val="28"/>
              </w:rPr>
            </w:pPr>
            <w:r>
              <w:rPr>
                <w:color w:val="000000"/>
                <w:sz w:val="28"/>
                <w:szCs w:val="28"/>
              </w:rPr>
              <w:lastRenderedPageBreak/>
              <w:t>2.</w:t>
            </w:r>
          </w:p>
        </w:tc>
        <w:tc>
          <w:tcPr>
            <w:tcW w:w="1933" w:type="pct"/>
            <w:tcBorders>
              <w:top w:val="outset" w:sz="6" w:space="0" w:color="000000"/>
              <w:left w:val="outset" w:sz="6" w:space="0" w:color="000000"/>
              <w:bottom w:val="outset" w:sz="6" w:space="0" w:color="000000"/>
              <w:right w:val="outset" w:sz="6" w:space="0" w:color="000000"/>
            </w:tcBorders>
            <w:hideMark/>
          </w:tcPr>
          <w:p w:rsidR="00446437" w:rsidRDefault="00446437">
            <w:pPr>
              <w:rPr>
                <w:color w:val="000000"/>
                <w:sz w:val="28"/>
                <w:szCs w:val="28"/>
              </w:rPr>
            </w:pPr>
            <w:r>
              <w:rPr>
                <w:color w:val="000000"/>
                <w:sz w:val="28"/>
                <w:szCs w:val="28"/>
              </w:rPr>
              <w:t>Projekta izpildes ietekme uz pārvaldes funkcijām</w:t>
            </w:r>
          </w:p>
        </w:tc>
        <w:tc>
          <w:tcPr>
            <w:tcW w:w="2705" w:type="pct"/>
            <w:tcBorders>
              <w:top w:val="outset" w:sz="6" w:space="0" w:color="000000"/>
              <w:left w:val="outset" w:sz="6" w:space="0" w:color="000000"/>
              <w:bottom w:val="outset" w:sz="6" w:space="0" w:color="000000"/>
              <w:right w:val="outset" w:sz="6" w:space="0" w:color="000000"/>
            </w:tcBorders>
            <w:hideMark/>
          </w:tcPr>
          <w:p w:rsidR="00446437" w:rsidRDefault="00446437">
            <w:pPr>
              <w:jc w:val="both"/>
              <w:rPr>
                <w:color w:val="000000"/>
                <w:sz w:val="28"/>
                <w:szCs w:val="28"/>
              </w:rPr>
            </w:pPr>
            <w:r>
              <w:rPr>
                <w:iCs/>
                <w:sz w:val="28"/>
                <w:szCs w:val="28"/>
              </w:rPr>
              <w:t>Projekts šo jomu neskar.</w:t>
            </w:r>
          </w:p>
        </w:tc>
      </w:tr>
      <w:tr w:rsidR="00446437" w:rsidTr="00DE34FF">
        <w:tc>
          <w:tcPr>
            <w:tcW w:w="361" w:type="pct"/>
            <w:tcBorders>
              <w:top w:val="outset" w:sz="6" w:space="0" w:color="000000"/>
              <w:left w:val="outset" w:sz="6" w:space="0" w:color="000000"/>
              <w:bottom w:val="outset" w:sz="6" w:space="0" w:color="000000"/>
              <w:right w:val="outset" w:sz="6" w:space="0" w:color="000000"/>
            </w:tcBorders>
            <w:hideMark/>
          </w:tcPr>
          <w:p w:rsidR="00446437" w:rsidRDefault="00446437">
            <w:pPr>
              <w:rPr>
                <w:color w:val="000000"/>
                <w:sz w:val="28"/>
                <w:szCs w:val="28"/>
              </w:rPr>
            </w:pPr>
            <w:r>
              <w:rPr>
                <w:color w:val="000000"/>
                <w:sz w:val="28"/>
                <w:szCs w:val="28"/>
              </w:rPr>
              <w:t>3.</w:t>
            </w:r>
          </w:p>
        </w:tc>
        <w:tc>
          <w:tcPr>
            <w:tcW w:w="1933" w:type="pct"/>
            <w:tcBorders>
              <w:top w:val="outset" w:sz="6" w:space="0" w:color="000000"/>
              <w:left w:val="outset" w:sz="6" w:space="0" w:color="000000"/>
              <w:bottom w:val="outset" w:sz="6" w:space="0" w:color="000000"/>
              <w:right w:val="outset" w:sz="6" w:space="0" w:color="000000"/>
            </w:tcBorders>
            <w:hideMark/>
          </w:tcPr>
          <w:p w:rsidR="00446437" w:rsidRDefault="00446437">
            <w:pPr>
              <w:rPr>
                <w:color w:val="000000"/>
                <w:sz w:val="28"/>
                <w:szCs w:val="28"/>
              </w:rPr>
            </w:pPr>
            <w:r>
              <w:rPr>
                <w:color w:val="000000"/>
                <w:sz w:val="28"/>
                <w:szCs w:val="28"/>
              </w:rPr>
              <w:t>Projekta izpildes ietekme uz pārvaldes institucionālo struktūru.</w:t>
            </w:r>
          </w:p>
          <w:p w:rsidR="00446437" w:rsidRDefault="00446437">
            <w:pPr>
              <w:rPr>
                <w:color w:val="000000"/>
                <w:sz w:val="28"/>
                <w:szCs w:val="28"/>
              </w:rPr>
            </w:pPr>
            <w:r>
              <w:rPr>
                <w:color w:val="000000"/>
                <w:sz w:val="28"/>
                <w:szCs w:val="28"/>
              </w:rPr>
              <w:t>Jaunu institūciju izveide</w:t>
            </w:r>
          </w:p>
        </w:tc>
        <w:tc>
          <w:tcPr>
            <w:tcW w:w="2705" w:type="pct"/>
            <w:tcBorders>
              <w:top w:val="outset" w:sz="6" w:space="0" w:color="000000"/>
              <w:left w:val="outset" w:sz="6" w:space="0" w:color="000000"/>
              <w:bottom w:val="outset" w:sz="6" w:space="0" w:color="000000"/>
              <w:right w:val="outset" w:sz="6" w:space="0" w:color="000000"/>
            </w:tcBorders>
            <w:hideMark/>
          </w:tcPr>
          <w:p w:rsidR="00446437" w:rsidRDefault="00446437">
            <w:pPr>
              <w:jc w:val="both"/>
              <w:rPr>
                <w:color w:val="000000"/>
                <w:sz w:val="28"/>
                <w:szCs w:val="28"/>
              </w:rPr>
            </w:pPr>
            <w:r>
              <w:rPr>
                <w:iCs/>
                <w:sz w:val="28"/>
                <w:szCs w:val="28"/>
              </w:rPr>
              <w:t>Projekts šo jomu neskar.</w:t>
            </w:r>
          </w:p>
        </w:tc>
      </w:tr>
      <w:tr w:rsidR="00446437" w:rsidTr="00DE34FF">
        <w:tc>
          <w:tcPr>
            <w:tcW w:w="361" w:type="pct"/>
            <w:tcBorders>
              <w:top w:val="outset" w:sz="6" w:space="0" w:color="000000"/>
              <w:left w:val="outset" w:sz="6" w:space="0" w:color="000000"/>
              <w:bottom w:val="outset" w:sz="6" w:space="0" w:color="000000"/>
              <w:right w:val="outset" w:sz="6" w:space="0" w:color="000000"/>
            </w:tcBorders>
            <w:hideMark/>
          </w:tcPr>
          <w:p w:rsidR="00446437" w:rsidRDefault="00446437">
            <w:pPr>
              <w:rPr>
                <w:color w:val="000000"/>
                <w:sz w:val="28"/>
                <w:szCs w:val="28"/>
              </w:rPr>
            </w:pPr>
            <w:r>
              <w:rPr>
                <w:color w:val="000000"/>
                <w:sz w:val="28"/>
                <w:szCs w:val="28"/>
              </w:rPr>
              <w:t>4.</w:t>
            </w:r>
          </w:p>
        </w:tc>
        <w:tc>
          <w:tcPr>
            <w:tcW w:w="1933" w:type="pct"/>
            <w:tcBorders>
              <w:top w:val="outset" w:sz="6" w:space="0" w:color="000000"/>
              <w:left w:val="outset" w:sz="6" w:space="0" w:color="000000"/>
              <w:bottom w:val="outset" w:sz="6" w:space="0" w:color="000000"/>
              <w:right w:val="outset" w:sz="6" w:space="0" w:color="000000"/>
            </w:tcBorders>
            <w:hideMark/>
          </w:tcPr>
          <w:p w:rsidR="00446437" w:rsidRDefault="00446437">
            <w:pPr>
              <w:rPr>
                <w:color w:val="000000"/>
                <w:sz w:val="28"/>
                <w:szCs w:val="28"/>
              </w:rPr>
            </w:pPr>
            <w:r>
              <w:rPr>
                <w:color w:val="000000"/>
                <w:sz w:val="28"/>
                <w:szCs w:val="28"/>
              </w:rPr>
              <w:t>Projekta izpildes ietekme uz pārvaldes institucionālo struktūru.</w:t>
            </w:r>
          </w:p>
          <w:p w:rsidR="00446437" w:rsidRDefault="00446437">
            <w:pPr>
              <w:rPr>
                <w:color w:val="000000"/>
                <w:sz w:val="28"/>
                <w:szCs w:val="28"/>
              </w:rPr>
            </w:pPr>
            <w:r>
              <w:rPr>
                <w:color w:val="000000"/>
                <w:sz w:val="28"/>
                <w:szCs w:val="28"/>
              </w:rPr>
              <w:t>Esošu institūciju likvidācija</w:t>
            </w:r>
          </w:p>
        </w:tc>
        <w:tc>
          <w:tcPr>
            <w:tcW w:w="2705" w:type="pct"/>
            <w:tcBorders>
              <w:top w:val="outset" w:sz="6" w:space="0" w:color="000000"/>
              <w:left w:val="outset" w:sz="6" w:space="0" w:color="000000"/>
              <w:bottom w:val="outset" w:sz="6" w:space="0" w:color="000000"/>
              <w:right w:val="outset" w:sz="6" w:space="0" w:color="000000"/>
            </w:tcBorders>
            <w:hideMark/>
          </w:tcPr>
          <w:p w:rsidR="00446437" w:rsidRDefault="00446437">
            <w:pPr>
              <w:rPr>
                <w:color w:val="000000"/>
                <w:sz w:val="28"/>
                <w:szCs w:val="28"/>
              </w:rPr>
            </w:pPr>
            <w:r>
              <w:rPr>
                <w:iCs/>
                <w:sz w:val="28"/>
                <w:szCs w:val="28"/>
              </w:rPr>
              <w:t>Projekts šo jomu neskar.</w:t>
            </w:r>
          </w:p>
        </w:tc>
      </w:tr>
      <w:tr w:rsidR="00446437" w:rsidTr="00DE34FF">
        <w:tc>
          <w:tcPr>
            <w:tcW w:w="361" w:type="pct"/>
            <w:tcBorders>
              <w:top w:val="outset" w:sz="6" w:space="0" w:color="000000"/>
              <w:left w:val="outset" w:sz="6" w:space="0" w:color="000000"/>
              <w:bottom w:val="outset" w:sz="6" w:space="0" w:color="000000"/>
              <w:right w:val="outset" w:sz="6" w:space="0" w:color="000000"/>
            </w:tcBorders>
            <w:hideMark/>
          </w:tcPr>
          <w:p w:rsidR="00446437" w:rsidRDefault="00446437">
            <w:pPr>
              <w:rPr>
                <w:color w:val="000000"/>
                <w:sz w:val="28"/>
                <w:szCs w:val="28"/>
              </w:rPr>
            </w:pPr>
            <w:r>
              <w:rPr>
                <w:color w:val="000000"/>
                <w:sz w:val="28"/>
                <w:szCs w:val="28"/>
              </w:rPr>
              <w:t>5.</w:t>
            </w:r>
          </w:p>
        </w:tc>
        <w:tc>
          <w:tcPr>
            <w:tcW w:w="1933" w:type="pct"/>
            <w:tcBorders>
              <w:top w:val="outset" w:sz="6" w:space="0" w:color="000000"/>
              <w:left w:val="outset" w:sz="6" w:space="0" w:color="000000"/>
              <w:bottom w:val="outset" w:sz="6" w:space="0" w:color="000000"/>
              <w:right w:val="outset" w:sz="6" w:space="0" w:color="000000"/>
            </w:tcBorders>
            <w:hideMark/>
          </w:tcPr>
          <w:p w:rsidR="00446437" w:rsidRDefault="00446437">
            <w:pPr>
              <w:rPr>
                <w:color w:val="000000"/>
                <w:sz w:val="28"/>
                <w:szCs w:val="28"/>
              </w:rPr>
            </w:pPr>
            <w:r>
              <w:rPr>
                <w:color w:val="000000"/>
                <w:sz w:val="28"/>
                <w:szCs w:val="28"/>
              </w:rPr>
              <w:t>Projekta izpildes ietekme uz pārvaldes institucionālo struktūru.</w:t>
            </w:r>
          </w:p>
          <w:p w:rsidR="00446437" w:rsidRDefault="00446437">
            <w:pPr>
              <w:rPr>
                <w:color w:val="000000"/>
                <w:sz w:val="28"/>
                <w:szCs w:val="28"/>
              </w:rPr>
            </w:pPr>
            <w:r>
              <w:rPr>
                <w:color w:val="000000"/>
                <w:sz w:val="28"/>
                <w:szCs w:val="28"/>
              </w:rPr>
              <w:t>Esošu institūciju reorganizācija</w:t>
            </w:r>
          </w:p>
        </w:tc>
        <w:tc>
          <w:tcPr>
            <w:tcW w:w="2705" w:type="pct"/>
            <w:tcBorders>
              <w:top w:val="outset" w:sz="6" w:space="0" w:color="000000"/>
              <w:left w:val="outset" w:sz="6" w:space="0" w:color="000000"/>
              <w:bottom w:val="outset" w:sz="6" w:space="0" w:color="000000"/>
              <w:right w:val="outset" w:sz="6" w:space="0" w:color="000000"/>
            </w:tcBorders>
            <w:hideMark/>
          </w:tcPr>
          <w:p w:rsidR="00446437" w:rsidRDefault="00446437">
            <w:pPr>
              <w:rPr>
                <w:color w:val="000000"/>
                <w:sz w:val="28"/>
                <w:szCs w:val="28"/>
              </w:rPr>
            </w:pPr>
            <w:r>
              <w:rPr>
                <w:iCs/>
                <w:sz w:val="28"/>
                <w:szCs w:val="28"/>
              </w:rPr>
              <w:t>Projekts šo jomu neskar.</w:t>
            </w:r>
          </w:p>
        </w:tc>
      </w:tr>
      <w:tr w:rsidR="00446437" w:rsidTr="00DE34FF">
        <w:tc>
          <w:tcPr>
            <w:tcW w:w="361" w:type="pct"/>
            <w:tcBorders>
              <w:top w:val="outset" w:sz="6" w:space="0" w:color="000000"/>
              <w:left w:val="outset" w:sz="6" w:space="0" w:color="000000"/>
              <w:bottom w:val="outset" w:sz="6" w:space="0" w:color="000000"/>
              <w:right w:val="outset" w:sz="6" w:space="0" w:color="000000"/>
            </w:tcBorders>
            <w:hideMark/>
          </w:tcPr>
          <w:p w:rsidR="00446437" w:rsidRDefault="00446437">
            <w:pPr>
              <w:rPr>
                <w:color w:val="000000"/>
                <w:sz w:val="28"/>
                <w:szCs w:val="28"/>
              </w:rPr>
            </w:pPr>
            <w:r>
              <w:rPr>
                <w:color w:val="000000"/>
                <w:sz w:val="28"/>
                <w:szCs w:val="28"/>
              </w:rPr>
              <w:t>6.</w:t>
            </w:r>
          </w:p>
        </w:tc>
        <w:tc>
          <w:tcPr>
            <w:tcW w:w="1933" w:type="pct"/>
            <w:tcBorders>
              <w:top w:val="outset" w:sz="6" w:space="0" w:color="000000"/>
              <w:left w:val="outset" w:sz="6" w:space="0" w:color="000000"/>
              <w:bottom w:val="outset" w:sz="6" w:space="0" w:color="000000"/>
              <w:right w:val="outset" w:sz="6" w:space="0" w:color="000000"/>
            </w:tcBorders>
            <w:hideMark/>
          </w:tcPr>
          <w:p w:rsidR="00446437" w:rsidRDefault="00446437">
            <w:pPr>
              <w:rPr>
                <w:color w:val="000000"/>
                <w:sz w:val="28"/>
                <w:szCs w:val="28"/>
              </w:rPr>
            </w:pPr>
            <w:r>
              <w:rPr>
                <w:color w:val="000000"/>
                <w:sz w:val="28"/>
                <w:szCs w:val="28"/>
              </w:rPr>
              <w:t>Cita informācija</w:t>
            </w:r>
          </w:p>
        </w:tc>
        <w:tc>
          <w:tcPr>
            <w:tcW w:w="2705" w:type="pct"/>
            <w:tcBorders>
              <w:top w:val="outset" w:sz="6" w:space="0" w:color="000000"/>
              <w:left w:val="outset" w:sz="6" w:space="0" w:color="000000"/>
              <w:bottom w:val="outset" w:sz="6" w:space="0" w:color="000000"/>
              <w:right w:val="outset" w:sz="6" w:space="0" w:color="000000"/>
            </w:tcBorders>
            <w:hideMark/>
          </w:tcPr>
          <w:p w:rsidR="00446437" w:rsidRDefault="00446437">
            <w:pPr>
              <w:rPr>
                <w:color w:val="000000"/>
                <w:sz w:val="28"/>
                <w:szCs w:val="28"/>
              </w:rPr>
            </w:pPr>
            <w:r>
              <w:rPr>
                <w:color w:val="000000"/>
                <w:sz w:val="28"/>
                <w:szCs w:val="28"/>
              </w:rPr>
              <w:t>Nav</w:t>
            </w:r>
          </w:p>
        </w:tc>
      </w:tr>
    </w:tbl>
    <w:p w:rsidR="00446437" w:rsidRDefault="00446437" w:rsidP="00446437">
      <w:pPr>
        <w:rPr>
          <w:color w:val="000000"/>
          <w:sz w:val="28"/>
          <w:szCs w:val="28"/>
        </w:rPr>
      </w:pPr>
    </w:p>
    <w:p w:rsidR="00446437" w:rsidRDefault="00446437" w:rsidP="00446437">
      <w:pPr>
        <w:rPr>
          <w:i/>
          <w:color w:val="000000"/>
          <w:sz w:val="28"/>
          <w:szCs w:val="28"/>
        </w:rPr>
      </w:pPr>
      <w:r>
        <w:rPr>
          <w:color w:val="000000"/>
          <w:sz w:val="28"/>
          <w:szCs w:val="28"/>
        </w:rPr>
        <w:t>Anotācijas III un IV sadaļa</w:t>
      </w:r>
      <w:r>
        <w:rPr>
          <w:i/>
          <w:color w:val="000000"/>
          <w:sz w:val="28"/>
          <w:szCs w:val="28"/>
        </w:rPr>
        <w:t xml:space="preserve"> – </w:t>
      </w:r>
      <w:r>
        <w:rPr>
          <w:color w:val="000000"/>
          <w:sz w:val="28"/>
          <w:szCs w:val="28"/>
        </w:rPr>
        <w:t>projekts šīs jomas neskar.</w:t>
      </w:r>
    </w:p>
    <w:p w:rsidR="00446437" w:rsidRDefault="00446437" w:rsidP="00446437">
      <w:pPr>
        <w:ind w:firstLine="720"/>
        <w:jc w:val="both"/>
        <w:rPr>
          <w:color w:val="000000"/>
          <w:sz w:val="28"/>
          <w:szCs w:val="28"/>
        </w:rPr>
      </w:pPr>
    </w:p>
    <w:p w:rsidR="00446437" w:rsidRDefault="00446437" w:rsidP="00446437">
      <w:pPr>
        <w:ind w:firstLine="720"/>
        <w:jc w:val="both"/>
        <w:rPr>
          <w:color w:val="000000"/>
          <w:sz w:val="28"/>
          <w:szCs w:val="28"/>
        </w:rPr>
      </w:pPr>
    </w:p>
    <w:p w:rsidR="00446437" w:rsidRDefault="00446437" w:rsidP="00446437">
      <w:pPr>
        <w:ind w:firstLine="720"/>
        <w:jc w:val="both"/>
        <w:rPr>
          <w:color w:val="000000"/>
          <w:sz w:val="28"/>
          <w:szCs w:val="28"/>
        </w:rPr>
      </w:pPr>
      <w:r>
        <w:rPr>
          <w:color w:val="000000"/>
          <w:sz w:val="28"/>
          <w:szCs w:val="28"/>
        </w:rPr>
        <w:t>Satiksmes ministrs</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A.</w:t>
      </w:r>
      <w:r w:rsidR="00BA1534">
        <w:rPr>
          <w:color w:val="000000"/>
          <w:sz w:val="28"/>
          <w:szCs w:val="28"/>
        </w:rPr>
        <w:t>Matīss</w:t>
      </w:r>
    </w:p>
    <w:p w:rsidR="00446437" w:rsidRDefault="00446437" w:rsidP="00446437">
      <w:pPr>
        <w:ind w:firstLine="720"/>
        <w:jc w:val="both"/>
        <w:rPr>
          <w:color w:val="000000"/>
          <w:sz w:val="28"/>
          <w:szCs w:val="28"/>
        </w:rPr>
      </w:pPr>
    </w:p>
    <w:p w:rsidR="00446437" w:rsidRDefault="00446437" w:rsidP="00446437">
      <w:pPr>
        <w:ind w:firstLine="720"/>
        <w:jc w:val="both"/>
        <w:rPr>
          <w:color w:val="000000"/>
          <w:sz w:val="28"/>
          <w:szCs w:val="28"/>
        </w:rPr>
      </w:pPr>
      <w:r>
        <w:rPr>
          <w:color w:val="000000"/>
          <w:sz w:val="28"/>
          <w:szCs w:val="28"/>
        </w:rPr>
        <w:t>Vīza:</w:t>
      </w:r>
    </w:p>
    <w:p w:rsidR="00446437" w:rsidRDefault="00054028" w:rsidP="00446437">
      <w:pPr>
        <w:ind w:firstLine="720"/>
        <w:jc w:val="both"/>
        <w:rPr>
          <w:color w:val="000000"/>
          <w:sz w:val="28"/>
          <w:szCs w:val="28"/>
        </w:rPr>
      </w:pPr>
      <w:r>
        <w:rPr>
          <w:color w:val="000000"/>
          <w:sz w:val="28"/>
          <w:szCs w:val="28"/>
        </w:rPr>
        <w:t>valsts sekretārs</w:t>
      </w:r>
      <w:r w:rsidR="00BA1534">
        <w:rPr>
          <w:color w:val="000000"/>
          <w:sz w:val="28"/>
          <w:szCs w:val="28"/>
        </w:rPr>
        <w:tab/>
      </w:r>
      <w:r w:rsidR="00BA1534">
        <w:rPr>
          <w:color w:val="000000"/>
          <w:sz w:val="28"/>
          <w:szCs w:val="28"/>
        </w:rPr>
        <w:tab/>
      </w:r>
      <w:r w:rsidR="00BA1534">
        <w:rPr>
          <w:color w:val="000000"/>
          <w:sz w:val="28"/>
          <w:szCs w:val="28"/>
        </w:rPr>
        <w:tab/>
      </w:r>
      <w:r w:rsidR="00BA1534">
        <w:rPr>
          <w:color w:val="000000"/>
          <w:sz w:val="28"/>
          <w:szCs w:val="28"/>
        </w:rPr>
        <w:tab/>
      </w:r>
      <w:r w:rsidR="00BA1534">
        <w:rPr>
          <w:color w:val="000000"/>
          <w:sz w:val="28"/>
          <w:szCs w:val="28"/>
        </w:rPr>
        <w:tab/>
      </w:r>
      <w:r>
        <w:rPr>
          <w:color w:val="000000"/>
          <w:sz w:val="28"/>
          <w:szCs w:val="28"/>
        </w:rPr>
        <w:tab/>
        <w:t>K. Ozoliņš</w:t>
      </w:r>
    </w:p>
    <w:p w:rsidR="00DE34FF" w:rsidRDefault="00DE34FF" w:rsidP="00446437">
      <w:pPr>
        <w:jc w:val="both"/>
        <w:rPr>
          <w:color w:val="000000"/>
        </w:rPr>
      </w:pPr>
    </w:p>
    <w:p w:rsidR="002246A4" w:rsidRDefault="002246A4" w:rsidP="00446437">
      <w:pPr>
        <w:jc w:val="both"/>
        <w:rPr>
          <w:color w:val="000000"/>
        </w:rPr>
      </w:pPr>
    </w:p>
    <w:p w:rsidR="00446437" w:rsidRDefault="006C2686" w:rsidP="00446437">
      <w:pPr>
        <w:jc w:val="both"/>
        <w:rPr>
          <w:color w:val="000000"/>
        </w:rPr>
      </w:pPr>
      <w:r>
        <w:rPr>
          <w:color w:val="000000"/>
        </w:rPr>
        <w:t>01.10</w:t>
      </w:r>
      <w:r w:rsidR="00446437">
        <w:rPr>
          <w:color w:val="000000"/>
        </w:rPr>
        <w:t>.2013 11.30</w:t>
      </w:r>
    </w:p>
    <w:p w:rsidR="00446437" w:rsidRDefault="00054028" w:rsidP="00446437">
      <w:pPr>
        <w:jc w:val="both"/>
        <w:rPr>
          <w:color w:val="000000"/>
        </w:rPr>
      </w:pPr>
      <w:r>
        <w:rPr>
          <w:color w:val="000000"/>
        </w:rPr>
        <w:t>2</w:t>
      </w:r>
      <w:r w:rsidR="002D033B">
        <w:rPr>
          <w:color w:val="000000"/>
        </w:rPr>
        <w:t>836</w:t>
      </w:r>
    </w:p>
    <w:p w:rsidR="00446437" w:rsidRDefault="00446437" w:rsidP="00446437">
      <w:pPr>
        <w:pStyle w:val="naisf"/>
        <w:spacing w:before="0" w:after="0"/>
        <w:ind w:firstLine="0"/>
        <w:rPr>
          <w:bCs/>
        </w:rPr>
      </w:pPr>
      <w:r>
        <w:rPr>
          <w:bCs/>
        </w:rPr>
        <w:t>D. Revizore</w:t>
      </w:r>
    </w:p>
    <w:p w:rsidR="00F22E1E" w:rsidRDefault="00446437" w:rsidP="0075485A">
      <w:pPr>
        <w:pStyle w:val="naisf"/>
        <w:spacing w:before="0" w:after="0"/>
        <w:ind w:firstLine="0"/>
      </w:pPr>
      <w:r>
        <w:t xml:space="preserve">67830943; </w:t>
      </w:r>
      <w:r w:rsidRPr="00B83184">
        <w:rPr>
          <w:bCs/>
        </w:rPr>
        <w:t>Dace.Revizore@latcaa.gov.lv</w:t>
      </w:r>
    </w:p>
    <w:sectPr w:rsidR="00F22E1E" w:rsidSect="007E29C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9C4" w:rsidRDefault="007E29C4" w:rsidP="007E29C4">
      <w:r>
        <w:separator/>
      </w:r>
    </w:p>
  </w:endnote>
  <w:endnote w:type="continuationSeparator" w:id="0">
    <w:p w:rsidR="007E29C4" w:rsidRDefault="007E29C4" w:rsidP="007E2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9C4" w:rsidRDefault="002D763F" w:rsidP="007E29C4">
    <w:pPr>
      <w:pStyle w:val="Footer"/>
      <w:jc w:val="both"/>
    </w:pPr>
    <w:r>
      <w:t>SAMAnot_0110</w:t>
    </w:r>
    <w:r w:rsidR="007E29C4" w:rsidRPr="007E29C4">
      <w:t>13_groz97; Ministru kabineta noteikumu projekts „Grozījumi Ministru kabineta 2010.gada 2.februāra noteikumos Nr.97 „Civilās aviācijas personāla veselības pārbaudes veikšanas, veselības apliecības izsniegšanas, aviācijas medicīnas centru un aviācijas medicīnas ekspertu sertificēšanas kārtība””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9C4" w:rsidRDefault="002D763F" w:rsidP="007E29C4">
    <w:pPr>
      <w:pStyle w:val="Footer"/>
      <w:tabs>
        <w:tab w:val="clear" w:pos="4153"/>
        <w:tab w:val="clear" w:pos="8306"/>
        <w:tab w:val="left" w:pos="3360"/>
      </w:tabs>
      <w:jc w:val="both"/>
    </w:pPr>
    <w:r>
      <w:t>SAMAnot_0110</w:t>
    </w:r>
    <w:r w:rsidR="007E29C4" w:rsidRPr="007E29C4">
      <w:t>13_groz97; Ministru kabineta noteikumu projekts „Grozījumi Ministru kabineta 2010.gada 2.februāra noteikumos Nr.97 „Civilās aviācijas personāla veselības pārbaudes veikšanas, veselības apliecības izsniegšanas, aviācijas medicīnas centru un aviācijas medicīnas ekspertu sertificēšanas kārtība””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9C4" w:rsidRDefault="007E29C4" w:rsidP="007E29C4">
      <w:r>
        <w:separator/>
      </w:r>
    </w:p>
  </w:footnote>
  <w:footnote w:type="continuationSeparator" w:id="0">
    <w:p w:rsidR="007E29C4" w:rsidRDefault="007E29C4" w:rsidP="007E29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470168"/>
      <w:docPartObj>
        <w:docPartGallery w:val="Page Numbers (Top of Page)"/>
        <w:docPartUnique/>
      </w:docPartObj>
    </w:sdtPr>
    <w:sdtEndPr>
      <w:rPr>
        <w:noProof/>
      </w:rPr>
    </w:sdtEndPr>
    <w:sdtContent>
      <w:p w:rsidR="007E29C4" w:rsidRDefault="007E29C4">
        <w:pPr>
          <w:pStyle w:val="Header"/>
          <w:jc w:val="center"/>
        </w:pPr>
        <w:r>
          <w:fldChar w:fldCharType="begin"/>
        </w:r>
        <w:r>
          <w:instrText xml:space="preserve"> PAGE   \* MERGEFORMAT </w:instrText>
        </w:r>
        <w:r>
          <w:fldChar w:fldCharType="separate"/>
        </w:r>
        <w:r w:rsidR="00C47D86">
          <w:rPr>
            <w:noProof/>
          </w:rPr>
          <w:t>14</w:t>
        </w:r>
        <w:r>
          <w:rPr>
            <w:noProof/>
          </w:rPr>
          <w:fldChar w:fldCharType="end"/>
        </w:r>
      </w:p>
    </w:sdtContent>
  </w:sdt>
  <w:p w:rsidR="007E29C4" w:rsidRDefault="007E29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A37"/>
    <w:rsid w:val="00016CC5"/>
    <w:rsid w:val="0002073D"/>
    <w:rsid w:val="00022E35"/>
    <w:rsid w:val="00044F2B"/>
    <w:rsid w:val="00054028"/>
    <w:rsid w:val="0008711B"/>
    <w:rsid w:val="00090459"/>
    <w:rsid w:val="000943C5"/>
    <w:rsid w:val="000B6AAA"/>
    <w:rsid w:val="000D19F5"/>
    <w:rsid w:val="000E26FE"/>
    <w:rsid w:val="000F2F71"/>
    <w:rsid w:val="0011024B"/>
    <w:rsid w:val="0014270D"/>
    <w:rsid w:val="00142E3C"/>
    <w:rsid w:val="001809D9"/>
    <w:rsid w:val="00192ED7"/>
    <w:rsid w:val="001D0DE4"/>
    <w:rsid w:val="001D67BD"/>
    <w:rsid w:val="001D7299"/>
    <w:rsid w:val="002173B4"/>
    <w:rsid w:val="002246A4"/>
    <w:rsid w:val="00225720"/>
    <w:rsid w:val="00282BD2"/>
    <w:rsid w:val="00295A92"/>
    <w:rsid w:val="002D033B"/>
    <w:rsid w:val="002D763F"/>
    <w:rsid w:val="002E673E"/>
    <w:rsid w:val="002F0DE0"/>
    <w:rsid w:val="00307000"/>
    <w:rsid w:val="00310164"/>
    <w:rsid w:val="0033089F"/>
    <w:rsid w:val="00345DC1"/>
    <w:rsid w:val="00382A9C"/>
    <w:rsid w:val="0038635C"/>
    <w:rsid w:val="00395CDE"/>
    <w:rsid w:val="003B46AE"/>
    <w:rsid w:val="003B76B5"/>
    <w:rsid w:val="003C702A"/>
    <w:rsid w:val="004152F4"/>
    <w:rsid w:val="0042568F"/>
    <w:rsid w:val="00446437"/>
    <w:rsid w:val="004A3303"/>
    <w:rsid w:val="004B420F"/>
    <w:rsid w:val="004B56E2"/>
    <w:rsid w:val="004C2C5A"/>
    <w:rsid w:val="004E092C"/>
    <w:rsid w:val="004E0EAA"/>
    <w:rsid w:val="004F3F59"/>
    <w:rsid w:val="00515542"/>
    <w:rsid w:val="00516B42"/>
    <w:rsid w:val="005421B3"/>
    <w:rsid w:val="00562F80"/>
    <w:rsid w:val="005770A6"/>
    <w:rsid w:val="0058367D"/>
    <w:rsid w:val="005A74F2"/>
    <w:rsid w:val="005C2210"/>
    <w:rsid w:val="0066073E"/>
    <w:rsid w:val="00665555"/>
    <w:rsid w:val="006916C6"/>
    <w:rsid w:val="006B699D"/>
    <w:rsid w:val="006C2686"/>
    <w:rsid w:val="006C40D6"/>
    <w:rsid w:val="006E3E0A"/>
    <w:rsid w:val="007048A7"/>
    <w:rsid w:val="00711AE2"/>
    <w:rsid w:val="00724D6D"/>
    <w:rsid w:val="007278D6"/>
    <w:rsid w:val="00727B84"/>
    <w:rsid w:val="0075485A"/>
    <w:rsid w:val="00755653"/>
    <w:rsid w:val="007736D3"/>
    <w:rsid w:val="007D603A"/>
    <w:rsid w:val="007D7A77"/>
    <w:rsid w:val="007E0ADD"/>
    <w:rsid w:val="007E29C4"/>
    <w:rsid w:val="008066B6"/>
    <w:rsid w:val="00821011"/>
    <w:rsid w:val="00850593"/>
    <w:rsid w:val="0085703E"/>
    <w:rsid w:val="00881E50"/>
    <w:rsid w:val="008A4D75"/>
    <w:rsid w:val="008D137B"/>
    <w:rsid w:val="008D1A5F"/>
    <w:rsid w:val="008E41F1"/>
    <w:rsid w:val="008F3B88"/>
    <w:rsid w:val="00910247"/>
    <w:rsid w:val="00911C1C"/>
    <w:rsid w:val="00954586"/>
    <w:rsid w:val="00965AF2"/>
    <w:rsid w:val="009A72D0"/>
    <w:rsid w:val="009B1BEF"/>
    <w:rsid w:val="009D38C3"/>
    <w:rsid w:val="009D5A37"/>
    <w:rsid w:val="009D64CA"/>
    <w:rsid w:val="009E346D"/>
    <w:rsid w:val="009E79FF"/>
    <w:rsid w:val="00A10A2E"/>
    <w:rsid w:val="00A215E8"/>
    <w:rsid w:val="00A41EDA"/>
    <w:rsid w:val="00A452EE"/>
    <w:rsid w:val="00A84839"/>
    <w:rsid w:val="00A95C42"/>
    <w:rsid w:val="00AC2427"/>
    <w:rsid w:val="00AC6460"/>
    <w:rsid w:val="00AF0693"/>
    <w:rsid w:val="00B216DE"/>
    <w:rsid w:val="00B30A19"/>
    <w:rsid w:val="00B33C2B"/>
    <w:rsid w:val="00B51C3E"/>
    <w:rsid w:val="00B6095F"/>
    <w:rsid w:val="00B620BE"/>
    <w:rsid w:val="00B65AA3"/>
    <w:rsid w:val="00B83184"/>
    <w:rsid w:val="00B90C3C"/>
    <w:rsid w:val="00B91364"/>
    <w:rsid w:val="00B94DFA"/>
    <w:rsid w:val="00BA1534"/>
    <w:rsid w:val="00BA3B29"/>
    <w:rsid w:val="00BE0052"/>
    <w:rsid w:val="00C13A4E"/>
    <w:rsid w:val="00C2628F"/>
    <w:rsid w:val="00C47D86"/>
    <w:rsid w:val="00CD2757"/>
    <w:rsid w:val="00D536C0"/>
    <w:rsid w:val="00DD50B1"/>
    <w:rsid w:val="00DE0C98"/>
    <w:rsid w:val="00DE34FF"/>
    <w:rsid w:val="00E00B40"/>
    <w:rsid w:val="00E10841"/>
    <w:rsid w:val="00E20D02"/>
    <w:rsid w:val="00E25A37"/>
    <w:rsid w:val="00E526BF"/>
    <w:rsid w:val="00E75A35"/>
    <w:rsid w:val="00EF2163"/>
    <w:rsid w:val="00F15545"/>
    <w:rsid w:val="00F22E1E"/>
    <w:rsid w:val="00F47127"/>
    <w:rsid w:val="00F764A8"/>
    <w:rsid w:val="00FA48D7"/>
    <w:rsid w:val="00FC4D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437"/>
    <w:pPr>
      <w:spacing w:after="0" w:line="240" w:lineRule="auto"/>
    </w:pPr>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46437"/>
    <w:rPr>
      <w:color w:val="0000FF"/>
      <w:u w:val="single"/>
    </w:rPr>
  </w:style>
  <w:style w:type="paragraph" w:styleId="NormalWeb">
    <w:name w:val="Normal (Web)"/>
    <w:basedOn w:val="Normal"/>
    <w:unhideWhenUsed/>
    <w:rsid w:val="00446437"/>
    <w:pPr>
      <w:spacing w:before="100" w:beforeAutospacing="1" w:after="100" w:afterAutospacing="1"/>
    </w:pPr>
    <w:rPr>
      <w:rFonts w:ascii="Verdana" w:hAnsi="Verdana"/>
      <w:sz w:val="18"/>
      <w:szCs w:val="18"/>
    </w:rPr>
  </w:style>
  <w:style w:type="paragraph" w:styleId="Footer">
    <w:name w:val="footer"/>
    <w:basedOn w:val="Normal"/>
    <w:link w:val="FooterChar"/>
    <w:unhideWhenUsed/>
    <w:rsid w:val="00446437"/>
    <w:pPr>
      <w:tabs>
        <w:tab w:val="center" w:pos="4153"/>
        <w:tab w:val="right" w:pos="8306"/>
      </w:tabs>
    </w:pPr>
  </w:style>
  <w:style w:type="character" w:customStyle="1" w:styleId="FooterChar">
    <w:name w:val="Footer Char"/>
    <w:basedOn w:val="DefaultParagraphFont"/>
    <w:link w:val="Footer"/>
    <w:rsid w:val="00446437"/>
    <w:rPr>
      <w:rFonts w:eastAsia="Times New Roman" w:cs="Times New Roman"/>
      <w:sz w:val="24"/>
      <w:szCs w:val="24"/>
      <w:lang w:eastAsia="lv-LV"/>
    </w:rPr>
  </w:style>
  <w:style w:type="paragraph" w:styleId="BodyText2">
    <w:name w:val="Body Text 2"/>
    <w:basedOn w:val="Normal"/>
    <w:link w:val="BodyText2Char"/>
    <w:unhideWhenUsed/>
    <w:rsid w:val="00446437"/>
    <w:pPr>
      <w:jc w:val="both"/>
    </w:pPr>
    <w:rPr>
      <w:color w:val="000000"/>
      <w:sz w:val="28"/>
      <w:szCs w:val="28"/>
    </w:rPr>
  </w:style>
  <w:style w:type="character" w:customStyle="1" w:styleId="BodyText2Char">
    <w:name w:val="Body Text 2 Char"/>
    <w:basedOn w:val="DefaultParagraphFont"/>
    <w:link w:val="BodyText2"/>
    <w:rsid w:val="00446437"/>
    <w:rPr>
      <w:rFonts w:eastAsia="Times New Roman" w:cs="Times New Roman"/>
      <w:color w:val="000000"/>
      <w:szCs w:val="28"/>
      <w:lang w:eastAsia="lv-LV"/>
    </w:rPr>
  </w:style>
  <w:style w:type="paragraph" w:customStyle="1" w:styleId="naisf">
    <w:name w:val="naisf"/>
    <w:basedOn w:val="Normal"/>
    <w:rsid w:val="00446437"/>
    <w:pPr>
      <w:spacing w:before="75" w:after="75"/>
      <w:ind w:firstLine="375"/>
      <w:jc w:val="both"/>
    </w:pPr>
  </w:style>
  <w:style w:type="paragraph" w:customStyle="1" w:styleId="naisnod">
    <w:name w:val="naisnod"/>
    <w:basedOn w:val="Normal"/>
    <w:rsid w:val="00446437"/>
    <w:pPr>
      <w:spacing w:before="150" w:after="150"/>
      <w:jc w:val="center"/>
    </w:pPr>
    <w:rPr>
      <w:b/>
      <w:bCs/>
    </w:rPr>
  </w:style>
  <w:style w:type="paragraph" w:customStyle="1" w:styleId="naiskr">
    <w:name w:val="naiskr"/>
    <w:basedOn w:val="Normal"/>
    <w:rsid w:val="00446437"/>
    <w:pPr>
      <w:spacing w:before="75" w:after="75"/>
    </w:pPr>
  </w:style>
  <w:style w:type="paragraph" w:customStyle="1" w:styleId="Default">
    <w:name w:val="Default"/>
    <w:rsid w:val="00446437"/>
    <w:pPr>
      <w:autoSpaceDE w:val="0"/>
      <w:autoSpaceDN w:val="0"/>
      <w:adjustRightInd w:val="0"/>
      <w:spacing w:after="0" w:line="240" w:lineRule="auto"/>
    </w:pPr>
    <w:rPr>
      <w:rFonts w:ascii="EUAlbertina" w:eastAsia="Times New Roman" w:hAnsi="EUAlbertina" w:cs="EUAlbertina"/>
      <w:color w:val="000000"/>
      <w:sz w:val="24"/>
      <w:szCs w:val="24"/>
      <w:lang w:eastAsia="lv-LV"/>
    </w:rPr>
  </w:style>
  <w:style w:type="paragraph" w:customStyle="1" w:styleId="naisc">
    <w:name w:val="naisc"/>
    <w:basedOn w:val="Normal"/>
    <w:rsid w:val="00446437"/>
    <w:pPr>
      <w:spacing w:before="100" w:after="100"/>
      <w:jc w:val="center"/>
    </w:pPr>
    <w:rPr>
      <w:sz w:val="26"/>
      <w:szCs w:val="20"/>
      <w:lang w:val="en-GB" w:eastAsia="en-US"/>
    </w:rPr>
  </w:style>
  <w:style w:type="character" w:styleId="Emphasis">
    <w:name w:val="Emphasis"/>
    <w:basedOn w:val="DefaultParagraphFont"/>
    <w:qFormat/>
    <w:rsid w:val="00446437"/>
    <w:rPr>
      <w:i/>
      <w:iCs/>
    </w:rPr>
  </w:style>
  <w:style w:type="paragraph" w:styleId="BalloonText">
    <w:name w:val="Balloon Text"/>
    <w:basedOn w:val="Normal"/>
    <w:link w:val="BalloonTextChar"/>
    <w:uiPriority w:val="99"/>
    <w:semiHidden/>
    <w:unhideWhenUsed/>
    <w:rsid w:val="0066073E"/>
    <w:rPr>
      <w:rFonts w:ascii="Tahoma" w:hAnsi="Tahoma" w:cs="Tahoma"/>
      <w:sz w:val="16"/>
      <w:szCs w:val="16"/>
    </w:rPr>
  </w:style>
  <w:style w:type="character" w:customStyle="1" w:styleId="BalloonTextChar">
    <w:name w:val="Balloon Text Char"/>
    <w:basedOn w:val="DefaultParagraphFont"/>
    <w:link w:val="BalloonText"/>
    <w:uiPriority w:val="99"/>
    <w:semiHidden/>
    <w:rsid w:val="0066073E"/>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B6095F"/>
    <w:rPr>
      <w:sz w:val="16"/>
      <w:szCs w:val="16"/>
    </w:rPr>
  </w:style>
  <w:style w:type="paragraph" w:styleId="CommentText">
    <w:name w:val="annotation text"/>
    <w:basedOn w:val="Normal"/>
    <w:link w:val="CommentTextChar"/>
    <w:uiPriority w:val="99"/>
    <w:semiHidden/>
    <w:unhideWhenUsed/>
    <w:rsid w:val="00B6095F"/>
    <w:rPr>
      <w:sz w:val="20"/>
      <w:szCs w:val="20"/>
    </w:rPr>
  </w:style>
  <w:style w:type="character" w:customStyle="1" w:styleId="CommentTextChar">
    <w:name w:val="Comment Text Char"/>
    <w:basedOn w:val="DefaultParagraphFont"/>
    <w:link w:val="CommentText"/>
    <w:uiPriority w:val="99"/>
    <w:semiHidden/>
    <w:rsid w:val="00B6095F"/>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6095F"/>
    <w:rPr>
      <w:b/>
      <w:bCs/>
    </w:rPr>
  </w:style>
  <w:style w:type="character" w:customStyle="1" w:styleId="CommentSubjectChar">
    <w:name w:val="Comment Subject Char"/>
    <w:basedOn w:val="CommentTextChar"/>
    <w:link w:val="CommentSubject"/>
    <w:uiPriority w:val="99"/>
    <w:semiHidden/>
    <w:rsid w:val="00B6095F"/>
    <w:rPr>
      <w:rFonts w:eastAsia="Times New Roman" w:cs="Times New Roman"/>
      <w:b/>
      <w:bCs/>
      <w:sz w:val="20"/>
      <w:szCs w:val="20"/>
      <w:lang w:eastAsia="lv-LV"/>
    </w:rPr>
  </w:style>
  <w:style w:type="paragraph" w:styleId="Header">
    <w:name w:val="header"/>
    <w:basedOn w:val="Normal"/>
    <w:link w:val="HeaderChar"/>
    <w:uiPriority w:val="99"/>
    <w:unhideWhenUsed/>
    <w:rsid w:val="007E29C4"/>
    <w:pPr>
      <w:tabs>
        <w:tab w:val="center" w:pos="4153"/>
        <w:tab w:val="right" w:pos="8306"/>
      </w:tabs>
    </w:pPr>
  </w:style>
  <w:style w:type="character" w:customStyle="1" w:styleId="HeaderChar">
    <w:name w:val="Header Char"/>
    <w:basedOn w:val="DefaultParagraphFont"/>
    <w:link w:val="Header"/>
    <w:uiPriority w:val="99"/>
    <w:rsid w:val="007E29C4"/>
    <w:rPr>
      <w:rFonts w:eastAsia="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437"/>
    <w:pPr>
      <w:spacing w:after="0" w:line="240" w:lineRule="auto"/>
    </w:pPr>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46437"/>
    <w:rPr>
      <w:color w:val="0000FF"/>
      <w:u w:val="single"/>
    </w:rPr>
  </w:style>
  <w:style w:type="paragraph" w:styleId="NormalWeb">
    <w:name w:val="Normal (Web)"/>
    <w:basedOn w:val="Normal"/>
    <w:unhideWhenUsed/>
    <w:rsid w:val="00446437"/>
    <w:pPr>
      <w:spacing w:before="100" w:beforeAutospacing="1" w:after="100" w:afterAutospacing="1"/>
    </w:pPr>
    <w:rPr>
      <w:rFonts w:ascii="Verdana" w:hAnsi="Verdana"/>
      <w:sz w:val="18"/>
      <w:szCs w:val="18"/>
    </w:rPr>
  </w:style>
  <w:style w:type="paragraph" w:styleId="Footer">
    <w:name w:val="footer"/>
    <w:basedOn w:val="Normal"/>
    <w:link w:val="FooterChar"/>
    <w:unhideWhenUsed/>
    <w:rsid w:val="00446437"/>
    <w:pPr>
      <w:tabs>
        <w:tab w:val="center" w:pos="4153"/>
        <w:tab w:val="right" w:pos="8306"/>
      </w:tabs>
    </w:pPr>
  </w:style>
  <w:style w:type="character" w:customStyle="1" w:styleId="FooterChar">
    <w:name w:val="Footer Char"/>
    <w:basedOn w:val="DefaultParagraphFont"/>
    <w:link w:val="Footer"/>
    <w:rsid w:val="00446437"/>
    <w:rPr>
      <w:rFonts w:eastAsia="Times New Roman" w:cs="Times New Roman"/>
      <w:sz w:val="24"/>
      <w:szCs w:val="24"/>
      <w:lang w:eastAsia="lv-LV"/>
    </w:rPr>
  </w:style>
  <w:style w:type="paragraph" w:styleId="BodyText2">
    <w:name w:val="Body Text 2"/>
    <w:basedOn w:val="Normal"/>
    <w:link w:val="BodyText2Char"/>
    <w:unhideWhenUsed/>
    <w:rsid w:val="00446437"/>
    <w:pPr>
      <w:jc w:val="both"/>
    </w:pPr>
    <w:rPr>
      <w:color w:val="000000"/>
      <w:sz w:val="28"/>
      <w:szCs w:val="28"/>
    </w:rPr>
  </w:style>
  <w:style w:type="character" w:customStyle="1" w:styleId="BodyText2Char">
    <w:name w:val="Body Text 2 Char"/>
    <w:basedOn w:val="DefaultParagraphFont"/>
    <w:link w:val="BodyText2"/>
    <w:rsid w:val="00446437"/>
    <w:rPr>
      <w:rFonts w:eastAsia="Times New Roman" w:cs="Times New Roman"/>
      <w:color w:val="000000"/>
      <w:szCs w:val="28"/>
      <w:lang w:eastAsia="lv-LV"/>
    </w:rPr>
  </w:style>
  <w:style w:type="paragraph" w:customStyle="1" w:styleId="naisf">
    <w:name w:val="naisf"/>
    <w:basedOn w:val="Normal"/>
    <w:rsid w:val="00446437"/>
    <w:pPr>
      <w:spacing w:before="75" w:after="75"/>
      <w:ind w:firstLine="375"/>
      <w:jc w:val="both"/>
    </w:pPr>
  </w:style>
  <w:style w:type="paragraph" w:customStyle="1" w:styleId="naisnod">
    <w:name w:val="naisnod"/>
    <w:basedOn w:val="Normal"/>
    <w:rsid w:val="00446437"/>
    <w:pPr>
      <w:spacing w:before="150" w:after="150"/>
      <w:jc w:val="center"/>
    </w:pPr>
    <w:rPr>
      <w:b/>
      <w:bCs/>
    </w:rPr>
  </w:style>
  <w:style w:type="paragraph" w:customStyle="1" w:styleId="naiskr">
    <w:name w:val="naiskr"/>
    <w:basedOn w:val="Normal"/>
    <w:rsid w:val="00446437"/>
    <w:pPr>
      <w:spacing w:before="75" w:after="75"/>
    </w:pPr>
  </w:style>
  <w:style w:type="paragraph" w:customStyle="1" w:styleId="Default">
    <w:name w:val="Default"/>
    <w:rsid w:val="00446437"/>
    <w:pPr>
      <w:autoSpaceDE w:val="0"/>
      <w:autoSpaceDN w:val="0"/>
      <w:adjustRightInd w:val="0"/>
      <w:spacing w:after="0" w:line="240" w:lineRule="auto"/>
    </w:pPr>
    <w:rPr>
      <w:rFonts w:ascii="EUAlbertina" w:eastAsia="Times New Roman" w:hAnsi="EUAlbertina" w:cs="EUAlbertina"/>
      <w:color w:val="000000"/>
      <w:sz w:val="24"/>
      <w:szCs w:val="24"/>
      <w:lang w:eastAsia="lv-LV"/>
    </w:rPr>
  </w:style>
  <w:style w:type="paragraph" w:customStyle="1" w:styleId="naisc">
    <w:name w:val="naisc"/>
    <w:basedOn w:val="Normal"/>
    <w:rsid w:val="00446437"/>
    <w:pPr>
      <w:spacing w:before="100" w:after="100"/>
      <w:jc w:val="center"/>
    </w:pPr>
    <w:rPr>
      <w:sz w:val="26"/>
      <w:szCs w:val="20"/>
      <w:lang w:val="en-GB" w:eastAsia="en-US"/>
    </w:rPr>
  </w:style>
  <w:style w:type="character" w:styleId="Emphasis">
    <w:name w:val="Emphasis"/>
    <w:basedOn w:val="DefaultParagraphFont"/>
    <w:qFormat/>
    <w:rsid w:val="00446437"/>
    <w:rPr>
      <w:i/>
      <w:iCs/>
    </w:rPr>
  </w:style>
  <w:style w:type="paragraph" w:styleId="BalloonText">
    <w:name w:val="Balloon Text"/>
    <w:basedOn w:val="Normal"/>
    <w:link w:val="BalloonTextChar"/>
    <w:uiPriority w:val="99"/>
    <w:semiHidden/>
    <w:unhideWhenUsed/>
    <w:rsid w:val="0066073E"/>
    <w:rPr>
      <w:rFonts w:ascii="Tahoma" w:hAnsi="Tahoma" w:cs="Tahoma"/>
      <w:sz w:val="16"/>
      <w:szCs w:val="16"/>
    </w:rPr>
  </w:style>
  <w:style w:type="character" w:customStyle="1" w:styleId="BalloonTextChar">
    <w:name w:val="Balloon Text Char"/>
    <w:basedOn w:val="DefaultParagraphFont"/>
    <w:link w:val="BalloonText"/>
    <w:uiPriority w:val="99"/>
    <w:semiHidden/>
    <w:rsid w:val="0066073E"/>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B6095F"/>
    <w:rPr>
      <w:sz w:val="16"/>
      <w:szCs w:val="16"/>
    </w:rPr>
  </w:style>
  <w:style w:type="paragraph" w:styleId="CommentText">
    <w:name w:val="annotation text"/>
    <w:basedOn w:val="Normal"/>
    <w:link w:val="CommentTextChar"/>
    <w:uiPriority w:val="99"/>
    <w:semiHidden/>
    <w:unhideWhenUsed/>
    <w:rsid w:val="00B6095F"/>
    <w:rPr>
      <w:sz w:val="20"/>
      <w:szCs w:val="20"/>
    </w:rPr>
  </w:style>
  <w:style w:type="character" w:customStyle="1" w:styleId="CommentTextChar">
    <w:name w:val="Comment Text Char"/>
    <w:basedOn w:val="DefaultParagraphFont"/>
    <w:link w:val="CommentText"/>
    <w:uiPriority w:val="99"/>
    <w:semiHidden/>
    <w:rsid w:val="00B6095F"/>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6095F"/>
    <w:rPr>
      <w:b/>
      <w:bCs/>
    </w:rPr>
  </w:style>
  <w:style w:type="character" w:customStyle="1" w:styleId="CommentSubjectChar">
    <w:name w:val="Comment Subject Char"/>
    <w:basedOn w:val="CommentTextChar"/>
    <w:link w:val="CommentSubject"/>
    <w:uiPriority w:val="99"/>
    <w:semiHidden/>
    <w:rsid w:val="00B6095F"/>
    <w:rPr>
      <w:rFonts w:eastAsia="Times New Roman" w:cs="Times New Roman"/>
      <w:b/>
      <w:bCs/>
      <w:sz w:val="20"/>
      <w:szCs w:val="20"/>
      <w:lang w:eastAsia="lv-LV"/>
    </w:rPr>
  </w:style>
  <w:style w:type="paragraph" w:styleId="Header">
    <w:name w:val="header"/>
    <w:basedOn w:val="Normal"/>
    <w:link w:val="HeaderChar"/>
    <w:uiPriority w:val="99"/>
    <w:unhideWhenUsed/>
    <w:rsid w:val="007E29C4"/>
    <w:pPr>
      <w:tabs>
        <w:tab w:val="center" w:pos="4153"/>
        <w:tab w:val="right" w:pos="8306"/>
      </w:tabs>
    </w:pPr>
  </w:style>
  <w:style w:type="character" w:customStyle="1" w:styleId="HeaderChar">
    <w:name w:val="Header Char"/>
    <w:basedOn w:val="DefaultParagraphFont"/>
    <w:link w:val="Header"/>
    <w:uiPriority w:val="99"/>
    <w:rsid w:val="007E29C4"/>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42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a.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EED67-EF58-488F-923B-5C7C9E55A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14</Pages>
  <Words>14791</Words>
  <Characters>8432</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2010.gada 2.februāra noteikumos Nr.97 „Civilās aviācijas personāla veselības pārbaudes veikšanas, veselības apliecības izsniegšanas, aviācijas medicīnas centru un aviācijas medicīnas eksper</vt:lpstr>
    </vt:vector>
  </TitlesOfParts>
  <Company>Satiksmes ministrija</Company>
  <LinksUpToDate>false</LinksUpToDate>
  <CharactersWithSpaces>23177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2010.gada 2.februāra noteikumos Nr.97 „Civilās aviācijas personāla veselības pārbaudes veikšanas, veselības apliecības izsniegšanas, aviācijas medicīnas centru un aviācijas medicīnas ekspertu sertificēšanas kārtība””</dc:title>
  <dc:subject>Anotācija</dc:subject>
  <dc:creator>Dace Revizore</dc:creator>
  <dc:description>Dace.Revizore@latcaa.gov.lv, 67830943</dc:description>
  <cp:lastModifiedBy>Inese Lieģe</cp:lastModifiedBy>
  <cp:revision>55</cp:revision>
  <cp:lastPrinted>2013-10-02T07:07:00Z</cp:lastPrinted>
  <dcterms:created xsi:type="dcterms:W3CDTF">2013-09-05T13:01:00Z</dcterms:created>
  <dcterms:modified xsi:type="dcterms:W3CDTF">2013-10-08T07:17:00Z</dcterms:modified>
</cp:coreProperties>
</file>