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53" w:rsidRDefault="00877353" w:rsidP="0084418B">
      <w:pPr>
        <w:pStyle w:val="naislab"/>
        <w:spacing w:before="0" w:after="0"/>
        <w:jc w:val="center"/>
        <w:outlineLvl w:val="0"/>
        <w:rPr>
          <w:b/>
          <w:color w:val="000000"/>
          <w:sz w:val="28"/>
          <w:szCs w:val="28"/>
        </w:rPr>
      </w:pPr>
    </w:p>
    <w:p w:rsidR="00877353" w:rsidRDefault="00877353" w:rsidP="0084418B">
      <w:pPr>
        <w:pStyle w:val="naislab"/>
        <w:spacing w:before="0" w:after="0"/>
        <w:jc w:val="center"/>
        <w:outlineLvl w:val="0"/>
        <w:rPr>
          <w:b/>
          <w:color w:val="000000"/>
          <w:sz w:val="28"/>
          <w:szCs w:val="28"/>
        </w:rPr>
      </w:pPr>
      <w:r w:rsidRPr="00A27406">
        <w:rPr>
          <w:b/>
          <w:color w:val="000000"/>
          <w:sz w:val="28"/>
          <w:szCs w:val="28"/>
        </w:rPr>
        <w:t xml:space="preserve">Likumprojekta </w:t>
      </w:r>
    </w:p>
    <w:p w:rsidR="00877353" w:rsidRPr="00A27406" w:rsidRDefault="00877353" w:rsidP="00AD506D">
      <w:pPr>
        <w:pStyle w:val="naislab"/>
        <w:spacing w:before="0" w:after="0"/>
        <w:jc w:val="center"/>
        <w:outlineLvl w:val="0"/>
        <w:rPr>
          <w:b/>
          <w:color w:val="000000"/>
          <w:sz w:val="28"/>
          <w:szCs w:val="28"/>
        </w:rPr>
      </w:pPr>
      <w:r w:rsidRPr="00A27406">
        <w:rPr>
          <w:b/>
          <w:color w:val="000000"/>
          <w:sz w:val="28"/>
          <w:szCs w:val="28"/>
        </w:rPr>
        <w:t>„Grozījumi „Sabiedriskā transporta pakalpojumu likumā”” sākotnējās ietekmes novērtējuma ziņojums (anotācija)</w:t>
      </w:r>
    </w:p>
    <w:p w:rsidR="00877353" w:rsidRPr="00A27406" w:rsidRDefault="00877353" w:rsidP="0084418B">
      <w:pPr>
        <w:pStyle w:val="naislab"/>
        <w:spacing w:before="0" w:after="0"/>
        <w:jc w:val="center"/>
        <w:outlineLvl w:val="0"/>
        <w:rPr>
          <w:color w:val="000000"/>
          <w:sz w:val="28"/>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877353" w:rsidRPr="00543B99" w:rsidTr="00F22012">
        <w:trPr>
          <w:jc w:val="center"/>
        </w:trPr>
        <w:tc>
          <w:tcPr>
            <w:tcW w:w="9539" w:type="dxa"/>
            <w:gridSpan w:val="3"/>
          </w:tcPr>
          <w:p w:rsidR="00877353" w:rsidRPr="00543B99" w:rsidRDefault="00877353" w:rsidP="00F22012">
            <w:pPr>
              <w:pStyle w:val="naislab"/>
              <w:spacing w:before="0" w:after="0"/>
              <w:jc w:val="center"/>
              <w:outlineLvl w:val="0"/>
              <w:rPr>
                <w:b/>
                <w:color w:val="000000"/>
              </w:rPr>
            </w:pPr>
            <w:r w:rsidRPr="00543B99">
              <w:rPr>
                <w:b/>
                <w:color w:val="000000"/>
              </w:rPr>
              <w:t>I. Tiesību akta projekta izstrādes nepieciešamība</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1.</w:t>
            </w:r>
          </w:p>
        </w:tc>
        <w:tc>
          <w:tcPr>
            <w:tcW w:w="1440" w:type="dxa"/>
          </w:tcPr>
          <w:p w:rsidR="00877353" w:rsidRPr="00543B99" w:rsidRDefault="00877353" w:rsidP="00F22012">
            <w:pPr>
              <w:pStyle w:val="naislab"/>
              <w:spacing w:before="0" w:after="0"/>
              <w:jc w:val="both"/>
              <w:outlineLvl w:val="0"/>
              <w:rPr>
                <w:color w:val="000000"/>
              </w:rPr>
            </w:pPr>
            <w:r w:rsidRPr="00543B99">
              <w:rPr>
                <w:color w:val="000000"/>
              </w:rPr>
              <w:t>Pamatojums</w:t>
            </w:r>
          </w:p>
        </w:tc>
        <w:tc>
          <w:tcPr>
            <w:tcW w:w="7559" w:type="dxa"/>
          </w:tcPr>
          <w:p w:rsidR="00877353" w:rsidRDefault="00877353" w:rsidP="006C3547">
            <w:pPr>
              <w:jc w:val="both"/>
              <w:rPr>
                <w:sz w:val="26"/>
                <w:szCs w:val="26"/>
              </w:rPr>
            </w:pPr>
            <w:r w:rsidRPr="00D97942">
              <w:rPr>
                <w:sz w:val="26"/>
                <w:szCs w:val="26"/>
              </w:rPr>
              <w:t>Ministru kabineta 2012.gada 19.jūnija protokollēmums (Ministru kabineta sēdes protokols Nr.34 20§) „Informatīvais ziņojums "Par autoostu darbības pilnveidošanu, lai veicinātu sistēmas efektivitātes uzlabošanu un izmaksu samazināšanu" (turpmāk - MK protokollēmums).</w:t>
            </w:r>
          </w:p>
          <w:p w:rsidR="00877353" w:rsidRPr="00921D61" w:rsidRDefault="00877353" w:rsidP="00921D61">
            <w:pPr>
              <w:jc w:val="both"/>
              <w:rPr>
                <w:sz w:val="26"/>
                <w:szCs w:val="26"/>
              </w:rPr>
            </w:pPr>
            <w:r w:rsidRPr="00921D61">
              <w:rPr>
                <w:sz w:val="26"/>
                <w:szCs w:val="26"/>
              </w:rPr>
              <w:t>Eiropas Parlamenta un Padomes 2009.gada 23.aprīļa direktīvas 2009/33/EK par “tīro” un energoefektīvo autotransporta līdzekļu izmantošanas veicināšanu (turpmāk – Direktīva Nr.2009/33/EK) 3.panta  b)</w:t>
            </w:r>
            <w:r>
              <w:rPr>
                <w:sz w:val="26"/>
                <w:szCs w:val="26"/>
              </w:rPr>
              <w:t xml:space="preserve"> </w:t>
            </w:r>
            <w:r w:rsidRPr="00921D61">
              <w:rPr>
                <w:sz w:val="26"/>
                <w:szCs w:val="26"/>
              </w:rPr>
              <w:t>apakšpunkts, kas paredz, ka šīs direktīvas piemērošanas jomā ietilpst pakalpojumu sniedzēji, kas pilda sabiedrisko pakalpojumu sniegšanas saistības atbilstīgi pakalpojumu valsts līgumam Eiropas Parlamenta un Padomes Regulas (EK) Nr.1370/2007 par sabiedriskā pasažieru transporta pakalpojumiem, izmantojot dzelzceļu un autoceļus, nozīmē.</w:t>
            </w:r>
          </w:p>
          <w:p w:rsidR="00877353" w:rsidRPr="00E52BE7" w:rsidRDefault="00877353" w:rsidP="007D5EEE">
            <w:pPr>
              <w:jc w:val="both"/>
              <w:rPr>
                <w:sz w:val="26"/>
                <w:szCs w:val="26"/>
              </w:rPr>
            </w:pPr>
            <w:r w:rsidRPr="00E52BE7">
              <w:rPr>
                <w:sz w:val="26"/>
                <w:szCs w:val="26"/>
              </w:rPr>
              <w:t>Ministru kabineta komitejas 2012.gada 26.novembra sēd</w:t>
            </w:r>
            <w:r>
              <w:rPr>
                <w:sz w:val="26"/>
                <w:szCs w:val="26"/>
              </w:rPr>
              <w:t>e</w:t>
            </w:r>
            <w:r w:rsidRPr="00E52BE7">
              <w:rPr>
                <w:sz w:val="26"/>
                <w:szCs w:val="26"/>
              </w:rPr>
              <w:t>s protokola Nr.44 1.§.</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2.</w:t>
            </w:r>
          </w:p>
        </w:tc>
        <w:tc>
          <w:tcPr>
            <w:tcW w:w="1440" w:type="dxa"/>
          </w:tcPr>
          <w:p w:rsidR="00877353" w:rsidRPr="00543B99" w:rsidRDefault="00877353" w:rsidP="00F22012">
            <w:pPr>
              <w:pStyle w:val="naislab"/>
              <w:spacing w:before="0" w:after="0"/>
              <w:jc w:val="both"/>
              <w:outlineLvl w:val="0"/>
              <w:rPr>
                <w:color w:val="000000"/>
              </w:rPr>
            </w:pPr>
            <w:r w:rsidRPr="00543B99">
              <w:rPr>
                <w:color w:val="000000"/>
              </w:rPr>
              <w:t>Pašreizējā situācija un problēmas</w:t>
            </w:r>
          </w:p>
        </w:tc>
        <w:tc>
          <w:tcPr>
            <w:tcW w:w="7559" w:type="dxa"/>
          </w:tcPr>
          <w:p w:rsidR="00877353" w:rsidRDefault="00877353" w:rsidP="00CB4D3E">
            <w:pPr>
              <w:ind w:firstLine="556"/>
              <w:jc w:val="both"/>
              <w:rPr>
                <w:sz w:val="26"/>
                <w:szCs w:val="26"/>
              </w:rPr>
            </w:pPr>
            <w:r w:rsidRPr="00D97942">
              <w:rPr>
                <w:sz w:val="26"/>
                <w:szCs w:val="26"/>
              </w:rPr>
              <w:t>Lai Eiropas Savienības līmenī ieviestu un nodrošinātu vienotu autobusu pasažieru minimālo tiesību apjomu, 2011.gada 16.februārī tika pieņemta Eiropas Parlamenta un Padomes 2011.gada 16.februāra regula (EK) Nr. 181/2011 par autobusu pasažieru tiesībām un par grozījumiem Regulā (EK) Nr.2006/2004, kura jāpiemēro no 2013.gada 1.marta. Regulas (ES) Nr.181/2011 mērķis ir visās dalībvalstīs autobusu pasažieriem nodrošināt līdzvērtīgu aizsardzības un palīdzības līmeni, īpašu uzmanību pievēršot personām ar invaliditāti un personām ar ierobežotām pārvietošanās spējām.</w:t>
            </w:r>
            <w:r>
              <w:rPr>
                <w:sz w:val="26"/>
                <w:szCs w:val="26"/>
              </w:rPr>
              <w:t xml:space="preserve"> Saskaņā ar minētās Regulas 2.panta 4.punktu ir noteikts, ka, izņemot atsevišķas regulā paredzētās normas, dalībvalsts var pārredzami un nediskriminējoši piešķirt iekšzemes regulāriem pārvadājumiem atbrīvojumu no regulas piemērošanas uz laiku līdz 4 gadiem.</w:t>
            </w:r>
          </w:p>
          <w:p w:rsidR="00877353" w:rsidRDefault="00877353" w:rsidP="00CB4D3E">
            <w:pPr>
              <w:ind w:firstLine="556"/>
              <w:jc w:val="both"/>
              <w:rPr>
                <w:sz w:val="26"/>
                <w:szCs w:val="26"/>
              </w:rPr>
            </w:pPr>
            <w:r w:rsidRPr="00921D61">
              <w:rPr>
                <w:sz w:val="26"/>
                <w:szCs w:val="26"/>
              </w:rPr>
              <w:t>Kopš 2009.gada 3.decembra Latvijā sabiedriskā transporta nozarē ir tieši piemērojama Eiropas Parlamenta un Padomes 2007.gada 23.oktobra regula (EK) Nr.1370/2007 par sabiedriskā pasažieru transporta pakalpojumiem, izmantojot dzelzceļu un autoceļus, un ar ko atceļ Padomes Regulu (EEK) Nr.1191/69 un Padomes Regulu (EEK) Nr.1107/70  (turpmāk – Regula), kā to attiecīgi paredz Sabiedriskā transporta pakalpojumu likuma 3.panta trešā daļa. Minētā Regula paredz vairākus priekšnosacījumus sabiedriskā transporta pakalpojumu sniedzēju izvēles un pasūtījuma līguma slēgšanas kārtībai, tostarp pieļaujamos sabiedriskā transporta pakalpojumu pasūtījuma līgumu piešķiršanas termiņus. Tā kā arī Sabiedriskā transporta pakalpojumu likuma 8.panta septītā un astotā daļa paredz sabiedriskā transporta pakalpojumu līgumu slēgšanas atļautos termiņus, Regulas un likuma normas faktiski dublējas un atsevišķos gadījumos ir pretrunīgas (piemēram, Regula paredz, ka pasūtījuma līgums autobusu pakalpojumiem nevar būt ilgāks par 10 gadiem, taču likuma norma to ierobežo un šobrīd paredz, ka šādu līgumu termiņš ir 8 gadi).</w:t>
            </w:r>
          </w:p>
          <w:p w:rsidR="00877353" w:rsidRPr="00D97942" w:rsidRDefault="00877353" w:rsidP="00CB4D3E">
            <w:pPr>
              <w:ind w:firstLine="556"/>
              <w:jc w:val="both"/>
              <w:rPr>
                <w:sz w:val="26"/>
                <w:szCs w:val="26"/>
              </w:rPr>
            </w:pPr>
            <w:r w:rsidRPr="00921D61">
              <w:rPr>
                <w:sz w:val="26"/>
                <w:szCs w:val="26"/>
              </w:rPr>
              <w:t>Saskaņā ar Direktīvas Nr.2009/33/EK 3.panta b)apakšpunktu šīs direktīvas piemērošanas jomā ietilpst arī pakalpojumu sniedzēji, kas pilda sabiedrisko pakalpojumu sniegšanas saistības atbilstīgi pakalpojumu valsts līgumam Regulas nozīmē. Tas nozīmē, ka uz pārvadātāju uzņēmumiem, kuriem ir piešķirtas tiesības saskaņā ar pakalpojumu valsts līgumu sniegt sabiedriskā transporta pakalpojumus, attiecas minētajā Direktīvā ietvertās prasības. Attiecībā uz Direktīvas 3.panta a)apakšpunktā minētajiem subjektiem Direktīvas normas ir pārņemtas ar Publisko iepirkumu likumu un Sabiedrisko pakalpojumu sniedzēju iepirkumu likumu. Tā kā atsevišķi pārvadātāju uzņēmumi, kas šobrīd nodrošina sabiedriskā transporta pakalpojumus, nav iepriekš minēto likumu subjekti, Sabiedriskā transporta pakalpojumu likums ir piemērotākais tiesību akts, kurā iekļaut no Direktīvas normām izrietošos sabiedriskā transporta pakalpojumu sniedzēju pienākumus autotransporta līdzekļu iegādes procesā.</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3.</w:t>
            </w:r>
          </w:p>
        </w:tc>
        <w:tc>
          <w:tcPr>
            <w:tcW w:w="1440" w:type="dxa"/>
          </w:tcPr>
          <w:p w:rsidR="00877353" w:rsidRPr="00543B99" w:rsidRDefault="00877353" w:rsidP="00F22012">
            <w:pPr>
              <w:pStyle w:val="naislab"/>
              <w:spacing w:before="0" w:after="0"/>
              <w:jc w:val="both"/>
              <w:outlineLvl w:val="0"/>
              <w:rPr>
                <w:color w:val="000000"/>
              </w:rPr>
            </w:pPr>
            <w:r w:rsidRPr="00543B99">
              <w:rPr>
                <w:color w:val="000000"/>
              </w:rPr>
              <w:t>Saistītie politikas ietekmes novērtējumi un pētījumi</w:t>
            </w:r>
          </w:p>
        </w:tc>
        <w:tc>
          <w:tcPr>
            <w:tcW w:w="7559" w:type="dxa"/>
          </w:tcPr>
          <w:p w:rsidR="00877353" w:rsidRPr="00D97942" w:rsidRDefault="00877353" w:rsidP="00F22012">
            <w:pPr>
              <w:jc w:val="both"/>
              <w:rPr>
                <w:color w:val="000000"/>
                <w:sz w:val="26"/>
                <w:szCs w:val="26"/>
              </w:rPr>
            </w:pPr>
            <w:r>
              <w:rPr>
                <w:color w:val="000000"/>
                <w:sz w:val="26"/>
                <w:szCs w:val="26"/>
              </w:rPr>
              <w:t>Nav attiecināms.</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4.</w:t>
            </w:r>
          </w:p>
        </w:tc>
        <w:tc>
          <w:tcPr>
            <w:tcW w:w="1440" w:type="dxa"/>
          </w:tcPr>
          <w:p w:rsidR="00877353" w:rsidRPr="00543B99" w:rsidRDefault="00877353" w:rsidP="00F22012">
            <w:pPr>
              <w:pStyle w:val="naislab"/>
              <w:spacing w:before="0" w:after="0"/>
              <w:jc w:val="both"/>
              <w:outlineLvl w:val="0"/>
              <w:rPr>
                <w:color w:val="000000"/>
              </w:rPr>
            </w:pPr>
            <w:r w:rsidRPr="00543B99">
              <w:rPr>
                <w:color w:val="000000"/>
              </w:rPr>
              <w:t>Tiesiskā regulējuma mērķis un būtība</w:t>
            </w:r>
          </w:p>
        </w:tc>
        <w:tc>
          <w:tcPr>
            <w:tcW w:w="7559" w:type="dxa"/>
          </w:tcPr>
          <w:p w:rsidR="00877353" w:rsidRPr="008234C6" w:rsidRDefault="00877353" w:rsidP="004C32FE">
            <w:pPr>
              <w:pStyle w:val="naisf"/>
              <w:spacing w:before="0" w:after="0"/>
              <w:ind w:firstLine="414"/>
            </w:pPr>
            <w:r>
              <w:rPr>
                <w:sz w:val="26"/>
                <w:szCs w:val="26"/>
              </w:rPr>
              <w:t xml:space="preserve">Ar likumprojektu tiek atlikts </w:t>
            </w:r>
            <w:r w:rsidRPr="00D97942">
              <w:rPr>
                <w:sz w:val="26"/>
                <w:szCs w:val="26"/>
              </w:rPr>
              <w:t>Eiropas Parlamenta un Padomes 2011.gada 16.februāra regul</w:t>
            </w:r>
            <w:r>
              <w:rPr>
                <w:sz w:val="26"/>
                <w:szCs w:val="26"/>
              </w:rPr>
              <w:t>as</w:t>
            </w:r>
            <w:r w:rsidRPr="00D97942">
              <w:rPr>
                <w:sz w:val="26"/>
                <w:szCs w:val="26"/>
              </w:rPr>
              <w:t xml:space="preserve"> (EK) Nr. 181/2011 par autobusu pasažieru tiesībām un par grozījumiem Regulā (EK) Nr.2006/2004 ieviešanas termiņš attiecībā uz iekšzemes pasažieru regulāriem autobusu pārvadājumiem, ievērojot regulas piemērošanas mehānismu</w:t>
            </w:r>
            <w:r>
              <w:rPr>
                <w:sz w:val="26"/>
                <w:szCs w:val="26"/>
              </w:rPr>
              <w:t>.</w:t>
            </w:r>
            <w:r w:rsidRPr="00D97942">
              <w:rPr>
                <w:sz w:val="26"/>
                <w:szCs w:val="26"/>
              </w:rPr>
              <w:t xml:space="preserve"> </w:t>
            </w:r>
            <w:r>
              <w:rPr>
                <w:sz w:val="26"/>
                <w:szCs w:val="26"/>
              </w:rPr>
              <w:t>Likumprojekts paredz, ka minēto regulu</w:t>
            </w:r>
            <w:r w:rsidRPr="00D97942">
              <w:rPr>
                <w:sz w:val="26"/>
                <w:szCs w:val="26"/>
              </w:rPr>
              <w:t xml:space="preserve"> nepiemēro līdz 2017.gada 1.martam.</w:t>
            </w:r>
            <w:r>
              <w:t xml:space="preserve"> </w:t>
            </w:r>
            <w:r w:rsidRPr="00D97942">
              <w:rPr>
                <w:sz w:val="26"/>
                <w:szCs w:val="26"/>
              </w:rPr>
              <w:t>Pārējās Regulas normas tiek pārņemtas ar likumprojektu „Grozījumi Autopārvadājumu likumā”.</w:t>
            </w:r>
          </w:p>
          <w:p w:rsidR="00877353" w:rsidRDefault="00877353" w:rsidP="004C32FE">
            <w:pPr>
              <w:pStyle w:val="naisf"/>
              <w:spacing w:before="0" w:after="0"/>
              <w:ind w:firstLine="414"/>
              <w:rPr>
                <w:sz w:val="26"/>
                <w:szCs w:val="26"/>
              </w:rPr>
            </w:pPr>
            <w:r>
              <w:rPr>
                <w:sz w:val="26"/>
                <w:szCs w:val="26"/>
              </w:rPr>
              <w:t>Likumprojekts paredz novērst</w:t>
            </w:r>
            <w:r w:rsidRPr="00921D61">
              <w:rPr>
                <w:sz w:val="26"/>
                <w:szCs w:val="26"/>
              </w:rPr>
              <w:t xml:space="preserve"> nacionālo un Eiropas Savienības tiesību normu dublēšanos, precizēt 8.panta septīto daļu un izslēgt 8.panta astoto daļu no likuma, kas paredz sabiedriskā transporta pakalp</w:t>
            </w:r>
            <w:r>
              <w:rPr>
                <w:sz w:val="26"/>
                <w:szCs w:val="26"/>
              </w:rPr>
              <w:t>ojumu līgumu slēgšanas termiņus, kā arī jaunu pantu  par ī</w:t>
            </w:r>
            <w:r w:rsidRPr="008234C6">
              <w:rPr>
                <w:sz w:val="26"/>
                <w:szCs w:val="26"/>
              </w:rPr>
              <w:t>paši</w:t>
            </w:r>
            <w:r>
              <w:rPr>
                <w:sz w:val="26"/>
                <w:szCs w:val="26"/>
              </w:rPr>
              <w:t>em</w:t>
            </w:r>
            <w:r w:rsidRPr="008234C6">
              <w:rPr>
                <w:sz w:val="26"/>
                <w:szCs w:val="26"/>
              </w:rPr>
              <w:t xml:space="preserve"> noteikumi</w:t>
            </w:r>
            <w:r>
              <w:rPr>
                <w:sz w:val="26"/>
                <w:szCs w:val="26"/>
              </w:rPr>
              <w:t>em</w:t>
            </w:r>
            <w:r w:rsidRPr="008234C6">
              <w:rPr>
                <w:sz w:val="26"/>
                <w:szCs w:val="26"/>
              </w:rPr>
              <w:t xml:space="preserve"> pārvadātājam autotransporta līdzekļu iepirkumiem</w:t>
            </w:r>
            <w:r>
              <w:rPr>
                <w:sz w:val="26"/>
                <w:szCs w:val="26"/>
              </w:rPr>
              <w:t>,</w:t>
            </w:r>
            <w:r>
              <w:t xml:space="preserve"> </w:t>
            </w:r>
            <w:r w:rsidRPr="008234C6">
              <w:rPr>
                <w:sz w:val="26"/>
                <w:szCs w:val="26"/>
              </w:rPr>
              <w:t>kas izriet no Eiropas Parlamenta un Padomes 2009.gada 23.aprīļa direktīvas 2009/33/EK par “tīro” un energoefektīvo autotransporta līdzekļu izmantošanas veicināšanu</w:t>
            </w:r>
            <w:r>
              <w:rPr>
                <w:sz w:val="26"/>
                <w:szCs w:val="26"/>
              </w:rPr>
              <w:t>.</w:t>
            </w:r>
          </w:p>
          <w:p w:rsidR="00877353" w:rsidRPr="00D97942" w:rsidRDefault="00877353" w:rsidP="008234C6">
            <w:pPr>
              <w:pStyle w:val="naisf"/>
              <w:spacing w:before="0" w:after="0"/>
              <w:ind w:firstLine="414"/>
              <w:rPr>
                <w:sz w:val="26"/>
                <w:szCs w:val="26"/>
              </w:rPr>
            </w:pPr>
          </w:p>
        </w:tc>
      </w:tr>
      <w:tr w:rsidR="00877353" w:rsidRPr="00543B99" w:rsidTr="00F22012">
        <w:trPr>
          <w:jc w:val="center"/>
        </w:trPr>
        <w:tc>
          <w:tcPr>
            <w:tcW w:w="540" w:type="dxa"/>
          </w:tcPr>
          <w:p w:rsidR="00877353" w:rsidRPr="00077839" w:rsidRDefault="00877353" w:rsidP="00F22012">
            <w:pPr>
              <w:pStyle w:val="Header"/>
              <w:jc w:val="center"/>
              <w:outlineLvl w:val="0"/>
              <w:rPr>
                <w:color w:val="000000"/>
              </w:rPr>
            </w:pPr>
            <w:r w:rsidRPr="00077839">
              <w:rPr>
                <w:color w:val="000000"/>
              </w:rPr>
              <w:t>5.</w:t>
            </w:r>
          </w:p>
        </w:tc>
        <w:tc>
          <w:tcPr>
            <w:tcW w:w="1440" w:type="dxa"/>
          </w:tcPr>
          <w:p w:rsidR="00877353" w:rsidRPr="00077839" w:rsidRDefault="00877353" w:rsidP="00F22012">
            <w:pPr>
              <w:pStyle w:val="Header"/>
              <w:jc w:val="both"/>
              <w:outlineLvl w:val="0"/>
              <w:rPr>
                <w:color w:val="000000"/>
              </w:rPr>
            </w:pPr>
            <w:r w:rsidRPr="00077839">
              <w:rPr>
                <w:color w:val="000000"/>
              </w:rPr>
              <w:t>Projekta izstrādē iesaistītās institūcijas</w:t>
            </w:r>
          </w:p>
        </w:tc>
        <w:tc>
          <w:tcPr>
            <w:tcW w:w="7559" w:type="dxa"/>
          </w:tcPr>
          <w:p w:rsidR="00877353" w:rsidRPr="00D97942" w:rsidRDefault="00877353" w:rsidP="004C32FE">
            <w:pPr>
              <w:pStyle w:val="naiskr"/>
              <w:spacing w:before="0" w:after="0"/>
              <w:jc w:val="both"/>
              <w:rPr>
                <w:color w:val="FF0000"/>
                <w:sz w:val="26"/>
                <w:szCs w:val="26"/>
              </w:rPr>
            </w:pPr>
            <w:r>
              <w:rPr>
                <w:sz w:val="26"/>
                <w:szCs w:val="26"/>
              </w:rPr>
              <w:t xml:space="preserve">Saskaņā ar </w:t>
            </w:r>
            <w:r w:rsidRPr="00E52BE7">
              <w:rPr>
                <w:sz w:val="26"/>
                <w:szCs w:val="26"/>
              </w:rPr>
              <w:t>Ministru kabineta komitejas 2012.gada 26.novembra sēd</w:t>
            </w:r>
            <w:r>
              <w:rPr>
                <w:sz w:val="26"/>
                <w:szCs w:val="26"/>
              </w:rPr>
              <w:t>e</w:t>
            </w:r>
            <w:r w:rsidRPr="00E52BE7">
              <w:rPr>
                <w:sz w:val="26"/>
                <w:szCs w:val="26"/>
              </w:rPr>
              <w:t>s protokola Nr.44 1.§</w:t>
            </w:r>
            <w:r>
              <w:rPr>
                <w:sz w:val="26"/>
                <w:szCs w:val="26"/>
              </w:rPr>
              <w:t xml:space="preserve"> 2.2.punktu likumprojekts tika atkārtoti izvērtēts starpministriju sanāksmē, kurā piedalījās Satiksmes ministrijas, Autotransporta direkcijas, Latvijas Darba devēju konfederācijas un Latvijas Pašvaldību savienības pārstāvji. Tā kā vienošanās netika panākta, no likumprojekta ir svītrotas normas, kas attiecās uz autoostu sistēmas reorganizāciju.</w:t>
            </w:r>
          </w:p>
        </w:tc>
      </w:tr>
      <w:tr w:rsidR="00877353" w:rsidRPr="00543B99" w:rsidTr="00F22012">
        <w:trPr>
          <w:trHeight w:val="1381"/>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6.</w:t>
            </w:r>
          </w:p>
        </w:tc>
        <w:tc>
          <w:tcPr>
            <w:tcW w:w="1440" w:type="dxa"/>
          </w:tcPr>
          <w:p w:rsidR="00877353" w:rsidRPr="00543B99" w:rsidRDefault="00877353" w:rsidP="00F22012">
            <w:pPr>
              <w:pStyle w:val="naislab"/>
              <w:spacing w:before="0" w:after="0"/>
              <w:jc w:val="both"/>
              <w:outlineLvl w:val="0"/>
              <w:rPr>
                <w:color w:val="000000"/>
              </w:rPr>
            </w:pPr>
            <w:r w:rsidRPr="00543B99">
              <w:rPr>
                <w:color w:val="000000"/>
              </w:rPr>
              <w:t>Iemesli, kādēļ netika nodrošināta sabiedrības līdzdalība</w:t>
            </w:r>
          </w:p>
        </w:tc>
        <w:tc>
          <w:tcPr>
            <w:tcW w:w="7559" w:type="dxa"/>
          </w:tcPr>
          <w:p w:rsidR="00877353" w:rsidRPr="00D97942" w:rsidRDefault="00877353" w:rsidP="006C5D66">
            <w:pPr>
              <w:jc w:val="both"/>
              <w:rPr>
                <w:color w:val="000000"/>
                <w:sz w:val="26"/>
                <w:szCs w:val="26"/>
              </w:rPr>
            </w:pPr>
            <w:r w:rsidRPr="00921D61">
              <w:rPr>
                <w:color w:val="000000"/>
                <w:sz w:val="26"/>
                <w:szCs w:val="26"/>
              </w:rPr>
              <w:t>Likumprojekts tiešā veidā neietekmē sabiedrību, bet gan skar sabiedriskā transporta pakalpojuma pasūtītājus un pārvadātājus.</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7.</w:t>
            </w:r>
          </w:p>
        </w:tc>
        <w:tc>
          <w:tcPr>
            <w:tcW w:w="1440" w:type="dxa"/>
          </w:tcPr>
          <w:p w:rsidR="00877353" w:rsidRPr="00543B99" w:rsidRDefault="00877353" w:rsidP="00F22012">
            <w:pPr>
              <w:pStyle w:val="naislab"/>
              <w:spacing w:before="0" w:after="0"/>
              <w:jc w:val="both"/>
              <w:outlineLvl w:val="0"/>
              <w:rPr>
                <w:color w:val="000000"/>
              </w:rPr>
            </w:pPr>
            <w:r w:rsidRPr="00543B99">
              <w:rPr>
                <w:color w:val="000000"/>
              </w:rPr>
              <w:t>Cita informācija</w:t>
            </w:r>
          </w:p>
        </w:tc>
        <w:tc>
          <w:tcPr>
            <w:tcW w:w="7559" w:type="dxa"/>
          </w:tcPr>
          <w:p w:rsidR="00877353" w:rsidRPr="00543B99" w:rsidRDefault="00877353" w:rsidP="00EF0189">
            <w:pPr>
              <w:jc w:val="both"/>
              <w:rPr>
                <w:color w:val="000000"/>
              </w:rPr>
            </w:pPr>
            <w:r w:rsidRPr="00543B99">
              <w:rPr>
                <w:color w:val="000000"/>
              </w:rPr>
              <w:t>Nav.</w:t>
            </w:r>
          </w:p>
        </w:tc>
      </w:tr>
    </w:tbl>
    <w:p w:rsidR="00877353" w:rsidRPr="00543B99" w:rsidRDefault="00877353" w:rsidP="0084418B">
      <w:pPr>
        <w:rPr>
          <w:color w:val="000000"/>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877353" w:rsidRPr="00543B99" w:rsidTr="00F22012">
        <w:trPr>
          <w:jc w:val="center"/>
        </w:trPr>
        <w:tc>
          <w:tcPr>
            <w:tcW w:w="9539" w:type="dxa"/>
            <w:gridSpan w:val="3"/>
          </w:tcPr>
          <w:p w:rsidR="00877353" w:rsidRPr="00543B99" w:rsidRDefault="00877353" w:rsidP="00F22012">
            <w:pPr>
              <w:jc w:val="center"/>
              <w:rPr>
                <w:b/>
                <w:color w:val="000000"/>
              </w:rPr>
            </w:pPr>
            <w:r w:rsidRPr="00543B99">
              <w:rPr>
                <w:b/>
                <w:color w:val="000000"/>
              </w:rPr>
              <w:t>II. Tiesību akta projekta ietekme uz sabiedrību</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1.</w:t>
            </w:r>
          </w:p>
        </w:tc>
        <w:tc>
          <w:tcPr>
            <w:tcW w:w="3420" w:type="dxa"/>
          </w:tcPr>
          <w:p w:rsidR="00877353" w:rsidRPr="00543B99" w:rsidRDefault="00877353" w:rsidP="00F22012">
            <w:pPr>
              <w:pStyle w:val="naislab"/>
              <w:spacing w:before="0" w:after="0"/>
              <w:jc w:val="both"/>
              <w:outlineLvl w:val="0"/>
              <w:rPr>
                <w:color w:val="000000"/>
              </w:rPr>
            </w:pPr>
            <w:r w:rsidRPr="00543B99">
              <w:rPr>
                <w:color w:val="000000"/>
              </w:rPr>
              <w:t>Sabiedrības mērķgrupa</w:t>
            </w:r>
          </w:p>
        </w:tc>
        <w:tc>
          <w:tcPr>
            <w:tcW w:w="5579" w:type="dxa"/>
          </w:tcPr>
          <w:p w:rsidR="00877353" w:rsidRPr="00D97942" w:rsidRDefault="00877353" w:rsidP="004321EB">
            <w:pPr>
              <w:pStyle w:val="naiskr"/>
              <w:spacing w:before="0" w:after="0"/>
              <w:jc w:val="both"/>
              <w:rPr>
                <w:color w:val="000000"/>
                <w:sz w:val="26"/>
                <w:szCs w:val="26"/>
              </w:rPr>
            </w:pPr>
            <w:r w:rsidRPr="00D97942">
              <w:rPr>
                <w:color w:val="000000"/>
                <w:sz w:val="26"/>
                <w:szCs w:val="26"/>
              </w:rPr>
              <w:t>Pasažieri, kas izmanto autobusu regulāros sabiedriskā transporta pakalpojumus, autoostas, pasažieru pārvadātāji</w:t>
            </w:r>
            <w:r>
              <w:rPr>
                <w:color w:val="000000"/>
                <w:sz w:val="26"/>
                <w:szCs w:val="26"/>
              </w:rPr>
              <w:t>, kā arī s</w:t>
            </w:r>
            <w:r w:rsidRPr="00921D61">
              <w:rPr>
                <w:color w:val="000000"/>
                <w:sz w:val="26"/>
                <w:szCs w:val="26"/>
              </w:rPr>
              <w:t>abiedriskā transporta pakalpojumu organizētāji (pasūtītāji), pārvadātāji (aptuveni 50-60 pārvadātāju uzņēmumi kopumā).</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2.</w:t>
            </w:r>
          </w:p>
        </w:tc>
        <w:tc>
          <w:tcPr>
            <w:tcW w:w="3420" w:type="dxa"/>
          </w:tcPr>
          <w:p w:rsidR="00877353" w:rsidRPr="00543B99" w:rsidRDefault="00877353" w:rsidP="00F22012">
            <w:pPr>
              <w:pStyle w:val="naislab"/>
              <w:spacing w:before="0" w:after="0"/>
              <w:jc w:val="both"/>
              <w:outlineLvl w:val="0"/>
              <w:rPr>
                <w:color w:val="000000"/>
              </w:rPr>
            </w:pPr>
            <w:r w:rsidRPr="00543B99">
              <w:rPr>
                <w:color w:val="000000"/>
              </w:rPr>
              <w:t>Citas sabiedrības grupas (bez mērķgrupas), kuras tiesiskais regulējums arī ietekmē vai varētu ietekmēt</w:t>
            </w:r>
          </w:p>
        </w:tc>
        <w:tc>
          <w:tcPr>
            <w:tcW w:w="5579" w:type="dxa"/>
          </w:tcPr>
          <w:p w:rsidR="00877353" w:rsidRPr="00D97942" w:rsidRDefault="00877353" w:rsidP="00F22012">
            <w:pPr>
              <w:jc w:val="both"/>
              <w:rPr>
                <w:color w:val="000000"/>
                <w:sz w:val="26"/>
                <w:szCs w:val="26"/>
              </w:rPr>
            </w:pPr>
            <w:r w:rsidRPr="00D97942">
              <w:rPr>
                <w:color w:val="000000"/>
                <w:sz w:val="26"/>
                <w:szCs w:val="26"/>
              </w:rPr>
              <w:t>Projekts šo jomu neskar.</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3.</w:t>
            </w:r>
          </w:p>
        </w:tc>
        <w:tc>
          <w:tcPr>
            <w:tcW w:w="3420" w:type="dxa"/>
          </w:tcPr>
          <w:p w:rsidR="00877353" w:rsidRPr="00543B99" w:rsidRDefault="00877353" w:rsidP="00F22012">
            <w:pPr>
              <w:pStyle w:val="naislab"/>
              <w:spacing w:before="0" w:after="0"/>
              <w:jc w:val="both"/>
              <w:outlineLvl w:val="0"/>
              <w:rPr>
                <w:color w:val="000000"/>
              </w:rPr>
            </w:pPr>
            <w:r w:rsidRPr="00543B99">
              <w:rPr>
                <w:color w:val="000000"/>
              </w:rPr>
              <w:t>Tiesiskā regulējuma finansiālā ietekme</w:t>
            </w:r>
          </w:p>
        </w:tc>
        <w:tc>
          <w:tcPr>
            <w:tcW w:w="5579" w:type="dxa"/>
          </w:tcPr>
          <w:p w:rsidR="00877353" w:rsidRPr="00D97942" w:rsidRDefault="00877353" w:rsidP="00F22012">
            <w:pPr>
              <w:pStyle w:val="naiskr"/>
              <w:spacing w:before="0" w:after="0"/>
              <w:jc w:val="both"/>
              <w:rPr>
                <w:sz w:val="26"/>
                <w:szCs w:val="26"/>
              </w:rPr>
            </w:pPr>
            <w:r w:rsidRPr="00D97942">
              <w:rPr>
                <w:color w:val="000000"/>
                <w:sz w:val="26"/>
                <w:szCs w:val="26"/>
              </w:rPr>
              <w:t>Projekts šo jomu neskar.</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4.</w:t>
            </w:r>
          </w:p>
        </w:tc>
        <w:tc>
          <w:tcPr>
            <w:tcW w:w="3420" w:type="dxa"/>
          </w:tcPr>
          <w:p w:rsidR="00877353" w:rsidRPr="00543B99" w:rsidRDefault="00877353" w:rsidP="00F22012">
            <w:pPr>
              <w:pStyle w:val="naislab"/>
              <w:spacing w:before="0" w:after="0"/>
              <w:jc w:val="both"/>
              <w:outlineLvl w:val="0"/>
              <w:rPr>
                <w:color w:val="000000"/>
              </w:rPr>
            </w:pPr>
            <w:r w:rsidRPr="00543B99">
              <w:rPr>
                <w:color w:val="000000"/>
              </w:rPr>
              <w:t>Tiesiskā regulējuma nefinansiālā ietekme</w:t>
            </w:r>
          </w:p>
        </w:tc>
        <w:tc>
          <w:tcPr>
            <w:tcW w:w="5579" w:type="dxa"/>
          </w:tcPr>
          <w:p w:rsidR="00877353" w:rsidRPr="00D97942" w:rsidRDefault="00877353" w:rsidP="00F22012">
            <w:pPr>
              <w:jc w:val="both"/>
              <w:rPr>
                <w:color w:val="000000"/>
                <w:sz w:val="26"/>
                <w:szCs w:val="26"/>
              </w:rPr>
            </w:pPr>
            <w:r w:rsidRPr="00D97942">
              <w:rPr>
                <w:color w:val="000000"/>
                <w:sz w:val="26"/>
                <w:szCs w:val="26"/>
              </w:rPr>
              <w:t>Projekts šo jomu neskar.</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5.</w:t>
            </w:r>
          </w:p>
        </w:tc>
        <w:tc>
          <w:tcPr>
            <w:tcW w:w="3420" w:type="dxa"/>
          </w:tcPr>
          <w:p w:rsidR="00877353" w:rsidRPr="00543B99" w:rsidRDefault="00877353" w:rsidP="00F22012">
            <w:pPr>
              <w:pStyle w:val="naislab"/>
              <w:spacing w:before="0" w:after="0"/>
              <w:jc w:val="both"/>
              <w:outlineLvl w:val="0"/>
              <w:rPr>
                <w:color w:val="000000"/>
              </w:rPr>
            </w:pPr>
            <w:r w:rsidRPr="00543B99">
              <w:rPr>
                <w:color w:val="000000"/>
              </w:rPr>
              <w:t>Administratīvās procedūras raksturojums</w:t>
            </w:r>
          </w:p>
        </w:tc>
        <w:tc>
          <w:tcPr>
            <w:tcW w:w="5579" w:type="dxa"/>
          </w:tcPr>
          <w:p w:rsidR="00877353" w:rsidRPr="00D97942" w:rsidRDefault="00877353" w:rsidP="00F22012">
            <w:pPr>
              <w:jc w:val="both"/>
              <w:rPr>
                <w:color w:val="000000"/>
                <w:sz w:val="26"/>
                <w:szCs w:val="26"/>
              </w:rPr>
            </w:pPr>
            <w:r w:rsidRPr="00D97942">
              <w:rPr>
                <w:color w:val="000000"/>
                <w:sz w:val="26"/>
                <w:szCs w:val="26"/>
              </w:rPr>
              <w:t>Projekts šo jomu neskar.</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6.</w:t>
            </w:r>
          </w:p>
        </w:tc>
        <w:tc>
          <w:tcPr>
            <w:tcW w:w="3420" w:type="dxa"/>
          </w:tcPr>
          <w:p w:rsidR="00877353" w:rsidRPr="00543B99" w:rsidRDefault="00877353" w:rsidP="00F22012">
            <w:pPr>
              <w:pStyle w:val="naislab"/>
              <w:spacing w:before="0" w:after="0"/>
              <w:jc w:val="both"/>
              <w:outlineLvl w:val="0"/>
              <w:rPr>
                <w:color w:val="000000"/>
              </w:rPr>
            </w:pPr>
            <w:r w:rsidRPr="00543B99">
              <w:rPr>
                <w:color w:val="000000"/>
              </w:rPr>
              <w:t>Administratīvo i</w:t>
            </w:r>
            <w:smartTag w:uri="urn:schemas-microsoft-com:office:smarttags" w:element="PersonName">
              <w:r w:rsidRPr="00543B99">
                <w:rPr>
                  <w:color w:val="000000"/>
                </w:rPr>
                <w:t>zm</w:t>
              </w:r>
            </w:smartTag>
            <w:r w:rsidRPr="00543B99">
              <w:rPr>
                <w:color w:val="000000"/>
              </w:rPr>
              <w:t>aksu monetārs novērtējums</w:t>
            </w:r>
          </w:p>
        </w:tc>
        <w:tc>
          <w:tcPr>
            <w:tcW w:w="5579" w:type="dxa"/>
          </w:tcPr>
          <w:p w:rsidR="00877353" w:rsidRPr="00D97942" w:rsidRDefault="00877353" w:rsidP="00F22012">
            <w:pPr>
              <w:jc w:val="both"/>
              <w:rPr>
                <w:sz w:val="26"/>
                <w:szCs w:val="26"/>
              </w:rPr>
            </w:pPr>
            <w:r w:rsidRPr="00D97942">
              <w:rPr>
                <w:color w:val="000000"/>
                <w:sz w:val="26"/>
                <w:szCs w:val="26"/>
              </w:rPr>
              <w:t>Projekts šo jomu neskar.</w:t>
            </w:r>
          </w:p>
        </w:tc>
      </w:tr>
      <w:tr w:rsidR="00877353" w:rsidRPr="00543B99" w:rsidTr="00F22012">
        <w:trPr>
          <w:jc w:val="center"/>
        </w:trPr>
        <w:tc>
          <w:tcPr>
            <w:tcW w:w="540" w:type="dxa"/>
          </w:tcPr>
          <w:p w:rsidR="00877353" w:rsidRPr="00543B99" w:rsidRDefault="00877353" w:rsidP="00F22012">
            <w:pPr>
              <w:pStyle w:val="naislab"/>
              <w:spacing w:before="0" w:after="0"/>
              <w:jc w:val="center"/>
              <w:outlineLvl w:val="0"/>
              <w:rPr>
                <w:color w:val="000000"/>
              </w:rPr>
            </w:pPr>
            <w:r w:rsidRPr="00543B99">
              <w:rPr>
                <w:color w:val="000000"/>
              </w:rPr>
              <w:t>7.</w:t>
            </w:r>
          </w:p>
        </w:tc>
        <w:tc>
          <w:tcPr>
            <w:tcW w:w="3420" w:type="dxa"/>
          </w:tcPr>
          <w:p w:rsidR="00877353" w:rsidRPr="00543B99" w:rsidRDefault="00877353" w:rsidP="00F22012">
            <w:pPr>
              <w:pStyle w:val="naislab"/>
              <w:spacing w:before="0" w:after="0"/>
              <w:jc w:val="both"/>
              <w:outlineLvl w:val="0"/>
              <w:rPr>
                <w:color w:val="000000"/>
              </w:rPr>
            </w:pPr>
            <w:r w:rsidRPr="00543B99">
              <w:rPr>
                <w:color w:val="000000"/>
              </w:rPr>
              <w:t>Cita informācija</w:t>
            </w:r>
          </w:p>
        </w:tc>
        <w:tc>
          <w:tcPr>
            <w:tcW w:w="5579" w:type="dxa"/>
          </w:tcPr>
          <w:p w:rsidR="00877353" w:rsidRPr="00D97942" w:rsidRDefault="00877353" w:rsidP="00F22012">
            <w:pPr>
              <w:jc w:val="both"/>
              <w:rPr>
                <w:color w:val="000000"/>
                <w:sz w:val="26"/>
                <w:szCs w:val="26"/>
              </w:rPr>
            </w:pPr>
            <w:r w:rsidRPr="00D97942">
              <w:rPr>
                <w:color w:val="000000"/>
                <w:sz w:val="26"/>
                <w:szCs w:val="26"/>
              </w:rPr>
              <w:t>Nav.</w:t>
            </w:r>
          </w:p>
        </w:tc>
      </w:tr>
    </w:tbl>
    <w:p w:rsidR="00877353" w:rsidRDefault="00877353" w:rsidP="0084418B"/>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877353" w:rsidRPr="004842C1" w:rsidTr="00D71353">
        <w:tc>
          <w:tcPr>
            <w:tcW w:w="9640" w:type="dxa"/>
          </w:tcPr>
          <w:p w:rsidR="00877353" w:rsidRPr="004842C1" w:rsidRDefault="00877353" w:rsidP="00D71353">
            <w:pPr>
              <w:jc w:val="center"/>
              <w:rPr>
                <w:b/>
              </w:rPr>
            </w:pPr>
            <w:r w:rsidRPr="004842C1">
              <w:rPr>
                <w:b/>
              </w:rPr>
              <w:t>III. Tiesību akta projekta ietekme uz valsts budžetu un pašvaldību budžetiem</w:t>
            </w:r>
          </w:p>
        </w:tc>
      </w:tr>
      <w:tr w:rsidR="00877353" w:rsidRPr="004842C1" w:rsidTr="00D71353">
        <w:tc>
          <w:tcPr>
            <w:tcW w:w="9640" w:type="dxa"/>
          </w:tcPr>
          <w:p w:rsidR="00877353" w:rsidRPr="00B36B95" w:rsidRDefault="00877353" w:rsidP="00D71353">
            <w:pPr>
              <w:jc w:val="center"/>
            </w:pPr>
            <w:r w:rsidRPr="00B36B95">
              <w:t>Projekts šo jomu neskar.</w:t>
            </w:r>
          </w:p>
        </w:tc>
      </w:tr>
    </w:tbl>
    <w:p w:rsidR="00877353" w:rsidRDefault="00877353" w:rsidP="0084418B"/>
    <w:p w:rsidR="00877353" w:rsidRPr="00543B99" w:rsidRDefault="00877353" w:rsidP="0084418B"/>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1865"/>
        <w:gridCol w:w="597"/>
        <w:gridCol w:w="6716"/>
      </w:tblGrid>
      <w:tr w:rsidR="00877353" w:rsidRPr="00543B99" w:rsidTr="00F22012">
        <w:trPr>
          <w:trHeight w:val="279"/>
        </w:trPr>
        <w:tc>
          <w:tcPr>
            <w:tcW w:w="9640" w:type="dxa"/>
            <w:gridSpan w:val="4"/>
          </w:tcPr>
          <w:p w:rsidR="00877353" w:rsidRPr="00543B99" w:rsidRDefault="00877353" w:rsidP="00F22012">
            <w:pPr>
              <w:jc w:val="center"/>
              <w:rPr>
                <w:b/>
                <w:color w:val="000000"/>
              </w:rPr>
            </w:pPr>
            <w:r w:rsidRPr="00543B99">
              <w:rPr>
                <w:b/>
                <w:color w:val="000000"/>
              </w:rPr>
              <w:t>IV. Tiesību akta projekta ietekme uz spēkā esošo tiesību normu sistēmu</w:t>
            </w:r>
          </w:p>
        </w:tc>
      </w:tr>
      <w:tr w:rsidR="00877353" w:rsidRPr="00543B99" w:rsidTr="00F22012">
        <w:trPr>
          <w:trHeight w:val="279"/>
        </w:trPr>
        <w:tc>
          <w:tcPr>
            <w:tcW w:w="462" w:type="dxa"/>
          </w:tcPr>
          <w:p w:rsidR="00877353" w:rsidRPr="00543B99" w:rsidRDefault="00877353" w:rsidP="00F22012">
            <w:pPr>
              <w:jc w:val="both"/>
              <w:rPr>
                <w:color w:val="000000"/>
              </w:rPr>
            </w:pPr>
            <w:r w:rsidRPr="00543B99">
              <w:rPr>
                <w:color w:val="000000"/>
              </w:rPr>
              <w:t>1.</w:t>
            </w:r>
          </w:p>
        </w:tc>
        <w:tc>
          <w:tcPr>
            <w:tcW w:w="1865" w:type="dxa"/>
          </w:tcPr>
          <w:p w:rsidR="00877353" w:rsidRPr="00543B99" w:rsidRDefault="00877353" w:rsidP="00F22012">
            <w:pPr>
              <w:jc w:val="both"/>
              <w:rPr>
                <w:color w:val="000000"/>
              </w:rPr>
            </w:pPr>
            <w:r w:rsidRPr="00543B99">
              <w:rPr>
                <w:color w:val="000000"/>
              </w:rPr>
              <w:t>Nepieciešamie saistītie tiesību aktu projekti</w:t>
            </w:r>
          </w:p>
        </w:tc>
        <w:tc>
          <w:tcPr>
            <w:tcW w:w="7313" w:type="dxa"/>
            <w:gridSpan w:val="2"/>
          </w:tcPr>
          <w:p w:rsidR="00877353" w:rsidRPr="00F73AEC" w:rsidRDefault="00877353" w:rsidP="008929F9">
            <w:pPr>
              <w:pStyle w:val="NormalWeb"/>
              <w:spacing w:before="0" w:beforeAutospacing="0" w:after="0" w:afterAutospacing="0"/>
              <w:jc w:val="both"/>
              <w:rPr>
                <w:sz w:val="26"/>
                <w:szCs w:val="26"/>
              </w:rPr>
            </w:pPr>
            <w:r w:rsidRPr="00F73AEC">
              <w:rPr>
                <w:sz w:val="26"/>
                <w:szCs w:val="26"/>
              </w:rPr>
              <w:t>Saskaņā ar likumprojektā noteikto  deleģējumu Satiksmes ministrija izstrādās un līdz 201</w:t>
            </w:r>
            <w:r>
              <w:rPr>
                <w:sz w:val="26"/>
                <w:szCs w:val="26"/>
              </w:rPr>
              <w:t>3</w:t>
            </w:r>
            <w:r w:rsidRPr="00F73AEC">
              <w:rPr>
                <w:sz w:val="26"/>
                <w:szCs w:val="26"/>
              </w:rPr>
              <w:t>.gada 31.</w:t>
            </w:r>
            <w:r>
              <w:rPr>
                <w:sz w:val="26"/>
                <w:szCs w:val="26"/>
              </w:rPr>
              <w:t>jūnijam</w:t>
            </w:r>
            <w:r w:rsidRPr="00F73AEC">
              <w:rPr>
                <w:sz w:val="26"/>
                <w:szCs w:val="26"/>
              </w:rPr>
              <w:t xml:space="preserve"> Ministru kabinets izdos noteikumus, kuros tiks noteikta:</w:t>
            </w:r>
          </w:p>
          <w:p w:rsidR="00877353" w:rsidRPr="00F73AEC" w:rsidRDefault="00877353" w:rsidP="0043445D">
            <w:pPr>
              <w:pStyle w:val="NormalWeb"/>
              <w:numPr>
                <w:ilvl w:val="0"/>
                <w:numId w:val="9"/>
              </w:numPr>
              <w:spacing w:before="0" w:beforeAutospacing="0" w:after="0" w:afterAutospacing="0"/>
              <w:jc w:val="both"/>
              <w:rPr>
                <w:sz w:val="26"/>
                <w:szCs w:val="26"/>
              </w:rPr>
            </w:pPr>
            <w:r w:rsidRPr="00F73AEC">
              <w:rPr>
                <w:sz w:val="26"/>
                <w:szCs w:val="26"/>
              </w:rPr>
              <w:t>kārtība kādā pārvadātājs novērtē sabiedrisko autotransporta līdzekļu ekspluatācijas ietekmi uz enerģētiku un vidi un izvērtē enerģijas patēriņš un oglekļa dioksīda, slāpekļa oksīdu, metānu nesaturošo ogļūdeņražu un cieto daļiņu emisijas apjomu;</w:t>
            </w:r>
          </w:p>
          <w:p w:rsidR="00877353" w:rsidRPr="00F73AEC" w:rsidRDefault="00877353" w:rsidP="0043445D">
            <w:pPr>
              <w:pStyle w:val="NormalWeb"/>
              <w:numPr>
                <w:ilvl w:val="0"/>
                <w:numId w:val="9"/>
              </w:numPr>
              <w:spacing w:before="0" w:beforeAutospacing="0" w:after="0" w:afterAutospacing="0"/>
              <w:jc w:val="both"/>
              <w:rPr>
                <w:sz w:val="26"/>
                <w:szCs w:val="26"/>
              </w:rPr>
            </w:pPr>
            <w:r w:rsidRPr="00F73AEC">
              <w:rPr>
                <w:sz w:val="26"/>
                <w:szCs w:val="26"/>
              </w:rPr>
              <w:t>sabiedrisko autotransporta līdzekļu pirkuma līgumcenas robeža, uz kuriem būs attiecināma iepriekšējā punktā minētā kārtība. Līgumcenas robežu Ministru kabinets noteiks, pamatojoties uz Eiropas Savienības tiesību aktiem attiecībā uz līgumcenu robežām, kas jāievēro pasūtītājam. Līgumcenu robeža tiks noteikta vismaz reizi divos gados mēneša laikā pēc tam, kad Eiropas Komisija būs paziņojusi Eiropas Savienības Oficiālajā Vēstnesī attiecīgās līgumcenu robežas;</w:t>
            </w:r>
          </w:p>
          <w:p w:rsidR="00877353" w:rsidRPr="00543B99" w:rsidRDefault="00877353" w:rsidP="0043445D">
            <w:pPr>
              <w:pStyle w:val="NormalWeb"/>
              <w:numPr>
                <w:ilvl w:val="0"/>
                <w:numId w:val="9"/>
              </w:numPr>
              <w:spacing w:before="0" w:beforeAutospacing="0" w:after="0" w:afterAutospacing="0"/>
              <w:jc w:val="both"/>
            </w:pPr>
            <w:r w:rsidRPr="00F73AEC">
              <w:rPr>
                <w:sz w:val="26"/>
                <w:szCs w:val="26"/>
              </w:rPr>
              <w:t>kārtība, kādā pārvadātājs, pērkot sabiedriskos autotransporta līdzekļus, kurus izmanto sabiedriskā transporta pakalpojumu sniegšanā, aprēķina paredzamo līgumcenu.</w:t>
            </w:r>
          </w:p>
        </w:tc>
      </w:tr>
      <w:tr w:rsidR="00877353" w:rsidRPr="00543B99" w:rsidTr="00F22012">
        <w:trPr>
          <w:trHeight w:val="279"/>
        </w:trPr>
        <w:tc>
          <w:tcPr>
            <w:tcW w:w="462" w:type="dxa"/>
          </w:tcPr>
          <w:p w:rsidR="00877353" w:rsidRPr="00543B99" w:rsidRDefault="00877353" w:rsidP="00F22012">
            <w:pPr>
              <w:jc w:val="both"/>
              <w:rPr>
                <w:color w:val="000000"/>
              </w:rPr>
            </w:pPr>
          </w:p>
        </w:tc>
        <w:tc>
          <w:tcPr>
            <w:tcW w:w="1865" w:type="dxa"/>
          </w:tcPr>
          <w:p w:rsidR="00877353" w:rsidRPr="00543B99" w:rsidRDefault="00877353" w:rsidP="00F22012">
            <w:pPr>
              <w:jc w:val="both"/>
              <w:rPr>
                <w:color w:val="000000"/>
              </w:rPr>
            </w:pPr>
            <w:r w:rsidRPr="00543B99">
              <w:rPr>
                <w:color w:val="000000"/>
              </w:rPr>
              <w:t>Cita informācija</w:t>
            </w:r>
          </w:p>
        </w:tc>
        <w:tc>
          <w:tcPr>
            <w:tcW w:w="7313" w:type="dxa"/>
            <w:gridSpan w:val="2"/>
          </w:tcPr>
          <w:p w:rsidR="00877353" w:rsidRPr="00543B99" w:rsidRDefault="00877353" w:rsidP="00F22012">
            <w:pPr>
              <w:jc w:val="both"/>
              <w:rPr>
                <w:color w:val="000000"/>
              </w:rPr>
            </w:pPr>
            <w:r w:rsidRPr="00543B99">
              <w:rPr>
                <w:color w:val="000000"/>
              </w:rPr>
              <w:t>Nav</w:t>
            </w:r>
          </w:p>
        </w:tc>
      </w:tr>
      <w:tr w:rsidR="00877353" w:rsidRPr="00543B99" w:rsidTr="00F22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tblPrEx>
        <w:tc>
          <w:tcPr>
            <w:tcW w:w="9640" w:type="dxa"/>
            <w:gridSpan w:val="4"/>
            <w:tcBorders>
              <w:top w:val="outset" w:sz="6" w:space="0" w:color="auto"/>
              <w:bottom w:val="outset" w:sz="6" w:space="0" w:color="auto"/>
            </w:tcBorders>
            <w:vAlign w:val="center"/>
          </w:tcPr>
          <w:p w:rsidR="00877353" w:rsidRPr="00543B99" w:rsidRDefault="00877353" w:rsidP="00F22012">
            <w:pPr>
              <w:spacing w:before="100" w:beforeAutospacing="1" w:after="100" w:afterAutospacing="1"/>
              <w:jc w:val="center"/>
            </w:pPr>
            <w:r w:rsidRPr="00543B99">
              <w:rPr>
                <w:b/>
                <w:bCs/>
              </w:rPr>
              <w:t>V. Tiesību akta projekta atbilstība Latvijas Republikas starptautiskajām saistībām</w:t>
            </w:r>
          </w:p>
        </w:tc>
      </w:tr>
      <w:tr w:rsidR="00877353" w:rsidRPr="00543B99" w:rsidTr="00F22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tblPrEx>
        <w:tc>
          <w:tcPr>
            <w:tcW w:w="462" w:type="dxa"/>
            <w:tcBorders>
              <w:top w:val="outset" w:sz="6" w:space="0" w:color="auto"/>
              <w:bottom w:val="outset" w:sz="6" w:space="0" w:color="auto"/>
              <w:right w:val="outset" w:sz="6" w:space="0" w:color="auto"/>
            </w:tcBorders>
          </w:tcPr>
          <w:p w:rsidR="00877353" w:rsidRPr="00543B99" w:rsidRDefault="00877353" w:rsidP="00F22012">
            <w:r w:rsidRPr="00543B99">
              <w:t>1.</w:t>
            </w:r>
          </w:p>
        </w:tc>
        <w:tc>
          <w:tcPr>
            <w:tcW w:w="2462" w:type="dxa"/>
            <w:gridSpan w:val="2"/>
            <w:tcBorders>
              <w:top w:val="outset" w:sz="6" w:space="0" w:color="auto"/>
              <w:left w:val="outset" w:sz="6" w:space="0" w:color="auto"/>
              <w:bottom w:val="outset" w:sz="6" w:space="0" w:color="auto"/>
              <w:right w:val="outset" w:sz="6" w:space="0" w:color="auto"/>
            </w:tcBorders>
          </w:tcPr>
          <w:p w:rsidR="00877353" w:rsidRPr="00543B99" w:rsidRDefault="00877353" w:rsidP="00F22012">
            <w:r w:rsidRPr="00543B99">
              <w:t>Saistības pret Eiropas Savienību</w:t>
            </w:r>
          </w:p>
        </w:tc>
        <w:tc>
          <w:tcPr>
            <w:tcW w:w="6716" w:type="dxa"/>
            <w:tcBorders>
              <w:top w:val="outset" w:sz="6" w:space="0" w:color="auto"/>
              <w:left w:val="outset" w:sz="6" w:space="0" w:color="auto"/>
              <w:bottom w:val="outset" w:sz="6" w:space="0" w:color="auto"/>
            </w:tcBorders>
          </w:tcPr>
          <w:p w:rsidR="00877353" w:rsidRDefault="00877353" w:rsidP="00F22012">
            <w:pPr>
              <w:jc w:val="both"/>
              <w:rPr>
                <w:sz w:val="26"/>
                <w:szCs w:val="26"/>
              </w:rPr>
            </w:pPr>
            <w:r w:rsidRPr="008929F9">
              <w:rPr>
                <w:sz w:val="26"/>
                <w:szCs w:val="26"/>
              </w:rPr>
              <w:t>Eiropas Parlamenta un Padomes 2011.gada 16.februāra Regula (ES) Nr.181/2011 par autobusu pasažieru tiesībām un par grozījumiem Regulā (EK) Nr.2006/2004.</w:t>
            </w:r>
          </w:p>
          <w:p w:rsidR="00877353" w:rsidRPr="008929F9" w:rsidRDefault="00877353" w:rsidP="008929F9">
            <w:pPr>
              <w:jc w:val="both"/>
              <w:rPr>
                <w:sz w:val="26"/>
                <w:szCs w:val="26"/>
              </w:rPr>
            </w:pPr>
            <w:r w:rsidRPr="008929F9">
              <w:rPr>
                <w:sz w:val="26"/>
                <w:szCs w:val="26"/>
              </w:rPr>
              <w:t>Eiropas Parlamenta un Padomes 2009.gada 23.aprīļa direktīva 2009/33/EK par “tīro” un energoefektīvo autotransporta līdzekļu izmantošanas veicināšanu.</w:t>
            </w:r>
          </w:p>
          <w:p w:rsidR="00877353" w:rsidRPr="008929F9" w:rsidRDefault="00877353" w:rsidP="006738E9">
            <w:pPr>
              <w:jc w:val="both"/>
              <w:rPr>
                <w:sz w:val="26"/>
                <w:szCs w:val="26"/>
              </w:rPr>
            </w:pPr>
            <w:r w:rsidRPr="008929F9">
              <w:rPr>
                <w:sz w:val="26"/>
                <w:szCs w:val="26"/>
              </w:rPr>
              <w:t>Eiropas Parlamenta un Padomes 2007.gada 23.oktobra regul</w:t>
            </w:r>
            <w:r>
              <w:rPr>
                <w:sz w:val="26"/>
                <w:szCs w:val="26"/>
              </w:rPr>
              <w:t>a</w:t>
            </w:r>
            <w:r w:rsidRPr="008929F9">
              <w:rPr>
                <w:sz w:val="26"/>
                <w:szCs w:val="26"/>
              </w:rPr>
              <w:t xml:space="preserve"> (EK) Nr.1370/2007 par sabiedriskā pasažieru transporta pakalpojumiem, izmantojot dzelzceļu un autoceļus, un ar ko atceļ Padomes Regulu (EEK) Nr.1191/69 un Padomes Regulu (EEK) Nr.1107/70</w:t>
            </w:r>
          </w:p>
        </w:tc>
      </w:tr>
      <w:tr w:rsidR="00877353" w:rsidRPr="00543B99" w:rsidTr="00F22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tblPrEx>
        <w:tc>
          <w:tcPr>
            <w:tcW w:w="462" w:type="dxa"/>
            <w:tcBorders>
              <w:top w:val="outset" w:sz="6" w:space="0" w:color="auto"/>
              <w:bottom w:val="outset" w:sz="6" w:space="0" w:color="auto"/>
              <w:right w:val="outset" w:sz="6" w:space="0" w:color="auto"/>
            </w:tcBorders>
          </w:tcPr>
          <w:p w:rsidR="00877353" w:rsidRPr="00543B99" w:rsidRDefault="00877353" w:rsidP="00F22012">
            <w:r w:rsidRPr="00543B99">
              <w:t>2.</w:t>
            </w:r>
          </w:p>
        </w:tc>
        <w:tc>
          <w:tcPr>
            <w:tcW w:w="2462" w:type="dxa"/>
            <w:gridSpan w:val="2"/>
            <w:tcBorders>
              <w:top w:val="outset" w:sz="6" w:space="0" w:color="auto"/>
              <w:left w:val="outset" w:sz="6" w:space="0" w:color="auto"/>
              <w:bottom w:val="outset" w:sz="6" w:space="0" w:color="auto"/>
              <w:right w:val="outset" w:sz="6" w:space="0" w:color="auto"/>
            </w:tcBorders>
          </w:tcPr>
          <w:p w:rsidR="00877353" w:rsidRPr="00543B99" w:rsidRDefault="00877353" w:rsidP="00F22012">
            <w:r w:rsidRPr="00543B99">
              <w:t>Citas starptautiskās saistības</w:t>
            </w:r>
          </w:p>
        </w:tc>
        <w:tc>
          <w:tcPr>
            <w:tcW w:w="6716" w:type="dxa"/>
            <w:tcBorders>
              <w:top w:val="outset" w:sz="6" w:space="0" w:color="auto"/>
              <w:left w:val="outset" w:sz="6" w:space="0" w:color="auto"/>
              <w:bottom w:val="outset" w:sz="6" w:space="0" w:color="auto"/>
            </w:tcBorders>
          </w:tcPr>
          <w:p w:rsidR="00877353" w:rsidRPr="00D97942" w:rsidRDefault="00877353" w:rsidP="00F22012">
            <w:pPr>
              <w:rPr>
                <w:sz w:val="26"/>
                <w:szCs w:val="26"/>
              </w:rPr>
            </w:pPr>
            <w:r w:rsidRPr="00D97942">
              <w:rPr>
                <w:sz w:val="26"/>
                <w:szCs w:val="26"/>
              </w:rPr>
              <w:t>Projekts šo jomu neskar.</w:t>
            </w:r>
          </w:p>
        </w:tc>
      </w:tr>
      <w:tr w:rsidR="00877353" w:rsidRPr="00543B99" w:rsidTr="00F22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A0"/>
        </w:tblPrEx>
        <w:tc>
          <w:tcPr>
            <w:tcW w:w="462" w:type="dxa"/>
            <w:tcBorders>
              <w:top w:val="outset" w:sz="6" w:space="0" w:color="auto"/>
              <w:bottom w:val="outset" w:sz="6" w:space="0" w:color="auto"/>
              <w:right w:val="outset" w:sz="6" w:space="0" w:color="auto"/>
            </w:tcBorders>
          </w:tcPr>
          <w:p w:rsidR="00877353" w:rsidRPr="00543B99" w:rsidRDefault="00877353" w:rsidP="00F22012">
            <w:r w:rsidRPr="00543B99">
              <w:t>3.</w:t>
            </w:r>
          </w:p>
        </w:tc>
        <w:tc>
          <w:tcPr>
            <w:tcW w:w="2462" w:type="dxa"/>
            <w:gridSpan w:val="2"/>
            <w:tcBorders>
              <w:top w:val="outset" w:sz="6" w:space="0" w:color="auto"/>
              <w:left w:val="outset" w:sz="6" w:space="0" w:color="auto"/>
              <w:bottom w:val="outset" w:sz="6" w:space="0" w:color="auto"/>
              <w:right w:val="outset" w:sz="6" w:space="0" w:color="auto"/>
            </w:tcBorders>
          </w:tcPr>
          <w:p w:rsidR="00877353" w:rsidRPr="00543B99" w:rsidRDefault="00877353" w:rsidP="00F22012">
            <w:r w:rsidRPr="00543B99">
              <w:t>Cita informācija</w:t>
            </w:r>
          </w:p>
        </w:tc>
        <w:tc>
          <w:tcPr>
            <w:tcW w:w="6716" w:type="dxa"/>
            <w:tcBorders>
              <w:top w:val="outset" w:sz="6" w:space="0" w:color="auto"/>
              <w:left w:val="outset" w:sz="6" w:space="0" w:color="auto"/>
              <w:bottom w:val="outset" w:sz="6" w:space="0" w:color="auto"/>
            </w:tcBorders>
          </w:tcPr>
          <w:p w:rsidR="00877353" w:rsidRPr="00D97942" w:rsidRDefault="00877353" w:rsidP="006738E9">
            <w:pPr>
              <w:spacing w:before="100" w:beforeAutospacing="1" w:after="100" w:afterAutospacing="1"/>
              <w:jc w:val="both"/>
              <w:rPr>
                <w:sz w:val="26"/>
                <w:szCs w:val="26"/>
              </w:rPr>
            </w:pPr>
            <w:r w:rsidRPr="008929F9">
              <w:rPr>
                <w:sz w:val="26"/>
                <w:szCs w:val="26"/>
              </w:rPr>
              <w:t>Direktīvas 2009/33/EK normas ir ieviestas ar Publisko iepirkumu likumu, Sabiedrisko pakalpojumu sniedzēju iepirkumu likumu un Ministru kabineta 2010.g</w:t>
            </w:r>
            <w:r>
              <w:rPr>
                <w:sz w:val="26"/>
                <w:szCs w:val="26"/>
              </w:rPr>
              <w:t>ada 21.decembra noteikumiem Nr.</w:t>
            </w:r>
            <w:r w:rsidRPr="008929F9">
              <w:rPr>
                <w:sz w:val="26"/>
                <w:szCs w:val="26"/>
              </w:rPr>
              <w:t>1184 „Noteikumi par transportlīdzekļu kategorijām, uz kurām iepirkumos attiecināmas īpašas prasības, un transportlīdzekļu darbmūža ekspluatācijas izmaksu aprēķināšanas metodiku”, taču praksē  konstatēts, ka atsevišķi sabiedriskā transporta pakalpojumu sniedzēji, ar kuriem ir noslēgts pakalpojumu valsts līgums Regulas izpratnē, nav Publisko iepirkumu likuma un Sabiedrisko pakalpojumu sniedzēju iepirkumu likuma subjekti</w:t>
            </w:r>
          </w:p>
        </w:tc>
      </w:tr>
    </w:tbl>
    <w:p w:rsidR="00877353" w:rsidRPr="00543B99" w:rsidRDefault="00877353" w:rsidP="0084418B">
      <w:pPr>
        <w:spacing w:line="360" w:lineRule="auto"/>
        <w:rPr>
          <w:rFonts w:ascii="Verdana" w:hAnsi="Verdana"/>
          <w:vanish/>
        </w:rPr>
      </w:pPr>
    </w:p>
    <w:tbl>
      <w:tblPr>
        <w:tblW w:w="5279"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086"/>
        <w:gridCol w:w="2164"/>
        <w:gridCol w:w="355"/>
        <w:gridCol w:w="2048"/>
        <w:gridCol w:w="471"/>
        <w:gridCol w:w="2518"/>
      </w:tblGrid>
      <w:tr w:rsidR="00877353" w:rsidRPr="00543B99" w:rsidTr="00F22012">
        <w:trPr>
          <w:trHeight w:val="510"/>
        </w:trPr>
        <w:tc>
          <w:tcPr>
            <w:tcW w:w="5000" w:type="pct"/>
            <w:gridSpan w:val="6"/>
            <w:tcBorders>
              <w:top w:val="outset" w:sz="6" w:space="0" w:color="auto"/>
              <w:bottom w:val="outset" w:sz="6" w:space="0" w:color="auto"/>
            </w:tcBorders>
            <w:vAlign w:val="center"/>
          </w:tcPr>
          <w:p w:rsidR="00877353" w:rsidRPr="00543B99" w:rsidRDefault="00877353" w:rsidP="00F22012">
            <w:pPr>
              <w:spacing w:before="100" w:beforeAutospacing="1" w:after="100" w:afterAutospacing="1"/>
              <w:jc w:val="center"/>
            </w:pPr>
            <w:r w:rsidRPr="00543B99">
              <w:rPr>
                <w:b/>
                <w:bCs/>
              </w:rPr>
              <w:t>1.tabula</w:t>
            </w:r>
            <w:r w:rsidRPr="00543B99">
              <w:rPr>
                <w:b/>
                <w:bCs/>
              </w:rPr>
              <w:br/>
              <w:t>Tiesību akta projekta atbilstība ES tiesību aktiem</w:t>
            </w:r>
          </w:p>
        </w:tc>
      </w:tr>
      <w:tr w:rsidR="00877353" w:rsidRPr="00543B99" w:rsidTr="007F0A49">
        <w:tc>
          <w:tcPr>
            <w:tcW w:w="1082" w:type="pct"/>
            <w:tcBorders>
              <w:top w:val="outset" w:sz="6" w:space="0" w:color="auto"/>
              <w:bottom w:val="outset" w:sz="6" w:space="0" w:color="auto"/>
              <w:right w:val="outset" w:sz="6" w:space="0" w:color="auto"/>
            </w:tcBorders>
          </w:tcPr>
          <w:p w:rsidR="00877353" w:rsidRPr="00543B99" w:rsidRDefault="00877353" w:rsidP="00F22012">
            <w:pPr>
              <w:jc w:val="both"/>
            </w:pPr>
            <w:r w:rsidRPr="00543B99">
              <w:t>Attiecīgā ES tiesību akta datums, numurs un nosaukums</w:t>
            </w:r>
          </w:p>
        </w:tc>
        <w:tc>
          <w:tcPr>
            <w:tcW w:w="3918" w:type="pct"/>
            <w:gridSpan w:val="5"/>
            <w:tcBorders>
              <w:top w:val="outset" w:sz="6" w:space="0" w:color="auto"/>
              <w:left w:val="outset" w:sz="6" w:space="0" w:color="auto"/>
              <w:bottom w:val="outset" w:sz="6" w:space="0" w:color="auto"/>
            </w:tcBorders>
          </w:tcPr>
          <w:p w:rsidR="00877353" w:rsidRPr="00D97942" w:rsidRDefault="00877353" w:rsidP="00DE6533">
            <w:pPr>
              <w:jc w:val="both"/>
              <w:rPr>
                <w:sz w:val="26"/>
                <w:szCs w:val="26"/>
              </w:rPr>
            </w:pPr>
            <w:r w:rsidRPr="00D97942">
              <w:rPr>
                <w:sz w:val="26"/>
                <w:szCs w:val="26"/>
              </w:rPr>
              <w:t>Eiropas Parlamenta un Padomes 2011.gada 16.februāra Regulas (ES) Nr.181/2011 par autobusu pasažieru tiesībām un par grozījumiem Regulā (EK) Nr.2006/2004</w:t>
            </w:r>
            <w:r w:rsidRPr="007F0A49">
              <w:rPr>
                <w:sz w:val="26"/>
                <w:szCs w:val="26"/>
              </w:rPr>
              <w:t>.</w:t>
            </w:r>
          </w:p>
        </w:tc>
      </w:tr>
      <w:tr w:rsidR="00877353" w:rsidRPr="00543B99" w:rsidTr="007F0A49">
        <w:tc>
          <w:tcPr>
            <w:tcW w:w="1082" w:type="pct"/>
            <w:tcBorders>
              <w:top w:val="outset" w:sz="6" w:space="0" w:color="auto"/>
              <w:bottom w:val="outset" w:sz="6" w:space="0" w:color="auto"/>
              <w:right w:val="outset" w:sz="6" w:space="0" w:color="auto"/>
            </w:tcBorders>
            <w:vAlign w:val="center"/>
          </w:tcPr>
          <w:p w:rsidR="00877353" w:rsidRPr="00543B99" w:rsidRDefault="00877353" w:rsidP="00F22012">
            <w:pPr>
              <w:spacing w:before="100" w:beforeAutospacing="1" w:after="100" w:afterAutospacing="1"/>
              <w:jc w:val="center"/>
            </w:pPr>
            <w:r w:rsidRPr="00543B99">
              <w:t>A</w:t>
            </w:r>
          </w:p>
        </w:tc>
        <w:tc>
          <w:tcPr>
            <w:tcW w:w="1122" w:type="pct"/>
            <w:tcBorders>
              <w:top w:val="outset" w:sz="6" w:space="0" w:color="auto"/>
              <w:left w:val="outset" w:sz="6" w:space="0" w:color="auto"/>
              <w:bottom w:val="outset" w:sz="6" w:space="0" w:color="auto"/>
              <w:right w:val="outset" w:sz="6" w:space="0" w:color="auto"/>
            </w:tcBorders>
            <w:vAlign w:val="center"/>
          </w:tcPr>
          <w:p w:rsidR="00877353" w:rsidRPr="00543B99" w:rsidRDefault="00877353" w:rsidP="00F22012">
            <w:pPr>
              <w:spacing w:before="100" w:beforeAutospacing="1" w:after="100" w:afterAutospacing="1"/>
              <w:jc w:val="center"/>
            </w:pPr>
            <w:r w:rsidRPr="00543B99">
              <w:t>B</w:t>
            </w:r>
          </w:p>
        </w:tc>
        <w:tc>
          <w:tcPr>
            <w:tcW w:w="1246" w:type="pct"/>
            <w:gridSpan w:val="2"/>
            <w:tcBorders>
              <w:top w:val="outset" w:sz="6" w:space="0" w:color="auto"/>
              <w:left w:val="outset" w:sz="6" w:space="0" w:color="auto"/>
              <w:bottom w:val="outset" w:sz="6" w:space="0" w:color="auto"/>
              <w:right w:val="outset" w:sz="6" w:space="0" w:color="auto"/>
            </w:tcBorders>
            <w:vAlign w:val="center"/>
          </w:tcPr>
          <w:p w:rsidR="00877353" w:rsidRPr="00543B99" w:rsidRDefault="00877353" w:rsidP="00F22012">
            <w:pPr>
              <w:spacing w:before="100" w:beforeAutospacing="1" w:after="100" w:afterAutospacing="1"/>
              <w:jc w:val="center"/>
            </w:pPr>
            <w:r w:rsidRPr="00543B99">
              <w:t>C</w:t>
            </w:r>
          </w:p>
        </w:tc>
        <w:tc>
          <w:tcPr>
            <w:tcW w:w="1550" w:type="pct"/>
            <w:gridSpan w:val="2"/>
            <w:tcBorders>
              <w:top w:val="outset" w:sz="6" w:space="0" w:color="auto"/>
              <w:left w:val="outset" w:sz="6" w:space="0" w:color="auto"/>
              <w:bottom w:val="outset" w:sz="6" w:space="0" w:color="auto"/>
            </w:tcBorders>
            <w:vAlign w:val="center"/>
          </w:tcPr>
          <w:p w:rsidR="00877353" w:rsidRPr="00543B99" w:rsidRDefault="00877353" w:rsidP="00F22012">
            <w:pPr>
              <w:spacing w:before="100" w:beforeAutospacing="1" w:after="100" w:afterAutospacing="1"/>
              <w:jc w:val="center"/>
            </w:pPr>
            <w:r w:rsidRPr="00543B99">
              <w:t>D</w:t>
            </w:r>
          </w:p>
        </w:tc>
      </w:tr>
      <w:tr w:rsidR="00877353" w:rsidRPr="00543B99" w:rsidTr="007F0A49">
        <w:tc>
          <w:tcPr>
            <w:tcW w:w="1082" w:type="pct"/>
            <w:tcBorders>
              <w:top w:val="outset" w:sz="6" w:space="0" w:color="auto"/>
              <w:bottom w:val="outset" w:sz="6" w:space="0" w:color="auto"/>
              <w:right w:val="outset" w:sz="6" w:space="0" w:color="auto"/>
            </w:tcBorders>
          </w:tcPr>
          <w:p w:rsidR="00877353" w:rsidRPr="00543B99" w:rsidRDefault="00877353" w:rsidP="00F22012">
            <w:pPr>
              <w:jc w:val="both"/>
            </w:pPr>
            <w:r w:rsidRPr="00543B99">
              <w:t>Attiecīgā ES tiesību akta panta numurs (uzskaitot katru tiesību akta vienību – pantu, daļu, punktu, apakšpunktu)</w:t>
            </w:r>
          </w:p>
        </w:tc>
        <w:tc>
          <w:tcPr>
            <w:tcW w:w="1122" w:type="pct"/>
            <w:tcBorders>
              <w:top w:val="outset" w:sz="6" w:space="0" w:color="auto"/>
              <w:left w:val="outset" w:sz="6" w:space="0" w:color="auto"/>
              <w:bottom w:val="outset" w:sz="6" w:space="0" w:color="auto"/>
              <w:right w:val="outset" w:sz="6" w:space="0" w:color="auto"/>
            </w:tcBorders>
          </w:tcPr>
          <w:p w:rsidR="00877353" w:rsidRPr="00543B99" w:rsidRDefault="00877353" w:rsidP="00F22012">
            <w:pPr>
              <w:jc w:val="both"/>
            </w:pPr>
            <w:r w:rsidRPr="00543B99">
              <w:t>Projekta vienība, kas pārņem vai ievieš katru šīs tabulas A ailē minēto ES tiesību akta vienību, vai tiesību akts, kur attiecīgā ES tiesību akta vienība pārņemta vai ieviesta</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543B99" w:rsidRDefault="00877353" w:rsidP="00F22012">
            <w:pPr>
              <w:jc w:val="both"/>
            </w:pPr>
            <w:r w:rsidRPr="00543B99">
              <w:t xml:space="preserve">Informācija par to, vai šīs tabulas A ailē minētās ES tiesību akta vienības tiek pārņemtas vai ieviestas pilnībā vai daļēji. </w:t>
            </w:r>
          </w:p>
          <w:p w:rsidR="00877353" w:rsidRPr="00543B99" w:rsidRDefault="00877353" w:rsidP="00F22012">
            <w:pPr>
              <w:spacing w:before="100" w:beforeAutospacing="1" w:after="100" w:afterAutospacing="1"/>
              <w:jc w:val="both"/>
            </w:pPr>
            <w:r w:rsidRPr="00543B99">
              <w:t>Ja attiecīgā ES tiesību akta vienība tiek pārņemta vai ieviesta daļēji, sniedz attiecīgu skaidrojumu, kā arī precīzi norāda, kad un kādā veidā ES tiesību akta vienība tiks pārņemta vai ieviesta pilnībā.</w:t>
            </w:r>
          </w:p>
          <w:p w:rsidR="00877353" w:rsidRPr="00543B99" w:rsidRDefault="00877353" w:rsidP="00F22012">
            <w:pPr>
              <w:spacing w:before="100" w:beforeAutospacing="1" w:after="100" w:afterAutospacing="1"/>
              <w:jc w:val="both"/>
            </w:pPr>
            <w:r w:rsidRPr="00543B99">
              <w:t>Norāda institūciju, kas ir atbildīga par šo saistību izpildi pilnībā</w:t>
            </w:r>
          </w:p>
        </w:tc>
        <w:tc>
          <w:tcPr>
            <w:tcW w:w="1550" w:type="pct"/>
            <w:gridSpan w:val="2"/>
            <w:tcBorders>
              <w:top w:val="outset" w:sz="6" w:space="0" w:color="auto"/>
              <w:left w:val="outset" w:sz="6" w:space="0" w:color="auto"/>
              <w:bottom w:val="outset" w:sz="6" w:space="0" w:color="auto"/>
            </w:tcBorders>
          </w:tcPr>
          <w:p w:rsidR="00877353" w:rsidRPr="00543B99" w:rsidRDefault="00877353" w:rsidP="00F22012">
            <w:pPr>
              <w:jc w:val="both"/>
            </w:pPr>
            <w:r w:rsidRPr="00543B99">
              <w:t xml:space="preserve">Informācija par to, vai šīs tabulas B ailē minētās projekta vienības paredz stingrākas prasības nekā šīs tabulas A ailē minētās ES tiesību akta vienības. </w:t>
            </w:r>
          </w:p>
          <w:p w:rsidR="00877353" w:rsidRPr="00543B99" w:rsidRDefault="00877353" w:rsidP="00F22012">
            <w:pPr>
              <w:spacing w:before="100" w:beforeAutospacing="1" w:after="100" w:afterAutospacing="1"/>
              <w:jc w:val="both"/>
            </w:pPr>
            <w:r w:rsidRPr="00543B99">
              <w:t>Ja projekts satur stingrākas prasības nekā attiecīgais ES tiesību akts, norāda pamatojumu un samērīgumu.</w:t>
            </w:r>
          </w:p>
          <w:p w:rsidR="00877353" w:rsidRPr="00543B99" w:rsidRDefault="00877353" w:rsidP="00F22012">
            <w:pPr>
              <w:spacing w:before="100" w:beforeAutospacing="1" w:after="100" w:afterAutospacing="1"/>
              <w:jc w:val="both"/>
            </w:pPr>
            <w:r w:rsidRPr="00543B99">
              <w:t>Norāda iespējamās alternatīvas (t.sk. alternatīvas, kas neparedz tiesiskā regulējuma izstrādi) – kādos gadījumos būtu iespējams izvairīties no stingrāku prasību noteikšanas, nekā paredzēts attiecīgajos ES tiesību aktos</w:t>
            </w:r>
          </w:p>
        </w:tc>
      </w:tr>
      <w:tr w:rsidR="00877353" w:rsidRPr="00543B99" w:rsidTr="007F0A49">
        <w:tc>
          <w:tcPr>
            <w:tcW w:w="1082" w:type="pct"/>
            <w:tcBorders>
              <w:top w:val="outset" w:sz="6" w:space="0" w:color="auto"/>
              <w:bottom w:val="outset" w:sz="6" w:space="0" w:color="auto"/>
              <w:right w:val="outset" w:sz="6" w:space="0" w:color="auto"/>
            </w:tcBorders>
          </w:tcPr>
          <w:p w:rsidR="00877353" w:rsidRPr="00D97942" w:rsidRDefault="00877353" w:rsidP="00F83866">
            <w:pPr>
              <w:rPr>
                <w:sz w:val="26"/>
                <w:szCs w:val="26"/>
              </w:rPr>
            </w:pPr>
            <w:r w:rsidRPr="00D97942">
              <w:rPr>
                <w:sz w:val="26"/>
                <w:szCs w:val="26"/>
              </w:rPr>
              <w:t>Regulas (ES) Nr.181/2011</w:t>
            </w:r>
          </w:p>
          <w:p w:rsidR="00877353" w:rsidRPr="00D97942" w:rsidRDefault="00877353" w:rsidP="00F83866">
            <w:pPr>
              <w:rPr>
                <w:sz w:val="26"/>
                <w:szCs w:val="26"/>
              </w:rPr>
            </w:pPr>
            <w:r w:rsidRPr="00D97942">
              <w:rPr>
                <w:sz w:val="26"/>
                <w:szCs w:val="26"/>
              </w:rPr>
              <w:t>2.panta 4. punkts</w:t>
            </w:r>
          </w:p>
        </w:tc>
        <w:tc>
          <w:tcPr>
            <w:tcW w:w="1122" w:type="pct"/>
            <w:tcBorders>
              <w:top w:val="outset" w:sz="6" w:space="0" w:color="auto"/>
              <w:left w:val="outset" w:sz="6" w:space="0" w:color="auto"/>
              <w:bottom w:val="outset" w:sz="6" w:space="0" w:color="auto"/>
              <w:right w:val="outset" w:sz="6" w:space="0" w:color="auto"/>
            </w:tcBorders>
          </w:tcPr>
          <w:p w:rsidR="00877353" w:rsidRPr="00D97942" w:rsidRDefault="00877353" w:rsidP="006C3547">
            <w:pPr>
              <w:jc w:val="both"/>
              <w:rPr>
                <w:sz w:val="26"/>
                <w:szCs w:val="26"/>
              </w:rPr>
            </w:pPr>
            <w:r w:rsidRPr="00D97942">
              <w:rPr>
                <w:sz w:val="26"/>
                <w:szCs w:val="26"/>
              </w:rPr>
              <w:t>3.pants</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D97942" w:rsidRDefault="00877353" w:rsidP="00F83866">
            <w:pPr>
              <w:spacing w:before="100" w:beforeAutospacing="1" w:after="100" w:afterAutospacing="1"/>
              <w:rPr>
                <w:sz w:val="26"/>
                <w:szCs w:val="26"/>
              </w:rPr>
            </w:pPr>
            <w:r w:rsidRPr="00D97942">
              <w:rPr>
                <w:sz w:val="26"/>
                <w:szCs w:val="26"/>
              </w:rPr>
              <w:t>Prasības tiek ieviestas pilnībā.</w:t>
            </w:r>
          </w:p>
        </w:tc>
        <w:tc>
          <w:tcPr>
            <w:tcW w:w="1550" w:type="pct"/>
            <w:gridSpan w:val="2"/>
            <w:tcBorders>
              <w:top w:val="outset" w:sz="6" w:space="0" w:color="auto"/>
              <w:left w:val="outset" w:sz="6" w:space="0" w:color="auto"/>
              <w:bottom w:val="outset" w:sz="6" w:space="0" w:color="auto"/>
            </w:tcBorders>
          </w:tcPr>
          <w:p w:rsidR="00877353" w:rsidRPr="00D97942" w:rsidRDefault="00877353" w:rsidP="00F83866">
            <w:pPr>
              <w:spacing w:before="100" w:beforeAutospacing="1" w:after="100" w:afterAutospacing="1"/>
              <w:rPr>
                <w:sz w:val="26"/>
                <w:szCs w:val="26"/>
              </w:rPr>
            </w:pPr>
            <w:r w:rsidRPr="00D97942">
              <w:rPr>
                <w:sz w:val="26"/>
                <w:szCs w:val="26"/>
              </w:rPr>
              <w:t>Projekts stingrākas prasības neparedz.</w:t>
            </w:r>
          </w:p>
        </w:tc>
      </w:tr>
      <w:tr w:rsidR="00877353" w:rsidRPr="00543B99" w:rsidTr="007F0A49">
        <w:tc>
          <w:tcPr>
            <w:tcW w:w="1082" w:type="pct"/>
            <w:tcBorders>
              <w:top w:val="outset" w:sz="6" w:space="0" w:color="auto"/>
              <w:bottom w:val="outset" w:sz="6" w:space="0" w:color="auto"/>
              <w:right w:val="nil"/>
            </w:tcBorders>
          </w:tcPr>
          <w:p w:rsidR="00877353" w:rsidRPr="00D97942" w:rsidRDefault="00877353" w:rsidP="00F83866">
            <w:pPr>
              <w:rPr>
                <w:sz w:val="26"/>
                <w:szCs w:val="26"/>
              </w:rPr>
            </w:pPr>
          </w:p>
        </w:tc>
        <w:tc>
          <w:tcPr>
            <w:tcW w:w="1122" w:type="pct"/>
            <w:tcBorders>
              <w:top w:val="outset" w:sz="6" w:space="0" w:color="auto"/>
              <w:left w:val="nil"/>
              <w:bottom w:val="outset" w:sz="6" w:space="0" w:color="auto"/>
              <w:right w:val="nil"/>
            </w:tcBorders>
          </w:tcPr>
          <w:p w:rsidR="00877353" w:rsidRPr="00D97942" w:rsidRDefault="00877353" w:rsidP="006C3547">
            <w:pPr>
              <w:jc w:val="both"/>
              <w:rPr>
                <w:sz w:val="26"/>
                <w:szCs w:val="26"/>
              </w:rPr>
            </w:pPr>
          </w:p>
        </w:tc>
        <w:tc>
          <w:tcPr>
            <w:tcW w:w="1246" w:type="pct"/>
            <w:gridSpan w:val="2"/>
            <w:tcBorders>
              <w:top w:val="outset" w:sz="6" w:space="0" w:color="auto"/>
              <w:left w:val="nil"/>
              <w:bottom w:val="outset" w:sz="6" w:space="0" w:color="auto"/>
              <w:right w:val="nil"/>
            </w:tcBorders>
          </w:tcPr>
          <w:p w:rsidR="00877353" w:rsidRPr="00D97942" w:rsidRDefault="00877353" w:rsidP="00F83866">
            <w:pPr>
              <w:spacing w:before="100" w:beforeAutospacing="1" w:after="100" w:afterAutospacing="1"/>
              <w:rPr>
                <w:sz w:val="26"/>
                <w:szCs w:val="26"/>
              </w:rPr>
            </w:pPr>
          </w:p>
        </w:tc>
        <w:tc>
          <w:tcPr>
            <w:tcW w:w="1550" w:type="pct"/>
            <w:gridSpan w:val="2"/>
            <w:tcBorders>
              <w:top w:val="outset" w:sz="6" w:space="0" w:color="auto"/>
              <w:left w:val="nil"/>
              <w:bottom w:val="outset" w:sz="6" w:space="0" w:color="auto"/>
            </w:tcBorders>
          </w:tcPr>
          <w:p w:rsidR="00877353" w:rsidRPr="00D97942" w:rsidRDefault="00877353" w:rsidP="00F83866">
            <w:pPr>
              <w:spacing w:before="100" w:beforeAutospacing="1" w:after="100" w:afterAutospacing="1"/>
              <w:rPr>
                <w:sz w:val="26"/>
                <w:szCs w:val="26"/>
              </w:rPr>
            </w:pP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jc w:val="both"/>
              <w:rPr>
                <w:sz w:val="26"/>
                <w:szCs w:val="26"/>
              </w:rPr>
            </w:pPr>
          </w:p>
        </w:tc>
        <w:tc>
          <w:tcPr>
            <w:tcW w:w="3918" w:type="pct"/>
            <w:gridSpan w:val="5"/>
            <w:tcBorders>
              <w:top w:val="outset" w:sz="6" w:space="0" w:color="auto"/>
              <w:left w:val="outset" w:sz="6" w:space="0" w:color="auto"/>
              <w:bottom w:val="outset" w:sz="6" w:space="0" w:color="auto"/>
            </w:tcBorders>
          </w:tcPr>
          <w:p w:rsidR="00877353" w:rsidRPr="00A27406" w:rsidRDefault="00877353" w:rsidP="009514D9">
            <w:pPr>
              <w:spacing w:after="120"/>
              <w:jc w:val="both"/>
              <w:rPr>
                <w:sz w:val="26"/>
                <w:szCs w:val="26"/>
              </w:rPr>
            </w:pPr>
            <w:r w:rsidRPr="00A27406">
              <w:rPr>
                <w:sz w:val="26"/>
                <w:szCs w:val="26"/>
              </w:rPr>
              <w:t xml:space="preserve">Eiropas Parlamenta un Padomes 2009.gada 23.aprīļa direktīva </w:t>
            </w:r>
            <w:hyperlink r:id="rId7" w:tgtFrame="_blank" w:tooltip="Atvērt direktīvu latviešu valodā" w:history="1">
              <w:r w:rsidRPr="00A27406">
                <w:rPr>
                  <w:rStyle w:val="Hyperlink"/>
                  <w:sz w:val="26"/>
                  <w:szCs w:val="26"/>
                </w:rPr>
                <w:t>2009/33/EK</w:t>
              </w:r>
            </w:hyperlink>
            <w:r w:rsidRPr="00A27406">
              <w:rPr>
                <w:sz w:val="26"/>
                <w:szCs w:val="26"/>
              </w:rPr>
              <w:t xml:space="preserve"> par “tīro” un energoefektīvo autotransporta līdzekļu izmantošanas veicināšanu.</w:t>
            </w:r>
          </w:p>
          <w:p w:rsidR="00877353" w:rsidRPr="00A27406" w:rsidRDefault="00877353" w:rsidP="009514D9">
            <w:pPr>
              <w:rPr>
                <w:sz w:val="26"/>
                <w:szCs w:val="26"/>
              </w:rPr>
            </w:pP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1.pants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jc w:val="both"/>
              <w:rPr>
                <w:sz w:val="26"/>
                <w:szCs w:val="26"/>
              </w:rPr>
            </w:pPr>
            <w:r>
              <w:rPr>
                <w:sz w:val="26"/>
                <w:szCs w:val="26"/>
              </w:rPr>
              <w:t>5</w:t>
            </w:r>
            <w:r w:rsidRPr="00A27406">
              <w:rPr>
                <w:sz w:val="26"/>
                <w:szCs w:val="26"/>
              </w:rPr>
              <w:t>.pants (Sabiedriskā transporta pakalpojumu likuma (turpmāk-STPL) 18.panta pirmā daļa).</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Pārņemts pilnībā.</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Projekts stingrākas prasības neparedz.</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2.pants</w:t>
            </w:r>
          </w:p>
          <w:p w:rsidR="00877353" w:rsidRPr="00A27406" w:rsidRDefault="00877353" w:rsidP="009514D9">
            <w:pPr>
              <w:rPr>
                <w:sz w:val="26"/>
                <w:szCs w:val="26"/>
              </w:rPr>
            </w:pP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Netiek pārņemts</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jc w:val="both"/>
              <w:rPr>
                <w:sz w:val="26"/>
                <w:szCs w:val="26"/>
              </w:rPr>
            </w:pPr>
            <w:r w:rsidRPr="00A27406">
              <w:rPr>
                <w:sz w:val="26"/>
                <w:szCs w:val="26"/>
              </w:rPr>
              <w:t>Sabiedriskā transporta likums neattiecas uz tādu transportlīdzekļu iegādi un izmantošanu, kas minēti Direktīvas 2007/46/EK 2.panta 3.punktā.  Direktīvas 2.pantā paredzētie izņēmumi ir noteikti Ministru kabineta 2010.gada 21.decembra noteikumu Nr.1184 „Noteikumi par transportlīdzekļu kategorijām, uz kurām iepirkumos attiecināmas īpašas prasības, un transportlīdzekļu darbmūža ekspluatācijas izmaksu aprēķināšanas metodiku” 2.punktā.</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3.panta a)apakšpunkts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jc w:val="both"/>
              <w:rPr>
                <w:sz w:val="26"/>
                <w:szCs w:val="26"/>
              </w:rPr>
            </w:pPr>
            <w:r w:rsidRPr="00A27406">
              <w:rPr>
                <w:sz w:val="26"/>
                <w:szCs w:val="26"/>
              </w:rPr>
              <w:t>Ir pārņemts ar Publisko iepirkumu likuma 46</w:t>
            </w:r>
            <w:r w:rsidRPr="00A27406">
              <w:rPr>
                <w:sz w:val="26"/>
                <w:szCs w:val="26"/>
                <w:vertAlign w:val="superscript"/>
              </w:rPr>
              <w:t>1</w:t>
            </w:r>
            <w:r w:rsidRPr="00A27406">
              <w:rPr>
                <w:sz w:val="26"/>
                <w:szCs w:val="26"/>
              </w:rPr>
              <w:t>.pantu un Sabiedrisko pakalpojumu sniedzēju iepirkumu likuma 19.pantu</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Pārņemts pilnībā</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Projekts stingrākas prasības neparedz.</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3.panta b)apakšpunkts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Pr>
                <w:sz w:val="26"/>
                <w:szCs w:val="26"/>
              </w:rPr>
              <w:t>2</w:t>
            </w:r>
            <w:r w:rsidRPr="00A27406">
              <w:rPr>
                <w:sz w:val="26"/>
                <w:szCs w:val="26"/>
              </w:rPr>
              <w:t>.pants (STPL 18.pants).</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jc w:val="both"/>
              <w:rPr>
                <w:sz w:val="26"/>
                <w:szCs w:val="26"/>
              </w:rPr>
            </w:pPr>
            <w:r w:rsidRPr="00A27406">
              <w:rPr>
                <w:sz w:val="26"/>
                <w:szCs w:val="26"/>
              </w:rPr>
              <w:t xml:space="preserve">Pārņemts </w:t>
            </w:r>
            <w:r w:rsidRPr="00746047">
              <w:rPr>
                <w:sz w:val="26"/>
                <w:szCs w:val="26"/>
              </w:rPr>
              <w:t>daļēji</w:t>
            </w:r>
            <w:r w:rsidRPr="00A27406">
              <w:rPr>
                <w:sz w:val="26"/>
                <w:szCs w:val="26"/>
              </w:rPr>
              <w:t>.</w:t>
            </w:r>
            <w:r>
              <w:rPr>
                <w:sz w:val="26"/>
                <w:szCs w:val="26"/>
              </w:rPr>
              <w:t xml:space="preserve"> Norma pilnībā tiks pārņemta, izdodot </w:t>
            </w:r>
            <w:r w:rsidRPr="004201E2">
              <w:rPr>
                <w:sz w:val="26"/>
                <w:szCs w:val="26"/>
              </w:rPr>
              <w:t>MK noteikumu</w:t>
            </w:r>
            <w:r>
              <w:rPr>
                <w:sz w:val="26"/>
                <w:szCs w:val="26"/>
              </w:rPr>
              <w:t>s</w:t>
            </w:r>
            <w:r w:rsidRPr="004201E2">
              <w:rPr>
                <w:sz w:val="26"/>
                <w:szCs w:val="26"/>
              </w:rPr>
              <w:t xml:space="preserve">, kas noteiks kārtību, kādā </w:t>
            </w:r>
            <w:r>
              <w:rPr>
                <w:sz w:val="26"/>
                <w:szCs w:val="26"/>
              </w:rPr>
              <w:t xml:space="preserve">pārvadātājs </w:t>
            </w:r>
            <w:r w:rsidRPr="004201E2">
              <w:rPr>
                <w:sz w:val="26"/>
                <w:szCs w:val="26"/>
              </w:rPr>
              <w:t>novērtē sabiedrisko autotransporta līdzekļu ekspluatācijas ietekmi uz enerģētiku un vidi un izvērtē enerģijas patēriņu un oglekļa dioksīda, slāpekļa oksīdu, metānu nesaturošo ogļūdeņražu un cieto daļiņu emisiju apjomu, noteiks sabiedrisko autotransporta līdzekļu pirkuma līgumcen</w:t>
            </w:r>
            <w:r>
              <w:rPr>
                <w:sz w:val="26"/>
                <w:szCs w:val="26"/>
              </w:rPr>
              <w:t>as</w:t>
            </w:r>
            <w:r w:rsidRPr="004201E2">
              <w:rPr>
                <w:sz w:val="26"/>
                <w:szCs w:val="26"/>
              </w:rPr>
              <w:t xml:space="preserve"> robež</w:t>
            </w:r>
            <w:r>
              <w:rPr>
                <w:sz w:val="26"/>
                <w:szCs w:val="26"/>
              </w:rPr>
              <w:t>u</w:t>
            </w:r>
            <w:r w:rsidRPr="004201E2">
              <w:rPr>
                <w:sz w:val="26"/>
                <w:szCs w:val="26"/>
              </w:rPr>
              <w:t xml:space="preserve">, </w:t>
            </w:r>
            <w:r>
              <w:rPr>
                <w:sz w:val="26"/>
                <w:szCs w:val="26"/>
              </w:rPr>
              <w:t>no kuras</w:t>
            </w:r>
            <w:r w:rsidRPr="004201E2">
              <w:rPr>
                <w:sz w:val="26"/>
                <w:szCs w:val="26"/>
              </w:rPr>
              <w:t xml:space="preserve"> būs attiecināma minētā </w:t>
            </w:r>
            <w:r w:rsidRPr="0084418B">
              <w:rPr>
                <w:sz w:val="26"/>
                <w:szCs w:val="26"/>
              </w:rPr>
              <w:t>kārtība</w:t>
            </w:r>
            <w:r w:rsidRPr="00033EFB">
              <w:rPr>
                <w:sz w:val="26"/>
                <w:szCs w:val="26"/>
              </w:rPr>
              <w:t>, kā arī kārtību, kādā pārvadātājs aprēķina sabiedrisko autotransporta līdzekļu pirkuma paredzamo līgumcenu.</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Projekts stingrākas prasības neparedz.</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4.pants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jc w:val="both"/>
              <w:rPr>
                <w:sz w:val="26"/>
                <w:szCs w:val="26"/>
              </w:rPr>
            </w:pPr>
            <w:r w:rsidRPr="00A27406">
              <w:rPr>
                <w:sz w:val="26"/>
                <w:szCs w:val="26"/>
              </w:rPr>
              <w:t xml:space="preserve">Publisko iepirkumu likuma 1.panta </w:t>
            </w:r>
            <w:r>
              <w:rPr>
                <w:sz w:val="26"/>
                <w:szCs w:val="26"/>
              </w:rPr>
              <w:t>10.</w:t>
            </w:r>
            <w:r w:rsidRPr="00A27406">
              <w:rPr>
                <w:sz w:val="26"/>
                <w:szCs w:val="26"/>
              </w:rPr>
              <w:t xml:space="preserve">punkts, Sabiedrisko pakalpojumu sniedzēju iepirkumu likuma 1.panta </w:t>
            </w:r>
            <w:r w:rsidRPr="006C44C2">
              <w:rPr>
                <w:sz w:val="26"/>
                <w:szCs w:val="26"/>
              </w:rPr>
              <w:t>21</w:t>
            </w:r>
            <w:r>
              <w:rPr>
                <w:sz w:val="26"/>
                <w:szCs w:val="26"/>
              </w:rPr>
              <w:t>.</w:t>
            </w:r>
            <w:r w:rsidRPr="00A27406">
              <w:rPr>
                <w:sz w:val="26"/>
                <w:szCs w:val="26"/>
              </w:rPr>
              <w:t>punkts</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Pārņemts pilnībā.</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Projekts stingrākas prasības neparedz.</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5.panta 1.punkts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Pr>
                <w:sz w:val="26"/>
                <w:szCs w:val="26"/>
              </w:rPr>
              <w:t>2</w:t>
            </w:r>
            <w:r w:rsidRPr="00A27406">
              <w:rPr>
                <w:sz w:val="26"/>
                <w:szCs w:val="26"/>
              </w:rPr>
              <w:t xml:space="preserve">.pants (STPL 18.panta pirmā </w:t>
            </w:r>
            <w:r>
              <w:rPr>
                <w:sz w:val="26"/>
                <w:szCs w:val="26"/>
              </w:rPr>
              <w:t>d</w:t>
            </w:r>
            <w:r w:rsidRPr="00A27406">
              <w:rPr>
                <w:sz w:val="26"/>
                <w:szCs w:val="26"/>
              </w:rPr>
              <w:t>aļa</w:t>
            </w:r>
            <w:r>
              <w:rPr>
                <w:sz w:val="26"/>
                <w:szCs w:val="26"/>
              </w:rPr>
              <w:t>)</w:t>
            </w:r>
            <w:r w:rsidRPr="00A27406">
              <w:rPr>
                <w:sz w:val="26"/>
                <w:szCs w:val="26"/>
              </w:rPr>
              <w:t>.</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jc w:val="both"/>
              <w:rPr>
                <w:sz w:val="26"/>
                <w:szCs w:val="26"/>
              </w:rPr>
            </w:pPr>
            <w:r w:rsidRPr="00A27406">
              <w:rPr>
                <w:sz w:val="26"/>
                <w:szCs w:val="26"/>
              </w:rPr>
              <w:t>Pārņemts daļēji. Norma pilnībā ir pārņemta ar Publisko iepirkumu likuma 46</w:t>
            </w:r>
            <w:r w:rsidRPr="00A27406">
              <w:rPr>
                <w:sz w:val="26"/>
                <w:szCs w:val="26"/>
                <w:vertAlign w:val="superscript"/>
              </w:rPr>
              <w:t>1</w:t>
            </w:r>
            <w:r w:rsidRPr="00A27406">
              <w:rPr>
                <w:sz w:val="26"/>
                <w:szCs w:val="26"/>
              </w:rPr>
              <w:t>.pantu un Sabiedrisko pakalpojumu sniedzēju iepirkumu likuma 19.pantu.</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Projekts stingrākas prasības neparedz.</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5.panta 2.punkts</w:t>
            </w:r>
          </w:p>
          <w:p w:rsidR="00877353" w:rsidRPr="00A27406" w:rsidRDefault="00877353" w:rsidP="009514D9">
            <w:pPr>
              <w:rPr>
                <w:sz w:val="26"/>
                <w:szCs w:val="26"/>
              </w:rPr>
            </w:pP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Pr>
                <w:sz w:val="26"/>
                <w:szCs w:val="26"/>
              </w:rPr>
              <w:t>2</w:t>
            </w:r>
            <w:r w:rsidRPr="00A27406">
              <w:rPr>
                <w:sz w:val="26"/>
                <w:szCs w:val="26"/>
              </w:rPr>
              <w:t>.pants (STPL 18.panta pirmā daļa).</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Pārņemts pilnībā.</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Projekts stingrākas prasības neparedz.</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3955C1" w:rsidRDefault="00877353" w:rsidP="009514D9">
            <w:pPr>
              <w:rPr>
                <w:sz w:val="26"/>
                <w:szCs w:val="26"/>
              </w:rPr>
            </w:pPr>
            <w:r w:rsidRPr="003955C1">
              <w:rPr>
                <w:sz w:val="26"/>
                <w:szCs w:val="26"/>
              </w:rPr>
              <w:t>5.panta 3.punkta a)apakšpunkts</w:t>
            </w:r>
          </w:p>
          <w:p w:rsidR="00877353" w:rsidRPr="003955C1" w:rsidRDefault="00877353" w:rsidP="009514D9">
            <w:pPr>
              <w:rPr>
                <w:sz w:val="26"/>
                <w:szCs w:val="26"/>
              </w:rPr>
            </w:pPr>
          </w:p>
        </w:tc>
        <w:tc>
          <w:tcPr>
            <w:tcW w:w="1122" w:type="pct"/>
            <w:tcBorders>
              <w:top w:val="outset" w:sz="6" w:space="0" w:color="auto"/>
              <w:left w:val="outset" w:sz="6" w:space="0" w:color="auto"/>
              <w:bottom w:val="outset" w:sz="6" w:space="0" w:color="auto"/>
              <w:right w:val="outset" w:sz="6" w:space="0" w:color="auto"/>
            </w:tcBorders>
          </w:tcPr>
          <w:p w:rsidR="00877353" w:rsidRPr="00033EFB" w:rsidRDefault="00877353" w:rsidP="009514D9">
            <w:pPr>
              <w:rPr>
                <w:sz w:val="26"/>
                <w:szCs w:val="26"/>
              </w:rPr>
            </w:pPr>
            <w:r w:rsidRPr="00033EFB">
              <w:rPr>
                <w:sz w:val="26"/>
                <w:szCs w:val="26"/>
              </w:rPr>
              <w:t>Netiek pārņemts</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3955C1" w:rsidRDefault="00877353" w:rsidP="009514D9">
            <w:pPr>
              <w:spacing w:before="100" w:beforeAutospacing="1" w:after="100" w:afterAutospacing="1"/>
              <w:jc w:val="both"/>
              <w:rPr>
                <w:sz w:val="26"/>
                <w:szCs w:val="26"/>
              </w:rPr>
            </w:pPr>
            <w:r w:rsidRPr="003955C1">
              <w:rPr>
                <w:sz w:val="26"/>
                <w:szCs w:val="26"/>
              </w:rPr>
              <w:t xml:space="preserve">Norma tiks pārņemta, izdodot MK noteikumus, kas noteiks kārtību, kādā pārvadātājs novērtē sabiedrisko autotransporta līdzekļu ekspluatācijas ietekmi uz enerģētiku un vidi un izvērtē enerģijas patēriņu un oglekļa dioksīda, slāpekļa oksīdu, metānu nesaturošo ogļūdeņražu un cieto daļiņu emisiju apjomu, noteiks sabiedrisko autotransporta līdzekļu pirkuma līgumcenas robežu, </w:t>
            </w:r>
            <w:r>
              <w:rPr>
                <w:sz w:val="26"/>
                <w:szCs w:val="26"/>
              </w:rPr>
              <w:t>no kuras</w:t>
            </w:r>
            <w:r w:rsidRPr="003955C1">
              <w:rPr>
                <w:sz w:val="26"/>
                <w:szCs w:val="26"/>
              </w:rPr>
              <w:t xml:space="preserve"> būs attiecināma minētā kārtība, </w:t>
            </w:r>
            <w:r w:rsidRPr="00033EFB">
              <w:rPr>
                <w:sz w:val="26"/>
                <w:szCs w:val="26"/>
              </w:rPr>
              <w:t>kā arī kārtību, kādā pārvadātājs aprēķina sabiedrisko autotransporta līdzekļu pirkuma paredzamo līgumcenu.</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3955C1">
              <w:rPr>
                <w:sz w:val="26"/>
                <w:szCs w:val="26"/>
              </w:rPr>
              <w:t>Projekts stingrākas prasības neparedz.</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5.panta 3.punkta b)apakšpunkts</w:t>
            </w:r>
          </w:p>
          <w:p w:rsidR="00877353" w:rsidRPr="00A27406" w:rsidRDefault="00877353" w:rsidP="009514D9">
            <w:pPr>
              <w:rPr>
                <w:sz w:val="26"/>
                <w:szCs w:val="26"/>
              </w:rPr>
            </w:pPr>
          </w:p>
        </w:tc>
        <w:tc>
          <w:tcPr>
            <w:tcW w:w="1122" w:type="pct"/>
            <w:tcBorders>
              <w:top w:val="outset" w:sz="6" w:space="0" w:color="auto"/>
              <w:left w:val="outset" w:sz="6" w:space="0" w:color="auto"/>
              <w:bottom w:val="outset" w:sz="6" w:space="0" w:color="auto"/>
              <w:right w:val="outset" w:sz="6" w:space="0" w:color="auto"/>
            </w:tcBorders>
          </w:tcPr>
          <w:p w:rsidR="00877353" w:rsidRPr="00746047" w:rsidRDefault="00877353" w:rsidP="009514D9">
            <w:pPr>
              <w:rPr>
                <w:sz w:val="26"/>
                <w:szCs w:val="26"/>
              </w:rPr>
            </w:pPr>
            <w:r w:rsidRPr="00746047">
              <w:rPr>
                <w:sz w:val="26"/>
                <w:szCs w:val="26"/>
              </w:rPr>
              <w:t>Netiek pārņemts</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3955C1" w:rsidRDefault="00877353" w:rsidP="009514D9">
            <w:pPr>
              <w:spacing w:before="100" w:beforeAutospacing="1" w:after="100" w:afterAutospacing="1"/>
              <w:jc w:val="both"/>
              <w:rPr>
                <w:sz w:val="26"/>
                <w:szCs w:val="26"/>
              </w:rPr>
            </w:pPr>
            <w:r w:rsidRPr="003955C1">
              <w:rPr>
                <w:sz w:val="26"/>
                <w:szCs w:val="26"/>
              </w:rPr>
              <w:t xml:space="preserve">Norma tiks pārņemta, izdodot MK noteikumus, kas noteiks kārtību, kādā pārvadātājs novērtē sabiedrisko autotransporta līdzekļu ekspluatācijas ietekmi uz enerģētiku un vidi un izvērtē enerģijas patēriņu un oglekļa dioksīda, slāpekļa oksīdu, metānu nesaturošo ogļūdeņražu un cieto daļiņu emisiju apjomu, noteiks sabiedrisko autotransporta līdzekļu pirkuma līgumcenas robežu, </w:t>
            </w:r>
            <w:r>
              <w:rPr>
                <w:sz w:val="26"/>
                <w:szCs w:val="26"/>
              </w:rPr>
              <w:t>no kuras</w:t>
            </w:r>
            <w:r w:rsidRPr="003955C1">
              <w:rPr>
                <w:sz w:val="26"/>
                <w:szCs w:val="26"/>
              </w:rPr>
              <w:t xml:space="preserve"> būs attiecināma minētā kārtība, </w:t>
            </w:r>
            <w:r w:rsidRPr="00033EFB">
              <w:rPr>
                <w:sz w:val="26"/>
                <w:szCs w:val="26"/>
              </w:rPr>
              <w:t>kā arī kārtību, kādā pārvadātājs aprēķina sabiedrisko autotransporta līdzekļu pirkuma paredzamo līgumcenu.</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Projekts stingrākas prasības neparedz.</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4201E2" w:rsidRDefault="00877353" w:rsidP="009514D9">
            <w:pPr>
              <w:rPr>
                <w:sz w:val="26"/>
                <w:szCs w:val="26"/>
              </w:rPr>
            </w:pPr>
            <w:r w:rsidRPr="004201E2">
              <w:rPr>
                <w:sz w:val="26"/>
                <w:szCs w:val="26"/>
              </w:rPr>
              <w:t>6.pants</w:t>
            </w:r>
          </w:p>
          <w:p w:rsidR="00877353" w:rsidRPr="004201E2" w:rsidRDefault="00877353" w:rsidP="009514D9">
            <w:pPr>
              <w:rPr>
                <w:sz w:val="26"/>
                <w:szCs w:val="26"/>
              </w:rPr>
            </w:pPr>
          </w:p>
        </w:tc>
        <w:tc>
          <w:tcPr>
            <w:tcW w:w="1122" w:type="pct"/>
            <w:tcBorders>
              <w:top w:val="outset" w:sz="6" w:space="0" w:color="auto"/>
              <w:left w:val="outset" w:sz="6" w:space="0" w:color="auto"/>
              <w:bottom w:val="outset" w:sz="6" w:space="0" w:color="auto"/>
              <w:right w:val="outset" w:sz="6" w:space="0" w:color="auto"/>
            </w:tcBorders>
          </w:tcPr>
          <w:p w:rsidR="00877353" w:rsidRPr="004201E2" w:rsidRDefault="00877353" w:rsidP="009514D9">
            <w:pPr>
              <w:jc w:val="both"/>
              <w:rPr>
                <w:sz w:val="26"/>
                <w:szCs w:val="26"/>
              </w:rPr>
            </w:pPr>
            <w:r w:rsidRPr="004201E2">
              <w:rPr>
                <w:sz w:val="26"/>
                <w:szCs w:val="26"/>
              </w:rPr>
              <w:t>Netiek pārņemts</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4201E2" w:rsidRDefault="00877353" w:rsidP="009514D9">
            <w:pPr>
              <w:spacing w:before="100" w:beforeAutospacing="1" w:after="100" w:afterAutospacing="1"/>
              <w:jc w:val="both"/>
              <w:rPr>
                <w:sz w:val="26"/>
                <w:szCs w:val="26"/>
              </w:rPr>
            </w:pPr>
            <w:r w:rsidRPr="004201E2">
              <w:rPr>
                <w:sz w:val="26"/>
                <w:szCs w:val="26"/>
              </w:rPr>
              <w:t xml:space="preserve">Tiks izstrādāts MK noteikumu projekts, kas noteiks kārtību, kādā </w:t>
            </w:r>
            <w:r>
              <w:rPr>
                <w:sz w:val="26"/>
                <w:szCs w:val="26"/>
              </w:rPr>
              <w:t xml:space="preserve">pārvadātājs </w:t>
            </w:r>
            <w:r w:rsidRPr="004201E2">
              <w:rPr>
                <w:sz w:val="26"/>
                <w:szCs w:val="26"/>
              </w:rPr>
              <w:t>novērtē sabiedrisko autotransporta līdzekļu ekspluatācijas ietekmi uz enerģētiku un vidi un izvērtē enerģijas patēriņu un oglekļa dioksīda, slāpekļa oksīdu, metānu nesaturošo ogļūdeņražu un cieto daļiņu emisiju apjomu, noteiks sabiedrisko autotransporta līdzekļu pirkuma līgumcen</w:t>
            </w:r>
            <w:r>
              <w:rPr>
                <w:sz w:val="26"/>
                <w:szCs w:val="26"/>
              </w:rPr>
              <w:t>as</w:t>
            </w:r>
            <w:r w:rsidRPr="004201E2">
              <w:rPr>
                <w:sz w:val="26"/>
                <w:szCs w:val="26"/>
              </w:rPr>
              <w:t xml:space="preserve"> robež</w:t>
            </w:r>
            <w:r>
              <w:rPr>
                <w:sz w:val="26"/>
                <w:szCs w:val="26"/>
              </w:rPr>
              <w:t>u</w:t>
            </w:r>
            <w:r w:rsidRPr="004201E2">
              <w:rPr>
                <w:sz w:val="26"/>
                <w:szCs w:val="26"/>
              </w:rPr>
              <w:t xml:space="preserve">, </w:t>
            </w:r>
            <w:r>
              <w:rPr>
                <w:sz w:val="26"/>
                <w:szCs w:val="26"/>
              </w:rPr>
              <w:t>no kuras</w:t>
            </w:r>
            <w:r w:rsidRPr="004201E2">
              <w:rPr>
                <w:sz w:val="26"/>
                <w:szCs w:val="26"/>
              </w:rPr>
              <w:t xml:space="preserve"> būs attiecināma minētā </w:t>
            </w:r>
            <w:r w:rsidRPr="0084418B">
              <w:rPr>
                <w:sz w:val="26"/>
                <w:szCs w:val="26"/>
              </w:rPr>
              <w:t>kārtība</w:t>
            </w:r>
            <w:r>
              <w:rPr>
                <w:sz w:val="26"/>
                <w:szCs w:val="26"/>
              </w:rPr>
              <w:t xml:space="preserve">, </w:t>
            </w:r>
            <w:r w:rsidRPr="00033EFB">
              <w:rPr>
                <w:sz w:val="26"/>
                <w:szCs w:val="26"/>
              </w:rPr>
              <w:t>kā arī kārtību, kādā pārvadātājs aprēķina sabiedrisko autotransporta līdzekļu pirkuma paredzamo līgumcenu.</w:t>
            </w:r>
            <w:r>
              <w:rPr>
                <w:sz w:val="26"/>
                <w:szCs w:val="26"/>
              </w:rPr>
              <w:t xml:space="preserve"> </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7.pants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Nav jāpārņem.</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8.pants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Nav jāpārņem.</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9.pants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Nav jāpārņem.</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jc w:val="center"/>
              <w:rPr>
                <w:sz w:val="26"/>
                <w:szCs w:val="26"/>
              </w:rPr>
            </w:pP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10.pants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Nav jāpārņem.</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r>
      <w:tr w:rsidR="00877353" w:rsidRPr="00A27406" w:rsidTr="007F0A49">
        <w:tc>
          <w:tcPr>
            <w:tcW w:w="1082"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11.panta 1.punkta pirmais ievilkums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Nav jāpārņem.</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11.panta 1.punkta otrais ievilkums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jc w:val="both"/>
              <w:rPr>
                <w:sz w:val="26"/>
                <w:szCs w:val="26"/>
              </w:rPr>
            </w:pPr>
            <w:r>
              <w:rPr>
                <w:sz w:val="26"/>
                <w:szCs w:val="26"/>
              </w:rPr>
              <w:t>4</w:t>
            </w:r>
            <w:r w:rsidRPr="00A27406">
              <w:rPr>
                <w:sz w:val="26"/>
                <w:szCs w:val="26"/>
              </w:rPr>
              <w:t>.pants</w:t>
            </w:r>
          </w:p>
          <w:p w:rsidR="00877353" w:rsidRPr="00A27406" w:rsidRDefault="00877353" w:rsidP="009514D9">
            <w:pPr>
              <w:jc w:val="both"/>
              <w:rPr>
                <w:sz w:val="26"/>
                <w:szCs w:val="26"/>
              </w:rPr>
            </w:pPr>
            <w:r w:rsidRPr="00A27406">
              <w:rPr>
                <w:sz w:val="26"/>
                <w:szCs w:val="26"/>
              </w:rPr>
              <w:t>(Informatīva atsauce uz Eiropas Savienības direktīvu)</w:t>
            </w:r>
          </w:p>
          <w:p w:rsidR="00877353" w:rsidRPr="00A27406" w:rsidRDefault="00877353" w:rsidP="009514D9">
            <w:pPr>
              <w:jc w:val="both"/>
              <w:rPr>
                <w:sz w:val="26"/>
                <w:szCs w:val="26"/>
              </w:rPr>
            </w:pPr>
            <w:r w:rsidRPr="00A27406">
              <w:rPr>
                <w:sz w:val="26"/>
                <w:szCs w:val="26"/>
              </w:rPr>
              <w:t>Publisko iepirkumu likums, Sabiedrisko pakalpojumu sniedzēju iepirkumu likums, Ministru kabineta 2010.gada 21.decembra</w:t>
            </w:r>
            <w:r w:rsidRPr="00A27406">
              <w:rPr>
                <w:rFonts w:ascii="Verdana" w:hAnsi="Verdana"/>
                <w:sz w:val="26"/>
                <w:szCs w:val="26"/>
              </w:rPr>
              <w:t xml:space="preserve"> </w:t>
            </w:r>
            <w:r w:rsidRPr="00A27406">
              <w:rPr>
                <w:sz w:val="26"/>
                <w:szCs w:val="26"/>
              </w:rPr>
              <w:t>noteikumi Nr.1184 „Noteikumi par transportlīdzekļu kategorijām, uz kurām iepirkumos attiecināmas īpašas prasības, un transportlīdzekļu darbmūža ekspluatācijas izmaksu aprēķināšanas metodiku”.</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Pārņemts pilnībā.</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jc w:val="center"/>
              <w:rPr>
                <w:sz w:val="26"/>
                <w:szCs w:val="26"/>
              </w:rPr>
            </w:pPr>
            <w:r w:rsidRPr="00A27406">
              <w:rPr>
                <w:sz w:val="26"/>
                <w:szCs w:val="26"/>
              </w:rPr>
              <w:t>-</w:t>
            </w: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11.panta 2.punkts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Nav jāpārņem.</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rPr>
                <w:sz w:val="26"/>
                <w:szCs w:val="26"/>
              </w:rPr>
            </w:pP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12.pants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Nav jāpārņem.</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rPr>
                <w:sz w:val="26"/>
                <w:szCs w:val="26"/>
              </w:rPr>
            </w:pP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13.pants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Nav jāpārņem.</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spacing w:before="100" w:beforeAutospacing="1" w:after="100" w:afterAutospacing="1"/>
              <w:rPr>
                <w:sz w:val="26"/>
                <w:szCs w:val="26"/>
              </w:rPr>
            </w:pP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Direktīvas pielikum</w:t>
            </w:r>
            <w:r>
              <w:rPr>
                <w:sz w:val="26"/>
                <w:szCs w:val="26"/>
              </w:rPr>
              <w:t>s</w:t>
            </w:r>
          </w:p>
        </w:tc>
        <w:tc>
          <w:tcPr>
            <w:tcW w:w="1122" w:type="pct"/>
            <w:tcBorders>
              <w:top w:val="outset" w:sz="6" w:space="0" w:color="auto"/>
              <w:left w:val="outset" w:sz="6" w:space="0" w:color="auto"/>
              <w:bottom w:val="outset" w:sz="6" w:space="0" w:color="auto"/>
              <w:right w:val="outset" w:sz="6" w:space="0" w:color="auto"/>
            </w:tcBorders>
          </w:tcPr>
          <w:p w:rsidR="00877353" w:rsidRPr="00A27406" w:rsidRDefault="00877353" w:rsidP="009514D9">
            <w:pPr>
              <w:pStyle w:val="tablecontents"/>
              <w:snapToGrid w:val="0"/>
              <w:jc w:val="both"/>
              <w:rPr>
                <w:sz w:val="26"/>
                <w:szCs w:val="26"/>
              </w:rPr>
            </w:pPr>
            <w:r>
              <w:rPr>
                <w:sz w:val="26"/>
                <w:szCs w:val="26"/>
              </w:rPr>
              <w:t>Netiek pārņemts.</w:t>
            </w:r>
          </w:p>
        </w:tc>
        <w:tc>
          <w:tcPr>
            <w:tcW w:w="124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pStyle w:val="tablecontents"/>
              <w:snapToGrid w:val="0"/>
              <w:jc w:val="both"/>
              <w:rPr>
                <w:sz w:val="26"/>
                <w:szCs w:val="26"/>
              </w:rPr>
            </w:pPr>
            <w:r>
              <w:rPr>
                <w:sz w:val="26"/>
                <w:szCs w:val="26"/>
              </w:rPr>
              <w:t>Tiks pārņemts, izstrādājot</w:t>
            </w:r>
            <w:r w:rsidRPr="004201E2">
              <w:rPr>
                <w:sz w:val="26"/>
                <w:szCs w:val="26"/>
              </w:rPr>
              <w:t xml:space="preserve"> MK noteikumu projekt</w:t>
            </w:r>
            <w:r>
              <w:rPr>
                <w:sz w:val="26"/>
                <w:szCs w:val="26"/>
              </w:rPr>
              <w:t>u</w:t>
            </w:r>
            <w:r w:rsidRPr="004201E2">
              <w:rPr>
                <w:sz w:val="26"/>
                <w:szCs w:val="26"/>
              </w:rPr>
              <w:t xml:space="preserve">, kas noteiks kārtību, kādā </w:t>
            </w:r>
            <w:r>
              <w:rPr>
                <w:sz w:val="26"/>
                <w:szCs w:val="26"/>
              </w:rPr>
              <w:t xml:space="preserve">pārvadātājs </w:t>
            </w:r>
            <w:r w:rsidRPr="004201E2">
              <w:rPr>
                <w:sz w:val="26"/>
                <w:szCs w:val="26"/>
              </w:rPr>
              <w:t>novērtē sabiedrisko autotransporta līdzekļu ekspluatācijas ietekmi uz enerģētiku un vidi un izvērtē enerģijas patēriņu un oglekļa dioksīda, slāpekļa oksīdu, metānu nesaturošo ogļūdeņražu un cieto daļiņu emisiju apjomu, noteiks sabiedrisko autotransporta līdzekļu pirkuma līgumcen</w:t>
            </w:r>
            <w:r>
              <w:rPr>
                <w:sz w:val="26"/>
                <w:szCs w:val="26"/>
              </w:rPr>
              <w:t>as</w:t>
            </w:r>
            <w:r w:rsidRPr="004201E2">
              <w:rPr>
                <w:sz w:val="26"/>
                <w:szCs w:val="26"/>
              </w:rPr>
              <w:t xml:space="preserve"> robež</w:t>
            </w:r>
            <w:r>
              <w:rPr>
                <w:sz w:val="26"/>
                <w:szCs w:val="26"/>
              </w:rPr>
              <w:t>u</w:t>
            </w:r>
            <w:r w:rsidRPr="004201E2">
              <w:rPr>
                <w:sz w:val="26"/>
                <w:szCs w:val="26"/>
              </w:rPr>
              <w:t xml:space="preserve">, </w:t>
            </w:r>
            <w:r>
              <w:rPr>
                <w:sz w:val="26"/>
                <w:szCs w:val="26"/>
              </w:rPr>
              <w:t>no kuras</w:t>
            </w:r>
            <w:r w:rsidRPr="004201E2">
              <w:rPr>
                <w:sz w:val="26"/>
                <w:szCs w:val="26"/>
              </w:rPr>
              <w:t xml:space="preserve"> būs attiecināma minētā </w:t>
            </w:r>
            <w:r w:rsidRPr="0084418B">
              <w:rPr>
                <w:sz w:val="26"/>
                <w:szCs w:val="26"/>
              </w:rPr>
              <w:t>kārtība</w:t>
            </w:r>
            <w:r>
              <w:rPr>
                <w:sz w:val="26"/>
                <w:szCs w:val="26"/>
              </w:rPr>
              <w:t xml:space="preserve">, </w:t>
            </w:r>
            <w:r w:rsidRPr="00033EFB">
              <w:rPr>
                <w:sz w:val="26"/>
                <w:szCs w:val="26"/>
              </w:rPr>
              <w:t>kā arī kārtību, kādā pārvadātājs aprēķina sabiedrisko autotransporta līdzekļu pirkuma paredzamo līgumcenu.</w:t>
            </w:r>
          </w:p>
        </w:tc>
        <w:tc>
          <w:tcPr>
            <w:tcW w:w="1550" w:type="pct"/>
            <w:gridSpan w:val="2"/>
            <w:tcBorders>
              <w:top w:val="outset" w:sz="6" w:space="0" w:color="auto"/>
              <w:left w:val="outset" w:sz="6" w:space="0" w:color="auto"/>
              <w:bottom w:val="outset" w:sz="6" w:space="0" w:color="auto"/>
            </w:tcBorders>
          </w:tcPr>
          <w:p w:rsidR="00877353" w:rsidRPr="00A27406" w:rsidRDefault="00877353" w:rsidP="009514D9">
            <w:pPr>
              <w:pStyle w:val="tablecontents"/>
              <w:snapToGrid w:val="0"/>
              <w:rPr>
                <w:sz w:val="26"/>
                <w:szCs w:val="26"/>
              </w:rPr>
            </w:pP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jc w:val="both"/>
              <w:rPr>
                <w:sz w:val="26"/>
                <w:szCs w:val="26"/>
              </w:rPr>
            </w:pPr>
          </w:p>
        </w:tc>
        <w:tc>
          <w:tcPr>
            <w:tcW w:w="3918" w:type="pct"/>
            <w:gridSpan w:val="5"/>
            <w:tcBorders>
              <w:top w:val="outset" w:sz="6" w:space="0" w:color="auto"/>
              <w:left w:val="outset" w:sz="6" w:space="0" w:color="auto"/>
              <w:bottom w:val="outset" w:sz="6" w:space="0" w:color="auto"/>
            </w:tcBorders>
          </w:tcPr>
          <w:p w:rsidR="00877353" w:rsidRPr="00A27406" w:rsidRDefault="00877353" w:rsidP="009514D9">
            <w:pPr>
              <w:pStyle w:val="tablecontents"/>
              <w:snapToGrid w:val="0"/>
              <w:jc w:val="both"/>
              <w:rPr>
                <w:sz w:val="26"/>
                <w:szCs w:val="26"/>
              </w:rPr>
            </w:pPr>
            <w:r w:rsidRPr="00840B78">
              <w:rPr>
                <w:sz w:val="26"/>
                <w:szCs w:val="26"/>
              </w:rPr>
              <w:t>Eiropas Parlamenta un Pado</w:t>
            </w:r>
            <w:r>
              <w:rPr>
                <w:sz w:val="26"/>
                <w:szCs w:val="26"/>
              </w:rPr>
              <w:t>mes 2007.gada 23.oktobra regula</w:t>
            </w:r>
            <w:r w:rsidRPr="00840B78">
              <w:rPr>
                <w:sz w:val="26"/>
                <w:szCs w:val="26"/>
              </w:rPr>
              <w:t xml:space="preserve"> (EK) Nr.1370/2007 par sabiedriskā pasažieru transporta pakalpojumiem, izmantojot dzelzceļu un autoceļus, un ar ko atceļ Padomes Regulu (EEK) Nr.1191/69 un Padomes Regulu (EEK) Nr.1107/70</w:t>
            </w: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jc w:val="both"/>
              <w:rPr>
                <w:sz w:val="26"/>
                <w:szCs w:val="26"/>
              </w:rPr>
            </w:pPr>
            <w:r>
              <w:rPr>
                <w:sz w:val="26"/>
                <w:szCs w:val="26"/>
              </w:rPr>
              <w:t>Regulas 4.panta 3.punkts</w:t>
            </w:r>
          </w:p>
        </w:tc>
        <w:tc>
          <w:tcPr>
            <w:tcW w:w="130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pStyle w:val="tablecontents"/>
              <w:snapToGrid w:val="0"/>
              <w:jc w:val="both"/>
              <w:rPr>
                <w:sz w:val="26"/>
                <w:szCs w:val="26"/>
              </w:rPr>
            </w:pPr>
            <w:r>
              <w:rPr>
                <w:sz w:val="26"/>
                <w:szCs w:val="26"/>
              </w:rPr>
              <w:t>Likumprojekta 2.pants</w:t>
            </w:r>
          </w:p>
        </w:tc>
        <w:tc>
          <w:tcPr>
            <w:tcW w:w="130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pStyle w:val="tablecontents"/>
              <w:snapToGrid w:val="0"/>
              <w:jc w:val="both"/>
              <w:rPr>
                <w:sz w:val="26"/>
                <w:szCs w:val="26"/>
              </w:rPr>
            </w:pPr>
            <w:r w:rsidRPr="00A27406">
              <w:rPr>
                <w:sz w:val="26"/>
                <w:szCs w:val="26"/>
              </w:rPr>
              <w:t>Pārņemts pilnībā</w:t>
            </w:r>
          </w:p>
        </w:tc>
        <w:tc>
          <w:tcPr>
            <w:tcW w:w="1306" w:type="pct"/>
            <w:tcBorders>
              <w:top w:val="outset" w:sz="6" w:space="0" w:color="auto"/>
              <w:left w:val="outset" w:sz="6" w:space="0" w:color="auto"/>
              <w:bottom w:val="outset" w:sz="6" w:space="0" w:color="auto"/>
            </w:tcBorders>
          </w:tcPr>
          <w:p w:rsidR="00877353" w:rsidRPr="00A27406" w:rsidRDefault="00877353" w:rsidP="009514D9">
            <w:pPr>
              <w:pStyle w:val="tablecontents"/>
              <w:snapToGrid w:val="0"/>
              <w:jc w:val="both"/>
              <w:rPr>
                <w:sz w:val="26"/>
                <w:szCs w:val="26"/>
              </w:rPr>
            </w:pPr>
            <w:r w:rsidRPr="00A27406">
              <w:rPr>
                <w:sz w:val="26"/>
                <w:szCs w:val="26"/>
              </w:rPr>
              <w:t>Projekts stingrākas prasības neparedz.</w:t>
            </w: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jc w:val="both"/>
              <w:rPr>
                <w:sz w:val="26"/>
                <w:szCs w:val="26"/>
              </w:rPr>
            </w:pPr>
            <w:r>
              <w:rPr>
                <w:sz w:val="26"/>
                <w:szCs w:val="26"/>
              </w:rPr>
              <w:t>Regulas 4.panta 3.punkts</w:t>
            </w:r>
          </w:p>
        </w:tc>
        <w:tc>
          <w:tcPr>
            <w:tcW w:w="130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pStyle w:val="tablecontents"/>
              <w:snapToGrid w:val="0"/>
              <w:jc w:val="both"/>
              <w:rPr>
                <w:sz w:val="26"/>
                <w:szCs w:val="26"/>
              </w:rPr>
            </w:pPr>
            <w:r>
              <w:rPr>
                <w:sz w:val="26"/>
                <w:szCs w:val="26"/>
              </w:rPr>
              <w:t>Likumprojekta 2.pants</w:t>
            </w:r>
          </w:p>
        </w:tc>
        <w:tc>
          <w:tcPr>
            <w:tcW w:w="1306" w:type="pct"/>
            <w:gridSpan w:val="2"/>
            <w:tcBorders>
              <w:top w:val="outset" w:sz="6" w:space="0" w:color="auto"/>
              <w:left w:val="outset" w:sz="6" w:space="0" w:color="auto"/>
              <w:bottom w:val="outset" w:sz="6" w:space="0" w:color="auto"/>
              <w:right w:val="outset" w:sz="6" w:space="0" w:color="auto"/>
            </w:tcBorders>
          </w:tcPr>
          <w:p w:rsidR="00877353" w:rsidRPr="00A27406" w:rsidRDefault="00877353" w:rsidP="009514D9">
            <w:pPr>
              <w:pStyle w:val="tablecontents"/>
              <w:snapToGrid w:val="0"/>
              <w:jc w:val="both"/>
              <w:rPr>
                <w:sz w:val="26"/>
                <w:szCs w:val="26"/>
              </w:rPr>
            </w:pPr>
            <w:r w:rsidRPr="00A27406">
              <w:rPr>
                <w:sz w:val="26"/>
                <w:szCs w:val="26"/>
              </w:rPr>
              <w:t>Pārņemts pilnībā</w:t>
            </w:r>
          </w:p>
        </w:tc>
        <w:tc>
          <w:tcPr>
            <w:tcW w:w="1306" w:type="pct"/>
            <w:tcBorders>
              <w:top w:val="outset" w:sz="6" w:space="0" w:color="auto"/>
              <w:left w:val="outset" w:sz="6" w:space="0" w:color="auto"/>
              <w:bottom w:val="outset" w:sz="6" w:space="0" w:color="auto"/>
            </w:tcBorders>
          </w:tcPr>
          <w:p w:rsidR="00877353" w:rsidRPr="00A27406" w:rsidRDefault="00877353" w:rsidP="009514D9">
            <w:pPr>
              <w:pStyle w:val="tablecontents"/>
              <w:snapToGrid w:val="0"/>
              <w:jc w:val="both"/>
              <w:rPr>
                <w:sz w:val="26"/>
                <w:szCs w:val="26"/>
              </w:rPr>
            </w:pPr>
            <w:r w:rsidRPr="00A27406">
              <w:rPr>
                <w:sz w:val="26"/>
                <w:szCs w:val="26"/>
              </w:rPr>
              <w:t>Projekts stingrākas prasības neparedz.</w:t>
            </w: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jc w:val="both"/>
              <w:rPr>
                <w:sz w:val="26"/>
                <w:szCs w:val="26"/>
              </w:rPr>
            </w:pPr>
            <w:r w:rsidRPr="00A27406">
              <w:rPr>
                <w:sz w:val="26"/>
                <w:szCs w:val="26"/>
              </w:rPr>
              <w:t>Kā ir izmantota ES tiesību aktā paredzētā rīcības brīvība dalībvalstij pārņemt vai ieviest noteiktas ES tiesību akta normas? Kādēļ?</w:t>
            </w:r>
          </w:p>
        </w:tc>
        <w:tc>
          <w:tcPr>
            <w:tcW w:w="3918" w:type="pct"/>
            <w:gridSpan w:val="5"/>
            <w:tcBorders>
              <w:top w:val="outset" w:sz="6" w:space="0" w:color="auto"/>
              <w:left w:val="outset" w:sz="6" w:space="0" w:color="auto"/>
              <w:bottom w:val="outset" w:sz="6" w:space="0" w:color="auto"/>
            </w:tcBorders>
          </w:tcPr>
          <w:p w:rsidR="00877353" w:rsidRPr="00A27406" w:rsidRDefault="00877353" w:rsidP="009514D9">
            <w:pPr>
              <w:pStyle w:val="tablecontents"/>
              <w:snapToGrid w:val="0"/>
              <w:jc w:val="both"/>
              <w:rPr>
                <w:sz w:val="26"/>
                <w:szCs w:val="26"/>
              </w:rPr>
            </w:pPr>
            <w:r w:rsidRPr="00A27406">
              <w:rPr>
                <w:sz w:val="26"/>
                <w:szCs w:val="26"/>
              </w:rPr>
              <w:t xml:space="preserve">Pārņemtas visas normas, kurās dalībvalstij paredzēta izvēles iespēja tās pārņemt. </w:t>
            </w:r>
            <w:r>
              <w:rPr>
                <w:sz w:val="26"/>
                <w:szCs w:val="26"/>
              </w:rPr>
              <w:t>MK noteikumos tiks noteiktas sabiedrisko autotransporta līdzekļu pirkumu līgumcenu robežas analoģiska tām, kādas ir noteiktas saskaņā ar Sabiedrisko pakalpojumu sniedzēju iepirkumu likumu.</w:t>
            </w: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jc w:val="both"/>
              <w:rPr>
                <w:sz w:val="26"/>
                <w:szCs w:val="26"/>
              </w:rPr>
            </w:pPr>
            <w:r w:rsidRPr="00A27406">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8" w:type="pct"/>
            <w:gridSpan w:val="5"/>
            <w:tcBorders>
              <w:top w:val="outset" w:sz="6" w:space="0" w:color="auto"/>
              <w:left w:val="outset" w:sz="6" w:space="0" w:color="auto"/>
              <w:bottom w:val="outset" w:sz="6" w:space="0" w:color="auto"/>
            </w:tcBorders>
          </w:tcPr>
          <w:p w:rsidR="00877353" w:rsidRPr="00A27406" w:rsidRDefault="00877353" w:rsidP="009514D9">
            <w:pPr>
              <w:rPr>
                <w:sz w:val="26"/>
                <w:szCs w:val="26"/>
              </w:rPr>
            </w:pPr>
            <w:r w:rsidRPr="00EF0189">
              <w:rPr>
                <w:sz w:val="26"/>
                <w:szCs w:val="26"/>
              </w:rPr>
              <w:t>Projekts šo jomu neskar</w:t>
            </w:r>
            <w:r>
              <w:rPr>
                <w:sz w:val="26"/>
                <w:szCs w:val="26"/>
              </w:rPr>
              <w:t>.</w:t>
            </w:r>
          </w:p>
        </w:tc>
      </w:tr>
      <w:tr w:rsidR="00877353" w:rsidRPr="00A27406" w:rsidTr="007F0A49">
        <w:tc>
          <w:tcPr>
            <w:tcW w:w="1079" w:type="pct"/>
            <w:tcBorders>
              <w:top w:val="outset" w:sz="6" w:space="0" w:color="auto"/>
              <w:bottom w:val="outset" w:sz="6" w:space="0" w:color="auto"/>
              <w:right w:val="outset" w:sz="6" w:space="0" w:color="auto"/>
            </w:tcBorders>
          </w:tcPr>
          <w:p w:rsidR="00877353" w:rsidRPr="00A27406" w:rsidRDefault="00877353" w:rsidP="009514D9">
            <w:pPr>
              <w:rPr>
                <w:sz w:val="26"/>
                <w:szCs w:val="26"/>
              </w:rPr>
            </w:pPr>
            <w:r w:rsidRPr="00A27406">
              <w:rPr>
                <w:sz w:val="26"/>
                <w:szCs w:val="26"/>
              </w:rPr>
              <w:t>Cita informācija</w:t>
            </w:r>
          </w:p>
        </w:tc>
        <w:tc>
          <w:tcPr>
            <w:tcW w:w="3918" w:type="pct"/>
            <w:gridSpan w:val="5"/>
            <w:tcBorders>
              <w:top w:val="outset" w:sz="6" w:space="0" w:color="auto"/>
              <w:left w:val="outset" w:sz="6" w:space="0" w:color="auto"/>
              <w:bottom w:val="outset" w:sz="6" w:space="0" w:color="auto"/>
            </w:tcBorders>
          </w:tcPr>
          <w:p w:rsidR="00877353" w:rsidRPr="00A27406" w:rsidRDefault="00877353" w:rsidP="009514D9">
            <w:pPr>
              <w:spacing w:before="100" w:beforeAutospacing="1" w:after="100" w:afterAutospacing="1"/>
              <w:rPr>
                <w:sz w:val="26"/>
                <w:szCs w:val="26"/>
              </w:rPr>
            </w:pPr>
            <w:r w:rsidRPr="00A27406">
              <w:rPr>
                <w:sz w:val="26"/>
                <w:szCs w:val="26"/>
              </w:rPr>
              <w:t>Nav</w:t>
            </w:r>
          </w:p>
        </w:tc>
      </w:tr>
    </w:tbl>
    <w:p w:rsidR="00877353" w:rsidRPr="00543B99" w:rsidRDefault="00877353" w:rsidP="0084418B">
      <w:pPr>
        <w:spacing w:line="360" w:lineRule="auto"/>
        <w:rPr>
          <w:rFonts w:ascii="Verdana" w:hAnsi="Verdana"/>
          <w:vanish/>
        </w:rPr>
      </w:pPr>
    </w:p>
    <w:tbl>
      <w:tblPr>
        <w:tblW w:w="5279" w:type="pct"/>
        <w:tblCellSpacing w:w="20" w:type="dxa"/>
        <w:tblInd w:w="-2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A0"/>
      </w:tblPr>
      <w:tblGrid>
        <w:gridCol w:w="9758"/>
      </w:tblGrid>
      <w:tr w:rsidR="00877353" w:rsidRPr="00543B99" w:rsidTr="00F22012">
        <w:trPr>
          <w:trHeight w:val="15"/>
          <w:tblCellSpacing w:w="20" w:type="dxa"/>
        </w:trPr>
        <w:tc>
          <w:tcPr>
            <w:tcW w:w="5000" w:type="pct"/>
            <w:shd w:val="clear" w:color="auto" w:fill="FFFFFF"/>
            <w:vAlign w:val="center"/>
          </w:tcPr>
          <w:p w:rsidR="00877353" w:rsidRPr="00543B99" w:rsidRDefault="00877353" w:rsidP="00F22012">
            <w:pPr>
              <w:spacing w:before="100" w:beforeAutospacing="1" w:after="100" w:afterAutospacing="1" w:line="15" w:lineRule="atLeast"/>
              <w:jc w:val="center"/>
            </w:pPr>
            <w:r w:rsidRPr="00543B99">
              <w:rPr>
                <w:b/>
                <w:bCs/>
              </w:rPr>
              <w:t>2.tabula</w:t>
            </w:r>
            <w:r w:rsidRPr="00543B99">
              <w:rPr>
                <w:b/>
                <w:bCs/>
              </w:rPr>
              <w:br/>
              <w:t>Ar tiesību akta projektu izpildītās vai uzņemtās saistības, kas izriet no starptautiskajiem tiesību aktiem vai starptautiskas institūcijas vai organizācijas dokumentiem.</w:t>
            </w:r>
            <w:r w:rsidRPr="00543B99">
              <w:rPr>
                <w:b/>
                <w:bCs/>
              </w:rPr>
              <w:br/>
              <w:t>Pasākumi šo saistību izpildei</w:t>
            </w:r>
          </w:p>
        </w:tc>
      </w:tr>
      <w:tr w:rsidR="00877353" w:rsidRPr="00543B99" w:rsidTr="00F22012">
        <w:trPr>
          <w:trHeight w:val="15"/>
          <w:tblCellSpacing w:w="20" w:type="dxa"/>
        </w:trPr>
        <w:tc>
          <w:tcPr>
            <w:tcW w:w="5000" w:type="pct"/>
            <w:shd w:val="clear" w:color="auto" w:fill="FFFFFF"/>
            <w:vAlign w:val="center"/>
          </w:tcPr>
          <w:p w:rsidR="00877353" w:rsidRPr="00543B99" w:rsidRDefault="00877353" w:rsidP="00F22012">
            <w:pPr>
              <w:spacing w:before="100" w:beforeAutospacing="1" w:after="100" w:afterAutospacing="1" w:line="15" w:lineRule="atLeast"/>
              <w:jc w:val="center"/>
              <w:rPr>
                <w:bCs/>
              </w:rPr>
            </w:pPr>
            <w:r w:rsidRPr="00543B99">
              <w:rPr>
                <w:bCs/>
              </w:rPr>
              <w:t>Projekts šo jomu neskar.</w:t>
            </w:r>
          </w:p>
        </w:tc>
      </w:tr>
    </w:tbl>
    <w:p w:rsidR="00877353" w:rsidRDefault="00877353" w:rsidP="0084418B">
      <w:pPr>
        <w:pStyle w:val="naiskr"/>
        <w:spacing w:before="0" w:after="0"/>
        <w:jc w:val="both"/>
        <w:rPr>
          <w:i/>
        </w:rPr>
      </w:pPr>
    </w:p>
    <w:p w:rsidR="00877353" w:rsidRPr="00543B99" w:rsidRDefault="00877353" w:rsidP="0084418B">
      <w:pPr>
        <w:pStyle w:val="naiskr"/>
        <w:spacing w:before="0" w:after="0"/>
        <w:jc w:val="both"/>
        <w:rPr>
          <w:i/>
        </w:rPr>
      </w:pPr>
    </w:p>
    <w:tbl>
      <w:tblPr>
        <w:tblW w:w="9599"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99"/>
      </w:tblGrid>
      <w:tr w:rsidR="00877353" w:rsidRPr="00543B99" w:rsidTr="00F22012">
        <w:trPr>
          <w:jc w:val="center"/>
        </w:trPr>
        <w:tc>
          <w:tcPr>
            <w:tcW w:w="9599" w:type="dxa"/>
          </w:tcPr>
          <w:p w:rsidR="00877353" w:rsidRPr="00543B99" w:rsidRDefault="00877353" w:rsidP="00F22012">
            <w:pPr>
              <w:pStyle w:val="naisnod"/>
              <w:spacing w:before="0" w:after="0"/>
              <w:ind w:left="57" w:right="57"/>
            </w:pPr>
            <w:r w:rsidRPr="00543B99">
              <w:t>VI. Sabiedrības līdzdalība un šīs līdzdalības rezultāti</w:t>
            </w:r>
          </w:p>
        </w:tc>
      </w:tr>
      <w:tr w:rsidR="00877353" w:rsidRPr="00543B99" w:rsidTr="00F22012">
        <w:trPr>
          <w:jc w:val="center"/>
        </w:trPr>
        <w:tc>
          <w:tcPr>
            <w:tcW w:w="9599" w:type="dxa"/>
          </w:tcPr>
          <w:p w:rsidR="00877353" w:rsidRPr="00543B99" w:rsidRDefault="00877353" w:rsidP="00F22012">
            <w:pPr>
              <w:pStyle w:val="naisnod"/>
              <w:spacing w:before="0" w:after="0"/>
              <w:ind w:left="57" w:right="57"/>
              <w:rPr>
                <w:b w:val="0"/>
              </w:rPr>
            </w:pPr>
            <w:r w:rsidRPr="00543B99">
              <w:rPr>
                <w:b w:val="0"/>
              </w:rPr>
              <w:t>Projekts šo jomu neskar.</w:t>
            </w:r>
          </w:p>
        </w:tc>
      </w:tr>
    </w:tbl>
    <w:p w:rsidR="00877353" w:rsidRPr="00543B99" w:rsidRDefault="00877353" w:rsidP="0084418B">
      <w:pPr>
        <w:rPr>
          <w:color w:val="000000"/>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5579"/>
      </w:tblGrid>
      <w:tr w:rsidR="00877353" w:rsidRPr="00543B99" w:rsidTr="00F22012">
        <w:trPr>
          <w:trHeight w:val="279"/>
          <w:jc w:val="center"/>
        </w:trPr>
        <w:tc>
          <w:tcPr>
            <w:tcW w:w="9539" w:type="dxa"/>
            <w:gridSpan w:val="3"/>
          </w:tcPr>
          <w:p w:rsidR="00877353" w:rsidRPr="00543B99" w:rsidRDefault="00877353" w:rsidP="00F22012">
            <w:pPr>
              <w:jc w:val="center"/>
              <w:rPr>
                <w:b/>
                <w:color w:val="000000"/>
              </w:rPr>
            </w:pPr>
            <w:r w:rsidRPr="00543B99">
              <w:rPr>
                <w:b/>
                <w:color w:val="000000"/>
              </w:rPr>
              <w:t>VII. Tiesību akta projekta izpildes nodrošināšana un tās ietekme uz institūcijām</w:t>
            </w:r>
          </w:p>
        </w:tc>
      </w:tr>
      <w:tr w:rsidR="00877353" w:rsidRPr="00543B99" w:rsidTr="00F22012">
        <w:trPr>
          <w:trHeight w:val="279"/>
          <w:jc w:val="center"/>
        </w:trPr>
        <w:tc>
          <w:tcPr>
            <w:tcW w:w="540" w:type="dxa"/>
          </w:tcPr>
          <w:p w:rsidR="00877353" w:rsidRPr="00543B99" w:rsidRDefault="00877353" w:rsidP="00F22012">
            <w:pPr>
              <w:jc w:val="both"/>
              <w:rPr>
                <w:color w:val="000000"/>
              </w:rPr>
            </w:pPr>
            <w:r w:rsidRPr="00543B99">
              <w:rPr>
                <w:color w:val="000000"/>
              </w:rPr>
              <w:t>1.</w:t>
            </w:r>
          </w:p>
        </w:tc>
        <w:tc>
          <w:tcPr>
            <w:tcW w:w="3420" w:type="dxa"/>
          </w:tcPr>
          <w:p w:rsidR="00877353" w:rsidRPr="00543B99" w:rsidRDefault="00877353" w:rsidP="00F22012">
            <w:pPr>
              <w:jc w:val="both"/>
              <w:rPr>
                <w:color w:val="000000"/>
              </w:rPr>
            </w:pPr>
            <w:r w:rsidRPr="00543B99">
              <w:rPr>
                <w:color w:val="000000"/>
              </w:rPr>
              <w:t>Projekta izpildē iesaistītās institūcijas</w:t>
            </w:r>
          </w:p>
        </w:tc>
        <w:tc>
          <w:tcPr>
            <w:tcW w:w="5579" w:type="dxa"/>
          </w:tcPr>
          <w:p w:rsidR="00877353" w:rsidRPr="00543B99" w:rsidRDefault="00877353" w:rsidP="00543B99">
            <w:pPr>
              <w:pStyle w:val="naisnod"/>
              <w:spacing w:before="0" w:after="0"/>
              <w:ind w:left="57" w:right="57"/>
              <w:jc w:val="both"/>
              <w:rPr>
                <w:b w:val="0"/>
                <w:color w:val="000000"/>
              </w:rPr>
            </w:pPr>
            <w:r w:rsidRPr="00543B99">
              <w:rPr>
                <w:b w:val="0"/>
              </w:rPr>
              <w:t xml:space="preserve">Valsts </w:t>
            </w:r>
            <w:r>
              <w:rPr>
                <w:b w:val="0"/>
              </w:rPr>
              <w:t>SIA</w:t>
            </w:r>
            <w:r w:rsidRPr="00543B99">
              <w:rPr>
                <w:b w:val="0"/>
                <w:iCs/>
              </w:rPr>
              <w:t xml:space="preserve"> „Autotransporta direkcija”</w:t>
            </w:r>
            <w:r>
              <w:rPr>
                <w:b w:val="0"/>
                <w:iCs/>
              </w:rPr>
              <w:t xml:space="preserve"> un pašvaldības.</w:t>
            </w:r>
          </w:p>
        </w:tc>
      </w:tr>
      <w:tr w:rsidR="00877353" w:rsidRPr="00543B99" w:rsidTr="00F22012">
        <w:trPr>
          <w:trHeight w:val="279"/>
          <w:jc w:val="center"/>
        </w:trPr>
        <w:tc>
          <w:tcPr>
            <w:tcW w:w="540" w:type="dxa"/>
          </w:tcPr>
          <w:p w:rsidR="00877353" w:rsidRPr="00543B99" w:rsidRDefault="00877353" w:rsidP="00F22012">
            <w:pPr>
              <w:jc w:val="both"/>
              <w:rPr>
                <w:color w:val="000000"/>
              </w:rPr>
            </w:pPr>
            <w:r w:rsidRPr="00543B99">
              <w:rPr>
                <w:color w:val="000000"/>
              </w:rPr>
              <w:t>2.</w:t>
            </w:r>
          </w:p>
        </w:tc>
        <w:tc>
          <w:tcPr>
            <w:tcW w:w="3420" w:type="dxa"/>
          </w:tcPr>
          <w:p w:rsidR="00877353" w:rsidRPr="00543B99" w:rsidRDefault="00877353" w:rsidP="00F22012">
            <w:pPr>
              <w:jc w:val="both"/>
              <w:rPr>
                <w:color w:val="000000"/>
              </w:rPr>
            </w:pPr>
            <w:r w:rsidRPr="00543B99">
              <w:rPr>
                <w:color w:val="000000"/>
              </w:rPr>
              <w:t>Projekta izpildes ietekme uz pārvaldes funkcijām</w:t>
            </w:r>
          </w:p>
        </w:tc>
        <w:tc>
          <w:tcPr>
            <w:tcW w:w="5579" w:type="dxa"/>
          </w:tcPr>
          <w:p w:rsidR="00877353" w:rsidRPr="006F028A" w:rsidRDefault="00877353" w:rsidP="006F028A">
            <w:pPr>
              <w:jc w:val="both"/>
              <w:rPr>
                <w:color w:val="000000"/>
              </w:rPr>
            </w:pPr>
            <w:r w:rsidRPr="006F028A">
              <w:rPr>
                <w:color w:val="000000"/>
              </w:rPr>
              <w:t>Projekts šo jomu neskar</w:t>
            </w:r>
          </w:p>
        </w:tc>
      </w:tr>
      <w:tr w:rsidR="00877353" w:rsidRPr="00543B99" w:rsidTr="00F22012">
        <w:trPr>
          <w:trHeight w:val="279"/>
          <w:jc w:val="center"/>
        </w:trPr>
        <w:tc>
          <w:tcPr>
            <w:tcW w:w="540" w:type="dxa"/>
          </w:tcPr>
          <w:p w:rsidR="00877353" w:rsidRPr="00543B99" w:rsidRDefault="00877353" w:rsidP="00F22012">
            <w:pPr>
              <w:jc w:val="both"/>
              <w:rPr>
                <w:color w:val="000000"/>
              </w:rPr>
            </w:pPr>
            <w:r w:rsidRPr="00543B99">
              <w:rPr>
                <w:color w:val="000000"/>
              </w:rPr>
              <w:t>3.</w:t>
            </w:r>
          </w:p>
        </w:tc>
        <w:tc>
          <w:tcPr>
            <w:tcW w:w="3420" w:type="dxa"/>
          </w:tcPr>
          <w:p w:rsidR="00877353" w:rsidRPr="00543B99" w:rsidRDefault="00877353" w:rsidP="00F22012">
            <w:pPr>
              <w:ind w:left="57" w:right="57"/>
              <w:jc w:val="both"/>
              <w:rPr>
                <w:color w:val="000000"/>
              </w:rPr>
            </w:pPr>
            <w:r w:rsidRPr="00543B99">
              <w:rPr>
                <w:color w:val="000000"/>
              </w:rPr>
              <w:t>Projekta izpildes ietekme uz pārvaldes institucionālo struktūru.</w:t>
            </w:r>
          </w:p>
          <w:p w:rsidR="00877353" w:rsidRPr="00543B99" w:rsidRDefault="00877353" w:rsidP="00F22012">
            <w:pPr>
              <w:jc w:val="both"/>
              <w:rPr>
                <w:color w:val="000000"/>
              </w:rPr>
            </w:pPr>
            <w:r w:rsidRPr="00543B99">
              <w:rPr>
                <w:color w:val="000000"/>
              </w:rPr>
              <w:t>Jaunu institūciju izveide</w:t>
            </w:r>
          </w:p>
        </w:tc>
        <w:tc>
          <w:tcPr>
            <w:tcW w:w="5579" w:type="dxa"/>
          </w:tcPr>
          <w:p w:rsidR="00877353" w:rsidRPr="00543B99" w:rsidRDefault="00877353" w:rsidP="00F22012">
            <w:pPr>
              <w:pStyle w:val="naisnod"/>
              <w:spacing w:before="0" w:after="0"/>
              <w:ind w:left="57" w:right="57"/>
              <w:jc w:val="both"/>
              <w:rPr>
                <w:b w:val="0"/>
                <w:iCs/>
              </w:rPr>
            </w:pPr>
            <w:r w:rsidRPr="00543B99">
              <w:rPr>
                <w:b w:val="0"/>
                <w:color w:val="000000"/>
              </w:rPr>
              <w:t>Projekts šo jomu neskar.</w:t>
            </w:r>
          </w:p>
          <w:p w:rsidR="00877353" w:rsidRPr="00543B99" w:rsidRDefault="00877353" w:rsidP="00F22012">
            <w:pPr>
              <w:pStyle w:val="naisnod"/>
              <w:spacing w:before="0" w:after="0"/>
              <w:ind w:left="57" w:right="57"/>
              <w:jc w:val="both"/>
              <w:rPr>
                <w:b w:val="0"/>
                <w:color w:val="000000"/>
              </w:rPr>
            </w:pPr>
          </w:p>
        </w:tc>
      </w:tr>
      <w:tr w:rsidR="00877353" w:rsidRPr="00543B99" w:rsidTr="00F22012">
        <w:trPr>
          <w:trHeight w:val="279"/>
          <w:jc w:val="center"/>
        </w:trPr>
        <w:tc>
          <w:tcPr>
            <w:tcW w:w="540" w:type="dxa"/>
          </w:tcPr>
          <w:p w:rsidR="00877353" w:rsidRPr="00543B99" w:rsidRDefault="00877353" w:rsidP="00F22012">
            <w:pPr>
              <w:jc w:val="both"/>
              <w:rPr>
                <w:color w:val="000000"/>
              </w:rPr>
            </w:pPr>
            <w:r w:rsidRPr="00543B99">
              <w:rPr>
                <w:color w:val="000000"/>
              </w:rPr>
              <w:t>4.</w:t>
            </w:r>
          </w:p>
        </w:tc>
        <w:tc>
          <w:tcPr>
            <w:tcW w:w="3420" w:type="dxa"/>
          </w:tcPr>
          <w:p w:rsidR="00877353" w:rsidRPr="00543B99" w:rsidRDefault="00877353" w:rsidP="00F22012">
            <w:pPr>
              <w:ind w:left="57" w:right="57"/>
              <w:jc w:val="both"/>
              <w:rPr>
                <w:color w:val="000000"/>
              </w:rPr>
            </w:pPr>
            <w:r w:rsidRPr="00543B99">
              <w:rPr>
                <w:color w:val="000000"/>
              </w:rPr>
              <w:t>Projekta izpildes ietekme uz pārvaldes institucionālo struktūru.</w:t>
            </w:r>
          </w:p>
          <w:p w:rsidR="00877353" w:rsidRPr="00543B99" w:rsidRDefault="00877353" w:rsidP="00F22012">
            <w:pPr>
              <w:jc w:val="both"/>
              <w:rPr>
                <w:color w:val="000000"/>
              </w:rPr>
            </w:pPr>
            <w:r w:rsidRPr="00543B99">
              <w:rPr>
                <w:color w:val="000000"/>
              </w:rPr>
              <w:t>Esošu institūciju likvidācija</w:t>
            </w:r>
          </w:p>
        </w:tc>
        <w:tc>
          <w:tcPr>
            <w:tcW w:w="5579" w:type="dxa"/>
          </w:tcPr>
          <w:p w:rsidR="00877353" w:rsidRPr="00543B99" w:rsidRDefault="00877353" w:rsidP="00F22012">
            <w:pPr>
              <w:pStyle w:val="naisnod"/>
              <w:spacing w:before="0" w:after="0"/>
              <w:ind w:left="57" w:right="57"/>
              <w:jc w:val="both"/>
              <w:rPr>
                <w:b w:val="0"/>
                <w:color w:val="000000"/>
              </w:rPr>
            </w:pPr>
            <w:r w:rsidRPr="00543B99">
              <w:rPr>
                <w:b w:val="0"/>
                <w:color w:val="000000"/>
              </w:rPr>
              <w:t>Projekts šo jomu neskar.</w:t>
            </w:r>
          </w:p>
        </w:tc>
      </w:tr>
      <w:tr w:rsidR="00877353" w:rsidRPr="00543B99" w:rsidTr="00F22012">
        <w:trPr>
          <w:trHeight w:val="279"/>
          <w:jc w:val="center"/>
        </w:trPr>
        <w:tc>
          <w:tcPr>
            <w:tcW w:w="540" w:type="dxa"/>
          </w:tcPr>
          <w:p w:rsidR="00877353" w:rsidRPr="00543B99" w:rsidRDefault="00877353" w:rsidP="00F22012">
            <w:pPr>
              <w:jc w:val="both"/>
              <w:rPr>
                <w:color w:val="000000"/>
              </w:rPr>
            </w:pPr>
            <w:r w:rsidRPr="00543B99">
              <w:rPr>
                <w:color w:val="000000"/>
              </w:rPr>
              <w:t>5.</w:t>
            </w:r>
          </w:p>
        </w:tc>
        <w:tc>
          <w:tcPr>
            <w:tcW w:w="3420" w:type="dxa"/>
          </w:tcPr>
          <w:p w:rsidR="00877353" w:rsidRPr="00543B99" w:rsidRDefault="00877353" w:rsidP="00F22012">
            <w:pPr>
              <w:ind w:left="57" w:right="57"/>
              <w:jc w:val="both"/>
              <w:rPr>
                <w:color w:val="000000"/>
              </w:rPr>
            </w:pPr>
            <w:r w:rsidRPr="00543B99">
              <w:rPr>
                <w:color w:val="000000"/>
              </w:rPr>
              <w:t>Projekta izpildes ietekme uz pārvaldes institucionālo struktūru.</w:t>
            </w:r>
          </w:p>
          <w:p w:rsidR="00877353" w:rsidRPr="00543B99" w:rsidRDefault="00877353" w:rsidP="00F22012">
            <w:pPr>
              <w:jc w:val="both"/>
              <w:rPr>
                <w:color w:val="000000"/>
              </w:rPr>
            </w:pPr>
            <w:r w:rsidRPr="00543B99">
              <w:rPr>
                <w:color w:val="000000"/>
              </w:rPr>
              <w:t>Esošu institūciju reorganizācija</w:t>
            </w:r>
          </w:p>
        </w:tc>
        <w:tc>
          <w:tcPr>
            <w:tcW w:w="5579" w:type="dxa"/>
          </w:tcPr>
          <w:p w:rsidR="00877353" w:rsidRPr="00543B99" w:rsidRDefault="00877353" w:rsidP="00F22012">
            <w:pPr>
              <w:pStyle w:val="naisnod"/>
              <w:spacing w:before="0" w:after="0"/>
              <w:ind w:left="57" w:right="57"/>
              <w:jc w:val="both"/>
              <w:rPr>
                <w:b w:val="0"/>
                <w:color w:val="000000"/>
              </w:rPr>
            </w:pPr>
            <w:r w:rsidRPr="00543B99">
              <w:rPr>
                <w:b w:val="0"/>
                <w:color w:val="000000"/>
              </w:rPr>
              <w:t>Projekts šo jomu neskar.</w:t>
            </w:r>
          </w:p>
        </w:tc>
      </w:tr>
      <w:tr w:rsidR="00877353" w:rsidRPr="00543B99" w:rsidTr="00F22012">
        <w:trPr>
          <w:trHeight w:val="279"/>
          <w:jc w:val="center"/>
        </w:trPr>
        <w:tc>
          <w:tcPr>
            <w:tcW w:w="540" w:type="dxa"/>
          </w:tcPr>
          <w:p w:rsidR="00877353" w:rsidRPr="00543B99" w:rsidRDefault="00877353" w:rsidP="00F22012">
            <w:pPr>
              <w:jc w:val="both"/>
              <w:rPr>
                <w:color w:val="000000"/>
              </w:rPr>
            </w:pPr>
            <w:r w:rsidRPr="00543B99">
              <w:rPr>
                <w:color w:val="000000"/>
              </w:rPr>
              <w:t>6.</w:t>
            </w:r>
          </w:p>
        </w:tc>
        <w:tc>
          <w:tcPr>
            <w:tcW w:w="3420" w:type="dxa"/>
          </w:tcPr>
          <w:p w:rsidR="00877353" w:rsidRPr="00543B99" w:rsidRDefault="00877353" w:rsidP="00F22012">
            <w:pPr>
              <w:jc w:val="both"/>
              <w:rPr>
                <w:color w:val="000000"/>
              </w:rPr>
            </w:pPr>
            <w:r w:rsidRPr="00543B99">
              <w:rPr>
                <w:color w:val="000000"/>
              </w:rPr>
              <w:t>Cita informācija</w:t>
            </w:r>
          </w:p>
        </w:tc>
        <w:tc>
          <w:tcPr>
            <w:tcW w:w="5579" w:type="dxa"/>
          </w:tcPr>
          <w:p w:rsidR="00877353" w:rsidRPr="00543B99" w:rsidRDefault="00877353" w:rsidP="00F22012">
            <w:pPr>
              <w:pStyle w:val="naiskr"/>
              <w:spacing w:before="0" w:after="0"/>
              <w:ind w:left="57" w:right="57"/>
              <w:rPr>
                <w:color w:val="000000"/>
              </w:rPr>
            </w:pPr>
            <w:r w:rsidRPr="00543B99">
              <w:rPr>
                <w:color w:val="000000"/>
              </w:rPr>
              <w:t>Nav.</w:t>
            </w:r>
          </w:p>
        </w:tc>
      </w:tr>
    </w:tbl>
    <w:p w:rsidR="00877353" w:rsidRPr="00543B99" w:rsidRDefault="00877353" w:rsidP="0084418B">
      <w:pPr>
        <w:ind w:firstLine="709"/>
        <w:jc w:val="both"/>
        <w:rPr>
          <w:color w:val="000000"/>
        </w:rPr>
      </w:pPr>
    </w:p>
    <w:p w:rsidR="00877353" w:rsidRPr="00543B99" w:rsidRDefault="00877353" w:rsidP="0084418B">
      <w:pPr>
        <w:ind w:firstLine="709"/>
        <w:jc w:val="both"/>
        <w:rPr>
          <w:color w:val="000000"/>
        </w:rPr>
      </w:pPr>
    </w:p>
    <w:p w:rsidR="00877353" w:rsidRPr="00254FA3" w:rsidRDefault="00877353" w:rsidP="0084418B">
      <w:pPr>
        <w:pStyle w:val="Heading5"/>
        <w:tabs>
          <w:tab w:val="left" w:pos="142"/>
          <w:tab w:val="left" w:pos="7200"/>
        </w:tabs>
        <w:spacing w:before="0" w:after="0"/>
        <w:rPr>
          <w:b w:val="0"/>
          <w:i w:val="0"/>
        </w:rPr>
      </w:pPr>
      <w:r w:rsidRPr="00254FA3">
        <w:rPr>
          <w:b w:val="0"/>
          <w:i w:val="0"/>
        </w:rPr>
        <w:t>Satiksmes ministrs</w:t>
      </w:r>
      <w:r w:rsidRPr="00254FA3">
        <w:rPr>
          <w:b w:val="0"/>
          <w:i w:val="0"/>
        </w:rPr>
        <w:tab/>
        <w:t>A.Ronis</w:t>
      </w:r>
    </w:p>
    <w:p w:rsidR="00877353" w:rsidRPr="00254FA3" w:rsidRDefault="00877353" w:rsidP="006C3547">
      <w:pPr>
        <w:rPr>
          <w:sz w:val="26"/>
          <w:szCs w:val="26"/>
          <w:lang w:eastAsia="ar-SA"/>
        </w:rPr>
      </w:pPr>
    </w:p>
    <w:p w:rsidR="00877353" w:rsidRPr="00254FA3" w:rsidRDefault="00877353" w:rsidP="0084418B">
      <w:pPr>
        <w:pStyle w:val="BodyTextIndent"/>
        <w:rPr>
          <w:sz w:val="26"/>
          <w:szCs w:val="26"/>
        </w:rPr>
      </w:pPr>
    </w:p>
    <w:p w:rsidR="00877353" w:rsidRDefault="00877353" w:rsidP="0084418B">
      <w:pPr>
        <w:rPr>
          <w:sz w:val="26"/>
          <w:szCs w:val="26"/>
        </w:rPr>
      </w:pPr>
      <w:r>
        <w:rPr>
          <w:sz w:val="26"/>
          <w:szCs w:val="26"/>
        </w:rPr>
        <w:t>Vīza: Valsts sekretāra vietā</w:t>
      </w:r>
    </w:p>
    <w:p w:rsidR="00877353" w:rsidRPr="00254FA3" w:rsidRDefault="00877353" w:rsidP="0084418B">
      <w:pPr>
        <w:rPr>
          <w:sz w:val="26"/>
          <w:szCs w:val="26"/>
        </w:rPr>
      </w:pPr>
      <w:r>
        <w:rPr>
          <w:sz w:val="26"/>
          <w:szCs w:val="26"/>
        </w:rPr>
        <w:t>Valsts sekretāra vietniece</w:t>
      </w:r>
      <w:r w:rsidRPr="00254FA3">
        <w:rPr>
          <w:sz w:val="26"/>
          <w:szCs w:val="26"/>
        </w:rPr>
        <w:tab/>
      </w:r>
      <w:r w:rsidRPr="00254FA3">
        <w:rPr>
          <w:sz w:val="26"/>
          <w:szCs w:val="26"/>
        </w:rPr>
        <w:tab/>
      </w:r>
      <w:r w:rsidRPr="00254FA3">
        <w:rPr>
          <w:sz w:val="26"/>
          <w:szCs w:val="26"/>
        </w:rPr>
        <w:tab/>
      </w:r>
      <w:r w:rsidRPr="00254FA3">
        <w:rPr>
          <w:sz w:val="26"/>
          <w:szCs w:val="26"/>
        </w:rPr>
        <w:tab/>
      </w:r>
      <w:r w:rsidRPr="00254FA3">
        <w:rPr>
          <w:sz w:val="26"/>
          <w:szCs w:val="26"/>
        </w:rPr>
        <w:tab/>
      </w:r>
      <w:r w:rsidRPr="00254FA3">
        <w:rPr>
          <w:sz w:val="26"/>
          <w:szCs w:val="26"/>
        </w:rPr>
        <w:tab/>
      </w:r>
      <w:r w:rsidRPr="00254FA3">
        <w:rPr>
          <w:sz w:val="26"/>
          <w:szCs w:val="26"/>
        </w:rPr>
        <w:tab/>
      </w:r>
      <w:r>
        <w:rPr>
          <w:sz w:val="26"/>
          <w:szCs w:val="26"/>
        </w:rPr>
        <w:t>Dž.Innusa</w:t>
      </w:r>
    </w:p>
    <w:p w:rsidR="00877353" w:rsidRDefault="00877353" w:rsidP="0084418B">
      <w:pPr>
        <w:rPr>
          <w:sz w:val="28"/>
          <w:szCs w:val="28"/>
        </w:rPr>
      </w:pPr>
    </w:p>
    <w:p w:rsidR="00877353" w:rsidRPr="00A27406" w:rsidRDefault="00877353" w:rsidP="0084418B">
      <w:pPr>
        <w:rPr>
          <w:sz w:val="28"/>
          <w:szCs w:val="28"/>
        </w:rPr>
      </w:pPr>
    </w:p>
    <w:p w:rsidR="00877353" w:rsidRPr="001D5021" w:rsidRDefault="00877353" w:rsidP="0084418B">
      <w:pPr>
        <w:rPr>
          <w:sz w:val="20"/>
          <w:szCs w:val="20"/>
        </w:rPr>
      </w:pPr>
      <w:r>
        <w:rPr>
          <w:sz w:val="20"/>
          <w:szCs w:val="20"/>
        </w:rPr>
        <w:t>03</w:t>
      </w:r>
      <w:r w:rsidRPr="001D5021">
        <w:rPr>
          <w:sz w:val="20"/>
          <w:szCs w:val="20"/>
        </w:rPr>
        <w:t>.</w:t>
      </w:r>
      <w:r>
        <w:rPr>
          <w:sz w:val="20"/>
          <w:szCs w:val="20"/>
        </w:rPr>
        <w:t>01</w:t>
      </w:r>
      <w:r w:rsidRPr="001D5021">
        <w:rPr>
          <w:sz w:val="20"/>
          <w:szCs w:val="20"/>
        </w:rPr>
        <w:t>.2012. 12:20</w:t>
      </w:r>
    </w:p>
    <w:p w:rsidR="00877353" w:rsidRPr="001D5021" w:rsidRDefault="00877353" w:rsidP="008D3D02">
      <w:pPr>
        <w:rPr>
          <w:color w:val="000000"/>
          <w:sz w:val="20"/>
          <w:szCs w:val="20"/>
        </w:rPr>
      </w:pPr>
      <w:r>
        <w:rPr>
          <w:color w:val="000000"/>
          <w:sz w:val="20"/>
          <w:szCs w:val="20"/>
        </w:rPr>
        <w:t>2183</w:t>
      </w:r>
      <w:bookmarkStart w:id="0" w:name="_GoBack"/>
      <w:bookmarkEnd w:id="0"/>
    </w:p>
    <w:p w:rsidR="00877353" w:rsidRPr="001D5021" w:rsidRDefault="00877353" w:rsidP="008D3D02">
      <w:pPr>
        <w:rPr>
          <w:color w:val="000000"/>
          <w:sz w:val="20"/>
          <w:szCs w:val="20"/>
        </w:rPr>
      </w:pPr>
      <w:r w:rsidRPr="001D5021">
        <w:rPr>
          <w:color w:val="000000"/>
          <w:sz w:val="20"/>
          <w:szCs w:val="20"/>
        </w:rPr>
        <w:t>I.</w:t>
      </w:r>
      <w:r>
        <w:rPr>
          <w:color w:val="000000"/>
          <w:sz w:val="20"/>
          <w:szCs w:val="20"/>
        </w:rPr>
        <w:t>Girucka</w:t>
      </w:r>
    </w:p>
    <w:p w:rsidR="00877353" w:rsidRPr="001D5021" w:rsidRDefault="00877353">
      <w:pPr>
        <w:rPr>
          <w:sz w:val="20"/>
          <w:szCs w:val="20"/>
        </w:rPr>
      </w:pPr>
      <w:r>
        <w:rPr>
          <w:sz w:val="20"/>
          <w:szCs w:val="20"/>
        </w:rPr>
        <w:t>Iveta.girucka</w:t>
      </w:r>
      <w:r w:rsidRPr="001D5021">
        <w:rPr>
          <w:sz w:val="20"/>
          <w:szCs w:val="20"/>
        </w:rPr>
        <w:t>@sam.gov.lv</w:t>
      </w:r>
    </w:p>
    <w:sectPr w:rsidR="00877353" w:rsidRPr="001D5021" w:rsidSect="0043445D">
      <w:headerReference w:type="even" r:id="rId8"/>
      <w:headerReference w:type="default" r:id="rId9"/>
      <w:footerReference w:type="default" r:id="rId10"/>
      <w:footerReference w:type="first" r:id="rId11"/>
      <w:pgSz w:w="11907" w:h="16839" w:code="9"/>
      <w:pgMar w:top="1418" w:right="1134" w:bottom="1134" w:left="1701" w:header="709" w:footer="5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53" w:rsidRDefault="00877353">
      <w:r>
        <w:separator/>
      </w:r>
    </w:p>
  </w:endnote>
  <w:endnote w:type="continuationSeparator" w:id="0">
    <w:p w:rsidR="00877353" w:rsidRDefault="00877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53" w:rsidRPr="005C5B16" w:rsidRDefault="00877353" w:rsidP="00D9249C">
    <w:pPr>
      <w:pStyle w:val="Footer"/>
      <w:tabs>
        <w:tab w:val="clear" w:pos="4153"/>
        <w:tab w:val="clear" w:pos="8306"/>
      </w:tabs>
      <w:jc w:val="both"/>
      <w:rPr>
        <w:sz w:val="22"/>
        <w:szCs w:val="22"/>
      </w:rPr>
    </w:pPr>
    <w:r>
      <w:rPr>
        <w:sz w:val="20"/>
      </w:rPr>
      <w:t>SAMAnot_030113_stpl; Likumprojekta „Grozījumi Sabiedriskā transporta pakalpojumu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53" w:rsidRPr="005C5B16" w:rsidRDefault="00877353" w:rsidP="00F22012">
    <w:pPr>
      <w:pStyle w:val="Footer"/>
      <w:tabs>
        <w:tab w:val="clear" w:pos="4153"/>
        <w:tab w:val="clear" w:pos="8306"/>
      </w:tabs>
      <w:jc w:val="both"/>
      <w:rPr>
        <w:sz w:val="22"/>
        <w:szCs w:val="22"/>
      </w:rPr>
    </w:pPr>
    <w:r>
      <w:rPr>
        <w:sz w:val="20"/>
      </w:rPr>
      <w:t>SAMAnot_030113_stpl; Likumprojekta „Grozījumi Sabiedriskā transporta pakalpojumu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53" w:rsidRDefault="00877353">
      <w:r>
        <w:separator/>
      </w:r>
    </w:p>
  </w:footnote>
  <w:footnote w:type="continuationSeparator" w:id="0">
    <w:p w:rsidR="00877353" w:rsidRDefault="00877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53" w:rsidRDefault="00877353" w:rsidP="00F220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353" w:rsidRDefault="008773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53" w:rsidRDefault="00877353" w:rsidP="00F220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77353" w:rsidRDefault="00877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2C0"/>
    <w:multiLevelType w:val="hybridMultilevel"/>
    <w:tmpl w:val="F5E01F8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49747BB"/>
    <w:multiLevelType w:val="hybridMultilevel"/>
    <w:tmpl w:val="17463C0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A1668C1"/>
    <w:multiLevelType w:val="hybridMultilevel"/>
    <w:tmpl w:val="0F408C1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1B437B1"/>
    <w:multiLevelType w:val="hybridMultilevel"/>
    <w:tmpl w:val="AB76532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3762331"/>
    <w:multiLevelType w:val="hybridMultilevel"/>
    <w:tmpl w:val="0602B9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5707C4F"/>
    <w:multiLevelType w:val="hybridMultilevel"/>
    <w:tmpl w:val="5F302648"/>
    <w:lvl w:ilvl="0" w:tplc="41F01776">
      <w:start w:val="1"/>
      <w:numFmt w:val="decimal"/>
      <w:lvlText w:val="%1."/>
      <w:lvlJc w:val="left"/>
      <w:pPr>
        <w:tabs>
          <w:tab w:val="num" w:pos="734"/>
        </w:tabs>
        <w:ind w:left="734" w:hanging="360"/>
      </w:pPr>
      <w:rPr>
        <w:rFonts w:cs="Times New Roman" w:hint="default"/>
      </w:rPr>
    </w:lvl>
    <w:lvl w:ilvl="1" w:tplc="04260019" w:tentative="1">
      <w:start w:val="1"/>
      <w:numFmt w:val="lowerLetter"/>
      <w:lvlText w:val="%2."/>
      <w:lvlJc w:val="left"/>
      <w:pPr>
        <w:tabs>
          <w:tab w:val="num" w:pos="1454"/>
        </w:tabs>
        <w:ind w:left="1454" w:hanging="360"/>
      </w:pPr>
      <w:rPr>
        <w:rFonts w:cs="Times New Roman"/>
      </w:rPr>
    </w:lvl>
    <w:lvl w:ilvl="2" w:tplc="0426001B" w:tentative="1">
      <w:start w:val="1"/>
      <w:numFmt w:val="lowerRoman"/>
      <w:lvlText w:val="%3."/>
      <w:lvlJc w:val="right"/>
      <w:pPr>
        <w:tabs>
          <w:tab w:val="num" w:pos="2174"/>
        </w:tabs>
        <w:ind w:left="2174" w:hanging="180"/>
      </w:pPr>
      <w:rPr>
        <w:rFonts w:cs="Times New Roman"/>
      </w:rPr>
    </w:lvl>
    <w:lvl w:ilvl="3" w:tplc="0426000F" w:tentative="1">
      <w:start w:val="1"/>
      <w:numFmt w:val="decimal"/>
      <w:lvlText w:val="%4."/>
      <w:lvlJc w:val="left"/>
      <w:pPr>
        <w:tabs>
          <w:tab w:val="num" w:pos="2894"/>
        </w:tabs>
        <w:ind w:left="2894" w:hanging="360"/>
      </w:pPr>
      <w:rPr>
        <w:rFonts w:cs="Times New Roman"/>
      </w:rPr>
    </w:lvl>
    <w:lvl w:ilvl="4" w:tplc="04260019" w:tentative="1">
      <w:start w:val="1"/>
      <w:numFmt w:val="lowerLetter"/>
      <w:lvlText w:val="%5."/>
      <w:lvlJc w:val="left"/>
      <w:pPr>
        <w:tabs>
          <w:tab w:val="num" w:pos="3614"/>
        </w:tabs>
        <w:ind w:left="3614" w:hanging="360"/>
      </w:pPr>
      <w:rPr>
        <w:rFonts w:cs="Times New Roman"/>
      </w:rPr>
    </w:lvl>
    <w:lvl w:ilvl="5" w:tplc="0426001B" w:tentative="1">
      <w:start w:val="1"/>
      <w:numFmt w:val="lowerRoman"/>
      <w:lvlText w:val="%6."/>
      <w:lvlJc w:val="right"/>
      <w:pPr>
        <w:tabs>
          <w:tab w:val="num" w:pos="4334"/>
        </w:tabs>
        <w:ind w:left="4334" w:hanging="180"/>
      </w:pPr>
      <w:rPr>
        <w:rFonts w:cs="Times New Roman"/>
      </w:rPr>
    </w:lvl>
    <w:lvl w:ilvl="6" w:tplc="0426000F" w:tentative="1">
      <w:start w:val="1"/>
      <w:numFmt w:val="decimal"/>
      <w:lvlText w:val="%7."/>
      <w:lvlJc w:val="left"/>
      <w:pPr>
        <w:tabs>
          <w:tab w:val="num" w:pos="5054"/>
        </w:tabs>
        <w:ind w:left="5054" w:hanging="360"/>
      </w:pPr>
      <w:rPr>
        <w:rFonts w:cs="Times New Roman"/>
      </w:rPr>
    </w:lvl>
    <w:lvl w:ilvl="7" w:tplc="04260019" w:tentative="1">
      <w:start w:val="1"/>
      <w:numFmt w:val="lowerLetter"/>
      <w:lvlText w:val="%8."/>
      <w:lvlJc w:val="left"/>
      <w:pPr>
        <w:tabs>
          <w:tab w:val="num" w:pos="5774"/>
        </w:tabs>
        <w:ind w:left="5774" w:hanging="360"/>
      </w:pPr>
      <w:rPr>
        <w:rFonts w:cs="Times New Roman"/>
      </w:rPr>
    </w:lvl>
    <w:lvl w:ilvl="8" w:tplc="0426001B" w:tentative="1">
      <w:start w:val="1"/>
      <w:numFmt w:val="lowerRoman"/>
      <w:lvlText w:val="%9."/>
      <w:lvlJc w:val="right"/>
      <w:pPr>
        <w:tabs>
          <w:tab w:val="num" w:pos="6494"/>
        </w:tabs>
        <w:ind w:left="6494" w:hanging="180"/>
      </w:pPr>
      <w:rPr>
        <w:rFonts w:cs="Times New Roman"/>
      </w:rPr>
    </w:lvl>
  </w:abstractNum>
  <w:abstractNum w:abstractNumId="6">
    <w:nsid w:val="25A8464D"/>
    <w:multiLevelType w:val="hybridMultilevel"/>
    <w:tmpl w:val="873C8E2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71C105D"/>
    <w:multiLevelType w:val="hybridMultilevel"/>
    <w:tmpl w:val="77CAF468"/>
    <w:lvl w:ilvl="0" w:tplc="7A02FA64">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282719E"/>
    <w:multiLevelType w:val="hybridMultilevel"/>
    <w:tmpl w:val="9CA280A8"/>
    <w:lvl w:ilvl="0" w:tplc="CBBA360A">
      <w:numFmt w:val="bullet"/>
      <w:lvlText w:val="-"/>
      <w:lvlJc w:val="left"/>
      <w:pPr>
        <w:ind w:left="1080" w:hanging="72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503123E"/>
    <w:multiLevelType w:val="hybridMultilevel"/>
    <w:tmpl w:val="0136CB86"/>
    <w:lvl w:ilvl="0" w:tplc="4B069946">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828468C"/>
    <w:multiLevelType w:val="hybridMultilevel"/>
    <w:tmpl w:val="386C09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5DF30A25"/>
    <w:multiLevelType w:val="hybridMultilevel"/>
    <w:tmpl w:val="188C3A7C"/>
    <w:lvl w:ilvl="0" w:tplc="02A600F6">
      <w:start w:val="2"/>
      <w:numFmt w:val="bullet"/>
      <w:lvlText w:val="-"/>
      <w:lvlJc w:val="left"/>
      <w:pPr>
        <w:ind w:left="735" w:hanging="360"/>
      </w:pPr>
      <w:rPr>
        <w:rFonts w:ascii="Times New Roman" w:eastAsia="Times New Roman" w:hAnsi="Times New Roman" w:hint="default"/>
      </w:rPr>
    </w:lvl>
    <w:lvl w:ilvl="1" w:tplc="04260003" w:tentative="1">
      <w:start w:val="1"/>
      <w:numFmt w:val="bullet"/>
      <w:lvlText w:val="o"/>
      <w:lvlJc w:val="left"/>
      <w:pPr>
        <w:ind w:left="1455" w:hanging="360"/>
      </w:pPr>
      <w:rPr>
        <w:rFonts w:ascii="Courier New" w:hAnsi="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12">
    <w:nsid w:val="5F7312B7"/>
    <w:multiLevelType w:val="hybridMultilevel"/>
    <w:tmpl w:val="6946245E"/>
    <w:lvl w:ilvl="0" w:tplc="7A02FA64">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9D3212A"/>
    <w:multiLevelType w:val="hybridMultilevel"/>
    <w:tmpl w:val="85FCB6B8"/>
    <w:lvl w:ilvl="0" w:tplc="D2F6C326">
      <w:start w:val="1"/>
      <w:numFmt w:val="decimal"/>
      <w:lvlText w:val="%1."/>
      <w:lvlJc w:val="left"/>
      <w:pPr>
        <w:tabs>
          <w:tab w:val="num" w:pos="284"/>
        </w:tabs>
      </w:pPr>
      <w:rPr>
        <w:rFonts w:cs="Times New Roman" w:hint="default"/>
      </w:rPr>
    </w:lvl>
    <w:lvl w:ilvl="1" w:tplc="BF00FA12">
      <w:start w:val="1"/>
      <w:numFmt w:val="decimal"/>
      <w:lvlText w:val="%2."/>
      <w:lvlJc w:val="left"/>
      <w:pPr>
        <w:tabs>
          <w:tab w:val="num" w:pos="1800"/>
        </w:tabs>
        <w:ind w:left="108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B527981"/>
    <w:multiLevelType w:val="hybridMultilevel"/>
    <w:tmpl w:val="CE4CC372"/>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749E2F29"/>
    <w:multiLevelType w:val="hybridMultilevel"/>
    <w:tmpl w:val="7E32B464"/>
    <w:lvl w:ilvl="0" w:tplc="4B069946">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1"/>
  </w:num>
  <w:num w:numId="2">
    <w:abstractNumId w:val="14"/>
  </w:num>
  <w:num w:numId="3">
    <w:abstractNumId w:val="4"/>
  </w:num>
  <w:num w:numId="4">
    <w:abstractNumId w:val="3"/>
  </w:num>
  <w:num w:numId="5">
    <w:abstractNumId w:val="13"/>
  </w:num>
  <w:num w:numId="6">
    <w:abstractNumId w:val="5"/>
  </w:num>
  <w:num w:numId="7">
    <w:abstractNumId w:val="2"/>
  </w:num>
  <w:num w:numId="8">
    <w:abstractNumId w:val="0"/>
  </w:num>
  <w:num w:numId="9">
    <w:abstractNumId w:val="6"/>
  </w:num>
  <w:num w:numId="10">
    <w:abstractNumId w:val="8"/>
  </w:num>
  <w:num w:numId="11">
    <w:abstractNumId w:val="1"/>
  </w:num>
  <w:num w:numId="12">
    <w:abstractNumId w:val="7"/>
  </w:num>
  <w:num w:numId="13">
    <w:abstractNumId w:val="12"/>
  </w:num>
  <w:num w:numId="14">
    <w:abstractNumId w:val="15"/>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18B"/>
    <w:rsid w:val="0000170E"/>
    <w:rsid w:val="00014A90"/>
    <w:rsid w:val="00023676"/>
    <w:rsid w:val="00033EFB"/>
    <w:rsid w:val="00043B63"/>
    <w:rsid w:val="00044337"/>
    <w:rsid w:val="00051769"/>
    <w:rsid w:val="00077839"/>
    <w:rsid w:val="000814C6"/>
    <w:rsid w:val="000850E7"/>
    <w:rsid w:val="000A577E"/>
    <w:rsid w:val="000A7A06"/>
    <w:rsid w:val="000B0288"/>
    <w:rsid w:val="000B2E62"/>
    <w:rsid w:val="000B31EF"/>
    <w:rsid w:val="000D346C"/>
    <w:rsid w:val="000E2AAE"/>
    <w:rsid w:val="000F198B"/>
    <w:rsid w:val="000F2CBF"/>
    <w:rsid w:val="00107D1B"/>
    <w:rsid w:val="001132BE"/>
    <w:rsid w:val="00121831"/>
    <w:rsid w:val="00127A67"/>
    <w:rsid w:val="001319DC"/>
    <w:rsid w:val="001402B9"/>
    <w:rsid w:val="00166ADC"/>
    <w:rsid w:val="001709A8"/>
    <w:rsid w:val="00176906"/>
    <w:rsid w:val="00195194"/>
    <w:rsid w:val="001A6277"/>
    <w:rsid w:val="001B4AEA"/>
    <w:rsid w:val="001C3F8D"/>
    <w:rsid w:val="001D5021"/>
    <w:rsid w:val="001F0E11"/>
    <w:rsid w:val="0020269B"/>
    <w:rsid w:val="00223B64"/>
    <w:rsid w:val="00242290"/>
    <w:rsid w:val="00253083"/>
    <w:rsid w:val="00254FA3"/>
    <w:rsid w:val="00261C84"/>
    <w:rsid w:val="002622D4"/>
    <w:rsid w:val="002633E6"/>
    <w:rsid w:val="00290612"/>
    <w:rsid w:val="0029287B"/>
    <w:rsid w:val="002D4F84"/>
    <w:rsid w:val="002D61AC"/>
    <w:rsid w:val="002E1AA9"/>
    <w:rsid w:val="00303F24"/>
    <w:rsid w:val="00305845"/>
    <w:rsid w:val="0030773A"/>
    <w:rsid w:val="00310B07"/>
    <w:rsid w:val="00317060"/>
    <w:rsid w:val="003405EC"/>
    <w:rsid w:val="00343258"/>
    <w:rsid w:val="00350348"/>
    <w:rsid w:val="00350BA1"/>
    <w:rsid w:val="00357259"/>
    <w:rsid w:val="003731C5"/>
    <w:rsid w:val="003773D3"/>
    <w:rsid w:val="00381076"/>
    <w:rsid w:val="00383699"/>
    <w:rsid w:val="00393F3F"/>
    <w:rsid w:val="003955C1"/>
    <w:rsid w:val="003A0757"/>
    <w:rsid w:val="003A1AB7"/>
    <w:rsid w:val="003C771F"/>
    <w:rsid w:val="003D4B56"/>
    <w:rsid w:val="003E736C"/>
    <w:rsid w:val="00401C6F"/>
    <w:rsid w:val="00412396"/>
    <w:rsid w:val="004201E2"/>
    <w:rsid w:val="0042118E"/>
    <w:rsid w:val="004321EB"/>
    <w:rsid w:val="00433AFE"/>
    <w:rsid w:val="0043445D"/>
    <w:rsid w:val="00447E53"/>
    <w:rsid w:val="0045055F"/>
    <w:rsid w:val="00451678"/>
    <w:rsid w:val="00462AA5"/>
    <w:rsid w:val="004842C1"/>
    <w:rsid w:val="004B7344"/>
    <w:rsid w:val="004C32FE"/>
    <w:rsid w:val="004D50CC"/>
    <w:rsid w:val="00501380"/>
    <w:rsid w:val="0051445C"/>
    <w:rsid w:val="005206B8"/>
    <w:rsid w:val="0052568C"/>
    <w:rsid w:val="0053132B"/>
    <w:rsid w:val="00532C7A"/>
    <w:rsid w:val="005363FD"/>
    <w:rsid w:val="0054053A"/>
    <w:rsid w:val="00543B99"/>
    <w:rsid w:val="00551FE0"/>
    <w:rsid w:val="00573AB2"/>
    <w:rsid w:val="0057446E"/>
    <w:rsid w:val="00592D3D"/>
    <w:rsid w:val="00592FD7"/>
    <w:rsid w:val="005A3267"/>
    <w:rsid w:val="005A6F54"/>
    <w:rsid w:val="005B06AA"/>
    <w:rsid w:val="005B3860"/>
    <w:rsid w:val="005B52F8"/>
    <w:rsid w:val="005C0C2A"/>
    <w:rsid w:val="005C51DE"/>
    <w:rsid w:val="005C5B16"/>
    <w:rsid w:val="005D02DD"/>
    <w:rsid w:val="005D7AE1"/>
    <w:rsid w:val="005E69EB"/>
    <w:rsid w:val="005F204F"/>
    <w:rsid w:val="005F337A"/>
    <w:rsid w:val="005F3457"/>
    <w:rsid w:val="00610965"/>
    <w:rsid w:val="00651552"/>
    <w:rsid w:val="00656674"/>
    <w:rsid w:val="006738E9"/>
    <w:rsid w:val="00674ADE"/>
    <w:rsid w:val="00684C5E"/>
    <w:rsid w:val="0069090B"/>
    <w:rsid w:val="00691769"/>
    <w:rsid w:val="006A4A64"/>
    <w:rsid w:val="006B2091"/>
    <w:rsid w:val="006C3547"/>
    <w:rsid w:val="006C44C2"/>
    <w:rsid w:val="006C5D66"/>
    <w:rsid w:val="006D7FEF"/>
    <w:rsid w:val="006E2223"/>
    <w:rsid w:val="006F028A"/>
    <w:rsid w:val="006F0504"/>
    <w:rsid w:val="006F1BC4"/>
    <w:rsid w:val="00702131"/>
    <w:rsid w:val="00746047"/>
    <w:rsid w:val="007559E6"/>
    <w:rsid w:val="00774693"/>
    <w:rsid w:val="0078414A"/>
    <w:rsid w:val="00790541"/>
    <w:rsid w:val="007A13E4"/>
    <w:rsid w:val="007B03FB"/>
    <w:rsid w:val="007B5E86"/>
    <w:rsid w:val="007B6FD4"/>
    <w:rsid w:val="007C0E30"/>
    <w:rsid w:val="007C2DD0"/>
    <w:rsid w:val="007D04CA"/>
    <w:rsid w:val="007D5EEE"/>
    <w:rsid w:val="007F067D"/>
    <w:rsid w:val="007F07C5"/>
    <w:rsid w:val="007F0A49"/>
    <w:rsid w:val="007F78AA"/>
    <w:rsid w:val="00800CC4"/>
    <w:rsid w:val="00803CAB"/>
    <w:rsid w:val="00816B10"/>
    <w:rsid w:val="008234C6"/>
    <w:rsid w:val="00827721"/>
    <w:rsid w:val="00840B78"/>
    <w:rsid w:val="0084281F"/>
    <w:rsid w:val="0084418B"/>
    <w:rsid w:val="00877353"/>
    <w:rsid w:val="00877589"/>
    <w:rsid w:val="00884ED0"/>
    <w:rsid w:val="008872E7"/>
    <w:rsid w:val="008929F9"/>
    <w:rsid w:val="0089738C"/>
    <w:rsid w:val="008A150B"/>
    <w:rsid w:val="008A643A"/>
    <w:rsid w:val="008B7514"/>
    <w:rsid w:val="008D31E5"/>
    <w:rsid w:val="008D3765"/>
    <w:rsid w:val="008D3D02"/>
    <w:rsid w:val="008D3F08"/>
    <w:rsid w:val="008D57B2"/>
    <w:rsid w:val="008D61EA"/>
    <w:rsid w:val="008E19A1"/>
    <w:rsid w:val="008E6BED"/>
    <w:rsid w:val="008F5A3C"/>
    <w:rsid w:val="008F7E5B"/>
    <w:rsid w:val="0091419C"/>
    <w:rsid w:val="009175F3"/>
    <w:rsid w:val="00920BA7"/>
    <w:rsid w:val="009213CB"/>
    <w:rsid w:val="00921D61"/>
    <w:rsid w:val="009477E1"/>
    <w:rsid w:val="009514D9"/>
    <w:rsid w:val="0095567E"/>
    <w:rsid w:val="00981B3A"/>
    <w:rsid w:val="009842DA"/>
    <w:rsid w:val="009C1B9B"/>
    <w:rsid w:val="009E4220"/>
    <w:rsid w:val="009E6C67"/>
    <w:rsid w:val="009F7855"/>
    <w:rsid w:val="00A04DC1"/>
    <w:rsid w:val="00A25BC9"/>
    <w:rsid w:val="00A27406"/>
    <w:rsid w:val="00A376C7"/>
    <w:rsid w:val="00A41089"/>
    <w:rsid w:val="00A70FD4"/>
    <w:rsid w:val="00A96D70"/>
    <w:rsid w:val="00A97E58"/>
    <w:rsid w:val="00AB46D6"/>
    <w:rsid w:val="00AC1487"/>
    <w:rsid w:val="00AD506D"/>
    <w:rsid w:val="00B04C52"/>
    <w:rsid w:val="00B06C37"/>
    <w:rsid w:val="00B10913"/>
    <w:rsid w:val="00B16A7C"/>
    <w:rsid w:val="00B326B1"/>
    <w:rsid w:val="00B32BA6"/>
    <w:rsid w:val="00B36B95"/>
    <w:rsid w:val="00B474D9"/>
    <w:rsid w:val="00B52DC7"/>
    <w:rsid w:val="00B54F58"/>
    <w:rsid w:val="00B92BAF"/>
    <w:rsid w:val="00BA1C79"/>
    <w:rsid w:val="00BA4B60"/>
    <w:rsid w:val="00BB732C"/>
    <w:rsid w:val="00C02A97"/>
    <w:rsid w:val="00C07F74"/>
    <w:rsid w:val="00C22197"/>
    <w:rsid w:val="00C25FD4"/>
    <w:rsid w:val="00C40E0C"/>
    <w:rsid w:val="00C41095"/>
    <w:rsid w:val="00C41CC1"/>
    <w:rsid w:val="00C71A56"/>
    <w:rsid w:val="00C72634"/>
    <w:rsid w:val="00C8396A"/>
    <w:rsid w:val="00C85A85"/>
    <w:rsid w:val="00C87A33"/>
    <w:rsid w:val="00C919BF"/>
    <w:rsid w:val="00C934E7"/>
    <w:rsid w:val="00CB4D3E"/>
    <w:rsid w:val="00CB727A"/>
    <w:rsid w:val="00CB7CB1"/>
    <w:rsid w:val="00CC2DC7"/>
    <w:rsid w:val="00CC61F8"/>
    <w:rsid w:val="00CE4240"/>
    <w:rsid w:val="00D20542"/>
    <w:rsid w:val="00D218A2"/>
    <w:rsid w:val="00D529AD"/>
    <w:rsid w:val="00D54E15"/>
    <w:rsid w:val="00D67814"/>
    <w:rsid w:val="00D71353"/>
    <w:rsid w:val="00D83E78"/>
    <w:rsid w:val="00D9249C"/>
    <w:rsid w:val="00D93DE2"/>
    <w:rsid w:val="00D97942"/>
    <w:rsid w:val="00DA6505"/>
    <w:rsid w:val="00DB0511"/>
    <w:rsid w:val="00DB341A"/>
    <w:rsid w:val="00DB6C3D"/>
    <w:rsid w:val="00DE15A0"/>
    <w:rsid w:val="00DE6533"/>
    <w:rsid w:val="00DF3974"/>
    <w:rsid w:val="00E01602"/>
    <w:rsid w:val="00E3668D"/>
    <w:rsid w:val="00E37EA5"/>
    <w:rsid w:val="00E52BE7"/>
    <w:rsid w:val="00E57989"/>
    <w:rsid w:val="00E64F3B"/>
    <w:rsid w:val="00E73306"/>
    <w:rsid w:val="00E8631F"/>
    <w:rsid w:val="00E9551B"/>
    <w:rsid w:val="00EA1F46"/>
    <w:rsid w:val="00EB12FA"/>
    <w:rsid w:val="00EB72FC"/>
    <w:rsid w:val="00EF0189"/>
    <w:rsid w:val="00F011AF"/>
    <w:rsid w:val="00F11E4A"/>
    <w:rsid w:val="00F22012"/>
    <w:rsid w:val="00F4750F"/>
    <w:rsid w:val="00F65989"/>
    <w:rsid w:val="00F73AEC"/>
    <w:rsid w:val="00F73C5D"/>
    <w:rsid w:val="00F74657"/>
    <w:rsid w:val="00F804CF"/>
    <w:rsid w:val="00F83866"/>
    <w:rsid w:val="00F85760"/>
    <w:rsid w:val="00F94B8F"/>
    <w:rsid w:val="00F9514A"/>
    <w:rsid w:val="00FB0906"/>
    <w:rsid w:val="00FC198A"/>
    <w:rsid w:val="00FD0D0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418B"/>
    <w:rPr>
      <w:rFonts w:ascii="Times New Roman" w:eastAsia="Times New Roman" w:hAnsi="Times New Roman"/>
      <w:sz w:val="24"/>
      <w:szCs w:val="24"/>
    </w:rPr>
  </w:style>
  <w:style w:type="paragraph" w:styleId="Heading5">
    <w:name w:val="heading 5"/>
    <w:basedOn w:val="Normal"/>
    <w:next w:val="Normal"/>
    <w:link w:val="Heading5Char"/>
    <w:uiPriority w:val="99"/>
    <w:qFormat/>
    <w:rsid w:val="0084418B"/>
    <w:pPr>
      <w:suppressAutoHyphens/>
      <w:spacing w:before="240" w:after="60"/>
      <w:outlineLvl w:val="4"/>
    </w:pPr>
    <w:rPr>
      <w:b/>
      <w:bCs/>
      <w:i/>
      <w:iCs/>
      <w:kern w:val="1"/>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4418B"/>
    <w:rPr>
      <w:rFonts w:ascii="Times New Roman" w:hAnsi="Times New Roman"/>
      <w:b/>
      <w:i/>
      <w:kern w:val="1"/>
      <w:sz w:val="26"/>
      <w:lang w:eastAsia="ar-SA" w:bidi="ar-SA"/>
    </w:rPr>
  </w:style>
  <w:style w:type="paragraph" w:customStyle="1" w:styleId="naislab">
    <w:name w:val="naislab"/>
    <w:basedOn w:val="Normal"/>
    <w:uiPriority w:val="99"/>
    <w:rsid w:val="0084418B"/>
    <w:pPr>
      <w:spacing w:before="75" w:after="75"/>
      <w:jc w:val="right"/>
    </w:pPr>
  </w:style>
  <w:style w:type="paragraph" w:customStyle="1" w:styleId="naiskr">
    <w:name w:val="naiskr"/>
    <w:basedOn w:val="Normal"/>
    <w:uiPriority w:val="99"/>
    <w:rsid w:val="0084418B"/>
    <w:pPr>
      <w:spacing w:before="75" w:after="75"/>
    </w:pPr>
  </w:style>
  <w:style w:type="paragraph" w:styleId="Header">
    <w:name w:val="header"/>
    <w:basedOn w:val="Normal"/>
    <w:link w:val="HeaderChar"/>
    <w:uiPriority w:val="99"/>
    <w:rsid w:val="0084418B"/>
    <w:pPr>
      <w:tabs>
        <w:tab w:val="center" w:pos="4153"/>
        <w:tab w:val="right" w:pos="8306"/>
      </w:tabs>
    </w:pPr>
  </w:style>
  <w:style w:type="character" w:customStyle="1" w:styleId="HeaderChar">
    <w:name w:val="Header Char"/>
    <w:basedOn w:val="DefaultParagraphFont"/>
    <w:link w:val="Header"/>
    <w:uiPriority w:val="99"/>
    <w:locked/>
    <w:rsid w:val="0084418B"/>
    <w:rPr>
      <w:rFonts w:ascii="Times New Roman" w:hAnsi="Times New Roman"/>
      <w:sz w:val="24"/>
      <w:lang w:eastAsia="lv-LV"/>
    </w:rPr>
  </w:style>
  <w:style w:type="character" w:styleId="PageNumber">
    <w:name w:val="page number"/>
    <w:basedOn w:val="DefaultParagraphFont"/>
    <w:uiPriority w:val="99"/>
    <w:rsid w:val="0084418B"/>
    <w:rPr>
      <w:rFonts w:cs="Times New Roman"/>
    </w:rPr>
  </w:style>
  <w:style w:type="paragraph" w:customStyle="1" w:styleId="naisnod">
    <w:name w:val="naisnod"/>
    <w:basedOn w:val="Normal"/>
    <w:uiPriority w:val="99"/>
    <w:rsid w:val="0084418B"/>
    <w:pPr>
      <w:spacing w:before="150" w:after="150"/>
      <w:jc w:val="center"/>
    </w:pPr>
    <w:rPr>
      <w:b/>
      <w:bCs/>
    </w:rPr>
  </w:style>
  <w:style w:type="paragraph" w:customStyle="1" w:styleId="naisf">
    <w:name w:val="naisf"/>
    <w:basedOn w:val="Normal"/>
    <w:uiPriority w:val="99"/>
    <w:rsid w:val="0084418B"/>
    <w:pPr>
      <w:spacing w:before="75" w:after="75"/>
      <w:ind w:firstLine="375"/>
      <w:jc w:val="both"/>
    </w:pPr>
  </w:style>
  <w:style w:type="paragraph" w:styleId="Footer">
    <w:name w:val="footer"/>
    <w:basedOn w:val="Normal"/>
    <w:link w:val="FooterChar"/>
    <w:uiPriority w:val="99"/>
    <w:rsid w:val="0084418B"/>
    <w:pPr>
      <w:tabs>
        <w:tab w:val="center" w:pos="4153"/>
        <w:tab w:val="right" w:pos="8306"/>
      </w:tabs>
    </w:pPr>
  </w:style>
  <w:style w:type="character" w:customStyle="1" w:styleId="FooterChar">
    <w:name w:val="Footer Char"/>
    <w:basedOn w:val="DefaultParagraphFont"/>
    <w:link w:val="Footer"/>
    <w:uiPriority w:val="99"/>
    <w:locked/>
    <w:rsid w:val="0084418B"/>
    <w:rPr>
      <w:rFonts w:ascii="Times New Roman" w:hAnsi="Times New Roman"/>
      <w:sz w:val="24"/>
      <w:lang w:eastAsia="lv-LV"/>
    </w:rPr>
  </w:style>
  <w:style w:type="character" w:customStyle="1" w:styleId="th1">
    <w:name w:val="th1"/>
    <w:uiPriority w:val="99"/>
    <w:rsid w:val="0084418B"/>
    <w:rPr>
      <w:b/>
      <w:color w:val="333333"/>
    </w:rPr>
  </w:style>
  <w:style w:type="character" w:styleId="Hyperlink">
    <w:name w:val="Hyperlink"/>
    <w:basedOn w:val="DefaultParagraphFont"/>
    <w:uiPriority w:val="99"/>
    <w:rsid w:val="0084418B"/>
    <w:rPr>
      <w:rFonts w:cs="Times New Roman"/>
      <w:color w:val="0000FF"/>
      <w:u w:val="single"/>
    </w:rPr>
  </w:style>
  <w:style w:type="paragraph" w:styleId="BodyTextIndent">
    <w:name w:val="Body Text Indent"/>
    <w:basedOn w:val="Normal"/>
    <w:link w:val="BodyTextIndentChar"/>
    <w:uiPriority w:val="99"/>
    <w:rsid w:val="0084418B"/>
    <w:pPr>
      <w:spacing w:after="120"/>
      <w:ind w:left="283"/>
    </w:pPr>
  </w:style>
  <w:style w:type="character" w:customStyle="1" w:styleId="BodyTextIndentChar">
    <w:name w:val="Body Text Indent Char"/>
    <w:basedOn w:val="DefaultParagraphFont"/>
    <w:link w:val="BodyTextIndent"/>
    <w:uiPriority w:val="99"/>
    <w:locked/>
    <w:rsid w:val="0084418B"/>
    <w:rPr>
      <w:rFonts w:ascii="Times New Roman" w:hAnsi="Times New Roman"/>
      <w:sz w:val="24"/>
    </w:rPr>
  </w:style>
  <w:style w:type="paragraph" w:styleId="HTMLPreformatted">
    <w:name w:val="HTML Preformatted"/>
    <w:basedOn w:val="Normal"/>
    <w:link w:val="HTMLPreformattedChar"/>
    <w:uiPriority w:val="99"/>
    <w:rsid w:val="0084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locked/>
    <w:rsid w:val="0084418B"/>
    <w:rPr>
      <w:rFonts w:ascii="Arial Unicode MS" w:eastAsia="Arial Unicode MS" w:hAnsi="Arial Unicode MS"/>
      <w:sz w:val="20"/>
    </w:rPr>
  </w:style>
  <w:style w:type="paragraph" w:customStyle="1" w:styleId="tablecontents">
    <w:name w:val="tablecontents"/>
    <w:basedOn w:val="Normal"/>
    <w:uiPriority w:val="99"/>
    <w:rsid w:val="0084418B"/>
    <w:pPr>
      <w:spacing w:before="100" w:beforeAutospacing="1" w:after="100" w:afterAutospacing="1"/>
    </w:pPr>
    <w:rPr>
      <w:color w:val="000000"/>
    </w:rPr>
  </w:style>
  <w:style w:type="paragraph" w:styleId="BalloonText">
    <w:name w:val="Balloon Text"/>
    <w:basedOn w:val="Normal"/>
    <w:link w:val="BalloonTextChar"/>
    <w:uiPriority w:val="99"/>
    <w:semiHidden/>
    <w:rsid w:val="00401C6F"/>
    <w:rPr>
      <w:rFonts w:ascii="Tahoma" w:hAnsi="Tahoma"/>
      <w:sz w:val="16"/>
      <w:szCs w:val="16"/>
    </w:rPr>
  </w:style>
  <w:style w:type="character" w:customStyle="1" w:styleId="BalloonTextChar">
    <w:name w:val="Balloon Text Char"/>
    <w:basedOn w:val="DefaultParagraphFont"/>
    <w:link w:val="BalloonText"/>
    <w:uiPriority w:val="99"/>
    <w:semiHidden/>
    <w:locked/>
    <w:rsid w:val="00401C6F"/>
    <w:rPr>
      <w:rFonts w:ascii="Tahoma" w:hAnsi="Tahoma"/>
      <w:sz w:val="16"/>
    </w:rPr>
  </w:style>
  <w:style w:type="paragraph" w:styleId="NormalWeb">
    <w:name w:val="Normal (Web)"/>
    <w:basedOn w:val="Normal"/>
    <w:uiPriority w:val="99"/>
    <w:rsid w:val="004321EB"/>
    <w:pPr>
      <w:spacing w:before="100" w:beforeAutospacing="1" w:after="100" w:afterAutospacing="1"/>
    </w:pPr>
  </w:style>
  <w:style w:type="character" w:styleId="CommentReference">
    <w:name w:val="annotation reference"/>
    <w:basedOn w:val="DefaultParagraphFont"/>
    <w:uiPriority w:val="99"/>
    <w:semiHidden/>
    <w:rsid w:val="005D7AE1"/>
    <w:rPr>
      <w:rFonts w:cs="Times New Roman"/>
      <w:sz w:val="16"/>
    </w:rPr>
  </w:style>
  <w:style w:type="paragraph" w:styleId="CommentText">
    <w:name w:val="annotation text"/>
    <w:basedOn w:val="Normal"/>
    <w:link w:val="CommentTextChar"/>
    <w:uiPriority w:val="99"/>
    <w:semiHidden/>
    <w:rsid w:val="005D7AE1"/>
    <w:rPr>
      <w:sz w:val="20"/>
      <w:szCs w:val="20"/>
    </w:rPr>
  </w:style>
  <w:style w:type="character" w:customStyle="1" w:styleId="CommentTextChar">
    <w:name w:val="Comment Text Char"/>
    <w:basedOn w:val="DefaultParagraphFont"/>
    <w:link w:val="CommentText"/>
    <w:uiPriority w:val="99"/>
    <w:semiHidden/>
    <w:locked/>
    <w:rsid w:val="005D7AE1"/>
    <w:rPr>
      <w:rFonts w:ascii="Times New Roman" w:hAnsi="Times New Roman"/>
    </w:rPr>
  </w:style>
  <w:style w:type="paragraph" w:styleId="CommentSubject">
    <w:name w:val="annotation subject"/>
    <w:basedOn w:val="CommentText"/>
    <w:next w:val="CommentText"/>
    <w:link w:val="CommentSubjectChar"/>
    <w:uiPriority w:val="99"/>
    <w:semiHidden/>
    <w:rsid w:val="005D7AE1"/>
    <w:rPr>
      <w:b/>
      <w:bCs/>
    </w:rPr>
  </w:style>
  <w:style w:type="character" w:customStyle="1" w:styleId="CommentSubjectChar">
    <w:name w:val="Comment Subject Char"/>
    <w:basedOn w:val="CommentTextChar"/>
    <w:link w:val="CommentSubject"/>
    <w:uiPriority w:val="99"/>
    <w:semiHidden/>
    <w:locked/>
    <w:rsid w:val="005D7AE1"/>
    <w:rPr>
      <w:b/>
    </w:rPr>
  </w:style>
</w:styles>
</file>

<file path=word/webSettings.xml><?xml version="1.0" encoding="utf-8"?>
<w:webSettings xmlns:r="http://schemas.openxmlformats.org/officeDocument/2006/relationships" xmlns:w="http://schemas.openxmlformats.org/wordprocessingml/2006/main">
  <w:divs>
    <w:div w:id="1433164491">
      <w:marLeft w:val="0"/>
      <w:marRight w:val="0"/>
      <w:marTop w:val="0"/>
      <w:marBottom w:val="0"/>
      <w:divBdr>
        <w:top w:val="none" w:sz="0" w:space="0" w:color="auto"/>
        <w:left w:val="none" w:sz="0" w:space="0" w:color="auto"/>
        <w:bottom w:val="none" w:sz="0" w:space="0" w:color="auto"/>
        <w:right w:val="none" w:sz="0" w:space="0" w:color="auto"/>
      </w:divBdr>
    </w:div>
    <w:div w:id="1433164492">
      <w:marLeft w:val="0"/>
      <w:marRight w:val="0"/>
      <w:marTop w:val="0"/>
      <w:marBottom w:val="0"/>
      <w:divBdr>
        <w:top w:val="none" w:sz="0" w:space="0" w:color="auto"/>
        <w:left w:val="none" w:sz="0" w:space="0" w:color="auto"/>
        <w:bottom w:val="none" w:sz="0" w:space="0" w:color="auto"/>
        <w:right w:val="none" w:sz="0" w:space="0" w:color="auto"/>
      </w:divBdr>
    </w:div>
    <w:div w:id="1433164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OJ:L:2009:120:0005:01:L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12</Pages>
  <Words>2217</Words>
  <Characters>16098</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„Sabiedriskā transporta pakalpojumu likumā</dc:title>
  <dc:subject>Anotācija</dc:subject>
  <dc:creator>I.Girucka</dc:creator>
  <cp:keywords/>
  <dc:description>iveta.girucka@sam.gov.lv67028381</dc:description>
  <cp:lastModifiedBy>Baiba Šterna</cp:lastModifiedBy>
  <cp:revision>11</cp:revision>
  <cp:lastPrinted>2013-01-07T10:17:00Z</cp:lastPrinted>
  <dcterms:created xsi:type="dcterms:W3CDTF">2013-01-03T14:50:00Z</dcterms:created>
  <dcterms:modified xsi:type="dcterms:W3CDTF">2013-01-07T11:19:00Z</dcterms:modified>
</cp:coreProperties>
</file>