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E1" w:rsidRDefault="008A36E1" w:rsidP="00E10EC7">
      <w:pPr>
        <w:pStyle w:val="Footer"/>
        <w:jc w:val="center"/>
        <w:rPr>
          <w:b/>
          <w:bCs/>
          <w:color w:val="000000"/>
          <w:sz w:val="28"/>
          <w:szCs w:val="28"/>
        </w:rPr>
      </w:pPr>
      <w:bookmarkStart w:id="0" w:name="_GoBack"/>
      <w:bookmarkEnd w:id="0"/>
    </w:p>
    <w:p w:rsidR="008A36E1" w:rsidRDefault="008A36E1" w:rsidP="00E10EC7">
      <w:pPr>
        <w:pStyle w:val="Footer"/>
        <w:jc w:val="center"/>
        <w:rPr>
          <w:b/>
          <w:bCs/>
          <w:color w:val="000000"/>
          <w:sz w:val="28"/>
          <w:szCs w:val="28"/>
        </w:rPr>
      </w:pPr>
      <w:r>
        <w:rPr>
          <w:b/>
          <w:bCs/>
          <w:color w:val="000000"/>
          <w:sz w:val="28"/>
          <w:szCs w:val="28"/>
        </w:rPr>
        <w:t>Ministru kabineta noteikumu projekta</w:t>
      </w:r>
    </w:p>
    <w:p w:rsidR="008A36E1" w:rsidRDefault="008A36E1" w:rsidP="00E10EC7">
      <w:pPr>
        <w:jc w:val="center"/>
        <w:rPr>
          <w:b/>
          <w:bCs/>
          <w:color w:val="000000"/>
          <w:sz w:val="28"/>
          <w:szCs w:val="28"/>
        </w:rPr>
      </w:pPr>
      <w:r>
        <w:rPr>
          <w:b/>
          <w:color w:val="000000"/>
          <w:sz w:val="28"/>
          <w:szCs w:val="28"/>
        </w:rPr>
        <w:t>„Grozījumi Ministru kabineta 2011.gada 18.janvāra noteikumos Nr.51 „</w:t>
      </w:r>
      <w:r>
        <w:rPr>
          <w:b/>
          <w:sz w:val="28"/>
          <w:szCs w:val="28"/>
        </w:rPr>
        <w:t>Civilās aviācijas gaisa kuģu lidojumu apkalpes locekļu sertificēšanas noteikumi”</w:t>
      </w:r>
      <w:r>
        <w:rPr>
          <w:b/>
          <w:color w:val="000000"/>
          <w:sz w:val="28"/>
          <w:szCs w:val="28"/>
        </w:rPr>
        <w:t xml:space="preserve">” sākotnējās ietekmes novērtējuma </w:t>
      </w:r>
      <w:smartTag w:uri="schemas-tilde-lv/tildestengine" w:element="veidnes">
        <w:smartTagPr>
          <w:attr w:name="id" w:val="-1"/>
          <w:attr w:name="baseform" w:val="ziņojums"/>
          <w:attr w:name="text" w:val="ziņojums"/>
        </w:smartTagPr>
        <w:r>
          <w:rPr>
            <w:b/>
            <w:color w:val="000000"/>
            <w:sz w:val="28"/>
            <w:szCs w:val="28"/>
          </w:rPr>
          <w:t>ziņojums</w:t>
        </w:r>
      </w:smartTag>
      <w:r>
        <w:rPr>
          <w:b/>
          <w:color w:val="000000"/>
          <w:sz w:val="28"/>
          <w:szCs w:val="28"/>
        </w:rPr>
        <w:t xml:space="preserve"> (</w:t>
      </w:r>
      <w:r>
        <w:rPr>
          <w:b/>
          <w:bCs/>
          <w:color w:val="000000"/>
          <w:sz w:val="28"/>
          <w:szCs w:val="28"/>
        </w:rPr>
        <w:t>anotācija)</w:t>
      </w:r>
    </w:p>
    <w:p w:rsidR="008A36E1" w:rsidRDefault="008A36E1" w:rsidP="00E10EC7">
      <w:pPr>
        <w:jc w:val="center"/>
        <w:outlineLvl w:val="3"/>
        <w:rPr>
          <w:b/>
          <w:bCs/>
          <w:color w:val="000000"/>
          <w:sz w:val="28"/>
          <w:szCs w:val="28"/>
        </w:rPr>
      </w:pPr>
    </w:p>
    <w:tbl>
      <w:tblPr>
        <w:tblW w:w="504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78"/>
        <w:gridCol w:w="1862"/>
        <w:gridCol w:w="7070"/>
      </w:tblGrid>
      <w:tr w:rsidR="008A36E1" w:rsidTr="00D317DD">
        <w:tc>
          <w:tcPr>
            <w:tcW w:w="5000" w:type="pct"/>
            <w:gridSpan w:val="3"/>
            <w:tcBorders>
              <w:top w:val="single" w:sz="6" w:space="0" w:color="auto"/>
              <w:left w:val="single" w:sz="6" w:space="0" w:color="auto"/>
              <w:bottom w:val="outset" w:sz="6" w:space="0" w:color="000000"/>
              <w:right w:val="single" w:sz="6" w:space="0" w:color="auto"/>
            </w:tcBorders>
            <w:vAlign w:val="center"/>
          </w:tcPr>
          <w:p w:rsidR="008A36E1" w:rsidRDefault="008A36E1">
            <w:pPr>
              <w:jc w:val="center"/>
              <w:rPr>
                <w:b/>
                <w:bCs/>
                <w:color w:val="000000"/>
                <w:szCs w:val="28"/>
              </w:rPr>
            </w:pPr>
            <w:r>
              <w:rPr>
                <w:b/>
                <w:bCs/>
                <w:color w:val="000000"/>
                <w:sz w:val="28"/>
                <w:szCs w:val="28"/>
              </w:rPr>
              <w:t>I. Tiesību akta projekta izstrādes nepieciešamība</w:t>
            </w: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1.</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Pamatojums</w:t>
            </w:r>
          </w:p>
        </w:tc>
        <w:tc>
          <w:tcPr>
            <w:tcW w:w="3837" w:type="pct"/>
            <w:tcBorders>
              <w:top w:val="outset" w:sz="6" w:space="0" w:color="000000"/>
              <w:left w:val="outset" w:sz="6" w:space="0" w:color="000000"/>
              <w:bottom w:val="outset" w:sz="6" w:space="0" w:color="000000"/>
            </w:tcBorders>
          </w:tcPr>
          <w:p w:rsidR="008A36E1" w:rsidRDefault="008A36E1">
            <w:pPr>
              <w:jc w:val="both"/>
              <w:rPr>
                <w:color w:val="000000"/>
                <w:szCs w:val="28"/>
              </w:rPr>
            </w:pPr>
            <w:r>
              <w:rPr>
                <w:color w:val="000000"/>
                <w:sz w:val="28"/>
                <w:szCs w:val="28"/>
              </w:rPr>
              <w:t xml:space="preserve">Likuma „Par aviāciju” </w:t>
            </w:r>
            <w:r>
              <w:rPr>
                <w:sz w:val="28"/>
                <w:szCs w:val="28"/>
              </w:rPr>
              <w:t>30.panta otrā daļa un 32.</w:t>
            </w:r>
            <w:r w:rsidRPr="00AE299F">
              <w:rPr>
                <w:sz w:val="28"/>
                <w:szCs w:val="28"/>
              </w:rPr>
              <w:t>panta ceturtā</w:t>
            </w:r>
            <w:r>
              <w:rPr>
                <w:sz w:val="28"/>
                <w:szCs w:val="28"/>
              </w:rPr>
              <w:t xml:space="preserve"> daļa</w:t>
            </w:r>
            <w:r>
              <w:rPr>
                <w:color w:val="000000"/>
                <w:sz w:val="28"/>
                <w:szCs w:val="28"/>
              </w:rPr>
              <w:t>.</w:t>
            </w: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2.</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Pašreizējā situācija un problēmas</w:t>
            </w: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Pr="005102D4" w:rsidRDefault="008A36E1" w:rsidP="005102D4">
            <w:pPr>
              <w:rPr>
                <w:szCs w:val="28"/>
              </w:rPr>
            </w:pPr>
          </w:p>
          <w:p w:rsidR="008A36E1" w:rsidRDefault="008A36E1" w:rsidP="005102D4">
            <w:pPr>
              <w:rPr>
                <w:szCs w:val="28"/>
              </w:rPr>
            </w:pPr>
          </w:p>
          <w:p w:rsidR="008A36E1" w:rsidRPr="005102D4" w:rsidRDefault="008A36E1" w:rsidP="005102D4">
            <w:pPr>
              <w:rPr>
                <w:szCs w:val="28"/>
              </w:rPr>
            </w:pPr>
          </w:p>
          <w:p w:rsidR="008A36E1" w:rsidRDefault="008A36E1" w:rsidP="005102D4">
            <w:pPr>
              <w:rPr>
                <w:szCs w:val="28"/>
              </w:rPr>
            </w:pPr>
          </w:p>
          <w:p w:rsidR="008A36E1" w:rsidRPr="005102D4" w:rsidRDefault="008A36E1" w:rsidP="005102D4">
            <w:pPr>
              <w:jc w:val="center"/>
              <w:rPr>
                <w:szCs w:val="28"/>
              </w:rPr>
            </w:pPr>
          </w:p>
        </w:tc>
        <w:tc>
          <w:tcPr>
            <w:tcW w:w="3837" w:type="pct"/>
            <w:tcBorders>
              <w:top w:val="outset" w:sz="6" w:space="0" w:color="000000"/>
              <w:left w:val="outset" w:sz="6" w:space="0" w:color="000000"/>
              <w:bottom w:val="outset" w:sz="6" w:space="0" w:color="000000"/>
            </w:tcBorders>
          </w:tcPr>
          <w:p w:rsidR="008A36E1" w:rsidRDefault="008A36E1">
            <w:pPr>
              <w:autoSpaceDE w:val="0"/>
              <w:autoSpaceDN w:val="0"/>
              <w:adjustRightInd w:val="0"/>
              <w:ind w:left="-6" w:firstLine="201"/>
              <w:jc w:val="both"/>
              <w:rPr>
                <w:szCs w:val="28"/>
              </w:rPr>
            </w:pPr>
            <w:r>
              <w:rPr>
                <w:color w:val="000000"/>
                <w:sz w:val="28"/>
                <w:szCs w:val="28"/>
              </w:rPr>
              <w:t>Šobrīd ir spēkā Ministru kabineta 2011.gada 18.janvāra noteikumi Nr.51 „</w:t>
            </w:r>
            <w:r>
              <w:rPr>
                <w:sz w:val="28"/>
                <w:szCs w:val="28"/>
              </w:rPr>
              <w:t>Civilās aviācijas gaisa kuģu lidojumu apkalpes locekļu sertificēšanas noteikumi” (turpmāk – noteikumi Nr.51), kuri nosaka minimālās prasības, kā arī kārtību apliecību saņemšanai atsevišķām civilās aviācijas gaisa kuģu lidojumu apkalpes locekļu kategorijām. Stājoties spēkā Komisijas 2011. gada 3.novembra Regulai (ES) Nr. 1178/2011, ar ko nosaka tehniskās prasības un administratīvās procedūras attiecībā uz civilās aviācijas gaisa kuģa apkalpi atbilstīgi Eiropas Parlamenta un Padomes Regulai (EK) Nr. 216/2008 (turpmāk – regula Nr.1178/2011), kura grozīta ar Komisijas 2012.gada 30.marta Regulu (ES) Nr. 290/2012, ar kuru groza Regulu (ES) Nr. 1178/2011, ar ko nosaka tehniskās prasības un administratīvās procedūras attiecībā uz civilās aviācijas gaisa kuģu apkalpi atbilstīgi Eiropas Parlamenta un Padomes Regulai (EK) Nr. </w:t>
            </w:r>
            <w:r w:rsidRPr="00FE207C">
              <w:rPr>
                <w:sz w:val="28"/>
                <w:szCs w:val="28"/>
              </w:rPr>
              <w:t>216/2008</w:t>
            </w:r>
            <w:r>
              <w:rPr>
                <w:sz w:val="28"/>
                <w:szCs w:val="28"/>
              </w:rPr>
              <w:t>, nepieciešams noteikt kārtību apliecību saņemšanai arī civilās aviācijas gaisa kuģu lidojumu apkalpes locekļu kategorijām, kuras civilās aviācijas gaisa kuģu lidojumu apkalpes locekļu apliecības iegūs saskaņā ar regulas Nr.1178/2011 prasībām.</w:t>
            </w:r>
          </w:p>
          <w:p w:rsidR="008A36E1" w:rsidRPr="00AE299F" w:rsidRDefault="008A36E1">
            <w:pPr>
              <w:autoSpaceDE w:val="0"/>
              <w:autoSpaceDN w:val="0"/>
              <w:adjustRightInd w:val="0"/>
              <w:ind w:firstLine="198"/>
              <w:jc w:val="both"/>
              <w:rPr>
                <w:sz w:val="28"/>
                <w:szCs w:val="28"/>
              </w:rPr>
            </w:pPr>
            <w:r>
              <w:rPr>
                <w:sz w:val="28"/>
                <w:szCs w:val="28"/>
              </w:rPr>
              <w:t>Īstenojot regulā Nr.1178/2011 noteikto, nepieciešams noteikt kārtību, kādā izsniedzamas civilās aviācijas gaisa kuģu lidojumu apkalpes locekļu apliecības, kuras izdotas saskaņā ar regulas Nr.1178/2011 prasībām, veicot grozījumus noteikumos Nr.51, ņemot vērā, ka regulas Nr.1178/2011 prasības šādu civilās aviācijas gaisa kuģu lidojumu apkalpes locekļu apliecību izsniegšanas kārtību neparedz</w:t>
            </w:r>
            <w:r w:rsidRPr="00AE299F">
              <w:rPr>
                <w:sz w:val="28"/>
                <w:szCs w:val="28"/>
              </w:rPr>
              <w:t>, kā arī paredzēt, ka personām, kurām tiek izsniegtas regulas Nr.1178/2011 prasībām atbilstošas apliecības, taču tās veic nekomerciālus lidojumus ar Eiropas Parlamenta un Padomes 2008. gada 20. februāra Regulas (EK) Nr. 216/2008 par kopīgiem noteikumiem civilās aviācijas jomā un par Eiropas Aviācijas drošības aģentūras izveidi, un ar ko atceļ Padomes Direktīvu 91/670/EEK, Regulu (EK) Nr. 1592/2002 un Direktīvu 2004/36/EK 4.panta 5.punktā minētajiem gaisa kuģiem, kvalifikācijas atzīmi norāda lidojumu apkalpes locekļa apliecības pielikumā.</w:t>
            </w:r>
          </w:p>
          <w:p w:rsidR="008A36E1" w:rsidRPr="00AE299F" w:rsidRDefault="008A36E1">
            <w:pPr>
              <w:autoSpaceDE w:val="0"/>
              <w:autoSpaceDN w:val="0"/>
              <w:adjustRightInd w:val="0"/>
              <w:ind w:firstLine="198"/>
              <w:jc w:val="both"/>
              <w:rPr>
                <w:szCs w:val="28"/>
              </w:rPr>
            </w:pPr>
            <w:r w:rsidRPr="00AE299F">
              <w:rPr>
                <w:sz w:val="28"/>
                <w:szCs w:val="28"/>
              </w:rPr>
              <w:t>Noteikumos Nr.51 iekļautas prasības attiecībā uz dokumentu iesniegšanu civilās aviācijas gaisa kuģu lidojumu apkalpes locekļa apliecības saņemšanai. Viens no dokumentiem, kurš jāiesniedz, ir civilās aviācijas gaisa kuģu lidojumu apkalpes locekļa apliecības pretendenta pases kopija. Šāda prasība ir nepieciešama, lai noteiktos gadījumos identificētu civilās aviācijas gaisa kuģu lidojumu apkalpes locekli, jo apliecībā tās turētāja fotogrāfijas nav. Arī noteikumu Nr.51 grozījumos šādu prasību nepieciešams iekļaut attiecībā uz civilās aviācijas gaisa kuģu lidojumu apkalpes locekļiem, kuri apliecību saņems atbilstoši regulas Nr.1178/2011 prasībām.</w:t>
            </w:r>
          </w:p>
          <w:p w:rsidR="008A36E1" w:rsidRPr="00AE299F" w:rsidRDefault="008A36E1">
            <w:pPr>
              <w:autoSpaceDE w:val="0"/>
              <w:autoSpaceDN w:val="0"/>
              <w:adjustRightInd w:val="0"/>
              <w:ind w:left="-6" w:firstLine="201"/>
              <w:jc w:val="both"/>
              <w:rPr>
                <w:szCs w:val="28"/>
              </w:rPr>
            </w:pPr>
            <w:r w:rsidRPr="00AE299F">
              <w:rPr>
                <w:sz w:val="28"/>
                <w:szCs w:val="28"/>
              </w:rPr>
              <w:t>Papildus minētajam nepieciešams veikt precizējumus jau noteiktajās noteikumu Nr.51 prasībās civilās aviācijas gaisa kuģu lidojumu apkalpes locekļa apliecības saņemšanai, lai pielīdzinātu tās regulas Nr.1178/2011 prasībām.</w:t>
            </w:r>
          </w:p>
          <w:p w:rsidR="008A36E1" w:rsidRPr="00AE299F" w:rsidRDefault="008A36E1">
            <w:pPr>
              <w:autoSpaceDE w:val="0"/>
              <w:autoSpaceDN w:val="0"/>
              <w:adjustRightInd w:val="0"/>
              <w:ind w:firstLine="198"/>
              <w:jc w:val="both"/>
              <w:rPr>
                <w:szCs w:val="28"/>
              </w:rPr>
            </w:pPr>
            <w:r w:rsidRPr="00AE299F">
              <w:rPr>
                <w:sz w:val="28"/>
                <w:szCs w:val="28"/>
              </w:rPr>
              <w:t xml:space="preserve">Attīstoties tehnoloģijām, aktuāli kļuvuši jautājumi par gaisa kuģu, kuri paceļoties vai nosēžoties var izmantot gan sauszemi, gan ūdens akvatoriju, ekspluatāciju, tādēļ nepieciešams noteikt kārtību, kādā tiek piešķirtas kvalifikācijas atzīmes civilās aviācijas gaisa kuģu lidojumu apkalpes locekļiem, kuri vēlas pilotēt gaisa kuģi un kā nosēšanās laukumu izmantot arī ūdens akvatoriju. Prasības šādu kvalifikācijas atzīmju piešķiršanai nav noteiktas starptautiskajos normatīvajos aktos, līdz ar to tās jānosaka nacionālajā līmenī. </w:t>
            </w:r>
          </w:p>
          <w:p w:rsidR="008A36E1" w:rsidRPr="00DD69C3" w:rsidRDefault="008A36E1" w:rsidP="00DD69C3">
            <w:pPr>
              <w:autoSpaceDE w:val="0"/>
              <w:autoSpaceDN w:val="0"/>
              <w:adjustRightInd w:val="0"/>
              <w:ind w:firstLine="198"/>
              <w:jc w:val="both"/>
              <w:rPr>
                <w:sz w:val="28"/>
                <w:szCs w:val="28"/>
              </w:rPr>
            </w:pPr>
            <w:r w:rsidRPr="00AE299F">
              <w:rPr>
                <w:sz w:val="28"/>
                <w:szCs w:val="28"/>
              </w:rPr>
              <w:t>Regulas Nr.1178/2011 prasības paredz, ka civilās aviācijas gaisa kuģu lidojumu apkalpes loceklis var saņemt civilās aviācijas gaisa kuģu apkalpes locekļa apliecību</w:t>
            </w:r>
            <w:r>
              <w:rPr>
                <w:sz w:val="28"/>
                <w:szCs w:val="28"/>
              </w:rPr>
              <w:t xml:space="preserve">, ja persona pirms tam ieguvusi lidojumu pieredzi kā militārās aviācijas gaisa kuģa apkalpes loceklis. Šādas prasības nepieciešams iekļaut arī noteikumos Nr.51, lai civilās aviācijas gaisa kuģu apkalpes locekļa apliecību varētu saņemt persona, kura neietilpst to personu lokā, uz kurām attiecas regulas Nr.1178/2011 prasības. </w:t>
            </w: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3.</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Saistītie politikas ietekmes novērtējumi un pētījumi</w:t>
            </w:r>
          </w:p>
        </w:tc>
        <w:tc>
          <w:tcPr>
            <w:tcW w:w="3837" w:type="pct"/>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 xml:space="preserve">Projekts šo jomu neskar. </w:t>
            </w:r>
          </w:p>
          <w:p w:rsidR="008A36E1" w:rsidRDefault="008A36E1">
            <w:pPr>
              <w:rPr>
                <w:color w:val="000000"/>
                <w:szCs w:val="28"/>
              </w:rPr>
            </w:pP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4.</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Tiesiskā regulējuma mērķis un būtība</w:t>
            </w:r>
          </w:p>
        </w:tc>
        <w:tc>
          <w:tcPr>
            <w:tcW w:w="3837" w:type="pct"/>
            <w:tcBorders>
              <w:top w:val="outset" w:sz="6" w:space="0" w:color="000000"/>
              <w:left w:val="outset" w:sz="6" w:space="0" w:color="000000"/>
              <w:bottom w:val="outset" w:sz="6" w:space="0" w:color="000000"/>
            </w:tcBorders>
          </w:tcPr>
          <w:p w:rsidR="008A36E1" w:rsidRDefault="008A36E1">
            <w:pPr>
              <w:ind w:firstLine="187"/>
              <w:jc w:val="both"/>
              <w:rPr>
                <w:szCs w:val="28"/>
              </w:rPr>
            </w:pPr>
            <w:r>
              <w:rPr>
                <w:sz w:val="28"/>
                <w:szCs w:val="28"/>
              </w:rPr>
              <w:t>Normatīvā akta mērķis ir papildus līdz šim esošajam regulējumam noteikt:</w:t>
            </w:r>
          </w:p>
          <w:p w:rsidR="008A36E1" w:rsidRDefault="008A36E1">
            <w:pPr>
              <w:ind w:firstLine="187"/>
              <w:jc w:val="both"/>
              <w:rPr>
                <w:szCs w:val="28"/>
              </w:rPr>
            </w:pPr>
            <w:r>
              <w:rPr>
                <w:sz w:val="28"/>
                <w:szCs w:val="28"/>
              </w:rPr>
              <w:t>1) kārtību, kādā Civilās aviācijas aģentūra izsniedz civilās aviācijas lidojumu apkalpes locekļu apliecības saskaņā ar regulas Nr.1178/2011 prasībām (privātpilota apliecību, komercpilota apliecību, daudzpilotu apkalpes locekļa apliecību, aviolīniju transporta pilota apliecību);</w:t>
            </w:r>
          </w:p>
          <w:p w:rsidR="008A36E1" w:rsidRDefault="008A36E1">
            <w:pPr>
              <w:ind w:firstLine="187"/>
              <w:jc w:val="both"/>
              <w:rPr>
                <w:szCs w:val="28"/>
              </w:rPr>
            </w:pPr>
            <w:r>
              <w:rPr>
                <w:sz w:val="28"/>
                <w:szCs w:val="28"/>
              </w:rPr>
              <w:t xml:space="preserve">2) </w:t>
            </w:r>
            <w:r w:rsidRPr="008E2645">
              <w:rPr>
                <w:sz w:val="28"/>
                <w:szCs w:val="28"/>
              </w:rPr>
              <w:t>prasības kvalifikācijas atzīmes, kura atļauj pilotējot gaisa kuģi kā nosēšanās laukumu izmantot arī ūdens</w:t>
            </w:r>
            <w:r>
              <w:rPr>
                <w:sz w:val="28"/>
                <w:szCs w:val="28"/>
              </w:rPr>
              <w:t xml:space="preserve"> akvatoriju, saņemšanai;</w:t>
            </w:r>
          </w:p>
          <w:p w:rsidR="008A36E1" w:rsidRDefault="008A36E1">
            <w:pPr>
              <w:ind w:firstLine="187"/>
              <w:jc w:val="both"/>
              <w:rPr>
                <w:szCs w:val="28"/>
              </w:rPr>
            </w:pPr>
            <w:r>
              <w:rPr>
                <w:sz w:val="28"/>
                <w:szCs w:val="28"/>
              </w:rPr>
              <w:t>3) kārtību, kādā kvalifikācijas atzīmi piešķir un pagarina lidojumu instruktoram un eksaminatoram;</w:t>
            </w:r>
          </w:p>
          <w:p w:rsidR="008A36E1" w:rsidRPr="00AE299F" w:rsidRDefault="008A36E1">
            <w:pPr>
              <w:ind w:firstLine="187"/>
              <w:jc w:val="both"/>
              <w:rPr>
                <w:szCs w:val="28"/>
              </w:rPr>
            </w:pPr>
            <w:r>
              <w:rPr>
                <w:sz w:val="28"/>
                <w:szCs w:val="28"/>
              </w:rPr>
              <w:t>4) prasības, kas jāizpilda, lai saņemtu</w:t>
            </w:r>
            <w:r>
              <w:rPr>
                <w:i/>
                <w:sz w:val="28"/>
                <w:szCs w:val="28"/>
              </w:rPr>
              <w:t xml:space="preserve"> </w:t>
            </w:r>
            <w:r>
              <w:rPr>
                <w:sz w:val="28"/>
                <w:szCs w:val="28"/>
              </w:rPr>
              <w:t xml:space="preserve">civilās aviācijas gaisa kuģu lidojumu apkalpes locekļa apliecību, ja persona pirms tam ieguvusi lidojumu pieredzi kā militārās aviācijas gaisa </w:t>
            </w:r>
            <w:r w:rsidRPr="00AE299F">
              <w:rPr>
                <w:sz w:val="28"/>
                <w:szCs w:val="28"/>
              </w:rPr>
              <w:t>kuģa apkalpes loceklis.</w:t>
            </w:r>
          </w:p>
          <w:p w:rsidR="008A36E1" w:rsidRPr="00BA0643" w:rsidRDefault="008A36E1" w:rsidP="00DD69C3">
            <w:pPr>
              <w:ind w:firstLine="198"/>
              <w:jc w:val="both"/>
              <w:rPr>
                <w:sz w:val="28"/>
                <w:szCs w:val="28"/>
              </w:rPr>
            </w:pPr>
            <w:r w:rsidRPr="00AE299F">
              <w:rPr>
                <w:sz w:val="28"/>
                <w:szCs w:val="28"/>
              </w:rPr>
              <w:t>Saskaņā ar Eiropas Parlamenta un Padomes 2008. gada 20. februāra Regulas (EK) Nr. 216/2008 par kopīgiem noteikumiem civilās aviācijas jomā un par Eiropas Aviācijas drošības aģentūras izveidi, un ar ko atceļ Padomes Direktīvu 91/670/EEK, Regulu (EK) Nr. 1592/2002 un Direktīvu 2004/36/EK 18.panta (c) punktu,</w:t>
            </w:r>
            <w:r w:rsidRPr="00AE299F">
              <w:t xml:space="preserve"> </w:t>
            </w:r>
            <w:r w:rsidRPr="00AE299F">
              <w:rPr>
                <w:sz w:val="28"/>
                <w:szCs w:val="28"/>
              </w:rPr>
              <w:t>Eiropas aviācijas drošības aģentūra ir izstrādājusi dokumentus regulas Nr.1178/2011 prasību piemērošanai „Attiecīgie līdzekļi atbilstības panākšanai un vadlīnijas” (http://www.easa.europa.eu/agency-measures/acceptable-means-of-compliance-and-guidance-material.php). Dalībvalstīm jāievēro šajos dokumentos noteiktais vai jāizstrādā dokumenti, kuri nodrošina līdzvērtīgu regulas Nr.1178/2011 prasību piemērošanu. Ņemot vērā to, ka citi dokumenti regulas Nr.1178/2011 piemērošanai nav izstrādāti, projektā iekļautas dokumentu „Attiecīgie līdzekļi atbilstības panākšanai un vadlīnijas. FCL daļa” un „Attiecīgie līdzekļi atbilstības panākšanai un vadlīnijas. ARA daļa” prasības.</w:t>
            </w:r>
            <w:r>
              <w:rPr>
                <w:sz w:val="28"/>
                <w:szCs w:val="28"/>
              </w:rPr>
              <w:t xml:space="preserve"> </w:t>
            </w: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5.</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Projekta izstrādē iesaistītās institūcijas</w:t>
            </w:r>
          </w:p>
        </w:tc>
        <w:tc>
          <w:tcPr>
            <w:tcW w:w="3837" w:type="pct"/>
            <w:tcBorders>
              <w:top w:val="outset" w:sz="6" w:space="0" w:color="000000"/>
              <w:left w:val="outset" w:sz="6" w:space="0" w:color="000000"/>
              <w:bottom w:val="outset" w:sz="6" w:space="0" w:color="000000"/>
            </w:tcBorders>
          </w:tcPr>
          <w:p w:rsidR="008A36E1" w:rsidRDefault="008A36E1">
            <w:pPr>
              <w:rPr>
                <w:color w:val="000000"/>
                <w:szCs w:val="28"/>
              </w:rPr>
            </w:pPr>
            <w:r>
              <w:rPr>
                <w:sz w:val="28"/>
                <w:szCs w:val="28"/>
              </w:rPr>
              <w:t>Valsts aģentūra „Civilās aviācijas aģentūra”.</w:t>
            </w: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6.</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Iemesli, kādēļ netika nodrošināta sabiedrības līdzdalība</w:t>
            </w:r>
          </w:p>
        </w:tc>
        <w:tc>
          <w:tcPr>
            <w:tcW w:w="3837" w:type="pct"/>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 xml:space="preserve">Projekta izstrādes gaitā nav notikušas konsultācijas, jo projektā iekļautas normas, kas izriet no regulas Nr.1178/2011 prasībām. </w:t>
            </w:r>
          </w:p>
        </w:tc>
      </w:tr>
      <w:tr w:rsidR="008A36E1" w:rsidTr="00D317DD">
        <w:tc>
          <w:tcPr>
            <w:tcW w:w="151" w:type="pct"/>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7.</w:t>
            </w:r>
          </w:p>
        </w:tc>
        <w:tc>
          <w:tcPr>
            <w:tcW w:w="1011"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Cita informācija</w:t>
            </w:r>
          </w:p>
        </w:tc>
        <w:tc>
          <w:tcPr>
            <w:tcW w:w="3837" w:type="pct"/>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Nav</w:t>
            </w:r>
          </w:p>
        </w:tc>
      </w:tr>
    </w:tbl>
    <w:p w:rsidR="008A36E1" w:rsidRDefault="008A36E1" w:rsidP="00E10EC7">
      <w:pPr>
        <w:rPr>
          <w:color w:val="000000"/>
          <w:sz w:val="28"/>
          <w:szCs w:val="28"/>
        </w:rPr>
      </w:pPr>
      <w:r>
        <w:rPr>
          <w:color w:val="000000"/>
          <w:sz w:val="28"/>
          <w:szCs w:val="28"/>
        </w:rPr>
        <w:t>  </w:t>
      </w:r>
    </w:p>
    <w:tbl>
      <w:tblPr>
        <w:tblW w:w="505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312"/>
        <w:gridCol w:w="2021"/>
        <w:gridCol w:w="6889"/>
      </w:tblGrid>
      <w:tr w:rsidR="008A36E1" w:rsidTr="00E10EC7">
        <w:tc>
          <w:tcPr>
            <w:tcW w:w="9292" w:type="dxa"/>
            <w:gridSpan w:val="3"/>
            <w:tcBorders>
              <w:top w:val="single" w:sz="6" w:space="0" w:color="auto"/>
              <w:left w:val="single" w:sz="6" w:space="0" w:color="auto"/>
              <w:bottom w:val="outset" w:sz="6" w:space="0" w:color="000000"/>
              <w:right w:val="single" w:sz="6" w:space="0" w:color="auto"/>
            </w:tcBorders>
            <w:vAlign w:val="center"/>
          </w:tcPr>
          <w:p w:rsidR="008A36E1" w:rsidRDefault="008A36E1">
            <w:pPr>
              <w:jc w:val="center"/>
              <w:rPr>
                <w:b/>
                <w:bCs/>
                <w:color w:val="000000"/>
                <w:szCs w:val="28"/>
              </w:rPr>
            </w:pPr>
            <w:r>
              <w:rPr>
                <w:b/>
                <w:bCs/>
                <w:color w:val="000000"/>
                <w:sz w:val="28"/>
                <w:szCs w:val="28"/>
              </w:rPr>
              <w:t>II. Tiesību akta projekta ietekme uz sabiedrību</w:t>
            </w:r>
          </w:p>
        </w:tc>
      </w:tr>
      <w:tr w:rsidR="008A36E1" w:rsidTr="00E10EC7">
        <w:tc>
          <w:tcPr>
            <w:tcW w:w="314" w:type="dxa"/>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1.</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Sabiedrības mērķgrupa</w:t>
            </w:r>
          </w:p>
        </w:tc>
        <w:tc>
          <w:tcPr>
            <w:tcW w:w="6942" w:type="dxa"/>
            <w:tcBorders>
              <w:top w:val="outset" w:sz="6" w:space="0" w:color="000000"/>
              <w:left w:val="outset" w:sz="6" w:space="0" w:color="000000"/>
              <w:bottom w:val="outset" w:sz="6" w:space="0" w:color="000000"/>
            </w:tcBorders>
          </w:tcPr>
          <w:p w:rsidR="008A36E1" w:rsidRDefault="008A36E1">
            <w:pPr>
              <w:jc w:val="both"/>
              <w:rPr>
                <w:szCs w:val="28"/>
              </w:rPr>
            </w:pPr>
            <w:r>
              <w:rPr>
                <w:color w:val="000000"/>
                <w:sz w:val="28"/>
                <w:szCs w:val="28"/>
              </w:rPr>
              <w:t xml:space="preserve">Noteikumu projekts attiecas uz personām, kuras vēlas kļūt par civilās aviācijas </w:t>
            </w:r>
            <w:r>
              <w:rPr>
                <w:sz w:val="28"/>
                <w:szCs w:val="28"/>
              </w:rPr>
              <w:t>gaisa kuģu lidojumu apkalpes locekļiem, kā arī esošajiem civilās aviācijas gaisa kuģu lidojumu apkalpes locekļiem, kuri vēlas iegūt jaunu kvalifikāciju vai kvalifikācijas atzīmi, vai pagarināt jau esošu kvalifikāciju vai kvalifikācijas atzīmi.</w:t>
            </w:r>
          </w:p>
          <w:p w:rsidR="008A36E1" w:rsidRPr="00DD69C3" w:rsidRDefault="008A36E1">
            <w:pPr>
              <w:jc w:val="both"/>
              <w:rPr>
                <w:sz w:val="28"/>
                <w:szCs w:val="28"/>
              </w:rPr>
            </w:pPr>
            <w:r>
              <w:rPr>
                <w:sz w:val="28"/>
                <w:szCs w:val="28"/>
              </w:rPr>
              <w:t>Šobrīd Civilās aviācijas aģentūra ir sertificējusi aptuveni 700 civilās aviācijas gaisa kuģu lidojumu apkalpes locekļu.</w:t>
            </w:r>
          </w:p>
        </w:tc>
      </w:tr>
      <w:tr w:rsidR="008A36E1" w:rsidTr="00E10EC7">
        <w:tc>
          <w:tcPr>
            <w:tcW w:w="314" w:type="dxa"/>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2.</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Citas sabiedrības grupas (bez mērķgrupas), kuras tiesiskais regulējums arī ietekmē vai varētu ietekmēt</w:t>
            </w:r>
          </w:p>
        </w:tc>
        <w:tc>
          <w:tcPr>
            <w:tcW w:w="6942" w:type="dxa"/>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 xml:space="preserve">Projekts šo jomu neskar </w:t>
            </w:r>
          </w:p>
        </w:tc>
      </w:tr>
      <w:tr w:rsidR="008A36E1" w:rsidTr="00E10EC7">
        <w:tc>
          <w:tcPr>
            <w:tcW w:w="314" w:type="dxa"/>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3.</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Tiesiskā regulējuma finansiālā ietekme</w:t>
            </w:r>
          </w:p>
        </w:tc>
        <w:tc>
          <w:tcPr>
            <w:tcW w:w="6942" w:type="dxa"/>
            <w:tcBorders>
              <w:top w:val="outset" w:sz="6" w:space="0" w:color="000000"/>
              <w:left w:val="outset" w:sz="6" w:space="0" w:color="000000"/>
              <w:bottom w:val="outset" w:sz="6" w:space="0" w:color="000000"/>
            </w:tcBorders>
          </w:tcPr>
          <w:p w:rsidR="008A36E1" w:rsidRPr="004011EA" w:rsidRDefault="008A36E1">
            <w:pPr>
              <w:pStyle w:val="BodyText2"/>
              <w:rPr>
                <w:szCs w:val="28"/>
              </w:rPr>
            </w:pPr>
            <w:r w:rsidRPr="004011EA">
              <w:rPr>
                <w:szCs w:val="28"/>
              </w:rPr>
              <w:t>Saskaņā ar Ministru kabineta 2006.gada 30.maija noteikumiem Nr.426 „Noteikumi par valsts aģentūras "Civilās aviācijas aģentūra" sniegto publisko maksas pakalpojumu cenrādi” pilotu apliecības saņemšana, teorētisko un praktisko eksāmenu kārtošana Civilās aviācijas aģentūrā, citas vai papildu kvalifikācijas iegūšana un derīguma termiņa pagarināšana, kā arī apliecības atjaunošana ir maksas pakalpojums.</w:t>
            </w:r>
          </w:p>
        </w:tc>
      </w:tr>
      <w:tr w:rsidR="008A36E1" w:rsidTr="00E10EC7">
        <w:tc>
          <w:tcPr>
            <w:tcW w:w="314" w:type="dxa"/>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4.</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Tiesiskā regulējuma nefinansiālā ietekme</w:t>
            </w:r>
          </w:p>
        </w:tc>
        <w:tc>
          <w:tcPr>
            <w:tcW w:w="6942" w:type="dxa"/>
            <w:tcBorders>
              <w:top w:val="outset" w:sz="6" w:space="0" w:color="000000"/>
              <w:left w:val="outset" w:sz="6" w:space="0" w:color="000000"/>
              <w:bottom w:val="outset" w:sz="6" w:space="0" w:color="000000"/>
            </w:tcBorders>
          </w:tcPr>
          <w:p w:rsidR="008A36E1" w:rsidRPr="00DD69C3" w:rsidRDefault="008A36E1">
            <w:pPr>
              <w:jc w:val="both"/>
              <w:rPr>
                <w:color w:val="000000"/>
                <w:sz w:val="28"/>
                <w:szCs w:val="28"/>
              </w:rPr>
            </w:pPr>
            <w:r>
              <w:rPr>
                <w:color w:val="000000"/>
                <w:sz w:val="28"/>
                <w:szCs w:val="28"/>
              </w:rPr>
              <w:t>Projekts uzliek pienākumu Civilās aviācijas aģentūrai veikt personu, kuras vēlas iegūt civilās aviācijas gaisa kuģu lidojumu apkalpes locekļa apliecību, sertifikāciju, kā arī kvalifikāciju un kvalifikācijas atzīmju piešķiršanu un pagarināšanu šo apliecību turētājiem.</w:t>
            </w:r>
          </w:p>
        </w:tc>
      </w:tr>
      <w:tr w:rsidR="008A36E1" w:rsidTr="00E10EC7">
        <w:tc>
          <w:tcPr>
            <w:tcW w:w="314" w:type="dxa"/>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5.</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Administratīvās procedūras raksturojums</w:t>
            </w:r>
          </w:p>
        </w:tc>
        <w:tc>
          <w:tcPr>
            <w:tcW w:w="6942" w:type="dxa"/>
            <w:tcBorders>
              <w:top w:val="outset" w:sz="6" w:space="0" w:color="000000"/>
              <w:left w:val="outset" w:sz="6" w:space="0" w:color="000000"/>
              <w:bottom w:val="outset" w:sz="6" w:space="0" w:color="000000"/>
            </w:tcBorders>
          </w:tcPr>
          <w:p w:rsidR="008A36E1" w:rsidRPr="00DD69C3" w:rsidRDefault="008A36E1">
            <w:pPr>
              <w:jc w:val="both"/>
              <w:rPr>
                <w:sz w:val="28"/>
                <w:szCs w:val="28"/>
              </w:rPr>
            </w:pPr>
            <w:r>
              <w:rPr>
                <w:sz w:val="28"/>
                <w:szCs w:val="28"/>
              </w:rPr>
              <w:t>Fiziskām personām būs iespēja iegūt studentpilota, amatierpilota, privātpilota, komercpilota, daudzpilotu apkalpes pilota, aviolīniju transporta pilota, lidotāja-stūrmaņa, lidotāja-inženiera vai lidotāja-radiotelefona operatora apliecību.</w:t>
            </w:r>
          </w:p>
        </w:tc>
      </w:tr>
      <w:tr w:rsidR="008A36E1" w:rsidTr="00E10EC7">
        <w:tc>
          <w:tcPr>
            <w:tcW w:w="314" w:type="dxa"/>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6.</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Administratīvo izmaksu monetārs novērtējums</w:t>
            </w:r>
          </w:p>
          <w:p w:rsidR="008A36E1" w:rsidRDefault="008A36E1">
            <w:pPr>
              <w:rPr>
                <w:color w:val="000000"/>
                <w:szCs w:val="28"/>
              </w:rPr>
            </w:pPr>
          </w:p>
        </w:tc>
        <w:tc>
          <w:tcPr>
            <w:tcW w:w="6942" w:type="dxa"/>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Projekts šo jomu neskar</w:t>
            </w:r>
          </w:p>
        </w:tc>
      </w:tr>
      <w:tr w:rsidR="008A36E1" w:rsidTr="00E10EC7">
        <w:trPr>
          <w:trHeight w:val="397"/>
        </w:trPr>
        <w:tc>
          <w:tcPr>
            <w:tcW w:w="314" w:type="dxa"/>
            <w:tcBorders>
              <w:top w:val="outset" w:sz="6" w:space="0" w:color="000000"/>
              <w:bottom w:val="outset" w:sz="6" w:space="0" w:color="000000"/>
              <w:right w:val="outset" w:sz="6" w:space="0" w:color="000000"/>
            </w:tcBorders>
          </w:tcPr>
          <w:p w:rsidR="008A36E1" w:rsidRDefault="008A36E1">
            <w:pPr>
              <w:rPr>
                <w:szCs w:val="28"/>
              </w:rPr>
            </w:pPr>
            <w:r>
              <w:rPr>
                <w:sz w:val="28"/>
                <w:szCs w:val="28"/>
              </w:rPr>
              <w:t>7.</w:t>
            </w:r>
          </w:p>
        </w:tc>
        <w:tc>
          <w:tcPr>
            <w:tcW w:w="2036" w:type="dxa"/>
            <w:tcBorders>
              <w:top w:val="outset" w:sz="6" w:space="0" w:color="000000"/>
              <w:left w:val="outset" w:sz="6" w:space="0" w:color="000000"/>
              <w:bottom w:val="outset" w:sz="6" w:space="0" w:color="000000"/>
              <w:right w:val="outset" w:sz="6" w:space="0" w:color="000000"/>
            </w:tcBorders>
          </w:tcPr>
          <w:p w:rsidR="008A36E1" w:rsidRDefault="008A36E1">
            <w:pPr>
              <w:rPr>
                <w:szCs w:val="28"/>
              </w:rPr>
            </w:pPr>
            <w:r>
              <w:rPr>
                <w:sz w:val="28"/>
                <w:szCs w:val="28"/>
              </w:rPr>
              <w:t>Cita informācija</w:t>
            </w:r>
          </w:p>
        </w:tc>
        <w:tc>
          <w:tcPr>
            <w:tcW w:w="6942" w:type="dxa"/>
            <w:tcBorders>
              <w:top w:val="outset" w:sz="6" w:space="0" w:color="000000"/>
              <w:left w:val="outset" w:sz="6" w:space="0" w:color="000000"/>
              <w:bottom w:val="outset" w:sz="6" w:space="0" w:color="000000"/>
            </w:tcBorders>
          </w:tcPr>
          <w:p w:rsidR="008A36E1" w:rsidRDefault="008A36E1">
            <w:pPr>
              <w:jc w:val="both"/>
              <w:rPr>
                <w:szCs w:val="28"/>
              </w:rPr>
            </w:pPr>
            <w:r>
              <w:rPr>
                <w:sz w:val="28"/>
                <w:szCs w:val="28"/>
              </w:rPr>
              <w:t>Nav</w:t>
            </w:r>
          </w:p>
        </w:tc>
      </w:tr>
    </w:tbl>
    <w:p w:rsidR="008A36E1" w:rsidRDefault="008A36E1" w:rsidP="00E10EC7">
      <w:pPr>
        <w:rPr>
          <w:color w:val="000000"/>
          <w:sz w:val="28"/>
          <w:szCs w:val="28"/>
        </w:rPr>
      </w:pPr>
    </w:p>
    <w:p w:rsidR="008A36E1" w:rsidRDefault="008A36E1" w:rsidP="00E10EC7">
      <w:pPr>
        <w:rPr>
          <w:color w:val="000000"/>
          <w:sz w:val="28"/>
          <w:szCs w:val="28"/>
        </w:rPr>
      </w:pPr>
    </w:p>
    <w:p w:rsidR="008A36E1" w:rsidRDefault="008A36E1" w:rsidP="00E10EC7">
      <w:pPr>
        <w:rPr>
          <w:color w:val="000000"/>
          <w:sz w:val="28"/>
          <w:szCs w:val="28"/>
        </w:rPr>
      </w:pPr>
    </w:p>
    <w:p w:rsidR="008A36E1" w:rsidRDefault="008A36E1" w:rsidP="00E10EC7">
      <w:pPr>
        <w:rPr>
          <w:color w:val="000000"/>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94"/>
        <w:gridCol w:w="2076"/>
        <w:gridCol w:w="6761"/>
      </w:tblGrid>
      <w:tr w:rsidR="008A36E1" w:rsidTr="00096F27">
        <w:tc>
          <w:tcPr>
            <w:tcW w:w="5000" w:type="pct"/>
            <w:gridSpan w:val="3"/>
            <w:tcBorders>
              <w:top w:val="single" w:sz="6" w:space="0" w:color="auto"/>
              <w:left w:val="single" w:sz="6" w:space="0" w:color="auto"/>
              <w:bottom w:val="outset" w:sz="6" w:space="0" w:color="000000"/>
              <w:right w:val="single" w:sz="6" w:space="0" w:color="auto"/>
            </w:tcBorders>
          </w:tcPr>
          <w:p w:rsidR="008A36E1" w:rsidRDefault="008A36E1">
            <w:pPr>
              <w:jc w:val="center"/>
              <w:rPr>
                <w:b/>
                <w:bCs/>
                <w:color w:val="000000"/>
                <w:szCs w:val="28"/>
              </w:rPr>
            </w:pPr>
            <w:r>
              <w:rPr>
                <w:b/>
                <w:bCs/>
                <w:color w:val="000000"/>
                <w:sz w:val="28"/>
                <w:szCs w:val="28"/>
              </w:rPr>
              <w:t>V. Tiesību akta projekta atbilstība Latvijas Republikas starptautiskajām saistībām</w:t>
            </w:r>
          </w:p>
        </w:tc>
      </w:tr>
      <w:tr w:rsidR="008A36E1" w:rsidTr="00096F27">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1.</w:t>
            </w:r>
          </w:p>
        </w:tc>
        <w:tc>
          <w:tcPr>
            <w:tcW w:w="1137"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Saistības pret Eiropas Savienību</w:t>
            </w:r>
          </w:p>
        </w:tc>
        <w:tc>
          <w:tcPr>
            <w:tcW w:w="3702" w:type="pct"/>
            <w:tcBorders>
              <w:top w:val="outset" w:sz="6" w:space="0" w:color="000000"/>
              <w:left w:val="outset" w:sz="6" w:space="0" w:color="000000"/>
              <w:bottom w:val="outset" w:sz="6" w:space="0" w:color="000000"/>
            </w:tcBorders>
          </w:tcPr>
          <w:p w:rsidR="008A36E1" w:rsidRDefault="008A36E1">
            <w:pPr>
              <w:pStyle w:val="naiskr"/>
              <w:spacing w:before="0" w:after="0"/>
              <w:jc w:val="both"/>
              <w:rPr>
                <w:szCs w:val="28"/>
              </w:rPr>
            </w:pPr>
            <w:r>
              <w:rPr>
                <w:sz w:val="28"/>
                <w:szCs w:val="28"/>
              </w:rPr>
              <w:t>Normatīvajā aktā ietverta atsauce uz:</w:t>
            </w:r>
          </w:p>
          <w:p w:rsidR="008A36E1" w:rsidRDefault="008A36E1">
            <w:pPr>
              <w:jc w:val="both"/>
              <w:rPr>
                <w:szCs w:val="28"/>
              </w:rPr>
            </w:pPr>
            <w:r>
              <w:rPr>
                <w:sz w:val="28"/>
                <w:szCs w:val="28"/>
              </w:rPr>
              <w:t xml:space="preserve">Komisijas 2011. gada 3.novembra Regulu (ES) Nr. 1178/2011, ar ko nosaka tehniskās prasības un administratīvās procedūras attiecībā uz civilās aviācijas gaisa kuģa apkalpi atbilstīgi Eiropas Parlamenta un Padomes Regulai (EK) Nr. 216/2008 </w:t>
            </w:r>
            <w:r>
              <w:rPr>
                <w:noProof/>
                <w:sz w:val="28"/>
                <w:szCs w:val="28"/>
              </w:rPr>
              <w:t xml:space="preserve">(publicēta “Eiropas Savienības Oficiālajā Vēstnesī” </w:t>
            </w:r>
            <w:r>
              <w:rPr>
                <w:rStyle w:val="Emphasis"/>
                <w:i w:val="0"/>
                <w:iCs/>
                <w:sz w:val="28"/>
                <w:szCs w:val="28"/>
              </w:rPr>
              <w:t>L 311, 25.11.2011</w:t>
            </w:r>
            <w:r>
              <w:rPr>
                <w:noProof/>
                <w:sz w:val="28"/>
                <w:szCs w:val="28"/>
              </w:rPr>
              <w:t>)</w:t>
            </w:r>
            <w:r>
              <w:rPr>
                <w:sz w:val="28"/>
                <w:szCs w:val="28"/>
              </w:rPr>
              <w:t xml:space="preserve">, </w:t>
            </w:r>
          </w:p>
          <w:p w:rsidR="008A36E1" w:rsidRPr="00DD69C3" w:rsidRDefault="008A36E1">
            <w:pPr>
              <w:jc w:val="both"/>
              <w:rPr>
                <w:noProof/>
                <w:sz w:val="28"/>
                <w:szCs w:val="28"/>
              </w:rPr>
            </w:pPr>
            <w:r>
              <w:rPr>
                <w:sz w:val="28"/>
                <w:szCs w:val="28"/>
              </w:rPr>
              <w:t>kura grozīta ar Komisijas 2012.gada 30.marta Regulu (ES) Nr. 290/2012, ar kuru groza Regulu (ES) Nr. 1178/2011, ar ko nosaka tehniskās prasības un administratīvās procedūras attiecībā uz civilās aviācijas gaisa kuģu apkalpi atbilstīgi Eiropas Parlamenta un Padomes Regulai (EK) Nr. 216/2008</w:t>
            </w:r>
            <w:r>
              <w:rPr>
                <w:noProof/>
                <w:sz w:val="28"/>
                <w:szCs w:val="28"/>
              </w:rPr>
              <w:t xml:space="preserve"> (publicēta “Eiropas Savienības Oficiālajā Vēstnesī” </w:t>
            </w:r>
            <w:r>
              <w:rPr>
                <w:rStyle w:val="Emphasis"/>
                <w:i w:val="0"/>
                <w:iCs/>
                <w:sz w:val="28"/>
                <w:szCs w:val="28"/>
              </w:rPr>
              <w:t>L 100, 5.4.2012</w:t>
            </w:r>
            <w:r>
              <w:rPr>
                <w:noProof/>
                <w:sz w:val="28"/>
                <w:szCs w:val="28"/>
              </w:rPr>
              <w:t>).</w:t>
            </w:r>
          </w:p>
        </w:tc>
      </w:tr>
      <w:tr w:rsidR="008A36E1" w:rsidTr="00096F27">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2.</w:t>
            </w:r>
          </w:p>
        </w:tc>
        <w:tc>
          <w:tcPr>
            <w:tcW w:w="1137"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Citas starptautiskās saistības</w:t>
            </w:r>
          </w:p>
        </w:tc>
        <w:tc>
          <w:tcPr>
            <w:tcW w:w="3702" w:type="pct"/>
            <w:tcBorders>
              <w:top w:val="outset" w:sz="6" w:space="0" w:color="000000"/>
              <w:left w:val="outset" w:sz="6" w:space="0" w:color="000000"/>
              <w:bottom w:val="outset" w:sz="6" w:space="0" w:color="000000"/>
            </w:tcBorders>
          </w:tcPr>
          <w:p w:rsidR="008A36E1" w:rsidRDefault="008A36E1">
            <w:pPr>
              <w:jc w:val="both"/>
              <w:rPr>
                <w:color w:val="000000"/>
                <w:szCs w:val="28"/>
              </w:rPr>
            </w:pPr>
            <w:r>
              <w:rPr>
                <w:sz w:val="28"/>
                <w:szCs w:val="28"/>
              </w:rPr>
              <w:t>Nav</w:t>
            </w:r>
          </w:p>
        </w:tc>
      </w:tr>
      <w:tr w:rsidR="008A36E1" w:rsidTr="00096F27">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3.</w:t>
            </w:r>
          </w:p>
        </w:tc>
        <w:tc>
          <w:tcPr>
            <w:tcW w:w="1137"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Cita informācija</w:t>
            </w:r>
          </w:p>
        </w:tc>
        <w:tc>
          <w:tcPr>
            <w:tcW w:w="3702" w:type="pct"/>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Nav</w:t>
            </w:r>
          </w:p>
        </w:tc>
      </w:tr>
    </w:tbl>
    <w:p w:rsidR="008A36E1" w:rsidRDefault="008A36E1" w:rsidP="00E10EC7">
      <w:pPr>
        <w:rPr>
          <w:color w:val="000000"/>
          <w:sz w:val="28"/>
          <w:szCs w:val="28"/>
        </w:rPr>
      </w:pPr>
      <w:r>
        <w:rPr>
          <w:color w:val="000000"/>
          <w:sz w:val="28"/>
          <w:szCs w:val="28"/>
        </w:rPr>
        <w:t> </w:t>
      </w:r>
    </w:p>
    <w:tbl>
      <w:tblPr>
        <w:tblW w:w="9076" w:type="dxa"/>
        <w:tblCellSpacing w:w="0" w:type="dxa"/>
        <w:tblInd w:w="-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67"/>
        <w:gridCol w:w="1918"/>
        <w:gridCol w:w="1283"/>
        <w:gridCol w:w="1232"/>
        <w:gridCol w:w="2476"/>
      </w:tblGrid>
      <w:tr w:rsidR="008A36E1" w:rsidTr="00E10EC7">
        <w:trPr>
          <w:trHeight w:val="523"/>
          <w:tblCellSpacing w:w="0" w:type="dxa"/>
        </w:trPr>
        <w:tc>
          <w:tcPr>
            <w:tcW w:w="9076" w:type="dxa"/>
            <w:gridSpan w:val="5"/>
            <w:tcBorders>
              <w:top w:val="single" w:sz="4" w:space="0" w:color="auto"/>
              <w:left w:val="single" w:sz="4" w:space="0" w:color="auto"/>
              <w:bottom w:val="single" w:sz="4" w:space="0" w:color="auto"/>
              <w:right w:val="single" w:sz="4" w:space="0" w:color="auto"/>
            </w:tcBorders>
            <w:vAlign w:val="center"/>
          </w:tcPr>
          <w:p w:rsidR="008A36E1" w:rsidRDefault="008A36E1">
            <w:pPr>
              <w:pStyle w:val="naisnod"/>
              <w:spacing w:before="0" w:after="0"/>
              <w:rPr>
                <w:szCs w:val="28"/>
              </w:rPr>
            </w:pPr>
            <w:r>
              <w:rPr>
                <w:sz w:val="28"/>
                <w:szCs w:val="28"/>
              </w:rPr>
              <w:t> 1.tabula</w:t>
            </w:r>
          </w:p>
          <w:p w:rsidR="008A36E1" w:rsidRDefault="008A36E1">
            <w:pPr>
              <w:pStyle w:val="naisnod"/>
              <w:spacing w:before="0" w:after="0"/>
              <w:rPr>
                <w:szCs w:val="28"/>
              </w:rPr>
            </w:pPr>
            <w:r>
              <w:rPr>
                <w:sz w:val="28"/>
                <w:szCs w:val="28"/>
              </w:rPr>
              <w:t>Tiesību akta projekta atbilstība ES tiesību aktiem</w:t>
            </w:r>
          </w:p>
        </w:tc>
      </w:tr>
      <w:tr w:rsidR="008A36E1" w:rsidTr="006639F0">
        <w:trPr>
          <w:trHeight w:val="1252"/>
          <w:tblCellSpacing w:w="0" w:type="dxa"/>
        </w:trPr>
        <w:tc>
          <w:tcPr>
            <w:tcW w:w="2167" w:type="dxa"/>
            <w:tcBorders>
              <w:top w:val="single" w:sz="4" w:space="0" w:color="auto"/>
              <w:left w:val="single" w:sz="4" w:space="0" w:color="auto"/>
              <w:bottom w:val="single" w:sz="4" w:space="0" w:color="auto"/>
              <w:right w:val="single" w:sz="4" w:space="0" w:color="auto"/>
            </w:tcBorders>
            <w:vAlign w:val="center"/>
          </w:tcPr>
          <w:p w:rsidR="008A36E1" w:rsidRDefault="008A36E1">
            <w:pPr>
              <w:pStyle w:val="naisc"/>
              <w:rPr>
                <w:sz w:val="28"/>
                <w:szCs w:val="28"/>
                <w:lang w:val="lv-LV"/>
              </w:rPr>
            </w:pPr>
            <w:r>
              <w:rPr>
                <w:sz w:val="28"/>
                <w:szCs w:val="28"/>
                <w:lang w:val="lv-LV"/>
              </w:rPr>
              <w:t>Attiecīgā ES tiesību akta datums, numurs un nosaukums</w:t>
            </w:r>
          </w:p>
        </w:tc>
        <w:tc>
          <w:tcPr>
            <w:tcW w:w="6909" w:type="dxa"/>
            <w:gridSpan w:val="4"/>
            <w:tcBorders>
              <w:top w:val="single" w:sz="4" w:space="0" w:color="auto"/>
              <w:left w:val="single" w:sz="4" w:space="0" w:color="auto"/>
              <w:bottom w:val="single" w:sz="4" w:space="0" w:color="auto"/>
              <w:right w:val="single" w:sz="4" w:space="0" w:color="auto"/>
            </w:tcBorders>
            <w:vAlign w:val="center"/>
          </w:tcPr>
          <w:p w:rsidR="008A36E1" w:rsidRDefault="008A36E1">
            <w:pPr>
              <w:jc w:val="both"/>
              <w:rPr>
                <w:szCs w:val="28"/>
              </w:rPr>
            </w:pPr>
            <w:r>
              <w:rPr>
                <w:sz w:val="28"/>
                <w:szCs w:val="28"/>
              </w:rPr>
              <w:t xml:space="preserve">Komisijas 2011. gada 3.novembra Regula (ES) Nr. 1178/2011, ar ko nosaka tehniskās prasības un administratīvās procedūras attiecībā uz civilās aviācijas gaisa kuģa apkalpi atbilstīgi Eiropas Parlamenta un Padomes Regulai (EK) Nr. 216/2008 </w:t>
            </w:r>
            <w:r>
              <w:rPr>
                <w:noProof/>
                <w:sz w:val="28"/>
                <w:szCs w:val="28"/>
              </w:rPr>
              <w:t xml:space="preserve">(publicēta “Eiropas Savienības Oficiālajā Vēstnesī” </w:t>
            </w:r>
            <w:r>
              <w:rPr>
                <w:rStyle w:val="Emphasis"/>
                <w:i w:val="0"/>
                <w:iCs/>
                <w:sz w:val="28"/>
                <w:szCs w:val="28"/>
              </w:rPr>
              <w:t>L 311, 25.11.2011</w:t>
            </w:r>
            <w:r>
              <w:rPr>
                <w:noProof/>
                <w:sz w:val="28"/>
                <w:szCs w:val="28"/>
              </w:rPr>
              <w:t>)</w:t>
            </w:r>
            <w:r>
              <w:rPr>
                <w:sz w:val="28"/>
                <w:szCs w:val="28"/>
              </w:rPr>
              <w:t xml:space="preserve">, </w:t>
            </w:r>
          </w:p>
          <w:p w:rsidR="008A36E1" w:rsidRPr="00DD69C3" w:rsidRDefault="008A36E1">
            <w:pPr>
              <w:jc w:val="both"/>
              <w:rPr>
                <w:noProof/>
                <w:sz w:val="28"/>
                <w:szCs w:val="28"/>
              </w:rPr>
            </w:pPr>
            <w:r>
              <w:rPr>
                <w:sz w:val="28"/>
                <w:szCs w:val="28"/>
              </w:rPr>
              <w:t>kura grozīta ar Komisijas 2012.gada 30.marta Regulu (ES) Nr. 290/2012, ar kuru groza Regulu (ES) Nr. 1178/2011, ar ko nosaka tehniskās prasības un administratīvās procedūras attiecībā uz civilās aviācijas gaisa kuģu apkalpi atbilstīgi Eiropas Parlamenta un Padomes Regulai (EK) Nr. 216/2008</w:t>
            </w:r>
            <w:r>
              <w:rPr>
                <w:noProof/>
                <w:sz w:val="28"/>
                <w:szCs w:val="28"/>
              </w:rPr>
              <w:t xml:space="preserve"> (publicēta “Eiropas Savienības Oficiālajā Vēstnesī” </w:t>
            </w:r>
            <w:r>
              <w:rPr>
                <w:rStyle w:val="Emphasis"/>
                <w:i w:val="0"/>
                <w:iCs/>
                <w:sz w:val="28"/>
                <w:szCs w:val="28"/>
              </w:rPr>
              <w:t>L 100, 5.4.2012</w:t>
            </w:r>
            <w:r>
              <w:rPr>
                <w:noProof/>
                <w:sz w:val="28"/>
                <w:szCs w:val="28"/>
              </w:rPr>
              <w:t xml:space="preserve">). Projekta izstrādē izmantota regulas nr.1178/2011 konsolidētā versija. </w:t>
            </w:r>
          </w:p>
        </w:tc>
      </w:tr>
      <w:tr w:rsidR="008A36E1" w:rsidTr="00E10EC7">
        <w:trPr>
          <w:trHeight w:val="163"/>
          <w:tblCellSpacing w:w="0" w:type="dxa"/>
        </w:trPr>
        <w:tc>
          <w:tcPr>
            <w:tcW w:w="9076" w:type="dxa"/>
            <w:gridSpan w:val="5"/>
            <w:tcBorders>
              <w:top w:val="single" w:sz="4" w:space="0" w:color="auto"/>
              <w:left w:val="single" w:sz="4" w:space="0" w:color="auto"/>
              <w:bottom w:val="single" w:sz="4" w:space="0" w:color="auto"/>
              <w:right w:val="single" w:sz="4" w:space="0" w:color="auto"/>
            </w:tcBorders>
            <w:vAlign w:val="center"/>
          </w:tcPr>
          <w:p w:rsidR="008A36E1" w:rsidRDefault="008A36E1">
            <w:pPr>
              <w:pStyle w:val="naiskr"/>
              <w:spacing w:line="163" w:lineRule="atLeast"/>
              <w:jc w:val="center"/>
            </w:pPr>
          </w:p>
        </w:tc>
      </w:tr>
      <w:tr w:rsidR="008A36E1" w:rsidTr="006639F0">
        <w:trPr>
          <w:trHeight w:val="165"/>
          <w:tblCellSpacing w:w="0" w:type="dxa"/>
        </w:trPr>
        <w:tc>
          <w:tcPr>
            <w:tcW w:w="2167" w:type="dxa"/>
            <w:tcBorders>
              <w:top w:val="single" w:sz="4" w:space="0" w:color="auto"/>
              <w:left w:val="single" w:sz="4" w:space="0" w:color="auto"/>
              <w:bottom w:val="single" w:sz="4" w:space="0" w:color="auto"/>
              <w:right w:val="single" w:sz="4" w:space="0" w:color="auto"/>
            </w:tcBorders>
            <w:vAlign w:val="center"/>
          </w:tcPr>
          <w:p w:rsidR="008A36E1" w:rsidRDefault="008A36E1">
            <w:pPr>
              <w:pStyle w:val="naisc"/>
              <w:spacing w:line="165" w:lineRule="atLeast"/>
              <w:rPr>
                <w:sz w:val="28"/>
                <w:szCs w:val="28"/>
                <w:lang w:val="lv-LV"/>
              </w:rPr>
            </w:pPr>
            <w:r>
              <w:rPr>
                <w:sz w:val="28"/>
                <w:szCs w:val="28"/>
                <w:lang w:val="lv-LV"/>
              </w:rPr>
              <w:t>A</w:t>
            </w:r>
          </w:p>
        </w:tc>
        <w:tc>
          <w:tcPr>
            <w:tcW w:w="1918" w:type="dxa"/>
            <w:tcBorders>
              <w:top w:val="single" w:sz="4" w:space="0" w:color="auto"/>
              <w:left w:val="single" w:sz="4" w:space="0" w:color="auto"/>
              <w:bottom w:val="single" w:sz="4" w:space="0" w:color="auto"/>
              <w:right w:val="single" w:sz="4" w:space="0" w:color="auto"/>
            </w:tcBorders>
            <w:vAlign w:val="center"/>
          </w:tcPr>
          <w:p w:rsidR="008A36E1" w:rsidRDefault="008A36E1">
            <w:pPr>
              <w:pStyle w:val="naisc"/>
              <w:spacing w:line="165" w:lineRule="atLeast"/>
              <w:rPr>
                <w:sz w:val="28"/>
                <w:szCs w:val="28"/>
                <w:lang w:val="lv-LV"/>
              </w:rPr>
            </w:pPr>
            <w:r>
              <w:rPr>
                <w:sz w:val="28"/>
                <w:szCs w:val="28"/>
                <w:lang w:val="lv-LV"/>
              </w:rPr>
              <w:t>B</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8A36E1" w:rsidRDefault="008A36E1">
            <w:pPr>
              <w:pStyle w:val="naisc"/>
              <w:spacing w:line="165" w:lineRule="atLeast"/>
              <w:rPr>
                <w:sz w:val="28"/>
                <w:szCs w:val="28"/>
                <w:lang w:val="lv-LV"/>
              </w:rPr>
            </w:pPr>
            <w:r>
              <w:rPr>
                <w:sz w:val="28"/>
                <w:szCs w:val="28"/>
                <w:lang w:val="lv-LV"/>
              </w:rPr>
              <w:t>C</w:t>
            </w:r>
          </w:p>
        </w:tc>
        <w:tc>
          <w:tcPr>
            <w:tcW w:w="2476" w:type="dxa"/>
            <w:tcBorders>
              <w:top w:val="single" w:sz="4" w:space="0" w:color="auto"/>
              <w:left w:val="single" w:sz="4" w:space="0" w:color="auto"/>
              <w:bottom w:val="single" w:sz="4" w:space="0" w:color="auto"/>
              <w:right w:val="single" w:sz="4" w:space="0" w:color="auto"/>
            </w:tcBorders>
            <w:vAlign w:val="center"/>
          </w:tcPr>
          <w:p w:rsidR="008A36E1" w:rsidRDefault="008A36E1">
            <w:pPr>
              <w:pStyle w:val="naisc"/>
              <w:spacing w:line="165" w:lineRule="atLeast"/>
              <w:rPr>
                <w:sz w:val="28"/>
                <w:szCs w:val="28"/>
                <w:lang w:val="lv-LV"/>
              </w:rPr>
            </w:pPr>
            <w:r>
              <w:rPr>
                <w:sz w:val="28"/>
                <w:szCs w:val="28"/>
                <w:lang w:val="lv-LV"/>
              </w:rPr>
              <w:t>D</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pStyle w:val="naisf"/>
              <w:spacing w:before="0" w:after="0"/>
              <w:rPr>
                <w:szCs w:val="28"/>
              </w:rPr>
            </w:pPr>
            <w:r>
              <w:rPr>
                <w:sz w:val="28"/>
                <w:szCs w:val="28"/>
              </w:rPr>
              <w:t>Attiecīgā ES tiesību akta panta numurs (uzskaitot katru tiesību akta</w:t>
            </w:r>
            <w:r>
              <w:rPr>
                <w:sz w:val="28"/>
                <w:szCs w:val="28"/>
              </w:rPr>
              <w:br/>
              <w:t>vienību - pantu, daļu, punktu, apakšpunktu).</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pStyle w:val="naisf"/>
              <w:spacing w:before="0" w:after="0"/>
              <w:rPr>
                <w:szCs w:val="28"/>
              </w:rPr>
            </w:pPr>
            <w:r>
              <w:rPr>
                <w:sz w:val="28"/>
                <w:szCs w:val="28"/>
              </w:rPr>
              <w:t>Projekta vienība, kas pārņem vai ievieš katru šīs tabulas A ailē minēto ES tiesību akta vienību, vai tiesību akts, kur attiecīgā ES tiesību akta vienība pārņemta vai ieviesta.</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pStyle w:val="NormalWeb"/>
              <w:rPr>
                <w:rFonts w:ascii="Times New Roman" w:hAnsi="Times New Roman"/>
                <w:sz w:val="28"/>
                <w:szCs w:val="28"/>
              </w:rPr>
            </w:pPr>
            <w:r>
              <w:rPr>
                <w:rFonts w:ascii="Times New Roman" w:hAnsi="Times New Roman"/>
                <w:sz w:val="28"/>
                <w:szCs w:val="28"/>
              </w:rPr>
              <w:t>Informācija par to, vai šīs tabulas A ailē minētās ES tiesību akta vienības tiek pārņemtas vai ieviestas pilnībā vai daļēji.</w:t>
            </w:r>
          </w:p>
          <w:p w:rsidR="008A36E1" w:rsidRDefault="008A36E1">
            <w:pPr>
              <w:pStyle w:val="NormalWeb"/>
              <w:rPr>
                <w:rFonts w:ascii="Times New Roman" w:hAnsi="Times New Roman"/>
                <w:sz w:val="28"/>
                <w:szCs w:val="28"/>
              </w:rPr>
            </w:pPr>
            <w:r>
              <w:rPr>
                <w:rFonts w:ascii="Times New Roman" w:hAnsi="Times New Roman"/>
                <w:sz w:val="28"/>
                <w:szCs w:val="28"/>
              </w:rPr>
              <w:t>Ja attiecīgā ES tiesību akta vienība tiek pārņemta vai ieviesta daļēji,- sniedz attiecīgu skaidrojumu, kā arī precīzi norāda, kad un kādā veidā ES tiesību akta vienība tiks pārņemta vai ieviesta pilnībā.</w:t>
            </w:r>
          </w:p>
          <w:p w:rsidR="008A36E1" w:rsidRDefault="008A36E1">
            <w:pPr>
              <w:pStyle w:val="NormalWeb"/>
              <w:rPr>
                <w:rFonts w:ascii="Times New Roman" w:hAnsi="Times New Roman"/>
                <w:sz w:val="28"/>
                <w:szCs w:val="28"/>
              </w:rPr>
            </w:pPr>
            <w:r>
              <w:rPr>
                <w:rFonts w:ascii="Times New Roman" w:hAnsi="Times New Roman"/>
                <w:sz w:val="28"/>
                <w:szCs w:val="28"/>
              </w:rPr>
              <w:t>Norāda institūciju, kas ir atbildīga par šo saistību izpildi pilnībā.</w:t>
            </w:r>
          </w:p>
          <w:p w:rsidR="008A36E1" w:rsidRDefault="008A36E1">
            <w:pPr>
              <w:pStyle w:val="naisf"/>
              <w:spacing w:before="0" w:after="0"/>
              <w:rPr>
                <w:szCs w:val="28"/>
              </w:rPr>
            </w:pP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pStyle w:val="NormalWeb"/>
              <w:rPr>
                <w:rFonts w:ascii="Times New Roman" w:hAnsi="Times New Roman"/>
                <w:sz w:val="28"/>
                <w:szCs w:val="28"/>
              </w:rPr>
            </w:pPr>
            <w:r>
              <w:rPr>
                <w:rFonts w:ascii="Times New Roman" w:hAnsi="Times New Roman"/>
                <w:sz w:val="28"/>
                <w:szCs w:val="28"/>
              </w:rPr>
              <w:t>Informācija par to, vai šīs tabulas B ailē minētās projekta vienības paredz stingrākas prasības nekā šīs tabulas A ailē minētās ES tiesību akta vienības.</w:t>
            </w:r>
          </w:p>
          <w:p w:rsidR="008A36E1" w:rsidRDefault="008A36E1">
            <w:pPr>
              <w:pStyle w:val="NormalWeb"/>
              <w:rPr>
                <w:rFonts w:ascii="Times New Roman" w:hAnsi="Times New Roman"/>
                <w:sz w:val="28"/>
                <w:szCs w:val="28"/>
              </w:rPr>
            </w:pPr>
            <w:r>
              <w:rPr>
                <w:rFonts w:ascii="Times New Roman" w:hAnsi="Times New Roman"/>
                <w:sz w:val="28"/>
                <w:szCs w:val="28"/>
              </w:rPr>
              <w:t>Ja projekts satur stingrākas prasības nekā attiecīgais ES tiesību akts,- norāda pamatojumu un samērīgumu.</w:t>
            </w:r>
          </w:p>
          <w:p w:rsidR="008A36E1" w:rsidRDefault="008A36E1" w:rsidP="006A0219">
            <w:pPr>
              <w:pStyle w:val="NormalWeb"/>
              <w:spacing w:before="0" w:beforeAutospacing="0" w:after="0" w:afterAutospacing="0"/>
              <w:rPr>
                <w:rFonts w:ascii="Times New Roman" w:hAnsi="Times New Roman"/>
                <w:sz w:val="28"/>
                <w:szCs w:val="28"/>
              </w:rPr>
            </w:pPr>
            <w:r>
              <w:rPr>
                <w:rFonts w:ascii="Times New Roman" w:hAnsi="Times New Roman"/>
                <w:sz w:val="28"/>
                <w:szCs w:val="28"/>
              </w:rPr>
              <w:t>Norāda iespējamās alternatīvas (t.sk. alternatīvas, kas neparedz tiesiskā regulējuma izstrādi) - kādos gadījumos būtu iespējams izvairīties no stingrāku prasību noteikšanas, nekā paredzēts attiecīgajos ES tiesību aktos.</w:t>
            </w:r>
          </w:p>
          <w:p w:rsidR="008A36E1" w:rsidRDefault="008A36E1" w:rsidP="006A0219">
            <w:pPr>
              <w:pStyle w:val="NormalWeb"/>
              <w:spacing w:before="0" w:beforeAutospacing="0" w:after="0" w:afterAutospacing="0"/>
              <w:rPr>
                <w:rFonts w:ascii="Times New Roman" w:hAnsi="Times New Roman"/>
                <w:sz w:val="28"/>
                <w:szCs w:val="28"/>
              </w:rPr>
            </w:pP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Pr="0032485D" w:rsidRDefault="008A36E1">
            <w:pPr>
              <w:spacing w:before="63" w:after="63"/>
              <w:jc w:val="center"/>
              <w:rPr>
                <w:bCs/>
                <w:szCs w:val="28"/>
              </w:rPr>
            </w:pPr>
            <w:r w:rsidRPr="0032485D">
              <w:rPr>
                <w:bCs/>
                <w:sz w:val="28"/>
                <w:szCs w:val="28"/>
              </w:rPr>
              <w:t xml:space="preserve">Regulas nr.1178/2011 I pielikums  </w:t>
            </w:r>
          </w:p>
        </w:tc>
        <w:tc>
          <w:tcPr>
            <w:tcW w:w="1918" w:type="dxa"/>
            <w:tcBorders>
              <w:top w:val="single" w:sz="4" w:space="0" w:color="auto"/>
              <w:left w:val="single" w:sz="4" w:space="0" w:color="auto"/>
              <w:bottom w:val="single" w:sz="4" w:space="0" w:color="auto"/>
              <w:right w:val="single" w:sz="4" w:space="0" w:color="auto"/>
            </w:tcBorders>
          </w:tcPr>
          <w:p w:rsidR="008A36E1" w:rsidRPr="0032485D" w:rsidRDefault="008A36E1">
            <w:pPr>
              <w:spacing w:before="63" w:after="63"/>
              <w:jc w:val="center"/>
              <w:rPr>
                <w:szCs w:val="28"/>
              </w:rPr>
            </w:pPr>
            <w:r>
              <w:rPr>
                <w:sz w:val="28"/>
                <w:szCs w:val="28"/>
              </w:rPr>
              <w:t>2</w:t>
            </w:r>
            <w:r w:rsidRPr="0032485D">
              <w:rPr>
                <w:sz w:val="28"/>
                <w:szCs w:val="28"/>
              </w:rPr>
              <w:t>.punkts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Pr="00BA0643"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Pr="00BA0643"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 xml:space="preserve">Regulas nr.1178/2011 I pielikums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8.punkts</w:t>
            </w:r>
          </w:p>
          <w:p w:rsidR="008A36E1" w:rsidRDefault="008A36E1">
            <w:pPr>
              <w:spacing w:before="63" w:after="63"/>
              <w:jc w:val="center"/>
              <w:rPr>
                <w:szCs w:val="28"/>
              </w:rPr>
            </w:pPr>
            <w:r>
              <w:rPr>
                <w:sz w:val="28"/>
                <w:szCs w:val="28"/>
              </w:rPr>
              <w:t>(noteikumu Nr.51 3.2.apakšpunkts)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Regulas nr.1178/2011 11.b pants 1.punkts</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9.punkts</w:t>
            </w:r>
          </w:p>
          <w:p w:rsidR="008A36E1" w:rsidRDefault="008A36E1">
            <w:pPr>
              <w:spacing w:before="63" w:after="63"/>
              <w:jc w:val="center"/>
              <w:rPr>
                <w:szCs w:val="28"/>
              </w:rPr>
            </w:pP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 xml:space="preserve">Regulas nr.1178/2011 ARA daļas VI pielikuma I papildinājums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rsidP="006371FF">
            <w:pPr>
              <w:spacing w:before="63" w:after="63"/>
              <w:jc w:val="center"/>
              <w:rPr>
                <w:szCs w:val="28"/>
              </w:rPr>
            </w:pPr>
            <w:r>
              <w:rPr>
                <w:sz w:val="28"/>
                <w:szCs w:val="28"/>
              </w:rPr>
              <w:t>10.punkts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 w:val="28"/>
                <w:szCs w:val="28"/>
              </w:rPr>
            </w:pPr>
            <w:r>
              <w:rPr>
                <w:bCs/>
                <w:sz w:val="28"/>
                <w:szCs w:val="28"/>
              </w:rPr>
              <w:t xml:space="preserve">Regulas nr.1178/2011 I pielikuma  FCL.050 punkts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 w:val="28"/>
                <w:szCs w:val="28"/>
              </w:rPr>
            </w:pPr>
            <w:r>
              <w:rPr>
                <w:sz w:val="28"/>
                <w:szCs w:val="28"/>
              </w:rPr>
              <w:t>20.punkts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iCs/>
                <w:sz w:val="28"/>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 w:val="28"/>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 xml:space="preserve">Regulas nr.1178/2011 I pielikums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27.punkts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 xml:space="preserve">Regulas nr.1178/2011 I pielikuma J apakšiedaļa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32.punkts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 xml:space="preserve">Regulas nr.1178/2011 I pielikuma K apakšiedaļa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33.punkts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191"/>
          <w:tblCellSpacing w:w="0" w:type="dxa"/>
        </w:trPr>
        <w:tc>
          <w:tcPr>
            <w:tcW w:w="2167"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bCs/>
                <w:szCs w:val="28"/>
              </w:rPr>
            </w:pPr>
            <w:r>
              <w:rPr>
                <w:bCs/>
                <w:sz w:val="28"/>
                <w:szCs w:val="28"/>
              </w:rPr>
              <w:t xml:space="preserve">Regulas nr.1178/2011 I pielikuma FCL.025 punkts  </w:t>
            </w:r>
          </w:p>
        </w:tc>
        <w:tc>
          <w:tcPr>
            <w:tcW w:w="1918"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35.punkts</w:t>
            </w:r>
          </w:p>
        </w:tc>
        <w:tc>
          <w:tcPr>
            <w:tcW w:w="251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iCs/>
                <w:sz w:val="28"/>
                <w:szCs w:val="28"/>
              </w:rPr>
              <w:t>Ieviests pilnībā</w:t>
            </w:r>
          </w:p>
        </w:tc>
        <w:tc>
          <w:tcPr>
            <w:tcW w:w="2476" w:type="dxa"/>
            <w:tcBorders>
              <w:top w:val="single" w:sz="4" w:space="0" w:color="auto"/>
              <w:left w:val="single" w:sz="4" w:space="0" w:color="auto"/>
              <w:bottom w:val="single" w:sz="4" w:space="0" w:color="auto"/>
              <w:right w:val="single" w:sz="4" w:space="0" w:color="auto"/>
            </w:tcBorders>
          </w:tcPr>
          <w:p w:rsidR="008A36E1" w:rsidRDefault="008A36E1">
            <w:pPr>
              <w:spacing w:before="63" w:after="63"/>
              <w:jc w:val="center"/>
              <w:rPr>
                <w:szCs w:val="28"/>
              </w:rPr>
            </w:pPr>
            <w:r>
              <w:rPr>
                <w:sz w:val="28"/>
                <w:szCs w:val="28"/>
              </w:rPr>
              <w:t>Projekts stingrākas prasības neparedz</w:t>
            </w:r>
          </w:p>
        </w:tc>
      </w:tr>
      <w:tr w:rsidR="008A36E1" w:rsidTr="006639F0">
        <w:trPr>
          <w:trHeight w:val="281"/>
          <w:tblCellSpacing w:w="0" w:type="dxa"/>
        </w:trPr>
        <w:tc>
          <w:tcPr>
            <w:tcW w:w="5368" w:type="dxa"/>
            <w:gridSpan w:val="3"/>
            <w:tcBorders>
              <w:top w:val="single" w:sz="4" w:space="0" w:color="auto"/>
              <w:left w:val="single" w:sz="4" w:space="0" w:color="auto"/>
              <w:bottom w:val="single" w:sz="4" w:space="0" w:color="auto"/>
              <w:right w:val="single" w:sz="4" w:space="0" w:color="auto"/>
            </w:tcBorders>
            <w:vAlign w:val="center"/>
          </w:tcPr>
          <w:p w:rsidR="008A36E1" w:rsidRDefault="008A36E1">
            <w:pPr>
              <w:pStyle w:val="naiskr"/>
              <w:rPr>
                <w:szCs w:val="28"/>
              </w:rPr>
            </w:pPr>
            <w:r>
              <w:rPr>
                <w:sz w:val="28"/>
                <w:szCs w:val="28"/>
              </w:rPr>
              <w:t> Kā ir izmantota ES tiesību aktā paredzētā rīcības brīvība dalībvalstij pārņemt vai ieviest noteiktas ES tiesību akta normas.</w:t>
            </w:r>
          </w:p>
          <w:p w:rsidR="008A36E1" w:rsidRDefault="008A36E1">
            <w:pPr>
              <w:pStyle w:val="naiskr"/>
              <w:rPr>
                <w:szCs w:val="28"/>
              </w:rPr>
            </w:pPr>
          </w:p>
        </w:tc>
        <w:tc>
          <w:tcPr>
            <w:tcW w:w="3708" w:type="dxa"/>
            <w:gridSpan w:val="2"/>
            <w:tcBorders>
              <w:top w:val="single" w:sz="4" w:space="0" w:color="auto"/>
              <w:left w:val="single" w:sz="4" w:space="0" w:color="auto"/>
              <w:bottom w:val="single" w:sz="4" w:space="0" w:color="auto"/>
              <w:right w:val="single" w:sz="4" w:space="0" w:color="auto"/>
            </w:tcBorders>
          </w:tcPr>
          <w:p w:rsidR="008A36E1" w:rsidRDefault="008A36E1">
            <w:pPr>
              <w:pStyle w:val="naiskr"/>
              <w:ind w:firstLine="209"/>
              <w:jc w:val="both"/>
              <w:rPr>
                <w:iCs/>
                <w:sz w:val="28"/>
                <w:szCs w:val="28"/>
              </w:rPr>
            </w:pPr>
            <w:r>
              <w:rPr>
                <w:iCs/>
                <w:sz w:val="28"/>
                <w:szCs w:val="28"/>
              </w:rPr>
              <w:t>Regulas nr.1178/2011 4.panta 7.punktā paredzētā rīcības brīvība dalībvalstij netiek izmantota, jo jau līdz šim  Latvijas Republikā ir notikusi studentpilotu uzraudzība saskaņā ar noteikumu Nr.51 prasībām.</w:t>
            </w:r>
          </w:p>
          <w:p w:rsidR="008A36E1" w:rsidRDefault="008A36E1">
            <w:pPr>
              <w:pStyle w:val="naiskr"/>
              <w:ind w:firstLine="209"/>
              <w:jc w:val="both"/>
              <w:rPr>
                <w:iCs/>
                <w:sz w:val="28"/>
                <w:szCs w:val="28"/>
              </w:rPr>
            </w:pPr>
            <w:r>
              <w:rPr>
                <w:iCs/>
                <w:sz w:val="28"/>
                <w:szCs w:val="28"/>
              </w:rPr>
              <w:t>Regulas nr.1178/2011  12.panta 2., 3., 4., 5. un 6.punktā paredzētā rīcības brīvība dalībvalstij izmantota, nosakot termiņus regulas nr.1178/2011  12.panta 2., 3., 4., 5. un 6.punktā noteikto prasību piemērošanai Latvijas Republikā, nosūtot attiecīgu informāciju Eiropas Komisijai un Eiropas aviācijas drošības aģentūrai.</w:t>
            </w:r>
          </w:p>
          <w:p w:rsidR="008A36E1" w:rsidRDefault="008A36E1">
            <w:pPr>
              <w:pStyle w:val="naiskr"/>
              <w:ind w:firstLine="209"/>
              <w:jc w:val="both"/>
              <w:rPr>
                <w:iCs/>
                <w:szCs w:val="28"/>
              </w:rPr>
            </w:pPr>
          </w:p>
        </w:tc>
      </w:tr>
      <w:tr w:rsidR="008A36E1" w:rsidTr="006639F0">
        <w:trPr>
          <w:trHeight w:val="913"/>
          <w:tblCellSpacing w:w="0" w:type="dxa"/>
        </w:trPr>
        <w:tc>
          <w:tcPr>
            <w:tcW w:w="5368" w:type="dxa"/>
            <w:gridSpan w:val="3"/>
            <w:tcBorders>
              <w:top w:val="single" w:sz="4" w:space="0" w:color="auto"/>
              <w:left w:val="single" w:sz="4" w:space="0" w:color="auto"/>
              <w:bottom w:val="single" w:sz="4" w:space="0" w:color="auto"/>
              <w:right w:val="single" w:sz="4" w:space="0" w:color="auto"/>
            </w:tcBorders>
            <w:vAlign w:val="center"/>
          </w:tcPr>
          <w:p w:rsidR="008A36E1" w:rsidRDefault="008A36E1">
            <w:pPr>
              <w:pStyle w:val="naiskr"/>
              <w:rPr>
                <w:szCs w:val="28"/>
              </w:rPr>
            </w:pPr>
            <w:r>
              <w:rPr>
                <w:sz w:val="28"/>
                <w:szCs w:val="28"/>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8" w:type="dxa"/>
            <w:gridSpan w:val="2"/>
            <w:tcBorders>
              <w:top w:val="single" w:sz="4" w:space="0" w:color="auto"/>
              <w:left w:val="single" w:sz="4" w:space="0" w:color="auto"/>
              <w:bottom w:val="single" w:sz="4" w:space="0" w:color="auto"/>
              <w:right w:val="single" w:sz="4" w:space="0" w:color="auto"/>
            </w:tcBorders>
          </w:tcPr>
          <w:p w:rsidR="008A36E1" w:rsidRDefault="008A36E1">
            <w:pPr>
              <w:pStyle w:val="naiskr"/>
              <w:ind w:firstLine="209"/>
              <w:jc w:val="both"/>
              <w:rPr>
                <w:iCs/>
                <w:szCs w:val="28"/>
              </w:rPr>
            </w:pPr>
            <w:r>
              <w:rPr>
                <w:iCs/>
                <w:sz w:val="28"/>
                <w:szCs w:val="28"/>
              </w:rPr>
              <w:t>Projekts šo jomu neskar.</w:t>
            </w:r>
          </w:p>
        </w:tc>
      </w:tr>
      <w:tr w:rsidR="008A36E1" w:rsidTr="006639F0">
        <w:trPr>
          <w:trHeight w:val="120"/>
          <w:tblCellSpacing w:w="0" w:type="dxa"/>
        </w:trPr>
        <w:tc>
          <w:tcPr>
            <w:tcW w:w="5368" w:type="dxa"/>
            <w:gridSpan w:val="3"/>
            <w:tcBorders>
              <w:top w:val="single" w:sz="4" w:space="0" w:color="auto"/>
              <w:left w:val="single" w:sz="4" w:space="0" w:color="auto"/>
              <w:bottom w:val="single" w:sz="4" w:space="0" w:color="auto"/>
              <w:right w:val="single" w:sz="4" w:space="0" w:color="auto"/>
            </w:tcBorders>
          </w:tcPr>
          <w:p w:rsidR="008A36E1" w:rsidRDefault="008A36E1">
            <w:pPr>
              <w:pStyle w:val="naiskr"/>
              <w:rPr>
                <w:szCs w:val="28"/>
              </w:rPr>
            </w:pPr>
            <w:r>
              <w:rPr>
                <w:sz w:val="28"/>
                <w:szCs w:val="28"/>
              </w:rPr>
              <w:t> Cita informācija</w:t>
            </w:r>
          </w:p>
        </w:tc>
        <w:tc>
          <w:tcPr>
            <w:tcW w:w="3708" w:type="dxa"/>
            <w:gridSpan w:val="2"/>
            <w:tcBorders>
              <w:top w:val="single" w:sz="4" w:space="0" w:color="auto"/>
              <w:left w:val="single" w:sz="4" w:space="0" w:color="auto"/>
              <w:bottom w:val="single" w:sz="4" w:space="0" w:color="auto"/>
              <w:right w:val="single" w:sz="4" w:space="0" w:color="auto"/>
            </w:tcBorders>
          </w:tcPr>
          <w:p w:rsidR="008A36E1" w:rsidRDefault="008A36E1">
            <w:pPr>
              <w:pStyle w:val="naiskr"/>
              <w:ind w:firstLine="209"/>
              <w:rPr>
                <w:iCs/>
                <w:szCs w:val="28"/>
              </w:rPr>
            </w:pPr>
            <w:r>
              <w:rPr>
                <w:iCs/>
                <w:sz w:val="28"/>
                <w:szCs w:val="28"/>
              </w:rPr>
              <w:t>Nav</w:t>
            </w:r>
          </w:p>
        </w:tc>
      </w:tr>
    </w:tbl>
    <w:p w:rsidR="008A36E1" w:rsidRDefault="008A36E1" w:rsidP="00E10EC7">
      <w:pPr>
        <w:rPr>
          <w:color w:val="000000"/>
          <w:sz w:val="28"/>
          <w:szCs w:val="28"/>
        </w:rPr>
      </w:pPr>
      <w:r>
        <w:rPr>
          <w:color w:val="000000"/>
          <w:sz w:val="28"/>
          <w:szCs w:val="28"/>
        </w:rPr>
        <w:t> </w:t>
      </w:r>
    </w:p>
    <w:tbl>
      <w:tblPr>
        <w:tblW w:w="90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55"/>
        <w:gridCol w:w="2101"/>
        <w:gridCol w:w="4554"/>
      </w:tblGrid>
      <w:tr w:rsidR="008A36E1" w:rsidTr="006A0219">
        <w:trPr>
          <w:trHeight w:val="792"/>
          <w:tblCellSpacing w:w="0" w:type="dxa"/>
        </w:trPr>
        <w:tc>
          <w:tcPr>
            <w:tcW w:w="9010" w:type="dxa"/>
            <w:gridSpan w:val="3"/>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jc w:val="center"/>
              <w:rPr>
                <w:b/>
                <w:szCs w:val="28"/>
              </w:rPr>
            </w:pPr>
            <w:r>
              <w:rPr>
                <w:b/>
                <w:sz w:val="28"/>
                <w:szCs w:val="28"/>
              </w:rPr>
              <w:t>2.tabula</w:t>
            </w:r>
          </w:p>
          <w:p w:rsidR="008A36E1" w:rsidRDefault="008A36E1">
            <w:pPr>
              <w:spacing w:before="100" w:beforeAutospacing="1" w:after="100" w:afterAutospacing="1"/>
              <w:jc w:val="center"/>
              <w:rPr>
                <w:b/>
                <w:szCs w:val="28"/>
              </w:rPr>
            </w:pPr>
            <w:r>
              <w:rPr>
                <w:b/>
                <w:sz w:val="28"/>
                <w:szCs w:val="28"/>
              </w:rPr>
              <w:t>Ar tiesību akta projektu uzņemtās saistības, kas izriet no starptautiskajiem tiesību aktiem vai starptautiskas institūcijas vai organizācijas dokumentiem</w:t>
            </w:r>
          </w:p>
          <w:p w:rsidR="008A36E1" w:rsidRDefault="008A36E1">
            <w:pPr>
              <w:spacing w:before="100" w:beforeAutospacing="1" w:after="100" w:afterAutospacing="1"/>
              <w:jc w:val="center"/>
            </w:pPr>
            <w:r>
              <w:rPr>
                <w:b/>
                <w:sz w:val="28"/>
                <w:szCs w:val="28"/>
              </w:rPr>
              <w:t>Pasākumi šo saistību izpildei</w:t>
            </w:r>
          </w:p>
        </w:tc>
      </w:tr>
      <w:tr w:rsidR="008A36E1" w:rsidTr="006A0219">
        <w:trPr>
          <w:trHeight w:val="518"/>
          <w:tblCellSpacing w:w="0" w:type="dxa"/>
        </w:trPr>
        <w:tc>
          <w:tcPr>
            <w:tcW w:w="2355"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rPr>
                <w:szCs w:val="28"/>
              </w:rPr>
            </w:pPr>
            <w:r>
              <w:rPr>
                <w:sz w:val="28"/>
                <w:szCs w:val="28"/>
              </w:rPr>
              <w:t> Attiecīgā starptautiskā tiesību akta vai starptautiskas institūcijas vai organizācijas dokumenta (turpmāk – starptautiskais dokuments) datums, numurs un nosaukums</w:t>
            </w:r>
          </w:p>
        </w:tc>
        <w:tc>
          <w:tcPr>
            <w:tcW w:w="6655" w:type="dxa"/>
            <w:gridSpan w:val="2"/>
            <w:tcBorders>
              <w:top w:val="single" w:sz="4" w:space="0" w:color="auto"/>
              <w:left w:val="single" w:sz="4" w:space="0" w:color="auto"/>
              <w:bottom w:val="single" w:sz="4" w:space="0" w:color="auto"/>
              <w:right w:val="single" w:sz="4" w:space="0" w:color="auto"/>
            </w:tcBorders>
          </w:tcPr>
          <w:p w:rsidR="008A36E1" w:rsidRPr="00E326A2" w:rsidRDefault="008A36E1">
            <w:pPr>
              <w:spacing w:before="100" w:beforeAutospacing="1" w:after="100" w:afterAutospacing="1"/>
              <w:rPr>
                <w:szCs w:val="28"/>
              </w:rPr>
            </w:pPr>
            <w:r>
              <w:rPr>
                <w:sz w:val="28"/>
                <w:szCs w:val="28"/>
              </w:rPr>
              <w:t xml:space="preserve">1) „Attiecīgie līdzekļi atbilstības panākšanai un vadlīnijas. FCL daļa.”, Eiropas aviācijas drošības aģentūras </w:t>
            </w:r>
            <w:r w:rsidRPr="00E326A2">
              <w:rPr>
                <w:sz w:val="28"/>
                <w:szCs w:val="28"/>
              </w:rPr>
              <w:t>izpilddirektora lēmums Nr.2011/016/R, 2011.gada 15.decembris.</w:t>
            </w:r>
          </w:p>
          <w:p w:rsidR="008A36E1" w:rsidRPr="00E326A2" w:rsidRDefault="008A36E1">
            <w:pPr>
              <w:spacing w:before="100" w:beforeAutospacing="1" w:after="100" w:afterAutospacing="1"/>
              <w:rPr>
                <w:szCs w:val="28"/>
              </w:rPr>
            </w:pPr>
            <w:r w:rsidRPr="00E326A2">
              <w:rPr>
                <w:sz w:val="28"/>
                <w:szCs w:val="28"/>
              </w:rPr>
              <w:t>2) „Attiecīgie līdzekļi atbilstības panākšanai un vadlīnijas. ARA daļa.”, Eiropas aviācijas drošības aģentūras izpilddirektora lēmums Nr.2012/006/R, 2012.gada 19.aprīlis.</w:t>
            </w:r>
          </w:p>
          <w:p w:rsidR="008A36E1" w:rsidRDefault="008A36E1">
            <w:pPr>
              <w:spacing w:before="100" w:beforeAutospacing="1" w:after="100" w:afterAutospacing="1"/>
              <w:rPr>
                <w:szCs w:val="28"/>
              </w:rPr>
            </w:pPr>
            <w:r>
              <w:rPr>
                <w:rFonts w:ascii="Verdana" w:hAnsi="Verdana" w:cs="Verdana"/>
                <w:color w:val="000000"/>
              </w:rPr>
              <w:t xml:space="preserve"> </w:t>
            </w:r>
          </w:p>
        </w:tc>
      </w:tr>
      <w:tr w:rsidR="008A36E1" w:rsidTr="006A0219">
        <w:trPr>
          <w:trHeight w:val="163"/>
          <w:tblCellSpacing w:w="0" w:type="dxa"/>
        </w:trPr>
        <w:tc>
          <w:tcPr>
            <w:tcW w:w="9010" w:type="dxa"/>
            <w:gridSpan w:val="3"/>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line="163" w:lineRule="atLeast"/>
              <w:rPr>
                <w:szCs w:val="28"/>
              </w:rPr>
            </w:pPr>
            <w:r>
              <w:rPr>
                <w:sz w:val="28"/>
                <w:szCs w:val="28"/>
              </w:rPr>
              <w:t>  </w:t>
            </w:r>
          </w:p>
        </w:tc>
      </w:tr>
      <w:tr w:rsidR="008A36E1" w:rsidTr="006A0219">
        <w:trPr>
          <w:trHeight w:val="341"/>
          <w:tblCellSpacing w:w="0" w:type="dxa"/>
        </w:trPr>
        <w:tc>
          <w:tcPr>
            <w:tcW w:w="2355"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rPr>
                <w:szCs w:val="28"/>
              </w:rPr>
            </w:pPr>
            <w:r>
              <w:rPr>
                <w:sz w:val="28"/>
                <w:szCs w:val="28"/>
              </w:rPr>
              <w:t> A</w:t>
            </w:r>
          </w:p>
        </w:tc>
        <w:tc>
          <w:tcPr>
            <w:tcW w:w="2101"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rPr>
                <w:szCs w:val="28"/>
              </w:rPr>
            </w:pPr>
            <w:r>
              <w:rPr>
                <w:sz w:val="28"/>
                <w:szCs w:val="28"/>
              </w:rPr>
              <w:t> B</w:t>
            </w:r>
          </w:p>
        </w:tc>
        <w:tc>
          <w:tcPr>
            <w:tcW w:w="4554"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rPr>
                <w:szCs w:val="28"/>
              </w:rPr>
            </w:pPr>
            <w:r>
              <w:rPr>
                <w:sz w:val="28"/>
                <w:szCs w:val="28"/>
              </w:rPr>
              <w:t> C</w:t>
            </w:r>
          </w:p>
        </w:tc>
      </w:tr>
      <w:tr w:rsidR="008A36E1" w:rsidTr="006A0219">
        <w:trPr>
          <w:trHeight w:val="341"/>
          <w:tblCellSpacing w:w="0" w:type="dxa"/>
        </w:trPr>
        <w:tc>
          <w:tcPr>
            <w:tcW w:w="2355" w:type="dxa"/>
            <w:tcBorders>
              <w:top w:val="single" w:sz="4" w:space="0" w:color="auto"/>
              <w:left w:val="single" w:sz="4" w:space="0" w:color="auto"/>
              <w:bottom w:val="single" w:sz="4" w:space="0" w:color="auto"/>
              <w:right w:val="single" w:sz="4" w:space="0" w:color="auto"/>
            </w:tcBorders>
            <w:vAlign w:val="center"/>
          </w:tcPr>
          <w:p w:rsidR="008A36E1" w:rsidRDefault="008A36E1">
            <w:pPr>
              <w:spacing w:after="120"/>
              <w:ind w:left="57"/>
              <w:rPr>
                <w:szCs w:val="28"/>
              </w:rPr>
            </w:pPr>
            <w:r>
              <w:rPr>
                <w:sz w:val="28"/>
                <w:szCs w:val="28"/>
              </w:rPr>
              <w:t>Starptautiskās saistības (pēc būtības), kas izriet no norādītā starptautiskā dokumenta.</w:t>
            </w:r>
          </w:p>
          <w:p w:rsidR="008A36E1" w:rsidRDefault="008A36E1">
            <w:pPr>
              <w:spacing w:before="100" w:beforeAutospacing="1" w:after="100" w:afterAutospacing="1"/>
              <w:rPr>
                <w:szCs w:val="28"/>
              </w:rPr>
            </w:pPr>
            <w:r>
              <w:rPr>
                <w:sz w:val="28"/>
                <w:szCs w:val="28"/>
              </w:rPr>
              <w:t>Konkrēti veicamie pasākumi vai uzdevumi, kas nepieciešami šo starptautisko saistību izpildei</w:t>
            </w:r>
          </w:p>
        </w:tc>
        <w:tc>
          <w:tcPr>
            <w:tcW w:w="2101"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rPr>
                <w:szCs w:val="28"/>
              </w:rPr>
            </w:pPr>
            <w:r>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554" w:type="dxa"/>
            <w:tcBorders>
              <w:top w:val="single" w:sz="4" w:space="0" w:color="auto"/>
              <w:left w:val="single" w:sz="4" w:space="0" w:color="auto"/>
              <w:bottom w:val="single" w:sz="4" w:space="0" w:color="auto"/>
              <w:right w:val="single" w:sz="4" w:space="0" w:color="auto"/>
            </w:tcBorders>
            <w:vAlign w:val="center"/>
          </w:tcPr>
          <w:p w:rsidR="008A36E1" w:rsidRDefault="008A36E1">
            <w:pPr>
              <w:spacing w:after="120"/>
              <w:rPr>
                <w:szCs w:val="28"/>
              </w:rPr>
            </w:pPr>
            <w:r>
              <w:rPr>
                <w:sz w:val="28"/>
                <w:szCs w:val="28"/>
              </w:rPr>
              <w:t>Informācija par to, vai starptautiskās saistības, kas minētas šīs tabulas A ailē, tiek izpildītas pilnībā vai daļēji.</w:t>
            </w:r>
          </w:p>
          <w:p w:rsidR="008A36E1" w:rsidRDefault="008A36E1">
            <w:pPr>
              <w:spacing w:after="120"/>
              <w:ind w:left="57"/>
              <w:rPr>
                <w:szCs w:val="28"/>
              </w:rPr>
            </w:pPr>
            <w:r>
              <w:rPr>
                <w:sz w:val="28"/>
                <w:szCs w:val="28"/>
              </w:rPr>
              <w:t>Ja attiecīgās starptautiskās saistības tiek izpildītas daļēji, sniedz attiecīgu skaidrojumu, kā arī precīzi norāda, kad un kādā veidā starptautiskās saistības tiks izpildītas pilnībā.</w:t>
            </w:r>
          </w:p>
          <w:p w:rsidR="008A36E1" w:rsidRDefault="008A36E1">
            <w:pPr>
              <w:spacing w:before="100" w:beforeAutospacing="1" w:after="100" w:afterAutospacing="1"/>
              <w:rPr>
                <w:szCs w:val="28"/>
              </w:rPr>
            </w:pPr>
            <w:r>
              <w:rPr>
                <w:sz w:val="28"/>
                <w:szCs w:val="28"/>
              </w:rPr>
              <w:t>Norāda institūciju, kas ir atbildīga par šo saistību izpildi pilnībā</w:t>
            </w:r>
          </w:p>
        </w:tc>
      </w:tr>
      <w:tr w:rsidR="008A36E1" w:rsidTr="006A0219">
        <w:trPr>
          <w:trHeight w:val="161"/>
          <w:tblCellSpacing w:w="0" w:type="dxa"/>
        </w:trPr>
        <w:tc>
          <w:tcPr>
            <w:tcW w:w="2355"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line="161" w:lineRule="atLeast"/>
              <w:rPr>
                <w:szCs w:val="28"/>
              </w:rPr>
            </w:pPr>
            <w:r>
              <w:rPr>
                <w:sz w:val="28"/>
                <w:szCs w:val="28"/>
              </w:rPr>
              <w:t>Civilās aviācijas gaisa kuģu lidojumu apkalpes, kurai tiek izsniegtas civilās aviācijas gaisa kuģu lidojumu apkalpes apliecības, teorētisko eksāmenu kārtošanas laiks un apjoms</w:t>
            </w:r>
          </w:p>
        </w:tc>
        <w:tc>
          <w:tcPr>
            <w:tcW w:w="2101" w:type="dxa"/>
            <w:tcBorders>
              <w:top w:val="single" w:sz="4" w:space="0" w:color="auto"/>
              <w:left w:val="single" w:sz="4" w:space="0" w:color="auto"/>
              <w:bottom w:val="single" w:sz="4" w:space="0" w:color="auto"/>
              <w:right w:val="single" w:sz="4" w:space="0" w:color="auto"/>
            </w:tcBorders>
            <w:vAlign w:val="center"/>
          </w:tcPr>
          <w:p w:rsidR="008A36E1" w:rsidRDefault="008A36E1">
            <w:pPr>
              <w:spacing w:line="161" w:lineRule="atLeast"/>
              <w:rPr>
                <w:szCs w:val="28"/>
              </w:rPr>
            </w:pPr>
            <w:r>
              <w:rPr>
                <w:sz w:val="28"/>
                <w:szCs w:val="28"/>
              </w:rPr>
              <w:t>  Projekta 20.punkts 42.punkts</w:t>
            </w:r>
          </w:p>
          <w:p w:rsidR="008A36E1" w:rsidRDefault="008A36E1">
            <w:pPr>
              <w:spacing w:line="161" w:lineRule="atLeast"/>
              <w:rPr>
                <w:szCs w:val="28"/>
              </w:rPr>
            </w:pPr>
            <w:r>
              <w:rPr>
                <w:sz w:val="28"/>
                <w:szCs w:val="28"/>
              </w:rPr>
              <w:t>(noteikumu Nr.51 3.pielikuma 2. un 4.punkts);</w:t>
            </w:r>
          </w:p>
          <w:p w:rsidR="008A36E1" w:rsidRDefault="008A36E1">
            <w:pPr>
              <w:spacing w:line="161" w:lineRule="atLeast"/>
              <w:rPr>
                <w:szCs w:val="28"/>
              </w:rPr>
            </w:pPr>
            <w:r>
              <w:rPr>
                <w:sz w:val="28"/>
                <w:szCs w:val="28"/>
              </w:rPr>
              <w:t>43.punkts</w:t>
            </w:r>
          </w:p>
          <w:p w:rsidR="008A36E1" w:rsidRDefault="008A36E1">
            <w:pPr>
              <w:spacing w:line="161" w:lineRule="atLeast"/>
              <w:rPr>
                <w:szCs w:val="28"/>
              </w:rPr>
            </w:pPr>
            <w:r>
              <w:rPr>
                <w:sz w:val="28"/>
                <w:szCs w:val="28"/>
              </w:rPr>
              <w:t>(noteikumu Nr.51 5.pielikums)</w:t>
            </w:r>
          </w:p>
          <w:p w:rsidR="008A36E1" w:rsidRDefault="008A36E1">
            <w:pPr>
              <w:spacing w:line="161" w:lineRule="atLeast"/>
              <w:rPr>
                <w:szCs w:val="28"/>
              </w:rPr>
            </w:pPr>
          </w:p>
        </w:tc>
        <w:tc>
          <w:tcPr>
            <w:tcW w:w="4554"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line="161" w:lineRule="atLeast"/>
              <w:rPr>
                <w:szCs w:val="28"/>
              </w:rPr>
            </w:pPr>
            <w:r>
              <w:rPr>
                <w:sz w:val="28"/>
                <w:szCs w:val="28"/>
              </w:rPr>
              <w:t> Saistības izpildītas pilnībā</w:t>
            </w:r>
          </w:p>
        </w:tc>
      </w:tr>
      <w:tr w:rsidR="008A36E1" w:rsidTr="006A0219">
        <w:trPr>
          <w:trHeight w:val="161"/>
          <w:tblCellSpacing w:w="0" w:type="dxa"/>
        </w:trPr>
        <w:tc>
          <w:tcPr>
            <w:tcW w:w="2355" w:type="dxa"/>
            <w:tcBorders>
              <w:top w:val="single" w:sz="4" w:space="0" w:color="auto"/>
              <w:left w:val="single" w:sz="4" w:space="0" w:color="auto"/>
              <w:bottom w:val="single" w:sz="4" w:space="0" w:color="auto"/>
              <w:right w:val="single" w:sz="4" w:space="0" w:color="auto"/>
            </w:tcBorders>
            <w:vAlign w:val="center"/>
          </w:tcPr>
          <w:p w:rsidR="008A36E1" w:rsidRDefault="008A36E1">
            <w:pPr>
              <w:spacing w:before="100" w:beforeAutospacing="1" w:after="100" w:afterAutospacing="1" w:line="161" w:lineRule="atLeast"/>
              <w:rPr>
                <w:szCs w:val="28"/>
              </w:rPr>
            </w:pPr>
            <w:r>
              <w:rPr>
                <w:sz w:val="28"/>
                <w:szCs w:val="28"/>
              </w:rPr>
              <w:t> Vai starptautiskajā dokumentā paredzētās saistības nav pretrunā ar jau esošajām Latvijas Republikas starptautiskajām saistībām</w:t>
            </w:r>
          </w:p>
        </w:tc>
        <w:tc>
          <w:tcPr>
            <w:tcW w:w="665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100" w:beforeAutospacing="1" w:after="100" w:afterAutospacing="1" w:line="161" w:lineRule="atLeast"/>
              <w:rPr>
                <w:szCs w:val="28"/>
              </w:rPr>
            </w:pPr>
            <w:r>
              <w:rPr>
                <w:sz w:val="28"/>
                <w:szCs w:val="28"/>
              </w:rPr>
              <w:t> Projektā iekļautās prasības nav pretrunā ar jau esošajām Latvijas Republikas starptautiskajām saistībām</w:t>
            </w:r>
          </w:p>
        </w:tc>
      </w:tr>
      <w:tr w:rsidR="008A36E1" w:rsidTr="00B82B8A">
        <w:trPr>
          <w:trHeight w:val="425"/>
          <w:tblCellSpacing w:w="0" w:type="dxa"/>
        </w:trPr>
        <w:tc>
          <w:tcPr>
            <w:tcW w:w="2355" w:type="dxa"/>
            <w:tcBorders>
              <w:top w:val="single" w:sz="4" w:space="0" w:color="auto"/>
              <w:left w:val="single" w:sz="4" w:space="0" w:color="auto"/>
              <w:bottom w:val="single" w:sz="4" w:space="0" w:color="auto"/>
              <w:right w:val="single" w:sz="4" w:space="0" w:color="auto"/>
            </w:tcBorders>
          </w:tcPr>
          <w:p w:rsidR="008A36E1" w:rsidRDefault="008A36E1">
            <w:pPr>
              <w:spacing w:before="100" w:beforeAutospacing="1" w:after="100" w:afterAutospacing="1"/>
              <w:rPr>
                <w:szCs w:val="28"/>
              </w:rPr>
            </w:pPr>
            <w:r>
              <w:rPr>
                <w:sz w:val="28"/>
                <w:szCs w:val="28"/>
              </w:rPr>
              <w:t> Cita informācija</w:t>
            </w:r>
          </w:p>
        </w:tc>
        <w:tc>
          <w:tcPr>
            <w:tcW w:w="6655" w:type="dxa"/>
            <w:gridSpan w:val="2"/>
            <w:tcBorders>
              <w:top w:val="single" w:sz="4" w:space="0" w:color="auto"/>
              <w:left w:val="single" w:sz="4" w:space="0" w:color="auto"/>
              <w:bottom w:val="single" w:sz="4" w:space="0" w:color="auto"/>
              <w:right w:val="single" w:sz="4" w:space="0" w:color="auto"/>
            </w:tcBorders>
          </w:tcPr>
          <w:p w:rsidR="008A36E1" w:rsidRDefault="008A36E1">
            <w:pPr>
              <w:spacing w:before="100" w:beforeAutospacing="1" w:after="100" w:afterAutospacing="1"/>
              <w:rPr>
                <w:szCs w:val="28"/>
              </w:rPr>
            </w:pPr>
            <w:r>
              <w:rPr>
                <w:sz w:val="28"/>
                <w:szCs w:val="28"/>
              </w:rPr>
              <w:t>Nav.</w:t>
            </w:r>
          </w:p>
        </w:tc>
      </w:tr>
    </w:tbl>
    <w:p w:rsidR="008A36E1" w:rsidRDefault="008A36E1" w:rsidP="00E10EC7">
      <w:pPr>
        <w:rPr>
          <w:color w:val="000000"/>
          <w:sz w:val="28"/>
          <w:szCs w:val="28"/>
        </w:rPr>
      </w:pPr>
    </w:p>
    <w:tbl>
      <w:tblPr>
        <w:tblW w:w="494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71"/>
        <w:gridCol w:w="3901"/>
        <w:gridCol w:w="4859"/>
      </w:tblGrid>
      <w:tr w:rsidR="008A36E1" w:rsidTr="006A0219">
        <w:tc>
          <w:tcPr>
            <w:tcW w:w="5000" w:type="pct"/>
            <w:gridSpan w:val="3"/>
            <w:tcBorders>
              <w:top w:val="outset" w:sz="6" w:space="0" w:color="000000"/>
              <w:bottom w:val="outset" w:sz="6" w:space="0" w:color="000000"/>
            </w:tcBorders>
          </w:tcPr>
          <w:p w:rsidR="008A36E1" w:rsidRDefault="008A36E1">
            <w:pPr>
              <w:jc w:val="center"/>
              <w:rPr>
                <w:b/>
                <w:bCs/>
                <w:color w:val="000000"/>
                <w:szCs w:val="28"/>
              </w:rPr>
            </w:pPr>
            <w:r>
              <w:rPr>
                <w:b/>
                <w:bCs/>
                <w:color w:val="000000"/>
                <w:sz w:val="28"/>
                <w:szCs w:val="28"/>
              </w:rPr>
              <w:t>VII. Tiesību akta projekta izpildes nodrošināšana un tās ietekme uz institūcijām</w:t>
            </w:r>
          </w:p>
        </w:tc>
      </w:tr>
      <w:tr w:rsidR="008A36E1" w:rsidTr="006A0219">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1.</w:t>
            </w:r>
          </w:p>
        </w:tc>
        <w:tc>
          <w:tcPr>
            <w:tcW w:w="2160"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Projekta izpildē iesaistītās institūcijas</w:t>
            </w:r>
          </w:p>
        </w:tc>
        <w:tc>
          <w:tcPr>
            <w:tcW w:w="2690" w:type="pct"/>
            <w:tcBorders>
              <w:top w:val="outset" w:sz="6" w:space="0" w:color="000000"/>
              <w:left w:val="outset" w:sz="6" w:space="0" w:color="000000"/>
              <w:bottom w:val="outset" w:sz="6" w:space="0" w:color="000000"/>
            </w:tcBorders>
          </w:tcPr>
          <w:p w:rsidR="008A36E1" w:rsidRDefault="008A36E1">
            <w:pPr>
              <w:jc w:val="both"/>
              <w:rPr>
                <w:color w:val="000000"/>
                <w:szCs w:val="28"/>
              </w:rPr>
            </w:pPr>
            <w:r>
              <w:rPr>
                <w:color w:val="000000"/>
                <w:sz w:val="28"/>
                <w:szCs w:val="28"/>
              </w:rPr>
              <w:t>Projekta izpildi nodrošinās valsts aģentūra „Civilās aviācijas aģentūra”.</w:t>
            </w:r>
          </w:p>
        </w:tc>
      </w:tr>
      <w:tr w:rsidR="008A36E1" w:rsidTr="006A0219">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2.</w:t>
            </w:r>
          </w:p>
        </w:tc>
        <w:tc>
          <w:tcPr>
            <w:tcW w:w="2160"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Projekta izpildes ietekme uz pārvaldes funkcijām</w:t>
            </w:r>
          </w:p>
        </w:tc>
        <w:tc>
          <w:tcPr>
            <w:tcW w:w="2690" w:type="pct"/>
            <w:tcBorders>
              <w:top w:val="outset" w:sz="6" w:space="0" w:color="000000"/>
              <w:left w:val="outset" w:sz="6" w:space="0" w:color="000000"/>
              <w:bottom w:val="outset" w:sz="6" w:space="0" w:color="000000"/>
            </w:tcBorders>
          </w:tcPr>
          <w:p w:rsidR="008A36E1" w:rsidRDefault="008A36E1">
            <w:pPr>
              <w:jc w:val="both"/>
              <w:rPr>
                <w:color w:val="000000"/>
                <w:szCs w:val="28"/>
              </w:rPr>
            </w:pPr>
            <w:r>
              <w:rPr>
                <w:iCs/>
                <w:sz w:val="28"/>
                <w:szCs w:val="28"/>
              </w:rPr>
              <w:t>Projekts šo jomu neskar.</w:t>
            </w:r>
          </w:p>
        </w:tc>
      </w:tr>
      <w:tr w:rsidR="008A36E1" w:rsidTr="006A0219">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3.</w:t>
            </w:r>
          </w:p>
        </w:tc>
        <w:tc>
          <w:tcPr>
            <w:tcW w:w="2160"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Projekta izpildes ietekme uz pārvaldes institucionālo struktūru.</w:t>
            </w:r>
          </w:p>
          <w:p w:rsidR="008A36E1" w:rsidRDefault="008A36E1">
            <w:pPr>
              <w:rPr>
                <w:color w:val="000000"/>
                <w:szCs w:val="28"/>
              </w:rPr>
            </w:pPr>
            <w:r>
              <w:rPr>
                <w:color w:val="000000"/>
                <w:sz w:val="28"/>
                <w:szCs w:val="28"/>
              </w:rPr>
              <w:t>Jaunu institūciju izveide</w:t>
            </w:r>
          </w:p>
        </w:tc>
        <w:tc>
          <w:tcPr>
            <w:tcW w:w="2690" w:type="pct"/>
            <w:tcBorders>
              <w:top w:val="outset" w:sz="6" w:space="0" w:color="000000"/>
              <w:left w:val="outset" w:sz="6" w:space="0" w:color="000000"/>
              <w:bottom w:val="outset" w:sz="6" w:space="0" w:color="000000"/>
            </w:tcBorders>
          </w:tcPr>
          <w:p w:rsidR="008A36E1" w:rsidRDefault="008A36E1">
            <w:pPr>
              <w:jc w:val="both"/>
              <w:rPr>
                <w:color w:val="000000"/>
                <w:szCs w:val="28"/>
              </w:rPr>
            </w:pPr>
            <w:r>
              <w:rPr>
                <w:iCs/>
                <w:sz w:val="28"/>
                <w:szCs w:val="28"/>
              </w:rPr>
              <w:t>Projekts šo jomu neskar.</w:t>
            </w:r>
          </w:p>
        </w:tc>
      </w:tr>
      <w:tr w:rsidR="008A36E1" w:rsidTr="006A0219">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4.</w:t>
            </w:r>
          </w:p>
        </w:tc>
        <w:tc>
          <w:tcPr>
            <w:tcW w:w="2160"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Projekta izpildes ietekme uz pārvaldes institucionālo struktūru.</w:t>
            </w:r>
          </w:p>
          <w:p w:rsidR="008A36E1" w:rsidRDefault="008A36E1">
            <w:pPr>
              <w:rPr>
                <w:color w:val="000000"/>
                <w:szCs w:val="28"/>
              </w:rPr>
            </w:pPr>
            <w:r>
              <w:rPr>
                <w:color w:val="000000"/>
                <w:sz w:val="28"/>
                <w:szCs w:val="28"/>
              </w:rPr>
              <w:t>Esošu institūciju likvidācija</w:t>
            </w:r>
          </w:p>
        </w:tc>
        <w:tc>
          <w:tcPr>
            <w:tcW w:w="2690" w:type="pct"/>
            <w:tcBorders>
              <w:top w:val="outset" w:sz="6" w:space="0" w:color="000000"/>
              <w:left w:val="outset" w:sz="6" w:space="0" w:color="000000"/>
              <w:bottom w:val="outset" w:sz="6" w:space="0" w:color="000000"/>
            </w:tcBorders>
          </w:tcPr>
          <w:p w:rsidR="008A36E1" w:rsidRDefault="008A36E1">
            <w:pPr>
              <w:rPr>
                <w:color w:val="000000"/>
                <w:szCs w:val="28"/>
              </w:rPr>
            </w:pPr>
            <w:r>
              <w:rPr>
                <w:iCs/>
                <w:sz w:val="28"/>
                <w:szCs w:val="28"/>
              </w:rPr>
              <w:t>Projekts šo jomu neskar.</w:t>
            </w:r>
          </w:p>
        </w:tc>
      </w:tr>
      <w:tr w:rsidR="008A36E1" w:rsidTr="006A0219">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5.</w:t>
            </w:r>
          </w:p>
        </w:tc>
        <w:tc>
          <w:tcPr>
            <w:tcW w:w="2160"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Projekta izpildes ietekme uz pārvaldes institucionālo struktūru.</w:t>
            </w:r>
          </w:p>
          <w:p w:rsidR="008A36E1" w:rsidRDefault="008A36E1">
            <w:pPr>
              <w:rPr>
                <w:color w:val="000000"/>
                <w:szCs w:val="28"/>
              </w:rPr>
            </w:pPr>
            <w:r>
              <w:rPr>
                <w:color w:val="000000"/>
                <w:sz w:val="28"/>
                <w:szCs w:val="28"/>
              </w:rPr>
              <w:t>Esošu institūciju reorganizācija</w:t>
            </w:r>
          </w:p>
        </w:tc>
        <w:tc>
          <w:tcPr>
            <w:tcW w:w="2690" w:type="pct"/>
            <w:tcBorders>
              <w:top w:val="outset" w:sz="6" w:space="0" w:color="000000"/>
              <w:left w:val="outset" w:sz="6" w:space="0" w:color="000000"/>
              <w:bottom w:val="outset" w:sz="6" w:space="0" w:color="000000"/>
            </w:tcBorders>
          </w:tcPr>
          <w:p w:rsidR="008A36E1" w:rsidRDefault="008A36E1">
            <w:pPr>
              <w:rPr>
                <w:color w:val="000000"/>
                <w:szCs w:val="28"/>
              </w:rPr>
            </w:pPr>
            <w:r>
              <w:rPr>
                <w:iCs/>
                <w:sz w:val="28"/>
                <w:szCs w:val="28"/>
              </w:rPr>
              <w:t>Projekts šo jomu neskar.</w:t>
            </w:r>
          </w:p>
        </w:tc>
      </w:tr>
      <w:tr w:rsidR="008A36E1" w:rsidTr="006A0219">
        <w:tc>
          <w:tcPr>
            <w:tcW w:w="0" w:type="auto"/>
            <w:tcBorders>
              <w:top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6.</w:t>
            </w:r>
          </w:p>
        </w:tc>
        <w:tc>
          <w:tcPr>
            <w:tcW w:w="2160" w:type="pct"/>
            <w:tcBorders>
              <w:top w:val="outset" w:sz="6" w:space="0" w:color="000000"/>
              <w:left w:val="outset" w:sz="6" w:space="0" w:color="000000"/>
              <w:bottom w:val="outset" w:sz="6" w:space="0" w:color="000000"/>
              <w:right w:val="outset" w:sz="6" w:space="0" w:color="000000"/>
            </w:tcBorders>
          </w:tcPr>
          <w:p w:rsidR="008A36E1" w:rsidRDefault="008A36E1">
            <w:pPr>
              <w:rPr>
                <w:color w:val="000000"/>
                <w:szCs w:val="28"/>
              </w:rPr>
            </w:pPr>
            <w:r>
              <w:rPr>
                <w:color w:val="000000"/>
                <w:sz w:val="28"/>
                <w:szCs w:val="28"/>
              </w:rPr>
              <w:t>Cita informācija</w:t>
            </w:r>
          </w:p>
        </w:tc>
        <w:tc>
          <w:tcPr>
            <w:tcW w:w="2690" w:type="pct"/>
            <w:tcBorders>
              <w:top w:val="outset" w:sz="6" w:space="0" w:color="000000"/>
              <w:left w:val="outset" w:sz="6" w:space="0" w:color="000000"/>
              <w:bottom w:val="outset" w:sz="6" w:space="0" w:color="000000"/>
            </w:tcBorders>
          </w:tcPr>
          <w:p w:rsidR="008A36E1" w:rsidRDefault="008A36E1">
            <w:pPr>
              <w:rPr>
                <w:color w:val="000000"/>
                <w:szCs w:val="28"/>
              </w:rPr>
            </w:pPr>
            <w:r>
              <w:rPr>
                <w:color w:val="000000"/>
                <w:sz w:val="28"/>
                <w:szCs w:val="28"/>
              </w:rPr>
              <w:t>Nav</w:t>
            </w:r>
          </w:p>
        </w:tc>
      </w:tr>
    </w:tbl>
    <w:p w:rsidR="008A36E1" w:rsidRDefault="008A36E1" w:rsidP="00E10EC7">
      <w:pPr>
        <w:rPr>
          <w:color w:val="000000"/>
          <w:sz w:val="28"/>
          <w:szCs w:val="28"/>
        </w:rPr>
      </w:pPr>
    </w:p>
    <w:p w:rsidR="008A36E1" w:rsidRDefault="008A36E1" w:rsidP="00E10EC7">
      <w:pPr>
        <w:rPr>
          <w:i/>
          <w:color w:val="000000"/>
          <w:sz w:val="28"/>
          <w:szCs w:val="28"/>
        </w:rPr>
      </w:pPr>
      <w:r>
        <w:rPr>
          <w:color w:val="000000"/>
          <w:sz w:val="28"/>
          <w:szCs w:val="28"/>
        </w:rPr>
        <w:t>Anotācijas III, IV un VI sadaļa</w:t>
      </w:r>
      <w:r>
        <w:rPr>
          <w:i/>
          <w:color w:val="000000"/>
          <w:sz w:val="28"/>
          <w:szCs w:val="28"/>
        </w:rPr>
        <w:t xml:space="preserve"> – </w:t>
      </w:r>
      <w:r>
        <w:rPr>
          <w:color w:val="000000"/>
          <w:sz w:val="28"/>
          <w:szCs w:val="28"/>
        </w:rPr>
        <w:t>projekts šīs jomas neskar.</w:t>
      </w:r>
    </w:p>
    <w:p w:rsidR="008A36E1" w:rsidRDefault="008A36E1" w:rsidP="00E10EC7">
      <w:pPr>
        <w:ind w:firstLine="720"/>
        <w:jc w:val="both"/>
        <w:rPr>
          <w:color w:val="000000"/>
          <w:sz w:val="28"/>
          <w:szCs w:val="28"/>
        </w:rPr>
      </w:pPr>
    </w:p>
    <w:p w:rsidR="008A36E1" w:rsidRDefault="008A36E1" w:rsidP="00E10EC7">
      <w:pPr>
        <w:ind w:firstLine="720"/>
        <w:jc w:val="both"/>
        <w:rPr>
          <w:color w:val="000000"/>
          <w:sz w:val="28"/>
          <w:szCs w:val="28"/>
        </w:rPr>
      </w:pPr>
      <w:r>
        <w:rPr>
          <w:color w:val="000000"/>
          <w:sz w:val="28"/>
          <w:szCs w:val="28"/>
        </w:rPr>
        <w:t>Satiksmes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A.Matīss</w:t>
      </w:r>
    </w:p>
    <w:p w:rsidR="008A36E1" w:rsidRDefault="008A36E1" w:rsidP="00E10EC7">
      <w:pPr>
        <w:ind w:firstLine="720"/>
        <w:jc w:val="both"/>
        <w:rPr>
          <w:color w:val="000000"/>
          <w:sz w:val="28"/>
          <w:szCs w:val="28"/>
        </w:rPr>
      </w:pPr>
    </w:p>
    <w:p w:rsidR="008A36E1" w:rsidRDefault="008A36E1" w:rsidP="00E10EC7">
      <w:pPr>
        <w:ind w:firstLine="720"/>
        <w:jc w:val="both"/>
        <w:rPr>
          <w:color w:val="000000"/>
          <w:sz w:val="28"/>
          <w:szCs w:val="28"/>
        </w:rPr>
      </w:pPr>
    </w:p>
    <w:p w:rsidR="008A36E1" w:rsidRDefault="008A36E1" w:rsidP="00E10EC7">
      <w:pPr>
        <w:ind w:firstLine="720"/>
        <w:jc w:val="both"/>
        <w:rPr>
          <w:color w:val="000000"/>
          <w:sz w:val="28"/>
          <w:szCs w:val="28"/>
        </w:rPr>
      </w:pPr>
      <w:r>
        <w:rPr>
          <w:color w:val="000000"/>
          <w:sz w:val="28"/>
          <w:szCs w:val="28"/>
        </w:rPr>
        <w:t>Vīza:</w:t>
      </w:r>
    </w:p>
    <w:p w:rsidR="008A36E1" w:rsidRDefault="008A36E1" w:rsidP="00E10EC7">
      <w:pPr>
        <w:ind w:firstLine="720"/>
        <w:jc w:val="both"/>
        <w:rPr>
          <w:color w:val="000000"/>
          <w:sz w:val="28"/>
          <w:szCs w:val="28"/>
        </w:rPr>
      </w:pPr>
      <w:r>
        <w:rPr>
          <w:color w:val="000000"/>
          <w:sz w:val="28"/>
          <w:szCs w:val="28"/>
        </w:rPr>
        <w:t>valsts sekretāra p.i.</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Dž.</w:t>
      </w:r>
      <w:r w:rsidRPr="00710C52">
        <w:rPr>
          <w:sz w:val="28"/>
          <w:szCs w:val="28"/>
        </w:rPr>
        <w:t>Innusa</w:t>
      </w:r>
      <w:r w:rsidRPr="00710C52">
        <w:rPr>
          <w:color w:val="000000"/>
          <w:sz w:val="28"/>
          <w:szCs w:val="28"/>
        </w:rPr>
        <w:tab/>
      </w:r>
      <w:r>
        <w:rPr>
          <w:color w:val="000000"/>
          <w:sz w:val="28"/>
          <w:szCs w:val="28"/>
        </w:rPr>
        <w:tab/>
      </w:r>
      <w:r>
        <w:rPr>
          <w:color w:val="000000"/>
          <w:sz w:val="28"/>
          <w:szCs w:val="28"/>
        </w:rPr>
        <w:tab/>
      </w:r>
      <w:r>
        <w:rPr>
          <w:color w:val="000000"/>
          <w:sz w:val="28"/>
          <w:szCs w:val="28"/>
        </w:rPr>
        <w:tab/>
      </w:r>
    </w:p>
    <w:p w:rsidR="008A36E1" w:rsidRDefault="008A36E1" w:rsidP="00E10EC7">
      <w:pPr>
        <w:jc w:val="both"/>
        <w:rPr>
          <w:color w:val="000000"/>
        </w:rPr>
      </w:pPr>
      <w:r>
        <w:rPr>
          <w:color w:val="000000"/>
        </w:rPr>
        <w:t>07.05.2013 11.30</w:t>
      </w:r>
    </w:p>
    <w:p w:rsidR="008A36E1" w:rsidRDefault="008A36E1" w:rsidP="00E10EC7">
      <w:pPr>
        <w:jc w:val="both"/>
        <w:rPr>
          <w:color w:val="000000"/>
        </w:rPr>
      </w:pPr>
      <w:r>
        <w:rPr>
          <w:color w:val="000000"/>
        </w:rPr>
        <w:t>2010</w:t>
      </w:r>
    </w:p>
    <w:p w:rsidR="008A36E1" w:rsidRDefault="008A36E1" w:rsidP="00E10EC7">
      <w:pPr>
        <w:pStyle w:val="naisf"/>
        <w:spacing w:before="0" w:after="0"/>
        <w:ind w:firstLine="0"/>
        <w:rPr>
          <w:bCs/>
        </w:rPr>
      </w:pPr>
      <w:r>
        <w:rPr>
          <w:bCs/>
        </w:rPr>
        <w:t>D. Revizore</w:t>
      </w:r>
    </w:p>
    <w:p w:rsidR="008A36E1" w:rsidRDefault="008A36E1" w:rsidP="00284B61">
      <w:pPr>
        <w:pStyle w:val="naisf"/>
        <w:spacing w:before="0" w:after="0"/>
        <w:ind w:firstLine="0"/>
      </w:pPr>
      <w:r>
        <w:t xml:space="preserve">67830943; </w:t>
      </w:r>
      <w:hyperlink r:id="rId6" w:history="1">
        <w:r w:rsidRPr="00520F64">
          <w:rPr>
            <w:rStyle w:val="Hyperlink"/>
            <w:bCs/>
            <w:color w:val="auto"/>
            <w:u w:val="none"/>
          </w:rPr>
          <w:t>Dace.Revizore@latcaa.gov.lv</w:t>
        </w:r>
      </w:hyperlink>
    </w:p>
    <w:sectPr w:rsidR="008A36E1" w:rsidSect="00A84A4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E1" w:rsidRDefault="008A36E1">
      <w:r>
        <w:separator/>
      </w:r>
    </w:p>
  </w:endnote>
  <w:endnote w:type="continuationSeparator" w:id="0">
    <w:p w:rsidR="008A36E1" w:rsidRDefault="008A3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E1" w:rsidRDefault="008A36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E1" w:rsidRPr="00D66DC1" w:rsidRDefault="008A36E1" w:rsidP="005102D4">
    <w:pPr>
      <w:jc w:val="both"/>
      <w:rPr>
        <w:i/>
      </w:rPr>
    </w:pPr>
    <w:r>
      <w:t>SAMAnot_070513_groz51</w:t>
    </w:r>
    <w:r w:rsidRPr="0090712D">
      <w:t xml:space="preserve">; </w:t>
    </w:r>
    <w:r w:rsidRPr="007B71DB">
      <w:t xml:space="preserve">Ministru kabineta noteikumu projekts </w:t>
    </w:r>
    <w:r w:rsidRPr="00A904AB">
      <w:t>„</w:t>
    </w:r>
    <w:r w:rsidRPr="00A904AB">
      <w:rPr>
        <w:color w:val="000000"/>
      </w:rPr>
      <w:t>Grozījumi Ministru kabineta 2011.gada 18.janvāra noteikumos Nr</w:t>
    </w:r>
    <w:r>
      <w:rPr>
        <w:color w:val="000000"/>
      </w:rPr>
      <w:t>.</w:t>
    </w:r>
    <w:r w:rsidRPr="00A904AB">
      <w:rPr>
        <w:color w:val="000000"/>
      </w:rPr>
      <w:t>51 „</w:t>
    </w:r>
    <w:r w:rsidRPr="00A904AB">
      <w:t>Civilās aviācijas gaisa kuģu lidojumu apkalpes locekļu sertificēšanas noteikumi””</w:t>
    </w:r>
  </w:p>
  <w:p w:rsidR="008A36E1" w:rsidRPr="005C72A4" w:rsidRDefault="008A36E1" w:rsidP="005102D4">
    <w:pPr>
      <w:pStyle w:val="Footer"/>
      <w:jc w:val="both"/>
    </w:pPr>
  </w:p>
  <w:p w:rsidR="008A36E1" w:rsidRDefault="008A36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E1" w:rsidRPr="00A84A4B" w:rsidRDefault="008A36E1" w:rsidP="00A84A4B">
    <w:r w:rsidRPr="00A84A4B">
      <w:t>SAMAnot_070513_groz51; Ministru kabineta noteikumu projekts „Grozījumi Ministru kabineta 2011.gada 18.janvāra noteikumos Nr.51 „Civilās aviācijas gaisa kuģu lidojumu apkalpes locekļu sertificēšanas noteikumi””</w:t>
    </w:r>
  </w:p>
  <w:p w:rsidR="008A36E1" w:rsidRDefault="008A3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E1" w:rsidRDefault="008A36E1">
      <w:r>
        <w:separator/>
      </w:r>
    </w:p>
  </w:footnote>
  <w:footnote w:type="continuationSeparator" w:id="0">
    <w:p w:rsidR="008A36E1" w:rsidRDefault="008A3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E1" w:rsidRDefault="008A3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E1" w:rsidRDefault="008A36E1">
    <w:pPr>
      <w:pStyle w:val="Header"/>
      <w:jc w:val="center"/>
    </w:pPr>
    <w:fldSimple w:instr=" PAGE   \* MERGEFORMAT ">
      <w:r>
        <w:rPr>
          <w:noProof/>
        </w:rPr>
        <w:t>10</w:t>
      </w:r>
    </w:fldSimple>
  </w:p>
  <w:p w:rsidR="008A36E1" w:rsidRDefault="008A36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E1" w:rsidRDefault="008A36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434"/>
    <w:rsid w:val="00002B62"/>
    <w:rsid w:val="000134A6"/>
    <w:rsid w:val="00020E98"/>
    <w:rsid w:val="00096F27"/>
    <w:rsid w:val="000A7772"/>
    <w:rsid w:val="000F0C54"/>
    <w:rsid w:val="001029F4"/>
    <w:rsid w:val="00125DFB"/>
    <w:rsid w:val="001A647A"/>
    <w:rsid w:val="001F62ED"/>
    <w:rsid w:val="002065CE"/>
    <w:rsid w:val="00253003"/>
    <w:rsid w:val="00260FA5"/>
    <w:rsid w:val="00284B61"/>
    <w:rsid w:val="00291E14"/>
    <w:rsid w:val="002C3F36"/>
    <w:rsid w:val="002D65F3"/>
    <w:rsid w:val="0032485D"/>
    <w:rsid w:val="00341469"/>
    <w:rsid w:val="003565B6"/>
    <w:rsid w:val="003809E2"/>
    <w:rsid w:val="003841AA"/>
    <w:rsid w:val="003C3762"/>
    <w:rsid w:val="003D2AA6"/>
    <w:rsid w:val="004011EA"/>
    <w:rsid w:val="00412ADC"/>
    <w:rsid w:val="0043656F"/>
    <w:rsid w:val="00451311"/>
    <w:rsid w:val="004555C1"/>
    <w:rsid w:val="004632E9"/>
    <w:rsid w:val="00470642"/>
    <w:rsid w:val="00476CCD"/>
    <w:rsid w:val="005102D4"/>
    <w:rsid w:val="00514CE1"/>
    <w:rsid w:val="00520F64"/>
    <w:rsid w:val="005346E6"/>
    <w:rsid w:val="0055711F"/>
    <w:rsid w:val="005A4E49"/>
    <w:rsid w:val="005C50E8"/>
    <w:rsid w:val="005C72A4"/>
    <w:rsid w:val="005E2888"/>
    <w:rsid w:val="005E71FD"/>
    <w:rsid w:val="00616FBC"/>
    <w:rsid w:val="00626814"/>
    <w:rsid w:val="006371FF"/>
    <w:rsid w:val="00640DBC"/>
    <w:rsid w:val="00660287"/>
    <w:rsid w:val="006639F0"/>
    <w:rsid w:val="00682434"/>
    <w:rsid w:val="00696418"/>
    <w:rsid w:val="006A0219"/>
    <w:rsid w:val="006B08D7"/>
    <w:rsid w:val="00710C52"/>
    <w:rsid w:val="0077041A"/>
    <w:rsid w:val="00775B37"/>
    <w:rsid w:val="00795E31"/>
    <w:rsid w:val="00796A4B"/>
    <w:rsid w:val="007B71DB"/>
    <w:rsid w:val="007D60D3"/>
    <w:rsid w:val="007E02E1"/>
    <w:rsid w:val="007E6CC6"/>
    <w:rsid w:val="007F2876"/>
    <w:rsid w:val="00871E88"/>
    <w:rsid w:val="008A36E1"/>
    <w:rsid w:val="008B3210"/>
    <w:rsid w:val="008E2645"/>
    <w:rsid w:val="008E4C21"/>
    <w:rsid w:val="008E58DA"/>
    <w:rsid w:val="008F09E9"/>
    <w:rsid w:val="0090712D"/>
    <w:rsid w:val="00917DE2"/>
    <w:rsid w:val="009712D7"/>
    <w:rsid w:val="009A1C9F"/>
    <w:rsid w:val="009F5B3B"/>
    <w:rsid w:val="00A67827"/>
    <w:rsid w:val="00A76E97"/>
    <w:rsid w:val="00A84A4B"/>
    <w:rsid w:val="00A904AB"/>
    <w:rsid w:val="00A926D4"/>
    <w:rsid w:val="00A953EC"/>
    <w:rsid w:val="00AE299F"/>
    <w:rsid w:val="00AF27B4"/>
    <w:rsid w:val="00B408AB"/>
    <w:rsid w:val="00B55128"/>
    <w:rsid w:val="00B80474"/>
    <w:rsid w:val="00B82B8A"/>
    <w:rsid w:val="00BA0643"/>
    <w:rsid w:val="00BC1232"/>
    <w:rsid w:val="00BC6802"/>
    <w:rsid w:val="00BF6544"/>
    <w:rsid w:val="00C208D6"/>
    <w:rsid w:val="00C35180"/>
    <w:rsid w:val="00C416E0"/>
    <w:rsid w:val="00C556E0"/>
    <w:rsid w:val="00C81DD5"/>
    <w:rsid w:val="00D0571A"/>
    <w:rsid w:val="00D317DD"/>
    <w:rsid w:val="00D411CE"/>
    <w:rsid w:val="00D66DC1"/>
    <w:rsid w:val="00D77577"/>
    <w:rsid w:val="00DC7D4F"/>
    <w:rsid w:val="00DD69C3"/>
    <w:rsid w:val="00DE3310"/>
    <w:rsid w:val="00DE3628"/>
    <w:rsid w:val="00E02240"/>
    <w:rsid w:val="00E05505"/>
    <w:rsid w:val="00E0557A"/>
    <w:rsid w:val="00E10EC7"/>
    <w:rsid w:val="00E1377C"/>
    <w:rsid w:val="00E326A2"/>
    <w:rsid w:val="00E3442B"/>
    <w:rsid w:val="00E65010"/>
    <w:rsid w:val="00E906DF"/>
    <w:rsid w:val="00EA0BF7"/>
    <w:rsid w:val="00EA4466"/>
    <w:rsid w:val="00EE56D3"/>
    <w:rsid w:val="00F20EB8"/>
    <w:rsid w:val="00F24205"/>
    <w:rsid w:val="00F35C0D"/>
    <w:rsid w:val="00F53ED4"/>
    <w:rsid w:val="00F66CCC"/>
    <w:rsid w:val="00FD729A"/>
    <w:rsid w:val="00FE207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C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10EC7"/>
    <w:rPr>
      <w:rFonts w:cs="Times New Roman"/>
      <w:color w:val="0000FF"/>
      <w:u w:val="single"/>
    </w:rPr>
  </w:style>
  <w:style w:type="paragraph" w:styleId="NormalWeb">
    <w:name w:val="Normal (Web)"/>
    <w:basedOn w:val="Normal"/>
    <w:uiPriority w:val="99"/>
    <w:rsid w:val="00E10EC7"/>
    <w:pPr>
      <w:spacing w:before="100" w:beforeAutospacing="1" w:after="100" w:afterAutospacing="1"/>
    </w:pPr>
    <w:rPr>
      <w:rFonts w:ascii="Verdana" w:hAnsi="Verdana"/>
      <w:sz w:val="18"/>
      <w:szCs w:val="18"/>
    </w:rPr>
  </w:style>
  <w:style w:type="paragraph" w:styleId="Footer">
    <w:name w:val="footer"/>
    <w:basedOn w:val="Normal"/>
    <w:link w:val="FooterChar"/>
    <w:uiPriority w:val="99"/>
    <w:semiHidden/>
    <w:rsid w:val="00E10EC7"/>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E10EC7"/>
    <w:rPr>
      <w:rFonts w:eastAsia="Times New Roman"/>
      <w:sz w:val="24"/>
      <w:lang w:eastAsia="lv-LV"/>
    </w:rPr>
  </w:style>
  <w:style w:type="paragraph" w:styleId="BodyText2">
    <w:name w:val="Body Text 2"/>
    <w:basedOn w:val="Normal"/>
    <w:link w:val="BodyText2Char"/>
    <w:uiPriority w:val="99"/>
    <w:rsid w:val="00E10EC7"/>
    <w:pPr>
      <w:jc w:val="both"/>
    </w:pPr>
    <w:rPr>
      <w:color w:val="000000"/>
      <w:sz w:val="28"/>
      <w:szCs w:val="20"/>
    </w:rPr>
  </w:style>
  <w:style w:type="character" w:customStyle="1" w:styleId="BodyText2Char">
    <w:name w:val="Body Text 2 Char"/>
    <w:basedOn w:val="DefaultParagraphFont"/>
    <w:link w:val="BodyText2"/>
    <w:uiPriority w:val="99"/>
    <w:locked/>
    <w:rsid w:val="00E10EC7"/>
    <w:rPr>
      <w:rFonts w:eastAsia="Times New Roman"/>
      <w:color w:val="000000"/>
      <w:sz w:val="28"/>
      <w:lang w:eastAsia="lv-LV"/>
    </w:rPr>
  </w:style>
  <w:style w:type="paragraph" w:customStyle="1" w:styleId="naisf">
    <w:name w:val="naisf"/>
    <w:basedOn w:val="Normal"/>
    <w:uiPriority w:val="99"/>
    <w:rsid w:val="00E10EC7"/>
    <w:pPr>
      <w:spacing w:before="75" w:after="75"/>
      <w:ind w:firstLine="375"/>
      <w:jc w:val="both"/>
    </w:pPr>
  </w:style>
  <w:style w:type="paragraph" w:customStyle="1" w:styleId="naisnod">
    <w:name w:val="naisnod"/>
    <w:basedOn w:val="Normal"/>
    <w:uiPriority w:val="99"/>
    <w:rsid w:val="00E10EC7"/>
    <w:pPr>
      <w:spacing w:before="150" w:after="150"/>
      <w:jc w:val="center"/>
    </w:pPr>
    <w:rPr>
      <w:b/>
      <w:bCs/>
    </w:rPr>
  </w:style>
  <w:style w:type="paragraph" w:customStyle="1" w:styleId="naiskr">
    <w:name w:val="naiskr"/>
    <w:basedOn w:val="Normal"/>
    <w:uiPriority w:val="99"/>
    <w:rsid w:val="00E10EC7"/>
    <w:pPr>
      <w:spacing w:before="75" w:after="75"/>
    </w:pPr>
  </w:style>
  <w:style w:type="paragraph" w:customStyle="1" w:styleId="Default">
    <w:name w:val="Default"/>
    <w:uiPriority w:val="99"/>
    <w:rsid w:val="00E10EC7"/>
    <w:pPr>
      <w:autoSpaceDE w:val="0"/>
      <w:autoSpaceDN w:val="0"/>
      <w:adjustRightInd w:val="0"/>
    </w:pPr>
    <w:rPr>
      <w:rFonts w:ascii="EUAlbertina" w:eastAsia="Times New Roman" w:hAnsi="EUAlbertina" w:cs="EUAlbertina"/>
      <w:color w:val="000000"/>
      <w:sz w:val="24"/>
      <w:szCs w:val="24"/>
    </w:rPr>
  </w:style>
  <w:style w:type="paragraph" w:customStyle="1" w:styleId="naisc">
    <w:name w:val="naisc"/>
    <w:basedOn w:val="Normal"/>
    <w:uiPriority w:val="99"/>
    <w:rsid w:val="00E10EC7"/>
    <w:pPr>
      <w:spacing w:before="100" w:after="100"/>
      <w:jc w:val="center"/>
    </w:pPr>
    <w:rPr>
      <w:sz w:val="26"/>
      <w:szCs w:val="20"/>
      <w:lang w:val="en-GB" w:eastAsia="en-US"/>
    </w:rPr>
  </w:style>
  <w:style w:type="character" w:styleId="Emphasis">
    <w:name w:val="Emphasis"/>
    <w:basedOn w:val="DefaultParagraphFont"/>
    <w:uiPriority w:val="99"/>
    <w:qFormat/>
    <w:rsid w:val="00E10EC7"/>
    <w:rPr>
      <w:rFonts w:cs="Times New Roman"/>
      <w:i/>
    </w:rPr>
  </w:style>
  <w:style w:type="paragraph" w:styleId="Revision">
    <w:name w:val="Revision"/>
    <w:hidden/>
    <w:uiPriority w:val="99"/>
    <w:semiHidden/>
    <w:rsid w:val="00BF6544"/>
    <w:rPr>
      <w:rFonts w:eastAsia="Times New Roman"/>
      <w:sz w:val="24"/>
      <w:szCs w:val="24"/>
    </w:rPr>
  </w:style>
  <w:style w:type="paragraph" w:styleId="BalloonText">
    <w:name w:val="Balloon Text"/>
    <w:basedOn w:val="Normal"/>
    <w:link w:val="BalloonTextChar"/>
    <w:uiPriority w:val="99"/>
    <w:semiHidden/>
    <w:rsid w:val="00BF6544"/>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BF6544"/>
    <w:rPr>
      <w:rFonts w:ascii="Tahoma" w:hAnsi="Tahoma"/>
      <w:sz w:val="16"/>
      <w:lang w:eastAsia="lv-LV"/>
    </w:rPr>
  </w:style>
  <w:style w:type="paragraph" w:styleId="Header">
    <w:name w:val="header"/>
    <w:basedOn w:val="Normal"/>
    <w:link w:val="HeaderChar"/>
    <w:uiPriority w:val="99"/>
    <w:rsid w:val="005102D4"/>
    <w:pPr>
      <w:tabs>
        <w:tab w:val="center" w:pos="4153"/>
        <w:tab w:val="right" w:pos="8306"/>
      </w:tabs>
    </w:pPr>
    <w:rPr>
      <w:szCs w:val="20"/>
    </w:rPr>
  </w:style>
  <w:style w:type="character" w:customStyle="1" w:styleId="HeaderChar">
    <w:name w:val="Header Char"/>
    <w:basedOn w:val="DefaultParagraphFont"/>
    <w:link w:val="Header"/>
    <w:uiPriority w:val="99"/>
    <w:locked/>
    <w:rsid w:val="002C3F36"/>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69712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Revizore@latcaa.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10</Pages>
  <Words>2039</Words>
  <Characters>14361</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18.janvāra noteikumos Nr.51 "Civilās aviācijas gaisa kuģu lidojuu apkalpes locekļu sertificēšanas noteikumi"" </dc:title>
  <dc:subject>anotācija</dc:subject>
  <dc:creator>Dace Revizore</dc:creator>
  <cp:keywords/>
  <dc:description>tel. 67830943, dace.revizore@latcaa.gov.lv</dc:description>
  <cp:lastModifiedBy>Baiba Šterna</cp:lastModifiedBy>
  <cp:revision>30</cp:revision>
  <cp:lastPrinted>2013-03-07T08:12:00Z</cp:lastPrinted>
  <dcterms:created xsi:type="dcterms:W3CDTF">2013-03-25T13:09:00Z</dcterms:created>
  <dcterms:modified xsi:type="dcterms:W3CDTF">2013-06-12T13:06:00Z</dcterms:modified>
</cp:coreProperties>
</file>